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6B57B7">
      <w:pPr>
        <w:shd w:val="clear"/>
        <w:jc w:val="center"/>
        <w:rPr>
          <w:rFonts w:hint="eastAsia" w:asciiTheme="minorEastAsia" w:hAnsiTheme="minorEastAsia" w:eastAsiaTheme="minorEastAsia" w:cstheme="minorEastAsia"/>
          <w:color w:val="auto"/>
          <w:highlight w:val="none"/>
          <w:lang w:val="en-US" w:eastAsia="zh-CN"/>
        </w:rPr>
      </w:pPr>
    </w:p>
    <w:p w14:paraId="5A6A4D8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w:t>
      </w:r>
    </w:p>
    <w:p w14:paraId="09EC7CAE">
      <w:pPr>
        <w:pStyle w:val="24"/>
        <w:shd w:val="clear"/>
        <w:ind w:firstLine="5"/>
        <w:jc w:val="center"/>
        <w:rPr>
          <w:rFonts w:ascii="方正美黑简体" w:eastAsia="方正美黑简体"/>
          <w:color w:val="auto"/>
          <w:sz w:val="44"/>
          <w:szCs w:val="44"/>
          <w:highlight w:val="none"/>
        </w:rPr>
      </w:pPr>
      <w:r>
        <w:rPr>
          <w:rFonts w:hint="eastAsia" w:hAnsi="宋体" w:eastAsia="方正美黑简体"/>
          <w:color w:val="auto"/>
          <w:spacing w:val="30"/>
          <w:kern w:val="52"/>
          <w:sz w:val="44"/>
          <w:szCs w:val="44"/>
          <w:highlight w:val="none"/>
        </w:rPr>
        <w:t>广西建设工程机电设备招标中心有限公司</w:t>
      </w:r>
    </w:p>
    <w:p w14:paraId="20922924">
      <w:pPr>
        <w:shd w:val="clear"/>
        <w:jc w:val="center"/>
        <w:rPr>
          <w:rFonts w:ascii="汉仪魏碑简" w:eastAsia="汉仪魏碑简"/>
          <w:color w:val="auto"/>
          <w:sz w:val="28"/>
          <w:szCs w:val="28"/>
          <w:highlight w:val="none"/>
        </w:rPr>
      </w:pPr>
      <w:r>
        <w:rPr>
          <w:rFonts w:hint="eastAsia" w:ascii="幼圆" w:eastAsia="幼圆"/>
          <w:b/>
          <w:color w:val="auto"/>
          <w:spacing w:val="-16"/>
          <w:sz w:val="13"/>
          <w:szCs w:val="13"/>
          <w:highlight w:val="none"/>
          <w:u w:val="single"/>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99060</wp:posOffset>
                </wp:positionV>
                <wp:extent cx="5829300" cy="0"/>
                <wp:effectExtent l="0" t="28575" r="7620" b="32385"/>
                <wp:wrapNone/>
                <wp:docPr id="10" name="直接连接符 10"/>
                <wp:cNvGraphicFramePr/>
                <a:graphic xmlns:a="http://schemas.openxmlformats.org/drawingml/2006/main">
                  <a:graphicData uri="http://schemas.microsoft.com/office/word/2010/wordprocessingShape">
                    <wps:wsp>
                      <wps:cNvCnPr/>
                      <wps:spPr>
                        <a:xfrm flipV="1">
                          <a:off x="0" y="0"/>
                          <a:ext cx="5829300" cy="0"/>
                        </a:xfrm>
                        <a:prstGeom prst="line">
                          <a:avLst/>
                        </a:prstGeom>
                        <a:ln w="57150" cap="flat" cmpd="thinThick">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7.8pt;height:0pt;width:459pt;z-index:251661312;mso-width-relative:page;mso-height-relative:page;" filled="f" stroked="t" coordsize="21600,21600" o:gfxdata="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GS0ctIAAAAIAQAADwAAAAAAAAABACAAAAAiAAAAZHJzL2Rvd25yZXYueG1sUEsBAhQA&#10;FAAAAAgAh07iQKUB5q34AQAA6wMAAA4AAAAAAAAAAQAgAAAAIQEAAGRycy9lMm9Eb2MueG1sUEsF&#10;BgAAAAAGAAYAWQEAAIsFAAAAAA==&#10;">
                <v:fill on="f" focussize="0,0"/>
                <v:stroke weight="4.5pt" color="#000000" linestyle="thinThick" joinstyle="round"/>
                <v:imagedata o:title=""/>
                <o:lock v:ext="edit" aspectratio="f"/>
              </v:line>
            </w:pict>
          </mc:Fallback>
        </mc:AlternateContent>
      </w:r>
    </w:p>
    <w:p w14:paraId="5E861DD0">
      <w:pPr>
        <w:shd w:val="clear"/>
        <w:rPr>
          <w:rFonts w:ascii="汉仪魏碑简" w:eastAsia="汉仪魏碑简"/>
          <w:color w:val="auto"/>
          <w:sz w:val="70"/>
          <w:szCs w:val="70"/>
          <w:highlight w:val="none"/>
        </w:rPr>
      </w:pPr>
    </w:p>
    <w:p w14:paraId="687312E6">
      <w:pPr>
        <w:pStyle w:val="24"/>
        <w:shd w:val="clear"/>
        <w:jc w:val="center"/>
        <w:rPr>
          <w:rFonts w:asciiTheme="minorEastAsia" w:hAnsiTheme="minorEastAsia" w:eastAsiaTheme="minorEastAsia" w:cstheme="minorEastAsia"/>
          <w:b/>
          <w:bCs/>
          <w:color w:val="auto"/>
          <w:spacing w:val="-18"/>
          <w:sz w:val="96"/>
          <w:szCs w:val="96"/>
          <w:highlight w:val="none"/>
        </w:rPr>
      </w:pPr>
      <w:r>
        <w:rPr>
          <w:rFonts w:hint="eastAsia" w:asciiTheme="minorEastAsia" w:hAnsiTheme="minorEastAsia" w:eastAsiaTheme="minorEastAsia" w:cstheme="minorEastAsia"/>
          <w:b/>
          <w:bCs/>
          <w:color w:val="auto"/>
          <w:spacing w:val="-18"/>
          <w:sz w:val="96"/>
          <w:szCs w:val="96"/>
          <w:highlight w:val="none"/>
        </w:rPr>
        <w:t>竞争性磋商文件</w:t>
      </w:r>
    </w:p>
    <w:p w14:paraId="46297AB8">
      <w:pPr>
        <w:shd w:val="clear"/>
        <w:snapToGrid w:val="0"/>
        <w:spacing w:before="156" w:beforeLines="50" w:line="500" w:lineRule="exact"/>
        <w:rPr>
          <w:rFonts w:asciiTheme="minorEastAsia" w:hAnsiTheme="minorEastAsia" w:eastAsiaTheme="minorEastAsia" w:cstheme="minorEastAsia"/>
          <w:color w:val="auto"/>
          <w:highlight w:val="none"/>
        </w:rPr>
      </w:pPr>
    </w:p>
    <w:p w14:paraId="7F7C1485">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2283D36D">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73BB5417">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061D956C">
      <w:pPr>
        <w:shd w:val="clear"/>
        <w:snapToGrid w:val="0"/>
        <w:spacing w:before="156" w:beforeLines="50" w:line="500" w:lineRule="exact"/>
        <w:jc w:val="left"/>
        <w:rPr>
          <w:rFonts w:hint="eastAsia" w:asciiTheme="minorEastAsia" w:hAnsiTheme="minorEastAsia" w:eastAsiaTheme="minorEastAsia" w:cstheme="minorEastAsia"/>
          <w:b/>
          <w:bCs/>
          <w:color w:val="auto"/>
          <w:sz w:val="32"/>
          <w:szCs w:val="32"/>
          <w:highlight w:val="none"/>
          <w:lang w:eastAsia="zh-CN"/>
        </w:rPr>
      </w:pPr>
      <w:r>
        <w:rPr>
          <w:rFonts w:hint="eastAsia" w:asciiTheme="minorEastAsia" w:hAnsiTheme="minorEastAsia" w:eastAsiaTheme="minorEastAsia" w:cstheme="minorEastAsia"/>
          <w:b/>
          <w:bCs/>
          <w:color w:val="auto"/>
          <w:sz w:val="32"/>
          <w:szCs w:val="32"/>
          <w:highlight w:val="none"/>
        </w:rPr>
        <w:t>项目名称：</w:t>
      </w:r>
      <w:r>
        <w:rPr>
          <w:rFonts w:hint="eastAsia" w:asciiTheme="minorEastAsia" w:hAnsiTheme="minorEastAsia" w:eastAsiaTheme="minorEastAsia" w:cstheme="minorEastAsia"/>
          <w:b/>
          <w:bCs/>
          <w:color w:val="auto"/>
          <w:sz w:val="32"/>
          <w:szCs w:val="32"/>
          <w:highlight w:val="none"/>
          <w:lang w:eastAsia="zh-CN"/>
        </w:rPr>
        <w:t>贵港市港北区奇石乡六马村六行屯人居环境改善工程</w:t>
      </w:r>
    </w:p>
    <w:p w14:paraId="23AD061B">
      <w:pPr>
        <w:shd w:val="clear"/>
        <w:snapToGrid w:val="0"/>
        <w:spacing w:before="156" w:beforeLines="50" w:line="500" w:lineRule="exact"/>
        <w:jc w:val="left"/>
        <w:rPr>
          <w:rFonts w:hint="default" w:asciiTheme="minorEastAsia" w:hAnsiTheme="minorEastAsia" w:eastAsiaTheme="minorEastAsia" w:cstheme="minorEastAsia"/>
          <w:b/>
          <w:bCs/>
          <w:color w:val="auto"/>
          <w:sz w:val="32"/>
          <w:szCs w:val="32"/>
          <w:highlight w:val="none"/>
          <w:lang w:val="en-US" w:eastAsia="zh-CN"/>
        </w:rPr>
      </w:pPr>
      <w:r>
        <w:rPr>
          <w:rFonts w:hint="eastAsia" w:asciiTheme="minorEastAsia" w:hAnsiTheme="minorEastAsia" w:eastAsiaTheme="minorEastAsia" w:cstheme="minorEastAsia"/>
          <w:b/>
          <w:bCs/>
          <w:color w:val="auto"/>
          <w:sz w:val="32"/>
          <w:szCs w:val="32"/>
          <w:highlight w:val="none"/>
        </w:rPr>
        <w:t>项目编号：</w:t>
      </w:r>
      <w:r>
        <w:rPr>
          <w:rFonts w:hint="eastAsia" w:asciiTheme="minorEastAsia" w:hAnsiTheme="minorEastAsia" w:eastAsiaTheme="minorEastAsia" w:cstheme="minorEastAsia"/>
          <w:b/>
          <w:bCs/>
          <w:color w:val="auto"/>
          <w:sz w:val="32"/>
          <w:szCs w:val="32"/>
          <w:highlight w:val="none"/>
          <w:lang w:eastAsia="zh-CN"/>
        </w:rPr>
        <w:t>GGZC2025-C2-020063-JGJD</w:t>
      </w:r>
    </w:p>
    <w:p w14:paraId="751FF13F">
      <w:pPr>
        <w:shd w:val="clear"/>
        <w:snapToGrid w:val="0"/>
        <w:spacing w:before="156" w:beforeLines="50" w:line="500" w:lineRule="exact"/>
        <w:rPr>
          <w:rFonts w:asciiTheme="minorEastAsia" w:hAnsiTheme="minorEastAsia" w:eastAsiaTheme="minorEastAsia" w:cstheme="minorEastAsia"/>
          <w:color w:val="auto"/>
          <w:sz w:val="32"/>
          <w:szCs w:val="32"/>
          <w:highlight w:val="none"/>
        </w:rPr>
      </w:pPr>
    </w:p>
    <w:p w14:paraId="3EA84FA8">
      <w:pPr>
        <w:shd w:val="clear"/>
        <w:snapToGrid w:val="0"/>
        <w:spacing w:before="156" w:beforeLines="50" w:line="500" w:lineRule="exact"/>
        <w:rPr>
          <w:rFonts w:asciiTheme="minorEastAsia" w:hAnsiTheme="minorEastAsia" w:eastAsiaTheme="minorEastAsia" w:cstheme="minorEastAsia"/>
          <w:color w:val="auto"/>
          <w:highlight w:val="none"/>
        </w:rPr>
      </w:pPr>
    </w:p>
    <w:p w14:paraId="5A8E7E99">
      <w:pPr>
        <w:pStyle w:val="5"/>
        <w:shd w:val="clear"/>
        <w:outlineLvl w:val="9"/>
        <w:rPr>
          <w:rFonts w:asciiTheme="minorEastAsia" w:hAnsiTheme="minorEastAsia" w:eastAsiaTheme="minorEastAsia" w:cstheme="minorEastAsia"/>
          <w:color w:val="auto"/>
          <w:highlight w:val="none"/>
        </w:rPr>
      </w:pPr>
    </w:p>
    <w:p w14:paraId="086542C4">
      <w:pPr>
        <w:shd w:val="clear"/>
        <w:rPr>
          <w:color w:val="auto"/>
          <w:highlight w:val="none"/>
        </w:rPr>
      </w:pPr>
    </w:p>
    <w:p w14:paraId="7AF08919">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78740</wp:posOffset>
                </wp:positionV>
                <wp:extent cx="6076950" cy="0"/>
                <wp:effectExtent l="0" t="0" r="0" b="0"/>
                <wp:wrapNone/>
                <wp:docPr id="2" name="自选图形 3"/>
                <wp:cNvGraphicFramePr/>
                <a:graphic xmlns:a="http://schemas.openxmlformats.org/drawingml/2006/main">
                  <a:graphicData uri="http://schemas.microsoft.com/office/word/2010/wordprocessingShape">
                    <wps:wsp>
                      <wps:cNvCnPr/>
                      <wps:spPr>
                        <a:xfrm>
                          <a:off x="0" y="0"/>
                          <a:ext cx="607695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8.7pt;margin-top:6.2pt;height:0pt;width:478.5pt;z-index:251660288;mso-width-relative:page;mso-height-relative:page;" filled="f" stroked="t" coordsize="21600,21600" o:gfxdata="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ywj1wAAAAkBAAAPAAAAAAAAAAEAIAAAACIAAABkcnMvZG93bnJldi54bWxQSwEC&#10;FAAUAAAACACHTuJAlDlLd/UBAADjAwAADgAAAAAAAAABACAAAAAmAQAAZHJzL2Uyb0RvYy54bWxQ&#10;SwUGAAAAAAYABgBZAQAAjQUAAAAA&#1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b/>
          <w:bCs/>
          <w:color w:val="auto"/>
          <w:sz w:val="30"/>
          <w:szCs w:val="30"/>
          <w:highlight w:val="none"/>
        </w:rPr>
        <w:t>采购单位：</w:t>
      </w:r>
      <w:r>
        <w:rPr>
          <w:rFonts w:hint="eastAsia" w:asciiTheme="minorEastAsia" w:hAnsiTheme="minorEastAsia" w:eastAsiaTheme="minorEastAsia" w:cstheme="minorEastAsia"/>
          <w:b/>
          <w:bCs/>
          <w:color w:val="auto"/>
          <w:sz w:val="30"/>
          <w:szCs w:val="30"/>
          <w:highlight w:val="none"/>
          <w:lang w:eastAsia="zh-CN"/>
        </w:rPr>
        <w:t>贵港市港北区生态移民发展中心</w:t>
      </w:r>
    </w:p>
    <w:p w14:paraId="082576CD">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采购代理机构：广西建设工程机电设备招标中心有限公司</w:t>
      </w:r>
    </w:p>
    <w:p w14:paraId="5DEB733D">
      <w:pPr>
        <w:shd w:val="clear"/>
        <w:snapToGrid w:val="0"/>
        <w:spacing w:before="156" w:beforeLines="50" w:line="400" w:lineRule="atLeast"/>
        <w:jc w:val="center"/>
        <w:rPr>
          <w:rFonts w:hint="default" w:asciiTheme="minorEastAsia" w:hAnsiTheme="minorEastAsia" w:eastAsiaTheme="minorEastAsia" w:cstheme="minorEastAsia"/>
          <w:b/>
          <w:bCs/>
          <w:color w:val="auto"/>
          <w:sz w:val="30"/>
          <w:szCs w:val="30"/>
          <w:highlight w:val="none"/>
          <w:lang w:val="en-US" w:eastAsia="zh-CN"/>
        </w:rPr>
        <w:sectPr>
          <w:headerReference r:id="rId3" w:type="default"/>
          <w:footerReference r:id="rId4" w:type="default"/>
          <w:pgSz w:w="11906" w:h="16838"/>
          <w:pgMar w:top="1134" w:right="1134" w:bottom="1134" w:left="1134" w:header="851" w:footer="567" w:gutter="0"/>
          <w:pgNumType w:start="0"/>
          <w:cols w:space="720" w:num="1"/>
          <w:titlePg/>
          <w:docGrid w:type="lines" w:linePitch="312" w:charSpace="0"/>
        </w:sectPr>
      </w:pPr>
      <w:r>
        <w:rPr>
          <w:rFonts w:hint="eastAsia" w:asciiTheme="minorEastAsia" w:hAnsiTheme="minorEastAsia" w:eastAsiaTheme="minorEastAsia" w:cstheme="minorEastAsia"/>
          <w:b/>
          <w:bCs/>
          <w:color w:val="auto"/>
          <w:sz w:val="30"/>
          <w:szCs w:val="30"/>
          <w:highlight w:val="none"/>
        </w:rPr>
        <w:t>202</w:t>
      </w:r>
      <w:r>
        <w:rPr>
          <w:rFonts w:hint="eastAsia" w:asciiTheme="minorEastAsia" w:hAnsiTheme="minorEastAsia" w:eastAsiaTheme="minorEastAsia" w:cstheme="minorEastAsia"/>
          <w:b/>
          <w:bCs/>
          <w:color w:val="auto"/>
          <w:sz w:val="30"/>
          <w:szCs w:val="30"/>
          <w:highlight w:val="none"/>
          <w:lang w:val="en-US" w:eastAsia="zh-CN"/>
        </w:rPr>
        <w:t>5</w:t>
      </w:r>
      <w:r>
        <w:rPr>
          <w:rFonts w:hint="eastAsia" w:asciiTheme="minorEastAsia" w:hAnsiTheme="minorEastAsia" w:eastAsiaTheme="minorEastAsia" w:cstheme="minorEastAsia"/>
          <w:b/>
          <w:bCs/>
          <w:color w:val="auto"/>
          <w:sz w:val="30"/>
          <w:szCs w:val="30"/>
          <w:highlight w:val="none"/>
        </w:rPr>
        <w:t>年</w:t>
      </w:r>
      <w:r>
        <w:rPr>
          <w:rFonts w:hint="eastAsia" w:asciiTheme="minorEastAsia" w:hAnsiTheme="minorEastAsia" w:eastAsiaTheme="minorEastAsia" w:cstheme="minorEastAsia"/>
          <w:b/>
          <w:bCs/>
          <w:color w:val="auto"/>
          <w:sz w:val="30"/>
          <w:szCs w:val="30"/>
          <w:highlight w:val="none"/>
          <w:lang w:val="en-US" w:eastAsia="zh-CN"/>
        </w:rPr>
        <w:t>8</w:t>
      </w:r>
      <w:r>
        <w:rPr>
          <w:rFonts w:hint="eastAsia" w:asciiTheme="minorEastAsia" w:hAnsiTheme="minorEastAsia" w:eastAsiaTheme="minorEastAsia" w:cstheme="minorEastAsia"/>
          <w:b/>
          <w:bCs/>
          <w:color w:val="auto"/>
          <w:sz w:val="30"/>
          <w:szCs w:val="30"/>
          <w:highlight w:val="none"/>
        </w:rPr>
        <w:t>月</w:t>
      </w:r>
      <w:r>
        <w:rPr>
          <w:rFonts w:hint="eastAsia" w:asciiTheme="minorEastAsia" w:hAnsiTheme="minorEastAsia" w:eastAsiaTheme="minorEastAsia" w:cstheme="minorEastAsia"/>
          <w:b/>
          <w:bCs/>
          <w:color w:val="auto"/>
          <w:sz w:val="30"/>
          <w:szCs w:val="30"/>
          <w:highlight w:val="none"/>
          <w:lang w:val="en-US" w:eastAsia="zh-CN"/>
        </w:rPr>
        <w:t>15日</w:t>
      </w:r>
    </w:p>
    <w:p w14:paraId="2A20EFDD">
      <w:pPr>
        <w:spacing w:before="0" w:beforeLines="0" w:after="0" w:afterLines="0" w:line="240" w:lineRule="auto"/>
        <w:ind w:left="0" w:leftChars="0" w:right="0" w:rightChars="0" w:firstLine="0" w:firstLineChars="0"/>
        <w:jc w:val="center"/>
        <w:rPr>
          <w:rFonts w:hint="eastAsia" w:ascii="宋体" w:hAnsi="宋体" w:eastAsia="宋体" w:cs="Times New Roman"/>
          <w:color w:val="auto"/>
          <w:kern w:val="2"/>
          <w:sz w:val="44"/>
          <w:szCs w:val="44"/>
          <w:highlight w:val="none"/>
          <w:lang w:val="en-US" w:eastAsia="zh-CN" w:bidi="ar-SA"/>
        </w:rPr>
      </w:pPr>
      <w:r>
        <w:rPr>
          <w:rFonts w:hint="eastAsia" w:ascii="宋体" w:hAnsi="宋体" w:eastAsia="宋体" w:cs="Times New Roman"/>
          <w:color w:val="auto"/>
          <w:kern w:val="2"/>
          <w:sz w:val="44"/>
          <w:szCs w:val="44"/>
          <w:highlight w:val="none"/>
          <w:lang w:val="en-US" w:eastAsia="zh-CN" w:bidi="ar-SA"/>
        </w:rPr>
        <w:t xml:space="preserve"> </w:t>
      </w:r>
    </w:p>
    <w:sdt>
      <w:sdtPr>
        <w:rPr>
          <w:rFonts w:ascii="宋体" w:hAnsi="宋体" w:eastAsia="宋体" w:cs="Times New Roman"/>
          <w:b/>
          <w:bCs/>
          <w:color w:val="auto"/>
          <w:kern w:val="2"/>
          <w:sz w:val="44"/>
          <w:szCs w:val="44"/>
          <w:highlight w:val="none"/>
          <w:lang w:val="en-US" w:eastAsia="zh-CN" w:bidi="ar-SA"/>
        </w:rPr>
        <w:id w:val="147460414"/>
        <w15:color w:val="DBDBDB"/>
        <w:docPartObj>
          <w:docPartGallery w:val="Table of Contents"/>
          <w:docPartUnique/>
        </w:docPartObj>
      </w:sdtPr>
      <w:sdtEndPr>
        <w:rPr>
          <w:rFonts w:ascii="宋体" w:hAnsi="宋体" w:eastAsia="宋体" w:cs="Times New Roman"/>
          <w:b/>
          <w:bCs/>
          <w:color w:val="auto"/>
          <w:kern w:val="2"/>
          <w:sz w:val="44"/>
          <w:szCs w:val="44"/>
          <w:highlight w:val="none"/>
          <w:lang w:val="en-US" w:eastAsia="zh-CN" w:bidi="ar-SA"/>
        </w:rPr>
      </w:sdtEndPr>
      <w:sdtContent>
        <w:p w14:paraId="5709B31B">
          <w:pPr>
            <w:spacing w:before="0" w:beforeLines="0" w:after="0" w:afterLines="0" w:line="240" w:lineRule="auto"/>
            <w:ind w:left="0" w:leftChars="0" w:right="0" w:rightChars="0" w:firstLine="0" w:firstLineChars="0"/>
            <w:jc w:val="center"/>
            <w:rPr>
              <w:rFonts w:hint="eastAsia" w:ascii="宋体" w:hAnsi="宋体" w:eastAsia="宋体"/>
              <w:b/>
              <w:bCs/>
              <w:color w:val="auto"/>
              <w:sz w:val="44"/>
              <w:szCs w:val="44"/>
              <w:highlight w:val="none"/>
              <w:lang w:val="en-US" w:eastAsia="zh-CN"/>
            </w:rPr>
          </w:pPr>
          <w:r>
            <w:rPr>
              <w:rFonts w:ascii="宋体" w:hAnsi="宋体" w:eastAsia="宋体"/>
              <w:b/>
              <w:bCs/>
              <w:color w:val="auto"/>
              <w:sz w:val="44"/>
              <w:szCs w:val="44"/>
              <w:highlight w:val="none"/>
            </w:rPr>
            <w:t>目</w:t>
          </w:r>
          <w:r>
            <w:rPr>
              <w:rFonts w:hint="eastAsia" w:ascii="宋体" w:hAnsi="宋体" w:eastAsia="宋体"/>
              <w:b/>
              <w:bCs/>
              <w:color w:val="auto"/>
              <w:sz w:val="44"/>
              <w:szCs w:val="44"/>
              <w:highlight w:val="none"/>
              <w:lang w:val="en-US" w:eastAsia="zh-CN"/>
            </w:rPr>
            <w:t xml:space="preserve">    </w:t>
          </w:r>
          <w:r>
            <w:rPr>
              <w:rFonts w:ascii="宋体" w:hAnsi="宋体" w:eastAsia="宋体"/>
              <w:b/>
              <w:bCs/>
              <w:color w:val="auto"/>
              <w:sz w:val="44"/>
              <w:szCs w:val="44"/>
              <w:highlight w:val="none"/>
            </w:rPr>
            <w:t>录</w:t>
          </w:r>
          <w:r>
            <w:rPr>
              <w:rFonts w:hint="eastAsia" w:ascii="宋体" w:hAnsi="宋体" w:eastAsia="宋体"/>
              <w:b/>
              <w:bCs/>
              <w:color w:val="auto"/>
              <w:sz w:val="44"/>
              <w:szCs w:val="44"/>
              <w:highlight w:val="none"/>
              <w:lang w:val="en-US" w:eastAsia="zh-CN"/>
            </w:rPr>
            <w:t xml:space="preserve">     </w:t>
          </w:r>
        </w:p>
        <w:p w14:paraId="7F3E6EC6">
          <w:pPr>
            <w:pStyle w:val="27"/>
            <w:keepNext w:val="0"/>
            <w:keepLines w:val="0"/>
            <w:pageBreakBefore w:val="0"/>
            <w:kinsoku/>
            <w:wordWrap/>
            <w:overflowPunct/>
            <w:topLinePunct w:val="0"/>
            <w:autoSpaceDE/>
            <w:autoSpaceDN/>
            <w:bidi w:val="0"/>
            <w:snapToGrid/>
            <w:spacing w:line="360" w:lineRule="auto"/>
            <w:rPr>
              <w:rFonts w:hint="eastAsia" w:ascii="宋体" w:hAnsi="宋体" w:eastAsia="宋体"/>
              <w:b/>
              <w:bCs/>
              <w:color w:val="auto"/>
              <w:sz w:val="28"/>
              <w:szCs w:val="28"/>
              <w:highlight w:val="none"/>
              <w:lang w:val="en-US" w:eastAsia="zh-CN"/>
            </w:rPr>
          </w:pPr>
        </w:p>
        <w:p w14:paraId="4A4F7897">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color w:val="auto"/>
              <w:sz w:val="28"/>
              <w:szCs w:val="28"/>
              <w:highlight w:val="none"/>
            </w:rPr>
            <w:fldChar w:fldCharType="begin"/>
          </w:r>
          <w:r>
            <w:rPr>
              <w:color w:val="auto"/>
              <w:sz w:val="28"/>
              <w:szCs w:val="28"/>
              <w:highlight w:val="none"/>
            </w:rPr>
            <w:instrText xml:space="preserve">TOC \o "1-1" \h \u </w:instrText>
          </w:r>
          <w:r>
            <w:rPr>
              <w:color w:val="auto"/>
              <w:sz w:val="28"/>
              <w:szCs w:val="28"/>
              <w:highlight w:val="none"/>
            </w:rPr>
            <w:fldChar w:fldCharType="separate"/>
          </w:r>
          <w:r>
            <w:rPr>
              <w:b w:val="0"/>
              <w:bCs w:val="0"/>
              <w:color w:val="auto"/>
              <w:sz w:val="28"/>
              <w:szCs w:val="28"/>
              <w:highlight w:val="none"/>
            </w:rPr>
            <w:fldChar w:fldCharType="begin"/>
          </w:r>
          <w:r>
            <w:rPr>
              <w:b w:val="0"/>
              <w:bCs w:val="0"/>
              <w:color w:val="auto"/>
              <w:sz w:val="28"/>
              <w:szCs w:val="28"/>
              <w:highlight w:val="none"/>
            </w:rPr>
            <w:instrText xml:space="preserve"> HYPERLINK \l _Toc20567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第一章  竞争性磋商公告</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_Toc20567 \h </w:instrText>
          </w:r>
          <w:r>
            <w:rPr>
              <w:b w:val="0"/>
              <w:bCs w:val="0"/>
              <w:color w:val="auto"/>
              <w:sz w:val="28"/>
              <w:szCs w:val="28"/>
              <w:highlight w:val="none"/>
            </w:rPr>
            <w:fldChar w:fldCharType="separate"/>
          </w:r>
          <w:r>
            <w:rPr>
              <w:b w:val="0"/>
              <w:bCs w:val="0"/>
              <w:color w:val="auto"/>
              <w:sz w:val="28"/>
              <w:szCs w:val="28"/>
              <w:highlight w:val="none"/>
            </w:rPr>
            <w:t>2</w:t>
          </w:r>
          <w:r>
            <w:rPr>
              <w:b w:val="0"/>
              <w:bCs w:val="0"/>
              <w:color w:val="auto"/>
              <w:sz w:val="28"/>
              <w:szCs w:val="28"/>
              <w:highlight w:val="none"/>
            </w:rPr>
            <w:fldChar w:fldCharType="end"/>
          </w:r>
          <w:r>
            <w:rPr>
              <w:b w:val="0"/>
              <w:bCs w:val="0"/>
              <w:color w:val="auto"/>
              <w:sz w:val="28"/>
              <w:szCs w:val="28"/>
              <w:highlight w:val="none"/>
            </w:rPr>
            <w:fldChar w:fldCharType="end"/>
          </w:r>
        </w:p>
        <w:p w14:paraId="67B0B24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_Toc18176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第二章  磋商须知</w:t>
          </w:r>
          <w:r>
            <w:rPr>
              <w:rFonts w:hint="eastAsia" w:asciiTheme="minorEastAsia" w:hAnsiTheme="minorEastAsia" w:eastAsiaTheme="minorEastAsia" w:cstheme="minorEastAsia"/>
              <w:b w:val="0"/>
              <w:bCs w:val="0"/>
              <w:color w:val="auto"/>
              <w:sz w:val="28"/>
              <w:szCs w:val="28"/>
              <w:highlight w:val="none"/>
              <w:lang w:eastAsia="zh-CN"/>
            </w:rPr>
            <w:t>前附表</w:t>
          </w:r>
          <w:r>
            <w:rPr>
              <w:rFonts w:hint="eastAsia" w:asciiTheme="minorEastAsia" w:hAnsiTheme="minorEastAsia" w:eastAsiaTheme="minorEastAsia" w:cstheme="minorEastAsia"/>
              <w:b w:val="0"/>
              <w:bCs w:val="0"/>
              <w:color w:val="auto"/>
              <w:sz w:val="28"/>
              <w:szCs w:val="28"/>
              <w:highlight w:val="none"/>
            </w:rPr>
            <w:t>及</w:t>
          </w:r>
          <w:r>
            <w:rPr>
              <w:rFonts w:hint="eastAsia" w:asciiTheme="minorEastAsia" w:hAnsiTheme="minorEastAsia" w:eastAsiaTheme="minorEastAsia" w:cstheme="minorEastAsia"/>
              <w:b w:val="0"/>
              <w:bCs w:val="0"/>
              <w:color w:val="auto"/>
              <w:sz w:val="28"/>
              <w:szCs w:val="28"/>
              <w:highlight w:val="none"/>
              <w:lang w:eastAsia="zh-CN"/>
            </w:rPr>
            <w:t>磋商须</w:t>
          </w:r>
          <w:bookmarkStart w:id="295" w:name="_GoBack"/>
          <w:bookmarkEnd w:id="295"/>
          <w:r>
            <w:rPr>
              <w:rFonts w:hint="eastAsia" w:asciiTheme="minorEastAsia" w:hAnsiTheme="minorEastAsia" w:eastAsiaTheme="minorEastAsia" w:cstheme="minorEastAsia"/>
              <w:b w:val="0"/>
              <w:bCs w:val="0"/>
              <w:color w:val="auto"/>
              <w:sz w:val="28"/>
              <w:szCs w:val="28"/>
              <w:highlight w:val="none"/>
              <w:lang w:eastAsia="zh-CN"/>
            </w:rPr>
            <w:t>知</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_Toc18176 \h </w:instrText>
          </w:r>
          <w:r>
            <w:rPr>
              <w:b w:val="0"/>
              <w:bCs w:val="0"/>
              <w:color w:val="auto"/>
              <w:sz w:val="28"/>
              <w:szCs w:val="28"/>
              <w:highlight w:val="none"/>
            </w:rPr>
            <w:fldChar w:fldCharType="separate"/>
          </w:r>
          <w:r>
            <w:rPr>
              <w:b w:val="0"/>
              <w:bCs w:val="0"/>
              <w:color w:val="auto"/>
              <w:sz w:val="28"/>
              <w:szCs w:val="28"/>
              <w:highlight w:val="none"/>
            </w:rPr>
            <w:t>8</w:t>
          </w:r>
          <w:r>
            <w:rPr>
              <w:b w:val="0"/>
              <w:bCs w:val="0"/>
              <w:color w:val="auto"/>
              <w:sz w:val="28"/>
              <w:szCs w:val="28"/>
              <w:highlight w:val="none"/>
            </w:rPr>
            <w:fldChar w:fldCharType="end"/>
          </w:r>
          <w:r>
            <w:rPr>
              <w:b w:val="0"/>
              <w:bCs w:val="0"/>
              <w:color w:val="auto"/>
              <w:sz w:val="28"/>
              <w:szCs w:val="28"/>
              <w:highlight w:val="none"/>
            </w:rPr>
            <w:fldChar w:fldCharType="end"/>
          </w:r>
        </w:p>
        <w:p w14:paraId="6205D053">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_Toc3177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第三章  技术规范、工程量清单、图纸</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_Toc3177 \h </w:instrText>
          </w:r>
          <w:r>
            <w:rPr>
              <w:b w:val="0"/>
              <w:bCs w:val="0"/>
              <w:color w:val="auto"/>
              <w:sz w:val="28"/>
              <w:szCs w:val="28"/>
              <w:highlight w:val="none"/>
            </w:rPr>
            <w:fldChar w:fldCharType="separate"/>
          </w:r>
          <w:r>
            <w:rPr>
              <w:b w:val="0"/>
              <w:bCs w:val="0"/>
              <w:color w:val="auto"/>
              <w:sz w:val="28"/>
              <w:szCs w:val="28"/>
              <w:highlight w:val="none"/>
            </w:rPr>
            <w:t>27</w:t>
          </w:r>
          <w:r>
            <w:rPr>
              <w:b w:val="0"/>
              <w:bCs w:val="0"/>
              <w:color w:val="auto"/>
              <w:sz w:val="28"/>
              <w:szCs w:val="28"/>
              <w:highlight w:val="none"/>
            </w:rPr>
            <w:fldChar w:fldCharType="end"/>
          </w:r>
          <w:r>
            <w:rPr>
              <w:b w:val="0"/>
              <w:bCs w:val="0"/>
              <w:color w:val="auto"/>
              <w:sz w:val="28"/>
              <w:szCs w:val="28"/>
              <w:highlight w:val="none"/>
            </w:rPr>
            <w:fldChar w:fldCharType="end"/>
          </w:r>
        </w:p>
        <w:p w14:paraId="499143F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_Toc3710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第四章  评审程序、评审方法和评审标准</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_Toc3710 \h </w:instrText>
          </w:r>
          <w:r>
            <w:rPr>
              <w:b w:val="0"/>
              <w:bCs w:val="0"/>
              <w:color w:val="auto"/>
              <w:sz w:val="28"/>
              <w:szCs w:val="28"/>
              <w:highlight w:val="none"/>
            </w:rPr>
            <w:fldChar w:fldCharType="separate"/>
          </w:r>
          <w:r>
            <w:rPr>
              <w:b w:val="0"/>
              <w:bCs w:val="0"/>
              <w:color w:val="auto"/>
              <w:sz w:val="28"/>
              <w:szCs w:val="28"/>
              <w:highlight w:val="none"/>
            </w:rPr>
            <w:t>32</w:t>
          </w:r>
          <w:r>
            <w:rPr>
              <w:b w:val="0"/>
              <w:bCs w:val="0"/>
              <w:color w:val="auto"/>
              <w:sz w:val="28"/>
              <w:szCs w:val="28"/>
              <w:highlight w:val="none"/>
            </w:rPr>
            <w:fldChar w:fldCharType="end"/>
          </w:r>
          <w:r>
            <w:rPr>
              <w:b w:val="0"/>
              <w:bCs w:val="0"/>
              <w:color w:val="auto"/>
              <w:sz w:val="28"/>
              <w:szCs w:val="28"/>
              <w:highlight w:val="none"/>
            </w:rPr>
            <w:fldChar w:fldCharType="end"/>
          </w:r>
        </w:p>
        <w:p w14:paraId="0E15DB0F">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_Toc27061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第五章  响应文件格式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_Toc27061 \h </w:instrText>
          </w:r>
          <w:r>
            <w:rPr>
              <w:b w:val="0"/>
              <w:bCs w:val="0"/>
              <w:color w:val="auto"/>
              <w:sz w:val="28"/>
              <w:szCs w:val="28"/>
              <w:highlight w:val="none"/>
            </w:rPr>
            <w:fldChar w:fldCharType="separate"/>
          </w:r>
          <w:r>
            <w:rPr>
              <w:b w:val="0"/>
              <w:bCs w:val="0"/>
              <w:color w:val="auto"/>
              <w:sz w:val="28"/>
              <w:szCs w:val="28"/>
              <w:highlight w:val="none"/>
            </w:rPr>
            <w:t>42</w:t>
          </w:r>
          <w:r>
            <w:rPr>
              <w:b w:val="0"/>
              <w:bCs w:val="0"/>
              <w:color w:val="auto"/>
              <w:sz w:val="28"/>
              <w:szCs w:val="28"/>
              <w:highlight w:val="none"/>
            </w:rPr>
            <w:fldChar w:fldCharType="end"/>
          </w:r>
          <w:r>
            <w:rPr>
              <w:b w:val="0"/>
              <w:bCs w:val="0"/>
              <w:color w:val="auto"/>
              <w:sz w:val="28"/>
              <w:szCs w:val="28"/>
              <w:highlight w:val="none"/>
            </w:rPr>
            <w:fldChar w:fldCharType="end"/>
          </w:r>
        </w:p>
        <w:p w14:paraId="53970E60">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_Toc6306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第六章  二次报价格式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_Toc6306 \h </w:instrText>
          </w:r>
          <w:r>
            <w:rPr>
              <w:b w:val="0"/>
              <w:bCs w:val="0"/>
              <w:color w:val="auto"/>
              <w:sz w:val="28"/>
              <w:szCs w:val="28"/>
              <w:highlight w:val="none"/>
            </w:rPr>
            <w:fldChar w:fldCharType="separate"/>
          </w:r>
          <w:r>
            <w:rPr>
              <w:b w:val="0"/>
              <w:bCs w:val="0"/>
              <w:color w:val="auto"/>
              <w:sz w:val="28"/>
              <w:szCs w:val="28"/>
              <w:highlight w:val="none"/>
            </w:rPr>
            <w:t>71</w:t>
          </w:r>
          <w:r>
            <w:rPr>
              <w:b w:val="0"/>
              <w:bCs w:val="0"/>
              <w:color w:val="auto"/>
              <w:sz w:val="28"/>
              <w:szCs w:val="28"/>
              <w:highlight w:val="none"/>
            </w:rPr>
            <w:fldChar w:fldCharType="end"/>
          </w:r>
          <w:r>
            <w:rPr>
              <w:b w:val="0"/>
              <w:bCs w:val="0"/>
              <w:color w:val="auto"/>
              <w:sz w:val="28"/>
              <w:szCs w:val="28"/>
              <w:highlight w:val="none"/>
            </w:rPr>
            <w:fldChar w:fldCharType="end"/>
          </w:r>
        </w:p>
        <w:p w14:paraId="0113EE58">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_Toc23378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第七章  合同书格式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_Toc23378 \h </w:instrText>
          </w:r>
          <w:r>
            <w:rPr>
              <w:b w:val="0"/>
              <w:bCs w:val="0"/>
              <w:color w:val="auto"/>
              <w:sz w:val="28"/>
              <w:szCs w:val="28"/>
              <w:highlight w:val="none"/>
            </w:rPr>
            <w:fldChar w:fldCharType="separate"/>
          </w:r>
          <w:r>
            <w:rPr>
              <w:b w:val="0"/>
              <w:bCs w:val="0"/>
              <w:color w:val="auto"/>
              <w:sz w:val="28"/>
              <w:szCs w:val="28"/>
              <w:highlight w:val="none"/>
            </w:rPr>
            <w:t>73</w:t>
          </w:r>
          <w:r>
            <w:rPr>
              <w:b w:val="0"/>
              <w:bCs w:val="0"/>
              <w:color w:val="auto"/>
              <w:sz w:val="28"/>
              <w:szCs w:val="28"/>
              <w:highlight w:val="none"/>
            </w:rPr>
            <w:fldChar w:fldCharType="end"/>
          </w:r>
          <w:r>
            <w:rPr>
              <w:b w:val="0"/>
              <w:bCs w:val="0"/>
              <w:color w:val="auto"/>
              <w:sz w:val="28"/>
              <w:szCs w:val="28"/>
              <w:highlight w:val="none"/>
            </w:rPr>
            <w:fldChar w:fldCharType="end"/>
          </w:r>
        </w:p>
        <w:p w14:paraId="5BFD6BA5">
          <w:pPr>
            <w:pStyle w:val="31"/>
            <w:keepNext w:val="0"/>
            <w:keepLines w:val="0"/>
            <w:pageBreakBefore w:val="0"/>
            <w:tabs>
              <w:tab w:val="right" w:leader="dot" w:pos="8730"/>
            </w:tabs>
            <w:kinsoku/>
            <w:wordWrap/>
            <w:overflowPunct/>
            <w:topLinePunct w:val="0"/>
            <w:autoSpaceDE/>
            <w:autoSpaceDN/>
            <w:bidi w:val="0"/>
            <w:snapToGrid/>
            <w:spacing w:line="360" w:lineRule="auto"/>
            <w:rPr>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第八章  质疑、投诉材料格式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_Toc3161 \h </w:instrText>
          </w:r>
          <w:r>
            <w:rPr>
              <w:b w:val="0"/>
              <w:bCs w:val="0"/>
              <w:color w:val="auto"/>
              <w:sz w:val="28"/>
              <w:szCs w:val="28"/>
              <w:highlight w:val="none"/>
            </w:rPr>
            <w:fldChar w:fldCharType="separate"/>
          </w:r>
          <w:r>
            <w:rPr>
              <w:b w:val="0"/>
              <w:bCs w:val="0"/>
              <w:color w:val="auto"/>
              <w:sz w:val="28"/>
              <w:szCs w:val="28"/>
              <w:highlight w:val="none"/>
            </w:rPr>
            <w:t>135</w:t>
          </w:r>
          <w:r>
            <w:rPr>
              <w:b w:val="0"/>
              <w:bCs w:val="0"/>
              <w:color w:val="auto"/>
              <w:sz w:val="28"/>
              <w:szCs w:val="28"/>
              <w:highlight w:val="none"/>
            </w:rPr>
            <w:fldChar w:fldCharType="end"/>
          </w:r>
          <w:r>
            <w:rPr>
              <w:b w:val="0"/>
              <w:bCs w:val="0"/>
              <w:color w:val="auto"/>
              <w:sz w:val="28"/>
              <w:szCs w:val="28"/>
              <w:highlight w:val="none"/>
            </w:rPr>
            <w:fldChar w:fldCharType="end"/>
          </w:r>
        </w:p>
        <w:p w14:paraId="79DF518C">
          <w:pPr>
            <w:keepNext w:val="0"/>
            <w:keepLines w:val="0"/>
            <w:pageBreakBefore w:val="0"/>
            <w:kinsoku/>
            <w:wordWrap/>
            <w:overflowPunct/>
            <w:topLinePunct w:val="0"/>
            <w:autoSpaceDE/>
            <w:autoSpaceDN/>
            <w:bidi w:val="0"/>
            <w:snapToGrid/>
            <w:spacing w:line="360" w:lineRule="auto"/>
            <w:rPr>
              <w:color w:val="auto"/>
              <w:highlight w:val="none"/>
            </w:rPr>
          </w:pPr>
          <w:r>
            <w:rPr>
              <w:color w:val="auto"/>
              <w:sz w:val="28"/>
              <w:szCs w:val="28"/>
              <w:highlight w:val="none"/>
            </w:rPr>
            <w:fldChar w:fldCharType="end"/>
          </w:r>
        </w:p>
      </w:sdtContent>
    </w:sdt>
    <w:p w14:paraId="5FED61A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B3B998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FDE02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B67D2F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02C429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EEB8DF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ECA0F4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7FA2E4C">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3D85A21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B75F56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2265AD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A91EA8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950BBFA">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FDE25">
      <w:pPr>
        <w:shd w:val="clear"/>
        <w:rPr>
          <w:rFonts w:asciiTheme="minorEastAsia" w:hAnsiTheme="minorEastAsia" w:eastAsiaTheme="minorEastAsia" w:cstheme="minorEastAsia"/>
          <w:color w:val="auto"/>
          <w:highlight w:val="none"/>
        </w:rPr>
      </w:pPr>
    </w:p>
    <w:p w14:paraId="0237413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D545AB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646FA">
      <w:pPr>
        <w:shd w:val="clear"/>
        <w:rPr>
          <w:rFonts w:asciiTheme="minorEastAsia" w:hAnsiTheme="minorEastAsia" w:eastAsiaTheme="minorEastAsia" w:cstheme="minorEastAsia"/>
          <w:color w:val="auto"/>
          <w:highlight w:val="none"/>
        </w:rPr>
      </w:pPr>
    </w:p>
    <w:p w14:paraId="4A93732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6EABD39">
      <w:pPr>
        <w:shd w:val="clear"/>
        <w:rPr>
          <w:rFonts w:asciiTheme="minorEastAsia" w:hAnsiTheme="minorEastAsia" w:eastAsiaTheme="minorEastAsia" w:cstheme="minorEastAsia"/>
          <w:color w:val="auto"/>
          <w:highlight w:val="none"/>
        </w:rPr>
      </w:pPr>
    </w:p>
    <w:p w14:paraId="7B912015">
      <w:pPr>
        <w:shd w:val="clear"/>
        <w:rPr>
          <w:rFonts w:asciiTheme="minorEastAsia" w:hAnsiTheme="minorEastAsia" w:eastAsiaTheme="minorEastAsia" w:cstheme="minorEastAsia"/>
          <w:color w:val="auto"/>
          <w:highlight w:val="none"/>
        </w:rPr>
      </w:pPr>
    </w:p>
    <w:p w14:paraId="723F0D24">
      <w:pPr>
        <w:shd w:val="clear"/>
        <w:rPr>
          <w:rFonts w:asciiTheme="minorEastAsia" w:hAnsiTheme="minorEastAsia" w:eastAsiaTheme="minorEastAsia" w:cstheme="minorEastAsia"/>
          <w:color w:val="auto"/>
          <w:highlight w:val="none"/>
        </w:rPr>
      </w:pPr>
    </w:p>
    <w:p w14:paraId="3F20439A">
      <w:pPr>
        <w:shd w:val="clear"/>
        <w:rPr>
          <w:rFonts w:asciiTheme="minorEastAsia" w:hAnsiTheme="minorEastAsia" w:eastAsiaTheme="minorEastAsia" w:cstheme="minorEastAsia"/>
          <w:color w:val="auto"/>
          <w:highlight w:val="none"/>
        </w:rPr>
      </w:pPr>
    </w:p>
    <w:p w14:paraId="285B3EF1">
      <w:pPr>
        <w:shd w:val="clear"/>
        <w:rPr>
          <w:rFonts w:asciiTheme="minorEastAsia" w:hAnsiTheme="minorEastAsia" w:eastAsiaTheme="minorEastAsia" w:cstheme="minorEastAsia"/>
          <w:color w:val="auto"/>
          <w:highlight w:val="none"/>
        </w:rPr>
      </w:pPr>
    </w:p>
    <w:p w14:paraId="269EF027">
      <w:pPr>
        <w:pStyle w:val="40"/>
        <w:shd w:val="clear"/>
        <w:rPr>
          <w:rFonts w:asciiTheme="minorEastAsia" w:hAnsiTheme="minorEastAsia" w:eastAsiaTheme="minorEastAsia" w:cstheme="minorEastAsia"/>
          <w:color w:val="auto"/>
          <w:highlight w:val="none"/>
        </w:rPr>
      </w:pPr>
      <w:bookmarkStart w:id="0" w:name="_Toc20567"/>
      <w:bookmarkStart w:id="1" w:name="_Toc22939"/>
      <w:r>
        <w:rPr>
          <w:rFonts w:hint="eastAsia" w:asciiTheme="minorEastAsia" w:hAnsiTheme="minorEastAsia" w:eastAsiaTheme="minorEastAsia" w:cstheme="minorEastAsia"/>
          <w:color w:val="auto"/>
          <w:highlight w:val="none"/>
        </w:rPr>
        <w:t>第一章  竞争性磋商公告</w:t>
      </w:r>
      <w:bookmarkEnd w:id="0"/>
    </w:p>
    <w:p w14:paraId="1D7EB336">
      <w:pPr>
        <w:spacing w:line="440" w:lineRule="exact"/>
        <w:ind w:left="5880" w:hanging="7871" w:hangingChars="2800"/>
        <w:jc w:val="center"/>
        <w:rPr>
          <w:rFonts w:hint="eastAsia"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广西建设工程机电设备招标中心有限公司</w:t>
      </w:r>
    </w:p>
    <w:p w14:paraId="48ACF2F8">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贵港市港北区奇石乡六马村六行屯人居环境改善工程</w:t>
      </w:r>
    </w:p>
    <w:p w14:paraId="23E2FCB3">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（项目编号：GGZC2025-C2-020063-JGJD）</w:t>
      </w:r>
    </w:p>
    <w:p w14:paraId="10C2FE25">
      <w:pPr>
        <w:shd w:val="clear"/>
        <w:spacing w:line="540" w:lineRule="exact"/>
        <w:jc w:val="center"/>
        <w:rPr>
          <w:rFonts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竞争性磋商公告</w:t>
      </w:r>
    </w:p>
    <w:p w14:paraId="638DE4BF">
      <w:pPr>
        <w:shd w:val="clear"/>
        <w:rPr>
          <w:rFonts w:asciiTheme="minorEastAsia" w:hAnsiTheme="minorEastAsia" w:eastAsiaTheme="minorEastAsia" w:cstheme="minorEastAsia"/>
          <w:color w:val="auto"/>
          <w:highlight w:val="none"/>
        </w:rPr>
      </w:pPr>
    </w:p>
    <w:p w14:paraId="473C7A19">
      <w:pPr>
        <w:pBdr>
          <w:top w:val="single" w:color="auto" w:sz="4" w:space="1"/>
          <w:left w:val="single" w:color="auto" w:sz="4" w:space="4"/>
          <w:bottom w:val="single" w:color="auto" w:sz="4" w:space="1"/>
          <w:right w:val="single" w:color="auto" w:sz="4" w:space="4"/>
        </w:pBdr>
        <w:shd w:val="clear"/>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rPr>
        <w:t>项目概况</w:t>
      </w:r>
    </w:p>
    <w:p w14:paraId="726CC701">
      <w:pPr>
        <w:pBdr>
          <w:top w:val="single" w:color="auto" w:sz="4" w:space="1"/>
          <w:left w:val="single" w:color="auto" w:sz="4" w:space="4"/>
          <w:bottom w:val="single" w:color="auto" w:sz="4" w:space="1"/>
          <w:right w:val="single" w:color="auto" w:sz="4" w:space="4"/>
        </w:pBdr>
        <w:shd w:val="clear"/>
        <w:ind w:firstLine="480" w:firstLineChars="200"/>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u w:val="single"/>
          <w:lang w:eastAsia="zh-CN"/>
        </w:rPr>
        <w:t>贵港市港北区奇石乡六马村六行屯人居环境改善工程</w:t>
      </w:r>
      <w:r>
        <w:rPr>
          <w:rFonts w:hint="eastAsia" w:asciiTheme="minorEastAsia" w:hAnsiTheme="minorEastAsia" w:eastAsiaTheme="minorEastAsia" w:cstheme="minorEastAsia"/>
          <w:color w:val="auto"/>
          <w:sz w:val="24"/>
          <w:szCs w:val="28"/>
          <w:highlight w:val="none"/>
        </w:rPr>
        <w:t>（</w:t>
      </w:r>
      <w:r>
        <w:rPr>
          <w:rFonts w:hint="eastAsia" w:asciiTheme="minorEastAsia" w:hAnsiTheme="minorEastAsia" w:eastAsiaTheme="minorEastAsia" w:cstheme="minorEastAsia"/>
          <w:color w:val="auto"/>
          <w:sz w:val="24"/>
          <w:szCs w:val="28"/>
          <w:highlight w:val="none"/>
          <w:lang w:eastAsia="zh-CN"/>
        </w:rPr>
        <w:t>GGZC2025-C2-020063-JGJD</w:t>
      </w:r>
      <w:r>
        <w:rPr>
          <w:rFonts w:hint="eastAsia" w:asciiTheme="minorEastAsia" w:hAnsiTheme="minorEastAsia" w:eastAsiaTheme="minorEastAsia" w:cstheme="minorEastAsia"/>
          <w:color w:val="auto"/>
          <w:sz w:val="24"/>
          <w:szCs w:val="28"/>
          <w:highlight w:val="none"/>
        </w:rPr>
        <w:t>）项目的潜在供应商应在贵港市政府采购网（http://zfcg.czj.gxgg.gov.cn/home.html）“供应商注册入口”完成账号注册后，登录</w:t>
      </w:r>
      <w:r>
        <w:rPr>
          <w:rFonts w:hint="eastAsia" w:asciiTheme="minorEastAsia" w:hAnsiTheme="minorEastAsia" w:eastAsiaTheme="minorEastAsia" w:cstheme="minorEastAsia"/>
          <w:color w:val="auto"/>
          <w:sz w:val="24"/>
          <w:szCs w:val="28"/>
          <w:highlight w:val="none"/>
          <w:lang w:val="en-US" w:eastAsia="zh-CN"/>
        </w:rPr>
        <w:t>广西政府采购云</w:t>
      </w:r>
      <w:r>
        <w:rPr>
          <w:rFonts w:hint="eastAsia" w:asciiTheme="minorEastAsia" w:hAnsiTheme="minorEastAsia" w:eastAsiaTheme="minorEastAsia" w:cstheme="minorEastAsia"/>
          <w:color w:val="auto"/>
          <w:sz w:val="24"/>
          <w:szCs w:val="28"/>
          <w:highlight w:val="none"/>
        </w:rPr>
        <w:t>平台“项目采购—获取采购文件”模块自行下载采购文件，并于</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3</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highlight w:val="none"/>
          <w:u w:val="single"/>
          <w:lang w:val="en-US" w:eastAsia="zh-CN"/>
        </w:rPr>
        <w:t>下午</w:t>
      </w:r>
      <w:r>
        <w:rPr>
          <w:rFonts w:hint="eastAsia" w:asciiTheme="minorEastAsia" w:hAnsiTheme="minorEastAsia" w:eastAsiaTheme="minorEastAsia" w:cstheme="minorEastAsia"/>
          <w:color w:val="auto"/>
          <w:sz w:val="24"/>
          <w:szCs w:val="28"/>
          <w:highlight w:val="none"/>
          <w:u w:val="single"/>
          <w:lang w:val="en-US" w:eastAsia="zh-CN"/>
        </w:rPr>
        <w:t>15</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30</w:t>
      </w:r>
      <w:r>
        <w:rPr>
          <w:rFonts w:hint="eastAsia" w:asciiTheme="minorEastAsia" w:hAnsiTheme="minorEastAsia" w:eastAsiaTheme="minorEastAsia" w:cstheme="minorEastAsia"/>
          <w:color w:val="auto"/>
          <w:sz w:val="24"/>
          <w:szCs w:val="28"/>
          <w:highlight w:val="none"/>
          <w:u w:val="single"/>
        </w:rPr>
        <w:t>分（北京时间）</w:t>
      </w:r>
      <w:r>
        <w:rPr>
          <w:rFonts w:hint="eastAsia" w:asciiTheme="minorEastAsia" w:hAnsiTheme="minorEastAsia" w:eastAsiaTheme="minorEastAsia" w:cstheme="minorEastAsia"/>
          <w:color w:val="auto"/>
          <w:sz w:val="24"/>
          <w:szCs w:val="28"/>
          <w:highlight w:val="none"/>
        </w:rPr>
        <w:t>前提交响应文件。</w:t>
      </w:r>
    </w:p>
    <w:p w14:paraId="48E46FDA">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一、项目基本情况</w:t>
      </w:r>
    </w:p>
    <w:p w14:paraId="361C49D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微软雅黑" w:hAnsi="微软雅黑" w:eastAsia="微软雅黑" w:cs="微软雅黑"/>
          <w:i w:val="0"/>
          <w:iCs w:val="0"/>
          <w:caps w:val="0"/>
          <w:color w:val="auto"/>
          <w:spacing w:val="0"/>
          <w:sz w:val="21"/>
          <w:szCs w:val="21"/>
          <w:highlight w:val="none"/>
          <w:shd w:val="clear" w:fill="FFFFFF"/>
        </w:rPr>
      </w:pPr>
      <w:r>
        <w:rPr>
          <w:rFonts w:hint="eastAsia" w:asciiTheme="minorEastAsia" w:hAnsiTheme="minorEastAsia" w:eastAsiaTheme="minorEastAsia" w:cstheme="minorEastAsia"/>
          <w:color w:val="auto"/>
          <w:sz w:val="24"/>
          <w:highlight w:val="none"/>
        </w:rPr>
        <w:t>项目名称：</w:t>
      </w:r>
      <w:r>
        <w:rPr>
          <w:rFonts w:hint="eastAsia" w:asciiTheme="minorEastAsia" w:hAnsiTheme="minorEastAsia" w:eastAsiaTheme="minorEastAsia" w:cstheme="minorEastAsia"/>
          <w:color w:val="auto"/>
          <w:sz w:val="24"/>
          <w:szCs w:val="28"/>
          <w:highlight w:val="none"/>
          <w:u w:val="single"/>
          <w:lang w:eastAsia="zh-CN"/>
        </w:rPr>
        <w:t>贵港市港北区奇石乡六马村六行屯人居环境改善工程</w:t>
      </w:r>
    </w:p>
    <w:p w14:paraId="061BAEC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color w:val="auto"/>
          <w:sz w:val="24"/>
          <w:highlight w:val="none"/>
          <w:u w:val="single"/>
          <w:lang w:eastAsia="zh-CN"/>
        </w:rPr>
        <w:t>GGZC2025-C2-020063-JGJD</w:t>
      </w:r>
    </w:p>
    <w:p w14:paraId="20CF07F9">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采购计划备案文号：</w:t>
      </w:r>
      <w:r>
        <w:rPr>
          <w:rFonts w:hint="eastAsia" w:asciiTheme="minorEastAsia" w:hAnsiTheme="minorEastAsia" w:eastAsiaTheme="minorEastAsia" w:cstheme="minorEastAsia"/>
          <w:color w:val="auto"/>
          <w:sz w:val="24"/>
          <w:highlight w:val="none"/>
          <w:u w:val="single"/>
          <w:lang w:val="en-US" w:eastAsia="zh-CN"/>
        </w:rPr>
        <w:t>GGGBZC[2025]860号</w:t>
      </w:r>
    </w:p>
    <w:p w14:paraId="5EE101C0">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w:t>
      </w:r>
      <w:r>
        <w:rPr>
          <w:rFonts w:hint="eastAsia" w:asciiTheme="minorEastAsia" w:hAnsiTheme="minorEastAsia" w:eastAsiaTheme="minorEastAsia" w:cstheme="minorEastAsia"/>
          <w:color w:val="auto"/>
          <w:sz w:val="24"/>
          <w:highlight w:val="none"/>
          <w:u w:val="single"/>
        </w:rPr>
        <w:t>竞争性磋商</w:t>
      </w:r>
    </w:p>
    <w:p w14:paraId="5DA6B2D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采购预算价：</w:t>
      </w:r>
      <w:r>
        <w:rPr>
          <w:rFonts w:hint="eastAsia" w:asciiTheme="minorEastAsia" w:hAnsiTheme="minorEastAsia" w:eastAsiaTheme="minorEastAsia" w:cstheme="minorEastAsia"/>
          <w:color w:val="auto"/>
          <w:sz w:val="24"/>
          <w:highlight w:val="none"/>
          <w:u w:val="single"/>
          <w:lang w:val="en-US" w:eastAsia="zh-CN"/>
        </w:rPr>
        <w:t>人民币柒拾肆万玖仟零肆拾元叁角壹分（¥749040.31元）</w:t>
      </w:r>
    </w:p>
    <w:p w14:paraId="6196300F">
      <w:pPr>
        <w:keepNext w:val="0"/>
        <w:keepLines w:val="0"/>
        <w:pageBreakBefore w:val="0"/>
        <w:widowControl w:val="0"/>
        <w:shd w:val="clear"/>
        <w:kinsoku/>
        <w:wordWrap/>
        <w:overflowPunct/>
        <w:topLinePunct w:val="0"/>
        <w:autoSpaceDE/>
        <w:autoSpaceDN/>
        <w:bidi w:val="0"/>
        <w:snapToGrid/>
        <w:spacing w:line="360" w:lineRule="auto"/>
        <w:ind w:left="479" w:leftChars="228" w:firstLine="0" w:firstLineChars="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最高限价：</w:t>
      </w:r>
      <w:r>
        <w:rPr>
          <w:rFonts w:hint="eastAsia" w:asciiTheme="minorEastAsia" w:hAnsiTheme="minorEastAsia" w:eastAsiaTheme="minorEastAsia" w:cstheme="minorEastAsia"/>
          <w:color w:val="auto"/>
          <w:sz w:val="24"/>
          <w:highlight w:val="none"/>
          <w:u w:val="single"/>
          <w:lang w:val="en-US" w:eastAsia="zh-CN"/>
        </w:rPr>
        <w:t>人民币柒拾肆万玖仟零肆拾元叁角壹分（¥749040.31元）</w:t>
      </w:r>
    </w:p>
    <w:p w14:paraId="395C740E">
      <w:pPr>
        <w:spacing w:line="360" w:lineRule="auto"/>
        <w:ind w:firstLine="480" w:firstLineChars="200"/>
        <w:rPr>
          <w:rFonts w:hint="eastAsia" w:ascii="宋体" w:hAnsi="宋体" w:eastAsia="宋体" w:cs="仿宋"/>
          <w:caps w:val="0"/>
          <w:color w:val="auto"/>
          <w:spacing w:val="0"/>
          <w:sz w:val="24"/>
          <w:szCs w:val="24"/>
          <w:highlight w:val="none"/>
          <w:u w:val="single"/>
          <w:lang w:eastAsia="zh-CN"/>
        </w:rPr>
      </w:pPr>
      <w:r>
        <w:rPr>
          <w:rFonts w:hint="eastAsia" w:ascii="宋体" w:hAnsi="宋体" w:eastAsia="宋体" w:cs="仿宋"/>
          <w:caps w:val="0"/>
          <w:color w:val="auto"/>
          <w:spacing w:val="0"/>
          <w:sz w:val="24"/>
          <w:szCs w:val="24"/>
          <w:highlight w:val="none"/>
        </w:rPr>
        <w:t>采购需求：</w:t>
      </w:r>
      <w:r>
        <w:rPr>
          <w:rFonts w:hint="eastAsia" w:ascii="宋体" w:hAnsi="宋体" w:cs="仿宋"/>
          <w:caps w:val="0"/>
          <w:color w:val="auto"/>
          <w:spacing w:val="0"/>
          <w:sz w:val="24"/>
          <w:szCs w:val="24"/>
          <w:highlight w:val="none"/>
          <w:u w:val="single"/>
          <w:lang w:val="en-US" w:eastAsia="zh-CN"/>
        </w:rPr>
        <w:t>1.道路工程：道路硬化2条长611m宽3.5m(增加会车台2道)；2.环境整治：新建场地硬化34㎡,场地修复2处201㎡,路灯39盏。</w:t>
      </w:r>
      <w:r>
        <w:rPr>
          <w:rFonts w:hint="eastAsia" w:ascii="宋体" w:hAnsi="宋体" w:eastAsia="宋体" w:cs="仿宋"/>
          <w:caps w:val="0"/>
          <w:color w:val="auto"/>
          <w:spacing w:val="0"/>
          <w:sz w:val="24"/>
          <w:szCs w:val="24"/>
          <w:highlight w:val="none"/>
          <w:u w:val="single"/>
          <w:lang w:eastAsia="zh-CN"/>
        </w:rPr>
        <w:t>如需进一步了解详细内容，详见工程量清单和施工图纸。</w:t>
      </w:r>
    </w:p>
    <w:p w14:paraId="55E5E983">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工期：</w:t>
      </w:r>
      <w:r>
        <w:rPr>
          <w:rFonts w:hint="eastAsia" w:asciiTheme="minorEastAsia" w:hAnsiTheme="minorEastAsia" w:eastAsiaTheme="minorEastAsia" w:cstheme="minorEastAsia"/>
          <w:color w:val="auto"/>
          <w:sz w:val="24"/>
          <w:highlight w:val="none"/>
          <w:u w:val="single"/>
          <w:lang w:eastAsia="zh-CN"/>
        </w:rPr>
        <w:t>自合同签订之日起</w:t>
      </w:r>
      <w:r>
        <w:rPr>
          <w:rFonts w:hint="eastAsia" w:asciiTheme="minorEastAsia" w:hAnsiTheme="minorEastAsia" w:eastAsiaTheme="minorEastAsia" w:cstheme="minorEastAsia"/>
          <w:color w:val="auto"/>
          <w:sz w:val="24"/>
          <w:highlight w:val="none"/>
          <w:u w:val="single"/>
          <w:lang w:val="en-US" w:eastAsia="zh-CN"/>
        </w:rPr>
        <w:t>120</w:t>
      </w:r>
      <w:r>
        <w:rPr>
          <w:rFonts w:hint="eastAsia" w:asciiTheme="minorEastAsia" w:hAnsiTheme="minorEastAsia" w:eastAsiaTheme="minorEastAsia" w:cstheme="minorEastAsia"/>
          <w:color w:val="auto"/>
          <w:sz w:val="24"/>
          <w:highlight w:val="none"/>
          <w:u w:val="single"/>
          <w:lang w:eastAsia="zh-CN"/>
        </w:rPr>
        <w:t>日历天内竣工并移交整个工程。</w:t>
      </w:r>
    </w:p>
    <w:p w14:paraId="17EB71D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本项目不接受联合体。</w:t>
      </w:r>
    </w:p>
    <w:p w14:paraId="53726178">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二、申请人的资格要求：</w:t>
      </w:r>
    </w:p>
    <w:p w14:paraId="19CB0B8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ascii="宋体" w:hAnsi="宋体"/>
          <w:caps w:val="0"/>
          <w:color w:val="auto"/>
          <w:spacing w:val="0"/>
          <w:sz w:val="24"/>
          <w:szCs w:val="24"/>
          <w:highlight w:val="none"/>
        </w:rPr>
      </w:pPr>
      <w:r>
        <w:rPr>
          <w:rFonts w:ascii="宋体" w:hAnsi="宋体" w:cs="仿宋"/>
          <w:caps w:val="0"/>
          <w:color w:val="auto"/>
          <w:spacing w:val="0"/>
          <w:sz w:val="24"/>
          <w:szCs w:val="24"/>
          <w:highlight w:val="none"/>
        </w:rPr>
        <w:t>1.</w:t>
      </w:r>
      <w:r>
        <w:rPr>
          <w:rFonts w:hint="eastAsia" w:ascii="宋体" w:hAnsi="宋体" w:cs="仿宋"/>
          <w:caps w:val="0"/>
          <w:color w:val="auto"/>
          <w:spacing w:val="0"/>
          <w:sz w:val="24"/>
          <w:szCs w:val="24"/>
          <w:highlight w:val="none"/>
        </w:rPr>
        <w:t>满足《中华人民共和国政府采购法》第二十二条规定；</w:t>
      </w:r>
    </w:p>
    <w:p w14:paraId="5B8BEBCF">
      <w:pPr>
        <w:spacing w:line="360" w:lineRule="auto"/>
        <w:ind w:firstLine="480" w:firstLineChars="200"/>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2.落实政府采购政策需满足的资格要求</w:t>
      </w:r>
      <w:r>
        <w:rPr>
          <w:rFonts w:hint="eastAsia" w:ascii="宋体" w:hAnsi="宋体" w:cs="仿宋"/>
          <w:caps w:val="0"/>
          <w:color w:val="auto"/>
          <w:spacing w:val="0"/>
          <w:sz w:val="24"/>
          <w:szCs w:val="24"/>
          <w:highlight w:val="none"/>
          <w:lang w:eastAsia="zh-CN"/>
        </w:rPr>
        <w:t>：</w:t>
      </w:r>
      <w:r>
        <w:rPr>
          <w:rFonts w:hint="eastAsia" w:ascii="宋体" w:hAnsi="宋体" w:eastAsia="宋体" w:cs="仿宋"/>
          <w:caps w:val="0"/>
          <w:color w:val="auto"/>
          <w:spacing w:val="0"/>
          <w:sz w:val="24"/>
          <w:szCs w:val="24"/>
          <w:highlight w:val="none"/>
        </w:rPr>
        <w:t>专门面向中小企业采购的项目（供应商应为中小微企业、监狱企业</w:t>
      </w:r>
      <w:r>
        <w:rPr>
          <w:rFonts w:hint="eastAsia" w:ascii="宋体" w:hAnsi="宋体" w:cs="仿宋"/>
          <w:caps w:val="0"/>
          <w:color w:val="auto"/>
          <w:spacing w:val="0"/>
          <w:sz w:val="24"/>
          <w:szCs w:val="24"/>
          <w:highlight w:val="none"/>
          <w:lang w:val="en-US" w:eastAsia="zh-CN"/>
        </w:rPr>
        <w:t>或</w:t>
      </w:r>
      <w:r>
        <w:rPr>
          <w:rFonts w:hint="eastAsia" w:ascii="宋体" w:hAnsi="宋体" w:eastAsia="宋体" w:cs="仿宋"/>
          <w:caps w:val="0"/>
          <w:color w:val="auto"/>
          <w:spacing w:val="0"/>
          <w:sz w:val="24"/>
          <w:szCs w:val="24"/>
          <w:highlight w:val="none"/>
        </w:rPr>
        <w:t>残疾人福利性单位</w:t>
      </w: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大型企业不得参加。</w:t>
      </w:r>
      <w:r>
        <w:rPr>
          <w:rFonts w:hint="eastAsia" w:ascii="宋体" w:hAnsi="宋体" w:eastAsia="宋体" w:cs="仿宋"/>
          <w:caps w:val="0"/>
          <w:color w:val="auto"/>
          <w:spacing w:val="0"/>
          <w:sz w:val="24"/>
          <w:szCs w:val="24"/>
          <w:highlight w:val="none"/>
        </w:rPr>
        <w:t>)</w:t>
      </w:r>
    </w:p>
    <w:p w14:paraId="08FF942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ascii="宋体" w:hAnsi="宋体" w:cs="仿宋"/>
          <w:caps w:val="0"/>
          <w:color w:val="auto"/>
          <w:spacing w:val="0"/>
          <w:sz w:val="24"/>
          <w:szCs w:val="24"/>
          <w:highlight w:val="none"/>
        </w:rPr>
        <w:t>3.</w:t>
      </w:r>
      <w:r>
        <w:rPr>
          <w:rFonts w:hint="eastAsia" w:ascii="宋体" w:hAnsi="宋体" w:cs="仿宋"/>
          <w:caps w:val="0"/>
          <w:color w:val="auto"/>
          <w:spacing w:val="0"/>
          <w:sz w:val="24"/>
          <w:szCs w:val="24"/>
          <w:highlight w:val="none"/>
        </w:rPr>
        <w:t>本项目的特定资格要求：</w:t>
      </w:r>
    </w:p>
    <w:p w14:paraId="5834DC5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Theme="minorEastAsia" w:hAnsiTheme="minorEastAsia" w:eastAsiaTheme="minorEastAsia" w:cstheme="minorEastAsia"/>
          <w:color w:val="auto"/>
          <w:sz w:val="24"/>
          <w:szCs w:val="24"/>
          <w:highlight w:val="none"/>
        </w:rPr>
      </w:pP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1</w:t>
      </w:r>
      <w:r>
        <w:rPr>
          <w:rFonts w:hint="eastAsia" w:ascii="宋体" w:hAnsi="宋体" w:cs="仿宋"/>
          <w:caps w:val="0"/>
          <w:color w:val="auto"/>
          <w:spacing w:val="0"/>
          <w:sz w:val="24"/>
          <w:szCs w:val="24"/>
          <w:highlight w:val="none"/>
          <w:lang w:eastAsia="zh-CN"/>
        </w:rPr>
        <w:t>）</w:t>
      </w:r>
      <w:r>
        <w:rPr>
          <w:rFonts w:hint="eastAsia" w:asciiTheme="minorEastAsia" w:hAnsiTheme="minorEastAsia" w:eastAsiaTheme="minorEastAsia" w:cstheme="minorEastAsia"/>
          <w:caps w:val="0"/>
          <w:color w:val="auto"/>
          <w:spacing w:val="0"/>
          <w:sz w:val="24"/>
          <w:szCs w:val="24"/>
          <w:highlight w:val="none"/>
          <w:lang w:val="zh-CN"/>
        </w:rPr>
        <w:t>本次</w:t>
      </w:r>
      <w:r>
        <w:rPr>
          <w:rFonts w:hint="eastAsia" w:asciiTheme="minorEastAsia" w:hAnsiTheme="minorEastAsia" w:eastAsiaTheme="minorEastAsia" w:cstheme="minorEastAsia"/>
          <w:caps w:val="0"/>
          <w:color w:val="auto"/>
          <w:spacing w:val="0"/>
          <w:sz w:val="24"/>
          <w:szCs w:val="24"/>
          <w:highlight w:val="none"/>
          <w:lang w:val="en-US" w:eastAsia="zh-CN"/>
        </w:rPr>
        <w:t>采购</w:t>
      </w:r>
      <w:r>
        <w:rPr>
          <w:rFonts w:hint="eastAsia" w:asciiTheme="minorEastAsia" w:hAnsiTheme="minorEastAsia" w:eastAsiaTheme="minorEastAsia" w:cstheme="minorEastAsia"/>
          <w:caps w:val="0"/>
          <w:color w:val="auto"/>
          <w:spacing w:val="0"/>
          <w:sz w:val="24"/>
          <w:szCs w:val="24"/>
          <w:highlight w:val="none"/>
          <w:lang w:val="zh-CN"/>
        </w:rPr>
        <w:t>要求</w:t>
      </w:r>
      <w:r>
        <w:rPr>
          <w:rFonts w:hint="eastAsia" w:asciiTheme="minorEastAsia" w:hAnsiTheme="minorEastAsia" w:eastAsiaTheme="minorEastAsia" w:cstheme="minorEastAsia"/>
          <w:caps w:val="0"/>
          <w:color w:val="auto"/>
          <w:spacing w:val="0"/>
          <w:sz w:val="24"/>
          <w:szCs w:val="24"/>
          <w:highlight w:val="none"/>
          <w:lang w:val="en-US" w:eastAsia="zh-CN"/>
        </w:rPr>
        <w:t>竞</w:t>
      </w:r>
      <w:r>
        <w:rPr>
          <w:rFonts w:hint="eastAsia" w:asciiTheme="minorEastAsia" w:hAnsiTheme="minorEastAsia" w:eastAsiaTheme="minorEastAsia" w:cstheme="minorEastAsia"/>
          <w:caps w:val="0"/>
          <w:color w:val="auto"/>
          <w:spacing w:val="0"/>
          <w:sz w:val="24"/>
          <w:szCs w:val="24"/>
          <w:highlight w:val="none"/>
          <w:lang w:val="zh-CN"/>
        </w:rPr>
        <w:t>标人</w:t>
      </w:r>
      <w:r>
        <w:rPr>
          <w:rFonts w:hint="eastAsia" w:asciiTheme="minorEastAsia" w:hAnsiTheme="minorEastAsia" w:eastAsiaTheme="minorEastAsia" w:cstheme="minorEastAsia"/>
          <w:color w:val="auto"/>
          <w:sz w:val="24"/>
          <w:szCs w:val="24"/>
          <w:highlight w:val="none"/>
        </w:rPr>
        <w:t>须具备</w:t>
      </w:r>
      <w:r>
        <w:rPr>
          <w:rFonts w:hint="eastAsia" w:ascii="宋体" w:hAnsi="宋体" w:eastAsia="宋体" w:cs="仿宋"/>
          <w:b/>
          <w:bCs/>
          <w:caps w:val="0"/>
          <w:color w:val="auto"/>
          <w:spacing w:val="0"/>
          <w:sz w:val="24"/>
          <w:szCs w:val="24"/>
          <w:highlight w:val="none"/>
          <w:u w:val="single"/>
          <w:lang w:val="en-US" w:eastAsia="zh-CN"/>
        </w:rPr>
        <w:t>市政公用工程施工总承包叁级</w:t>
      </w:r>
      <w:r>
        <w:rPr>
          <w:rFonts w:hint="eastAsia" w:ascii="宋体" w:hAnsi="宋体" w:eastAsia="宋体" w:cs="仿宋"/>
          <w:b/>
          <w:bCs/>
          <w:caps w:val="0"/>
          <w:color w:val="auto"/>
          <w:spacing w:val="0"/>
          <w:sz w:val="24"/>
          <w:szCs w:val="24"/>
          <w:highlight w:val="none"/>
          <w:u w:val="single"/>
        </w:rPr>
        <w:t>以上</w:t>
      </w:r>
      <w:r>
        <w:rPr>
          <w:rFonts w:hint="eastAsia" w:ascii="宋体" w:hAnsi="宋体" w:eastAsia="宋体" w:cs="仿宋"/>
          <w:b/>
          <w:bCs/>
          <w:caps w:val="0"/>
          <w:color w:val="auto"/>
          <w:spacing w:val="0"/>
          <w:sz w:val="24"/>
          <w:szCs w:val="24"/>
          <w:highlight w:val="none"/>
          <w:u w:val="single"/>
          <w:lang w:val="en-US" w:eastAsia="zh-CN"/>
        </w:rPr>
        <w:t>（含叁级）</w:t>
      </w:r>
      <w:r>
        <w:rPr>
          <w:rFonts w:hint="eastAsia" w:asciiTheme="minorEastAsia" w:hAnsiTheme="minorEastAsia" w:eastAsiaTheme="minorEastAsia" w:cstheme="minorEastAsia"/>
          <w:color w:val="auto"/>
          <w:sz w:val="24"/>
          <w:szCs w:val="24"/>
          <w:highlight w:val="none"/>
        </w:rPr>
        <w:t>资质</w:t>
      </w:r>
      <w:r>
        <w:rPr>
          <w:rFonts w:hint="eastAsia" w:asciiTheme="minorEastAsia" w:hAnsiTheme="minorEastAsia" w:eastAsiaTheme="minorEastAsia" w:cstheme="minorEastAsia"/>
          <w:caps w:val="0"/>
          <w:color w:val="auto"/>
          <w:spacing w:val="0"/>
          <w:sz w:val="24"/>
          <w:szCs w:val="24"/>
          <w:highlight w:val="none"/>
        </w:rPr>
        <w:t>，</w:t>
      </w:r>
      <w:r>
        <w:rPr>
          <w:rFonts w:hint="eastAsia" w:asciiTheme="minorEastAsia" w:hAnsiTheme="minorEastAsia" w:eastAsiaTheme="minorEastAsia" w:cstheme="minorEastAsia"/>
          <w:color w:val="auto"/>
          <w:sz w:val="24"/>
          <w:szCs w:val="24"/>
          <w:highlight w:val="none"/>
        </w:rPr>
        <w:t>且同时具有《安全生产许可证》，并在人员、设备、资金等方面具备相应的施工能力。</w:t>
      </w:r>
    </w:p>
    <w:p w14:paraId="6912CC0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竞标</w:t>
      </w:r>
      <w:r>
        <w:rPr>
          <w:rFonts w:hint="eastAsia" w:asciiTheme="minorEastAsia" w:hAnsiTheme="minorEastAsia" w:eastAsiaTheme="minorEastAsia" w:cstheme="minorEastAsia"/>
          <w:color w:val="auto"/>
          <w:sz w:val="24"/>
          <w:szCs w:val="24"/>
          <w:highlight w:val="none"/>
        </w:rPr>
        <w:t>人拟派项目经理须具备</w:t>
      </w:r>
      <w:r>
        <w:rPr>
          <w:rFonts w:hint="eastAsia" w:ascii="宋体" w:hAnsi="宋体" w:eastAsia="宋体" w:cs="宋体"/>
          <w:b/>
          <w:bCs/>
          <w:color w:val="auto"/>
          <w:sz w:val="24"/>
          <w:szCs w:val="24"/>
          <w:highlight w:val="none"/>
          <w:u w:val="single"/>
          <w:lang w:val="zh-CN"/>
        </w:rPr>
        <w:t>市政公用工程</w:t>
      </w:r>
      <w:r>
        <w:rPr>
          <w:rFonts w:hint="eastAsia" w:ascii="宋体" w:hAnsi="宋体" w:cs="宋体"/>
          <w:b/>
          <w:bCs/>
          <w:color w:val="auto"/>
          <w:sz w:val="24"/>
          <w:szCs w:val="24"/>
          <w:highlight w:val="none"/>
          <w:u w:val="single"/>
          <w:lang w:val="en-US" w:eastAsia="zh-CN"/>
        </w:rPr>
        <w:t>专业</w:t>
      </w:r>
      <w:r>
        <w:rPr>
          <w:rFonts w:hint="eastAsia" w:ascii="宋体" w:hAnsi="宋体" w:eastAsia="宋体" w:cs="宋体"/>
          <w:b/>
          <w:bCs/>
          <w:color w:val="auto"/>
          <w:sz w:val="24"/>
          <w:szCs w:val="24"/>
          <w:highlight w:val="none"/>
          <w:u w:val="single"/>
          <w:lang w:val="zh-CN"/>
        </w:rPr>
        <w:t>贰级以上(含贰级)</w:t>
      </w:r>
      <w:r>
        <w:rPr>
          <w:rFonts w:hint="eastAsia" w:asciiTheme="minorEastAsia" w:hAnsiTheme="minorEastAsia" w:eastAsiaTheme="minorEastAsia" w:cstheme="minorEastAsia"/>
          <w:color w:val="auto"/>
          <w:sz w:val="24"/>
          <w:szCs w:val="24"/>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4"/>
          <w:szCs w:val="24"/>
          <w:highlight w:val="none"/>
        </w:rPr>
        <w:t>（</w:t>
      </w:r>
      <w:r>
        <w:rPr>
          <w:rFonts w:hint="eastAsia" w:asciiTheme="minorEastAsia" w:hAnsiTheme="minorEastAsia" w:eastAsiaTheme="minorEastAsia" w:cstheme="minorEastAsia"/>
          <w:color w:val="auto"/>
          <w:sz w:val="24"/>
          <w:szCs w:val="24"/>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4"/>
          <w:szCs w:val="24"/>
          <w:highlight w:val="none"/>
        </w:rPr>
        <w:t>2016</w:t>
      </w:r>
      <w:r>
        <w:rPr>
          <w:rFonts w:hint="eastAsia" w:asciiTheme="minorEastAsia" w:hAnsiTheme="minorEastAsia" w:eastAsiaTheme="minorEastAsia" w:cstheme="minorEastAsia"/>
          <w:color w:val="auto"/>
          <w:sz w:val="24"/>
          <w:szCs w:val="24"/>
          <w:highlight w:val="none"/>
        </w:rPr>
        <w:t>﹞70号</w:t>
      </w:r>
      <w:r>
        <w:rPr>
          <w:rFonts w:hint="eastAsia" w:asciiTheme="minorEastAsia" w:hAnsiTheme="minorEastAsia" w:eastAsiaTheme="minorEastAsia" w:cstheme="minorEastAsia"/>
          <w:color w:val="auto"/>
          <w:kern w:val="0"/>
          <w:sz w:val="24"/>
          <w:szCs w:val="24"/>
          <w:highlight w:val="none"/>
          <w:u w:val="none"/>
          <w:lang w:eastAsia="zh-CN"/>
        </w:rPr>
        <w:t>、</w:t>
      </w:r>
      <w:r>
        <w:rPr>
          <w:rFonts w:hint="eastAsia" w:asciiTheme="minorEastAsia" w:hAnsiTheme="minorEastAsia" w:eastAsiaTheme="minorEastAsia" w:cstheme="minorEastAsia"/>
          <w:color w:val="auto"/>
          <w:kern w:val="0"/>
          <w:sz w:val="24"/>
          <w:szCs w:val="24"/>
          <w:highlight w:val="none"/>
          <w:u w:val="none"/>
        </w:rPr>
        <w:t>桂建管〔2020〕11号</w:t>
      </w:r>
      <w:r>
        <w:rPr>
          <w:rFonts w:hint="eastAsia" w:asciiTheme="minorEastAsia" w:hAnsiTheme="minorEastAsia" w:eastAsiaTheme="minorEastAsia" w:cstheme="minorEastAsia"/>
          <w:color w:val="auto"/>
          <w:kern w:val="0"/>
          <w:sz w:val="24"/>
          <w:szCs w:val="24"/>
          <w:highlight w:val="none"/>
        </w:rPr>
        <w:t>文除</w:t>
      </w:r>
      <w:r>
        <w:rPr>
          <w:rFonts w:hint="eastAsia" w:asciiTheme="minorEastAsia" w:hAnsiTheme="minorEastAsia" w:eastAsiaTheme="minorEastAsia" w:cstheme="minorEastAsia"/>
          <w:color w:val="auto"/>
          <w:sz w:val="24"/>
          <w:szCs w:val="24"/>
          <w:highlight w:val="none"/>
        </w:rPr>
        <w:t>外）</w:t>
      </w:r>
      <w:r>
        <w:rPr>
          <w:rFonts w:hint="eastAsia" w:ascii="宋体" w:hAnsi="宋体" w:eastAsia="宋体" w:cs="仿宋"/>
          <w:caps w:val="0"/>
          <w:color w:val="auto"/>
          <w:spacing w:val="0"/>
          <w:sz w:val="24"/>
          <w:szCs w:val="24"/>
          <w:highlight w:val="none"/>
        </w:rPr>
        <w:t>安全员具备有效的安全员证书及安全生产考核合格证书</w:t>
      </w:r>
      <w:r>
        <w:rPr>
          <w:rFonts w:hint="eastAsia" w:ascii="宋体" w:hAnsi="宋体" w:cs="仿宋"/>
          <w:caps w:val="0"/>
          <w:color w:val="auto"/>
          <w:spacing w:val="0"/>
          <w:sz w:val="24"/>
          <w:szCs w:val="24"/>
          <w:highlight w:val="none"/>
        </w:rPr>
        <w:t>(C类)。</w:t>
      </w:r>
    </w:p>
    <w:p w14:paraId="596B1AB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4. 本项目的特定条件：无</w:t>
      </w:r>
    </w:p>
    <w:p w14:paraId="708A805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4E300D9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12999372">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三</w:t>
      </w:r>
      <w:r>
        <w:rPr>
          <w:rFonts w:hint="eastAsia" w:asciiTheme="minorEastAsia" w:hAnsiTheme="minorEastAsia" w:eastAsiaTheme="minorEastAsia" w:cstheme="minorEastAsia"/>
          <w:b/>
          <w:bCs/>
          <w:color w:val="auto"/>
          <w:sz w:val="24"/>
          <w:highlight w:val="none"/>
        </w:rPr>
        <w:t>、获取采购文件</w:t>
      </w:r>
    </w:p>
    <w:p w14:paraId="798093C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时间：20</w:t>
      </w:r>
      <w:r>
        <w:rPr>
          <w:rFonts w:hint="eastAsia" w:asciiTheme="minorEastAsia" w:hAnsiTheme="minorEastAsia" w:eastAsiaTheme="minorEastAsia" w:cstheme="minorEastAsia"/>
          <w:color w:val="auto"/>
          <w:sz w:val="24"/>
          <w:szCs w:val="24"/>
          <w:highlight w:val="none"/>
          <w:lang w:val="en-US" w:eastAsia="zh-CN"/>
        </w:rPr>
        <w:t>25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rPr>
        <w:t>日</w:t>
      </w:r>
      <w:r>
        <w:rPr>
          <w:rFonts w:hint="eastAsia" w:ascii="宋体" w:hAnsi="宋体" w:cs="宋体"/>
          <w:color w:val="auto"/>
          <w:sz w:val="24"/>
          <w:szCs w:val="24"/>
          <w:highlight w:val="none"/>
        </w:rPr>
        <w:t>至</w:t>
      </w:r>
      <w:r>
        <w:rPr>
          <w:rFonts w:hint="eastAsia" w:ascii="宋体" w:hAnsi="宋体" w:cs="宋体"/>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202</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日</w:t>
      </w:r>
      <w:r>
        <w:rPr>
          <w:rFonts w:hint="eastAsia" w:asciiTheme="minorEastAsia" w:hAnsiTheme="minorEastAsia" w:eastAsiaTheme="minorEastAsia" w:cstheme="minorEastAsia"/>
          <w:color w:val="auto"/>
          <w:sz w:val="24"/>
          <w:szCs w:val="24"/>
          <w:highlight w:val="none"/>
          <w:lang w:val="en-US" w:eastAsia="zh-CN"/>
        </w:rPr>
        <w:t>（磋商文件的发售期限自开始之日起不得少于5个工作日）</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每天上午00:00至11:59，下午12:00至23:59（北京时间，法定节假日除外）</w:t>
      </w:r>
    </w:p>
    <w:p w14:paraId="3AF9CB4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地点：</w:t>
      </w:r>
      <w:r>
        <w:rPr>
          <w:rFonts w:hint="eastAsia" w:asciiTheme="minorEastAsia" w:hAnsiTheme="minorEastAsia" w:eastAsiaTheme="minorEastAsia" w:cstheme="minorEastAsia"/>
          <w:color w:val="auto"/>
          <w:sz w:val="24"/>
          <w:szCs w:val="24"/>
          <w:highlight w:val="none"/>
          <w:lang w:val="en-US" w:eastAsia="zh-CN"/>
        </w:rPr>
        <w:t>广西政府采购云平台</w:t>
      </w:r>
    </w:p>
    <w:p w14:paraId="6D70F3F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方式：</w:t>
      </w:r>
      <w:r>
        <w:rPr>
          <w:rFonts w:hint="eastAsia" w:asciiTheme="minorEastAsia" w:hAnsiTheme="minorEastAsia" w:eastAsiaTheme="minorEastAsia" w:cstheme="minorEastAsia"/>
          <w:color w:val="auto"/>
          <w:sz w:val="24"/>
          <w:szCs w:val="24"/>
          <w:highlight w:val="none"/>
          <w:lang w:val="en-US" w:eastAsia="zh-CN"/>
        </w:rPr>
        <w:t>网上下载。本项目不发放纸质采购文件，供应商可自行在“广西政府采购云平台”平台（https://www.gcy.zfcg.gxzf.gov.cn/）下载采购文件(操作路径：登录 “广西政府采购云平台”平台-项目采购-获取采购文件-找到本项目-点击“申请获取采购文件”) ，电子响应文件制作需要基于“广西政府采购云平台”平台（https://www.gcy.zfcg.gxzf.gov.cn/）获取的采购文件编制。</w:t>
      </w:r>
    </w:p>
    <w:p w14:paraId="225B72D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售价：0元 </w:t>
      </w:r>
    </w:p>
    <w:p w14:paraId="2FAC4338">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val="en-US" w:eastAsia="zh-CN"/>
        </w:rPr>
        <w:t>四</w:t>
      </w:r>
      <w:r>
        <w:rPr>
          <w:rFonts w:hint="eastAsia" w:asciiTheme="minorEastAsia" w:hAnsiTheme="minorEastAsia" w:eastAsiaTheme="minorEastAsia" w:cstheme="minorEastAsia"/>
          <w:b/>
          <w:bCs/>
          <w:color w:val="auto"/>
          <w:sz w:val="24"/>
          <w:szCs w:val="24"/>
          <w:highlight w:val="none"/>
        </w:rPr>
        <w:t>、响应文件提交</w:t>
      </w:r>
    </w:p>
    <w:p w14:paraId="3885AD9C">
      <w:pPr>
        <w:spacing w:line="360" w:lineRule="auto"/>
        <w:ind w:firstLine="480" w:firstLineChars="200"/>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1、首次响应文件提交截止时间</w:t>
      </w:r>
      <w:r>
        <w:rPr>
          <w:rFonts w:hint="eastAsia" w:ascii="宋体" w:hAnsi="宋体" w:eastAsia="宋体" w:cs="宋体"/>
          <w:bCs/>
          <w:color w:val="auto"/>
          <w:sz w:val="24"/>
          <w:szCs w:val="24"/>
          <w:highlight w:val="none"/>
        </w:rPr>
        <w:t>（北京时间）：</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3</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szCs w:val="28"/>
          <w:highlight w:val="none"/>
          <w:u w:val="single"/>
          <w:lang w:val="en-US" w:eastAsia="zh-CN"/>
        </w:rPr>
        <w:t>15</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30</w:t>
      </w:r>
      <w:r>
        <w:rPr>
          <w:rFonts w:hint="eastAsia" w:asciiTheme="minorEastAsia" w:hAnsiTheme="minorEastAsia" w:eastAsiaTheme="minorEastAsia" w:cstheme="minorEastAsia"/>
          <w:color w:val="auto"/>
          <w:sz w:val="24"/>
          <w:szCs w:val="28"/>
          <w:highlight w:val="none"/>
          <w:u w:val="single"/>
        </w:rPr>
        <w:t>分</w:t>
      </w:r>
      <w:r>
        <w:rPr>
          <w:rFonts w:hint="eastAsia" w:ascii="宋体" w:hAnsi="宋体" w:eastAsia="宋体" w:cs="宋体"/>
          <w:color w:val="auto"/>
          <w:sz w:val="24"/>
          <w:szCs w:val="24"/>
          <w:highlight w:val="none"/>
          <w:u w:val="single"/>
        </w:rPr>
        <w:t>（从磋商文件开始发出之日起至供应商提交首次响应文件截止之日止不得少于10日）</w:t>
      </w:r>
      <w:r>
        <w:rPr>
          <w:rFonts w:hint="eastAsia" w:ascii="宋体" w:hAnsi="宋体" w:cs="宋体"/>
          <w:color w:val="auto"/>
          <w:sz w:val="24"/>
          <w:szCs w:val="24"/>
          <w:highlight w:val="none"/>
          <w:u w:val="single"/>
          <w:lang w:eastAsia="zh-CN"/>
        </w:rPr>
        <w:t>。</w:t>
      </w:r>
    </w:p>
    <w:p w14:paraId="316398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2、首次响应文件提交地点：</w:t>
      </w:r>
      <w:r>
        <w:rPr>
          <w:rFonts w:hint="eastAsia" w:ascii="宋体" w:hAnsi="宋体" w:eastAsia="宋体" w:cs="宋体"/>
          <w:color w:val="auto"/>
          <w:sz w:val="24"/>
          <w:szCs w:val="24"/>
          <w:highlight w:val="none"/>
          <w:u w:val="single"/>
        </w:rPr>
        <w:t>通过</w:t>
      </w:r>
      <w:r>
        <w:rPr>
          <w:rFonts w:hint="eastAsia" w:ascii="宋体" w:hAnsi="宋体" w:cs="宋体"/>
          <w:color w:val="auto"/>
          <w:sz w:val="24"/>
          <w:szCs w:val="24"/>
          <w:highlight w:val="none"/>
          <w:u w:val="single"/>
          <w:lang w:eastAsia="zh-CN"/>
        </w:rPr>
        <w:t>广西政府采购云平台</w:t>
      </w:r>
      <w:r>
        <w:rPr>
          <w:rFonts w:hint="eastAsia" w:ascii="宋体" w:hAnsi="宋体" w:eastAsia="宋体" w:cs="宋体"/>
          <w:color w:val="auto"/>
          <w:sz w:val="24"/>
          <w:szCs w:val="24"/>
          <w:highlight w:val="none"/>
          <w:u w:val="single"/>
        </w:rPr>
        <w:t>实行在线投标响应。</w:t>
      </w:r>
    </w:p>
    <w:p w14:paraId="2300156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Theme="minorEastAsia" w:hAnsiTheme="minorEastAsia" w:eastAsiaTheme="minorEastAsia" w:cstheme="minorEastAsia"/>
          <w:color w:val="auto"/>
          <w:spacing w:val="-6"/>
          <w:sz w:val="24"/>
          <w:szCs w:val="24"/>
          <w:highlight w:val="none"/>
          <w:lang w:val="en-US" w:eastAsia="zh-CN"/>
        </w:rPr>
        <w:t>响应文件提交方式：本项目为全流程电子化项目，通过</w:t>
      </w:r>
      <w:r>
        <w:rPr>
          <w:rFonts w:hint="eastAsia" w:asciiTheme="minorEastAsia" w:hAnsiTheme="minorEastAsia" w:eastAsiaTheme="minorEastAsia" w:cstheme="minorEastAsia"/>
          <w:color w:val="auto"/>
          <w:sz w:val="24"/>
          <w:szCs w:val="24"/>
          <w:highlight w:val="none"/>
          <w:lang w:val="en-US" w:eastAsia="zh-CN"/>
        </w:rPr>
        <w:t>“广西政府采购云平台”平台（https://www.gcy.zfcg.gxzf.gov.cn/）</w:t>
      </w:r>
      <w:r>
        <w:rPr>
          <w:rFonts w:hint="eastAsia" w:asciiTheme="minorEastAsia" w:hAnsiTheme="minorEastAsia" w:eastAsiaTheme="minorEastAsia" w:cstheme="minorEastAsia"/>
          <w:color w:val="auto"/>
          <w:spacing w:val="-6"/>
          <w:sz w:val="24"/>
          <w:szCs w:val="24"/>
          <w:highlight w:val="none"/>
          <w:lang w:val="en-US" w:eastAsia="zh-CN"/>
        </w:rPr>
        <w:t>实行在线电子响应，供应商应先安装“</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电子交易客户端”（请自行前往“</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进行下载），并按照本项目采购文件和“</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”平台的要求编制、加密后在投标截止时间前通过网络上传至“</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w:t>
      </w:r>
      <w:r>
        <w:rPr>
          <w:rFonts w:hint="eastAsia" w:ascii="宋体" w:hAnsi="宋体" w:eastAsia="宋体" w:cs="宋体"/>
          <w:b/>
          <w:color w:val="auto"/>
          <w:spacing w:val="-6"/>
          <w:sz w:val="24"/>
          <w:szCs w:val="24"/>
          <w:highlight w:val="none"/>
        </w:rPr>
        <w:t>供应商在“</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宋体" w:hAnsi="宋体" w:eastAsia="宋体" w:cs="宋体"/>
          <w:b/>
          <w:color w:val="auto"/>
          <w:spacing w:val="-6"/>
          <w:sz w:val="24"/>
          <w:szCs w:val="24"/>
          <w:highlight w:val="none"/>
        </w:rPr>
        <w:t>”平台提交电子版响应文件时，请填写参加远程采购活动经办人联系方式</w:t>
      </w:r>
      <w:r>
        <w:rPr>
          <w:rFonts w:hint="eastAsia" w:ascii="宋体" w:hAnsi="宋体" w:eastAsia="宋体" w:cs="宋体"/>
          <w:color w:val="auto"/>
          <w:spacing w:val="-6"/>
          <w:sz w:val="24"/>
          <w:szCs w:val="24"/>
          <w:highlight w:val="none"/>
        </w:rPr>
        <w:t>。</w:t>
      </w:r>
    </w:p>
    <w:p w14:paraId="2DAA8FE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未进行网上注册并办理数字证书（CA认证）的供应商将无法参与本项目政府采购活动，潜在供应商应当在投标截止时间前，完成电子交易平台上的CA数字证书办理及响应文件的提交。完成CA数字证书办理预计需要7日左右，供应商只需办理其中一家CA数字证书及签章即可。</w:t>
      </w:r>
    </w:p>
    <w:p w14:paraId="78866417">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（3）为确保网上操作合法、有效和安全，请供应商确保在电子响应过程中能够对相关数据电文进行加密和使用电子签章，妥善保管CA数字证书并使用有效的CA数字证书参与整个采购活动。</w:t>
      </w:r>
    </w:p>
    <w:p w14:paraId="00EEE8C0">
      <w:pPr>
        <w:spacing w:line="360" w:lineRule="auto"/>
        <w:ind w:firstLine="480" w:firstLineChars="200"/>
        <w:rPr>
          <w:rFonts w:hint="eastAsia" w:ascii="宋体" w:hAnsi="宋体" w:eastAsia="宋体" w:cs="宋体"/>
          <w:bCs/>
          <w:color w:val="auto"/>
          <w:sz w:val="24"/>
          <w:szCs w:val="24"/>
          <w:highlight w:val="none"/>
          <w:u w:val="single"/>
        </w:rPr>
      </w:pPr>
      <w:r>
        <w:rPr>
          <w:rFonts w:hint="eastAsia" w:ascii="宋体" w:hAnsi="宋体" w:eastAsia="宋体" w:cs="宋体"/>
          <w:bCs/>
          <w:color w:val="auto"/>
          <w:sz w:val="24"/>
          <w:szCs w:val="24"/>
          <w:highlight w:val="none"/>
          <w:u w:val="single"/>
        </w:rPr>
        <w:t>注：供应商应当在首次响应文件提交截止时间前完成电子响应文件的上传、递交，响应文件提交截止时间前可以补充、修改或者撤回响应文件。补充或者修改响应文件的，应当先行撤回原文件，补充、修改后重新上传、递交。响应截止时间前未完成上传、递交的，视为撤回响应文件。响应文件提交截止时间以后上传递交的响应文件的，“</w:t>
      </w:r>
      <w:r>
        <w:rPr>
          <w:rFonts w:hint="eastAsia" w:ascii="宋体" w:hAnsi="宋体" w:eastAsia="宋体" w:cs="宋体"/>
          <w:bCs/>
          <w:color w:val="auto"/>
          <w:sz w:val="24"/>
          <w:szCs w:val="24"/>
          <w:highlight w:val="none"/>
          <w:u w:val="single"/>
          <w:lang w:val="en-US" w:eastAsia="zh-CN"/>
        </w:rPr>
        <w:t>广西政府采购云</w:t>
      </w:r>
      <w:r>
        <w:rPr>
          <w:rFonts w:hint="eastAsia" w:ascii="宋体" w:hAnsi="宋体" w:eastAsia="宋体" w:cs="宋体"/>
          <w:bCs/>
          <w:color w:val="auto"/>
          <w:sz w:val="24"/>
          <w:szCs w:val="24"/>
          <w:highlight w:val="none"/>
          <w:u w:val="single"/>
        </w:rPr>
        <w:t>”平台将予以拒收。</w:t>
      </w:r>
    </w:p>
    <w:p w14:paraId="377010E4">
      <w:pPr>
        <w:snapToGrid w:val="0"/>
        <w:spacing w:line="360" w:lineRule="auto"/>
        <w:ind w:firstLine="456" w:firstLineChars="200"/>
        <w:rPr>
          <w:rFonts w:hint="eastAsia" w:ascii="宋体" w:hAnsi="宋体" w:eastAsia="宋体" w:cs="宋体"/>
          <w:color w:val="auto"/>
          <w:spacing w:val="-6"/>
          <w:kern w:val="0"/>
          <w:sz w:val="24"/>
          <w:szCs w:val="24"/>
          <w:highlight w:val="none"/>
        </w:rPr>
      </w:pPr>
      <w:r>
        <w:rPr>
          <w:rFonts w:hint="eastAsia" w:ascii="宋体" w:hAnsi="宋体" w:eastAsia="宋体" w:cs="宋体"/>
          <w:color w:val="auto"/>
          <w:spacing w:val="-6"/>
          <w:kern w:val="0"/>
          <w:sz w:val="24"/>
          <w:szCs w:val="24"/>
          <w:highlight w:val="none"/>
        </w:rPr>
        <w:t>3、CA证书在线解密：首次响应文件开启时，须要供应商携带制作响应文件时用来加密的有效数字证书（CA认证）登录“</w:t>
      </w:r>
      <w:r>
        <w:rPr>
          <w:rFonts w:hint="eastAsia" w:ascii="宋体" w:hAnsi="宋体" w:eastAsia="宋体" w:cs="宋体"/>
          <w:bCs/>
          <w:color w:val="auto"/>
          <w:sz w:val="24"/>
          <w:szCs w:val="24"/>
          <w:highlight w:val="none"/>
          <w:u w:val="none"/>
          <w:lang w:val="en-US" w:eastAsia="zh-CN"/>
        </w:rPr>
        <w:t>广西政府采购云</w:t>
      </w:r>
      <w:r>
        <w:rPr>
          <w:rFonts w:hint="eastAsia" w:ascii="宋体" w:hAnsi="宋体" w:eastAsia="宋体" w:cs="宋体"/>
          <w:color w:val="auto"/>
          <w:spacing w:val="-6"/>
          <w:kern w:val="0"/>
          <w:sz w:val="24"/>
          <w:szCs w:val="24"/>
          <w:highlight w:val="none"/>
        </w:rPr>
        <w:t>”平台电子开标大厅现场按规定时间对加密的响应文件进行解密，否则后果自负。</w:t>
      </w:r>
    </w:p>
    <w:p w14:paraId="431AC36C">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4、供应商需要在具备有摄像头及语音功能且互联网网络状况良好的电脑登录“广西政府采购云”平台远程开标大厅参与本次磋商，否则后果自负。</w:t>
      </w:r>
    </w:p>
    <w:p w14:paraId="39DADB8A">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五</w:t>
      </w:r>
      <w:r>
        <w:rPr>
          <w:rFonts w:hint="eastAsia" w:asciiTheme="minorEastAsia" w:hAnsiTheme="minorEastAsia" w:eastAsiaTheme="minorEastAsia" w:cstheme="minorEastAsia"/>
          <w:b/>
          <w:bCs/>
          <w:color w:val="auto"/>
          <w:sz w:val="24"/>
          <w:highlight w:val="none"/>
        </w:rPr>
        <w:t>、开启</w:t>
      </w:r>
    </w:p>
    <w:p w14:paraId="260911F7">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日</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时</w:t>
      </w:r>
      <w:r>
        <w:rPr>
          <w:rFonts w:hint="eastAsia" w:asciiTheme="minorEastAsia" w:hAnsiTheme="minorEastAsia" w:eastAsiaTheme="minorEastAsia" w:cstheme="minorEastAsia"/>
          <w:color w:val="auto"/>
          <w:sz w:val="24"/>
          <w:highlight w:val="none"/>
          <w:lang w:val="en-US" w:eastAsia="zh-CN"/>
        </w:rPr>
        <w:t>30</w:t>
      </w:r>
      <w:r>
        <w:rPr>
          <w:rFonts w:hint="eastAsia" w:asciiTheme="minorEastAsia" w:hAnsiTheme="minorEastAsia" w:eastAsiaTheme="minorEastAsia" w:cstheme="minorEastAsia"/>
          <w:color w:val="auto"/>
          <w:sz w:val="24"/>
          <w:highlight w:val="none"/>
        </w:rPr>
        <w:t>分（北京时间）</w:t>
      </w:r>
    </w:p>
    <w:p w14:paraId="51B84C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Cs w:val="21"/>
          <w:highlight w:val="none"/>
        </w:rPr>
      </w:pPr>
      <w:r>
        <w:rPr>
          <w:rFonts w:hint="eastAsia" w:asciiTheme="minorEastAsia" w:hAnsiTheme="minorEastAsia" w:eastAsiaTheme="minorEastAsia" w:cstheme="minorEastAsia"/>
          <w:color w:val="auto"/>
          <w:sz w:val="24"/>
          <w:highlight w:val="none"/>
        </w:rPr>
        <w:t>地点：通过广西政府采购云平台实行在线解密开启。（本项目不要求供应商到达开标现场，但供应商应派法定代表人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负责人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或委托代理人准时在线出席电子开评标会议，随时关注开评标进度，如在开评标过程中有电子询标，应在规定的时间内对电子询标函进行澄清回复）</w:t>
      </w:r>
    </w:p>
    <w:p w14:paraId="6ACECE37">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六</w:t>
      </w:r>
      <w:r>
        <w:rPr>
          <w:rFonts w:hint="eastAsia" w:asciiTheme="minorEastAsia" w:hAnsiTheme="minorEastAsia" w:eastAsiaTheme="minorEastAsia" w:cstheme="minorEastAsia"/>
          <w:b/>
          <w:bCs/>
          <w:color w:val="auto"/>
          <w:sz w:val="24"/>
          <w:highlight w:val="none"/>
        </w:rPr>
        <w:t>、公告期限</w:t>
      </w:r>
    </w:p>
    <w:p w14:paraId="56AA0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自本公告发布之日起</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个工作日。</w:t>
      </w:r>
    </w:p>
    <w:p w14:paraId="246F48D1">
      <w:pPr>
        <w:keepNext w:val="0"/>
        <w:keepLines w:val="0"/>
        <w:pageBreakBefore w:val="0"/>
        <w:widowControl w:val="0"/>
        <w:numPr>
          <w:ilvl w:val="0"/>
          <w:numId w:val="6"/>
        </w:numPr>
        <w:shd w:val="clea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bookmarkStart w:id="2" w:name="_Toc35393795"/>
      <w:bookmarkStart w:id="3" w:name="_Toc35393626"/>
      <w:r>
        <w:rPr>
          <w:rFonts w:hint="eastAsia" w:asciiTheme="minorEastAsia" w:hAnsiTheme="minorEastAsia" w:eastAsiaTheme="minorEastAsia" w:cstheme="minorEastAsia"/>
          <w:b/>
          <w:bCs/>
          <w:color w:val="auto"/>
          <w:sz w:val="24"/>
          <w:highlight w:val="none"/>
          <w:lang w:val="en-US" w:eastAsia="zh-CN"/>
        </w:rPr>
        <w:t>其他补充事宜</w:t>
      </w:r>
      <w:bookmarkEnd w:id="2"/>
      <w:bookmarkEnd w:id="3"/>
    </w:p>
    <w:p w14:paraId="0C8D9D6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1.磋商保证金：本项目不收取磋商保证金</w:t>
      </w:r>
    </w:p>
    <w:p w14:paraId="3F7A6EAA">
      <w:pPr>
        <w:spacing w:line="360" w:lineRule="auto"/>
        <w:ind w:left="479" w:leftChars="228" w:firstLine="0"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2.采购意向公开链接：</w:t>
      </w:r>
      <w:r>
        <w:rPr>
          <w:rFonts w:hint="eastAsia" w:ascii="宋体" w:hAnsi="宋体" w:eastAsia="宋体" w:cs="宋体"/>
          <w:color w:val="auto"/>
          <w:sz w:val="24"/>
          <w:szCs w:val="24"/>
          <w:highlight w:val="none"/>
        </w:rPr>
        <w:t>http://zfcg.czj.gxgg.gov.cn/site/detail?parentId=132178&amp;articleId=HUtLvMuIFKpOYSGBJqXMNg==&amp;utm=site.site-PC-41537.1180-pc-wsg-beihai-categoryPage-front.1.d1610830775811f08fc87d7d03e5541b</w:t>
      </w:r>
    </w:p>
    <w:p w14:paraId="7A4E61E4">
      <w:pPr>
        <w:spacing w:line="360" w:lineRule="auto"/>
        <w:ind w:firstLine="480" w:firstLineChars="200"/>
        <w:rPr>
          <w:rFonts w:hint="eastAsia" w:ascii="宋体" w:hAnsi="宋体" w:eastAsia="宋体" w:cs="宋体"/>
          <w:color w:val="auto"/>
          <w:kern w:val="0"/>
          <w:sz w:val="24"/>
          <w:szCs w:val="24"/>
          <w:highlight w:val="none"/>
        </w:rPr>
      </w:pPr>
      <w:bookmarkStart w:id="4" w:name="_Hlk37429585"/>
      <w:r>
        <w:rPr>
          <w:rFonts w:hint="eastAsia" w:ascii="宋体" w:hAnsi="宋体" w:eastAsia="宋体" w:cs="宋体"/>
          <w:color w:val="auto"/>
          <w:kern w:val="0"/>
          <w:sz w:val="24"/>
          <w:szCs w:val="24"/>
          <w:highlight w:val="none"/>
        </w:rPr>
        <w:t>3.</w:t>
      </w:r>
      <w:bookmarkStart w:id="5" w:name="_Hlk37429595"/>
      <w:r>
        <w:rPr>
          <w:rFonts w:hint="eastAsia" w:ascii="宋体" w:hAnsi="宋体" w:eastAsia="宋体" w:cs="宋体"/>
          <w:color w:val="auto"/>
          <w:kern w:val="0"/>
          <w:sz w:val="24"/>
          <w:szCs w:val="24"/>
          <w:highlight w:val="none"/>
        </w:rPr>
        <w:t>网上查询地址</w:t>
      </w:r>
    </w:p>
    <w:bookmarkEnd w:id="4"/>
    <w:bookmarkEnd w:id="5"/>
    <w:p w14:paraId="4987E6D9">
      <w:pPr>
        <w:spacing w:line="360" w:lineRule="auto"/>
        <w:ind w:firstLine="480" w:firstLineChars="200"/>
        <w:rPr>
          <w:rFonts w:hint="eastAsia" w:ascii="宋体" w:hAnsi="宋体" w:eastAsia="宋体" w:cs="宋体"/>
          <w:color w:val="auto"/>
          <w:kern w:val="0"/>
          <w:sz w:val="24"/>
          <w:szCs w:val="24"/>
          <w:highlight w:val="none"/>
          <w:lang w:eastAsia="zh-CN"/>
        </w:rPr>
      </w:pPr>
      <w:bookmarkStart w:id="6" w:name="_Hlk37429674"/>
      <w:r>
        <w:rPr>
          <w:rFonts w:hint="eastAsia" w:ascii="宋体" w:hAnsi="宋体" w:eastAsia="宋体" w:cs="宋体"/>
          <w:color w:val="auto"/>
          <w:kern w:val="0"/>
          <w:sz w:val="24"/>
          <w:szCs w:val="24"/>
          <w:highlight w:val="none"/>
        </w:rPr>
        <w:t>中国政府采购网（http://www.ccgp.gov.cn）、广西壮族自治区政府采购网（http://www.gxzfcg.gov.cn）、</w:t>
      </w:r>
      <w:r>
        <w:rPr>
          <w:rFonts w:hint="eastAsia" w:ascii="宋体" w:hAnsi="宋体" w:eastAsia="宋体" w:cs="宋体"/>
          <w:color w:val="auto"/>
          <w:kern w:val="0"/>
          <w:sz w:val="24"/>
          <w:szCs w:val="24"/>
          <w:highlight w:val="none"/>
          <w:lang w:eastAsia="zh-CN"/>
        </w:rPr>
        <w:t>全国公共资源交易平台（广西·贵港）</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eastAsia="zh-CN"/>
        </w:rPr>
        <w:t>http://ggzy.jgswj.gxzf.gov.cn/ggggzy/</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、贵港市政府</w:t>
      </w:r>
      <w:r>
        <w:rPr>
          <w:rFonts w:hint="eastAsia" w:ascii="宋体" w:hAnsi="宋体" w:eastAsia="宋体" w:cs="宋体"/>
          <w:color w:val="auto"/>
          <w:kern w:val="0"/>
          <w:sz w:val="24"/>
          <w:szCs w:val="24"/>
          <w:highlight w:val="none"/>
          <w:lang w:eastAsia="zh-CN"/>
        </w:rPr>
        <w:t>采购网（http://zfcg.czj.gxgg.gov.cn/）、广西招标网（http://www.guangxibid.com.cn/）。</w:t>
      </w:r>
    </w:p>
    <w:bookmarkEnd w:id="6"/>
    <w:p w14:paraId="0A543A9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本项目需要落实的政府采购政策</w:t>
      </w:r>
    </w:p>
    <w:p w14:paraId="5BCFC79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（1）政府采购促进中小企业发展</w:t>
      </w:r>
      <w:r>
        <w:rPr>
          <w:rFonts w:hint="eastAsia" w:ascii="宋体" w:hAnsi="宋体" w:eastAsia="宋体" w:cs="宋体"/>
          <w:color w:val="auto"/>
          <w:kern w:val="0"/>
          <w:sz w:val="24"/>
          <w:szCs w:val="24"/>
          <w:highlight w:val="none"/>
          <w:lang w:eastAsia="zh-CN"/>
        </w:rPr>
        <w:t>【大型企业不能参与竞标，企业划分标准详见</w:t>
      </w:r>
      <w:r>
        <w:rPr>
          <w:rFonts w:hint="eastAsia" w:ascii="宋体" w:hAnsi="宋体" w:eastAsia="宋体" w:cs="宋体"/>
          <w:color w:val="auto"/>
          <w:kern w:val="0"/>
          <w:sz w:val="24"/>
          <w:szCs w:val="24"/>
          <w:highlight w:val="none"/>
        </w:rPr>
        <w:t>《关于印发中小企业划型标准规定的通知》（工信部联企业[2011]300号）</w:t>
      </w:r>
      <w:r>
        <w:rPr>
          <w:rFonts w:hint="eastAsia" w:ascii="宋体" w:hAnsi="宋体" w:eastAsia="宋体" w:cs="宋体"/>
          <w:color w:val="auto"/>
          <w:kern w:val="0"/>
          <w:sz w:val="24"/>
          <w:szCs w:val="24"/>
          <w:highlight w:val="none"/>
          <w:lang w:eastAsia="zh-CN"/>
        </w:rPr>
        <w:t>文件，监狱企业及残疾人福利性企业视同小型、微型企业。</w:t>
      </w:r>
      <w:r>
        <w:rPr>
          <w:rFonts w:hint="eastAsia" w:ascii="宋体" w:hAnsi="宋体" w:eastAsia="宋体" w:cs="宋体"/>
          <w:b/>
          <w:bCs/>
          <w:color w:val="auto"/>
          <w:kern w:val="0"/>
          <w:sz w:val="24"/>
          <w:szCs w:val="24"/>
          <w:highlight w:val="none"/>
          <w:u w:val="none"/>
          <w:lang w:eastAsia="zh-CN"/>
        </w:rPr>
        <w:t>本项目所属行业：建筑业</w:t>
      </w:r>
      <w:r>
        <w:rPr>
          <w:rFonts w:hint="eastAsia" w:ascii="宋体" w:hAnsi="宋体" w:eastAsia="宋体" w:cs="宋体"/>
          <w:color w:val="auto"/>
          <w:kern w:val="0"/>
          <w:sz w:val="24"/>
          <w:szCs w:val="24"/>
          <w:highlight w:val="none"/>
          <w:lang w:eastAsia="zh-CN"/>
        </w:rPr>
        <w:t>】；</w:t>
      </w:r>
    </w:p>
    <w:p w14:paraId="591A607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）政府采购促进残疾人就业政策</w:t>
      </w:r>
      <w:r>
        <w:rPr>
          <w:rFonts w:hint="eastAsia" w:ascii="宋体" w:hAnsi="宋体" w:eastAsia="宋体" w:cs="宋体"/>
          <w:color w:val="auto"/>
          <w:kern w:val="0"/>
          <w:sz w:val="24"/>
          <w:szCs w:val="24"/>
          <w:highlight w:val="none"/>
          <w:lang w:eastAsia="zh-CN"/>
        </w:rPr>
        <w:t>；</w:t>
      </w:r>
    </w:p>
    <w:p w14:paraId="6D8F9E8D">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）政府采购支持监狱企业发展</w:t>
      </w:r>
      <w:r>
        <w:rPr>
          <w:rFonts w:hint="eastAsia" w:ascii="宋体" w:hAnsi="宋体" w:eastAsia="宋体" w:cs="宋体"/>
          <w:color w:val="auto"/>
          <w:kern w:val="0"/>
          <w:sz w:val="24"/>
          <w:szCs w:val="24"/>
          <w:highlight w:val="none"/>
          <w:lang w:eastAsia="zh-CN"/>
        </w:rPr>
        <w:t>；</w:t>
      </w:r>
    </w:p>
    <w:p w14:paraId="277F9691">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政府采购竞争性磋商采购方式管理暂行办法</w:t>
      </w:r>
      <w:r>
        <w:rPr>
          <w:rFonts w:hint="eastAsia" w:ascii="宋体" w:hAnsi="宋体" w:eastAsia="宋体" w:cs="宋体"/>
          <w:color w:val="auto"/>
          <w:kern w:val="0"/>
          <w:sz w:val="24"/>
          <w:szCs w:val="24"/>
          <w:highlight w:val="none"/>
          <w:lang w:eastAsia="zh-CN"/>
        </w:rPr>
        <w:t>。</w:t>
      </w:r>
    </w:p>
    <w:p w14:paraId="33E0D68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供应商认为采购文件使自己的权益受到损害的，可以自获取采购文件之日或者采购文件公告期限届满之日起7个工作日内以书面形式一次性向采购人和采购代理机构提出同一环节的质疑。否则，逾期的质疑采购人及招标代理机构可不予接受。质疑供应商对采购人、采购代理机构的答复不满意或者采购人、采购代理机构未在规定的时间内作出答复的，可以在答复期满后十五个工作日内向同级政府采购监督管理部门投诉。</w:t>
      </w:r>
    </w:p>
    <w:p w14:paraId="7912D1D9">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6. 若对项目采购电子交易系统操作有疑问，可登录“</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w:t>
      </w:r>
      <w:r>
        <w:rPr>
          <w:rFonts w:hint="eastAsia" w:asciiTheme="minorEastAsia" w:hAnsiTheme="minorEastAsia" w:eastAsiaTheme="minorEastAsia" w:cstheme="minorEastAsia"/>
          <w:color w:val="auto"/>
          <w:sz w:val="24"/>
          <w:szCs w:val="24"/>
          <w:highlight w:val="none"/>
          <w:lang w:val="en-US" w:eastAsia="zh-CN"/>
        </w:rPr>
        <w:t>（https://www.gcy.zfcg.gxzf.gov.cn/）</w:t>
      </w:r>
      <w:r>
        <w:rPr>
          <w:rFonts w:hint="eastAsia" w:ascii="宋体" w:hAnsi="宋体" w:eastAsia="宋体" w:cs="宋体"/>
          <w:color w:val="auto"/>
          <w:kern w:val="0"/>
          <w:sz w:val="24"/>
          <w:szCs w:val="24"/>
          <w:highlight w:val="none"/>
        </w:rPr>
        <w:t>，点击右侧咨询小采，获取采小蜜智能服务管家帮助，或拨打</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服务热线95763获取热线服务帮助。</w:t>
      </w:r>
    </w:p>
    <w:p w14:paraId="275D659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7、在线投标响应（电子投标）说明</w:t>
      </w:r>
    </w:p>
    <w:p w14:paraId="4C1C483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本项目通过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平台实行在线投标响应（电子投标），供应商需要先安装“</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电子交易客户端”，并按照本竞争性磋商采购文件和</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的要求，通过“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电子交易客户端”编制并加密响应文件。供应商未按规定编制并加密的响应文件，</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将予以拒收。</w:t>
      </w:r>
    </w:p>
    <w:p w14:paraId="081445F9">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电子交易客户端”请自行前往广西政府采购网下载并安装；电子投标具体操作流程参考《政府采购项目电子交易管理操作指南-供应商》；在使用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投标客户端时，建议使用WIN7及以上操作系统，通过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平台参与在线投标时如遇平台技术问题详询95763。</w:t>
      </w:r>
    </w:p>
    <w:p w14:paraId="7A196FD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为确保网上操作合法、有效和安全，磋商供应商应当在响应文件提交截止时间前完成在“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平台”的身份认证，确保在电子投标过程中能够对相关数据电文进行加密和使用电子签章。使用“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电子交易客户端”需要提前申领CA数字证书，申领流程请自行前往相关网站进行查阅（完成CA数字证书办理预计一周左右，建议供应商获取竞争性磋商采购文件后立即办理）。</w:t>
      </w:r>
    </w:p>
    <w:p w14:paraId="432A6B4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磋商供应商应当在响应文件提交截止时间前，将生成的“电子加密响应文件”上传提交至</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响应文件提交截止时间前可以补充、修改或者撤回电子磋商响应文件。补充或者修改电子磋商响应文件的，应当先行撤回原文件，补充、修改后重新传输递交，响应文件提交截止时间前未完成传输的，视为撤回响应文件。</w:t>
      </w:r>
    </w:p>
    <w:p w14:paraId="3DC2ABB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5</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响应文件提交截止时间后，</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（电子交易平台）自动提取所有响应文件，各供应商须在提交响应文件截止后30分钟内对上传</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的响应文件进行解密，所有供应商在规定的解密时限内解密完成或解密时限到后，采购代理机构开启响应文件；供应商超过解密时限的，系统默认自动放弃。</w:t>
      </w:r>
    </w:p>
    <w:p w14:paraId="0C80CE84">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如电子加密响应文件无法按时解密时，供应商可授权采购代理机构解密电子备份电子响应文件，需出示授权委托书、出示无法解密的原因材料并加盖公章，且电话告知代理机构，造成最终无法“异常处理”解密的责任由供应商自行承担。代理机构与项目归属监督部门备案后</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供应商电子备份响应文件可以通过以下</w:t>
      </w:r>
      <w:r>
        <w:rPr>
          <w:rFonts w:hint="eastAsia" w:ascii="宋体" w:hAnsi="宋体" w:eastAsia="宋体" w:cs="宋体"/>
          <w:color w:val="auto"/>
          <w:kern w:val="0"/>
          <w:sz w:val="24"/>
          <w:szCs w:val="24"/>
          <w:highlight w:val="none"/>
          <w:lang w:val="en-US" w:eastAsia="zh-CN"/>
        </w:rPr>
        <w:t>两</w:t>
      </w:r>
      <w:r>
        <w:rPr>
          <w:rFonts w:hint="eastAsia" w:ascii="宋体" w:hAnsi="宋体" w:eastAsia="宋体" w:cs="宋体"/>
          <w:color w:val="auto"/>
          <w:kern w:val="0"/>
          <w:sz w:val="24"/>
          <w:szCs w:val="24"/>
          <w:highlight w:val="none"/>
        </w:rPr>
        <w:t>种方式递交：</w:t>
      </w:r>
    </w:p>
    <w:p w14:paraId="17FADBFE">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①电子邮箱方式：在电子响应文件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w:t>
      </w:r>
      <w:r>
        <w:rPr>
          <w:rFonts w:hint="eastAsia" w:ascii="宋体" w:hAnsi="宋体" w:eastAsia="宋体" w:cs="宋体"/>
          <w:color w:val="auto"/>
          <w:kern w:val="0"/>
          <w:sz w:val="24"/>
          <w:szCs w:val="24"/>
          <w:highlight w:val="none"/>
        </w:rPr>
        <w:fldChar w:fldCharType="begin"/>
      </w:r>
      <w:r>
        <w:rPr>
          <w:rFonts w:hint="eastAsia" w:ascii="宋体" w:hAnsi="宋体" w:eastAsia="宋体" w:cs="宋体"/>
          <w:color w:val="auto"/>
          <w:kern w:val="0"/>
          <w:sz w:val="24"/>
          <w:szCs w:val="24"/>
          <w:highlight w:val="none"/>
        </w:rPr>
        <w:instrText xml:space="preserve"> HYPERLINK "mailto:将电子备份响应文发送至广西国泰招标咨询有限公司邮箱gggtzb@163.com；（2）" </w:instrText>
      </w:r>
      <w:r>
        <w:rPr>
          <w:rFonts w:hint="eastAsia" w:ascii="宋体" w:hAnsi="宋体" w:eastAsia="宋体" w:cs="宋体"/>
          <w:color w:val="auto"/>
          <w:kern w:val="0"/>
          <w:sz w:val="24"/>
          <w:szCs w:val="24"/>
          <w:highlight w:val="none"/>
        </w:rPr>
        <w:fldChar w:fldCharType="separate"/>
      </w:r>
      <w:r>
        <w:rPr>
          <w:rFonts w:hint="eastAsia" w:ascii="宋体" w:hAnsi="宋体" w:eastAsia="宋体" w:cs="宋体"/>
          <w:color w:val="auto"/>
          <w:kern w:val="0"/>
          <w:sz w:val="24"/>
          <w:szCs w:val="24"/>
          <w:highlight w:val="none"/>
        </w:rPr>
        <w:t>发送至</w:t>
      </w:r>
      <w:r>
        <w:rPr>
          <w:rFonts w:hint="eastAsia" w:ascii="宋体" w:hAnsi="宋体" w:eastAsia="宋体" w:cs="宋体"/>
          <w:color w:val="auto"/>
          <w:kern w:val="0"/>
          <w:sz w:val="24"/>
          <w:szCs w:val="24"/>
          <w:highlight w:val="none"/>
          <w:lang w:eastAsia="zh-CN"/>
        </w:rPr>
        <w:t>广西建设工程机电设备招标中心有限公司</w:t>
      </w:r>
      <w:r>
        <w:rPr>
          <w:rFonts w:hint="eastAsia" w:ascii="宋体" w:hAnsi="宋体" w:eastAsia="宋体" w:cs="宋体"/>
          <w:color w:val="auto"/>
          <w:kern w:val="0"/>
          <w:sz w:val="24"/>
          <w:szCs w:val="24"/>
          <w:highlight w:val="none"/>
        </w:rPr>
        <w:t>邮箱［</w:t>
      </w:r>
      <w:r>
        <w:rPr>
          <w:rFonts w:hint="eastAsia" w:ascii="宋体" w:hAnsi="宋体" w:eastAsia="宋体" w:cs="宋体"/>
          <w:color w:val="auto"/>
          <w:kern w:val="0"/>
          <w:sz w:val="24"/>
          <w:szCs w:val="24"/>
          <w:highlight w:val="none"/>
          <w:lang w:val="en-US" w:eastAsia="zh-CN"/>
        </w:rPr>
        <w:t>邮箱地址：</w:t>
      </w:r>
      <w:r>
        <w:rPr>
          <w:rFonts w:hint="eastAsia" w:ascii="宋体" w:hAnsi="宋体" w:cs="宋体"/>
          <w:color w:val="auto"/>
          <w:kern w:val="0"/>
          <w:sz w:val="24"/>
          <w:szCs w:val="24"/>
          <w:highlight w:val="none"/>
          <w:lang w:val="en-US" w:eastAsia="zh-CN"/>
        </w:rPr>
        <w:t>564996791@qq.com</w:t>
      </w: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标注项目名称</w:t>
      </w:r>
      <w:r>
        <w:rPr>
          <w:rFonts w:hint="eastAsia" w:ascii="宋体" w:hAnsi="宋体" w:eastAsia="宋体" w:cs="宋体"/>
          <w:color w:val="auto"/>
          <w:kern w:val="0"/>
          <w:sz w:val="24"/>
          <w:szCs w:val="24"/>
          <w:highlight w:val="none"/>
          <w:lang w:val="en-US" w:eastAsia="zh-CN"/>
        </w:rPr>
        <w:t>及</w:t>
      </w:r>
      <w:r>
        <w:rPr>
          <w:rFonts w:hint="eastAsia" w:ascii="宋体" w:hAnsi="宋体" w:eastAsia="宋体" w:cs="宋体"/>
          <w:color w:val="auto"/>
          <w:kern w:val="0"/>
          <w:sz w:val="24"/>
          <w:szCs w:val="24"/>
          <w:highlight w:val="none"/>
        </w:rPr>
        <w:t>单位名称；</w:t>
      </w:r>
    </w:p>
    <w:p w14:paraId="3F250C4E">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②</w:t>
      </w:r>
      <w:r>
        <w:rPr>
          <w:rFonts w:hint="eastAsia" w:ascii="宋体" w:hAnsi="宋体" w:eastAsia="宋体" w:cs="宋体"/>
          <w:color w:val="auto"/>
          <w:kern w:val="0"/>
          <w:sz w:val="24"/>
          <w:szCs w:val="24"/>
          <w:highlight w:val="none"/>
        </w:rPr>
        <w:fldChar w:fldCharType="end"/>
      </w:r>
      <w:r>
        <w:rPr>
          <w:rFonts w:hint="eastAsia" w:ascii="宋体" w:hAnsi="宋体" w:eastAsia="宋体" w:cs="宋体"/>
          <w:color w:val="auto"/>
          <w:kern w:val="0"/>
          <w:sz w:val="24"/>
          <w:szCs w:val="24"/>
          <w:highlight w:val="none"/>
        </w:rPr>
        <w:t>现场送达方式：在电子响应文件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按要求密封并送达贵港市公共资源交易中心二楼交易厅（贵港市港北区金城商业步行街与金田路交叉口东南150米水利大厦）（具体交易厅详见电子屏幕），应当密封包装并在包装上标注项目名称、单位名称并加盖公章</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逾期送达或未按要求密封将被拒收</w:t>
      </w:r>
      <w:r>
        <w:rPr>
          <w:rFonts w:hint="eastAsia" w:ascii="宋体" w:hAnsi="宋体" w:eastAsia="宋体" w:cs="宋体"/>
          <w:color w:val="auto"/>
          <w:kern w:val="0"/>
          <w:sz w:val="24"/>
          <w:szCs w:val="24"/>
          <w:highlight w:val="none"/>
          <w:lang w:eastAsia="zh-CN"/>
        </w:rPr>
        <w:t>。</w:t>
      </w:r>
    </w:p>
    <w:p w14:paraId="537A2C9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本项目实行全流程电子化网上开评标，磋商供应商如有需要，可以参与现场开标（所需在线投标响应及解密开启设备自带）并提供以介质（U盘或光盘等）存储的数据电文形成的电子备份电子响应文件。</w:t>
      </w:r>
    </w:p>
    <w:p w14:paraId="395E5DD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在供应商提交了电子备份响应文件后，通过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平台上传提交的电子加密响应文件无法按时解密且无法通过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“异常处理”端口处理的视为响应文件撤回，所造成的后果由供应商自行承担。</w:t>
      </w:r>
    </w:p>
    <w:p w14:paraId="0F846C7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（电子交易平台）上传递交的“电子加密响应文件”无法按时解密，供应商递交了备份响应文件的，以备份响应文件为依据，否则视为响应文件撤回。通过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（电子交易平台）上传递交的“电子加密响应文件”已按时解密的，“备份响应文件”自动失效。供应商仅递交备份响应文件的，响应无效。</w:t>
      </w:r>
    </w:p>
    <w:p w14:paraId="03C3254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监督部门：</w:t>
      </w:r>
      <w:r>
        <w:rPr>
          <w:rFonts w:hint="eastAsia" w:ascii="宋体" w:hAnsi="宋体" w:cs="宋体"/>
          <w:color w:val="auto"/>
          <w:kern w:val="0"/>
          <w:sz w:val="24"/>
          <w:szCs w:val="24"/>
          <w:highlight w:val="none"/>
          <w:lang w:eastAsia="zh-CN"/>
        </w:rPr>
        <w:t>贵港市港北区财政局综合股</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电话：</w:t>
      </w:r>
      <w:r>
        <w:rPr>
          <w:rFonts w:hint="eastAsia" w:ascii="宋体" w:hAnsi="宋体" w:eastAsia="宋体" w:cs="宋体"/>
          <w:color w:val="auto"/>
          <w:kern w:val="0"/>
          <w:sz w:val="24"/>
          <w:szCs w:val="24"/>
          <w:highlight w:val="none"/>
          <w:lang w:val="en-US" w:eastAsia="zh-CN"/>
        </w:rPr>
        <w:t>0775-4258699,4258673</w:t>
      </w:r>
    </w:p>
    <w:p w14:paraId="2896526F">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9、</w:t>
      </w:r>
      <w:r>
        <w:rPr>
          <w:rFonts w:hint="eastAsia" w:ascii="宋体" w:hAnsi="宋体" w:eastAsia="宋体" w:cs="宋体"/>
          <w:color w:val="auto"/>
          <w:kern w:val="0"/>
          <w:sz w:val="24"/>
          <w:szCs w:val="24"/>
          <w:highlight w:val="none"/>
        </w:rPr>
        <w:t>相关业务联系单位及联系电话</w:t>
      </w:r>
    </w:p>
    <w:p w14:paraId="0EF3819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CA咨询(汇信公司)客服热线：400-888-4636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”平台客服电话：95763</w:t>
      </w:r>
    </w:p>
    <w:p w14:paraId="4B25164D">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八</w:t>
      </w:r>
      <w:r>
        <w:rPr>
          <w:rFonts w:hint="eastAsia" w:asciiTheme="minorEastAsia" w:hAnsiTheme="minorEastAsia" w:eastAsiaTheme="minorEastAsia" w:cstheme="minorEastAsia"/>
          <w:b/>
          <w:bCs/>
          <w:color w:val="auto"/>
          <w:sz w:val="24"/>
          <w:highlight w:val="none"/>
        </w:rPr>
        <w:t>、凡对本次采购提出询问，请按以下方式联系：</w:t>
      </w:r>
    </w:p>
    <w:p w14:paraId="67310BAF">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1.采购人信息</w:t>
      </w:r>
    </w:p>
    <w:p w14:paraId="027BB27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贵港市港北区生态移民发展中心</w:t>
      </w:r>
    </w:p>
    <w:p w14:paraId="2F70BDF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val="zh-CN"/>
        </w:rPr>
        <w:t>贵港市港北区行政中心大楼</w:t>
      </w:r>
      <w:r>
        <w:rPr>
          <w:rFonts w:hint="eastAsia" w:asciiTheme="minorEastAsia" w:hAnsiTheme="minorEastAsia" w:eastAsiaTheme="minorEastAsia" w:cstheme="minorEastAsia"/>
          <w:color w:val="auto"/>
          <w:sz w:val="24"/>
          <w:highlight w:val="none"/>
        </w:rPr>
        <w:t>B区405</w:t>
      </w:r>
    </w:p>
    <w:p w14:paraId="7868ECCA">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傅子航</w:t>
      </w:r>
      <w:r>
        <w:rPr>
          <w:rFonts w:hint="eastAsia" w:asciiTheme="minorEastAsia" w:hAnsiTheme="minorEastAsia" w:eastAsiaTheme="minorEastAsia" w:cstheme="minorEastAsia"/>
          <w:color w:val="auto"/>
          <w:sz w:val="24"/>
          <w:highlight w:val="none"/>
          <w:lang w:val="zh-CN"/>
        </w:rPr>
        <w:t>，0775-4258084</w:t>
      </w:r>
    </w:p>
    <w:p w14:paraId="2B03AFC4">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2.采购代理机构信息</w:t>
      </w:r>
    </w:p>
    <w:p w14:paraId="20B52AAB">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48C10F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eastAsia="zh-CN"/>
        </w:rPr>
        <w:t>南宁市青秀区枫林路18号（国控集团枫林路办公区）裙楼3楼</w:t>
      </w:r>
    </w:p>
    <w:p w14:paraId="18963FD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 xml:space="preserve">谭琦辉、刘雅婷、廖东有, </w:t>
      </w:r>
      <w:r>
        <w:rPr>
          <w:rFonts w:hint="eastAsia" w:asciiTheme="minorEastAsia" w:hAnsiTheme="minorEastAsia" w:eastAsiaTheme="minorEastAsia" w:cstheme="minorEastAsia"/>
          <w:color w:val="auto"/>
          <w:sz w:val="24"/>
          <w:highlight w:val="none"/>
        </w:rPr>
        <w:t>0771-28</w:t>
      </w:r>
      <w:r>
        <w:rPr>
          <w:rFonts w:hint="eastAsia" w:asciiTheme="minorEastAsia" w:hAnsiTheme="minorEastAsia" w:eastAsiaTheme="minorEastAsia" w:cstheme="minorEastAsia"/>
          <w:color w:val="auto"/>
          <w:sz w:val="24"/>
          <w:highlight w:val="none"/>
          <w:lang w:val="en-US" w:eastAsia="zh-CN"/>
        </w:rPr>
        <w:t>21389</w:t>
      </w:r>
    </w:p>
    <w:p w14:paraId="7D44D03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3.项目联系方式</w:t>
      </w:r>
    </w:p>
    <w:p w14:paraId="72E2143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highlight w:val="none"/>
          <w:lang w:val="en-US" w:eastAsia="zh-CN"/>
        </w:rPr>
        <w:t>谭琦辉、刘雅婷、廖东有</w:t>
      </w:r>
    </w:p>
    <w:p w14:paraId="63B6ED8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电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话：</w:t>
      </w:r>
      <w:r>
        <w:rPr>
          <w:rFonts w:hint="eastAsia" w:asciiTheme="minorEastAsia" w:hAnsiTheme="minorEastAsia" w:eastAsiaTheme="minorEastAsia" w:cstheme="minorEastAsia"/>
          <w:color w:val="auto"/>
          <w:sz w:val="24"/>
          <w:highlight w:val="none"/>
        </w:rPr>
        <w:t>077</w:t>
      </w:r>
      <w:r>
        <w:rPr>
          <w:rFonts w:hint="eastAsia" w:asciiTheme="minorEastAsia" w:hAnsiTheme="minorEastAsia" w:eastAsiaTheme="minorEastAsia" w:cstheme="minorEastAsia"/>
          <w:color w:val="auto"/>
          <w:sz w:val="24"/>
          <w:highlight w:val="none"/>
          <w:lang w:val="en-US" w:eastAsia="zh-CN"/>
        </w:rPr>
        <w:t>1</w:t>
      </w:r>
      <w:r>
        <w:rPr>
          <w:rFonts w:hint="eastAsia" w:asciiTheme="minorEastAsia" w:hAnsiTheme="minorEastAsia" w:eastAsiaTheme="minorEastAsia" w:cstheme="minorEastAsia"/>
          <w:color w:val="auto"/>
          <w:sz w:val="24"/>
          <w:highlight w:val="none"/>
        </w:rPr>
        <w:t>-28</w:t>
      </w:r>
      <w:r>
        <w:rPr>
          <w:rFonts w:hint="eastAsia" w:asciiTheme="minorEastAsia" w:hAnsiTheme="minorEastAsia" w:eastAsiaTheme="minorEastAsia" w:cstheme="minorEastAsia"/>
          <w:color w:val="auto"/>
          <w:sz w:val="24"/>
          <w:highlight w:val="none"/>
          <w:lang w:val="en-US" w:eastAsia="zh-CN"/>
        </w:rPr>
        <w:t>21389</w:t>
      </w:r>
    </w:p>
    <w:p w14:paraId="698486ED">
      <w:pPr>
        <w:pStyle w:val="24"/>
        <w:pageBreakBefore w:val="0"/>
        <w:kinsoku/>
        <w:wordWrap/>
        <w:overflowPunct/>
        <w:topLinePunct w:val="0"/>
        <w:autoSpaceDE/>
        <w:autoSpaceDN/>
        <w:bidi w:val="0"/>
        <w:adjustRightInd/>
        <w:spacing w:line="360" w:lineRule="auto"/>
        <w:ind w:left="0" w:firstLine="480" w:firstLineChars="200"/>
        <w:textAlignment w:val="auto"/>
        <w:outlineLvl w:val="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 xml:space="preserve"> </w:t>
      </w:r>
    </w:p>
    <w:p w14:paraId="2A2A7DB9">
      <w:pPr>
        <w:keepNext w:val="0"/>
        <w:keepLines w:val="0"/>
        <w:pageBreakBefore w:val="0"/>
        <w:widowControl w:val="0"/>
        <w:shd w:val="clear"/>
        <w:kinsoku/>
        <w:wordWrap/>
        <w:overflowPunct/>
        <w:topLinePunct w:val="0"/>
        <w:autoSpaceDE/>
        <w:autoSpaceDN/>
        <w:bidi w:val="0"/>
        <w:snapToGrid/>
        <w:spacing w:line="360" w:lineRule="auto"/>
        <w:ind w:firstLine="720" w:firstLineChars="300"/>
        <w:jc w:val="right"/>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lang w:val="en-US" w:eastAsia="zh-CN"/>
        </w:rPr>
        <w:t xml:space="preserve">     采购代理单位：</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01AD976">
      <w:pPr>
        <w:keepNext w:val="0"/>
        <w:keepLines w:val="0"/>
        <w:pageBreakBefore w:val="0"/>
        <w:widowControl w:val="0"/>
        <w:shd w:val="clear"/>
        <w:kinsoku/>
        <w:wordWrap/>
        <w:overflowPunct/>
        <w:topLinePunct w:val="0"/>
        <w:autoSpaceDE/>
        <w:autoSpaceDN/>
        <w:bidi w:val="0"/>
        <w:snapToGrid/>
        <w:spacing w:line="360" w:lineRule="auto"/>
        <w:ind w:firstLine="480" w:firstLineChars="200"/>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8</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日</w:t>
      </w:r>
      <w:bookmarkStart w:id="7" w:name="_Toc18176"/>
      <w:r>
        <w:rPr>
          <w:rFonts w:hint="eastAsia" w:asciiTheme="minorEastAsia" w:hAnsiTheme="minorEastAsia" w:eastAsiaTheme="minorEastAsia" w:cstheme="minorEastAsia"/>
          <w:color w:val="auto"/>
          <w:highlight w:val="none"/>
        </w:rPr>
        <w:br w:type="page"/>
      </w:r>
    </w:p>
    <w:p w14:paraId="006ABB33">
      <w:pPr>
        <w:pStyle w:val="40"/>
        <w:shd w:val="clear"/>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第二章  磋商须知</w:t>
      </w:r>
      <w:r>
        <w:rPr>
          <w:rFonts w:hint="eastAsia" w:asciiTheme="minorEastAsia" w:hAnsiTheme="minorEastAsia" w:eastAsiaTheme="minorEastAsia" w:cstheme="minorEastAsia"/>
          <w:color w:val="auto"/>
          <w:highlight w:val="none"/>
          <w:lang w:eastAsia="zh-CN"/>
        </w:rPr>
        <w:t>前附表</w:t>
      </w:r>
      <w:r>
        <w:rPr>
          <w:rFonts w:hint="eastAsia" w:asciiTheme="minorEastAsia" w:hAnsiTheme="minorEastAsia" w:eastAsiaTheme="minorEastAsia" w:cstheme="minorEastAsia"/>
          <w:color w:val="auto"/>
          <w:highlight w:val="none"/>
        </w:rPr>
        <w:t>及</w:t>
      </w:r>
      <w:bookmarkEnd w:id="1"/>
      <w:r>
        <w:rPr>
          <w:rFonts w:hint="eastAsia" w:asciiTheme="minorEastAsia" w:hAnsiTheme="minorEastAsia" w:eastAsiaTheme="minorEastAsia" w:cstheme="minorEastAsia"/>
          <w:color w:val="auto"/>
          <w:highlight w:val="none"/>
          <w:lang w:eastAsia="zh-CN"/>
        </w:rPr>
        <w:t>磋商须知</w:t>
      </w:r>
      <w:bookmarkEnd w:id="7"/>
    </w:p>
    <w:p w14:paraId="72D66F3F">
      <w:pPr>
        <w:shd w:val="clear"/>
        <w:jc w:val="center"/>
        <w:rPr>
          <w:rFonts w:asciiTheme="minorEastAsia" w:hAnsiTheme="minorEastAsia" w:eastAsiaTheme="minorEastAsia" w:cstheme="minorEastAsia"/>
          <w:b/>
          <w:bCs/>
          <w:color w:val="auto"/>
          <w:sz w:val="32"/>
          <w:szCs w:val="32"/>
          <w:highlight w:val="none"/>
        </w:rPr>
      </w:pPr>
      <w:r>
        <w:rPr>
          <w:rFonts w:hint="eastAsia" w:asciiTheme="minorEastAsia" w:hAnsiTheme="minorEastAsia" w:eastAsiaTheme="minorEastAsia" w:cstheme="minorEastAsia"/>
          <w:b/>
          <w:bCs/>
          <w:color w:val="auto"/>
          <w:sz w:val="32"/>
          <w:szCs w:val="32"/>
          <w:highlight w:val="none"/>
        </w:rPr>
        <w:t>磋商须知前附表</w:t>
      </w:r>
    </w:p>
    <w:tbl>
      <w:tblPr>
        <w:tblStyle w:val="43"/>
        <w:tblW w:w="10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1093"/>
        <w:gridCol w:w="8813"/>
      </w:tblGrid>
      <w:tr w14:paraId="6390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tcPr>
          <w:p w14:paraId="3BB87F72">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项号</w:t>
            </w:r>
          </w:p>
        </w:tc>
        <w:tc>
          <w:tcPr>
            <w:tcW w:w="1093" w:type="dxa"/>
          </w:tcPr>
          <w:p w14:paraId="56A7D490">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条款号</w:t>
            </w:r>
          </w:p>
        </w:tc>
        <w:tc>
          <w:tcPr>
            <w:tcW w:w="8813" w:type="dxa"/>
          </w:tcPr>
          <w:p w14:paraId="60CB3A5E">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内   容    规   定</w:t>
            </w:r>
          </w:p>
        </w:tc>
      </w:tr>
      <w:tr w14:paraId="0E0F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jc w:val="center"/>
        </w:trPr>
        <w:tc>
          <w:tcPr>
            <w:tcW w:w="652" w:type="dxa"/>
            <w:vAlign w:val="center"/>
          </w:tcPr>
          <w:p w14:paraId="059EE515">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1093" w:type="dxa"/>
            <w:vAlign w:val="center"/>
          </w:tcPr>
          <w:p w14:paraId="30030582">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8813" w:type="dxa"/>
          </w:tcPr>
          <w:p w14:paraId="71F14976">
            <w:pPr>
              <w:shd w:val="clear"/>
              <w:spacing w:line="360" w:lineRule="exact"/>
              <w:rPr>
                <w:rFonts w:hint="eastAsia" w:asciiTheme="minorEastAsia" w:hAnsiTheme="minorEastAsia" w:eastAsiaTheme="minorEastAsia" w:cstheme="minorEastAsia"/>
                <w:b/>
                <w:color w:val="auto"/>
                <w:spacing w:val="2"/>
                <w:highlight w:val="none"/>
              </w:rPr>
            </w:pPr>
            <w:r>
              <w:rPr>
                <w:rFonts w:hint="eastAsia" w:asciiTheme="minorEastAsia" w:hAnsiTheme="minorEastAsia" w:eastAsiaTheme="minorEastAsia" w:cstheme="minorEastAsia"/>
                <w:b/>
                <w:color w:val="auto"/>
                <w:spacing w:val="2"/>
                <w:highlight w:val="none"/>
              </w:rPr>
              <w:t>项目名称</w:t>
            </w:r>
            <w:r>
              <w:rPr>
                <w:rFonts w:hint="eastAsia" w:asciiTheme="minorEastAsia" w:hAnsiTheme="minorEastAsia" w:eastAsiaTheme="minorEastAsia" w:cstheme="minorEastAsia"/>
                <w:b w:val="0"/>
                <w:bCs/>
                <w:color w:val="auto"/>
                <w:spacing w:val="2"/>
                <w:highlight w:val="none"/>
              </w:rPr>
              <w:t>：</w:t>
            </w:r>
            <w:r>
              <w:rPr>
                <w:rFonts w:hint="eastAsia" w:asciiTheme="minorEastAsia" w:hAnsiTheme="minorEastAsia" w:eastAsiaTheme="minorEastAsia" w:cstheme="minorEastAsia"/>
                <w:b w:val="0"/>
                <w:bCs/>
                <w:color w:val="auto"/>
                <w:spacing w:val="2"/>
                <w:highlight w:val="none"/>
                <w:lang w:val="en-US" w:eastAsia="zh-CN"/>
              </w:rPr>
              <w:t>贵港市港北区奇石乡六马村六行屯人居环境改善工程</w:t>
            </w:r>
          </w:p>
          <w:p w14:paraId="703664AC">
            <w:pPr>
              <w:shd w:val="clear"/>
              <w:spacing w:line="360" w:lineRule="exact"/>
              <w:rPr>
                <w:rFonts w:hint="eastAsia"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项目编号：</w:t>
            </w:r>
            <w:r>
              <w:rPr>
                <w:rFonts w:hint="eastAsia" w:asciiTheme="minorEastAsia" w:hAnsiTheme="minorEastAsia" w:eastAsiaTheme="minorEastAsia" w:cstheme="minorEastAsia"/>
                <w:b w:val="0"/>
                <w:bCs/>
                <w:color w:val="auto"/>
                <w:spacing w:val="2"/>
                <w:highlight w:val="none"/>
                <w:lang w:val="en-US" w:eastAsia="zh-CN"/>
              </w:rPr>
              <w:t>GGZC2025-C2-020063-JGJD</w:t>
            </w:r>
          </w:p>
          <w:p w14:paraId="55E6E82C">
            <w:pPr>
              <w:shd w:val="clear"/>
              <w:spacing w:line="360" w:lineRule="exact"/>
              <w:rPr>
                <w:rFonts w:hint="default"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采购计划备案文号：</w:t>
            </w:r>
            <w:r>
              <w:rPr>
                <w:rFonts w:hint="eastAsia" w:asciiTheme="minorEastAsia" w:hAnsiTheme="minorEastAsia" w:eastAsiaTheme="minorEastAsia" w:cstheme="minorEastAsia"/>
                <w:b w:val="0"/>
                <w:bCs/>
                <w:color w:val="auto"/>
                <w:spacing w:val="2"/>
                <w:highlight w:val="none"/>
                <w:lang w:val="en-US" w:eastAsia="zh-CN"/>
              </w:rPr>
              <w:t>GGGBZC[2025]860号</w:t>
            </w:r>
          </w:p>
          <w:p w14:paraId="6F94D0A9">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pacing w:val="2"/>
                <w:highlight w:val="none"/>
              </w:rPr>
              <w:t>标段划分：</w:t>
            </w:r>
            <w:r>
              <w:rPr>
                <w:rFonts w:hint="eastAsia" w:asciiTheme="minorEastAsia" w:hAnsiTheme="minorEastAsia" w:eastAsiaTheme="minorEastAsia" w:cstheme="minorEastAsia"/>
                <w:b w:val="0"/>
                <w:bCs/>
                <w:color w:val="auto"/>
                <w:spacing w:val="2"/>
                <w:highlight w:val="none"/>
              </w:rPr>
              <w:t>本项目划</w:t>
            </w:r>
            <w:r>
              <w:rPr>
                <w:rFonts w:hint="eastAsia" w:asciiTheme="minorEastAsia" w:hAnsiTheme="minorEastAsia" w:eastAsiaTheme="minorEastAsia" w:cstheme="minorEastAsia"/>
                <w:color w:val="auto"/>
                <w:spacing w:val="2"/>
                <w:highlight w:val="none"/>
              </w:rPr>
              <w:t>分为一个标段，</w:t>
            </w:r>
            <w:r>
              <w:rPr>
                <w:rFonts w:hint="eastAsia" w:asciiTheme="minorEastAsia" w:hAnsiTheme="minorEastAsia" w:eastAsiaTheme="minorEastAsia" w:cstheme="minorEastAsia"/>
                <w:b w:val="0"/>
                <w:bCs/>
                <w:color w:val="auto"/>
                <w:spacing w:val="2"/>
                <w:highlight w:val="none"/>
                <w:lang w:val="en-US" w:eastAsia="zh-CN"/>
              </w:rPr>
              <w:t>贵港市港北区奇石乡六马村六行屯人居环境改善工程</w:t>
            </w:r>
          </w:p>
          <w:p w14:paraId="6DCDD2C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kern w:val="2"/>
                <w:sz w:val="21"/>
                <w:szCs w:val="21"/>
                <w:highlight w:val="none"/>
                <w:lang w:val="en-US" w:eastAsia="zh-CN" w:bidi="ar-SA"/>
              </w:rPr>
            </w:pPr>
            <w:r>
              <w:rPr>
                <w:rFonts w:hint="eastAsia" w:asciiTheme="minorEastAsia" w:hAnsiTheme="minorEastAsia" w:eastAsiaTheme="minorEastAsia" w:cstheme="minorEastAsia"/>
                <w:b/>
                <w:color w:val="auto"/>
                <w:highlight w:val="none"/>
              </w:rPr>
              <w:t>建设单位：</w:t>
            </w:r>
            <w:r>
              <w:rPr>
                <w:rFonts w:hint="eastAsia" w:asciiTheme="minorEastAsia" w:hAnsiTheme="minorEastAsia" w:eastAsiaTheme="minorEastAsia" w:cstheme="minorEastAsia"/>
                <w:color w:val="auto"/>
                <w:spacing w:val="2"/>
                <w:kern w:val="2"/>
                <w:sz w:val="21"/>
                <w:szCs w:val="21"/>
                <w:highlight w:val="none"/>
                <w:lang w:val="en-US" w:eastAsia="zh-CN" w:bidi="ar-SA"/>
              </w:rPr>
              <w:t>贵港市港北区生态移民发展中心</w:t>
            </w:r>
          </w:p>
          <w:p w14:paraId="36847D1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资金来源</w:t>
            </w:r>
            <w:r>
              <w:rPr>
                <w:rFonts w:hint="eastAsia" w:ascii="宋体" w:hAnsi="宋体"/>
                <w:b w:val="0"/>
                <w:bCs/>
                <w:color w:val="auto"/>
                <w:highlight w:val="none"/>
                <w:u w:val="none"/>
                <w:lang w:eastAsia="zh-CN"/>
              </w:rPr>
              <w:t>：</w:t>
            </w:r>
            <w:r>
              <w:rPr>
                <w:rFonts w:hint="eastAsia" w:ascii="宋体" w:hAnsi="宋体"/>
                <w:b w:val="0"/>
                <w:bCs/>
                <w:color w:val="auto"/>
                <w:highlight w:val="none"/>
                <w:u w:val="none"/>
                <w:lang w:val="en-US" w:eastAsia="zh-CN"/>
              </w:rPr>
              <w:t>公共财政预算拨款</w:t>
            </w:r>
          </w:p>
          <w:p w14:paraId="368A1C8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工程预算控制价：</w:t>
            </w:r>
            <w:r>
              <w:rPr>
                <w:rFonts w:hint="eastAsia" w:ascii="宋体" w:hAnsi="宋体"/>
                <w:b w:val="0"/>
                <w:bCs/>
                <w:color w:val="auto"/>
                <w:highlight w:val="none"/>
                <w:u w:val="none"/>
                <w:lang w:val="en-US" w:eastAsia="zh-CN"/>
              </w:rPr>
              <w:t>人民币柒拾肆万玖仟零肆拾元叁角壹分（¥749040.31元）</w:t>
            </w:r>
          </w:p>
          <w:p w14:paraId="5C61D71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b w:val="0"/>
                <w:bCs/>
                <w:color w:val="auto"/>
                <w:spacing w:val="2"/>
                <w:highlight w:val="none"/>
                <w:lang w:val="en-US" w:eastAsia="zh-CN"/>
              </w:rPr>
            </w:pPr>
            <w:r>
              <w:rPr>
                <w:rFonts w:hint="eastAsia" w:ascii="宋体" w:hAnsi="宋体"/>
                <w:b/>
                <w:bCs w:val="0"/>
                <w:color w:val="auto"/>
                <w:highlight w:val="none"/>
                <w:u w:val="none"/>
                <w:lang w:eastAsia="zh-CN"/>
              </w:rPr>
              <w:t>建设地点：</w:t>
            </w:r>
            <w:r>
              <w:rPr>
                <w:rFonts w:hint="eastAsia" w:asciiTheme="minorEastAsia" w:hAnsiTheme="minorEastAsia" w:eastAsiaTheme="minorEastAsia" w:cstheme="minorEastAsia"/>
                <w:b w:val="0"/>
                <w:bCs/>
                <w:color w:val="auto"/>
                <w:spacing w:val="2"/>
                <w:highlight w:val="none"/>
                <w:lang w:val="en-US" w:eastAsia="zh-CN"/>
              </w:rPr>
              <w:t>贵港市港北区奇石乡六马村六行屯</w:t>
            </w:r>
          </w:p>
          <w:p w14:paraId="4CDDD97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highlight w:val="none"/>
                <w:lang w:val="en-US" w:eastAsia="zh-CN"/>
              </w:rPr>
            </w:pPr>
            <w:r>
              <w:rPr>
                <w:rFonts w:hint="eastAsia" w:ascii="宋体" w:hAnsi="宋体"/>
                <w:b/>
                <w:bCs w:val="0"/>
                <w:color w:val="auto"/>
                <w:highlight w:val="none"/>
                <w:u w:val="none"/>
              </w:rPr>
              <w:t>工程建设规模与内容：</w:t>
            </w:r>
            <w:r>
              <w:rPr>
                <w:rFonts w:hint="eastAsia" w:ascii="宋体" w:hAnsi="宋体"/>
                <w:b w:val="0"/>
                <w:bCs/>
                <w:color w:val="auto"/>
                <w:highlight w:val="none"/>
                <w:u w:val="none"/>
                <w:lang w:val="en-US" w:eastAsia="zh-CN"/>
              </w:rPr>
              <w:t>1.道路工程：道路硬化2条长611m宽3.5m(增加会车台2道)；2.环境整治：新建场地硬化34㎡,场地修复2处201㎡,路灯39盏。如需进一步了解详细内容，详见工程量清单和施工图纸。如需进一步了解详细内容，详见工程量清单和施工图纸。</w:t>
            </w:r>
          </w:p>
          <w:p w14:paraId="48DB9FE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color w:val="auto"/>
                <w:highlight w:val="none"/>
              </w:rPr>
            </w:pPr>
            <w:r>
              <w:rPr>
                <w:rFonts w:hint="eastAsia" w:ascii="宋体" w:hAnsi="宋体"/>
                <w:color w:val="auto"/>
                <w:highlight w:val="none"/>
              </w:rPr>
              <w:t>计划工期：</w:t>
            </w:r>
            <w:r>
              <w:rPr>
                <w:rFonts w:hint="eastAsia" w:asciiTheme="minorEastAsia" w:hAnsiTheme="minorEastAsia" w:eastAsiaTheme="minorEastAsia" w:cstheme="minorEastAsia"/>
                <w:color w:val="auto"/>
                <w:sz w:val="21"/>
                <w:szCs w:val="21"/>
                <w:highlight w:val="none"/>
                <w:u w:val="none"/>
                <w:lang w:eastAsia="zh-CN"/>
              </w:rPr>
              <w:t>自合同签订之日起</w:t>
            </w:r>
            <w:r>
              <w:rPr>
                <w:rFonts w:hint="eastAsia" w:asciiTheme="minorEastAsia" w:hAnsiTheme="minorEastAsia" w:eastAsiaTheme="minorEastAsia" w:cstheme="minorEastAsia"/>
                <w:color w:val="auto"/>
                <w:sz w:val="21"/>
                <w:szCs w:val="21"/>
                <w:highlight w:val="none"/>
                <w:u w:val="none"/>
                <w:lang w:val="en-US" w:eastAsia="zh-CN"/>
              </w:rPr>
              <w:t>120</w:t>
            </w:r>
            <w:r>
              <w:rPr>
                <w:rFonts w:hint="eastAsia" w:asciiTheme="minorEastAsia" w:hAnsiTheme="minorEastAsia" w:eastAsiaTheme="minorEastAsia" w:cstheme="minorEastAsia"/>
                <w:color w:val="auto"/>
                <w:sz w:val="21"/>
                <w:szCs w:val="21"/>
                <w:highlight w:val="none"/>
                <w:u w:val="none"/>
                <w:lang w:eastAsia="zh-CN"/>
              </w:rPr>
              <w:t>日历天内竣工并移交整个工程。</w:t>
            </w:r>
          </w:p>
          <w:p w14:paraId="5C91311B">
            <w:pPr>
              <w:shd w:val="clear"/>
              <w:spacing w:line="360" w:lineRule="exact"/>
              <w:jc w:val="both"/>
              <w:rPr>
                <w:rFonts w:hint="eastAsia" w:eastAsia="宋体" w:asciiTheme="minorEastAsia" w:hAnsiTheme="minorEastAsia" w:cstheme="minorEastAsia"/>
                <w:color w:val="auto"/>
                <w:spacing w:val="2"/>
                <w:highlight w:val="none"/>
                <w:lang w:eastAsia="zh-CN"/>
              </w:rPr>
            </w:pPr>
            <w:r>
              <w:rPr>
                <w:rFonts w:hint="eastAsia" w:ascii="宋体" w:hAnsi="宋体"/>
                <w:color w:val="auto"/>
                <w:highlight w:val="none"/>
              </w:rPr>
              <w:t>质量要求：达到国家工程施工验收规范合格标准</w:t>
            </w:r>
            <w:r>
              <w:rPr>
                <w:rFonts w:hint="eastAsia" w:ascii="宋体" w:hAnsi="宋体"/>
                <w:color w:val="auto"/>
                <w:highlight w:val="none"/>
                <w:lang w:eastAsia="zh-CN"/>
              </w:rPr>
              <w:t>。</w:t>
            </w:r>
          </w:p>
        </w:tc>
      </w:tr>
      <w:tr w14:paraId="62B5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652" w:type="dxa"/>
            <w:vAlign w:val="center"/>
          </w:tcPr>
          <w:p w14:paraId="6422FD63">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3</w:t>
            </w:r>
          </w:p>
        </w:tc>
        <w:tc>
          <w:tcPr>
            <w:tcW w:w="1093" w:type="dxa"/>
            <w:vAlign w:val="center"/>
          </w:tcPr>
          <w:p w14:paraId="6C6673E8">
            <w:pPr>
              <w:shd w:val="clear"/>
              <w:spacing w:line="360" w:lineRule="exact"/>
              <w:jc w:val="center"/>
              <w:rPr>
                <w:rFonts w:hint="default"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lang w:val="en-US" w:eastAsia="zh-CN"/>
              </w:rPr>
              <w:t>3.4</w:t>
            </w:r>
          </w:p>
        </w:tc>
        <w:tc>
          <w:tcPr>
            <w:tcW w:w="8813" w:type="dxa"/>
            <w:vAlign w:val="center"/>
          </w:tcPr>
          <w:p w14:paraId="2BA3F4E0">
            <w:pPr>
              <w:keepNext w:val="0"/>
              <w:keepLines w:val="0"/>
              <w:pageBreakBefore w:val="0"/>
              <w:widowControl w:val="0"/>
              <w:shd w:val="clear"/>
              <w:kinsoku/>
              <w:wordWrap/>
              <w:overflowPunct/>
              <w:topLinePunct w:val="0"/>
              <w:autoSpaceDE/>
              <w:autoSpaceDN/>
              <w:bidi w:val="0"/>
              <w:adjustRightInd/>
              <w:snapToGrid/>
              <w:spacing w:line="380" w:lineRule="exact"/>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供应商资格要求：</w:t>
            </w:r>
          </w:p>
          <w:p w14:paraId="7FC3F9FA">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1.满足《中华人民共和国政府采购法》第二十二条规定；</w:t>
            </w:r>
          </w:p>
          <w:p w14:paraId="27375C48">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2.落实政府采购政策需满足的资格要求</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rPr>
              <w:t>专门面向中小企业采购的项目（供应商应为中小微企业、监狱企业</w:t>
            </w:r>
            <w:r>
              <w:rPr>
                <w:rFonts w:hint="eastAsia" w:ascii="宋体" w:hAnsi="宋体" w:cs="仿宋"/>
                <w:caps w:val="0"/>
                <w:color w:val="auto"/>
                <w:spacing w:val="0"/>
                <w:sz w:val="21"/>
                <w:szCs w:val="21"/>
                <w:highlight w:val="none"/>
                <w:lang w:val="en-US" w:eastAsia="zh-CN"/>
              </w:rPr>
              <w:t>或</w:t>
            </w:r>
            <w:r>
              <w:rPr>
                <w:rFonts w:hint="eastAsia" w:ascii="宋体" w:hAnsi="宋体" w:cs="仿宋"/>
                <w:caps w:val="0"/>
                <w:color w:val="auto"/>
                <w:spacing w:val="0"/>
                <w:sz w:val="21"/>
                <w:szCs w:val="21"/>
                <w:highlight w:val="none"/>
              </w:rPr>
              <w:t>残疾人福利性单位</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lang w:val="en-US" w:eastAsia="zh-CN"/>
              </w:rPr>
              <w:t>大型企业不得参加。</w:t>
            </w:r>
            <w:r>
              <w:rPr>
                <w:rFonts w:hint="eastAsia" w:ascii="宋体" w:hAnsi="宋体" w:cs="仿宋"/>
                <w:caps w:val="0"/>
                <w:color w:val="auto"/>
                <w:spacing w:val="0"/>
                <w:sz w:val="21"/>
                <w:szCs w:val="21"/>
                <w:highlight w:val="none"/>
              </w:rPr>
              <w:t>)</w:t>
            </w:r>
          </w:p>
          <w:p w14:paraId="082654F3">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3.本项目的特定资格要求：</w:t>
            </w:r>
          </w:p>
          <w:p w14:paraId="14A3DAD2">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textAlignment w:val="auto"/>
              <w:outlineLvl w:val="9"/>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en-US" w:eastAsia="zh-CN"/>
              </w:rPr>
              <w:t>1</w:t>
            </w: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zh-CN"/>
              </w:rPr>
              <w:t>本次</w:t>
            </w:r>
            <w:r>
              <w:rPr>
                <w:rFonts w:hint="eastAsia" w:asciiTheme="minorEastAsia" w:hAnsiTheme="minorEastAsia" w:eastAsiaTheme="minorEastAsia" w:cstheme="minorEastAsia"/>
                <w:caps w:val="0"/>
                <w:color w:val="auto"/>
                <w:spacing w:val="0"/>
                <w:sz w:val="21"/>
                <w:szCs w:val="21"/>
                <w:highlight w:val="none"/>
                <w:lang w:val="en-US" w:eastAsia="zh-CN"/>
              </w:rPr>
              <w:t>采购</w:t>
            </w:r>
            <w:r>
              <w:rPr>
                <w:rFonts w:hint="eastAsia" w:asciiTheme="minorEastAsia" w:hAnsiTheme="minorEastAsia" w:eastAsiaTheme="minorEastAsia" w:cstheme="minorEastAsia"/>
                <w:caps w:val="0"/>
                <w:color w:val="auto"/>
                <w:spacing w:val="0"/>
                <w:sz w:val="21"/>
                <w:szCs w:val="21"/>
                <w:highlight w:val="none"/>
                <w:lang w:val="zh-CN"/>
              </w:rPr>
              <w:t>要求</w:t>
            </w:r>
            <w:r>
              <w:rPr>
                <w:rFonts w:hint="eastAsia" w:asciiTheme="minorEastAsia" w:hAnsiTheme="minorEastAsia" w:eastAsiaTheme="minorEastAsia" w:cstheme="minorEastAsia"/>
                <w:caps w:val="0"/>
                <w:color w:val="auto"/>
                <w:spacing w:val="0"/>
                <w:sz w:val="21"/>
                <w:szCs w:val="21"/>
                <w:highlight w:val="none"/>
                <w:lang w:val="en-US" w:eastAsia="zh-CN"/>
              </w:rPr>
              <w:t>竞</w:t>
            </w:r>
            <w:r>
              <w:rPr>
                <w:rFonts w:hint="eastAsia" w:asciiTheme="minorEastAsia" w:hAnsiTheme="minorEastAsia" w:eastAsiaTheme="minorEastAsia" w:cstheme="minorEastAsia"/>
                <w:caps w:val="0"/>
                <w:color w:val="auto"/>
                <w:spacing w:val="0"/>
                <w:sz w:val="21"/>
                <w:szCs w:val="21"/>
                <w:highlight w:val="none"/>
                <w:lang w:val="zh-CN"/>
              </w:rPr>
              <w:t>标人</w:t>
            </w:r>
            <w:r>
              <w:rPr>
                <w:rFonts w:hint="eastAsia" w:asciiTheme="minorEastAsia" w:hAnsiTheme="minorEastAsia" w:eastAsiaTheme="minorEastAsia" w:cstheme="minorEastAsia"/>
                <w:color w:val="auto"/>
                <w:sz w:val="21"/>
                <w:szCs w:val="21"/>
                <w:highlight w:val="none"/>
              </w:rPr>
              <w:t>须具备</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市政公用工程施工总承包叁级</w:t>
            </w:r>
            <w:r>
              <w:rPr>
                <w:rFonts w:hint="eastAsia" w:asciiTheme="minorEastAsia" w:hAnsiTheme="minorEastAsia" w:eastAsiaTheme="minorEastAsia" w:cstheme="minorEastAsia"/>
                <w:b/>
                <w:bCs/>
                <w:caps w:val="0"/>
                <w:color w:val="auto"/>
                <w:spacing w:val="0"/>
                <w:sz w:val="21"/>
                <w:szCs w:val="21"/>
                <w:highlight w:val="none"/>
                <w:u w:val="single"/>
              </w:rPr>
              <w:t>以上</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（含叁级）</w:t>
            </w:r>
            <w:r>
              <w:rPr>
                <w:rFonts w:hint="eastAsia" w:asciiTheme="minorEastAsia" w:hAnsiTheme="minorEastAsia" w:eastAsiaTheme="minorEastAsia" w:cstheme="minorEastAsia"/>
                <w:color w:val="auto"/>
                <w:sz w:val="21"/>
                <w:szCs w:val="21"/>
                <w:highlight w:val="none"/>
              </w:rPr>
              <w:t>资质</w:t>
            </w:r>
            <w:r>
              <w:rPr>
                <w:rFonts w:hint="eastAsia" w:asciiTheme="minorEastAsia" w:hAnsiTheme="minorEastAsia" w:eastAsiaTheme="minorEastAsia" w:cstheme="minorEastAsia"/>
                <w:caps w:val="0"/>
                <w:color w:val="auto"/>
                <w:spacing w:val="0"/>
                <w:sz w:val="21"/>
                <w:szCs w:val="21"/>
                <w:highlight w:val="none"/>
              </w:rPr>
              <w:t>，</w:t>
            </w:r>
            <w:r>
              <w:rPr>
                <w:rFonts w:hint="eastAsia" w:asciiTheme="minorEastAsia" w:hAnsiTheme="minorEastAsia" w:eastAsiaTheme="minorEastAsia" w:cstheme="minorEastAsia"/>
                <w:color w:val="auto"/>
                <w:sz w:val="21"/>
                <w:szCs w:val="21"/>
                <w:highlight w:val="none"/>
              </w:rPr>
              <w:t>且同时具有《安全生产许可证》，并在人员、设备、资金等方面具备相应的施工能力。</w:t>
            </w:r>
          </w:p>
          <w:p w14:paraId="40CC9511">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Theme="minorEastAsia" w:hAnsiTheme="minorEastAsia" w:eastAsiaTheme="minorEastAsia" w:cstheme="minorEastAsia"/>
                <w:caps w:val="0"/>
                <w:color w:val="auto"/>
                <w:spacing w:val="0"/>
                <w:sz w:val="21"/>
                <w:szCs w:val="21"/>
                <w:highlight w:val="none"/>
              </w:rPr>
            </w:pP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竞标</w:t>
            </w:r>
            <w:r>
              <w:rPr>
                <w:rFonts w:hint="eastAsia" w:asciiTheme="minorEastAsia" w:hAnsiTheme="minorEastAsia" w:eastAsiaTheme="minorEastAsia" w:cstheme="minorEastAsia"/>
                <w:color w:val="auto"/>
                <w:sz w:val="21"/>
                <w:szCs w:val="21"/>
                <w:highlight w:val="none"/>
              </w:rPr>
              <w:t>人拟派项目经理须具备</w:t>
            </w:r>
            <w:r>
              <w:rPr>
                <w:rFonts w:hint="eastAsia" w:asciiTheme="minorEastAsia" w:hAnsiTheme="minorEastAsia" w:eastAsiaTheme="minorEastAsia" w:cstheme="minorEastAsia"/>
                <w:b/>
                <w:bCs/>
                <w:color w:val="auto"/>
                <w:sz w:val="21"/>
                <w:szCs w:val="21"/>
                <w:highlight w:val="none"/>
                <w:u w:val="single"/>
                <w:lang w:val="zh-CN"/>
              </w:rPr>
              <w:t>市政公用工程</w:t>
            </w:r>
            <w:r>
              <w:rPr>
                <w:rFonts w:hint="eastAsia" w:asciiTheme="minorEastAsia" w:hAnsiTheme="minorEastAsia" w:eastAsiaTheme="minorEastAsia" w:cstheme="minorEastAsia"/>
                <w:b/>
                <w:bCs/>
                <w:color w:val="auto"/>
                <w:sz w:val="21"/>
                <w:szCs w:val="21"/>
                <w:highlight w:val="none"/>
                <w:u w:val="single"/>
                <w:lang w:val="en-US" w:eastAsia="zh-CN"/>
              </w:rPr>
              <w:t>专业</w:t>
            </w:r>
            <w:r>
              <w:rPr>
                <w:rFonts w:hint="eastAsia" w:asciiTheme="minorEastAsia" w:hAnsiTheme="minorEastAsia" w:eastAsiaTheme="minorEastAsia" w:cstheme="minorEastAsia"/>
                <w:b/>
                <w:bCs/>
                <w:color w:val="auto"/>
                <w:sz w:val="21"/>
                <w:szCs w:val="21"/>
                <w:highlight w:val="none"/>
                <w:u w:val="single"/>
                <w:lang w:val="zh-CN"/>
              </w:rPr>
              <w:t>贰级以上(含贰级)</w:t>
            </w:r>
            <w:r>
              <w:rPr>
                <w:rFonts w:hint="eastAsia" w:asciiTheme="minorEastAsia" w:hAnsiTheme="minorEastAsia" w:eastAsiaTheme="minorEastAsia" w:cstheme="minorEastAsia"/>
                <w:color w:val="auto"/>
                <w:sz w:val="21"/>
                <w:szCs w:val="21"/>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1"/>
                <w:szCs w:val="21"/>
                <w:highlight w:val="none"/>
              </w:rPr>
              <w:t>（</w:t>
            </w:r>
            <w:r>
              <w:rPr>
                <w:rFonts w:hint="eastAsia" w:asciiTheme="minorEastAsia" w:hAnsiTheme="minorEastAsia" w:eastAsiaTheme="minorEastAsia" w:cstheme="minorEastAsia"/>
                <w:color w:val="auto"/>
                <w:sz w:val="21"/>
                <w:szCs w:val="21"/>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1"/>
                <w:szCs w:val="21"/>
                <w:highlight w:val="none"/>
              </w:rPr>
              <w:t>2016</w:t>
            </w:r>
            <w:r>
              <w:rPr>
                <w:rFonts w:hint="eastAsia" w:asciiTheme="minorEastAsia" w:hAnsiTheme="minorEastAsia" w:eastAsiaTheme="minorEastAsia" w:cstheme="minorEastAsia"/>
                <w:color w:val="auto"/>
                <w:sz w:val="21"/>
                <w:szCs w:val="21"/>
                <w:highlight w:val="none"/>
              </w:rPr>
              <w:t>﹞70号</w:t>
            </w:r>
            <w:r>
              <w:rPr>
                <w:rFonts w:hint="eastAsia" w:asciiTheme="minorEastAsia" w:hAnsiTheme="minorEastAsia" w:eastAsiaTheme="minorEastAsia" w:cstheme="minorEastAsia"/>
                <w:color w:val="auto"/>
                <w:kern w:val="0"/>
                <w:sz w:val="21"/>
                <w:szCs w:val="21"/>
                <w:highlight w:val="none"/>
                <w:u w:val="none"/>
                <w:lang w:eastAsia="zh-CN"/>
              </w:rPr>
              <w:t>、</w:t>
            </w:r>
            <w:r>
              <w:rPr>
                <w:rFonts w:hint="eastAsia" w:asciiTheme="minorEastAsia" w:hAnsiTheme="minorEastAsia" w:eastAsiaTheme="minorEastAsia" w:cstheme="minorEastAsia"/>
                <w:color w:val="auto"/>
                <w:kern w:val="0"/>
                <w:sz w:val="21"/>
                <w:szCs w:val="21"/>
                <w:highlight w:val="none"/>
                <w:u w:val="none"/>
              </w:rPr>
              <w:t>桂建管〔2020〕11号</w:t>
            </w:r>
            <w:r>
              <w:rPr>
                <w:rFonts w:hint="eastAsia" w:asciiTheme="minorEastAsia" w:hAnsiTheme="minorEastAsia" w:eastAsiaTheme="minorEastAsia" w:cstheme="minorEastAsia"/>
                <w:color w:val="auto"/>
                <w:kern w:val="0"/>
                <w:sz w:val="21"/>
                <w:szCs w:val="21"/>
                <w:highlight w:val="none"/>
              </w:rPr>
              <w:t>文除</w:t>
            </w:r>
            <w:r>
              <w:rPr>
                <w:rFonts w:hint="eastAsia" w:asciiTheme="minorEastAsia" w:hAnsiTheme="minorEastAsia" w:eastAsiaTheme="minorEastAsia" w:cstheme="minorEastAsia"/>
                <w:color w:val="auto"/>
                <w:sz w:val="21"/>
                <w:szCs w:val="21"/>
                <w:highlight w:val="none"/>
              </w:rPr>
              <w:t>外）</w:t>
            </w:r>
            <w:r>
              <w:rPr>
                <w:rFonts w:hint="eastAsia" w:asciiTheme="minorEastAsia" w:hAnsiTheme="minorEastAsia" w:eastAsiaTheme="minorEastAsia" w:cstheme="minorEastAsia"/>
                <w:caps w:val="0"/>
                <w:color w:val="auto"/>
                <w:spacing w:val="0"/>
                <w:sz w:val="21"/>
                <w:szCs w:val="21"/>
                <w:highlight w:val="none"/>
              </w:rPr>
              <w:t>安全员具备有效的安全员证书及安全生产考核合格证书(C类)。</w:t>
            </w:r>
          </w:p>
          <w:p w14:paraId="761224EC">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4. 本项目的特定条件：无</w:t>
            </w:r>
          </w:p>
          <w:p w14:paraId="4A40831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0C872F2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00F1DFB0">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asciiTheme="minorEastAsia" w:hAnsiTheme="minorEastAsia" w:eastAsiaTheme="minorEastAsia" w:cstheme="minorEastAsia"/>
                <w:color w:val="auto"/>
                <w:highlight w:val="none"/>
              </w:rPr>
            </w:pPr>
            <w:r>
              <w:rPr>
                <w:rFonts w:hint="eastAsia" w:ascii="宋体" w:hAnsi="宋体" w:cs="仿宋"/>
                <w:caps w:val="0"/>
                <w:color w:val="auto"/>
                <w:spacing w:val="0"/>
                <w:sz w:val="21"/>
                <w:szCs w:val="21"/>
                <w:highlight w:val="none"/>
                <w:lang w:val="en-US" w:eastAsia="zh-CN"/>
              </w:rPr>
              <w:t>7</w:t>
            </w:r>
            <w:r>
              <w:rPr>
                <w:rFonts w:hint="eastAsia" w:ascii="宋体" w:hAnsi="宋体" w:cs="仿宋"/>
                <w:caps w:val="0"/>
                <w:color w:val="auto"/>
                <w:spacing w:val="0"/>
                <w:sz w:val="21"/>
                <w:szCs w:val="21"/>
                <w:highlight w:val="none"/>
              </w:rPr>
              <w:t>.联合体：本项目不接受联合体竞标。</w:t>
            </w:r>
          </w:p>
        </w:tc>
      </w:tr>
      <w:tr w14:paraId="7D57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52" w:type="dxa"/>
            <w:vAlign w:val="center"/>
          </w:tcPr>
          <w:p w14:paraId="2861D82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6518025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6.1</w:t>
            </w:r>
          </w:p>
        </w:tc>
        <w:tc>
          <w:tcPr>
            <w:tcW w:w="8813" w:type="dxa"/>
            <w:vAlign w:val="center"/>
          </w:tcPr>
          <w:p w14:paraId="2834DE05">
            <w:pPr>
              <w:shd w:val="clear"/>
              <w:spacing w:line="360" w:lineRule="exact"/>
              <w:rPr>
                <w:rFonts w:hint="eastAsia" w:ascii="宋体" w:hAnsi="宋体" w:cs="仿宋"/>
                <w:caps w:val="0"/>
                <w:color w:val="auto"/>
                <w:spacing w:val="0"/>
                <w:sz w:val="21"/>
                <w:szCs w:val="21"/>
                <w:highlight w:val="none"/>
                <w:lang w:val="en-US" w:eastAsia="zh-CN"/>
              </w:rPr>
            </w:pPr>
            <w:r>
              <w:rPr>
                <w:rFonts w:hint="eastAsia" w:ascii="宋体" w:hAnsi="宋体" w:cs="宋体"/>
                <w:color w:val="auto"/>
                <w:szCs w:val="21"/>
                <w:highlight w:val="none"/>
                <w:lang w:val="en-US" w:eastAsia="zh-CN"/>
              </w:rPr>
              <w:t>是否允许分包：不允许</w:t>
            </w:r>
          </w:p>
        </w:tc>
      </w:tr>
      <w:tr w14:paraId="727C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2" w:hRule="atLeast"/>
          <w:jc w:val="center"/>
        </w:trPr>
        <w:tc>
          <w:tcPr>
            <w:tcW w:w="652" w:type="dxa"/>
            <w:vAlign w:val="center"/>
          </w:tcPr>
          <w:p w14:paraId="2A49B4A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0E4E650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12.1.1</w:t>
            </w:r>
          </w:p>
        </w:tc>
        <w:tc>
          <w:tcPr>
            <w:tcW w:w="8813" w:type="dxa"/>
            <w:vAlign w:val="center"/>
          </w:tcPr>
          <w:p w14:paraId="66E28609">
            <w:pPr>
              <w:snapToGrid w:val="0"/>
              <w:spacing w:line="360" w:lineRule="auto"/>
              <w:jc w:val="left"/>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资格证明文件</w:t>
            </w:r>
          </w:p>
          <w:p w14:paraId="4ECFDC29">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color w:val="auto"/>
                <w:szCs w:val="21"/>
                <w:highlight w:val="none"/>
                <w:lang w:val="en-US" w:eastAsia="zh-CN"/>
              </w:rPr>
              <w:t>（必须提供，否则磋商响应无效）</w:t>
            </w:r>
          </w:p>
          <w:p w14:paraId="21EA7002">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（2）有效的资质证书、安全生产许可证复印件；（必须提供，否则磋商响应无效）</w:t>
            </w:r>
          </w:p>
          <w:p w14:paraId="287BCA7E">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（3）项目经理:有效的注册建造师资质证书、安全生产考核合格证书（B类）复印件；安全员：有效的安全员证书及安全生产考核合格证书(C类)复印件；（必须提供，否则磋商响应无效）</w:t>
            </w:r>
          </w:p>
          <w:p w14:paraId="2864FD9C">
            <w:pPr>
              <w:snapToGrid w:val="0"/>
              <w:spacing w:line="360" w:lineRule="auto"/>
              <w:jc w:val="lef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w:t>
            </w:r>
            <w:r>
              <w:rPr>
                <w:rFonts w:hint="eastAsia" w:asciiTheme="minorEastAsia" w:hAnsiTheme="minorEastAsia" w:eastAsiaTheme="minorEastAsia" w:cstheme="minorEastAsia"/>
                <w:color w:val="auto"/>
                <w:kern w:val="2"/>
                <w:sz w:val="21"/>
                <w:szCs w:val="21"/>
                <w:highlight w:val="none"/>
                <w:lang w:val="en-US" w:eastAsia="zh-CN" w:bidi="ar-SA"/>
              </w:rPr>
              <w:t>贵港市采购项目投标资格承诺函</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kern w:val="2"/>
                <w:sz w:val="21"/>
                <w:szCs w:val="21"/>
                <w:highlight w:val="none"/>
                <w:lang w:val="en-US" w:eastAsia="zh-CN" w:bidi="ar-SA"/>
              </w:rPr>
              <w:t>（</w:t>
            </w:r>
            <w:r>
              <w:rPr>
                <w:rFonts w:hint="eastAsia" w:asciiTheme="minorEastAsia" w:hAnsiTheme="minorEastAsia" w:eastAsiaTheme="minorEastAsia" w:cstheme="minorEastAsia"/>
                <w:color w:val="auto"/>
                <w:szCs w:val="21"/>
                <w:highlight w:val="none"/>
              </w:rPr>
              <w:t>格式后附，必须提供，否则磋商响应无效）</w:t>
            </w:r>
          </w:p>
          <w:p w14:paraId="00CE384C">
            <w:pPr>
              <w:numPr>
                <w:ilvl w:val="0"/>
                <w:numId w:val="0"/>
              </w:numPr>
              <w:spacing w:line="360" w:lineRule="auto"/>
              <w:ind w:leftChars="0"/>
              <w:rPr>
                <w:rFonts w:hint="eastAsia" w:ascii="宋体" w:hAnsi="宋体" w:eastAsia="宋体" w:cs="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w:t>
            </w:r>
            <w:r>
              <w:rPr>
                <w:rFonts w:hint="eastAsia" w:asciiTheme="minorEastAsia" w:hAnsiTheme="minorEastAsia" w:eastAsiaTheme="minorEastAsia" w:cstheme="minorEastAsia"/>
                <w:color w:val="auto"/>
                <w:szCs w:val="21"/>
                <w:highlight w:val="none"/>
                <w:lang w:val="en-US" w:eastAsia="zh-CN"/>
              </w:rPr>
              <w:t>供应商应为中小微企业、监狱企业或残疾人福利性单位：</w:t>
            </w:r>
          </w:p>
          <w:p w14:paraId="1625AC02">
            <w:pPr>
              <w:numPr>
                <w:ilvl w:val="0"/>
                <w:numId w:val="0"/>
              </w:numPr>
              <w:spacing w:line="360" w:lineRule="auto"/>
              <w:ind w:leftChars="0" w:firstLine="420" w:firstLineChars="200"/>
              <w:rPr>
                <w:rFonts w:hint="eastAsia" w:ascii="宋体" w:hAnsi="宋体" w:eastAsia="宋体" w:cs="宋体"/>
                <w:color w:val="auto"/>
                <w:szCs w:val="21"/>
                <w:highlight w:val="none"/>
              </w:rPr>
            </w:pPr>
            <w:r>
              <w:rPr>
                <w:rFonts w:hint="default" w:ascii="宋体" w:hAnsi="宋体" w:eastAsia="宋体" w:cs="Times New Roman"/>
                <w:color w:val="auto"/>
                <w:szCs w:val="21"/>
                <w:highlight w:val="none"/>
                <w:lang w:val="en-US" w:eastAsia="zh-CN"/>
              </w:rPr>
              <w:t>①</w:t>
            </w:r>
            <w:r>
              <w:rPr>
                <w:rFonts w:hint="eastAsia" w:ascii="宋体" w:hAnsi="宋体" w:eastAsia="宋体" w:cs="Times New Roman"/>
                <w:color w:val="auto"/>
                <w:szCs w:val="21"/>
                <w:highlight w:val="none"/>
                <w:lang w:val="en-US" w:eastAsia="zh-CN"/>
              </w:rPr>
              <w:t>《中</w:t>
            </w:r>
            <w:r>
              <w:rPr>
                <w:rFonts w:hint="eastAsia" w:ascii="宋体" w:hAnsi="宋体" w:eastAsia="宋体" w:cs="宋体"/>
                <w:color w:val="auto"/>
                <w:szCs w:val="21"/>
                <w:highlight w:val="none"/>
              </w:rPr>
              <w:t>小企业声明函》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rPr>
              <w:t>；</w:t>
            </w:r>
            <w:r>
              <w:rPr>
                <w:rFonts w:hint="eastAsia" w:ascii="宋体" w:hAnsi="宋体" w:eastAsia="宋体" w:cs="宋体"/>
                <w:b/>
                <w:bCs/>
                <w:color w:val="auto"/>
                <w:szCs w:val="21"/>
                <w:highlight w:val="none"/>
              </w:rPr>
              <w:t>（除</w:t>
            </w:r>
            <w:r>
              <w:rPr>
                <w:rFonts w:hint="eastAsia" w:ascii="宋体" w:hAnsi="宋体" w:eastAsia="宋体" w:cs="宋体"/>
                <w:b/>
                <w:bCs/>
                <w:color w:val="auto"/>
                <w:szCs w:val="21"/>
                <w:highlight w:val="none"/>
                <w:lang w:val="en-US" w:eastAsia="zh-CN"/>
              </w:rPr>
              <w:t>供应商为</w:t>
            </w:r>
            <w:r>
              <w:rPr>
                <w:rFonts w:hint="eastAsia" w:ascii="宋体" w:hAnsi="宋体" w:eastAsia="宋体" w:cs="宋体"/>
                <w:b/>
                <w:bCs/>
                <w:color w:val="auto"/>
                <w:szCs w:val="21"/>
                <w:highlight w:val="none"/>
              </w:rPr>
              <w:t>监狱企业及残疾人福利性单位外，必须提供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68209F17">
            <w:pPr>
              <w:numPr>
                <w:ilvl w:val="0"/>
                <w:numId w:val="0"/>
              </w:numPr>
              <w:spacing w:line="360" w:lineRule="auto"/>
              <w:ind w:leftChars="0" w:firstLine="420" w:firstLineChars="200"/>
              <w:rPr>
                <w:rFonts w:hint="default" w:ascii="宋体" w:hAnsi="宋体" w:eastAsia="宋体" w:cs="宋体"/>
                <w:color w:val="auto"/>
                <w:szCs w:val="21"/>
                <w:highlight w:val="none"/>
                <w:lang w:val="en-US" w:eastAsia="zh-CN"/>
              </w:rPr>
            </w:pPr>
            <w:r>
              <w:rPr>
                <w:rFonts w:hint="default" w:ascii="宋体" w:hAnsi="宋体" w:eastAsia="宋体" w:cs="Times New Roman"/>
                <w:color w:val="auto"/>
                <w:szCs w:val="21"/>
                <w:highlight w:val="none"/>
                <w:lang w:val="en-US" w:eastAsia="zh-CN"/>
              </w:rPr>
              <w:t>②</w:t>
            </w:r>
            <w:r>
              <w:rPr>
                <w:rFonts w:hint="eastAsia" w:ascii="宋体" w:hAnsi="宋体" w:eastAsia="宋体" w:cs="Times New Roman"/>
                <w:color w:val="auto"/>
                <w:szCs w:val="21"/>
                <w:highlight w:val="none"/>
                <w:lang w:val="en-US" w:eastAsia="zh-CN"/>
              </w:rPr>
              <w:t>供</w:t>
            </w:r>
            <w:r>
              <w:rPr>
                <w:rFonts w:hint="eastAsia" w:ascii="宋体" w:hAnsi="宋体" w:eastAsia="宋体" w:cs="宋体"/>
                <w:color w:val="auto"/>
                <w:szCs w:val="21"/>
                <w:highlight w:val="none"/>
                <w:lang w:val="en-US" w:eastAsia="zh-CN"/>
              </w:rPr>
              <w:t>应商</w:t>
            </w:r>
            <w:r>
              <w:rPr>
                <w:rFonts w:hint="eastAsia" w:ascii="宋体" w:hAnsi="宋体" w:eastAsia="宋体" w:cs="宋体"/>
                <w:color w:val="auto"/>
                <w:szCs w:val="21"/>
                <w:highlight w:val="none"/>
              </w:rPr>
              <w:t>属于监狱企业的，应当提供由省级以上监狱管理局、戒毒管理局等（含新疆生产建设兵团）出具的属于监狱企业的证明文件；</w:t>
            </w:r>
            <w:r>
              <w:rPr>
                <w:rFonts w:hint="eastAsia" w:ascii="宋体" w:hAnsi="宋体" w:eastAsia="宋体" w:cs="宋体"/>
                <w:b/>
                <w:bCs/>
                <w:color w:val="auto"/>
                <w:szCs w:val="21"/>
                <w:highlight w:val="none"/>
              </w:rPr>
              <w:t>（如</w:t>
            </w:r>
            <w:r>
              <w:rPr>
                <w:rFonts w:hint="eastAsia" w:ascii="宋体" w:hAnsi="宋体" w:eastAsia="宋体" w:cs="宋体"/>
                <w:b/>
                <w:bCs/>
                <w:color w:val="auto"/>
                <w:szCs w:val="21"/>
                <w:highlight w:val="none"/>
                <w:lang w:val="en-US" w:eastAsia="zh-CN"/>
              </w:rPr>
              <w:t>供应商</w:t>
            </w:r>
            <w:r>
              <w:rPr>
                <w:rFonts w:hint="eastAsia" w:ascii="宋体" w:hAnsi="宋体" w:eastAsia="宋体" w:cs="宋体"/>
                <w:b/>
                <w:bCs/>
                <w:color w:val="auto"/>
                <w:szCs w:val="21"/>
                <w:highlight w:val="none"/>
              </w:rPr>
              <w:t>属于监狱企业的，则必须提供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560B41F0">
            <w:pPr>
              <w:numPr>
                <w:ilvl w:val="0"/>
                <w:numId w:val="0"/>
              </w:numPr>
              <w:spacing w:line="360" w:lineRule="auto"/>
              <w:ind w:leftChars="0" w:firstLine="420" w:firstLineChars="200"/>
              <w:rPr>
                <w:rFonts w:hint="eastAsia" w:ascii="宋体" w:hAnsi="宋体" w:eastAsia="宋体" w:cs="宋体"/>
                <w:b/>
                <w:bCs/>
                <w:color w:val="auto"/>
                <w:highlight w:val="none"/>
              </w:rPr>
            </w:pPr>
            <w:r>
              <w:rPr>
                <w:rFonts w:hint="default" w:ascii="宋体" w:hAnsi="宋体" w:eastAsia="宋体" w:cs="Times New Roman"/>
                <w:color w:val="auto"/>
                <w:szCs w:val="21"/>
                <w:highlight w:val="none"/>
                <w:lang w:val="en-US" w:eastAsia="zh-CN"/>
              </w:rPr>
              <w:t>③</w:t>
            </w:r>
            <w:r>
              <w:rPr>
                <w:rFonts w:hint="eastAsia" w:ascii="宋体" w:hAnsi="宋体" w:eastAsia="宋体" w:cs="Times New Roman"/>
                <w:color w:val="auto"/>
                <w:szCs w:val="21"/>
                <w:highlight w:val="none"/>
                <w:lang w:val="en-US" w:eastAsia="zh-CN"/>
              </w:rPr>
              <w:t>符</w:t>
            </w:r>
            <w:r>
              <w:rPr>
                <w:rFonts w:hint="eastAsia" w:ascii="宋体" w:hAnsi="宋体" w:eastAsia="宋体" w:cs="宋体"/>
                <w:color w:val="auto"/>
                <w:szCs w:val="21"/>
                <w:highlight w:val="none"/>
                <w:lang w:val="en-US" w:eastAsia="zh-CN"/>
              </w:rPr>
              <w:t>合条件的残疾人福利性单位在参加政府采购活动时，应当提供《残疾人福利性单位声明函》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lang w:val="en-US" w:eastAsia="zh-CN"/>
              </w:rPr>
              <w:t>；</w:t>
            </w:r>
            <w:r>
              <w:rPr>
                <w:rFonts w:hint="eastAsia" w:ascii="宋体" w:hAnsi="宋体" w:eastAsia="宋体" w:cs="宋体"/>
                <w:b/>
                <w:bCs/>
                <w:color w:val="auto"/>
                <w:szCs w:val="21"/>
                <w:highlight w:val="none"/>
                <w:lang w:val="en-US" w:eastAsia="zh-CN"/>
              </w:rPr>
              <w:t>（如供应商属于残疾人福利性单位的，则必须提供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lang w:val="en-US" w:eastAsia="zh-CN"/>
              </w:rPr>
              <w:t>）</w:t>
            </w:r>
          </w:p>
          <w:p w14:paraId="0D9A065E">
            <w:pPr>
              <w:pStyle w:val="124"/>
              <w:spacing w:line="360" w:lineRule="auto"/>
              <w:ind w:left="108"/>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rPr>
              <w:t>注：</w:t>
            </w:r>
          </w:p>
          <w:p w14:paraId="141976BD">
            <w:pPr>
              <w:pStyle w:val="124"/>
              <w:numPr>
                <w:ilvl w:val="0"/>
                <w:numId w:val="7"/>
              </w:numPr>
              <w:tabs>
                <w:tab w:val="left" w:pos="733"/>
                <w:tab w:val="clear" w:pos="312"/>
              </w:tabs>
              <w:spacing w:before="45" w:line="360" w:lineRule="auto"/>
              <w:ind w:right="240" w:rightChars="0" w:firstLine="422" w:firstLineChars="200"/>
              <w:rPr>
                <w:rFonts w:hint="eastAsia" w:asciiTheme="minorEastAsia" w:hAnsiTheme="minorEastAsia" w:eastAsiaTheme="minorEastAsia" w:cstheme="minorEastAsia"/>
                <w:b/>
                <w:color w:val="auto"/>
                <w:sz w:val="21"/>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以上标明“必须提供”的材料属于复印件的扫描件的，必须加盖供应商电子公章，否则响应文件按无效响应处理。</w:t>
            </w:r>
          </w:p>
          <w:p w14:paraId="43F3026B">
            <w:pPr>
              <w:pStyle w:val="124"/>
              <w:numPr>
                <w:ilvl w:val="0"/>
                <w:numId w:val="7"/>
              </w:numPr>
              <w:tabs>
                <w:tab w:val="left" w:pos="733"/>
                <w:tab w:val="clear" w:pos="312"/>
              </w:tabs>
              <w:spacing w:before="45" w:line="360" w:lineRule="auto"/>
              <w:ind w:right="240" w:rightChars="0" w:firstLine="422" w:firstLineChars="200"/>
              <w:rPr>
                <w:rFonts w:hint="eastAsia" w:ascii="宋体" w:hAnsi="宋体" w:cs="宋体"/>
                <w:color w:val="auto"/>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联合体竞标时（</w:t>
            </w:r>
            <w:r>
              <w:rPr>
                <w:rFonts w:hint="eastAsia" w:asciiTheme="minorEastAsia" w:hAnsiTheme="minorEastAsia" w:eastAsiaTheme="minorEastAsia" w:cstheme="minorEastAsia"/>
                <w:b/>
                <w:color w:val="auto"/>
                <w:sz w:val="21"/>
                <w:szCs w:val="21"/>
                <w:highlight w:val="none"/>
                <w:lang w:val="en-US" w:eastAsia="zh-CN"/>
              </w:rPr>
              <w:t>如允许</w:t>
            </w:r>
            <w:r>
              <w:rPr>
                <w:rFonts w:hint="eastAsia" w:asciiTheme="minorEastAsia" w:hAnsiTheme="minorEastAsia" w:eastAsiaTheme="minorEastAsia" w:cstheme="minorEastAsia"/>
                <w:b/>
                <w:color w:val="auto"/>
                <w:sz w:val="21"/>
                <w:szCs w:val="21"/>
                <w:highlight w:val="none"/>
                <w:lang w:eastAsia="zh-CN"/>
              </w:rPr>
              <w:t>），第 1-</w:t>
            </w:r>
            <w:r>
              <w:rPr>
                <w:rFonts w:hint="eastAsia" w:asciiTheme="minorEastAsia" w:hAnsiTheme="minorEastAsia" w:eastAsiaTheme="minorEastAsia" w:cstheme="minorEastAsia"/>
                <w:b/>
                <w:color w:val="auto"/>
                <w:sz w:val="21"/>
                <w:szCs w:val="21"/>
                <w:highlight w:val="none"/>
                <w:lang w:val="en-US" w:eastAsia="zh-CN"/>
              </w:rPr>
              <w:t>4</w:t>
            </w:r>
            <w:r>
              <w:rPr>
                <w:rFonts w:hint="eastAsia" w:asciiTheme="minorEastAsia" w:hAnsiTheme="minorEastAsia" w:eastAsiaTheme="minorEastAsia" w:cstheme="minorEastAsia"/>
                <w:b/>
                <w:color w:val="auto"/>
                <w:sz w:val="21"/>
                <w:szCs w:val="21"/>
                <w:highlight w:val="none"/>
                <w:lang w:eastAsia="zh-CN"/>
              </w:rPr>
              <w:t xml:space="preserve"> 项资格证明文件联合体各方均必须分别提供，联合体各方分别盖章和签字，否则响应文件按无效响应处理。</w:t>
            </w:r>
          </w:p>
        </w:tc>
      </w:tr>
      <w:tr w14:paraId="71F8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jc w:val="center"/>
        </w:trPr>
        <w:tc>
          <w:tcPr>
            <w:tcW w:w="652" w:type="dxa"/>
            <w:vAlign w:val="center"/>
          </w:tcPr>
          <w:p w14:paraId="11E0A3E3">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7F87C801">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31FDBC43">
            <w:pPr>
              <w:pStyle w:val="124"/>
              <w:keepNext w:val="0"/>
              <w:keepLines w:val="0"/>
              <w:pageBreakBefore w:val="0"/>
              <w:numPr>
                <w:ilvl w:val="0"/>
                <w:numId w:val="0"/>
              </w:numPr>
              <w:tabs>
                <w:tab w:val="left" w:pos="733"/>
              </w:tabs>
              <w:kinsoku/>
              <w:wordWrap/>
              <w:overflowPunct/>
              <w:topLinePunct w:val="0"/>
              <w:bidi w:val="0"/>
              <w:snapToGrid/>
              <w:spacing w:before="45" w:line="360" w:lineRule="exact"/>
              <w:ind w:right="240" w:rightChars="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商务文件</w:t>
            </w:r>
          </w:p>
          <w:p w14:paraId="2791C728">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法定代表人身份证明书</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spacing w:val="2"/>
                <w:highlight w:val="none"/>
              </w:rPr>
              <w:t>（必须提供）</w:t>
            </w:r>
          </w:p>
          <w:p w14:paraId="16DE21D4">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响应文件签署授权委托书原件及委托代理人身份证正反面复印件</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highlight w:val="none"/>
              </w:rPr>
              <w:t>（委托代理时必须提供）</w:t>
            </w:r>
          </w:p>
          <w:p w14:paraId="1AD95051">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农民工工资保障金的交纳与使用承诺书；</w:t>
            </w:r>
            <w:r>
              <w:rPr>
                <w:rFonts w:hint="eastAsia" w:asciiTheme="minorEastAsia" w:hAnsiTheme="minorEastAsia" w:eastAsiaTheme="minorEastAsia" w:cstheme="minorEastAsia"/>
                <w:b w:val="0"/>
                <w:bCs w:val="0"/>
                <w:color w:val="auto"/>
                <w:spacing w:val="2"/>
                <w:highlight w:val="none"/>
              </w:rPr>
              <w:t>（必须提供）</w:t>
            </w:r>
          </w:p>
          <w:p w14:paraId="2075DA03">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highlight w:val="none"/>
              </w:rPr>
              <w:t>建设工程项目管理承诺书；</w:t>
            </w:r>
            <w:r>
              <w:rPr>
                <w:rFonts w:hint="eastAsia" w:asciiTheme="minorEastAsia" w:hAnsiTheme="minorEastAsia" w:eastAsiaTheme="minorEastAsia" w:cstheme="minorEastAsia"/>
                <w:b w:val="0"/>
                <w:bCs w:val="0"/>
                <w:color w:val="auto"/>
                <w:spacing w:val="2"/>
                <w:highlight w:val="none"/>
              </w:rPr>
              <w:t>（必须提供）</w:t>
            </w:r>
          </w:p>
          <w:p w14:paraId="0025885C">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宋体" w:hAnsi="宋体" w:cs="宋体"/>
                <w:b w:val="0"/>
                <w:bCs/>
                <w:color w:val="auto"/>
                <w:sz w:val="21"/>
                <w:szCs w:val="21"/>
                <w:highlight w:val="none"/>
                <w:lang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供应商认为需要提供的其他有关资料。</w:t>
            </w:r>
          </w:p>
        </w:tc>
      </w:tr>
      <w:tr w14:paraId="03B5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652" w:type="dxa"/>
            <w:vAlign w:val="center"/>
          </w:tcPr>
          <w:p w14:paraId="0AF76F0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54AE1DB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787BE16A">
            <w:pPr>
              <w:keepNext w:val="0"/>
              <w:keepLines w:val="0"/>
              <w:pageBreakBefore w:val="0"/>
              <w:numPr>
                <w:ilvl w:val="0"/>
                <w:numId w:val="0"/>
              </w:numPr>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技术文件</w:t>
            </w:r>
          </w:p>
          <w:p w14:paraId="71091961">
            <w:pPr>
              <w:keepNext w:val="0"/>
              <w:keepLines w:val="0"/>
              <w:pageBreakBefore w:val="0"/>
              <w:shd w:val="clear"/>
              <w:kinsoku/>
              <w:wordWrap/>
              <w:overflowPunct/>
              <w:topLinePunct w:val="0"/>
              <w:bidi w:val="0"/>
              <w:snapToGrid/>
              <w:spacing w:line="360" w:lineRule="exact"/>
              <w:textAlignment w:val="auto"/>
              <w:rPr>
                <w:rFonts w:hint="default"/>
                <w:color w:val="auto"/>
                <w:highlight w:val="none"/>
                <w:lang w:val="en-US"/>
              </w:rPr>
            </w:pPr>
            <w:r>
              <w:rPr>
                <w:rFonts w:hint="eastAsia"/>
                <w:color w:val="auto"/>
                <w:highlight w:val="none"/>
              </w:rPr>
              <w:t>（1）施工组织设计</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p>
          <w:p w14:paraId="1F9AB951">
            <w:pPr>
              <w:keepNext w:val="0"/>
              <w:keepLines w:val="0"/>
              <w:pageBreakBefore w:val="0"/>
              <w:shd w:val="clear"/>
              <w:kinsoku/>
              <w:wordWrap/>
              <w:overflowPunct/>
              <w:topLinePunct w:val="0"/>
              <w:bidi w:val="0"/>
              <w:snapToGrid/>
              <w:spacing w:line="360" w:lineRule="exact"/>
              <w:textAlignment w:val="auto"/>
              <w:rPr>
                <w:color w:val="auto"/>
                <w:highlight w:val="none"/>
              </w:rPr>
            </w:pPr>
            <w:r>
              <w:rPr>
                <w:rFonts w:hint="eastAsia"/>
                <w:color w:val="auto"/>
                <w:highlight w:val="none"/>
              </w:rPr>
              <w:t>（2）项目管理机构；（</w:t>
            </w:r>
            <w:r>
              <w:rPr>
                <w:rFonts w:hint="eastAsia"/>
                <w:color w:val="auto"/>
                <w:highlight w:val="none"/>
                <w:lang w:val="en-US" w:eastAsia="zh-CN"/>
              </w:rPr>
              <w:t>如有请</w:t>
            </w:r>
            <w:r>
              <w:rPr>
                <w:rFonts w:hint="eastAsia"/>
                <w:color w:val="auto"/>
                <w:highlight w:val="none"/>
              </w:rPr>
              <w:t>提供）</w:t>
            </w:r>
          </w:p>
          <w:p w14:paraId="666C9C80">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1 \* GB3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项目管理机构配备情况表；</w:t>
            </w:r>
          </w:p>
          <w:p w14:paraId="560267D1">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2 \* GB3 </w:instrText>
            </w:r>
            <w:r>
              <w:rPr>
                <w:rFonts w:hint="eastAsia"/>
                <w:color w:val="auto"/>
                <w:highlight w:val="none"/>
              </w:rPr>
              <w:fldChar w:fldCharType="separate"/>
            </w:r>
            <w:r>
              <w:rPr>
                <w:rFonts w:hint="eastAsia"/>
                <w:color w:val="auto"/>
                <w:highlight w:val="none"/>
              </w:rPr>
              <w:t>②</w:t>
            </w:r>
            <w:r>
              <w:rPr>
                <w:rFonts w:hint="eastAsia"/>
                <w:color w:val="auto"/>
                <w:highlight w:val="none"/>
              </w:rPr>
              <w:fldChar w:fldCharType="end"/>
            </w:r>
            <w:r>
              <w:rPr>
                <w:rFonts w:hint="eastAsia"/>
                <w:color w:val="auto"/>
                <w:highlight w:val="none"/>
              </w:rPr>
              <w:t>项目经理（注册建造师）简历表；</w:t>
            </w:r>
          </w:p>
          <w:p w14:paraId="6FA533A2">
            <w:pPr>
              <w:keepNext w:val="0"/>
              <w:keepLines w:val="0"/>
              <w:pageBreakBefore w:val="0"/>
              <w:shd w:val="clear"/>
              <w:kinsoku/>
              <w:wordWrap/>
              <w:overflowPunct/>
              <w:topLinePunct w:val="0"/>
              <w:bidi w:val="0"/>
              <w:snapToGrid/>
              <w:spacing w:line="360" w:lineRule="exact"/>
              <w:ind w:firstLine="210" w:firstLineChars="100"/>
              <w:textAlignment w:val="auto"/>
              <w:rPr>
                <w:rFonts w:hint="eastAsia" w:eastAsia="宋体"/>
                <w:color w:val="auto"/>
                <w:highlight w:val="none"/>
                <w:lang w:eastAsia="zh-CN"/>
              </w:rPr>
            </w:pPr>
            <w:r>
              <w:rPr>
                <w:rFonts w:hint="eastAsia"/>
                <w:color w:val="auto"/>
                <w:highlight w:val="none"/>
              </w:rPr>
              <w:fldChar w:fldCharType="begin"/>
            </w:r>
            <w:r>
              <w:rPr>
                <w:rFonts w:hint="eastAsia"/>
                <w:color w:val="auto"/>
                <w:highlight w:val="none"/>
              </w:rPr>
              <w:instrText xml:space="preserve"> = 3 \* GB3 </w:instrText>
            </w:r>
            <w:r>
              <w:rPr>
                <w:rFonts w:hint="eastAsia"/>
                <w:color w:val="auto"/>
                <w:highlight w:val="none"/>
              </w:rPr>
              <w:fldChar w:fldCharType="separate"/>
            </w:r>
            <w:r>
              <w:rPr>
                <w:rFonts w:hint="eastAsia"/>
                <w:color w:val="auto"/>
                <w:highlight w:val="none"/>
              </w:rPr>
              <w:t>③</w:t>
            </w:r>
            <w:r>
              <w:rPr>
                <w:rFonts w:hint="eastAsia"/>
                <w:color w:val="auto"/>
                <w:highlight w:val="none"/>
              </w:rPr>
              <w:fldChar w:fldCharType="end"/>
            </w:r>
            <w:r>
              <w:rPr>
                <w:rFonts w:hint="eastAsia"/>
                <w:color w:val="auto"/>
                <w:highlight w:val="none"/>
              </w:rPr>
              <w:t>项目技术负责人简历表</w:t>
            </w:r>
            <w:r>
              <w:rPr>
                <w:rFonts w:hint="eastAsia"/>
                <w:color w:val="auto"/>
                <w:highlight w:val="none"/>
                <w:lang w:eastAsia="zh-CN"/>
              </w:rPr>
              <w:t>。</w:t>
            </w:r>
          </w:p>
          <w:p w14:paraId="07664DD8">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企业业绩</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r>
              <w:rPr>
                <w:rFonts w:hint="eastAsia" w:asciiTheme="minorEastAsia" w:hAnsiTheme="minorEastAsia" w:eastAsiaTheme="minorEastAsia" w:cstheme="minorEastAsia"/>
                <w:b w:val="0"/>
                <w:bCs w:val="0"/>
                <w:color w:val="auto"/>
                <w:spacing w:val="2"/>
                <w:highlight w:val="none"/>
                <w:lang w:val="en-US" w:eastAsia="zh-CN"/>
              </w:rPr>
              <w:t>，格式见附件</w:t>
            </w:r>
            <w:r>
              <w:rPr>
                <w:rFonts w:hint="eastAsia"/>
                <w:color w:val="auto"/>
                <w:highlight w:val="none"/>
              </w:rPr>
              <w:t>）</w:t>
            </w:r>
          </w:p>
        </w:tc>
      </w:tr>
      <w:tr w14:paraId="5AF2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52" w:type="dxa"/>
            <w:vAlign w:val="center"/>
          </w:tcPr>
          <w:p w14:paraId="32DADED4">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2C5BD6E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12.1.3</w:t>
            </w:r>
          </w:p>
        </w:tc>
        <w:tc>
          <w:tcPr>
            <w:tcW w:w="8813" w:type="dxa"/>
            <w:vAlign w:val="center"/>
          </w:tcPr>
          <w:p w14:paraId="5F380A8E">
            <w:pPr>
              <w:keepNext w:val="0"/>
              <w:keepLines w:val="0"/>
              <w:pageBreakBefore w:val="0"/>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报价文件</w:t>
            </w:r>
          </w:p>
          <w:p w14:paraId="2FA4C072">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（1）磋商</w:t>
            </w:r>
            <w:r>
              <w:rPr>
                <w:rFonts w:hint="eastAsia" w:asciiTheme="minorEastAsia" w:hAnsiTheme="minorEastAsia" w:eastAsiaTheme="minorEastAsia" w:cstheme="minorEastAsia"/>
                <w:b w:val="0"/>
                <w:bCs w:val="0"/>
                <w:color w:val="auto"/>
                <w:spacing w:val="2"/>
                <w:highlight w:val="none"/>
                <w:lang w:eastAsia="zh-CN"/>
              </w:rPr>
              <w:t>函</w:t>
            </w:r>
            <w:r>
              <w:rPr>
                <w:rFonts w:hint="eastAsia" w:asciiTheme="minorEastAsia" w:hAnsiTheme="minorEastAsia" w:eastAsiaTheme="minorEastAsia" w:cstheme="minorEastAsia"/>
                <w:b w:val="0"/>
                <w:bCs w:val="0"/>
                <w:color w:val="auto"/>
                <w:spacing w:val="2"/>
                <w:highlight w:val="none"/>
              </w:rPr>
              <w:t>；（格式后附，必须提供，否则磋商响应无效）</w:t>
            </w:r>
          </w:p>
          <w:p w14:paraId="39B0C055">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（2）磋商</w:t>
            </w:r>
            <w:r>
              <w:rPr>
                <w:rFonts w:hint="eastAsia" w:asciiTheme="minorEastAsia" w:hAnsiTheme="minorEastAsia" w:eastAsiaTheme="minorEastAsia" w:cstheme="minorEastAsia"/>
                <w:b w:val="0"/>
                <w:bCs w:val="0"/>
                <w:color w:val="auto"/>
                <w:spacing w:val="2"/>
                <w:highlight w:val="none"/>
                <w:lang w:eastAsia="zh-CN"/>
              </w:rPr>
              <w:t>函附</w:t>
            </w:r>
            <w:r>
              <w:rPr>
                <w:rFonts w:hint="eastAsia" w:asciiTheme="minorEastAsia" w:hAnsiTheme="minorEastAsia" w:eastAsiaTheme="minorEastAsia" w:cstheme="minorEastAsia"/>
                <w:b w:val="0"/>
                <w:bCs w:val="0"/>
                <w:color w:val="auto"/>
                <w:spacing w:val="2"/>
                <w:highlight w:val="none"/>
              </w:rPr>
              <w:t>表；（格式后附，必须提供，否则磋商响应无效）</w:t>
            </w:r>
          </w:p>
          <w:p w14:paraId="3038CAB8">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3</w:t>
            </w:r>
            <w:r>
              <w:rPr>
                <w:rFonts w:hint="eastAsia" w:asciiTheme="minorEastAsia" w:hAnsiTheme="minorEastAsia" w:eastAsiaTheme="minorEastAsia" w:cstheme="minorEastAsia"/>
                <w:b w:val="0"/>
                <w:bCs w:val="0"/>
                <w:color w:val="auto"/>
                <w:spacing w:val="2"/>
                <w:highlight w:val="none"/>
              </w:rPr>
              <w:t>）磋商报价表；（格式后附，必须提供，否则磋商响应无效）</w:t>
            </w:r>
          </w:p>
          <w:p w14:paraId="69425E49">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4</w:t>
            </w:r>
            <w:r>
              <w:rPr>
                <w:rFonts w:hint="eastAsia" w:asciiTheme="minorEastAsia" w:hAnsiTheme="minorEastAsia" w:eastAsiaTheme="minorEastAsia" w:cstheme="minorEastAsia"/>
                <w:b w:val="0"/>
                <w:bCs w:val="0"/>
                <w:color w:val="auto"/>
                <w:spacing w:val="2"/>
                <w:highlight w:val="none"/>
              </w:rPr>
              <w:t>）已标价的工程量清单报价有关材料；（必须提供，否则磋商响应无效）</w:t>
            </w:r>
          </w:p>
        </w:tc>
      </w:tr>
      <w:tr w14:paraId="4D4A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jc w:val="center"/>
        </w:trPr>
        <w:tc>
          <w:tcPr>
            <w:tcW w:w="652" w:type="dxa"/>
            <w:vAlign w:val="center"/>
          </w:tcPr>
          <w:p w14:paraId="79DD84B0">
            <w:pPr>
              <w:shd w:val="clear"/>
              <w:spacing w:line="360" w:lineRule="exact"/>
              <w:jc w:val="center"/>
              <w:rPr>
                <w:rFonts w:hint="eastAsia" w:asciiTheme="minorEastAsia" w:hAnsiTheme="minorEastAsia" w:eastAsiaTheme="minorEastAsia" w:cstheme="minorEastAsia"/>
                <w:color w:val="auto"/>
                <w:spacing w:val="2"/>
                <w:highlight w:val="none"/>
                <w:lang w:val="en-US" w:eastAsia="zh-CN"/>
              </w:rPr>
            </w:pPr>
          </w:p>
        </w:tc>
        <w:tc>
          <w:tcPr>
            <w:tcW w:w="1093" w:type="dxa"/>
            <w:vAlign w:val="center"/>
          </w:tcPr>
          <w:p w14:paraId="0B873E0B">
            <w:pPr>
              <w:shd w:val="clear"/>
              <w:spacing w:line="360" w:lineRule="exact"/>
              <w:jc w:val="center"/>
              <w:rPr>
                <w:rFonts w:hint="eastAsia" w:asciiTheme="minorEastAsia" w:hAnsiTheme="minorEastAsia" w:eastAsiaTheme="minorEastAsia" w:cstheme="minorEastAsia"/>
                <w:color w:val="auto"/>
                <w:highlight w:val="none"/>
                <w:lang w:val="en-US" w:eastAsia="zh-CN"/>
              </w:rPr>
            </w:pPr>
          </w:p>
        </w:tc>
        <w:tc>
          <w:tcPr>
            <w:tcW w:w="8813" w:type="dxa"/>
            <w:vAlign w:val="center"/>
          </w:tcPr>
          <w:p w14:paraId="416820BB">
            <w:pPr>
              <w:snapToGrid w:val="0"/>
              <w:spacing w:line="400" w:lineRule="exact"/>
              <w:jc w:val="left"/>
              <w:rPr>
                <w:rFonts w:hint="eastAsia" w:ascii="宋体" w:hAnsi="宋体" w:cs="宋体"/>
                <w:b/>
                <w:color w:val="auto"/>
                <w:szCs w:val="21"/>
                <w:highlight w:val="none"/>
              </w:rPr>
            </w:pPr>
            <w:r>
              <w:rPr>
                <w:rFonts w:hint="eastAsia" w:ascii="宋体" w:hAnsi="宋体" w:cs="宋体"/>
                <w:b/>
                <w:color w:val="auto"/>
                <w:szCs w:val="21"/>
                <w:highlight w:val="none"/>
              </w:rPr>
              <w:t>▲特别说明：</w:t>
            </w:r>
          </w:p>
          <w:p w14:paraId="6266F838">
            <w:pPr>
              <w:snapToGrid w:val="0"/>
              <w:spacing w:line="400" w:lineRule="exact"/>
              <w:jc w:val="left"/>
              <w:rPr>
                <w:rFonts w:hint="eastAsia" w:ascii="宋体" w:hAnsi="宋体" w:cs="宋体"/>
                <w:color w:val="auto"/>
                <w:szCs w:val="21"/>
                <w:highlight w:val="none"/>
              </w:rPr>
            </w:pPr>
            <w:r>
              <w:rPr>
                <w:rFonts w:hint="eastAsia" w:ascii="宋体" w:hAnsi="宋体" w:cs="宋体"/>
                <w:b/>
                <w:color w:val="auto"/>
                <w:szCs w:val="21"/>
                <w:highlight w:val="none"/>
              </w:rPr>
              <w:t>（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68EA0AE6">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27C3B50B">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00BB2E2D">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12D34EFC">
            <w:pPr>
              <w:shd w:val="clear"/>
              <w:spacing w:line="460" w:lineRule="exact"/>
              <w:rPr>
                <w:rFonts w:hint="eastAsia" w:asciiTheme="minorEastAsia" w:hAnsiTheme="minorEastAsia" w:eastAsiaTheme="minorEastAsia" w:cstheme="minorEastAsia"/>
                <w:b w:val="0"/>
                <w:bCs w:val="0"/>
                <w:color w:val="auto"/>
                <w:spacing w:val="2"/>
                <w:highlight w:val="none"/>
                <w:lang w:val="en-US" w:eastAsia="zh-CN"/>
              </w:rPr>
            </w:pPr>
            <w:r>
              <w:rPr>
                <w:rFonts w:hint="eastAsia"/>
                <w:b/>
                <w:color w:val="auto"/>
                <w:highlight w:val="none"/>
                <w:lang w:val="en-US" w:eastAsia="zh-CN"/>
              </w:rPr>
              <w:t>（5）以上材料未附格式的，由供应商自行拟定。</w:t>
            </w:r>
          </w:p>
        </w:tc>
      </w:tr>
      <w:tr w14:paraId="751B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52" w:type="dxa"/>
            <w:vAlign w:val="center"/>
          </w:tcPr>
          <w:p w14:paraId="3898659A">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13</w:t>
            </w:r>
          </w:p>
        </w:tc>
        <w:tc>
          <w:tcPr>
            <w:tcW w:w="1093" w:type="dxa"/>
            <w:vAlign w:val="center"/>
          </w:tcPr>
          <w:p w14:paraId="29CA4315">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13</w:t>
            </w:r>
            <w:r>
              <w:rPr>
                <w:rFonts w:hint="eastAsia" w:asciiTheme="minorEastAsia" w:hAnsiTheme="minorEastAsia" w:eastAsiaTheme="minorEastAsia" w:cstheme="minorEastAsia"/>
                <w:color w:val="auto"/>
                <w:spacing w:val="2"/>
                <w:highlight w:val="none"/>
              </w:rPr>
              <w:t>.1</w:t>
            </w:r>
          </w:p>
        </w:tc>
        <w:tc>
          <w:tcPr>
            <w:tcW w:w="8813" w:type="dxa"/>
            <w:vAlign w:val="center"/>
          </w:tcPr>
          <w:p w14:paraId="55AB971B">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竞标有效期为：</w:t>
            </w:r>
            <w:r>
              <w:rPr>
                <w:rFonts w:hint="eastAsia" w:asciiTheme="minorEastAsia" w:hAnsiTheme="minorEastAsia" w:eastAsiaTheme="minorEastAsia" w:cstheme="minorEastAsia"/>
                <w:b w:val="0"/>
                <w:bCs w:val="0"/>
                <w:color w:val="auto"/>
                <w:spacing w:val="2"/>
                <w:highlight w:val="none"/>
              </w:rPr>
              <w:t>90天（日历天）</w:t>
            </w:r>
          </w:p>
        </w:tc>
      </w:tr>
      <w:tr w14:paraId="39D1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52" w:type="dxa"/>
            <w:vAlign w:val="center"/>
          </w:tcPr>
          <w:p w14:paraId="7A425AD9">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14</w:t>
            </w:r>
          </w:p>
        </w:tc>
        <w:tc>
          <w:tcPr>
            <w:tcW w:w="1093" w:type="dxa"/>
            <w:vAlign w:val="center"/>
          </w:tcPr>
          <w:p w14:paraId="64A33CC1">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w:t>
            </w:r>
            <w:r>
              <w:rPr>
                <w:rFonts w:hint="eastAsia" w:asciiTheme="minorEastAsia" w:hAnsiTheme="minorEastAsia" w:eastAsiaTheme="minorEastAsia" w:cstheme="minorEastAsia"/>
                <w:color w:val="auto"/>
                <w:spacing w:val="2"/>
                <w:highlight w:val="none"/>
              </w:rPr>
              <w:t>4</w:t>
            </w:r>
          </w:p>
        </w:tc>
        <w:tc>
          <w:tcPr>
            <w:tcW w:w="8813" w:type="dxa"/>
            <w:vAlign w:val="center"/>
          </w:tcPr>
          <w:p w14:paraId="37FB12F9">
            <w:pPr>
              <w:shd w:val="clear"/>
              <w:spacing w:line="360" w:lineRule="exact"/>
              <w:rPr>
                <w:rFonts w:asciiTheme="minorEastAsia" w:hAnsiTheme="minorEastAsia" w:eastAsiaTheme="minorEastAsia" w:cstheme="minorEastAsia"/>
                <w:b/>
                <w:color w:val="auto"/>
                <w:spacing w:val="2"/>
                <w:highlight w:val="none"/>
                <w:u w:val="single"/>
              </w:rPr>
            </w:pPr>
            <w:r>
              <w:rPr>
                <w:rFonts w:hint="eastAsia" w:asciiTheme="minorEastAsia" w:hAnsiTheme="minorEastAsia" w:eastAsiaTheme="minorEastAsia" w:cstheme="minorEastAsia"/>
                <w:color w:val="auto"/>
                <w:highlight w:val="none"/>
              </w:rPr>
              <w:t>磋商保证金：本项目不需要</w:t>
            </w:r>
            <w:r>
              <w:rPr>
                <w:rFonts w:hint="eastAsia" w:asciiTheme="minorEastAsia" w:hAnsiTheme="minorEastAsia" w:eastAsiaTheme="minorEastAsia" w:cstheme="minorEastAsia"/>
                <w:color w:val="auto"/>
                <w:highlight w:val="none"/>
                <w:lang w:val="en-US" w:eastAsia="zh-CN"/>
              </w:rPr>
              <w:t>缴纳</w:t>
            </w:r>
            <w:r>
              <w:rPr>
                <w:rFonts w:hint="eastAsia" w:asciiTheme="minorEastAsia" w:hAnsiTheme="minorEastAsia" w:eastAsiaTheme="minorEastAsia" w:cstheme="minorEastAsia"/>
                <w:color w:val="auto"/>
                <w:highlight w:val="none"/>
              </w:rPr>
              <w:t>磋商保证金。</w:t>
            </w:r>
          </w:p>
        </w:tc>
      </w:tr>
      <w:tr w14:paraId="5F2D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652" w:type="dxa"/>
            <w:vAlign w:val="center"/>
          </w:tcPr>
          <w:p w14:paraId="3EA65ED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w:t>
            </w:r>
          </w:p>
        </w:tc>
        <w:tc>
          <w:tcPr>
            <w:tcW w:w="1093" w:type="dxa"/>
            <w:vAlign w:val="center"/>
          </w:tcPr>
          <w:p w14:paraId="5170E5D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17.1</w:t>
            </w:r>
          </w:p>
        </w:tc>
        <w:tc>
          <w:tcPr>
            <w:tcW w:w="8813" w:type="dxa"/>
            <w:vAlign w:val="center"/>
          </w:tcPr>
          <w:p w14:paraId="36B7E19D">
            <w:pPr>
              <w:shd w:val="clear"/>
              <w:spacing w:line="360" w:lineRule="exact"/>
              <w:rPr>
                <w:rFonts w:asciiTheme="minorEastAsia" w:hAnsiTheme="minorEastAsia" w:eastAsiaTheme="minorEastAsia" w:cstheme="minorEastAsia"/>
                <w:color w:val="auto"/>
                <w:spacing w:val="2"/>
                <w:highlight w:val="none"/>
              </w:rPr>
            </w:pPr>
            <w:r>
              <w:rPr>
                <w:rFonts w:hint="eastAsia" w:ascii="宋体" w:hAnsi="宋体"/>
                <w:color w:val="auto"/>
                <w:szCs w:val="21"/>
                <w:highlight w:val="none"/>
              </w:rPr>
              <w:t>竞争性磋商响应文件的份数：电子响应文件一份。</w:t>
            </w:r>
          </w:p>
        </w:tc>
      </w:tr>
      <w:tr w14:paraId="366E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7F743F2C">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25</w:t>
            </w:r>
          </w:p>
        </w:tc>
        <w:tc>
          <w:tcPr>
            <w:tcW w:w="1093" w:type="dxa"/>
            <w:vAlign w:val="center"/>
          </w:tcPr>
          <w:p w14:paraId="41C22D16">
            <w:pPr>
              <w:shd w:val="clear"/>
              <w:spacing w:line="360" w:lineRule="exact"/>
              <w:jc w:val="center"/>
              <w:rPr>
                <w:rFonts w:hint="default" w:asciiTheme="minorEastAsia" w:hAnsiTheme="minorEastAsia" w:eastAsiaTheme="minorEastAsia" w:cstheme="minorEastAsia"/>
                <w:color w:val="auto"/>
                <w:spacing w:val="2"/>
                <w:highlight w:val="none"/>
                <w:lang w:val="en-US"/>
              </w:rPr>
            </w:pPr>
            <w:r>
              <w:rPr>
                <w:rFonts w:hint="eastAsia" w:asciiTheme="minorEastAsia" w:hAnsiTheme="minorEastAsia" w:eastAsiaTheme="minorEastAsia" w:cstheme="minorEastAsia"/>
                <w:color w:val="auto"/>
                <w:spacing w:val="2"/>
                <w:highlight w:val="none"/>
                <w:lang w:val="en-US" w:eastAsia="zh-CN"/>
              </w:rPr>
              <w:t>25</w:t>
            </w:r>
          </w:p>
        </w:tc>
        <w:tc>
          <w:tcPr>
            <w:tcW w:w="8813" w:type="dxa"/>
            <w:vAlign w:val="center"/>
          </w:tcPr>
          <w:p w14:paraId="2BDB81DA">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磋商时间：</w:t>
            </w:r>
            <w:r>
              <w:rPr>
                <w:rFonts w:hint="eastAsia" w:asciiTheme="minorEastAsia" w:hAnsiTheme="minorEastAsia" w:eastAsiaTheme="minorEastAsia" w:cstheme="minorEastAsia"/>
                <w:b w:val="0"/>
                <w:bCs w:val="0"/>
                <w:color w:val="auto"/>
                <w:sz w:val="21"/>
                <w:szCs w:val="21"/>
                <w:highlight w:val="none"/>
              </w:rPr>
              <w:t>202</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lang w:val="en-US" w:eastAsia="zh-CN"/>
              </w:rPr>
              <w:t>9</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lang w:val="en-US" w:eastAsia="zh-CN"/>
              </w:rPr>
              <w:t>3</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b w:val="0"/>
                <w:bCs w:val="0"/>
                <w:color w:val="auto"/>
                <w:sz w:val="21"/>
                <w:szCs w:val="21"/>
                <w:highlight w:val="none"/>
                <w:lang w:val="en-US" w:eastAsia="zh-CN"/>
              </w:rPr>
              <w:t>15</w:t>
            </w:r>
            <w:r>
              <w:rPr>
                <w:rFonts w:hint="eastAsia" w:asciiTheme="minorEastAsia" w:hAnsiTheme="minorEastAsia" w:eastAsiaTheme="minorEastAsia" w:cstheme="minorEastAsia"/>
                <w:b w:val="0"/>
                <w:bCs w:val="0"/>
                <w:color w:val="auto"/>
                <w:sz w:val="21"/>
                <w:szCs w:val="21"/>
                <w:highlight w:val="none"/>
              </w:rPr>
              <w:t>点</w:t>
            </w:r>
            <w:r>
              <w:rPr>
                <w:rFonts w:hint="eastAsia" w:asciiTheme="minorEastAsia" w:hAnsiTheme="minorEastAsia" w:eastAsiaTheme="minorEastAsia" w:cstheme="minorEastAsia"/>
                <w:b w:val="0"/>
                <w:bCs w:val="0"/>
                <w:color w:val="auto"/>
                <w:sz w:val="21"/>
                <w:szCs w:val="21"/>
                <w:highlight w:val="none"/>
                <w:lang w:val="en-US" w:eastAsia="zh-CN"/>
              </w:rPr>
              <w:t>3</w:t>
            </w:r>
            <w:r>
              <w:rPr>
                <w:rFonts w:hint="eastAsia" w:asciiTheme="minorEastAsia" w:hAnsiTheme="minorEastAsia" w:eastAsiaTheme="minorEastAsia" w:cstheme="minorEastAsia"/>
                <w:b w:val="0"/>
                <w:bCs w:val="0"/>
                <w:color w:val="auto"/>
                <w:sz w:val="21"/>
                <w:szCs w:val="21"/>
                <w:highlight w:val="none"/>
              </w:rPr>
              <w:t>0分</w:t>
            </w:r>
            <w:r>
              <w:rPr>
                <w:rFonts w:hint="eastAsia" w:asciiTheme="minorEastAsia" w:hAnsiTheme="minorEastAsia" w:eastAsiaTheme="minorEastAsia" w:cstheme="minorEastAsia"/>
                <w:b w:val="0"/>
                <w:bCs w:val="0"/>
                <w:color w:val="auto"/>
                <w:spacing w:val="2"/>
                <w:highlight w:val="none"/>
              </w:rPr>
              <w:t>截标后</w:t>
            </w:r>
          </w:p>
          <w:p w14:paraId="39C938CE">
            <w:pPr>
              <w:shd w:val="clear"/>
              <w:spacing w:line="360" w:lineRule="exact"/>
              <w:ind w:hanging="6"/>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val="0"/>
                <w:bCs w:val="0"/>
                <w:color w:val="auto"/>
                <w:spacing w:val="2"/>
                <w:highlight w:val="none"/>
              </w:rPr>
              <w:t>磋商地点：通过</w:t>
            </w:r>
            <w:r>
              <w:rPr>
                <w:rFonts w:hint="eastAsia" w:asciiTheme="minorEastAsia" w:hAnsiTheme="minorEastAsia" w:eastAsiaTheme="minorEastAsia" w:cstheme="minorEastAsia"/>
                <w:b w:val="0"/>
                <w:bCs w:val="0"/>
                <w:color w:val="auto"/>
                <w:spacing w:val="2"/>
                <w:highlight w:val="none"/>
                <w:lang w:val="en-US" w:eastAsia="zh-CN"/>
              </w:rPr>
              <w:t>广西政府采购</w:t>
            </w:r>
            <w:r>
              <w:rPr>
                <w:rFonts w:hint="eastAsia" w:asciiTheme="minorEastAsia" w:hAnsiTheme="minorEastAsia" w:eastAsiaTheme="minorEastAsia" w:cstheme="minorEastAsia"/>
                <w:b w:val="0"/>
                <w:bCs w:val="0"/>
                <w:color w:val="auto"/>
                <w:spacing w:val="2"/>
                <w:highlight w:val="none"/>
              </w:rPr>
              <w:t>云平台实行在线投标响应。</w:t>
            </w:r>
          </w:p>
        </w:tc>
      </w:tr>
      <w:tr w14:paraId="2D1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2" w:hRule="atLeast"/>
          <w:jc w:val="center"/>
        </w:trPr>
        <w:tc>
          <w:tcPr>
            <w:tcW w:w="652" w:type="dxa"/>
            <w:vAlign w:val="center"/>
          </w:tcPr>
          <w:p w14:paraId="1F48FF30">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8</w:t>
            </w:r>
          </w:p>
        </w:tc>
        <w:tc>
          <w:tcPr>
            <w:tcW w:w="1093" w:type="dxa"/>
            <w:vAlign w:val="center"/>
          </w:tcPr>
          <w:p w14:paraId="23411DE8">
            <w:pPr>
              <w:shd w:val="clear"/>
              <w:spacing w:line="3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8</w:t>
            </w:r>
          </w:p>
        </w:tc>
        <w:tc>
          <w:tcPr>
            <w:tcW w:w="8813" w:type="dxa"/>
            <w:vAlign w:val="center"/>
          </w:tcPr>
          <w:p w14:paraId="6407D843">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磋商前准备：</w:t>
            </w:r>
          </w:p>
          <w:p w14:paraId="2087BF6D">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1、本项目实行网上磋商，采用电子磋商响应文件。若供应商参与磋商，自行承担磋商一切费用。</w:t>
            </w:r>
          </w:p>
          <w:p w14:paraId="5F374057">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2、各供应商应在截标前应确保成为</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平台正式注册入库供应商，并完成CA数字证书申领。因未注册入库、未办理CA数字证书等原因造成无法磋商或磋商失败等后果由供应商自行承担。</w:t>
            </w:r>
          </w:p>
          <w:p w14:paraId="1E0B0878">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3、供应商将</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电子交易客户端下载、安装完成后，可通过账号密码或CA登录客户端进行响应文件制作。客户端请至网站下载专区查看，如有问题可拨打</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平台客户服务热线95763进行咨询。</w:t>
            </w:r>
          </w:p>
          <w:p w14:paraId="1D8343A0">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磋商响应文件解密时间：</w:t>
            </w:r>
          </w:p>
          <w:p w14:paraId="52ADED7C">
            <w:pPr>
              <w:pStyle w:val="24"/>
              <w:shd w:val="clear"/>
              <w:spacing w:line="360" w:lineRule="exact"/>
              <w:ind w:firstLine="428"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截标时间后30分钟内磋商供应商可以登录广西政府采购云平台，用“项目采购-开标评标”功能进行解密磋商响应文件。若磋商供应商在规定时间内无法解密或解密失败，可以以电子备份磋商响应文件作为依据，若电子备份磋商响应文件与广西政府采购云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tc>
      </w:tr>
      <w:tr w14:paraId="780A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52" w:type="dxa"/>
            <w:vAlign w:val="center"/>
          </w:tcPr>
          <w:p w14:paraId="6B551F13">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2"/>
                <w:highlight w:val="none"/>
                <w:lang w:val="en-US" w:eastAsia="zh-CN"/>
              </w:rPr>
              <w:t>18</w:t>
            </w:r>
          </w:p>
        </w:tc>
        <w:tc>
          <w:tcPr>
            <w:tcW w:w="1093" w:type="dxa"/>
            <w:vAlign w:val="center"/>
          </w:tcPr>
          <w:p w14:paraId="478DD306">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18.13</w:t>
            </w:r>
            <w:r>
              <w:rPr>
                <w:rFonts w:hint="eastAsia" w:asciiTheme="minorEastAsia" w:hAnsiTheme="minorEastAsia" w:eastAsiaTheme="minorEastAsia" w:cstheme="minorEastAsia"/>
                <w:color w:val="auto"/>
                <w:sz w:val="21"/>
                <w:szCs w:val="21"/>
                <w:highlight w:val="none"/>
              </w:rPr>
              <w:t>.1</w:t>
            </w:r>
          </w:p>
        </w:tc>
        <w:tc>
          <w:tcPr>
            <w:tcW w:w="8813" w:type="dxa"/>
            <w:vAlign w:val="center"/>
          </w:tcPr>
          <w:p w14:paraId="6A5BFE87">
            <w:pPr>
              <w:shd w:val="clear"/>
              <w:tabs>
                <w:tab w:val="left" w:pos="210"/>
              </w:tabs>
              <w:spacing w:line="380" w:lineRule="exact"/>
              <w:ind w:left="4870" w:hanging="4869" w:hangingChars="2319"/>
              <w:jc w:val="lef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highlight w:val="none"/>
              </w:rPr>
              <w:t>评标办法：综合评分法</w:t>
            </w:r>
          </w:p>
        </w:tc>
      </w:tr>
      <w:tr w14:paraId="7E563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3FB8DB95">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19、20</w:t>
            </w:r>
          </w:p>
        </w:tc>
        <w:tc>
          <w:tcPr>
            <w:tcW w:w="1093" w:type="dxa"/>
            <w:vAlign w:val="center"/>
          </w:tcPr>
          <w:p w14:paraId="578621F5">
            <w:pPr>
              <w:shd w:val="clear"/>
              <w:spacing w:line="360" w:lineRule="exact"/>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19.3</w:t>
            </w: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color w:val="auto"/>
                <w:highlight w:val="none"/>
                <w:lang w:eastAsia="zh-CN"/>
              </w:rPr>
              <w:t>、</w:t>
            </w:r>
            <w:r>
              <w:rPr>
                <w:rFonts w:hint="eastAsia" w:ascii="宋体" w:hAnsi="宋体" w:cs="宋体"/>
                <w:color w:val="auto"/>
                <w:sz w:val="21"/>
                <w:szCs w:val="21"/>
                <w:highlight w:val="none"/>
                <w:lang w:val="en-US" w:eastAsia="zh-CN"/>
              </w:rPr>
              <w:t>20</w:t>
            </w:r>
            <w:r>
              <w:rPr>
                <w:rFonts w:ascii="宋体" w:hAnsi="宋体" w:cs="宋体"/>
                <w:color w:val="auto"/>
                <w:sz w:val="21"/>
                <w:szCs w:val="21"/>
                <w:highlight w:val="none"/>
              </w:rPr>
              <w:t>.1</w:t>
            </w:r>
            <w:r>
              <w:rPr>
                <w:rFonts w:hint="eastAsia" w:ascii="宋体" w:hAnsi="宋体" w:cs="宋体"/>
                <w:color w:val="auto"/>
                <w:sz w:val="21"/>
                <w:szCs w:val="21"/>
                <w:highlight w:val="none"/>
                <w:lang w:val="en-US" w:eastAsia="zh-CN"/>
              </w:rPr>
              <w:t>.6</w:t>
            </w:r>
          </w:p>
        </w:tc>
        <w:tc>
          <w:tcPr>
            <w:tcW w:w="8813" w:type="dxa"/>
            <w:vAlign w:val="center"/>
          </w:tcPr>
          <w:p w14:paraId="19FF271C">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需要补充的其他内容：</w:t>
            </w:r>
          </w:p>
          <w:p w14:paraId="75A2C4C3">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（1）招标代理自评审结束之日起2个工作日内将评审报告送交采购人；</w:t>
            </w:r>
          </w:p>
          <w:p w14:paraId="64F92DD5">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（2）采购人收到代理机构提交的评审报告后，2个工作日内确定成交供应商；</w:t>
            </w:r>
          </w:p>
          <w:p w14:paraId="71676452">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（3）合同签订期：自成交通知书发出之日起20个日历天内；</w:t>
            </w:r>
          </w:p>
          <w:p w14:paraId="50867CB1">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（4）采购人和成交供应商签订合同之日起2个工作日内将政府采购合同在相关网站上发布。</w:t>
            </w:r>
          </w:p>
        </w:tc>
      </w:tr>
      <w:tr w14:paraId="48CC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52" w:type="dxa"/>
            <w:vAlign w:val="center"/>
          </w:tcPr>
          <w:p w14:paraId="703226C9">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highlight w:val="none"/>
                <w:lang w:val="en-US" w:eastAsia="zh-CN"/>
              </w:rPr>
              <w:t>20</w:t>
            </w:r>
          </w:p>
        </w:tc>
        <w:tc>
          <w:tcPr>
            <w:tcW w:w="1093" w:type="dxa"/>
            <w:vAlign w:val="center"/>
          </w:tcPr>
          <w:p w14:paraId="4C5D9EF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20.2</w:t>
            </w:r>
          </w:p>
        </w:tc>
        <w:tc>
          <w:tcPr>
            <w:tcW w:w="8813" w:type="dxa"/>
            <w:vAlign w:val="center"/>
          </w:tcPr>
          <w:p w14:paraId="2F3F040F">
            <w:pPr>
              <w:shd w:val="clear"/>
              <w:rPr>
                <w:color w:val="auto"/>
                <w:highlight w:val="none"/>
              </w:rPr>
            </w:pPr>
            <w:r>
              <w:rPr>
                <w:rFonts w:hint="eastAsia"/>
                <w:color w:val="auto"/>
                <w:highlight w:val="none"/>
              </w:rPr>
              <w:t>履约保证金：无</w:t>
            </w:r>
          </w:p>
        </w:tc>
      </w:tr>
      <w:tr w14:paraId="2CB7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52" w:type="dxa"/>
            <w:vAlign w:val="center"/>
          </w:tcPr>
          <w:p w14:paraId="6F972C11">
            <w:pPr>
              <w:shd w:val="clear"/>
              <w:spacing w:line="360" w:lineRule="exact"/>
              <w:jc w:val="center"/>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6</w:t>
            </w:r>
          </w:p>
        </w:tc>
        <w:tc>
          <w:tcPr>
            <w:tcW w:w="1093" w:type="dxa"/>
            <w:vAlign w:val="center"/>
          </w:tcPr>
          <w:p w14:paraId="3B5A1C1D">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6.1</w:t>
            </w:r>
          </w:p>
        </w:tc>
        <w:tc>
          <w:tcPr>
            <w:tcW w:w="8813" w:type="dxa"/>
            <w:vAlign w:val="center"/>
          </w:tcPr>
          <w:p w14:paraId="62A967D2">
            <w:pPr>
              <w:pStyle w:val="18"/>
              <w:jc w:val="left"/>
              <w:rPr>
                <w:rFonts w:hint="eastAsia"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现场勘察：无。</w:t>
            </w:r>
          </w:p>
        </w:tc>
      </w:tr>
      <w:tr w14:paraId="1EFE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vAlign w:val="center"/>
          </w:tcPr>
          <w:p w14:paraId="33354CE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9</w:t>
            </w:r>
          </w:p>
        </w:tc>
        <w:tc>
          <w:tcPr>
            <w:tcW w:w="1093" w:type="dxa"/>
            <w:vAlign w:val="center"/>
          </w:tcPr>
          <w:p w14:paraId="30112DE0">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4</w:t>
            </w:r>
          </w:p>
        </w:tc>
        <w:tc>
          <w:tcPr>
            <w:tcW w:w="8813" w:type="dxa"/>
            <w:vAlign w:val="center"/>
          </w:tcPr>
          <w:p w14:paraId="1845228B">
            <w:pPr>
              <w:spacing w:line="440" w:lineRule="exact"/>
              <w:jc w:val="left"/>
              <w:rPr>
                <w:rFonts w:hint="eastAsia" w:eastAsia="宋体" w:asciiTheme="minorEastAsia" w:hAnsiTheme="minorEastAsia" w:cstheme="minorEastAsia"/>
                <w:b/>
                <w:color w:val="auto"/>
                <w:kern w:val="0"/>
                <w:highlight w:val="none"/>
                <w:lang w:eastAsia="zh-CN"/>
              </w:rPr>
            </w:pPr>
            <w:r>
              <w:rPr>
                <w:rFonts w:hint="eastAsia"/>
                <w:color w:val="auto"/>
                <w:highlight w:val="none"/>
              </w:rPr>
              <w:t>监督部门及电话</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highlight w:val="none"/>
                <w:u w:val="none"/>
                <w:lang w:eastAsia="zh-CN"/>
              </w:rPr>
              <w:t>贵港市港北区财政局综合股</w:t>
            </w:r>
            <w:r>
              <w:rPr>
                <w:rFonts w:hint="eastAsia" w:asciiTheme="minorEastAsia" w:hAnsiTheme="minorEastAsia" w:eastAsiaTheme="minorEastAsia" w:cstheme="minorEastAsia"/>
                <w:color w:val="auto"/>
                <w:highlight w:val="none"/>
                <w:u w:val="none"/>
              </w:rPr>
              <w:t>（</w:t>
            </w:r>
            <w:r>
              <w:rPr>
                <w:rFonts w:hint="eastAsia" w:asciiTheme="minorEastAsia" w:hAnsiTheme="minorEastAsia" w:eastAsiaTheme="minorEastAsia" w:cstheme="minorEastAsia"/>
                <w:color w:val="auto"/>
                <w:highlight w:val="none"/>
                <w:u w:val="none"/>
                <w:lang w:val="en-US" w:eastAsia="zh-CN"/>
              </w:rPr>
              <w:t>0775-4258699，4258673</w:t>
            </w:r>
            <w:r>
              <w:rPr>
                <w:rFonts w:hint="eastAsia" w:asciiTheme="minorEastAsia" w:hAnsiTheme="minorEastAsia" w:eastAsiaTheme="minorEastAsia" w:cstheme="minorEastAsia"/>
                <w:color w:val="auto"/>
                <w:highlight w:val="none"/>
                <w:u w:val="none"/>
              </w:rPr>
              <w:t>）</w:t>
            </w:r>
          </w:p>
        </w:tc>
      </w:tr>
      <w:tr w14:paraId="24BD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tcBorders>
              <w:left w:val="single" w:color="auto" w:sz="4" w:space="0"/>
              <w:bottom w:val="single" w:color="auto" w:sz="4" w:space="0"/>
            </w:tcBorders>
            <w:vAlign w:val="center"/>
          </w:tcPr>
          <w:p w14:paraId="7528639D">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38</w:t>
            </w:r>
          </w:p>
        </w:tc>
        <w:tc>
          <w:tcPr>
            <w:tcW w:w="1093" w:type="dxa"/>
            <w:tcBorders>
              <w:bottom w:val="single" w:color="auto" w:sz="4" w:space="0"/>
            </w:tcBorders>
            <w:vAlign w:val="center"/>
          </w:tcPr>
          <w:p w14:paraId="6B712201">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38</w:t>
            </w:r>
          </w:p>
        </w:tc>
        <w:tc>
          <w:tcPr>
            <w:tcW w:w="8813" w:type="dxa"/>
            <w:tcBorders>
              <w:bottom w:val="single" w:color="auto" w:sz="4" w:space="0"/>
              <w:right w:val="single" w:color="auto" w:sz="4" w:space="0"/>
            </w:tcBorders>
            <w:vAlign w:val="center"/>
          </w:tcPr>
          <w:p w14:paraId="730BD288">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采购代理服务费以</w:t>
            </w:r>
            <w:r>
              <w:rPr>
                <w:rFonts w:hint="eastAsia" w:ascii="宋体" w:hAnsi="宋体" w:cs="宋体"/>
                <w:color w:val="auto"/>
                <w:highlight w:val="none"/>
                <w:lang w:val="en-US" w:eastAsia="zh-CN"/>
              </w:rPr>
              <w:t>采购预算金额为基准，</w:t>
            </w:r>
            <w:r>
              <w:rPr>
                <w:rFonts w:hint="eastAsia" w:ascii="宋体" w:hAnsi="宋体" w:eastAsia="宋体" w:cs="宋体"/>
                <w:color w:val="auto"/>
                <w:highlight w:val="none"/>
                <w:lang w:val="en-US" w:eastAsia="zh-CN"/>
              </w:rPr>
              <w:t>参考原国家发展计划委员会《招标代理服务收费管理暂行办法》（计价格[2002]1980号文）计取</w:t>
            </w:r>
            <w:r>
              <w:rPr>
                <w:rFonts w:hint="eastAsia" w:asciiTheme="minorEastAsia" w:hAnsiTheme="minorEastAsia" w:eastAsiaTheme="minorEastAsia" w:cstheme="minorEastAsia"/>
                <w:color w:val="auto"/>
                <w:highlight w:val="none"/>
                <w:lang w:val="en-US" w:eastAsia="zh-CN"/>
              </w:rPr>
              <w:t>，由成交供应商领取成交通知书前</w:t>
            </w:r>
            <w:r>
              <w:rPr>
                <w:rFonts w:hint="eastAsia" w:asciiTheme="minorEastAsia" w:hAnsiTheme="minorEastAsia" w:eastAsiaTheme="minorEastAsia" w:cstheme="minorEastAsia"/>
                <w:color w:val="auto"/>
                <w:highlight w:val="none"/>
              </w:rPr>
              <w:t>一次性付清给</w:t>
            </w:r>
            <w:r>
              <w:rPr>
                <w:rFonts w:hint="eastAsia" w:asciiTheme="minorEastAsia" w:hAnsiTheme="minorEastAsia" w:eastAsiaTheme="minorEastAsia" w:cstheme="minorEastAsia"/>
                <w:color w:val="auto"/>
                <w:highlight w:val="none"/>
                <w:lang w:val="en-US" w:eastAsia="zh-CN"/>
              </w:rPr>
              <w:t>采购</w:t>
            </w:r>
            <w:r>
              <w:rPr>
                <w:rFonts w:hint="eastAsia" w:asciiTheme="minorEastAsia" w:hAnsiTheme="minorEastAsia" w:eastAsiaTheme="minorEastAsia" w:cstheme="minorEastAsia"/>
                <w:color w:val="auto"/>
                <w:highlight w:val="none"/>
              </w:rPr>
              <w:t>代理单位。代理服务费缴入如下账户：</w:t>
            </w:r>
          </w:p>
          <w:p w14:paraId="11BD25A6">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账户名称：广西建设工程机电设备招标中心有限公司</w:t>
            </w:r>
          </w:p>
          <w:p w14:paraId="4AA5B470">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开户：招商银行南宁分行营业部</w:t>
            </w:r>
          </w:p>
          <w:p w14:paraId="7B2A8C17">
            <w:pPr>
              <w:tabs>
                <w:tab w:val="left" w:pos="540"/>
                <w:tab w:val="left" w:pos="720"/>
              </w:tabs>
              <w:spacing w:line="360" w:lineRule="exact"/>
              <w:ind w:firstLine="420" w:firstLineChars="200"/>
              <w:jc w:val="left"/>
              <w:rPr>
                <w:rFonts w:hint="eastAsia" w:ascii="宋体" w:hAnsi="宋体" w:eastAsia="宋体"/>
                <w:b/>
                <w:bCs/>
                <w:color w:val="auto"/>
                <w:szCs w:val="21"/>
                <w:highlight w:val="none"/>
                <w:lang w:eastAsia="zh-CN"/>
              </w:rPr>
            </w:pPr>
            <w:r>
              <w:rPr>
                <w:rFonts w:hint="eastAsia" w:ascii="宋体" w:hAnsi="宋体" w:eastAsia="宋体" w:cs="宋体"/>
                <w:color w:val="auto"/>
                <w:highlight w:val="none"/>
              </w:rPr>
              <w:t>账号：771901423310201</w:t>
            </w:r>
          </w:p>
        </w:tc>
      </w:tr>
      <w:tr w14:paraId="3511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0" w:hRule="atLeast"/>
          <w:jc w:val="center"/>
        </w:trPr>
        <w:tc>
          <w:tcPr>
            <w:tcW w:w="652" w:type="dxa"/>
            <w:tcBorders>
              <w:top w:val="single" w:color="auto" w:sz="4" w:space="0"/>
              <w:left w:val="single" w:color="auto" w:sz="4" w:space="0"/>
              <w:bottom w:val="single" w:color="auto" w:sz="4" w:space="0"/>
            </w:tcBorders>
            <w:vAlign w:val="center"/>
          </w:tcPr>
          <w:p w14:paraId="2DF5CFBE">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7</w:t>
            </w:r>
          </w:p>
        </w:tc>
        <w:tc>
          <w:tcPr>
            <w:tcW w:w="1093" w:type="dxa"/>
            <w:tcBorders>
              <w:top w:val="single" w:color="auto" w:sz="4" w:space="0"/>
              <w:bottom w:val="single" w:color="auto" w:sz="4" w:space="0"/>
            </w:tcBorders>
            <w:vAlign w:val="center"/>
          </w:tcPr>
          <w:p w14:paraId="6D603D5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12.4.1</w:t>
            </w:r>
          </w:p>
        </w:tc>
        <w:tc>
          <w:tcPr>
            <w:tcW w:w="8813" w:type="dxa"/>
            <w:tcBorders>
              <w:top w:val="single" w:color="auto" w:sz="4" w:space="0"/>
              <w:bottom w:val="single" w:color="auto" w:sz="4" w:space="0"/>
              <w:right w:val="single" w:color="auto" w:sz="4" w:space="0"/>
            </w:tcBorders>
            <w:vAlign w:val="center"/>
          </w:tcPr>
          <w:p w14:paraId="7E531012">
            <w:pPr>
              <w:keepNext w:val="0"/>
              <w:keepLines w:val="0"/>
              <w:pageBreakBefore w:val="0"/>
              <w:widowControl w:val="0"/>
              <w:shd w:val="clear"/>
              <w:kinsoku/>
              <w:wordWrap/>
              <w:overflowPunct/>
              <w:topLinePunct w:val="0"/>
              <w:autoSpaceDE/>
              <w:autoSpaceDN/>
              <w:bidi w:val="0"/>
              <w:adjustRightInd/>
              <w:snapToGrid/>
              <w:spacing w:line="320" w:lineRule="exact"/>
              <w:ind w:firstLine="420" w:firstLineChars="200"/>
              <w:textAlignment w:val="auto"/>
              <w:rPr>
                <w:rFonts w:hint="eastAsia" w:ascii="宋体" w:hAnsi="宋体"/>
                <w:b/>
                <w:bCs/>
                <w:color w:val="auto"/>
                <w:szCs w:val="21"/>
                <w:highlight w:val="none"/>
              </w:rPr>
            </w:pPr>
            <w:r>
              <w:rPr>
                <w:rFonts w:hint="eastAsia" w:ascii="宋体" w:hAnsi="宋体" w:eastAsia="宋体" w:cs="宋体"/>
                <w:color w:val="auto"/>
                <w:highlight w:val="none"/>
                <w:lang w:eastAsia="zh-CN"/>
              </w:rPr>
              <w:t>合同签订后，</w:t>
            </w:r>
            <w:r>
              <w:rPr>
                <w:rFonts w:hint="eastAsia" w:ascii="宋体" w:hAnsi="宋体" w:eastAsia="宋体" w:cs="宋体"/>
                <w:color w:val="auto"/>
                <w:highlight w:val="none"/>
                <w:lang w:val="en-US" w:eastAsia="zh-CN"/>
              </w:rPr>
              <w:t>采购人在施工单位进场开工后一周内预付合同价的30%；施工单位完成工程量的100%后，支付至合同价</w:t>
            </w:r>
            <w:r>
              <w:rPr>
                <w:rFonts w:hint="eastAsia" w:ascii="宋体" w:hAnsi="宋体" w:eastAsia="宋体" w:cs="宋体"/>
                <w:color w:val="auto"/>
                <w:highlight w:val="none"/>
                <w:lang w:eastAsia="zh-CN"/>
              </w:rPr>
              <w:t>的80%；工程完工且验收达到质量要求，并经</w:t>
            </w:r>
            <w:r>
              <w:rPr>
                <w:rFonts w:hint="eastAsia" w:ascii="宋体" w:hAnsi="宋体" w:cs="宋体"/>
                <w:color w:val="auto"/>
                <w:highlight w:val="none"/>
                <w:lang w:val="en-US" w:eastAsia="zh-CN"/>
              </w:rPr>
              <w:t>审核后</w:t>
            </w:r>
            <w:r>
              <w:rPr>
                <w:rFonts w:hint="eastAsia" w:ascii="宋体" w:hAnsi="宋体" w:eastAsia="宋体" w:cs="宋体"/>
                <w:color w:val="auto"/>
                <w:highlight w:val="none"/>
                <w:lang w:eastAsia="zh-CN"/>
              </w:rPr>
              <w:t>，支付至结算价款的</w:t>
            </w:r>
            <w:r>
              <w:rPr>
                <w:rFonts w:hint="eastAsia" w:ascii="宋体" w:hAnsi="宋体" w:eastAsia="宋体" w:cs="宋体"/>
                <w:color w:val="auto"/>
                <w:highlight w:val="none"/>
                <w:lang w:val="en-US" w:eastAsia="zh-CN"/>
              </w:rPr>
              <w:t>97%工程款，余下结算价款的3%作为工程质量保修金，待工程质量保修期满，经</w:t>
            </w:r>
            <w:r>
              <w:rPr>
                <w:rFonts w:hint="eastAsia" w:ascii="宋体" w:hAnsi="宋体" w:cs="宋体"/>
                <w:color w:val="auto"/>
                <w:highlight w:val="none"/>
                <w:lang w:val="en-US" w:eastAsia="zh-CN"/>
              </w:rPr>
              <w:t>采购人</w:t>
            </w:r>
            <w:r>
              <w:rPr>
                <w:rFonts w:hint="eastAsia" w:ascii="宋体" w:hAnsi="宋体" w:eastAsia="宋体" w:cs="宋体"/>
                <w:color w:val="auto"/>
                <w:highlight w:val="none"/>
                <w:lang w:val="en-US" w:eastAsia="zh-CN"/>
              </w:rPr>
              <w:t>、施工单位及监理单位三方验收合格后，无息拨付给施工单位。</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在签订合同时，</w:t>
            </w:r>
            <w:r>
              <w:rPr>
                <w:rFonts w:hint="eastAsia" w:ascii="宋体" w:hAnsi="宋体" w:eastAsia="宋体" w:cs="宋体"/>
                <w:color w:val="auto"/>
                <w:highlight w:val="none"/>
                <w:lang w:val="en-US" w:eastAsia="zh-CN"/>
              </w:rPr>
              <w:t>成交</w:t>
            </w:r>
            <w:r>
              <w:rPr>
                <w:rFonts w:hint="eastAsia" w:asciiTheme="minorEastAsia" w:hAnsiTheme="minorEastAsia" w:eastAsiaTheme="minorEastAsia" w:cstheme="minorEastAsia"/>
                <w:color w:val="auto"/>
                <w:highlight w:val="none"/>
                <w:lang w:val="en-US" w:eastAsia="zh-CN"/>
              </w:rPr>
              <w:t>供应商</w:t>
            </w:r>
            <w:r>
              <w:rPr>
                <w:rFonts w:hint="eastAsia" w:ascii="宋体" w:hAnsi="宋体" w:eastAsia="宋体" w:cs="宋体"/>
                <w:color w:val="auto"/>
                <w:highlight w:val="none"/>
                <w:lang w:eastAsia="zh-CN"/>
              </w:rPr>
              <w:t>明确表示无需预付款或者主动要求降低预付款比例的，</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可不适用前述规定）。</w:t>
            </w:r>
          </w:p>
        </w:tc>
      </w:tr>
      <w:tr w14:paraId="29F5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558" w:type="dxa"/>
            <w:gridSpan w:val="3"/>
            <w:tcBorders>
              <w:top w:val="single" w:color="auto" w:sz="4" w:space="0"/>
              <w:left w:val="single" w:color="auto" w:sz="4" w:space="0"/>
              <w:right w:val="single" w:color="auto" w:sz="4" w:space="0"/>
            </w:tcBorders>
            <w:vAlign w:val="center"/>
          </w:tcPr>
          <w:p w14:paraId="2C54069D">
            <w:pPr>
              <w:shd w:val="clear"/>
              <w:rPr>
                <w:rFonts w:hint="default" w:asciiTheme="minorEastAsia" w:hAnsiTheme="minorEastAsia" w:eastAsiaTheme="minorEastAsia" w:cstheme="minorEastAsia"/>
                <w:b/>
                <w:color w:val="auto"/>
                <w:kern w:val="0"/>
                <w:highlight w:val="none"/>
                <w:lang w:val="en-US" w:eastAsia="zh-CN"/>
              </w:rPr>
            </w:pPr>
            <w:r>
              <w:rPr>
                <w:rFonts w:hint="eastAsia" w:ascii="宋体" w:hAnsi="宋体" w:eastAsia="宋体" w:cs="宋体"/>
                <w:b/>
                <w:bCs/>
                <w:color w:val="auto"/>
                <w:highlight w:val="none"/>
                <w:lang w:val="en-US" w:eastAsia="zh-CN"/>
              </w:rPr>
              <w:t>备注：合同价款不可调整。</w:t>
            </w:r>
          </w:p>
        </w:tc>
      </w:tr>
    </w:tbl>
    <w:p w14:paraId="57255EF0">
      <w:pPr>
        <w:shd w:val="clear"/>
        <w:jc w:val="center"/>
        <w:rPr>
          <w:rFonts w:asciiTheme="minorEastAsia" w:hAnsiTheme="minorEastAsia" w:eastAsiaTheme="minorEastAsia" w:cstheme="minorEastAsia"/>
          <w:b/>
          <w:bCs/>
          <w:color w:val="auto"/>
          <w:sz w:val="36"/>
          <w:szCs w:val="36"/>
          <w:highlight w:val="none"/>
        </w:rPr>
      </w:pPr>
      <w:r>
        <w:rPr>
          <w:rFonts w:hint="eastAsia" w:asciiTheme="minorEastAsia" w:hAnsiTheme="minorEastAsia" w:eastAsiaTheme="minorEastAsia" w:cstheme="minorEastAsia"/>
          <w:b/>
          <w:bCs/>
          <w:color w:val="auto"/>
          <w:sz w:val="36"/>
          <w:szCs w:val="36"/>
          <w:highlight w:val="none"/>
        </w:rPr>
        <w:t>磋商须知</w:t>
      </w:r>
    </w:p>
    <w:p w14:paraId="2B3369FF">
      <w:pPr>
        <w:shd w:val="clear"/>
        <w:spacing w:line="360" w:lineRule="exact"/>
        <w:ind w:firstLine="211" w:firstLineChars="98"/>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一、总     则</w:t>
      </w:r>
    </w:p>
    <w:p w14:paraId="65EE6BCD">
      <w:pPr>
        <w:shd w:val="clear"/>
        <w:spacing w:line="360" w:lineRule="auto"/>
        <w:rPr>
          <w:rFonts w:hint="eastAsia" w:asciiTheme="minorEastAsia" w:hAnsiTheme="minorEastAsia" w:eastAsiaTheme="minorEastAsia" w:cstheme="minorEastAsia"/>
          <w:b/>
          <w:bCs/>
          <w:color w:val="auto"/>
          <w:spacing w:val="2"/>
          <w:highlight w:val="none"/>
          <w:lang w:val="en-US" w:eastAsia="zh-CN"/>
        </w:rPr>
      </w:pPr>
    </w:p>
    <w:p w14:paraId="53EB41B9">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1.适用范围</w:t>
      </w:r>
    </w:p>
    <w:p w14:paraId="3BFD41D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1.1本项目采购人、采购代理机构、供应商、磋商小组的相关行为均受《中华人民共和国政府采购法》</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《中华人民共和国政府采购法实施条例》</w:t>
      </w:r>
      <w:r>
        <w:rPr>
          <w:rFonts w:hint="eastAsia" w:ascii="宋体" w:hAnsi="宋体" w:cs="宋体"/>
          <w:color w:val="auto"/>
          <w:sz w:val="21"/>
          <w:szCs w:val="21"/>
          <w:highlight w:val="none"/>
          <w:lang w:eastAsia="zh-CN"/>
        </w:rPr>
        <w:t>、</w:t>
      </w:r>
      <w:r>
        <w:rPr>
          <w:rFonts w:hint="eastAsia" w:ascii="宋体" w:hAnsi="宋体"/>
          <w:color w:val="auto"/>
          <w:sz w:val="21"/>
          <w:szCs w:val="21"/>
          <w:highlight w:val="none"/>
        </w:rPr>
        <w:t>《政府采购竞争性磋商采购方式管理暂行办法》</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《财政部关于政府采购竞争性磋商采购方式管理暂行办法有关问题的补充通知》</w:t>
      </w:r>
      <w:r>
        <w:rPr>
          <w:rFonts w:hint="eastAsia" w:ascii="宋体" w:hAnsi="宋体" w:cs="宋体"/>
          <w:color w:val="auto"/>
          <w:sz w:val="21"/>
          <w:szCs w:val="21"/>
          <w:highlight w:val="none"/>
        </w:rPr>
        <w:t>及本项目本级和上级财政部门政府采购有关规定的约束和保护。</w:t>
      </w:r>
    </w:p>
    <w:p w14:paraId="0580F77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1.2</w:t>
      </w:r>
      <w:r>
        <w:rPr>
          <w:rFonts w:hint="eastAsia" w:ascii="宋体" w:hAnsi="宋体" w:cs="宋体"/>
          <w:color w:val="auto"/>
          <w:spacing w:val="-6"/>
          <w:sz w:val="21"/>
          <w:szCs w:val="21"/>
          <w:highlight w:val="none"/>
        </w:rPr>
        <w:t>本竞争性磋商文件（以下简称磋商文件）适用于本项目的所有采购程序和环节（法律、法规另有规定的，从其规定）。</w:t>
      </w:r>
    </w:p>
    <w:p w14:paraId="3F75DBF2">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2.定义</w:t>
      </w:r>
    </w:p>
    <w:p w14:paraId="7207CB8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2.1“采购人”是指依法进行政府采购的国家机关、事业单位、团体组织。</w:t>
      </w:r>
    </w:p>
    <w:p w14:paraId="1E2A8AC7">
      <w:pPr>
        <w:spacing w:line="360" w:lineRule="auto"/>
        <w:ind w:firstLine="420" w:firstLineChars="200"/>
        <w:rPr>
          <w:rFonts w:hint="eastAsia" w:ascii="宋体" w:hAnsi="宋体" w:cs="宋体"/>
          <w:color w:val="auto"/>
          <w:sz w:val="21"/>
          <w:szCs w:val="21"/>
          <w:highlight w:val="none"/>
          <w:u w:val="single"/>
        </w:rPr>
      </w:pPr>
      <w:r>
        <w:rPr>
          <w:rFonts w:hint="eastAsia" w:ascii="宋体" w:hAnsi="宋体" w:cs="宋体"/>
          <w:color w:val="auto"/>
          <w:sz w:val="21"/>
          <w:szCs w:val="21"/>
          <w:highlight w:val="none"/>
        </w:rPr>
        <w:t>2.2“采购代理机构”是指政府采购集中采购机构和集中采购机构以外的采购代理机构。</w:t>
      </w:r>
    </w:p>
    <w:p w14:paraId="0FA80B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2.3“供应商”是指向采购人提供货物、工程或者服务的法人、其他组织或者自然人。</w:t>
      </w:r>
    </w:p>
    <w:p w14:paraId="6944577B">
      <w:pPr>
        <w:spacing w:line="360" w:lineRule="auto"/>
        <w:ind w:firstLine="420" w:firstLineChars="200"/>
        <w:rPr>
          <w:rFonts w:hint="eastAsia" w:ascii="宋体" w:hAnsi="宋体" w:cs="宋体"/>
          <w:color w:val="auto"/>
          <w:sz w:val="21"/>
          <w:szCs w:val="21"/>
          <w:highlight w:val="none"/>
        </w:rPr>
      </w:pPr>
      <w:r>
        <w:rPr>
          <w:rFonts w:hint="eastAsia" w:ascii="宋体" w:hAnsi="宋体"/>
          <w:color w:val="auto"/>
          <w:sz w:val="21"/>
          <w:szCs w:val="21"/>
          <w:highlight w:val="none"/>
        </w:rPr>
        <w:t>2.4“服务”是指除货物和工程以外的其他政府采购对象。</w:t>
      </w:r>
    </w:p>
    <w:p w14:paraId="54285A7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5</w:t>
      </w:r>
      <w:r>
        <w:rPr>
          <w:rFonts w:hint="eastAsia" w:ascii="宋体" w:hAnsi="宋体" w:cs="宋体"/>
          <w:color w:val="auto"/>
          <w:sz w:val="21"/>
          <w:szCs w:val="21"/>
          <w:highlight w:val="none"/>
        </w:rPr>
        <w:t>“竞标”是指供应商按照本项目竞争性磋商公告或者邀请函规定的方式获取磋商文件、提交响应文件并希望获得标的的行为。</w:t>
      </w:r>
    </w:p>
    <w:p w14:paraId="4544070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6</w:t>
      </w:r>
      <w:r>
        <w:rPr>
          <w:rFonts w:hint="eastAsia" w:ascii="宋体" w:hAnsi="宋体" w:cs="宋体"/>
          <w:color w:val="auto"/>
          <w:sz w:val="21"/>
          <w:szCs w:val="21"/>
          <w:highlight w:val="none"/>
        </w:rPr>
        <w:t>“响应文件”</w:t>
      </w:r>
      <w:r>
        <w:rPr>
          <w:rFonts w:hint="eastAsia" w:ascii="宋体" w:hAnsi="宋体" w:cs="宋体"/>
          <w:color w:val="auto"/>
          <w:spacing w:val="-6"/>
          <w:sz w:val="21"/>
          <w:szCs w:val="21"/>
          <w:highlight w:val="none"/>
        </w:rPr>
        <w:t>是指：供应商根据本磋商文件要求，编制包含资格证明、报价商务技术等所有内容的文件。</w:t>
      </w:r>
    </w:p>
    <w:p w14:paraId="198076E5">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7</w:t>
      </w:r>
      <w:r>
        <w:rPr>
          <w:rFonts w:hint="eastAsia" w:ascii="宋体" w:hAnsi="宋体" w:cs="宋体"/>
          <w:color w:val="auto"/>
          <w:sz w:val="21"/>
          <w:szCs w:val="21"/>
          <w:highlight w:val="none"/>
        </w:rPr>
        <w:t>“实质性要求”是指磋商文件中已经指明不满足则响应文件按无效响应处理的条款，或者不能负偏离的条款，或者带“▲”的条款。</w:t>
      </w:r>
    </w:p>
    <w:p w14:paraId="34448733">
      <w:pP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8</w:t>
      </w:r>
      <w:r>
        <w:rPr>
          <w:rFonts w:hint="eastAsia" w:ascii="宋体" w:hAnsi="宋体" w:cs="宋体"/>
          <w:color w:val="auto"/>
          <w:sz w:val="21"/>
          <w:szCs w:val="21"/>
          <w:highlight w:val="none"/>
        </w:rPr>
        <w:t>“正偏离”，是指响应文件对磋商文件中有关条款作出的响应优于条款要求并有利于采购人的情形。</w:t>
      </w:r>
    </w:p>
    <w:p w14:paraId="3C6360B7">
      <w:pPr>
        <w:spacing w:line="360" w:lineRule="auto"/>
        <w:ind w:firstLine="420" w:firstLineChars="200"/>
        <w:rPr>
          <w:rFonts w:hint="eastAsia" w:ascii="宋体" w:hAnsi="宋体" w:cs="宋体"/>
          <w:color w:val="auto"/>
          <w:sz w:val="21"/>
          <w:szCs w:val="21"/>
          <w:highlight w:val="none"/>
        </w:rPr>
      </w:pPr>
      <w:r>
        <w:rPr>
          <w:rFonts w:ascii="宋体" w:hAnsi="宋体" w:cs="宋体"/>
          <w:color w:val="auto"/>
          <w:sz w:val="21"/>
          <w:szCs w:val="21"/>
          <w:highlight w:val="none"/>
        </w:rPr>
        <w:t>2.9</w:t>
      </w:r>
      <w:r>
        <w:rPr>
          <w:rFonts w:hint="eastAsia" w:ascii="宋体" w:hAnsi="宋体" w:cs="宋体"/>
          <w:color w:val="auto"/>
          <w:sz w:val="21"/>
          <w:szCs w:val="21"/>
          <w:highlight w:val="none"/>
        </w:rPr>
        <w:t>“负偏离”，是指响应文件对磋商文件有关条款作出的响应不满足条款要求，导致采购人要求不能得到满足的情形。</w:t>
      </w:r>
    </w:p>
    <w:p w14:paraId="4B2B0A4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2.10“允许负偏离的条款”是指不属于“实质性要求”的条款。</w:t>
      </w:r>
    </w:p>
    <w:p w14:paraId="57F01E5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11</w:t>
      </w:r>
      <w:r>
        <w:rPr>
          <w:rFonts w:hint="eastAsia" w:ascii="宋体" w:hAnsi="宋体" w:cs="宋体"/>
          <w:color w:val="auto"/>
          <w:sz w:val="21"/>
          <w:szCs w:val="21"/>
          <w:highlight w:val="none"/>
        </w:rPr>
        <w:t>“书面形式”是指合同书、信件和数据电文（包括电报、电传、传真、电子数据交换和电子邮件）等可以有形地表现所载内容的形式。</w:t>
      </w:r>
    </w:p>
    <w:p w14:paraId="509183BE">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12</w:t>
      </w:r>
      <w:r>
        <w:rPr>
          <w:rFonts w:hint="eastAsia" w:ascii="宋体" w:hAnsi="宋体" w:cs="宋体"/>
          <w:color w:val="auto"/>
          <w:sz w:val="21"/>
          <w:szCs w:val="21"/>
          <w:highlight w:val="none"/>
        </w:rPr>
        <w:t>“首次报价”是指供应商提交的首次响应文件中的报价。</w:t>
      </w:r>
    </w:p>
    <w:p w14:paraId="128B1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w:t>
      </w:r>
      <w:r>
        <w:rPr>
          <w:rFonts w:ascii="宋体" w:hAnsi="宋体" w:cs="宋体"/>
          <w:color w:val="auto"/>
          <w:sz w:val="21"/>
          <w:szCs w:val="21"/>
          <w:highlight w:val="none"/>
        </w:rPr>
        <w:t>3</w:t>
      </w:r>
      <w:r>
        <w:rPr>
          <w:rFonts w:hint="eastAsia" w:ascii="宋体" w:hAnsi="宋体" w:cs="宋体"/>
          <w:color w:val="auto"/>
          <w:sz w:val="21"/>
          <w:szCs w:val="21"/>
          <w:highlight w:val="none"/>
        </w:rPr>
        <w:t>“评审报价”是指供应商提交的最后报价并经修正（如有）和政策功能价格扣除（如有）后的价格。</w:t>
      </w:r>
    </w:p>
    <w:p w14:paraId="1CD7106B">
      <w:pPr>
        <w:spacing w:line="360" w:lineRule="auto"/>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3.供应商的资格条件</w:t>
      </w:r>
    </w:p>
    <w:p w14:paraId="32FF975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供应商的资格条件详见“供应商须知前附表”。</w:t>
      </w:r>
    </w:p>
    <w:p w14:paraId="27330C75">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4.磋商费用</w:t>
      </w:r>
    </w:p>
    <w:p w14:paraId="602C0D4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供应商应承担参与本次采购活动有关的所有费用，包括但不限于勘查现场、编制和提交响应文件、参加磋商与应答、签订合同等，不论竞标结果如何，均应自行承担。</w:t>
      </w:r>
    </w:p>
    <w:p w14:paraId="5AA070D4">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5.联合体竞标</w:t>
      </w:r>
    </w:p>
    <w:p w14:paraId="62C9098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5.1本项目是否接受联合体竞标，详见“供应商须知前附表”。</w:t>
      </w:r>
    </w:p>
    <w:p w14:paraId="15579C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5.2</w:t>
      </w:r>
      <w:r>
        <w:rPr>
          <w:rFonts w:hint="eastAsia" w:ascii="宋体" w:hAnsi="宋体"/>
          <w:color w:val="auto"/>
          <w:sz w:val="21"/>
          <w:szCs w:val="21"/>
          <w:highlight w:val="none"/>
        </w:rPr>
        <w:t>如接受联合体竞标，</w:t>
      </w:r>
      <w:r>
        <w:rPr>
          <w:rFonts w:hint="eastAsia" w:ascii="宋体" w:hAnsi="宋体" w:cs="宋体"/>
          <w:color w:val="auto"/>
          <w:sz w:val="21"/>
          <w:szCs w:val="21"/>
          <w:highlight w:val="none"/>
        </w:rPr>
        <w:t>联合体竞标要求详见“供应商须知前附表”。</w:t>
      </w:r>
    </w:p>
    <w:p w14:paraId="18D0A018">
      <w:pPr>
        <w:spacing w:line="360" w:lineRule="auto"/>
        <w:ind w:firstLine="420" w:firstLineChars="200"/>
        <w:rPr>
          <w:rFonts w:hint="eastAsia" w:ascii="宋体" w:hAnsi="宋体"/>
          <w:bCs/>
          <w:color w:val="auto"/>
          <w:sz w:val="21"/>
          <w:szCs w:val="21"/>
          <w:highlight w:val="none"/>
        </w:rPr>
      </w:pPr>
      <w:r>
        <w:rPr>
          <w:rFonts w:hint="eastAsia" w:ascii="宋体" w:hAnsi="宋体" w:cs="宋体"/>
          <w:color w:val="auto"/>
          <w:sz w:val="21"/>
          <w:szCs w:val="21"/>
          <w:highlight w:val="none"/>
        </w:rPr>
        <w:t>5.3</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接受大中型企业与小微企业组成联合体的采购项目，对于联合协议约定小微企业的合同份额占到合同总金额 30%以上的，采购人、采购代理机构应当对联合体的报价给予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1%—2%）的扣除，用扣除后的价格参加评审。组成联合体的小微企业与联合体内其他企业、分包企业之间存在直接控股、管理关系的，不享受价格扣除优惠政策。</w:t>
      </w:r>
    </w:p>
    <w:p w14:paraId="2720D017">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 xml:space="preserve">6.转包与分包             </w:t>
      </w:r>
    </w:p>
    <w:p w14:paraId="3A39F6E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6.1本项目是否允许分包详见“供应商须知前附表”，本项目不允许违法分包。</w:t>
      </w:r>
    </w:p>
    <w:p w14:paraId="3D91A60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6.2</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允许大中型企业向一家或者多家小微企业分包的采购项目，对于分包意向协议约定小微企业的合同份额占到合同总金额 30%以上的，采购人、采购代理机构应当对大中型企业的报价给予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1%—2%）的扣除，用扣除后的价格参加评审。接受分包的小微企业与分包企业之间存在直接控股、管理关系的，不享受价格扣除优惠政策。</w:t>
      </w:r>
    </w:p>
    <w:p w14:paraId="7B2CEA2E">
      <w:pPr>
        <w:spacing w:line="360" w:lineRule="auto"/>
        <w:ind w:firstLine="422" w:firstLineChars="200"/>
        <w:rPr>
          <w:rFonts w:hint="eastAsia" w:ascii="黑体" w:hAnsi="黑体" w:eastAsia="黑体" w:cs="宋体"/>
          <w:b/>
          <w:bCs/>
          <w:color w:val="auto"/>
          <w:sz w:val="21"/>
          <w:szCs w:val="21"/>
          <w:highlight w:val="none"/>
        </w:rPr>
      </w:pPr>
      <w:bookmarkStart w:id="8" w:name="_Toc254970673"/>
      <w:bookmarkStart w:id="9" w:name="_Toc254970532"/>
      <w:r>
        <w:rPr>
          <w:rFonts w:hint="eastAsia" w:ascii="黑体" w:hAnsi="黑体" w:eastAsia="黑体" w:cs="宋体"/>
          <w:b/>
          <w:bCs/>
          <w:color w:val="auto"/>
          <w:sz w:val="21"/>
          <w:szCs w:val="21"/>
          <w:highlight w:val="none"/>
        </w:rPr>
        <w:t>7.特别说明</w:t>
      </w:r>
      <w:bookmarkEnd w:id="8"/>
      <w:bookmarkEnd w:id="9"/>
    </w:p>
    <w:p w14:paraId="4AAC86D7">
      <w:pPr>
        <w:spacing w:line="360" w:lineRule="auto"/>
        <w:ind w:firstLine="420" w:firstLineChars="200"/>
        <w:rPr>
          <w:rFonts w:hint="eastAsia" w:ascii="宋体" w:hAnsi="宋体" w:cs="宋体"/>
          <w:color w:val="auto"/>
          <w:sz w:val="21"/>
          <w:szCs w:val="21"/>
          <w:highlight w:val="none"/>
        </w:rPr>
      </w:pPr>
      <w:bookmarkStart w:id="10" w:name="_8.1提供相同品牌产品且通过资格审查、符合性审查的不同投标人参加同一合"/>
      <w:bookmarkEnd w:id="10"/>
      <w:r>
        <w:rPr>
          <w:rFonts w:hint="eastAsia" w:ascii="宋体" w:hAnsi="宋体" w:cs="宋体"/>
          <w:color w:val="auto"/>
          <w:sz w:val="21"/>
          <w:szCs w:val="21"/>
          <w:highlight w:val="none"/>
        </w:rPr>
        <w:t>7.</w:t>
      </w:r>
      <w:r>
        <w:rPr>
          <w:rFonts w:ascii="宋体" w:hAnsi="宋体" w:cs="宋体"/>
          <w:color w:val="auto"/>
          <w:sz w:val="21"/>
          <w:szCs w:val="21"/>
          <w:highlight w:val="none"/>
        </w:rPr>
        <w:t>1</w:t>
      </w:r>
      <w:bookmarkStart w:id="11" w:name="_Hlk65832145"/>
      <w:r>
        <w:rPr>
          <w:rFonts w:hint="eastAsia" w:ascii="宋体" w:hAnsi="宋体"/>
          <w:color w:val="auto"/>
          <w:sz w:val="21"/>
          <w:szCs w:val="21"/>
          <w:highlight w:val="none"/>
        </w:rPr>
        <w:t>如果本磋商文件要求提供供应商或制造商的资格、信誉、荣誉、业绩与企业认证等材料的，资格、信誉、荣誉、业绩与企业认证等必须为供应商或者制造商所拥有或自身获得</w:t>
      </w:r>
      <w:r>
        <w:rPr>
          <w:rFonts w:hint="eastAsia" w:ascii="宋体" w:hAnsi="宋体" w:cs="宋体"/>
          <w:color w:val="auto"/>
          <w:sz w:val="21"/>
          <w:szCs w:val="21"/>
          <w:highlight w:val="none"/>
        </w:rPr>
        <w:t>。</w:t>
      </w:r>
    </w:p>
    <w:bookmarkEnd w:id="11"/>
    <w:p w14:paraId="341911F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2</w:t>
      </w:r>
      <w:r>
        <w:rPr>
          <w:rFonts w:hint="eastAsia" w:ascii="宋体" w:hAnsi="宋体" w:cs="宋体"/>
          <w:color w:val="auto"/>
          <w:sz w:val="21"/>
          <w:szCs w:val="21"/>
          <w:highlight w:val="none"/>
        </w:rPr>
        <w:t>供应商应仔细阅读磋商文件的所有内容，按照磋商文件的要求提交响应文件，并对所提供的全部资料的真实性承担法律责任。</w:t>
      </w:r>
    </w:p>
    <w:p w14:paraId="39F4CDF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3</w:t>
      </w:r>
      <w:r>
        <w:rPr>
          <w:rFonts w:hint="eastAsia" w:ascii="宋体" w:hAnsi="宋体" w:cs="宋体"/>
          <w:color w:val="auto"/>
          <w:sz w:val="21"/>
          <w:szCs w:val="21"/>
          <w:highlight w:val="none"/>
        </w:rPr>
        <w:t>供应商在竞标活动中提供任何疑似虚假材料，将报监管部门查处；签订合同后发现的，成交供应商须依照《中华人民共和国消费者权益保护法》规定赔偿采购人，且民事赔偿并不免除违法供应商的行政与刑事责任。</w:t>
      </w:r>
    </w:p>
    <w:p w14:paraId="60760E14">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4</w:t>
      </w:r>
      <w:r>
        <w:rPr>
          <w:rFonts w:hint="eastAsia" w:ascii="宋体" w:hAnsi="宋体" w:cs="宋体"/>
          <w:color w:val="auto"/>
          <w:sz w:val="21"/>
          <w:szCs w:val="21"/>
          <w:highlight w:val="none"/>
        </w:rPr>
        <w:t>在政府采购活动中，采购人员及相关人员与供应商有下列利害关系之一的，应当回避：</w:t>
      </w:r>
    </w:p>
    <w:p w14:paraId="22393A3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（1）参加采购活动前3年内与供应商存在劳动关系；</w:t>
      </w:r>
    </w:p>
    <w:p w14:paraId="0A7C6A5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（2）参加采购活动前3年内担任供应商的董事、监事；</w:t>
      </w:r>
    </w:p>
    <w:p w14:paraId="2166238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（3）参加采购活动前3年内是供应商的控股股东或者实际控制人；</w:t>
      </w:r>
    </w:p>
    <w:p w14:paraId="1A86822C">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（4）与供应商的法定代表人或者负责人有夫妻、直系血亲、三代以内旁系血亲或者近姻亲关系；</w:t>
      </w:r>
    </w:p>
    <w:p w14:paraId="2F7B4DE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 w:val="21"/>
          <w:szCs w:val="21"/>
          <w:highlight w:val="none"/>
        </w:rPr>
        <w:t>（5）与供应商有其他可</w:t>
      </w:r>
      <w:r>
        <w:rPr>
          <w:rFonts w:hint="eastAsia" w:ascii="宋体" w:hAnsi="宋体" w:cs="宋体"/>
          <w:color w:val="auto"/>
          <w:szCs w:val="21"/>
          <w:highlight w:val="none"/>
        </w:rPr>
        <w:t>能影响政府采购活动公平、公正进行的关系。</w:t>
      </w:r>
    </w:p>
    <w:p w14:paraId="18E2157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FF7822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5</w:t>
      </w:r>
      <w:r>
        <w:rPr>
          <w:rFonts w:hint="eastAsia" w:ascii="宋体" w:hAnsi="宋体" w:cs="宋体"/>
          <w:color w:val="auto"/>
          <w:szCs w:val="21"/>
          <w:highlight w:val="none"/>
        </w:rPr>
        <w:t>有下列情形之一的视为供应商相互串通竞标，响应文件将被视为无效：</w:t>
      </w:r>
    </w:p>
    <w:p w14:paraId="609FD414">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（1）不同供应商的响应文件由同一单位或者个人编制</w:t>
      </w:r>
      <w:r>
        <w:rPr>
          <w:rFonts w:hint="eastAsia" w:ascii="宋体" w:hAnsi="宋体" w:cs="宋体"/>
          <w:color w:val="auto"/>
          <w:szCs w:val="21"/>
          <w:highlight w:val="none"/>
          <w:lang w:eastAsia="zh-CN"/>
        </w:rPr>
        <w:t>，</w:t>
      </w:r>
      <w:r>
        <w:rPr>
          <w:rFonts w:hint="eastAsia" w:ascii="宋体" w:hAnsi="宋体" w:eastAsia="宋体" w:cs="宋体"/>
          <w:color w:val="auto"/>
          <w:szCs w:val="21"/>
          <w:highlight w:val="none"/>
        </w:rPr>
        <w:t>或者不同供应商报名的IP地址一致的；或者编制标书硬件设备CPU编号、硬盘编号、网卡地址一致的情况</w:t>
      </w:r>
      <w:r>
        <w:rPr>
          <w:rFonts w:hint="eastAsia" w:ascii="宋体" w:hAnsi="宋体" w:eastAsia="宋体" w:cs="宋体"/>
          <w:color w:val="auto"/>
          <w:szCs w:val="21"/>
          <w:highlight w:val="none"/>
          <w:lang w:eastAsia="zh-CN"/>
        </w:rPr>
        <w:t>；</w:t>
      </w:r>
    </w:p>
    <w:p w14:paraId="07BB77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（2）不同供应商委托同一单位或者个人办理竞标事宜；</w:t>
      </w:r>
    </w:p>
    <w:p w14:paraId="548A587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（3）不同的供应商的响应文件载明的项目管理员为同一个人；</w:t>
      </w:r>
    </w:p>
    <w:p w14:paraId="197D28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（4）不同供应商的响应文件异常一致或者报价呈规律性差异；</w:t>
      </w:r>
    </w:p>
    <w:p w14:paraId="490722C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（5）不同供应商的响应文件相互混装；</w:t>
      </w:r>
    </w:p>
    <w:p w14:paraId="369FFE09">
      <w:pPr>
        <w:tabs>
          <w:tab w:val="left" w:pos="6931"/>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（6）不同供应商的磋商保证金从同一单位或者个人账户转出。</w:t>
      </w:r>
      <w:r>
        <w:rPr>
          <w:rFonts w:ascii="宋体" w:hAnsi="宋体" w:cs="宋体"/>
          <w:color w:val="auto"/>
          <w:szCs w:val="21"/>
          <w:highlight w:val="none"/>
        </w:rPr>
        <w:tab/>
      </w:r>
    </w:p>
    <w:p w14:paraId="24839BB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6</w:t>
      </w:r>
      <w:r>
        <w:rPr>
          <w:rFonts w:hint="eastAsia" w:ascii="宋体" w:hAnsi="宋体" w:cs="宋体"/>
          <w:color w:val="auto"/>
          <w:szCs w:val="21"/>
          <w:highlight w:val="none"/>
        </w:rPr>
        <w:t>供应商有下列情形之一的，属于恶意串通行为，将报同级监督管理部门：</w:t>
      </w:r>
    </w:p>
    <w:p w14:paraId="18107C5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（1）供应商直接或者间接从采购人或者采购代理机构处获得其他供应商的相关信息并修改其响应文件；</w:t>
      </w:r>
    </w:p>
    <w:p w14:paraId="655206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（2）供应商按照采购人或者采购代理机构的授意撤换、修改响应文件；</w:t>
      </w:r>
    </w:p>
    <w:p w14:paraId="42A2C98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（3）供应商之间协商报价、技术方案等响应文件或者响应文件的实质性内容；</w:t>
      </w:r>
    </w:p>
    <w:p w14:paraId="66B87CD9">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（4）属于同一集团、协会、商会等组织成员的供应商按照该组织要求协同参加政府采购活动；</w:t>
      </w:r>
    </w:p>
    <w:p w14:paraId="351B636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（5）供应商之间事先约定一致抬高或者压低报价，或者在政府采购活动中事先约定轮流以高价位或者低价位成交，或者事先约定由某一特定供应商成交，然后再参加竞标；</w:t>
      </w:r>
    </w:p>
    <w:p w14:paraId="131C1D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（6）供应商之间商定部分供应商放弃参加政府采购活动或者放弃成交；</w:t>
      </w:r>
    </w:p>
    <w:p w14:paraId="5F063F1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asciiTheme="minorEastAsia" w:hAnsiTheme="minorEastAsia" w:eastAsiaTheme="minorEastAsia" w:cstheme="minorEastAsia"/>
          <w:color w:val="auto"/>
          <w:sz w:val="21"/>
          <w:szCs w:val="21"/>
          <w:highlight w:val="none"/>
        </w:rPr>
      </w:pPr>
      <w:r>
        <w:rPr>
          <w:rFonts w:hint="eastAsia" w:ascii="宋体" w:hAnsi="宋体" w:cs="宋体"/>
          <w:color w:val="auto"/>
          <w:szCs w:val="21"/>
          <w:highlight w:val="none"/>
        </w:rPr>
        <w:t>（7）供应商与采购人或者采购代理机构之间、供应商相互之间，为谋求特定供应商成交或者排斥其他供应商的其他串通行为。</w:t>
      </w:r>
    </w:p>
    <w:p w14:paraId="55A4BBA7">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二、竞争性磋商采购文件（简称</w:t>
      </w:r>
      <w:r>
        <w:rPr>
          <w:rFonts w:hint="eastAsia" w:asciiTheme="minorEastAsia" w:hAnsiTheme="minorEastAsia" w:eastAsiaTheme="minorEastAsia" w:cstheme="minorEastAsia"/>
          <w:b/>
          <w:bCs/>
          <w:color w:val="auto"/>
          <w:spacing w:val="2"/>
          <w:highlight w:val="none"/>
          <w:lang w:val="en-US" w:eastAsia="zh-CN"/>
        </w:rPr>
        <w:t>磋商</w:t>
      </w:r>
      <w:r>
        <w:rPr>
          <w:rFonts w:hint="eastAsia" w:asciiTheme="minorEastAsia" w:hAnsiTheme="minorEastAsia" w:eastAsiaTheme="minorEastAsia" w:cstheme="minorEastAsia"/>
          <w:b/>
          <w:bCs/>
          <w:color w:val="auto"/>
          <w:spacing w:val="2"/>
          <w:highlight w:val="none"/>
        </w:rPr>
        <w:t>文件）</w:t>
      </w:r>
    </w:p>
    <w:p w14:paraId="24DB5424">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val="en-US" w:eastAsia="zh-CN"/>
        </w:rPr>
        <w:t>8</w:t>
      </w:r>
      <w:r>
        <w:rPr>
          <w:rFonts w:hint="eastAsia" w:asciiTheme="minorEastAsia" w:hAnsiTheme="minorEastAsia" w:eastAsiaTheme="minorEastAsia" w:cstheme="minorEastAsia"/>
          <w:b/>
          <w:bCs/>
          <w:color w:val="auto"/>
          <w:spacing w:val="2"/>
          <w:highlight w:val="none"/>
        </w:rPr>
        <w:t>．竞争性磋商采购文件的组成</w:t>
      </w:r>
    </w:p>
    <w:p w14:paraId="646ABEBB">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第一章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竞争性磋商公告</w:t>
      </w:r>
    </w:p>
    <w:p w14:paraId="371E79DC">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第二章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磋商须知前附表及磋商须知</w:t>
      </w:r>
    </w:p>
    <w:p w14:paraId="6EBE3A1F">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第三章 </w:t>
      </w:r>
      <w:r>
        <w:rPr>
          <w:rFonts w:hint="eastAsia" w:asciiTheme="minorEastAsia" w:hAnsiTheme="minorEastAsia" w:eastAsiaTheme="minorEastAsia" w:cstheme="minorEastAsia"/>
          <w:color w:val="auto"/>
          <w:highlight w:val="none"/>
        </w:rPr>
        <w:t>技术规范</w:t>
      </w:r>
    </w:p>
    <w:p w14:paraId="26309DC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第四章 </w:t>
      </w:r>
      <w:r>
        <w:rPr>
          <w:rFonts w:hint="eastAsia" w:asciiTheme="minorEastAsia" w:hAnsiTheme="minorEastAsia" w:eastAsiaTheme="minorEastAsia" w:cstheme="minorEastAsia"/>
          <w:color w:val="auto"/>
          <w:spacing w:val="2"/>
          <w:highlight w:val="none"/>
          <w:lang w:val="en-US" w:eastAsia="zh-CN"/>
        </w:rPr>
        <w:t>评审程序、评审方法和评审标准</w:t>
      </w:r>
    </w:p>
    <w:p w14:paraId="02073929">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 xml:space="preserve">第五章 </w:t>
      </w:r>
      <w:r>
        <w:rPr>
          <w:rFonts w:hint="eastAsia" w:asciiTheme="minorEastAsia" w:hAnsiTheme="minorEastAsia" w:eastAsiaTheme="minorEastAsia" w:cstheme="minorEastAsia"/>
          <w:color w:val="auto"/>
          <w:spacing w:val="2"/>
          <w:highlight w:val="none"/>
          <w:lang w:eastAsia="zh-CN"/>
        </w:rPr>
        <w:t>响应文件格式</w:t>
      </w:r>
    </w:p>
    <w:p w14:paraId="2F39F806">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第六章 </w:t>
      </w:r>
      <w:r>
        <w:rPr>
          <w:rFonts w:hint="eastAsia" w:asciiTheme="minorEastAsia" w:hAnsiTheme="minorEastAsia" w:eastAsiaTheme="minorEastAsia" w:cstheme="minorEastAsia"/>
          <w:color w:val="auto"/>
          <w:spacing w:val="2"/>
          <w:highlight w:val="none"/>
          <w:lang w:eastAsia="zh-CN"/>
        </w:rPr>
        <w:t>二次报价格式</w:t>
      </w:r>
      <w:r>
        <w:rPr>
          <w:rFonts w:hint="eastAsia" w:asciiTheme="minorEastAsia" w:hAnsiTheme="minorEastAsia" w:eastAsiaTheme="minorEastAsia" w:cstheme="minorEastAsia"/>
          <w:color w:val="auto"/>
          <w:spacing w:val="2"/>
          <w:highlight w:val="none"/>
        </w:rPr>
        <w:t xml:space="preserve"> </w:t>
      </w:r>
    </w:p>
    <w:p w14:paraId="0694FAD0">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七</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合同书格式</w:t>
      </w:r>
    </w:p>
    <w:p w14:paraId="026AE4CD">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八</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质疑、投诉材料格式</w:t>
      </w:r>
    </w:p>
    <w:p w14:paraId="19D420F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b/>
          <w:bCs/>
          <w:color w:val="auto"/>
          <w:szCs w:val="21"/>
          <w:highlight w:val="none"/>
        </w:rPr>
      </w:pPr>
      <w:r>
        <w:rPr>
          <w:rFonts w:hint="eastAsia" w:ascii="宋体" w:hAnsi="宋体"/>
          <w:b/>
          <w:bCs/>
          <w:color w:val="auto"/>
          <w:szCs w:val="21"/>
          <w:highlight w:val="none"/>
        </w:rPr>
        <w:t>9.供应商的询问</w:t>
      </w:r>
    </w:p>
    <w:p w14:paraId="22CF27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供应商应认真阅读磋商文件的采购需求，如供应商对磋商文件有疑问的，如要求采购人作出澄清或者修改的，供应商应在</w:t>
      </w:r>
      <w:r>
        <w:rPr>
          <w:rFonts w:ascii="宋体" w:hAnsi="宋体"/>
          <w:color w:val="auto"/>
          <w:szCs w:val="21"/>
          <w:highlight w:val="none"/>
        </w:rPr>
        <w:t>提交首次响应文件截止之日前</w:t>
      </w:r>
      <w:r>
        <w:rPr>
          <w:rFonts w:hint="eastAsia" w:ascii="宋体" w:hAnsi="宋体"/>
          <w:color w:val="auto"/>
          <w:szCs w:val="21"/>
          <w:highlight w:val="none"/>
        </w:rPr>
        <w:t>，以书面形式向</w:t>
      </w:r>
      <w:r>
        <w:rPr>
          <w:rFonts w:ascii="宋体" w:hAnsi="宋体"/>
          <w:color w:val="auto"/>
          <w:szCs w:val="21"/>
          <w:highlight w:val="none"/>
        </w:rPr>
        <w:t>采购人、采购代理机构</w:t>
      </w:r>
      <w:r>
        <w:rPr>
          <w:rFonts w:hint="eastAsia" w:ascii="宋体" w:hAnsi="宋体"/>
          <w:color w:val="auto"/>
          <w:szCs w:val="21"/>
          <w:highlight w:val="none"/>
        </w:rPr>
        <w:t>提出。</w:t>
      </w:r>
    </w:p>
    <w:p w14:paraId="700DB7A1">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宋体" w:hAnsi="宋体"/>
          <w:b/>
          <w:bCs/>
          <w:color w:val="auto"/>
          <w:szCs w:val="21"/>
          <w:highlight w:val="none"/>
        </w:rPr>
        <w:t>10.竞争性磋商采购文件的澄清和修改</w:t>
      </w:r>
    </w:p>
    <w:p w14:paraId="3A28D242">
      <w:pPr>
        <w:shd w:val="clear"/>
        <w:spacing w:line="420" w:lineRule="exact"/>
        <w:ind w:firstLine="409" w:firstLineChars="195"/>
        <w:rPr>
          <w:rFonts w:hint="eastAsia" w:ascii="宋体" w:hAnsi="宋体"/>
          <w:color w:val="auto"/>
          <w:szCs w:val="21"/>
          <w:highlight w:val="none"/>
        </w:rPr>
      </w:pPr>
      <w:r>
        <w:rPr>
          <w:rFonts w:hint="eastAsia" w:ascii="宋体" w:hAnsi="宋体"/>
          <w:color w:val="auto"/>
          <w:szCs w:val="21"/>
          <w:highlight w:val="none"/>
          <w:lang w:val="en-US" w:eastAsia="zh-CN"/>
        </w:rPr>
        <w:t>10.1</w:t>
      </w:r>
      <w:r>
        <w:rPr>
          <w:rFonts w:hint="eastAsia" w:ascii="宋体" w:hAnsi="宋体"/>
          <w:color w:val="auto"/>
          <w:szCs w:val="21"/>
          <w:highlight w:val="none"/>
        </w:rPr>
        <w:t>已获取磋商文件的潜在供应商，若有问题需要澄清，应于应标截止时间前，以书面形式向采购代理机构提出，采购代理机构与采购人研究后，对认为有必要回答的问题，按照本章10.3的内容处理。</w:t>
      </w:r>
    </w:p>
    <w:p w14:paraId="73BA552F">
      <w:pPr>
        <w:spacing w:line="360" w:lineRule="auto"/>
        <w:ind w:firstLine="422" w:firstLineChars="200"/>
        <w:rPr>
          <w:rFonts w:hint="eastAsia" w:ascii="宋体" w:hAnsi="宋体"/>
          <w:b/>
          <w:color w:val="auto"/>
          <w:szCs w:val="21"/>
          <w:highlight w:val="none"/>
        </w:rPr>
      </w:pPr>
      <w:r>
        <w:rPr>
          <w:rFonts w:hint="eastAsia" w:ascii="宋体" w:hAnsi="宋体"/>
          <w:b/>
          <w:color w:val="auto"/>
          <w:szCs w:val="21"/>
          <w:highlight w:val="none"/>
        </w:rPr>
        <w:t>10.2采购人或者采购代理机构可以对已发出的磋商文件进行必要的澄清或者修改，但不得改变采购标的和资格条件。澄清或者修改应当在原公告发布媒体上发布澄清公告。澄清或者修改的内容为磋商文件的组成部分。</w:t>
      </w:r>
    </w:p>
    <w:p w14:paraId="3326BE2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3</w:t>
      </w:r>
      <w:r>
        <w:rPr>
          <w:rFonts w:ascii="宋体" w:hAnsi="宋体"/>
          <w:color w:val="auto"/>
          <w:szCs w:val="21"/>
          <w:highlight w:val="none"/>
        </w:rPr>
        <w:t>提交首次响应文件截止之日前，采购人、采购代理机构或者</w:t>
      </w:r>
      <w:r>
        <w:rPr>
          <w:rFonts w:hint="eastAsia" w:ascii="宋体" w:hAnsi="宋体"/>
          <w:color w:val="auto"/>
          <w:szCs w:val="21"/>
          <w:highlight w:val="none"/>
        </w:rPr>
        <w:t>磋商</w:t>
      </w:r>
      <w:r>
        <w:rPr>
          <w:rFonts w:ascii="宋体" w:hAnsi="宋体"/>
          <w:color w:val="auto"/>
          <w:szCs w:val="21"/>
          <w:highlight w:val="none"/>
        </w:rPr>
        <w:t>小组可以对已发出的磋商文件进行必要的澄清或者修改，澄清或者修改的内容作为磋商文件的组成部分。澄清或者修改的内容可能影响响应文件编制的，采购人、采购代理机构或者</w:t>
      </w:r>
      <w:r>
        <w:rPr>
          <w:rFonts w:ascii="宋体" w:hAnsi="宋体" w:eastAsia="宋体" w:cs="Times New Roman"/>
          <w:color w:val="auto"/>
          <w:szCs w:val="21"/>
          <w:highlight w:val="none"/>
        </w:rPr>
        <w:t>磋商小组在提交首次响应文件截止时间至少5日前，以</w:t>
      </w:r>
      <w:r>
        <w:rPr>
          <w:rFonts w:hint="eastAsia" w:ascii="宋体" w:hAnsi="宋体" w:eastAsia="宋体" w:cs="Times New Roman"/>
          <w:color w:val="auto"/>
          <w:szCs w:val="21"/>
          <w:highlight w:val="none"/>
        </w:rPr>
        <w:t>书面</w:t>
      </w:r>
      <w:r>
        <w:rPr>
          <w:rFonts w:ascii="宋体" w:hAnsi="宋体" w:eastAsia="宋体" w:cs="Times New Roman"/>
          <w:color w:val="auto"/>
          <w:szCs w:val="21"/>
          <w:highlight w:val="none"/>
        </w:rPr>
        <w:t>形式</w:t>
      </w:r>
      <w:r>
        <w:rPr>
          <w:rFonts w:hint="eastAsia" w:ascii="宋体" w:hAnsi="宋体" w:eastAsia="宋体" w:cs="Times New Roman"/>
          <w:color w:val="auto"/>
          <w:szCs w:val="21"/>
          <w:highlight w:val="none"/>
        </w:rPr>
        <w:t>（目前为网上公告和系统短信等形式）</w:t>
      </w:r>
      <w:r>
        <w:rPr>
          <w:rFonts w:ascii="宋体" w:hAnsi="宋体" w:eastAsia="宋体" w:cs="Times New Roman"/>
          <w:color w:val="auto"/>
          <w:szCs w:val="21"/>
          <w:highlight w:val="none"/>
        </w:rPr>
        <w:t>通知</w:t>
      </w:r>
      <w:r>
        <w:rPr>
          <w:rFonts w:ascii="宋体" w:hAnsi="宋体"/>
          <w:color w:val="auto"/>
          <w:szCs w:val="21"/>
          <w:highlight w:val="none"/>
        </w:rPr>
        <w:t>所有</w:t>
      </w:r>
      <w:r>
        <w:rPr>
          <w:rFonts w:hint="eastAsia" w:ascii="宋体" w:hAnsi="宋体"/>
          <w:color w:val="auto"/>
          <w:szCs w:val="21"/>
          <w:highlight w:val="none"/>
        </w:rPr>
        <w:t>获取</w:t>
      </w:r>
      <w:r>
        <w:rPr>
          <w:rFonts w:ascii="宋体" w:hAnsi="宋体"/>
          <w:color w:val="auto"/>
          <w:szCs w:val="21"/>
          <w:highlight w:val="none"/>
        </w:rPr>
        <w:t>磋商文件的供应商，不足</w:t>
      </w:r>
      <w:r>
        <w:rPr>
          <w:rFonts w:ascii="宋体" w:hAnsi="宋体" w:eastAsia="宋体" w:cs="Times New Roman"/>
          <w:color w:val="auto"/>
          <w:szCs w:val="21"/>
          <w:highlight w:val="none"/>
        </w:rPr>
        <w:t>5日</w:t>
      </w:r>
      <w:r>
        <w:rPr>
          <w:rFonts w:ascii="宋体" w:hAnsi="宋体"/>
          <w:color w:val="auto"/>
          <w:szCs w:val="21"/>
          <w:highlight w:val="none"/>
        </w:rPr>
        <w:t>的，采购人、采购代理机构应当顺延提交首次响应文件截止之日。</w:t>
      </w:r>
    </w:p>
    <w:p w14:paraId="012E4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4</w:t>
      </w:r>
      <w:r>
        <w:rPr>
          <w:rFonts w:ascii="Arial" w:hAnsi="Arial" w:cs="Arial"/>
          <w:color w:val="auto"/>
          <w:highlight w:val="none"/>
          <w:shd w:val="clear" w:color="auto" w:fill="FFFFFF"/>
        </w:rPr>
        <w:t>采购信息更正公告的内容应当包括采购人和采购代理机构名称、地址、联系方式，原公告的采购项目名称及首次公告日期，更正事项、内容及日期，采购项目联系人和电话。</w:t>
      </w:r>
    </w:p>
    <w:p w14:paraId="276A7F79">
      <w:pPr>
        <w:spacing w:line="360" w:lineRule="auto"/>
        <w:ind w:firstLine="420" w:firstLineChars="200"/>
        <w:rPr>
          <w:rFonts w:hint="eastAsia"/>
          <w:color w:val="auto"/>
          <w:highlight w:val="none"/>
        </w:rPr>
      </w:pPr>
      <w:r>
        <w:rPr>
          <w:rFonts w:hint="eastAsia" w:hAnsi="宋体"/>
          <w:color w:val="auto"/>
          <w:highlight w:val="none"/>
        </w:rPr>
        <w:t xml:space="preserve">10.5  </w:t>
      </w:r>
      <w:r>
        <w:rPr>
          <w:rFonts w:hint="eastAsia"/>
          <w:color w:val="auto"/>
          <w:highlight w:val="none"/>
        </w:rPr>
        <w:t>采购人和采购代理机构可以视采购具体情况，变更</w:t>
      </w:r>
      <w:r>
        <w:rPr>
          <w:rFonts w:hAnsi="宋体"/>
          <w:color w:val="auto"/>
          <w:highlight w:val="none"/>
        </w:rPr>
        <w:t>提交首次响应文件</w:t>
      </w:r>
      <w:r>
        <w:rPr>
          <w:rFonts w:hint="eastAsia"/>
          <w:color w:val="auto"/>
          <w:highlight w:val="none"/>
        </w:rPr>
        <w:t>截止时间和竞谈时间，将变更时间在</w:t>
      </w:r>
      <w:r>
        <w:rPr>
          <w:rFonts w:hint="eastAsia" w:hAnsi="宋体"/>
          <w:color w:val="auto"/>
          <w:highlight w:val="none"/>
        </w:rPr>
        <w:t>“采购文件公告</w:t>
      </w:r>
      <w:r>
        <w:rPr>
          <w:rFonts w:hAnsi="宋体"/>
          <w:color w:val="auto"/>
          <w:highlight w:val="none"/>
        </w:rPr>
        <w:t>”</w:t>
      </w:r>
      <w:r>
        <w:rPr>
          <w:rFonts w:hint="eastAsia" w:hAnsi="宋体"/>
          <w:color w:val="auto"/>
          <w:highlight w:val="none"/>
        </w:rPr>
        <w:t>中“</w:t>
      </w:r>
      <w:r>
        <w:rPr>
          <w:rFonts w:hint="eastAsia" w:hAnsi="宋体"/>
          <w:color w:val="auto"/>
          <w:highlight w:val="none"/>
          <w:lang w:eastAsia="zh-CN"/>
        </w:rPr>
        <w:t>七</w:t>
      </w:r>
      <w:r>
        <w:rPr>
          <w:rFonts w:hint="eastAsia" w:hAnsi="宋体"/>
          <w:color w:val="auto"/>
          <w:highlight w:val="none"/>
        </w:rPr>
        <w:t>、其他补充事宜3.网上查询地址”</w:t>
      </w:r>
      <w:r>
        <w:rPr>
          <w:rFonts w:hint="eastAsia" w:cs="宋体"/>
          <w:color w:val="auto"/>
          <w:highlight w:val="none"/>
        </w:rPr>
        <w:t>规定的政府采购信息发布媒体上</w:t>
      </w:r>
      <w:r>
        <w:rPr>
          <w:rFonts w:hint="eastAsia"/>
          <w:color w:val="auto"/>
          <w:highlight w:val="none"/>
        </w:rPr>
        <w:t>发布更正公告。</w:t>
      </w:r>
    </w:p>
    <w:p w14:paraId="6B369C16">
      <w:pPr>
        <w:shd w:val="clear"/>
        <w:spacing w:line="420" w:lineRule="exact"/>
        <w:ind w:firstLine="390" w:firstLineChars="195"/>
        <w:rPr>
          <w:rFonts w:hint="eastAsia" w:ascii="宋体" w:hAnsi="Courier New"/>
          <w:b/>
          <w:color w:val="auto"/>
          <w:kern w:val="0"/>
          <w:sz w:val="20"/>
          <w:szCs w:val="21"/>
          <w:highlight w:val="none"/>
        </w:rPr>
      </w:pPr>
      <w:r>
        <w:rPr>
          <w:rFonts w:hint="eastAsia" w:ascii="宋体" w:hAnsi="Courier New"/>
          <w:color w:val="auto"/>
          <w:kern w:val="0"/>
          <w:sz w:val="20"/>
          <w:szCs w:val="21"/>
          <w:highlight w:val="none"/>
        </w:rPr>
        <w:t>▲</w:t>
      </w:r>
      <w:r>
        <w:rPr>
          <w:rFonts w:hint="eastAsia" w:ascii="宋体" w:hAnsi="Courier New"/>
          <w:b/>
          <w:color w:val="auto"/>
          <w:kern w:val="0"/>
          <w:sz w:val="20"/>
          <w:szCs w:val="21"/>
          <w:highlight w:val="none"/>
        </w:rPr>
        <w:t>响应文件未按磋商文件的澄清、修改的内容编制，又不符合实质性要求的，其响应文件作无效处理。</w:t>
      </w:r>
    </w:p>
    <w:p w14:paraId="31F649AC">
      <w:pPr>
        <w:shd w:val="clear"/>
        <w:spacing w:line="460" w:lineRule="exact"/>
        <w:ind w:firstLine="419" w:firstLineChars="195"/>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eastAsia="zh-CN"/>
        </w:rPr>
        <w:t>三</w:t>
      </w:r>
      <w:r>
        <w:rPr>
          <w:rFonts w:hint="eastAsia" w:asciiTheme="minorEastAsia" w:hAnsiTheme="minorEastAsia" w:eastAsiaTheme="minorEastAsia" w:cstheme="minorEastAsia"/>
          <w:b/>
          <w:bCs/>
          <w:color w:val="auto"/>
          <w:spacing w:val="2"/>
          <w:highlight w:val="none"/>
        </w:rPr>
        <w:t>、响应文件的编制</w:t>
      </w:r>
    </w:p>
    <w:p w14:paraId="1B7C3D7C">
      <w:pPr>
        <w:shd w:val="clear"/>
        <w:spacing w:line="460" w:lineRule="exact"/>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11．竞争性磋商响应文件编制基本要求</w:t>
      </w:r>
    </w:p>
    <w:p w14:paraId="7B1FD8DE">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.1 本项目实行电子投标，供应商应准备电子磋商响应文件。  </w:t>
      </w:r>
    </w:p>
    <w:p w14:paraId="405B60C2">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.1.1电子响应文件按</w:t>
      </w:r>
      <w:r>
        <w:rPr>
          <w:rFonts w:hint="eastAsia" w:asciiTheme="minorEastAsia" w:hAnsiTheme="minorEastAsia" w:eastAsiaTheme="minorEastAsia" w:cstheme="minorEastAsia"/>
          <w:color w:val="auto"/>
          <w:spacing w:val="2"/>
          <w:highlight w:val="none"/>
          <w:lang w:val="en-US" w:eastAsia="zh-CN"/>
        </w:rPr>
        <w:t>广西</w:t>
      </w:r>
      <w:r>
        <w:rPr>
          <w:rFonts w:hint="eastAsia" w:asciiTheme="minorEastAsia" w:hAnsiTheme="minorEastAsia" w:eastAsiaTheme="minorEastAsia" w:cstheme="minorEastAsia"/>
          <w:color w:val="auto"/>
          <w:spacing w:val="2"/>
          <w:highlight w:val="none"/>
          <w:lang w:eastAsia="zh-CN"/>
        </w:rPr>
        <w:t>广西政府采购云平台</w:t>
      </w:r>
      <w:r>
        <w:rPr>
          <w:rFonts w:hint="eastAsia" w:asciiTheme="minorEastAsia" w:hAnsiTheme="minorEastAsia" w:eastAsiaTheme="minorEastAsia" w:cstheme="minorEastAsia"/>
          <w:color w:val="auto"/>
          <w:spacing w:val="2"/>
          <w:highlight w:val="none"/>
        </w:rPr>
        <w:t>要求及本竞争性磋商文件要求制作、加密并递交。具体操作流程可参考《政府采购项目电子交易管理操作指南-供应商》，指南可在“http://www.ccgp-guangxi.gov.cn/PurchaseAdvisory/ImportantNotice/2866753.html”下载。</w:t>
      </w:r>
    </w:p>
    <w:p w14:paraId="124EF19D">
      <w:pPr>
        <w:shd w:val="clear"/>
        <w:spacing w:line="460" w:lineRule="exact"/>
        <w:ind w:firstLine="411" w:firstLineChars="195"/>
        <w:rPr>
          <w:rFonts w:hint="eastAsia" w:asciiTheme="minorEastAsia" w:hAnsiTheme="minorEastAsia" w:eastAsiaTheme="minorEastAsia" w:cstheme="minorEastAsia"/>
          <w:b/>
          <w:bCs/>
          <w:color w:val="auto"/>
          <w:spacing w:val="0"/>
          <w:highlight w:val="none"/>
        </w:rPr>
      </w:pPr>
      <w:r>
        <w:rPr>
          <w:rFonts w:hint="eastAsia" w:asciiTheme="minorEastAsia" w:hAnsiTheme="minorEastAsia" w:eastAsiaTheme="minorEastAsia" w:cstheme="minorEastAsia"/>
          <w:b/>
          <w:bCs/>
          <w:color w:val="auto"/>
          <w:spacing w:val="0"/>
          <w:highlight w:val="none"/>
        </w:rPr>
        <w:t>▲</w:t>
      </w:r>
      <w:r>
        <w:rPr>
          <w:rFonts w:hint="eastAsia" w:asciiTheme="minorEastAsia" w:hAnsiTheme="minorEastAsia" w:eastAsiaTheme="minorEastAsia" w:cstheme="minorEastAsia"/>
          <w:b/>
          <w:bCs/>
          <w:color w:val="auto"/>
          <w:spacing w:val="0"/>
          <w:sz w:val="21"/>
          <w:highlight w:val="none"/>
          <w:lang w:val="en-US" w:eastAsia="zh-CN"/>
        </w:rPr>
        <w:t>11</w:t>
      </w:r>
      <w:r>
        <w:rPr>
          <w:rFonts w:hint="eastAsia" w:asciiTheme="minorEastAsia" w:hAnsiTheme="minorEastAsia" w:eastAsiaTheme="minorEastAsia" w:cstheme="minorEastAsia"/>
          <w:b/>
          <w:bCs/>
          <w:color w:val="auto"/>
          <w:spacing w:val="0"/>
          <w:sz w:val="21"/>
          <w:highlight w:val="none"/>
        </w:rPr>
        <w:t>.1.2磋商响应文件启用顺序和效力：磋商响应文件的启用，按先后顺位分别为电子磋商响应文件、电子备份磋商响应文件。若磋商供应商在规定时间内无法解密或解密失败，可以以电子备份磋商响应文件作为依据，若电子备份磋商响应文件与</w:t>
      </w:r>
      <w:r>
        <w:rPr>
          <w:rFonts w:hint="eastAsia" w:asciiTheme="minorEastAsia" w:hAnsiTheme="minorEastAsia" w:eastAsiaTheme="minorEastAsia" w:cstheme="minorEastAsia"/>
          <w:b/>
          <w:bCs/>
          <w:color w:val="auto"/>
          <w:spacing w:val="0"/>
          <w:sz w:val="21"/>
          <w:highlight w:val="none"/>
          <w:lang w:eastAsia="zh-CN"/>
        </w:rPr>
        <w:t>广西政府采购云平台</w:t>
      </w:r>
      <w:r>
        <w:rPr>
          <w:rFonts w:hint="eastAsia" w:asciiTheme="minorEastAsia" w:hAnsiTheme="minorEastAsia" w:eastAsiaTheme="minorEastAsia" w:cstheme="minorEastAsia"/>
          <w:b/>
          <w:bCs/>
          <w:color w:val="auto"/>
          <w:spacing w:val="0"/>
          <w:sz w:val="21"/>
          <w:highlight w:val="none"/>
        </w:rPr>
        <w:t>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p w14:paraId="248B7406">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.2 </w:t>
      </w:r>
      <w:r>
        <w:rPr>
          <w:rFonts w:hint="eastAsia" w:ascii="宋体" w:hAnsi="宋体" w:cs="宋体"/>
          <w:color w:val="auto"/>
          <w:szCs w:val="21"/>
          <w:highlight w:val="none"/>
        </w:rPr>
        <w:t>供应商应当按照竞争性磋商采购文件的要求编制响应文件，并对其提交的响应文件的真实性、合法性承担法律责任。响应文件应当对竞争性磋商采购文件作出实质性响应</w:t>
      </w:r>
      <w:r>
        <w:rPr>
          <w:rFonts w:hint="eastAsia" w:asciiTheme="minorEastAsia" w:hAnsiTheme="minorEastAsia" w:eastAsiaTheme="minorEastAsia" w:cstheme="minorEastAsia"/>
          <w:color w:val="auto"/>
          <w:spacing w:val="2"/>
          <w:highlight w:val="none"/>
        </w:rPr>
        <w:t xml:space="preserve">。  </w:t>
      </w:r>
    </w:p>
    <w:p w14:paraId="7E9B276B">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3磋商供应商提交的竞争性磋商响应文件以及磋商供应商与本公司和采购人就有关磋商的所有来往函电均应使用中文。磋商供应商提交的支持文件和印刷的文献可以使用别的语言，但其相应内容必须附有中文翻译文本，在解释竞争性磋商响应文件时以翻译文本为主。  </w:t>
      </w:r>
    </w:p>
    <w:p w14:paraId="209904EF">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.4 磋商供应商应认真阅读、并充分理解本文件的全部内容（包括所有的澄清、更改、补充、答疑等内容），承诺并履行本文件中各项条款规定及要求 。  </w:t>
      </w:r>
    </w:p>
    <w:p w14:paraId="32C1342C">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.5竞争性磋商响应文件必须按本文件的全部内容，包括所有的澄清、更改、补充、答疑等内容及附件进行编制。</w:t>
      </w:r>
    </w:p>
    <w:p w14:paraId="2379EF2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.6 如因磋商供应商只填写和提供了本文件要求的部分内容和附件，而给磋商小组评审造成困难，其可能导致的结果和责任由磋商供应商自行承担。 </w:t>
      </w:r>
    </w:p>
    <w:p w14:paraId="271A0645">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lang w:val="en-US" w:eastAsia="zh-CN"/>
        </w:rPr>
      </w:pPr>
      <w:r>
        <w:rPr>
          <w:rFonts w:hint="eastAsia" w:asciiTheme="minorEastAsia" w:hAnsiTheme="minorEastAsia" w:eastAsiaTheme="minorEastAsia" w:cstheme="minorEastAsia"/>
          <w:b/>
          <w:bCs/>
          <w:color w:val="auto"/>
          <w:spacing w:val="2"/>
          <w:highlight w:val="none"/>
        </w:rPr>
        <w:t>12．</w:t>
      </w:r>
      <w:r>
        <w:rPr>
          <w:rFonts w:hint="eastAsia" w:asciiTheme="minorEastAsia" w:hAnsiTheme="minorEastAsia" w:eastAsiaTheme="minorEastAsia" w:cstheme="minorEastAsia"/>
          <w:b/>
          <w:bCs/>
          <w:color w:val="auto"/>
          <w:spacing w:val="2"/>
          <w:highlight w:val="none"/>
          <w:lang w:eastAsia="zh-CN"/>
        </w:rPr>
        <w:t>竞争性磋商</w:t>
      </w:r>
      <w:r>
        <w:rPr>
          <w:rFonts w:hint="eastAsia" w:asciiTheme="minorEastAsia" w:hAnsiTheme="minorEastAsia" w:eastAsiaTheme="minorEastAsia" w:cstheme="minorEastAsia"/>
          <w:b/>
          <w:bCs/>
          <w:color w:val="auto"/>
          <w:spacing w:val="2"/>
          <w:highlight w:val="none"/>
        </w:rPr>
        <w:t>响应文件的组成</w:t>
      </w:r>
    </w:p>
    <w:p w14:paraId="1B8EEBE9">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val="0"/>
          <w:color w:val="auto"/>
          <w:szCs w:val="21"/>
          <w:highlight w:val="none"/>
          <w:lang w:eastAsia="zh-CN"/>
        </w:rPr>
      </w:pPr>
      <w:r>
        <w:rPr>
          <w:rFonts w:hint="eastAsia" w:ascii="宋体" w:hAnsi="宋体" w:cs="宋体"/>
          <w:b w:val="0"/>
          <w:bCs w:val="0"/>
          <w:color w:val="auto"/>
          <w:szCs w:val="21"/>
          <w:highlight w:val="none"/>
          <w:lang w:val="en-US" w:eastAsia="zh-CN"/>
        </w:rPr>
        <w:t>12.1</w:t>
      </w:r>
      <w:r>
        <w:rPr>
          <w:rFonts w:hint="eastAsia" w:ascii="宋体" w:hAnsi="宋体" w:cs="宋体"/>
          <w:b w:val="0"/>
          <w:bCs w:val="0"/>
          <w:color w:val="auto"/>
          <w:szCs w:val="21"/>
          <w:highlight w:val="none"/>
        </w:rPr>
        <w:t>响应文件由资格证明文件、商务和技术文件、报价文件三部分组成</w:t>
      </w:r>
      <w:r>
        <w:rPr>
          <w:rFonts w:hint="eastAsia" w:ascii="宋体" w:hAnsi="宋体" w:cs="宋体"/>
          <w:b w:val="0"/>
          <w:bCs w:val="0"/>
          <w:color w:val="auto"/>
          <w:szCs w:val="21"/>
          <w:highlight w:val="none"/>
          <w:lang w:eastAsia="zh-CN"/>
        </w:rPr>
        <w:t>：</w:t>
      </w:r>
    </w:p>
    <w:p w14:paraId="36F667CF">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2.1.1</w:t>
      </w:r>
      <w:r>
        <w:rPr>
          <w:rFonts w:hint="eastAsia" w:ascii="宋体" w:hAnsi="宋体" w:cs="宋体"/>
          <w:color w:val="auto"/>
          <w:szCs w:val="21"/>
          <w:highlight w:val="none"/>
        </w:rPr>
        <w:t>资格证明文件：详见须知前附表</w:t>
      </w:r>
    </w:p>
    <w:p w14:paraId="04C94361">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12.1.2商务</w:t>
      </w:r>
      <w:r>
        <w:rPr>
          <w:rFonts w:hint="eastAsia" w:ascii="宋体" w:hAnsi="宋体" w:cs="宋体"/>
          <w:color w:val="auto"/>
          <w:szCs w:val="21"/>
          <w:highlight w:val="none"/>
          <w:lang w:val="en-US" w:eastAsia="zh-CN"/>
        </w:rPr>
        <w:t>和</w:t>
      </w:r>
      <w:r>
        <w:rPr>
          <w:rFonts w:hint="eastAsia" w:ascii="宋体" w:hAnsi="宋体" w:cs="宋体"/>
          <w:color w:val="auto"/>
          <w:szCs w:val="21"/>
          <w:highlight w:val="none"/>
        </w:rPr>
        <w:t>技术文件：详见须知前附表</w:t>
      </w:r>
    </w:p>
    <w:p w14:paraId="76D90C7D">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eastAsia="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w:t>
      </w:r>
      <w:r>
        <w:rPr>
          <w:rFonts w:hint="eastAsia" w:ascii="宋体" w:hAnsi="宋体" w:cs="宋体"/>
          <w:color w:val="auto"/>
          <w:szCs w:val="21"/>
          <w:highlight w:val="none"/>
        </w:rPr>
        <w:t>3报价文件：</w:t>
      </w:r>
      <w:r>
        <w:rPr>
          <w:rFonts w:hint="eastAsia" w:ascii="宋体" w:hAnsi="宋体" w:eastAsia="宋体" w:cs="宋体"/>
          <w:color w:val="auto"/>
          <w:szCs w:val="21"/>
          <w:highlight w:val="none"/>
        </w:rPr>
        <w:t>详见须知前附表</w:t>
      </w:r>
    </w:p>
    <w:p w14:paraId="3F1F45A8">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13.计量单位</w:t>
      </w:r>
    </w:p>
    <w:p w14:paraId="07129D89">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竞争性磋商采购文件已有明确规定的，使用竞争性磋商采购文件规定的计量单位；竞争性磋商采购文件没有规定的，应采用中华人民共和国法定计量单位，货币种类为人民币，否则视同未响应。</w:t>
      </w:r>
    </w:p>
    <w:p w14:paraId="0AA64745">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14.竞标的风险</w:t>
      </w:r>
    </w:p>
    <w:p w14:paraId="51B5E1B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供应商没有按照竞争性磋商采购文件要求提供全部资料，或者供应商没有对竞争性磋商采购文件在各方面作出实质性响应可能导致其响应无效，是供应商应当考虑的风险。</w:t>
      </w:r>
    </w:p>
    <w:p w14:paraId="3C7EEC66">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15.</w:t>
      </w:r>
      <w:r>
        <w:rPr>
          <w:rFonts w:hint="eastAsia"/>
          <w:b/>
          <w:bCs/>
          <w:color w:val="auto"/>
          <w:highlight w:val="none"/>
        </w:rPr>
        <w:t xml:space="preserve"> </w:t>
      </w:r>
      <w:r>
        <w:rPr>
          <w:rFonts w:hint="eastAsia" w:ascii="宋体" w:hAnsi="宋体" w:cs="宋体"/>
          <w:b/>
          <w:bCs/>
          <w:color w:val="auto"/>
          <w:szCs w:val="21"/>
          <w:highlight w:val="none"/>
        </w:rPr>
        <w:t>磋商报价说明</w:t>
      </w:r>
    </w:p>
    <w:p w14:paraId="2156EDF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15.1磋商价格</w:t>
      </w:r>
    </w:p>
    <w:p w14:paraId="656CE79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本工程的报价方式为工程量清单报价，合同承包方式为：</w:t>
      </w:r>
      <w:r>
        <w:rPr>
          <w:rFonts w:hint="eastAsia" w:ascii="宋体" w:hAnsi="宋体" w:cs="宋体"/>
          <w:b/>
          <w:bCs/>
          <w:color w:val="auto"/>
          <w:szCs w:val="21"/>
          <w:highlight w:val="none"/>
          <w:u w:val="single"/>
          <w:lang w:val="en-US" w:eastAsia="zh-CN"/>
        </w:rPr>
        <w:t>固定总价</w:t>
      </w:r>
      <w:r>
        <w:rPr>
          <w:rFonts w:hint="eastAsia" w:ascii="宋体" w:hAnsi="宋体" w:cs="宋体"/>
          <w:b/>
          <w:bCs/>
          <w:color w:val="auto"/>
          <w:szCs w:val="21"/>
          <w:highlight w:val="none"/>
          <w:u w:val="single"/>
        </w:rPr>
        <w:t>包干</w:t>
      </w:r>
      <w:r>
        <w:rPr>
          <w:rFonts w:hint="eastAsia" w:ascii="宋体" w:hAnsi="宋体" w:cs="宋体"/>
          <w:color w:val="auto"/>
          <w:szCs w:val="21"/>
          <w:highlight w:val="none"/>
        </w:rPr>
        <w:t>。</w:t>
      </w:r>
    </w:p>
    <w:p w14:paraId="53475A0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 本工程量清单是根据竞争性磋商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65A25B1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15.1.2 本工程量清单应与竞争性磋商文件中的供应商须知、通用合同条款、专用合同条款、技术规范及图纸等一起阅读和理解。</w:t>
      </w:r>
    </w:p>
    <w:p w14:paraId="4307687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的规定，由监理人确定的单价或总额价计算支付额。</w:t>
      </w:r>
    </w:p>
    <w:p w14:paraId="4911546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15.1.4 工程量清单中所列工程量的变动，丝毫不会降低或影响合同条款的效力，也不免除承包人按规定的标准进行施工和修复缺陷的责任。</w:t>
      </w:r>
    </w:p>
    <w:p w14:paraId="33B31FB4">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15.1.5图纸中所列的工程数量表及数量汇总表仅是提供资料，不是工程量清单的外延。当图纸与工程量清单所列数量不一致时，以工程量清单所列数量作为报价的依据。</w:t>
      </w:r>
    </w:p>
    <w:p w14:paraId="377E528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15.1.6工程量清单另册发放。 </w:t>
      </w:r>
    </w:p>
    <w:p w14:paraId="740A75E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15.1.7 工程量清单中的每一子目须填入单价或价格，且只允许有一个报价。</w:t>
      </w:r>
    </w:p>
    <w:p w14:paraId="575900C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15.1.8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314DBAE8">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15.1.9 工程量清单中供应商没有填入单价或价格的子目，其费用视为</w:t>
      </w:r>
      <w:r>
        <w:rPr>
          <w:rFonts w:hint="eastAsia" w:ascii="宋体" w:hAnsi="宋体" w:cs="宋体"/>
          <w:color w:val="auto"/>
          <w:szCs w:val="21"/>
          <w:highlight w:val="none"/>
          <w:lang w:val="en-US" w:eastAsia="zh-CN"/>
        </w:rPr>
        <w:t>已</w:t>
      </w:r>
      <w:r>
        <w:rPr>
          <w:rFonts w:hint="eastAsia" w:ascii="宋体" w:hAnsi="宋体" w:cs="宋体"/>
          <w:color w:val="auto"/>
          <w:szCs w:val="21"/>
          <w:highlight w:val="none"/>
        </w:rPr>
        <w:t>分摊在工程量清单中其他相关子目的单价或价格之中。承包人必须按监理人指令完成工程量清单中未填入单价或价格的子目，但不能得到结算与支付。</w:t>
      </w:r>
    </w:p>
    <w:p w14:paraId="2AEDDBDE">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15.1.10 符合合同条款规定的全部费用应认为已被计入有标价的工程量清单所列各子目之中，未列子目不予计量的工作，其费用应视为已分摊在本合同工程的有关子目的单价或总额价之中。</w:t>
      </w:r>
    </w:p>
    <w:p w14:paraId="03FE174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15.1.11承包人用于本合同工程的各类装备的提供、运输、维护、拆卸、拼装等支付的费用，已包括在工程量清单的单价与总额价之中。</w:t>
      </w:r>
    </w:p>
    <w:p w14:paraId="0D192C13">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15.1.12 工程量清单中各项金额均以人民币（元）结算。</w:t>
      </w:r>
    </w:p>
    <w:p w14:paraId="5FB69282">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15.1.13 暂列金额（不含计日工总额）的数量及拟用子目的说明：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79FD71DD">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15.1.14 暂估价的数量及拟用子目的说明：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3CCAF8D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15.1.15磋商供应商的磋商报价须按竞争性磋商采购文件及澄清答疑中所确认的工程量清单进行报价。磋商供应商对自己所填写的项目编码、计量单位、工程数量负责。评审中，如报价文件项目编码、计量单位、工程数量与采购人提供的无法一致，该清单项目作废，该清单项目的费用视为包含在其他清单项目中；该清单项目作废，如作废的清单项目达到3项以上（含本数）或作废的清单项目造价累计超过单位工程磋商报价的2%（含本数），视为不响应竞争性磋商采购文件实质性内容，作无效磋商处理。 </w:t>
      </w:r>
    </w:p>
    <w:p w14:paraId="793E09D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15.2</w:t>
      </w:r>
      <w:r>
        <w:rPr>
          <w:rFonts w:hint="eastAsia" w:ascii="宋体" w:hAnsi="宋体" w:cs="宋体"/>
          <w:color w:val="auto"/>
          <w:szCs w:val="21"/>
          <w:highlight w:val="none"/>
        </w:rPr>
        <w:t>磋商价格计算依据：</w:t>
      </w:r>
    </w:p>
    <w:p w14:paraId="199E5621">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15.2.1 《建设工程工程量清单计价规范》（GB50500-2013）、《&lt;建设工程工程量清单计价规范（GB50500-2013）广西壮族自治区实施细则》；</w:t>
      </w:r>
    </w:p>
    <w:p w14:paraId="4B21F9C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15.2.2 2016年版《广西壮族自治区建设工程费用定额》及计价相关规定 ；</w:t>
      </w:r>
      <w:r>
        <w:rPr>
          <w:rFonts w:hint="eastAsia" w:ascii="宋体" w:hAnsi="宋体" w:cs="宋体"/>
          <w:color w:val="auto"/>
          <w:szCs w:val="21"/>
          <w:highlight w:val="none"/>
          <w:lang w:val="en-US" w:eastAsia="zh-CN"/>
        </w:rPr>
        <w:tab/>
      </w:r>
    </w:p>
    <w:p w14:paraId="3E796860">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15.2.3 2011年版《广西壮族自治区拆除工程消耗量定额》；</w:t>
      </w:r>
      <w:r>
        <w:rPr>
          <w:rFonts w:hint="eastAsia" w:ascii="宋体" w:hAnsi="宋体" w:cs="宋体"/>
          <w:color w:val="auto"/>
          <w:szCs w:val="21"/>
          <w:highlight w:val="none"/>
          <w:lang w:val="en-US" w:eastAsia="zh-CN"/>
        </w:rPr>
        <w:tab/>
      </w:r>
    </w:p>
    <w:p w14:paraId="604143F3">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15.2.4 2022年版《广西壮族自治区市政工程消耗量定额》；</w:t>
      </w:r>
      <w:r>
        <w:rPr>
          <w:rFonts w:hint="eastAsia" w:ascii="宋体" w:hAnsi="宋体" w:cs="宋体"/>
          <w:color w:val="auto"/>
          <w:szCs w:val="21"/>
          <w:highlight w:val="none"/>
          <w:lang w:val="en-US" w:eastAsia="zh-CN"/>
        </w:rPr>
        <w:tab/>
      </w:r>
    </w:p>
    <w:p w14:paraId="7DD49E56">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15.2.5 广西壮族自治区住房和城乡建设厅关于调整建设工程定额人工费及有关费率的文件-桂建标[2023]7号。</w:t>
      </w:r>
      <w:r>
        <w:rPr>
          <w:rFonts w:hint="eastAsia" w:ascii="宋体" w:hAnsi="宋体" w:cs="宋体"/>
          <w:color w:val="auto"/>
          <w:szCs w:val="21"/>
          <w:highlight w:val="none"/>
          <w:lang w:val="en-US" w:eastAsia="zh-CN"/>
        </w:rPr>
        <w:tab/>
      </w:r>
    </w:p>
    <w:p w14:paraId="62CBBD45">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15.2.6 关于调整除税价计算适用增值税税率的通知-桂造价[2019]10号文；</w:t>
      </w:r>
    </w:p>
    <w:p w14:paraId="38911C79">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15.2.7 广西壮族自治区住房城乡建设厅关于颁布2016年《广西壮族自治区建设工程费用定额》的通知（桂建标〔2016〕16号）</w:t>
      </w:r>
      <w:r>
        <w:rPr>
          <w:rFonts w:hint="eastAsia" w:ascii="宋体" w:hAnsi="宋体" w:cs="宋体"/>
          <w:color w:val="auto"/>
          <w:szCs w:val="21"/>
          <w:highlight w:val="none"/>
          <w:lang w:val="en-US" w:eastAsia="zh-CN"/>
        </w:rPr>
        <w:tab/>
      </w:r>
    </w:p>
    <w:p w14:paraId="262F18E7">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15.2.8 建筑材料价格：按《贵港市建设工程造价信息》2025年第02期发布的信息价，缺项部分参考广西同期其他城市信息价或按市场询价计取；</w:t>
      </w:r>
      <w:r>
        <w:rPr>
          <w:rFonts w:hint="eastAsia" w:ascii="宋体" w:hAnsi="宋体" w:cs="宋体"/>
          <w:color w:val="auto"/>
          <w:szCs w:val="21"/>
          <w:highlight w:val="none"/>
          <w:lang w:val="en-US" w:eastAsia="zh-CN"/>
        </w:rPr>
        <w:tab/>
      </w:r>
    </w:p>
    <w:p w14:paraId="329B8E02">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15.2.9 本工程采用简易计税法。</w:t>
      </w:r>
    </w:p>
    <w:p w14:paraId="732FF9E1">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 xml:space="preserve">15.2.10 </w:t>
      </w:r>
      <w:r>
        <w:rPr>
          <w:rFonts w:hint="eastAsia" w:ascii="宋体" w:hAnsi="宋体" w:cs="宋体"/>
          <w:color w:val="auto"/>
          <w:szCs w:val="21"/>
          <w:highlight w:val="none"/>
        </w:rPr>
        <w:t>技术施工文件及图纸。</w:t>
      </w:r>
    </w:p>
    <w:p w14:paraId="3F8CF82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15.2.11 </w:t>
      </w:r>
      <w:r>
        <w:rPr>
          <w:rFonts w:hint="eastAsia" w:ascii="宋体" w:hAnsi="宋体" w:cs="宋体"/>
          <w:color w:val="auto"/>
          <w:szCs w:val="21"/>
          <w:highlight w:val="none"/>
        </w:rPr>
        <w:t>其他有关文件。</w:t>
      </w:r>
      <w:r>
        <w:rPr>
          <w:rFonts w:hint="eastAsia" w:ascii="宋体" w:hAnsi="宋体" w:cs="宋体"/>
          <w:color w:val="auto"/>
          <w:szCs w:val="21"/>
          <w:highlight w:val="none"/>
          <w:lang w:val="en-US" w:eastAsia="zh-CN"/>
        </w:rPr>
        <w:t xml:space="preserve"> </w:t>
      </w:r>
    </w:p>
    <w:p w14:paraId="1362B6FD">
      <w:pPr>
        <w:tabs>
          <w:tab w:val="left" w:pos="2492"/>
        </w:tabs>
        <w:spacing w:line="400" w:lineRule="exact"/>
        <w:ind w:firstLine="422" w:firstLineChars="200"/>
        <w:rPr>
          <w:rFonts w:hint="eastAsia" w:ascii="宋体" w:hAnsi="宋体" w:cs="宋体"/>
          <w:b/>
          <w:bCs/>
          <w:color w:val="auto"/>
          <w:szCs w:val="21"/>
          <w:highlight w:val="none"/>
        </w:rPr>
      </w:pPr>
      <w:r>
        <w:rPr>
          <w:rFonts w:hint="eastAsia" w:ascii="宋体" w:hAnsi="宋体" w:cs="宋体"/>
          <w:b/>
          <w:bCs/>
          <w:color w:val="auto"/>
          <w:szCs w:val="21"/>
          <w:highlight w:val="none"/>
        </w:rPr>
        <w:t>15.3本项目有二次报价，如二次报价总价有变动，</w:t>
      </w:r>
      <w:r>
        <w:rPr>
          <w:rFonts w:hint="eastAsia" w:ascii="宋体" w:hAnsi="宋体" w:cs="宋体"/>
          <w:b/>
          <w:bCs/>
          <w:color w:val="auto"/>
          <w:szCs w:val="21"/>
          <w:highlight w:val="none"/>
          <w:lang w:eastAsia="zh-CN"/>
        </w:rPr>
        <w:t>除报总价外还须</w:t>
      </w:r>
      <w:r>
        <w:rPr>
          <w:rFonts w:hint="eastAsia" w:ascii="宋体" w:hAnsi="宋体" w:cs="宋体"/>
          <w:b/>
          <w:bCs/>
          <w:color w:val="auto"/>
          <w:szCs w:val="21"/>
          <w:highlight w:val="none"/>
        </w:rPr>
        <w:t>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已标价工程量清单作为应答文件的组成部分并加盖单位公章（不得以总价下浮的方式做报价，否则作无效磋商处理）</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磋商供应商</w:t>
      </w:r>
      <w:r>
        <w:rPr>
          <w:rFonts w:hint="eastAsia" w:ascii="宋体" w:hAnsi="宋体" w:cs="宋体"/>
          <w:b/>
          <w:bCs/>
          <w:color w:val="auto"/>
          <w:szCs w:val="21"/>
          <w:highlight w:val="none"/>
          <w:lang w:eastAsia="zh-CN"/>
        </w:rPr>
        <w:t>需</w:t>
      </w:r>
      <w:r>
        <w:rPr>
          <w:rFonts w:hint="eastAsia" w:ascii="宋体" w:hAnsi="宋体" w:cs="宋体"/>
          <w:b/>
          <w:bCs/>
          <w:color w:val="auto"/>
          <w:szCs w:val="21"/>
          <w:highlight w:val="none"/>
        </w:rPr>
        <w:t>提前做好相关准备</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lang w:val="en-US" w:eastAsia="zh-CN"/>
        </w:rPr>
        <w:t>加盖公章的</w:t>
      </w:r>
      <w:r>
        <w:rPr>
          <w:rFonts w:hint="eastAsia" w:ascii="宋体" w:hAnsi="宋体" w:cs="宋体"/>
          <w:b/>
          <w:bCs/>
          <w:color w:val="auto"/>
          <w:szCs w:val="21"/>
          <w:highlight w:val="none"/>
        </w:rPr>
        <w:t>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lang w:val="en-US" w:eastAsia="zh-CN"/>
        </w:rPr>
        <w:t>工程量清单扫描件</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并</w:t>
      </w:r>
      <w:r>
        <w:rPr>
          <w:rFonts w:hint="eastAsia" w:ascii="宋体" w:hAnsi="宋体" w:cs="宋体"/>
          <w:b/>
          <w:bCs/>
          <w:color w:val="auto"/>
          <w:szCs w:val="21"/>
          <w:highlight w:val="none"/>
          <w:lang w:val="en-US" w:eastAsia="zh-CN"/>
        </w:rPr>
        <w:t>根据二次报价指令在规定的时间内</w:t>
      </w:r>
      <w:r>
        <w:rPr>
          <w:rFonts w:hint="eastAsia" w:ascii="宋体" w:hAnsi="宋体" w:cs="宋体"/>
          <w:b/>
          <w:bCs/>
          <w:color w:val="auto"/>
          <w:szCs w:val="21"/>
          <w:highlight w:val="none"/>
        </w:rPr>
        <w:t>递交报价文件，报价高于采购预算控制价的竞争性磋商响应文件将被拒绝</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如磋商供应商在二次报价时，总报价不做改变，则</w:t>
      </w:r>
      <w:r>
        <w:rPr>
          <w:rFonts w:hint="eastAsia" w:ascii="宋体" w:hAnsi="宋体" w:cs="宋体"/>
          <w:b/>
          <w:bCs/>
          <w:color w:val="auto"/>
          <w:szCs w:val="21"/>
          <w:highlight w:val="none"/>
          <w:lang w:eastAsia="zh-CN"/>
        </w:rPr>
        <w:t>只需报总价，</w:t>
      </w:r>
      <w:r>
        <w:rPr>
          <w:rFonts w:hint="eastAsia" w:ascii="宋体" w:hAnsi="宋体" w:cs="宋体"/>
          <w:b/>
          <w:bCs/>
          <w:color w:val="auto"/>
          <w:szCs w:val="21"/>
          <w:highlight w:val="none"/>
        </w:rPr>
        <w:t>无需提供二次报价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w:t>
      </w:r>
    </w:p>
    <w:p w14:paraId="442D652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15.4竞标报价（最后报价）超过规定的采购预算金额或者最高限价的（如本项目公布了最高限价），其响应文件将作无效处理。</w:t>
      </w:r>
      <w:bookmarkStart w:id="12" w:name="_Hlk42592874"/>
    </w:p>
    <w:bookmarkEnd w:id="12"/>
    <w:p w14:paraId="195A0D1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16.竞标有效期</w:t>
      </w:r>
    </w:p>
    <w:p w14:paraId="551EE0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16.1竞标有效期是指为保证采购人有足够的时间在提交响应文件后完成评审、确定成交供应商、合同签订等工作而要求供应商提交的响应文件在一定时间内保持有效的期限。</w:t>
      </w:r>
    </w:p>
    <w:p w14:paraId="175371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16.2 竞标有效期应由供应商按“供应商须知前附表”规定的期限作出响应。</w:t>
      </w:r>
    </w:p>
    <w:p w14:paraId="6E7675C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16.3供应商的响应文件在竞标有效期内均保持有效。</w:t>
      </w:r>
    </w:p>
    <w:p w14:paraId="608AB9C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17.磋商保证金：无</w:t>
      </w:r>
    </w:p>
    <w:p w14:paraId="651BECF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18.响应文件编制的要求</w:t>
      </w:r>
    </w:p>
    <w:p w14:paraId="26237C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18.1各供应商在编制响应文件时请按照磋商文件“第五章 响应文件格式”规定的格式进行，混乱的编排导致响应文件被误读或磋商小组查找不到有效文件是供应商的风险。不完整、编排混乱导致响应文件被误读、漏读或者查找不到相关内容的，</w:t>
      </w:r>
      <w:r>
        <w:rPr>
          <w:rFonts w:hint="eastAsia" w:ascii="宋体" w:hAnsi="宋体" w:cs="宋体"/>
          <w:color w:val="auto"/>
          <w:highlight w:val="none"/>
        </w:rPr>
        <w:t>由此引发的</w:t>
      </w:r>
      <w:r>
        <w:rPr>
          <w:rFonts w:hint="eastAsia" w:ascii="宋体" w:hAnsi="宋体" w:cs="宋体"/>
          <w:color w:val="auto"/>
          <w:szCs w:val="21"/>
          <w:highlight w:val="none"/>
        </w:rPr>
        <w:t>后果由供应商承担。</w:t>
      </w:r>
    </w:p>
    <w:p w14:paraId="7A1624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18.2响应文件应按资格证明、报价分别编制，商务技术文件合并编制，本磋商只接受电子版响应文件。</w:t>
      </w:r>
    </w:p>
    <w:p w14:paraId="49220E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w:t>
      </w:r>
      <w:bookmarkStart w:id="13" w:name="_Hlk65832699"/>
      <w:r>
        <w:rPr>
          <w:rFonts w:hint="eastAsia" w:ascii="宋体" w:hAnsi="宋体" w:cs="宋体"/>
          <w:color w:val="auto"/>
          <w:szCs w:val="21"/>
          <w:highlight w:val="none"/>
        </w:rPr>
        <w:t>3</w:t>
      </w:r>
      <w:r>
        <w:rPr>
          <w:rFonts w:hint="eastAsia" w:ascii="宋体" w:hAnsi="宋体"/>
          <w:color w:val="auto"/>
          <w:szCs w:val="21"/>
          <w:highlight w:val="none"/>
        </w:rPr>
        <w:t>响应文件须由供应商在</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第五章 响应文件格式</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规定位置</w:t>
      </w:r>
      <w:r>
        <w:rPr>
          <w:rFonts w:hint="eastAsia" w:ascii="宋体" w:hAnsi="宋体" w:cs="仿宋_GB2312"/>
          <w:color w:val="auto"/>
          <w:szCs w:val="21"/>
          <w:highlight w:val="none"/>
        </w:rPr>
        <w:t>进行签署、盖章</w:t>
      </w:r>
      <w:bookmarkEnd w:id="13"/>
      <w:r>
        <w:rPr>
          <w:rFonts w:hint="eastAsia" w:ascii="宋体" w:hAnsi="宋体" w:cs="宋体"/>
          <w:color w:val="auto"/>
          <w:szCs w:val="21"/>
          <w:highlight w:val="none"/>
        </w:rPr>
        <w:t>，否则其响应文件按无效响应处理。骑缝盖公章不视为在规定位置盖章。</w:t>
      </w:r>
    </w:p>
    <w:p w14:paraId="76EAB0A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18.4响应文件中标注的供应商名称应与营业执照（事业单位法人证书、执业许可证、自然人身份证）及电子公章一致，否则其响应文件按无效响应处理。</w:t>
      </w:r>
    </w:p>
    <w:p w14:paraId="1E396FF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18.5响应文件应避免涂改、行间插字或者删除，否则其响应文件按无效响应处理。</w:t>
      </w:r>
    </w:p>
    <w:p w14:paraId="004666CA">
      <w:pPr>
        <w:spacing w:line="400" w:lineRule="exact"/>
        <w:ind w:firstLine="420" w:firstLineChars="200"/>
        <w:rPr>
          <w:rFonts w:hint="eastAsia" w:ascii="宋体" w:hAnsi="宋体" w:cs="宋体"/>
          <w:b/>
          <w:color w:val="auto"/>
          <w:szCs w:val="21"/>
          <w:highlight w:val="none"/>
        </w:rPr>
      </w:pPr>
      <w:r>
        <w:rPr>
          <w:rFonts w:hint="eastAsia" w:ascii="宋体" w:hAnsi="宋体" w:cs="宋体"/>
          <w:color w:val="auto"/>
          <w:szCs w:val="21"/>
          <w:highlight w:val="none"/>
        </w:rPr>
        <w:t>18.</w:t>
      </w:r>
      <w:r>
        <w:rPr>
          <w:rFonts w:hint="eastAsia" w:ascii="宋体" w:hAnsi="宋体" w:cs="宋体"/>
          <w:color w:val="auto"/>
          <w:szCs w:val="21"/>
          <w:highlight w:val="none"/>
          <w:lang w:val="en-US" w:eastAsia="zh-CN"/>
        </w:rPr>
        <w:t>6</w:t>
      </w:r>
      <w:r>
        <w:rPr>
          <w:rFonts w:hint="eastAsia" w:ascii="宋体" w:hAnsi="宋体" w:cs="宋体"/>
          <w:b/>
          <w:color w:val="auto"/>
          <w:szCs w:val="21"/>
          <w:highlight w:val="none"/>
        </w:rPr>
        <w:t>▲特别说明：（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33D5DE2C">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13337368">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6F86985E">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540B80DB">
      <w:pPr>
        <w:spacing w:line="400" w:lineRule="exact"/>
        <w:ind w:firstLine="422" w:firstLineChars="200"/>
        <w:rPr>
          <w:rFonts w:hint="eastAsia" w:ascii="宋体" w:hAnsi="宋体" w:cs="宋体"/>
          <w:b/>
          <w:color w:val="auto"/>
          <w:szCs w:val="21"/>
          <w:highlight w:val="none"/>
        </w:rPr>
      </w:pPr>
      <w:r>
        <w:rPr>
          <w:rFonts w:hint="eastAsia" w:ascii="宋体" w:hAnsi="Courier New"/>
          <w:b/>
          <w:color w:val="auto"/>
          <w:szCs w:val="20"/>
          <w:highlight w:val="none"/>
        </w:rPr>
        <w:t>（5）</w:t>
      </w:r>
      <w:r>
        <w:rPr>
          <w:rFonts w:ascii="宋体" w:hAnsi="Courier New"/>
          <w:b/>
          <w:color w:val="auto"/>
          <w:szCs w:val="20"/>
          <w:highlight w:val="none"/>
        </w:rPr>
        <w:t>电子</w:t>
      </w:r>
      <w:r>
        <w:rPr>
          <w:rFonts w:hint="eastAsia" w:ascii="宋体" w:hAnsi="Courier New"/>
          <w:b/>
          <w:color w:val="auto"/>
          <w:szCs w:val="20"/>
          <w:highlight w:val="none"/>
        </w:rPr>
        <w:t>磋商</w:t>
      </w:r>
      <w:r>
        <w:rPr>
          <w:rFonts w:ascii="宋体" w:hAnsi="Courier New"/>
          <w:b/>
          <w:color w:val="auto"/>
          <w:szCs w:val="20"/>
          <w:highlight w:val="none"/>
        </w:rPr>
        <w:t>响应文件中须加盖供应商公章部分均采用 CA 签章，并根据</w:t>
      </w:r>
      <w:r>
        <w:rPr>
          <w:rFonts w:hint="eastAsia" w:ascii="宋体" w:hAnsi="Courier New"/>
          <w:b/>
          <w:color w:val="auto"/>
          <w:szCs w:val="20"/>
          <w:highlight w:val="none"/>
          <w:lang w:eastAsia="zh-CN"/>
        </w:rPr>
        <w:t>“</w:t>
      </w:r>
      <w:r>
        <w:rPr>
          <w:rFonts w:ascii="宋体" w:hAnsi="Courier New"/>
          <w:b/>
          <w:color w:val="auto"/>
          <w:szCs w:val="20"/>
          <w:highlight w:val="none"/>
        </w:rPr>
        <w:t>政府采购项目电子交易管理操作指南-供应商</w:t>
      </w:r>
      <w:r>
        <w:rPr>
          <w:rFonts w:hint="eastAsia" w:ascii="宋体" w:hAnsi="Courier New"/>
          <w:b/>
          <w:color w:val="auto"/>
          <w:szCs w:val="20"/>
          <w:highlight w:val="none"/>
          <w:lang w:eastAsia="zh-CN"/>
        </w:rPr>
        <w:t>”</w:t>
      </w:r>
      <w:r>
        <w:rPr>
          <w:rFonts w:ascii="宋体" w:hAnsi="Courier New"/>
          <w:b/>
          <w:color w:val="auto"/>
          <w:szCs w:val="20"/>
          <w:highlight w:val="none"/>
        </w:rPr>
        <w:t>及本</w:t>
      </w:r>
      <w:r>
        <w:rPr>
          <w:rFonts w:hint="eastAsia" w:ascii="宋体" w:hAnsi="Courier New"/>
          <w:b/>
          <w:color w:val="auto"/>
          <w:szCs w:val="20"/>
          <w:highlight w:val="none"/>
        </w:rPr>
        <w:t>竞争性磋商采购文件</w:t>
      </w:r>
      <w:r>
        <w:rPr>
          <w:rFonts w:ascii="宋体" w:hAnsi="Courier New"/>
          <w:b/>
          <w:color w:val="auto"/>
          <w:szCs w:val="20"/>
          <w:highlight w:val="none"/>
        </w:rPr>
        <w:t>规定的格式和顺序编制电子</w:t>
      </w:r>
      <w:r>
        <w:rPr>
          <w:rFonts w:hint="eastAsia" w:ascii="宋体" w:hAnsi="Courier New"/>
          <w:b/>
          <w:color w:val="auto"/>
          <w:szCs w:val="20"/>
          <w:highlight w:val="none"/>
        </w:rPr>
        <w:t>磋商</w:t>
      </w:r>
      <w:r>
        <w:rPr>
          <w:rFonts w:ascii="宋体" w:hAnsi="Courier New"/>
          <w:b/>
          <w:color w:val="auto"/>
          <w:szCs w:val="20"/>
          <w:highlight w:val="none"/>
        </w:rPr>
        <w:t>响应</w:t>
      </w:r>
      <w:r>
        <w:rPr>
          <w:rFonts w:hint="eastAsia" w:ascii="宋体" w:hAnsi="宋体" w:cs="宋体"/>
          <w:b/>
          <w:color w:val="auto"/>
          <w:szCs w:val="21"/>
          <w:highlight w:val="none"/>
        </w:rPr>
        <w:t>文件并进行关联定位，以便磋商小组在评审时，点击评分项可直接定位到该评分项内容。如对竞争性磋商采购文件的某项要求，供应商的电子磋商响应文件未能关联定位提供相应的内容与其对应，则磋商小组在评审时如做出对供应商不利的评审由供应商自行承担。电子磋商响应文件如内容不完整、编排混乱导致磋商响应文件被误读、 漏读，或者在按竞争性磋商文件规定的部位查找不到相关内容的，由供应商自行承担。</w:t>
      </w:r>
    </w:p>
    <w:p w14:paraId="72421DBA">
      <w:pPr>
        <w:spacing w:afterAutospacing="0"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（6）磋商响应文件不得涂改，若有修改错漏处，须法定代表人（负责人）或授权委托人签字。磋商响应文件因字迹潦草或表达不清所引起的后果由供应商负责。</w:t>
      </w:r>
    </w:p>
    <w:p w14:paraId="011FC97C">
      <w:pPr>
        <w:keepNext w:val="0"/>
        <w:keepLines w:val="0"/>
        <w:pageBreakBefore w:val="0"/>
        <w:widowControl w:val="0"/>
        <w:shd w:val="clear" w:color="auto" w:fill="FFFFFF"/>
        <w:kinsoku/>
        <w:wordWrap/>
        <w:overflowPunct/>
        <w:topLinePunct w:val="0"/>
        <w:autoSpaceDE/>
        <w:autoSpaceDN/>
        <w:bidi w:val="0"/>
        <w:spacing w:before="0" w:beforeLines="50" w:beforeAutospacing="0" w:line="360" w:lineRule="auto"/>
        <w:textAlignment w:val="auto"/>
        <w:rPr>
          <w:rFonts w:hint="eastAsia" w:ascii="宋体" w:hAnsi="宋体" w:eastAsia="宋体"/>
          <w:b/>
          <w:bCs/>
          <w:color w:val="auto"/>
          <w:szCs w:val="21"/>
          <w:highlight w:val="none"/>
        </w:rPr>
      </w:pPr>
      <w:r>
        <w:rPr>
          <w:rFonts w:hint="eastAsia" w:ascii="宋体" w:hAnsi="宋体" w:eastAsia="宋体"/>
          <w:b/>
          <w:bCs/>
          <w:color w:val="auto"/>
          <w:szCs w:val="21"/>
          <w:highlight w:val="none"/>
        </w:rPr>
        <w:t>19.响应文件的密封和标记</w:t>
      </w:r>
    </w:p>
    <w:p w14:paraId="0791DDEC">
      <w:pPr>
        <w:spacing w:line="360" w:lineRule="auto"/>
        <w:ind w:firstLine="420" w:firstLineChars="200"/>
        <w:rPr>
          <w:rFonts w:ascii="宋体" w:hAnsi="宋体" w:cs="仿宋_GB2312"/>
          <w:color w:val="auto"/>
          <w:kern w:val="0"/>
          <w:szCs w:val="21"/>
          <w:highlight w:val="none"/>
          <w:lang w:val="zh-CN"/>
        </w:rPr>
      </w:pPr>
      <w:r>
        <w:rPr>
          <w:rFonts w:hint="eastAsia" w:ascii="宋体" w:hAnsi="宋体" w:cs="仿宋_GB2312"/>
          <w:color w:val="auto"/>
          <w:kern w:val="0"/>
          <w:szCs w:val="21"/>
          <w:highlight w:val="none"/>
          <w:lang w:val="zh-CN"/>
        </w:rPr>
        <w:t>19.1供应商进行电子交易应安装客户端软件—“广西政府采购云电子交易客户端”，并按照磋商文件和电子交易平台的要求编制并加密响应文件。供应商未按规定加密的响应文件，电子交易平台将拒收并提示。</w:t>
      </w:r>
    </w:p>
    <w:p w14:paraId="2A02A40C">
      <w:pPr>
        <w:spacing w:line="360" w:lineRule="auto"/>
        <w:ind w:firstLine="420" w:firstLineChars="200"/>
        <w:rPr>
          <w:rFonts w:hint="eastAsia" w:ascii="宋体" w:hAnsi="宋体" w:eastAsia="宋体" w:cs="仿宋_GB2312"/>
          <w:color w:val="auto"/>
          <w:kern w:val="0"/>
          <w:szCs w:val="21"/>
          <w:highlight w:val="none"/>
          <w:lang w:val="zh-CN"/>
        </w:rPr>
      </w:pPr>
      <w:r>
        <w:rPr>
          <w:rFonts w:hint="eastAsia" w:ascii="宋体" w:hAnsi="宋体" w:cs="仿宋_GB2312"/>
          <w:color w:val="auto"/>
          <w:kern w:val="0"/>
          <w:szCs w:val="21"/>
          <w:highlight w:val="none"/>
          <w:lang w:val="zh-CN"/>
        </w:rPr>
        <w:t>19.2使用“广西政府采购云电子交易客户端”需要提前申领CA数字证书，申领流程见该项目采购公</w:t>
      </w:r>
      <w:r>
        <w:rPr>
          <w:rFonts w:hint="eastAsia" w:ascii="宋体" w:hAnsi="宋体" w:eastAsia="宋体" w:cs="仿宋_GB2312"/>
          <w:color w:val="auto"/>
          <w:kern w:val="0"/>
          <w:szCs w:val="21"/>
          <w:highlight w:val="none"/>
          <w:lang w:val="zh-CN"/>
        </w:rPr>
        <w:t>告附件。</w:t>
      </w:r>
    </w:p>
    <w:p w14:paraId="15BE300E">
      <w:pPr>
        <w:spacing w:line="360" w:lineRule="auto"/>
        <w:ind w:firstLine="396" w:firstLineChars="200"/>
        <w:rPr>
          <w:rFonts w:hint="eastAsia" w:ascii="宋体" w:hAnsi="宋体" w:eastAsia="宋体" w:cs="仿宋_GB2312"/>
          <w:color w:val="auto"/>
          <w:spacing w:val="-6"/>
          <w:kern w:val="0"/>
          <w:sz w:val="21"/>
          <w:szCs w:val="21"/>
          <w:highlight w:val="none"/>
          <w:lang w:val="zh-CN"/>
        </w:rPr>
      </w:pPr>
      <w:r>
        <w:rPr>
          <w:rFonts w:hint="eastAsia" w:ascii="宋体" w:hAnsi="宋体" w:eastAsia="宋体" w:cs="仿宋_GB2312"/>
          <w:color w:val="auto"/>
          <w:spacing w:val="-6"/>
          <w:kern w:val="0"/>
          <w:sz w:val="21"/>
          <w:szCs w:val="21"/>
          <w:highlight w:val="none"/>
          <w:lang w:val="zh-CN"/>
        </w:rPr>
        <w:t>19.3为确保网上操作合法、有效和安全，供应商应当在响应文件提交截止时间前完成在“政府采购云平台”的身份认证，确保在电子交易过程中能够对相关数据电文进行加密和使用电子签名。</w:t>
      </w:r>
    </w:p>
    <w:p w14:paraId="5615D42B">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ascii="宋体" w:hAnsi="宋体"/>
          <w:b/>
          <w:bCs/>
          <w:color w:val="auto"/>
          <w:szCs w:val="21"/>
          <w:highlight w:val="none"/>
        </w:rPr>
      </w:pPr>
      <w:r>
        <w:rPr>
          <w:rFonts w:hint="eastAsia" w:ascii="宋体" w:hAnsi="宋体"/>
          <w:b/>
          <w:bCs/>
          <w:color w:val="auto"/>
          <w:szCs w:val="21"/>
          <w:highlight w:val="none"/>
          <w:lang w:val="en-US" w:eastAsia="zh-CN"/>
        </w:rPr>
        <w:t>20</w:t>
      </w:r>
      <w:r>
        <w:rPr>
          <w:rFonts w:hint="eastAsia" w:ascii="宋体" w:hAnsi="宋体"/>
          <w:b/>
          <w:bCs/>
          <w:color w:val="auto"/>
          <w:szCs w:val="21"/>
          <w:highlight w:val="none"/>
        </w:rPr>
        <w:t>. 竞争性磋商响应文件的递交</w:t>
      </w:r>
    </w:p>
    <w:p w14:paraId="7C993A8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eastAsia="zh-CN"/>
        </w:rPr>
        <w:t>20</w:t>
      </w:r>
      <w:r>
        <w:rPr>
          <w:rFonts w:hint="eastAsia" w:ascii="宋体" w:hAnsi="宋体" w:eastAsia="宋体"/>
          <w:color w:val="auto"/>
          <w:szCs w:val="21"/>
          <w:highlight w:val="none"/>
        </w:rPr>
        <w:t>.1</w:t>
      </w:r>
      <w:r>
        <w:rPr>
          <w:rFonts w:hint="eastAsia" w:ascii="宋体" w:hAnsi="宋体" w:cs="宋体"/>
          <w:color w:val="auto"/>
          <w:szCs w:val="21"/>
          <w:highlight w:val="none"/>
        </w:rPr>
        <w:t>供应商必须在“供应商须知前附表”规定的时间和地点提交响应文件。</w:t>
      </w:r>
    </w:p>
    <w:p w14:paraId="19A8E04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.2 在响应文件提交截止时间以后，不能补充、修改响应文件。</w:t>
      </w:r>
    </w:p>
    <w:p w14:paraId="04881599">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.3 在提交“最后报价”后，供应商不能退出谈判。</w:t>
      </w:r>
    </w:p>
    <w:p w14:paraId="645A2FE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.4 电子交易</w:t>
      </w:r>
      <w:r>
        <w:rPr>
          <w:rFonts w:hint="eastAsia" w:ascii="宋体" w:hAnsi="宋体"/>
          <w:color w:val="auto"/>
          <w:szCs w:val="21"/>
          <w:highlight w:val="none"/>
        </w:rPr>
        <w:t>平台收到响应文件，将妥善保存并即时向供应商发出确认回执通知。在响应文件提交截止时间前，除供应商补充、修改或者撤回响应文件外，任何单位和个人不得解密或提取响应文件。</w:t>
      </w:r>
    </w:p>
    <w:p w14:paraId="00B9BE54">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lang w:val="en-US" w:eastAsia="zh-CN"/>
        </w:rPr>
        <w:t>20</w:t>
      </w:r>
      <w:r>
        <w:rPr>
          <w:rFonts w:hint="eastAsia" w:ascii="宋体" w:hAnsi="宋体"/>
          <w:color w:val="auto"/>
          <w:szCs w:val="21"/>
          <w:highlight w:val="none"/>
        </w:rPr>
        <w:t>.5 采购机构不可视情况延长提交响应文件的截止时间。</w:t>
      </w:r>
    </w:p>
    <w:p w14:paraId="5940888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21.首次响应文件的补充、修改与撤回</w:t>
      </w:r>
    </w:p>
    <w:p w14:paraId="24FBB2F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详见“供应商须知前附表”。</w:t>
      </w:r>
    </w:p>
    <w:p w14:paraId="5A6027E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bookmarkStart w:id="14" w:name="_Hlk45702405"/>
      <w:r>
        <w:rPr>
          <w:rFonts w:hint="eastAsia" w:ascii="宋体" w:hAnsi="宋体" w:eastAsia="宋体"/>
          <w:b/>
          <w:bCs/>
          <w:color w:val="auto"/>
          <w:szCs w:val="21"/>
          <w:highlight w:val="none"/>
          <w:lang w:val="en-US" w:eastAsia="zh-CN"/>
        </w:rPr>
        <w:t>22. 首次响应文件的退回</w:t>
      </w:r>
    </w:p>
    <w:p w14:paraId="213AEE37">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在首次响应文件提交截止时间止提交响应文件的供应商不足3家时电子响应文件由代理机构在“</w:t>
      </w:r>
      <w:r>
        <w:rPr>
          <w:rFonts w:hint="eastAsia" w:ascii="宋体" w:hAnsi="宋体" w:cs="宋体"/>
          <w:color w:val="auto"/>
          <w:spacing w:val="-6"/>
          <w:sz w:val="21"/>
          <w:szCs w:val="21"/>
          <w:highlight w:val="none"/>
          <w:lang w:eastAsia="zh-CN"/>
        </w:rPr>
        <w:t>广西政府采购云</w:t>
      </w:r>
      <w:r>
        <w:rPr>
          <w:rFonts w:hint="eastAsia" w:ascii="宋体" w:hAnsi="宋体" w:cs="宋体"/>
          <w:color w:val="auto"/>
          <w:spacing w:val="-6"/>
          <w:sz w:val="21"/>
          <w:szCs w:val="21"/>
          <w:highlight w:val="none"/>
        </w:rPr>
        <w:t>”平台操作退回，除此之外采购人和采购代理机构对已提交的电子响应文件概不退回。</w:t>
      </w:r>
    </w:p>
    <w:p w14:paraId="66DF452E">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23. 截止时间后的撤回</w:t>
      </w:r>
    </w:p>
    <w:p w14:paraId="5288099F">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本项目不收取磋商保证金，供应商在首次响应文件提交截止时间后可向采购人、采购代理机构书面申请撤回电子响应文件。</w:t>
      </w:r>
      <w:bookmarkEnd w:id="14"/>
    </w:p>
    <w:p w14:paraId="5E5F92F7">
      <w:pPr>
        <w:pStyle w:val="24"/>
        <w:shd w:val="clear"/>
        <w:spacing w:line="42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z w:val="21"/>
          <w:szCs w:val="21"/>
          <w:highlight w:val="none"/>
          <w:lang w:eastAsia="zh-CN"/>
        </w:rPr>
        <w:t>四</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评审和磋商</w:t>
      </w:r>
    </w:p>
    <w:p w14:paraId="4A1FB3BB">
      <w:pPr>
        <w:pStyle w:val="24"/>
        <w:pageBreakBefore w:val="0"/>
        <w:kinsoku/>
        <w:wordWrap/>
        <w:overflowPunct/>
        <w:topLinePunct w:val="0"/>
        <w:bidi w:val="0"/>
        <w:adjustRightInd/>
        <w:spacing w:line="360" w:lineRule="auto"/>
        <w:jc w:val="both"/>
        <w:textAlignment w:val="auto"/>
        <w:rPr>
          <w:rFonts w:hint="eastAsia" w:ascii="宋体" w:hAnsi="宋体" w:eastAsia="宋体" w:cs="宋体"/>
          <w:b/>
          <w:bCs/>
          <w:caps w:val="0"/>
          <w:color w:val="auto"/>
          <w:spacing w:val="0"/>
          <w:sz w:val="21"/>
          <w:highlight w:val="none"/>
        </w:rPr>
      </w:pPr>
      <w:r>
        <w:rPr>
          <w:rFonts w:hint="eastAsia" w:ascii="宋体" w:hAnsi="宋体" w:eastAsia="宋体" w:cs="宋体"/>
          <w:b/>
          <w:bCs/>
          <w:caps w:val="0"/>
          <w:color w:val="auto"/>
          <w:spacing w:val="0"/>
          <w:sz w:val="21"/>
          <w:highlight w:val="none"/>
          <w:lang w:val="en-US" w:eastAsia="zh-CN"/>
        </w:rPr>
        <w:t>2</w:t>
      </w:r>
      <w:r>
        <w:rPr>
          <w:rFonts w:hint="eastAsia" w:hAnsi="宋体" w:cs="宋体"/>
          <w:b/>
          <w:bCs/>
          <w:caps w:val="0"/>
          <w:color w:val="auto"/>
          <w:spacing w:val="0"/>
          <w:sz w:val="21"/>
          <w:highlight w:val="none"/>
          <w:lang w:val="en-US" w:eastAsia="zh-CN"/>
        </w:rPr>
        <w:t>4</w:t>
      </w:r>
      <w:r>
        <w:rPr>
          <w:rFonts w:hint="eastAsia" w:ascii="宋体" w:hAnsi="宋体" w:eastAsia="宋体" w:cs="宋体"/>
          <w:b/>
          <w:bCs/>
          <w:caps w:val="0"/>
          <w:color w:val="auto"/>
          <w:spacing w:val="0"/>
          <w:sz w:val="21"/>
          <w:highlight w:val="none"/>
          <w:lang w:val="en-US" w:eastAsia="zh-CN"/>
        </w:rPr>
        <w:t>.</w:t>
      </w:r>
      <w:r>
        <w:rPr>
          <w:rFonts w:hint="eastAsia" w:ascii="宋体" w:hAnsi="宋体" w:eastAsia="宋体" w:cs="宋体"/>
          <w:b/>
          <w:bCs/>
          <w:caps w:val="0"/>
          <w:color w:val="auto"/>
          <w:spacing w:val="0"/>
          <w:sz w:val="21"/>
          <w:highlight w:val="none"/>
        </w:rPr>
        <w:t>磋商小组</w:t>
      </w:r>
      <w:r>
        <w:rPr>
          <w:rFonts w:hint="eastAsia" w:ascii="宋体" w:hAnsi="宋体" w:eastAsia="宋体" w:cs="宋体"/>
          <w:b/>
          <w:bCs/>
          <w:caps w:val="0"/>
          <w:color w:val="auto"/>
          <w:spacing w:val="0"/>
          <w:sz w:val="21"/>
          <w:highlight w:val="none"/>
          <w:lang w:eastAsia="zh-CN"/>
        </w:rPr>
        <w:t>的</w:t>
      </w:r>
      <w:r>
        <w:rPr>
          <w:rFonts w:hint="eastAsia" w:ascii="宋体" w:hAnsi="宋体" w:eastAsia="宋体" w:cs="宋体"/>
          <w:b/>
          <w:bCs/>
          <w:caps w:val="0"/>
          <w:color w:val="auto"/>
          <w:spacing w:val="0"/>
          <w:sz w:val="21"/>
          <w:highlight w:val="none"/>
        </w:rPr>
        <w:t>组建</w:t>
      </w:r>
    </w:p>
    <w:p w14:paraId="334F68C3">
      <w:pPr>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aps w:val="0"/>
          <w:color w:val="auto"/>
          <w:spacing w:val="0"/>
          <w:sz w:val="21"/>
          <w:highlight w:val="none"/>
        </w:rPr>
      </w:pPr>
      <w:r>
        <w:rPr>
          <w:rFonts w:hint="eastAsia" w:ascii="宋体" w:hAnsi="宋体" w:cs="宋体"/>
          <w:caps w:val="0"/>
          <w:color w:val="auto"/>
          <w:spacing w:val="0"/>
          <w:sz w:val="21"/>
          <w:highlight w:val="none"/>
          <w:lang w:val="en-US" w:eastAsia="zh-CN"/>
        </w:rPr>
        <w:t>24.1</w:t>
      </w:r>
      <w:r>
        <w:rPr>
          <w:rFonts w:hint="eastAsia" w:ascii="宋体" w:hAnsi="宋体" w:cs="宋体"/>
          <w:color w:val="auto"/>
          <w:szCs w:val="21"/>
          <w:highlight w:val="none"/>
        </w:rPr>
        <w:t>磋商小组由采购人代表和评审专家共3人以上单数组成，其中评审专家人数不得少于磋商小组成员总数的2/3。采购人代表不得以评审专家身份参加本部门或者本单位采购项目的评审。采购代理机构人员不得参加本机构代理的采购项目的评审。达到公开招标数额标准的货物或者服务采购项目，或者达到公开招标规模标准的政府采购工程，经批准采用竞争性磋商方式采购的，磋商小组由5人以上单数组成。</w:t>
      </w:r>
    </w:p>
    <w:p w14:paraId="15D838CA">
      <w:pPr>
        <w:pStyle w:val="5"/>
        <w:ind w:firstLine="420" w:firstLineChars="200"/>
        <w:jc w:val="left"/>
        <w:rPr>
          <w:rFonts w:hint="eastAsia" w:ascii="宋体" w:hAnsi="宋体" w:eastAsia="宋体" w:cs="宋体"/>
          <w:b w:val="0"/>
          <w:bCs w:val="0"/>
          <w:caps w:val="0"/>
          <w:color w:val="auto"/>
          <w:spacing w:val="0"/>
          <w:kern w:val="2"/>
          <w:sz w:val="21"/>
          <w:szCs w:val="21"/>
          <w:highlight w:val="none"/>
          <w:lang w:val="en-US" w:eastAsia="zh-CN" w:bidi="ar-SA"/>
        </w:rPr>
      </w:pPr>
      <w:r>
        <w:rPr>
          <w:rFonts w:hint="eastAsia" w:ascii="宋体" w:hAnsi="宋体" w:eastAsia="宋体" w:cs="宋体"/>
          <w:b w:val="0"/>
          <w:bCs w:val="0"/>
          <w:caps w:val="0"/>
          <w:color w:val="auto"/>
          <w:spacing w:val="0"/>
          <w:kern w:val="2"/>
          <w:sz w:val="21"/>
          <w:szCs w:val="21"/>
          <w:highlight w:val="none"/>
          <w:lang w:val="en-US" w:eastAsia="zh-CN" w:bidi="ar-SA"/>
        </w:rPr>
        <w:t>2</w:t>
      </w:r>
      <w:r>
        <w:rPr>
          <w:rFonts w:hint="eastAsia" w:ascii="宋体" w:hAnsi="宋体" w:cs="宋体"/>
          <w:b w:val="0"/>
          <w:bCs w:val="0"/>
          <w:caps w:val="0"/>
          <w:color w:val="auto"/>
          <w:spacing w:val="0"/>
          <w:kern w:val="2"/>
          <w:sz w:val="21"/>
          <w:szCs w:val="21"/>
          <w:highlight w:val="none"/>
          <w:lang w:val="en-US" w:eastAsia="zh-CN" w:bidi="ar-SA"/>
        </w:rPr>
        <w:t>4</w:t>
      </w:r>
      <w:r>
        <w:rPr>
          <w:rFonts w:hint="eastAsia" w:ascii="宋体" w:hAnsi="宋体" w:eastAsia="宋体" w:cs="宋体"/>
          <w:b w:val="0"/>
          <w:bCs w:val="0"/>
          <w:caps w:val="0"/>
          <w:color w:val="auto"/>
          <w:spacing w:val="0"/>
          <w:kern w:val="2"/>
          <w:sz w:val="21"/>
          <w:szCs w:val="21"/>
          <w:highlight w:val="none"/>
          <w:lang w:val="en-US" w:eastAsia="zh-CN" w:bidi="ar-SA"/>
        </w:rPr>
        <w:t>.2评审专家应当从政府采购评审专家库内相关专业的专家名单中随机抽取。市场竞争不充分的科研项目，以及需要扶持的科技成果转化项目，以及情况特殊、通过随机方式难以确定合适的评审专家的项目，经主管预算单位同意，可以自行选定评审专家。技术复杂、专业性强的采购项目，评审专家中应当包含1名法律专家</w:t>
      </w:r>
      <w:r>
        <w:rPr>
          <w:rFonts w:hint="eastAsia" w:ascii="宋体" w:hAnsi="宋体" w:cs="宋体"/>
          <w:b w:val="0"/>
          <w:bCs w:val="0"/>
          <w:caps w:val="0"/>
          <w:color w:val="auto"/>
          <w:spacing w:val="0"/>
          <w:kern w:val="2"/>
          <w:sz w:val="21"/>
          <w:szCs w:val="21"/>
          <w:highlight w:val="none"/>
          <w:lang w:val="en-US" w:eastAsia="zh-CN" w:bidi="ar-SA"/>
        </w:rPr>
        <w:t>。</w:t>
      </w:r>
    </w:p>
    <w:p w14:paraId="502D3E8E">
      <w:pPr>
        <w:shd w:val="clear"/>
        <w:spacing w:line="360" w:lineRule="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25.</w:t>
      </w:r>
      <w:r>
        <w:rPr>
          <w:rFonts w:hint="eastAsia" w:asciiTheme="minorEastAsia" w:hAnsiTheme="minorEastAsia" w:eastAsiaTheme="minorEastAsia" w:cstheme="minorEastAsia"/>
          <w:b/>
          <w:bCs/>
          <w:color w:val="auto"/>
          <w:highlight w:val="none"/>
        </w:rPr>
        <w:t>首次响应文件的开启</w:t>
      </w:r>
    </w:p>
    <w:p w14:paraId="565E4FC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5</w:t>
      </w:r>
      <w:r>
        <w:rPr>
          <w:rFonts w:ascii="宋体" w:hAnsi="宋体" w:cs="宋体"/>
          <w:color w:val="auto"/>
          <w:szCs w:val="21"/>
          <w:highlight w:val="none"/>
        </w:rPr>
        <w:t>.1</w:t>
      </w:r>
      <w:r>
        <w:rPr>
          <w:rFonts w:hint="eastAsia" w:ascii="宋体" w:hAnsi="宋体" w:cs="宋体"/>
          <w:color w:val="auto"/>
          <w:szCs w:val="21"/>
          <w:highlight w:val="none"/>
        </w:rPr>
        <w:t>首次响应文件由磋商小组或者采购代理机构在“供应商须知前附表”规定的时间开启。</w:t>
      </w:r>
    </w:p>
    <w:p w14:paraId="08E2EAE7">
      <w:pPr>
        <w:pStyle w:val="24"/>
        <w:spacing w:line="360" w:lineRule="auto"/>
        <w:ind w:firstLine="420" w:firstLineChars="200"/>
        <w:rPr>
          <w:rFonts w:hint="eastAsia" w:hAnsi="宋体"/>
          <w:bCs/>
          <w:color w:val="auto"/>
          <w:sz w:val="21"/>
          <w:highlight w:val="none"/>
        </w:rPr>
      </w:pPr>
      <w:r>
        <w:rPr>
          <w:rFonts w:hAnsi="宋体" w:cs="宋体"/>
          <w:color w:val="auto"/>
          <w:sz w:val="21"/>
          <w:highlight w:val="none"/>
        </w:rPr>
        <w:t>2</w:t>
      </w:r>
      <w:r>
        <w:rPr>
          <w:rFonts w:hint="eastAsia" w:hAnsi="宋体" w:cs="宋体"/>
          <w:color w:val="auto"/>
          <w:sz w:val="21"/>
          <w:highlight w:val="none"/>
          <w:lang w:val="en-US" w:eastAsia="zh-CN"/>
        </w:rPr>
        <w:t>5</w:t>
      </w:r>
      <w:r>
        <w:rPr>
          <w:rFonts w:hAnsi="宋体" w:cs="宋体"/>
          <w:color w:val="auto"/>
          <w:sz w:val="21"/>
          <w:highlight w:val="none"/>
        </w:rPr>
        <w:t xml:space="preserve">.2 </w:t>
      </w:r>
      <w:r>
        <w:rPr>
          <w:rFonts w:hint="eastAsia" w:hAnsi="宋体"/>
          <w:bCs/>
          <w:color w:val="auto"/>
          <w:sz w:val="21"/>
          <w:highlight w:val="none"/>
        </w:rPr>
        <w:t>响应文件解密</w:t>
      </w:r>
    </w:p>
    <w:p w14:paraId="181CA9FF">
      <w:pPr>
        <w:pStyle w:val="24"/>
        <w:snapToGrid w:val="0"/>
        <w:spacing w:line="360" w:lineRule="auto"/>
        <w:ind w:firstLine="420" w:firstLineChars="200"/>
        <w:rPr>
          <w:rFonts w:hint="eastAsia" w:hAnsi="宋体"/>
          <w:color w:val="auto"/>
          <w:sz w:val="21"/>
          <w:highlight w:val="none"/>
        </w:rPr>
      </w:pPr>
      <w:r>
        <w:rPr>
          <w:rFonts w:hint="eastAsia" w:hAnsi="宋体"/>
          <w:bCs/>
          <w:color w:val="auto"/>
          <w:sz w:val="21"/>
          <w:highlight w:val="none"/>
        </w:rPr>
        <w:t>采购代理机构将在“供应商须知前附表”规定的时</w:t>
      </w:r>
      <w:r>
        <w:rPr>
          <w:rFonts w:hint="eastAsia" w:hAnsi="宋体"/>
          <w:color w:val="auto"/>
          <w:sz w:val="21"/>
          <w:highlight w:val="none"/>
        </w:rPr>
        <w:t>间通过电子交易平台组织响应文件开启，采购机构依托电子交易平台发起开始解密指令，供应商的法定代表人或其委托代理人</w:t>
      </w:r>
      <w:r>
        <w:rPr>
          <w:rFonts w:hint="eastAsia" w:hAnsi="宋体"/>
          <w:b/>
          <w:color w:val="auto"/>
          <w:sz w:val="21"/>
          <w:highlight w:val="none"/>
        </w:rPr>
        <w:t>须携带加密时所用的CA锁按平台提示和采购文件的规定登录到“</w:t>
      </w:r>
      <w:r>
        <w:rPr>
          <w:rFonts w:hint="eastAsia" w:hAnsi="宋体"/>
          <w:b/>
          <w:color w:val="auto"/>
          <w:sz w:val="21"/>
          <w:highlight w:val="none"/>
          <w:lang w:eastAsia="zh-CN"/>
        </w:rPr>
        <w:t>广西政府采购云</w:t>
      </w:r>
      <w:r>
        <w:rPr>
          <w:rFonts w:hint="eastAsia" w:hAnsi="宋体"/>
          <w:b/>
          <w:color w:val="auto"/>
          <w:sz w:val="21"/>
          <w:highlight w:val="none"/>
        </w:rPr>
        <w:t>”平台电子开标大厅签到并在发起解密指令之时起30分钟内完成对电子响应文件在线解密</w:t>
      </w:r>
      <w:r>
        <w:rPr>
          <w:rFonts w:hint="eastAsia" w:hAnsi="宋体"/>
          <w:color w:val="auto"/>
          <w:sz w:val="21"/>
          <w:highlight w:val="none"/>
        </w:rPr>
        <w:t>。发起解密指令之时起5分钟内供应商还未进行解密的，代理机构要通知供应商，供应商没预留联系方式或预留联系方式无效，导致代理机构无法联系到供应商进行解密的，</w:t>
      </w:r>
      <w:r>
        <w:rPr>
          <w:rFonts w:hint="eastAsia" w:hAnsi="宋体"/>
          <w:b/>
          <w:color w:val="auto"/>
          <w:sz w:val="21"/>
          <w:highlight w:val="none"/>
        </w:rPr>
        <w:t>视为响应文件无效。</w:t>
      </w:r>
      <w:r>
        <w:rPr>
          <w:rFonts w:hint="eastAsia" w:hAnsi="宋体"/>
          <w:color w:val="auto"/>
          <w:sz w:val="21"/>
          <w:highlight w:val="none"/>
        </w:rPr>
        <w:t>（解密</w:t>
      </w:r>
      <w:r>
        <w:rPr>
          <w:rFonts w:hint="eastAsia" w:hAnsi="宋体"/>
          <w:bCs/>
          <w:color w:val="auto"/>
          <w:sz w:val="21"/>
          <w:highlight w:val="none"/>
        </w:rPr>
        <w:t>异常情况处理：详见本章</w:t>
      </w:r>
      <w:r>
        <w:rPr>
          <w:rFonts w:hint="eastAsia" w:hAnsi="宋体"/>
          <w:color w:val="auto"/>
          <w:sz w:val="21"/>
          <w:highlight w:val="none"/>
          <w:lang w:val="en-US" w:eastAsia="zh-CN"/>
        </w:rPr>
        <w:t>26.3</w:t>
      </w:r>
      <w:r>
        <w:rPr>
          <w:rFonts w:hint="eastAsia" w:hAnsi="宋体"/>
          <w:color w:val="auto"/>
          <w:sz w:val="21"/>
          <w:highlight w:val="none"/>
        </w:rPr>
        <w:t>电子交易活动的</w:t>
      </w:r>
      <w:r>
        <w:rPr>
          <w:rFonts w:hint="eastAsia" w:hAnsi="宋体"/>
          <w:color w:val="auto"/>
          <w:sz w:val="21"/>
          <w:highlight w:val="none"/>
          <w:lang w:eastAsia="zh-CN"/>
        </w:rPr>
        <w:t>中止</w:t>
      </w:r>
      <w:r>
        <w:rPr>
          <w:rFonts w:hint="eastAsia" w:hAnsi="宋体"/>
          <w:color w:val="auto"/>
          <w:sz w:val="21"/>
          <w:highlight w:val="none"/>
        </w:rPr>
        <w:t>。）</w:t>
      </w:r>
    </w:p>
    <w:p w14:paraId="7B284E6F">
      <w:pPr>
        <w:pStyle w:val="24"/>
        <w:spacing w:line="360" w:lineRule="auto"/>
        <w:ind w:firstLine="420" w:firstLineChars="200"/>
        <w:rPr>
          <w:rFonts w:hint="eastAsia"/>
          <w:color w:val="auto"/>
          <w:sz w:val="21"/>
          <w:szCs w:val="21"/>
          <w:highlight w:val="none"/>
        </w:rPr>
      </w:pPr>
      <w:r>
        <w:rPr>
          <w:rFonts w:hint="eastAsia" w:hAnsi="宋体"/>
          <w:color w:val="auto"/>
          <w:sz w:val="21"/>
          <w:szCs w:val="21"/>
          <w:highlight w:val="none"/>
        </w:rPr>
        <w:t>如</w:t>
      </w:r>
      <w:r>
        <w:rPr>
          <w:rFonts w:hint="eastAsia" w:hAnsi="宋体"/>
          <w:bCs/>
          <w:color w:val="auto"/>
          <w:sz w:val="21"/>
          <w:szCs w:val="21"/>
          <w:highlight w:val="none"/>
        </w:rPr>
        <w:t>供应商成功解密响应文件，但未在“</w:t>
      </w:r>
      <w:r>
        <w:rPr>
          <w:rFonts w:hint="eastAsia" w:hAnsi="宋体"/>
          <w:bCs/>
          <w:color w:val="auto"/>
          <w:sz w:val="21"/>
          <w:szCs w:val="21"/>
          <w:highlight w:val="none"/>
          <w:lang w:eastAsia="zh-CN"/>
        </w:rPr>
        <w:t>广西政府采购云</w:t>
      </w:r>
      <w:r>
        <w:rPr>
          <w:rFonts w:hint="eastAsia" w:hAnsi="宋体"/>
          <w:bCs/>
          <w:color w:val="auto"/>
          <w:sz w:val="21"/>
          <w:szCs w:val="21"/>
          <w:highlight w:val="none"/>
        </w:rPr>
        <w:t>”电子开标大厅参加谈判的，视同认可谈判过程和结果，</w:t>
      </w:r>
      <w:r>
        <w:rPr>
          <w:rFonts w:hint="eastAsia" w:hAnsi="宋体"/>
          <w:color w:val="auto"/>
          <w:sz w:val="21"/>
          <w:szCs w:val="21"/>
          <w:highlight w:val="none"/>
        </w:rPr>
        <w:t>由此产生的后果由供应商自行负责。参与谈判的供应商</w:t>
      </w:r>
      <w:r>
        <w:rPr>
          <w:rFonts w:hint="eastAsia"/>
          <w:color w:val="auto"/>
          <w:sz w:val="21"/>
          <w:szCs w:val="21"/>
          <w:highlight w:val="none"/>
        </w:rPr>
        <w:t>不足3家的，不得谈判。</w:t>
      </w:r>
    </w:p>
    <w:p w14:paraId="155E5F5D">
      <w:pPr>
        <w:shd w:val="clear"/>
        <w:spacing w:line="360" w:lineRule="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26.评审程序、评审方法和评审标准</w:t>
      </w:r>
    </w:p>
    <w:p w14:paraId="5C19F296">
      <w:pPr>
        <w:spacing w:line="360" w:lineRule="auto"/>
        <w:ind w:firstLine="420" w:firstLineChars="200"/>
        <w:rPr>
          <w:rFonts w:hint="eastAsia" w:ascii="宋体" w:hAnsi="宋体" w:cs="宋体"/>
          <w:color w:val="auto"/>
          <w:szCs w:val="21"/>
          <w:highlight w:val="none"/>
        </w:rPr>
      </w:pPr>
      <w:r>
        <w:rPr>
          <w:rFonts w:ascii="宋体" w:hAnsi="宋体" w:cs="宋体"/>
          <w:color w:val="auto"/>
          <w:szCs w:val="21"/>
          <w:highlight w:val="none"/>
        </w:rPr>
        <w:t>26.1</w:t>
      </w:r>
      <w:r>
        <w:rPr>
          <w:rFonts w:hint="eastAsia" w:ascii="宋体" w:hAnsi="宋体" w:cs="宋体"/>
          <w:color w:val="auto"/>
          <w:szCs w:val="21"/>
          <w:highlight w:val="none"/>
        </w:rPr>
        <w:t>磋商小组</w:t>
      </w:r>
      <w:r>
        <w:rPr>
          <w:rFonts w:ascii="宋体" w:hAnsi="宋体" w:cs="宋体"/>
          <w:color w:val="auto"/>
          <w:szCs w:val="21"/>
          <w:highlight w:val="none"/>
        </w:rPr>
        <w:t>按照</w:t>
      </w:r>
      <w:r>
        <w:rPr>
          <w:rFonts w:hint="eastAsia" w:ascii="宋体" w:hAnsi="宋体" w:cs="宋体"/>
          <w:color w:val="auto"/>
          <w:szCs w:val="21"/>
          <w:highlight w:val="none"/>
        </w:rPr>
        <w:t>“第四章 评审程序、评审方法和评审标准”</w:t>
      </w:r>
      <w:r>
        <w:rPr>
          <w:rFonts w:ascii="宋体" w:hAnsi="宋体" w:cs="宋体"/>
          <w:color w:val="auto"/>
          <w:szCs w:val="21"/>
          <w:highlight w:val="none"/>
        </w:rPr>
        <w:t>规定的方法、评审因素、标准和程序对</w:t>
      </w:r>
      <w:r>
        <w:rPr>
          <w:rFonts w:hint="eastAsia" w:ascii="宋体" w:hAnsi="宋体" w:cs="宋体"/>
          <w:color w:val="auto"/>
          <w:szCs w:val="21"/>
          <w:highlight w:val="none"/>
        </w:rPr>
        <w:t>响应</w:t>
      </w:r>
      <w:r>
        <w:rPr>
          <w:rFonts w:ascii="宋体" w:hAnsi="宋体" w:cs="宋体"/>
          <w:color w:val="auto"/>
          <w:szCs w:val="21"/>
          <w:highlight w:val="none"/>
        </w:rPr>
        <w:t>文件进行评审。</w:t>
      </w:r>
    </w:p>
    <w:p w14:paraId="16430D8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w:t>
      </w:r>
      <w:r>
        <w:rPr>
          <w:rFonts w:ascii="宋体" w:hAnsi="宋体"/>
          <w:color w:val="auto"/>
          <w:szCs w:val="21"/>
          <w:highlight w:val="none"/>
        </w:rPr>
        <w:t xml:space="preserve">6.2 </w:t>
      </w:r>
      <w:r>
        <w:rPr>
          <w:rFonts w:hint="eastAsia" w:ascii="宋体" w:hAnsi="宋体"/>
          <w:color w:val="auto"/>
          <w:szCs w:val="21"/>
          <w:highlight w:val="none"/>
        </w:rPr>
        <w:t>磋商顺序详见 “ 供应商须知前附表”。</w:t>
      </w:r>
    </w:p>
    <w:p w14:paraId="75A36B56">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6.3</w:t>
      </w:r>
      <w:r>
        <w:rPr>
          <w:rFonts w:hint="eastAsia" w:ascii="宋体" w:hAnsi="宋体"/>
          <w:color w:val="auto"/>
          <w:highlight w:val="none"/>
        </w:rPr>
        <w:t>电子交易活动的中止。采购过程中出现以下情形，导致电子交易平台无法正常运行，或者无法保证电子交易的公平、公正和安全时，采购机构可中止电子交易活动：</w:t>
      </w:r>
    </w:p>
    <w:p w14:paraId="2D1228F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（1）电子交易平台发生故障而无法登录访问的； </w:t>
      </w:r>
    </w:p>
    <w:p w14:paraId="61A31257">
      <w:pPr>
        <w:spacing w:line="360" w:lineRule="auto"/>
        <w:ind w:firstLine="420" w:firstLineChars="200"/>
        <w:rPr>
          <w:rFonts w:hint="eastAsia" w:ascii="宋体" w:hAnsi="宋体"/>
          <w:color w:val="auto"/>
          <w:highlight w:val="none"/>
        </w:rPr>
      </w:pPr>
      <w:r>
        <w:rPr>
          <w:rFonts w:hint="eastAsia" w:ascii="宋体" w:hAnsi="宋体"/>
          <w:color w:val="auto"/>
          <w:highlight w:val="none"/>
        </w:rPr>
        <w:t>（2）电子交易平台应用或数据库出现错误，不能进行正常操作的；</w:t>
      </w:r>
    </w:p>
    <w:p w14:paraId="2C4B3600">
      <w:pPr>
        <w:spacing w:line="360" w:lineRule="auto"/>
        <w:ind w:firstLine="420" w:firstLineChars="200"/>
        <w:rPr>
          <w:rFonts w:hint="eastAsia" w:ascii="宋体" w:hAnsi="宋体"/>
          <w:color w:val="auto"/>
          <w:highlight w:val="none"/>
        </w:rPr>
      </w:pPr>
      <w:r>
        <w:rPr>
          <w:rFonts w:hint="eastAsia" w:ascii="宋体" w:hAnsi="宋体"/>
          <w:color w:val="auto"/>
          <w:highlight w:val="none"/>
        </w:rPr>
        <w:t>（3）电子交易平台发现严重安全漏洞，有潜在泄密危险的；</w:t>
      </w:r>
    </w:p>
    <w:p w14:paraId="5D74EF8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（4）病毒发作导致不能进行正常操作的； </w:t>
      </w:r>
    </w:p>
    <w:p w14:paraId="531440A1">
      <w:pPr>
        <w:spacing w:line="360" w:lineRule="auto"/>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）其他无法保证电子交易的公平、公正和安全的情况。</w:t>
      </w:r>
    </w:p>
    <w:p w14:paraId="7E5AB28E">
      <w:pPr>
        <w:spacing w:line="400" w:lineRule="exact"/>
        <w:ind w:firstLine="420" w:firstLineChars="200"/>
        <w:rPr>
          <w:rFonts w:hint="eastAsia" w:ascii="宋体" w:hAnsi="宋体"/>
          <w:color w:val="auto"/>
          <w:highlight w:val="none"/>
        </w:rPr>
      </w:pPr>
      <w:r>
        <w:rPr>
          <w:rFonts w:hint="eastAsia" w:ascii="宋体" w:hAnsi="宋体"/>
          <w:color w:val="auto"/>
          <w:highlight w:val="none"/>
        </w:rPr>
        <w:t>26.4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0456122D">
      <w:pPr>
        <w:pStyle w:val="4"/>
        <w:spacing w:before="0" w:after="0" w:line="360" w:lineRule="auto"/>
        <w:jc w:val="center"/>
        <w:outlineLvl w:val="9"/>
        <w:rPr>
          <w:rFonts w:hint="eastAsia" w:asciiTheme="minorEastAsia" w:hAnsiTheme="minorEastAsia" w:eastAsiaTheme="minorEastAsia" w:cstheme="minorEastAsia"/>
          <w:b/>
          <w:bCs w:val="0"/>
          <w:color w:val="auto"/>
          <w:kern w:val="0"/>
          <w:sz w:val="21"/>
          <w:szCs w:val="21"/>
          <w:highlight w:val="none"/>
          <w:lang w:val="en-US" w:eastAsia="zh-CN" w:bidi="ar-SA"/>
        </w:rPr>
      </w:pPr>
      <w:bookmarkStart w:id="15" w:name="_Toc80886934"/>
      <w:bookmarkStart w:id="16" w:name="_Toc20286"/>
    </w:p>
    <w:p w14:paraId="32E360CF">
      <w:pPr>
        <w:pStyle w:val="4"/>
        <w:spacing w:before="0" w:after="0" w:line="360" w:lineRule="auto"/>
        <w:jc w:val="center"/>
        <w:rPr>
          <w:rFonts w:hint="eastAsia" w:asciiTheme="minorEastAsia" w:hAnsiTheme="minorEastAsia" w:eastAsiaTheme="minorEastAsia" w:cstheme="minorEastAsia"/>
          <w:b/>
          <w:bCs w:val="0"/>
          <w:color w:val="auto"/>
          <w:kern w:val="0"/>
          <w:sz w:val="21"/>
          <w:szCs w:val="21"/>
          <w:highlight w:val="none"/>
          <w:lang w:val="en-US" w:eastAsia="zh-CN" w:bidi="ar-SA"/>
        </w:rPr>
      </w:pPr>
      <w:r>
        <w:rPr>
          <w:rFonts w:hint="eastAsia" w:asciiTheme="minorEastAsia" w:hAnsiTheme="minorEastAsia" w:eastAsiaTheme="minorEastAsia" w:cstheme="minorEastAsia"/>
          <w:b/>
          <w:bCs w:val="0"/>
          <w:color w:val="auto"/>
          <w:kern w:val="0"/>
          <w:sz w:val="21"/>
          <w:szCs w:val="21"/>
          <w:highlight w:val="none"/>
          <w:lang w:val="en-US" w:eastAsia="zh-CN" w:bidi="ar-SA"/>
        </w:rPr>
        <w:t>五、成交及合同</w:t>
      </w:r>
      <w:bookmarkEnd w:id="15"/>
      <w:bookmarkEnd w:id="16"/>
    </w:p>
    <w:p w14:paraId="40EEB97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7</w:t>
      </w:r>
      <w:r>
        <w:rPr>
          <w:rFonts w:hint="eastAsia" w:ascii="宋体" w:hAnsi="宋体" w:cs="宋体"/>
          <w:b/>
          <w:bCs/>
          <w:color w:val="auto"/>
          <w:szCs w:val="21"/>
          <w:highlight w:val="none"/>
        </w:rPr>
        <w:t>.确定成交供应商及结果公告</w:t>
      </w:r>
    </w:p>
    <w:p w14:paraId="401154F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.1</w:t>
      </w:r>
      <w:r>
        <w:rPr>
          <w:rFonts w:hint="eastAsia" w:ascii="宋体" w:hAnsi="宋体" w:cs="宋体"/>
          <w:color w:val="auto"/>
          <w:kern w:val="0"/>
          <w:szCs w:val="21"/>
          <w:highlight w:val="none"/>
        </w:rPr>
        <w:t xml:space="preserve"> </w:t>
      </w:r>
      <w:r>
        <w:rPr>
          <w:rFonts w:hint="eastAsia" w:ascii="宋体" w:hAnsi="宋体" w:cs="宋体"/>
          <w:color w:val="auto"/>
          <w:szCs w:val="21"/>
          <w:highlight w:val="none"/>
        </w:rPr>
        <w:t>采购代理机构应当在评审结束后2个工作日内将评审报告送采购人确认。采购人应当在收到评审报告后2个工作日内，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709B2CDB">
      <w:pPr>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.2采购代理机构应当在</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供应商确定后2个工作日内，在省级以上财政部门指定的媒体上公告成交结果，同时向成交供应商发出成交通知书。</w:t>
      </w:r>
    </w:p>
    <w:p w14:paraId="2196DA7A">
      <w:pPr>
        <w:spacing w:line="400" w:lineRule="exact"/>
        <w:ind w:firstLine="420" w:firstLineChars="200"/>
        <w:rPr>
          <w:rFonts w:ascii="宋体" w:hAnsi="宋体" w:cs="宋体"/>
          <w:b/>
          <w:color w:val="auto"/>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ascii="宋体" w:hAnsi="宋体" w:cs="宋体"/>
          <w:color w:val="auto"/>
          <w:szCs w:val="21"/>
          <w:highlight w:val="none"/>
        </w:rPr>
        <w:t>.3</w:t>
      </w:r>
      <w:r>
        <w:rPr>
          <w:rFonts w:hint="eastAsia" w:ascii="宋体" w:hAnsi="宋体" w:cs="宋体"/>
          <w:b/>
          <w:color w:val="auto"/>
          <w:highlight w:val="none"/>
        </w:rPr>
        <w:t xml:space="preserve"> </w:t>
      </w:r>
      <w:r>
        <w:rPr>
          <w:rFonts w:hint="eastAsia" w:ascii="宋体" w:hAnsi="宋体" w:cs="宋体"/>
          <w:color w:val="auto"/>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39D7ABFA">
      <w:pPr>
        <w:spacing w:line="400" w:lineRule="exact"/>
        <w:ind w:firstLine="420" w:firstLineChars="200"/>
        <w:rPr>
          <w:rFonts w:hint="eastAsia" w:ascii="宋体" w:hAnsi="宋体" w:cs="宋体"/>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7</w:t>
      </w:r>
      <w:r>
        <w:rPr>
          <w:rFonts w:ascii="宋体" w:hAnsi="宋体"/>
          <w:bCs/>
          <w:color w:val="auto"/>
          <w:szCs w:val="21"/>
          <w:highlight w:val="none"/>
        </w:rPr>
        <w:t>.4</w:t>
      </w:r>
      <w:r>
        <w:rPr>
          <w:rFonts w:hint="eastAsia" w:ascii="宋体" w:hAnsi="宋体"/>
          <w:bCs/>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以此类推。也可以重新开展采购活动。</w:t>
      </w:r>
    </w:p>
    <w:p w14:paraId="162B193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8</w:t>
      </w:r>
      <w:r>
        <w:rPr>
          <w:rFonts w:hint="eastAsia" w:ascii="宋体" w:hAnsi="宋体" w:cs="宋体"/>
          <w:b/>
          <w:bCs/>
          <w:color w:val="auto"/>
          <w:szCs w:val="21"/>
          <w:highlight w:val="none"/>
        </w:rPr>
        <w:t>.履约保证金：无。</w:t>
      </w:r>
    </w:p>
    <w:p w14:paraId="590FD6AC">
      <w:pPr>
        <w:spacing w:line="400" w:lineRule="exact"/>
        <w:rPr>
          <w:rFonts w:hint="eastAsia" w:ascii="宋体" w:hAnsi="宋体" w:cs="宋体"/>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9</w:t>
      </w:r>
      <w:r>
        <w:rPr>
          <w:rFonts w:hint="eastAsia" w:ascii="宋体" w:hAnsi="宋体" w:cs="宋体"/>
          <w:b/>
          <w:bCs/>
          <w:color w:val="auto"/>
          <w:szCs w:val="21"/>
          <w:highlight w:val="none"/>
        </w:rPr>
        <w:t>.签订合同</w:t>
      </w:r>
    </w:p>
    <w:p w14:paraId="33FDF749">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ascii="宋体" w:hAnsi="宋体" w:cs="宋体"/>
          <w:color w:val="auto"/>
          <w:szCs w:val="21"/>
          <w:highlight w:val="none"/>
        </w:rPr>
        <w:t>.1</w:t>
      </w:r>
      <w:r>
        <w:rPr>
          <w:rFonts w:hint="eastAsia" w:ascii="宋体" w:hAnsi="宋体" w:cs="宋体"/>
          <w:color w:val="auto"/>
          <w:szCs w:val="21"/>
          <w:highlight w:val="none"/>
        </w:rPr>
        <w:t xml:space="preserve"> 签订合同时间：自成交通知书发出之日起</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内与采购人签订政府采购合同。</w:t>
      </w:r>
    </w:p>
    <w:p w14:paraId="528ECA44">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hint="eastAsia" w:ascii="宋体" w:hAnsi="宋体" w:cs="宋体"/>
          <w:color w:val="auto"/>
          <w:szCs w:val="21"/>
          <w:highlight w:val="none"/>
        </w:rPr>
        <w:t>.2成交供应商拒绝与采购人签订合同的，采购人可以按照评审报告推荐的成交候选人名单排序，确定下一候选人为成交供应商，也可以重新开展政府采购活动。拒绝签订政府采购合同的成交供应商不得参加对该合同项重新开展的采购活动。</w:t>
      </w:r>
    </w:p>
    <w:p w14:paraId="0AAAEC58">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lang w:val="en-US" w:eastAsia="zh-CN"/>
        </w:rPr>
        <w:t>30</w:t>
      </w:r>
      <w:r>
        <w:rPr>
          <w:rFonts w:hint="eastAsia" w:ascii="宋体" w:hAnsi="宋体" w:cs="宋体"/>
          <w:b/>
          <w:bCs/>
          <w:color w:val="auto"/>
          <w:szCs w:val="21"/>
          <w:highlight w:val="none"/>
        </w:rPr>
        <w:t>.政府采购合同公告</w:t>
      </w:r>
    </w:p>
    <w:p w14:paraId="5FFAAF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color w:val="auto"/>
          <w:highlight w:val="none"/>
        </w:rPr>
      </w:pPr>
      <w:r>
        <w:rPr>
          <w:rFonts w:hint="eastAsia" w:ascii="宋体" w:hAnsi="宋体" w:cs="宋体"/>
          <w:color w:val="auto"/>
          <w:szCs w:val="21"/>
          <w:highlight w:val="none"/>
        </w:rPr>
        <w:t>根据《中华人民共和国政府采购法实施条例》第五十条规定，</w:t>
      </w:r>
      <w:r>
        <w:rPr>
          <w:rFonts w:hint="eastAsia" w:hAnsi="宋体"/>
          <w:color w:val="auto"/>
          <w:highlight w:val="none"/>
        </w:rPr>
        <w:t>采购人或者受托采购代理机构应当自政府采购合同签订之日起2个工作日内，将政府采购合同</w:t>
      </w:r>
      <w:r>
        <w:rPr>
          <w:rFonts w:hint="eastAsia" w:ascii="宋体" w:hAnsi="宋体"/>
          <w:bCs/>
          <w:color w:val="auto"/>
          <w:highlight w:val="none"/>
        </w:rPr>
        <w:t>在</w:t>
      </w:r>
      <w:r>
        <w:rPr>
          <w:rFonts w:hint="eastAsia" w:ascii="宋体" w:hAnsi="宋体" w:cs="宋体"/>
          <w:color w:val="auto"/>
          <w:kern w:val="0"/>
          <w:szCs w:val="21"/>
          <w:highlight w:val="none"/>
        </w:rPr>
        <w:t>“广西政府采购网（http://zfcg.gxzf.gov.cn）</w:t>
      </w:r>
      <w:r>
        <w:rPr>
          <w:rFonts w:hint="eastAsia" w:ascii="宋体" w:hAnsi="宋体" w:cs="宋体"/>
          <w:color w:val="auto"/>
          <w:kern w:val="0"/>
          <w:szCs w:val="21"/>
          <w:highlight w:val="none"/>
          <w:lang w:eastAsia="zh-CN"/>
        </w:rPr>
        <w:t>、</w:t>
      </w:r>
      <w:r>
        <w:rPr>
          <w:rFonts w:hint="eastAsia" w:ascii="宋体" w:hAnsi="宋体" w:eastAsia="宋体" w:cs="宋体"/>
          <w:color w:val="auto"/>
          <w:kern w:val="0"/>
          <w:szCs w:val="21"/>
          <w:highlight w:val="none"/>
        </w:rPr>
        <w:t>贵港市政府采购网（http://zfcg.czj.gxgg.gov.cn/）</w:t>
      </w:r>
      <w:r>
        <w:rPr>
          <w:rFonts w:hint="eastAsia" w:ascii="宋体" w:hAnsi="宋体" w:cs="宋体"/>
          <w:color w:val="auto"/>
          <w:kern w:val="0"/>
          <w:szCs w:val="21"/>
          <w:highlight w:val="none"/>
        </w:rPr>
        <w:t>”</w:t>
      </w:r>
      <w:r>
        <w:rPr>
          <w:rFonts w:hint="eastAsia" w:hAnsi="宋体"/>
          <w:color w:val="auto"/>
          <w:highlight w:val="none"/>
        </w:rPr>
        <w:t>上公告，</w:t>
      </w:r>
      <w:r>
        <w:rPr>
          <w:rFonts w:hAnsi="宋体"/>
          <w:color w:val="auto"/>
          <w:highlight w:val="none"/>
        </w:rPr>
        <w:t>但政府采购合同中涉及国家秘密、商业秘密的内容除外。</w:t>
      </w:r>
    </w:p>
    <w:p w14:paraId="2A6D4BC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highlight w:val="none"/>
        </w:rPr>
      </w:pPr>
      <w:r>
        <w:rPr>
          <w:rFonts w:hint="eastAsia" w:ascii="宋体" w:hAnsi="宋体" w:cs="宋体"/>
          <w:b/>
          <w:bCs/>
          <w:color w:val="auto"/>
          <w:highlight w:val="none"/>
        </w:rPr>
        <w:t>3</w:t>
      </w:r>
      <w:r>
        <w:rPr>
          <w:rFonts w:hint="eastAsia" w:ascii="宋体" w:hAnsi="宋体" w:cs="宋体"/>
          <w:b/>
          <w:bCs/>
          <w:color w:val="auto"/>
          <w:highlight w:val="none"/>
          <w:lang w:val="en-US" w:eastAsia="zh-CN"/>
        </w:rPr>
        <w:t>1</w:t>
      </w:r>
      <w:r>
        <w:rPr>
          <w:rFonts w:hint="eastAsia" w:ascii="宋体" w:hAnsi="宋体" w:cs="宋体"/>
          <w:b/>
          <w:bCs/>
          <w:color w:val="auto"/>
          <w:highlight w:val="none"/>
        </w:rPr>
        <w:t>. 询问、质疑和投诉</w:t>
      </w:r>
    </w:p>
    <w:p w14:paraId="65E74A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highlight w:val="none"/>
        </w:rPr>
      </w:pPr>
      <w:r>
        <w:rPr>
          <w:rFonts w:hint="eastAsia" w:ascii="宋体" w:hAnsi="宋体" w:cs="宋体"/>
          <w:color w:val="auto"/>
          <w:highlight w:val="none"/>
          <w:lang w:val="en-US" w:eastAsia="zh-CN"/>
        </w:rPr>
        <w:t>31</w:t>
      </w:r>
      <w:r>
        <w:rPr>
          <w:rFonts w:hint="eastAsia" w:ascii="宋体" w:hAnsi="宋体" w:cs="宋体"/>
          <w:color w:val="auto"/>
          <w:highlight w:val="none"/>
        </w:rPr>
        <w:t>.1供应商对政府采购活动事项有疑问的，可以向采购人、采购代理机构提出询问，采购人或者采购代理机构应当在3个工作日内对供应商依法提出的询问作出答复。</w:t>
      </w:r>
    </w:p>
    <w:p w14:paraId="211E45AE">
      <w:pPr>
        <w:spacing w:line="360" w:lineRule="auto"/>
        <w:ind w:firstLine="420" w:firstLineChars="200"/>
        <w:rPr>
          <w:rFonts w:hint="eastAsia" w:ascii="宋体" w:hAnsi="宋体"/>
          <w:b/>
          <w:color w:val="auto"/>
          <w:szCs w:val="21"/>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.2供应商认为磋商文件、采购过程或者成交结果使自己的合法权益受到损害的，应当在知道或者应知其权益受到损害之日起7个工作日内，以书面形式向采购人、采购代理机构提出质疑，</w:t>
      </w:r>
      <w:r>
        <w:rPr>
          <w:rFonts w:ascii="宋体" w:hAnsi="宋体" w:cs="Arial"/>
          <w:color w:val="auto"/>
          <w:highlight w:val="none"/>
          <w:shd w:val="clear" w:color="auto" w:fill="FFFFFF"/>
        </w:rPr>
        <w:t>接收质疑函的方式、联系部门、联系电话和通讯地址等信息</w:t>
      </w:r>
      <w:r>
        <w:rPr>
          <w:rFonts w:hint="eastAsia" w:ascii="宋体" w:hAnsi="宋体" w:cs="Arial"/>
          <w:color w:val="auto"/>
          <w:highlight w:val="none"/>
          <w:shd w:val="clear" w:color="auto" w:fill="FFFFFF"/>
        </w:rPr>
        <w:t>详见</w:t>
      </w:r>
      <w:r>
        <w:rPr>
          <w:rFonts w:hint="eastAsia" w:ascii="宋体" w:hAnsi="宋体" w:cs="宋体"/>
          <w:color w:val="auto"/>
          <w:szCs w:val="21"/>
          <w:highlight w:val="none"/>
        </w:rPr>
        <w:t>“供应商须知前附表”</w:t>
      </w:r>
      <w:r>
        <w:rPr>
          <w:rFonts w:hint="eastAsia" w:ascii="宋体" w:hAnsi="宋体" w:cs="宋体"/>
          <w:color w:val="auto"/>
          <w:highlight w:val="none"/>
        </w:rPr>
        <w:t>。</w:t>
      </w:r>
      <w:r>
        <w:rPr>
          <w:rFonts w:hint="eastAsia" w:ascii="宋体" w:hAnsi="宋体"/>
          <w:b/>
          <w:color w:val="auto"/>
          <w:szCs w:val="21"/>
          <w:highlight w:val="none"/>
        </w:rPr>
        <w:t xml:space="preserve">具体质疑起算时间及处理方式如下： </w:t>
      </w:r>
    </w:p>
    <w:p w14:paraId="2763D8AC">
      <w:pPr>
        <w:spacing w:line="360" w:lineRule="auto"/>
        <w:ind w:firstLine="420" w:firstLineChars="200"/>
        <w:rPr>
          <w:rFonts w:hint="eastAsia" w:hAnsi="宋体"/>
          <w:bCs/>
          <w:color w:val="auto"/>
          <w:highlight w:val="none"/>
        </w:rPr>
      </w:pPr>
      <w:r>
        <w:rPr>
          <w:rFonts w:hint="eastAsia" w:hAnsi="宋体"/>
          <w:bCs/>
          <w:color w:val="auto"/>
          <w:highlight w:val="none"/>
        </w:rPr>
        <w:t>（1）潜在供应商依法获取采购文件后，认为采购文件使自己的权益受到损害的，应当在竞争性磋商采购文件公告期限届满之日起7个工作日内提出质疑。</w:t>
      </w:r>
      <w:r>
        <w:rPr>
          <w:rFonts w:hint="eastAsia"/>
          <w:color w:val="auto"/>
          <w:highlight w:val="none"/>
        </w:rPr>
        <w:t>委托代理协议无特殊约定的，</w:t>
      </w:r>
      <w:r>
        <w:rPr>
          <w:rFonts w:hint="eastAsia" w:hAnsi="宋体"/>
          <w:bCs/>
          <w:color w:val="auto"/>
          <w:highlight w:val="none"/>
        </w:rPr>
        <w:t>对竞争性磋商文件中采购需求（含资格要求、采购预算和评分办法）的质疑由采购人受理并负责答复；对竞争性磋商文件中的采购执行程序的质疑由采购代理机构受理并负责答复。</w:t>
      </w:r>
    </w:p>
    <w:p w14:paraId="7B7F180B">
      <w:pPr>
        <w:spacing w:line="360" w:lineRule="auto"/>
        <w:ind w:firstLine="420" w:firstLineChars="200"/>
        <w:rPr>
          <w:rFonts w:hint="eastAsia" w:hAnsi="宋体"/>
          <w:bCs/>
          <w:color w:val="auto"/>
          <w:highlight w:val="none"/>
        </w:rPr>
      </w:pPr>
      <w:r>
        <w:rPr>
          <w:rFonts w:hint="eastAsia" w:hAnsi="宋体"/>
          <w:bCs/>
          <w:color w:val="auto"/>
          <w:highlight w:val="none"/>
        </w:rPr>
        <w:t>（2）供应商认为采购过程使自己的权益受到损害的，应当在各采购程序环节结束之日起7个工作日内提出质疑。对采购过程中资格审查、符合性审查等具体评审情况的质疑应向采购人或代理机构提出，由采购人或代理机构受理并负责答复；对采购过程中采购执行程序的质疑由采购代理机构受理并负责答复。</w:t>
      </w:r>
    </w:p>
    <w:p w14:paraId="198F0226">
      <w:pPr>
        <w:spacing w:line="360" w:lineRule="auto"/>
        <w:ind w:firstLine="420" w:firstLineChars="200"/>
        <w:rPr>
          <w:rFonts w:hint="eastAsia" w:hAnsi="宋体"/>
          <w:bCs/>
          <w:color w:val="auto"/>
          <w:highlight w:val="none"/>
        </w:rPr>
      </w:pPr>
      <w:r>
        <w:rPr>
          <w:rFonts w:hint="eastAsia" w:hAnsi="宋体"/>
          <w:bCs/>
          <w:color w:val="auto"/>
          <w:highlight w:val="none"/>
        </w:rPr>
        <w:t>（3）供应商认为成交结果使自己的权益受到损害的，应当在成交结果公告期限届满之日起7个工作日内提出质疑，由采购人受理并负责答复。</w:t>
      </w:r>
    </w:p>
    <w:p w14:paraId="0F0D3142">
      <w:pPr>
        <w:spacing w:line="360" w:lineRule="auto"/>
        <w:ind w:firstLine="420" w:firstLineChars="200"/>
        <w:rPr>
          <w:rFonts w:hint="eastAsia" w:hAnsi="宋体"/>
          <w:bCs/>
          <w:color w:val="auto"/>
          <w:highlight w:val="none"/>
        </w:rPr>
      </w:pPr>
      <w:r>
        <w:rPr>
          <w:rFonts w:hint="eastAsia" w:asciiTheme="minorEastAsia" w:hAnsiTheme="minorEastAsia" w:eastAsiaTheme="minorEastAsia" w:cstheme="minorEastAsia"/>
          <w:bCs/>
          <w:color w:val="auto"/>
          <w:highlight w:val="none"/>
        </w:rPr>
        <w:t>3</w:t>
      </w:r>
      <w:r>
        <w:rPr>
          <w:rFonts w:hint="eastAsia" w:asciiTheme="minorEastAsia" w:hAnsiTheme="minorEastAsia" w:eastAsiaTheme="minorEastAsia" w:cstheme="minorEastAsia"/>
          <w:bCs/>
          <w:color w:val="auto"/>
          <w:highlight w:val="none"/>
          <w:lang w:val="en-US" w:eastAsia="zh-CN"/>
        </w:rPr>
        <w:t>1</w:t>
      </w:r>
      <w:r>
        <w:rPr>
          <w:rFonts w:hint="eastAsia" w:asciiTheme="minorEastAsia" w:hAnsiTheme="minorEastAsia" w:eastAsiaTheme="minorEastAsia" w:cstheme="minorEastAsia"/>
          <w:bCs/>
          <w:color w:val="auto"/>
          <w:highlight w:val="none"/>
        </w:rPr>
        <w:t>.3</w:t>
      </w:r>
      <w:r>
        <w:rPr>
          <w:rFonts w:hint="eastAsia" w:hAnsi="宋体"/>
          <w:bCs/>
          <w:color w:val="auto"/>
          <w:highlight w:val="none"/>
        </w:rPr>
        <w:t>供应商提出的询问或者质疑超出采购人对采购代理机构委托授权范围的，采购代理机构应当告知供应商向采购人提出。政府采购评审专家应当配合采购人或者采购代理机构答复供应商的询问和质疑。</w:t>
      </w:r>
    </w:p>
    <w:p w14:paraId="46ED545B">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.4 供应商提出质疑应当提交质疑函和必要的证明材料，针对同一采购程序环节的质疑必须在法定质疑期内一次性提出。质疑函应当包括下列内容</w:t>
      </w:r>
      <w:r>
        <w:rPr>
          <w:rFonts w:hint="eastAsia" w:hAnsi="宋体"/>
          <w:bCs/>
          <w:color w:val="auto"/>
          <w:highlight w:val="none"/>
        </w:rPr>
        <w:t>（质疑函格式后附）</w:t>
      </w:r>
      <w:r>
        <w:rPr>
          <w:rFonts w:hint="eastAsia" w:ascii="宋体" w:hAnsi="宋体" w:cs="宋体"/>
          <w:color w:val="auto"/>
          <w:highlight w:val="none"/>
        </w:rPr>
        <w:t>：</w:t>
      </w:r>
    </w:p>
    <w:p w14:paraId="7550C437">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（1）供应商的姓名或者名称、地址、邮编、联系人及联系电话；</w:t>
      </w:r>
    </w:p>
    <w:p w14:paraId="6F05A62E">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（2）质疑项目的名称、编号；</w:t>
      </w:r>
    </w:p>
    <w:p w14:paraId="07741066">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（3）具体、明确的质疑事项和与质疑事项相关的请求；</w:t>
      </w:r>
    </w:p>
    <w:p w14:paraId="52C4D00A">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（4）事实依据；</w:t>
      </w:r>
    </w:p>
    <w:p w14:paraId="2C3B73ED">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（5）必要的法律依据；</w:t>
      </w:r>
    </w:p>
    <w:p w14:paraId="5C30C56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（6）提出质疑的日期。</w:t>
      </w:r>
    </w:p>
    <w:p w14:paraId="4DC7424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供应商为自然人的，应当由本人签字；供应商为法人或者其他组织的，应当由法定代表人、主要负责人，或者其委托代理人签字或者盖章，并加盖公章。</w:t>
      </w:r>
    </w:p>
    <w:p w14:paraId="6783AC7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ascii="宋体" w:hAnsi="宋体" w:cs="宋体"/>
          <w:color w:val="auto"/>
          <w:highlight w:val="none"/>
        </w:rPr>
        <w:t>.5</w:t>
      </w:r>
      <w:r>
        <w:rPr>
          <w:rFonts w:hint="eastAsia" w:ascii="宋体" w:hAnsi="宋体" w:cs="宋体"/>
          <w:color w:val="auto"/>
          <w:highlight w:val="none"/>
        </w:rPr>
        <w:t>采购人、采购代理机构认为供应商质疑不成立，或者成立但未对成交结果构成影响的，继续开展采购活动；认为供应商质疑成立且影响或者可能影响成交结果的，按照下列情况处理：</w:t>
      </w:r>
    </w:p>
    <w:p w14:paraId="1D8A0CA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（一）对采购文件提出的质疑，依法通过澄清或者修改可以继续开展采购活动的，澄清或者修改采购文件后继续开展采购活动；否则应当修改采购文件后重新开展采购活动。</w:t>
      </w:r>
    </w:p>
    <w:p w14:paraId="28968BCC">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（二）对采购过程或者成交结果提出的质疑，合格供应商符合法定数量时，可以从合格的成交候选人中另行确定成交供应商的，应当依法另行确定成交供应商；否则应当重新开展采购活动。</w:t>
      </w:r>
    </w:p>
    <w:p w14:paraId="4FA76FD9">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质疑答复导致成交结果改变的，采购人或者采购代理机构应当将有关情况书面报告本级财政部门。</w:t>
      </w:r>
    </w:p>
    <w:p w14:paraId="36BD0F0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highlight w:val="none"/>
        </w:rPr>
      </w:pPr>
      <w:r>
        <w:rPr>
          <w:rFonts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w:t>
      </w:r>
      <w:r>
        <w:rPr>
          <w:rFonts w:ascii="宋体" w:hAnsi="宋体" w:cs="宋体"/>
          <w:color w:val="auto"/>
          <w:highlight w:val="none"/>
        </w:rPr>
        <w:t>6</w:t>
      </w:r>
      <w:r>
        <w:rPr>
          <w:rFonts w:hint="eastAsia" w:ascii="宋体" w:hAnsi="宋体" w:cs="宋体"/>
          <w:color w:val="auto"/>
          <w:highlight w:val="none"/>
        </w:rPr>
        <w:t>投诉的权利。质疑供应商对采购人、采购代理机构的答复不满意，或者采购人、采购代理机构未在规定时间内作出答复的，可以在答复期满后15个工作日内向《政府采购质疑和投诉办法》（财政部令第94号）第六条规定的财政部门提起投诉（投诉书格式后附），受理投诉方式见“供应商须知前附表”。</w:t>
      </w:r>
    </w:p>
    <w:p w14:paraId="70F0F4F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w:t>
      </w: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Cs w:val="21"/>
          <w:highlight w:val="none"/>
        </w:rPr>
        <w:t>.7接收质疑函方式：书面形式或邮寄。</w:t>
      </w:r>
    </w:p>
    <w:p w14:paraId="3FEB7806">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eastAsia="zh-CN"/>
        </w:rPr>
      </w:pPr>
      <w:r>
        <w:rPr>
          <w:rFonts w:hint="eastAsia" w:asciiTheme="minorEastAsia" w:hAnsiTheme="minorEastAsia" w:eastAsiaTheme="minorEastAsia" w:cstheme="minorEastAsia"/>
          <w:color w:val="auto"/>
          <w:kern w:val="2"/>
          <w:sz w:val="21"/>
          <w:szCs w:val="21"/>
          <w:highlight w:val="none"/>
        </w:rPr>
        <w:t>质疑联系部门：广西</w:t>
      </w:r>
      <w:r>
        <w:rPr>
          <w:rFonts w:hint="eastAsia" w:asciiTheme="minorEastAsia" w:hAnsiTheme="minorEastAsia" w:eastAsiaTheme="minorEastAsia" w:cstheme="minorEastAsia"/>
          <w:color w:val="auto"/>
          <w:kern w:val="2"/>
          <w:sz w:val="21"/>
          <w:szCs w:val="21"/>
          <w:highlight w:val="none"/>
          <w:lang w:eastAsia="zh-CN"/>
        </w:rPr>
        <w:t>建设工程机电设备招标中心有限公司</w:t>
      </w:r>
    </w:p>
    <w:p w14:paraId="1CB15B63">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rPr>
      </w:pPr>
      <w:r>
        <w:rPr>
          <w:rFonts w:hint="eastAsia" w:asciiTheme="minorEastAsia" w:hAnsiTheme="minorEastAsia" w:eastAsiaTheme="minorEastAsia" w:cstheme="minorEastAsia"/>
          <w:color w:val="auto"/>
          <w:kern w:val="2"/>
          <w:sz w:val="21"/>
          <w:szCs w:val="21"/>
          <w:highlight w:val="none"/>
        </w:rPr>
        <w:t>联系电话：</w:t>
      </w:r>
      <w:r>
        <w:rPr>
          <w:rFonts w:hint="eastAsia" w:asciiTheme="minorEastAsia" w:hAnsiTheme="minorEastAsia" w:eastAsiaTheme="minorEastAsia" w:cstheme="minorEastAsia"/>
          <w:color w:val="auto"/>
          <w:kern w:val="2"/>
          <w:sz w:val="21"/>
          <w:szCs w:val="21"/>
          <w:highlight w:val="none"/>
          <w:lang w:val="en-US" w:eastAsia="zh-CN"/>
        </w:rPr>
        <w:t>谭琦辉、刘雅婷、廖东有, 0771-2869912</w:t>
      </w:r>
    </w:p>
    <w:p w14:paraId="7FD3EB1F">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通讯地址：</w:t>
      </w:r>
      <w:r>
        <w:rPr>
          <w:rFonts w:hint="eastAsia" w:asciiTheme="minorEastAsia" w:hAnsiTheme="minorEastAsia" w:eastAsiaTheme="minorEastAsia" w:cstheme="minorEastAsia"/>
          <w:color w:val="auto"/>
          <w:sz w:val="21"/>
          <w:szCs w:val="21"/>
          <w:highlight w:val="none"/>
          <w:lang w:eastAsia="zh-CN"/>
        </w:rPr>
        <w:t>南宁市青秀区枫林路18号（国控集团枫林路办公区）裙楼3楼</w:t>
      </w:r>
      <w:r>
        <w:rPr>
          <w:rFonts w:hint="eastAsia" w:asciiTheme="minorEastAsia" w:hAnsiTheme="minorEastAsia" w:eastAsiaTheme="minorEastAsia" w:cstheme="minorEastAsia"/>
          <w:color w:val="auto"/>
          <w:kern w:val="2"/>
          <w:sz w:val="21"/>
          <w:szCs w:val="21"/>
          <w:highlight w:val="none"/>
        </w:rPr>
        <w:t>。</w:t>
      </w:r>
    </w:p>
    <w:p w14:paraId="67F0082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业务时间：每天8时00分到12时00分，15时00分到18时 00分，双休日和法定节假日不办理业务。</w:t>
      </w:r>
    </w:p>
    <w:p w14:paraId="72B2AC45">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32.</w:t>
      </w:r>
      <w:r>
        <w:rPr>
          <w:rFonts w:hint="eastAsia" w:asciiTheme="minorEastAsia" w:hAnsiTheme="minorEastAsia" w:eastAsiaTheme="minorEastAsia" w:cstheme="minorEastAsia"/>
          <w:b/>
          <w:bCs/>
          <w:color w:val="auto"/>
          <w:highlight w:val="none"/>
        </w:rPr>
        <w:t>评标结果公示</w:t>
      </w:r>
    </w:p>
    <w:p w14:paraId="7149ECE2">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32</w:t>
      </w:r>
      <w:r>
        <w:rPr>
          <w:rFonts w:hint="eastAsia" w:asciiTheme="minorEastAsia" w:hAnsiTheme="minorEastAsia" w:eastAsiaTheme="minorEastAsia" w:cstheme="minorEastAsia"/>
          <w:color w:val="auto"/>
          <w:highlight w:val="none"/>
        </w:rPr>
        <w:t>.1在评标结束的</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个工作日内，</w:t>
      </w:r>
      <w:r>
        <w:rPr>
          <w:rFonts w:hint="eastAsia" w:asciiTheme="minorEastAsia" w:hAnsiTheme="minorEastAsia" w:eastAsiaTheme="minorEastAsia" w:cstheme="minorEastAsia"/>
          <w:color w:val="auto"/>
          <w:spacing w:val="2"/>
          <w:highlight w:val="none"/>
        </w:rPr>
        <w:t>在中国政府采购网（http://www.ccgp.gov.cn）、广西壮族自治区政府采购网（http://www.gxzfcg.gov.cn）、</w:t>
      </w:r>
      <w:r>
        <w:rPr>
          <w:rFonts w:hint="eastAsia" w:asciiTheme="minorEastAsia" w:hAnsiTheme="minorEastAsia" w:eastAsiaTheme="minorEastAsia" w:cstheme="minorEastAsia"/>
          <w:color w:val="auto"/>
          <w:spacing w:val="2"/>
          <w:highlight w:val="none"/>
          <w:lang w:eastAsia="zh-CN"/>
        </w:rPr>
        <w:t>全国公共资源交易平台（广西·贵港）（http://ggzy.jgswj.gxzf.gov.cn/ggggzy/）</w:t>
      </w:r>
      <w:r>
        <w:rPr>
          <w:rFonts w:hint="eastAsia" w:asciiTheme="minorEastAsia" w:hAnsiTheme="minorEastAsia" w:eastAsiaTheme="minorEastAsia" w:cstheme="minorEastAsia"/>
          <w:color w:val="auto"/>
          <w:spacing w:val="2"/>
          <w:highlight w:val="none"/>
        </w:rPr>
        <w:t>、贵港市政府采购网（http://zfcg.czj.gxgg.gov.cn/）</w:t>
      </w:r>
      <w:r>
        <w:rPr>
          <w:rFonts w:hint="eastAsia" w:asciiTheme="minorEastAsia" w:hAnsiTheme="minorEastAsia" w:eastAsiaTheme="minorEastAsia" w:cstheme="minorEastAsia"/>
          <w:color w:val="auto"/>
          <w:spacing w:val="2"/>
          <w:highlight w:val="none"/>
          <w:lang w:eastAsia="zh-CN"/>
        </w:rPr>
        <w:t>、广西招标网（http://www.guangxibid.com.cn/）公示</w:t>
      </w:r>
      <w:r>
        <w:rPr>
          <w:rFonts w:hint="eastAsia" w:asciiTheme="minorEastAsia" w:hAnsiTheme="minorEastAsia" w:eastAsiaTheme="minorEastAsia" w:cstheme="minorEastAsia"/>
          <w:color w:val="auto"/>
          <w:spacing w:val="2"/>
          <w:highlight w:val="none"/>
        </w:rPr>
        <w:t>评标结果。</w:t>
      </w:r>
    </w:p>
    <w:p w14:paraId="0E8B5A60">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33.</w:t>
      </w:r>
      <w:r>
        <w:rPr>
          <w:rFonts w:hint="eastAsia" w:asciiTheme="minorEastAsia" w:hAnsiTheme="minorEastAsia" w:eastAsiaTheme="minorEastAsia" w:cstheme="minorEastAsia"/>
          <w:b/>
          <w:bCs/>
          <w:color w:val="auto"/>
          <w:highlight w:val="none"/>
        </w:rPr>
        <w:t>成交通知书</w:t>
      </w:r>
    </w:p>
    <w:p w14:paraId="1B140DE0">
      <w:pPr>
        <w:shd w:val="clear"/>
        <w:spacing w:line="460" w:lineRule="exact"/>
        <w:ind w:firstLine="409" w:firstLineChars="195"/>
        <w:rPr>
          <w:rFonts w:hint="eastAsia" w:ascii="宋体" w:hAnsi="宋体" w:eastAsia="宋体" w:cs="宋体"/>
          <w:color w:val="auto"/>
          <w:kern w:val="0"/>
          <w:szCs w:val="21"/>
          <w:highlight w:val="none"/>
        </w:rPr>
      </w:pPr>
      <w:r>
        <w:rPr>
          <w:rFonts w:hint="eastAsia" w:asciiTheme="minorEastAsia" w:hAnsiTheme="minorEastAsia" w:eastAsiaTheme="minorEastAsia" w:cstheme="minorEastAsia"/>
          <w:color w:val="auto"/>
          <w:highlight w:val="none"/>
          <w:lang w:val="en-US" w:eastAsia="zh-CN"/>
        </w:rPr>
        <w:t>33</w:t>
      </w:r>
      <w:r>
        <w:rPr>
          <w:rFonts w:hint="eastAsia" w:asciiTheme="minorEastAsia" w:hAnsiTheme="minorEastAsia" w:eastAsiaTheme="minorEastAsia" w:cstheme="minorEastAsia"/>
          <w:color w:val="auto"/>
          <w:highlight w:val="none"/>
        </w:rPr>
        <w:t>.1</w:t>
      </w:r>
      <w:r>
        <w:rPr>
          <w:rFonts w:hint="eastAsia" w:ascii="宋体" w:hAnsi="宋体" w:cs="宋体"/>
          <w:color w:val="auto"/>
          <w:szCs w:val="21"/>
          <w:highlight w:val="none"/>
        </w:rPr>
        <w:t>成交通知及成交结果公告。</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w:t>
      </w:r>
      <w:r>
        <w:rPr>
          <w:rFonts w:hint="eastAsia" w:ascii="宋体" w:hAnsi="宋体" w:cs="宋体"/>
          <w:color w:val="auto"/>
          <w:kern w:val="0"/>
          <w:szCs w:val="21"/>
          <w:highlight w:val="none"/>
        </w:rPr>
        <w:t>告成交结果（成交通知及成交</w:t>
      </w:r>
      <w:r>
        <w:rPr>
          <w:rFonts w:ascii="宋体" w:hAnsi="宋体" w:cs="宋体"/>
          <w:color w:val="auto"/>
          <w:kern w:val="0"/>
          <w:szCs w:val="21"/>
          <w:highlight w:val="none"/>
        </w:rPr>
        <w:t>结果公告</w:t>
      </w:r>
      <w:r>
        <w:rPr>
          <w:rFonts w:hint="eastAsia" w:ascii="宋体" w:hAnsi="宋体" w:cs="宋体"/>
          <w:color w:val="auto"/>
          <w:kern w:val="0"/>
          <w:szCs w:val="21"/>
          <w:highlight w:val="none"/>
        </w:rPr>
        <w:t>应使用南宁市模板进行公告，公告内容除包含《政府采购公告和公示信息格式规范（2020年版）》要求内容外，还应包含采购人专门面向中小企业预留份额情况及成交供应商评审价格、优惠率等内容），</w:t>
      </w:r>
      <w:r>
        <w:rPr>
          <w:rFonts w:hint="eastAsia" w:ascii="宋体" w:hAnsi="宋体" w:cs="宋体"/>
          <w:color w:val="auto"/>
          <w:szCs w:val="21"/>
          <w:highlight w:val="none"/>
        </w:rPr>
        <w:t>同时向成交供应商发出成交通知书，成交通知书规定签订合同的时间不得超过</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w:t>
      </w:r>
      <w:r>
        <w:rPr>
          <w:rFonts w:hint="eastAsia" w:asciiTheme="minorEastAsia" w:hAnsiTheme="minorEastAsia" w:eastAsiaTheme="minorEastAsia" w:cstheme="minorEastAsia"/>
          <w:color w:val="auto"/>
          <w:highlight w:val="none"/>
        </w:rPr>
        <w:t>在该通知书（以下合同条件中称“成交通知书”）中给出采购人对成交的</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按本合同施工、竣工和保修工程的成交标价（以下</w:t>
      </w:r>
      <w:r>
        <w:rPr>
          <w:rFonts w:hint="eastAsia" w:ascii="宋体" w:hAnsi="宋体" w:eastAsia="宋体" w:cs="宋体"/>
          <w:color w:val="auto"/>
          <w:kern w:val="0"/>
          <w:szCs w:val="21"/>
          <w:highlight w:val="none"/>
        </w:rPr>
        <w:t>合同条件中称为“合同价格”），以及工期、质量和有关合同签订的日期、地点。</w:t>
      </w:r>
    </w:p>
    <w:p w14:paraId="7076B636">
      <w:pPr>
        <w:spacing w:line="360" w:lineRule="auto"/>
        <w:ind w:firstLine="420" w:firstLineChars="200"/>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2采购人或者采购代理机构发出成交通知书前，应当对成交供应商信用进行查询核实，对列入失信被执行人、重大税收违法案件当事人名单、政府采购严重违法失信行为记录名单及其他不符合《中华人民共和国政府采购法》第二十二条规定条件的供应商，取消其成交资格，并确定排名第二的成交候选人为成交供应商。排名第二的成</w:t>
      </w:r>
      <w:r>
        <w:rPr>
          <w:rFonts w:hint="eastAsia" w:asciiTheme="minorEastAsia" w:hAnsiTheme="minorEastAsia" w:eastAsiaTheme="minorEastAsia" w:cstheme="minorEastAsia"/>
          <w:b w:val="0"/>
          <w:bCs w:val="0"/>
          <w:color w:val="auto"/>
          <w:kern w:val="2"/>
          <w:sz w:val="21"/>
          <w:szCs w:val="21"/>
          <w:highlight w:val="none"/>
          <w:lang w:val="en-US" w:eastAsia="zh-CN" w:bidi="ar-SA"/>
        </w:rPr>
        <w:t>交候选人因上述规定的同样原因被取消成交资格的，采购人可以确定排名第三的成交候选人为成交供应商，以此类推。以上信息查询记录及相关证据与竞磋文件一并保存。成交供应商享受《政府采购促进中小企业发展管理办法》（财库〔2020〕46号）规定的中小企业扶持政策的，采购人、采购代理机构应当随成交结果公开成交供应商的《中小企业声明函》。</w:t>
      </w:r>
    </w:p>
    <w:p w14:paraId="705950DC">
      <w:pPr>
        <w:spacing w:line="360" w:lineRule="auto"/>
        <w:ind w:firstLine="420" w:firstLineChars="200"/>
        <w:rPr>
          <w:rFonts w:ascii="宋体" w:hAnsi="宋体" w:cs="宋体"/>
          <w:color w:val="auto"/>
          <w:szCs w:val="21"/>
          <w:highlight w:val="none"/>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3</w:t>
      </w:r>
      <w:r>
        <w:rPr>
          <w:rFonts w:hint="eastAsia" w:ascii="宋体" w:hAnsi="宋体" w:cs="宋体"/>
          <w:color w:val="auto"/>
          <w:szCs w:val="21"/>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5CCDD88C">
      <w:pPr>
        <w:spacing w:line="360"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w:t>
      </w:r>
      <w:r>
        <w:rPr>
          <w:rFonts w:hint="eastAsia" w:ascii="宋体" w:hAnsi="宋体" w:cs="宋体"/>
          <w:color w:val="auto"/>
          <w:szCs w:val="21"/>
          <w:highlight w:val="none"/>
          <w:lang w:eastAsia="zh-CN"/>
        </w:rPr>
        <w:t>，</w:t>
      </w:r>
      <w:r>
        <w:rPr>
          <w:rFonts w:hint="eastAsia" w:ascii="宋体" w:hAnsi="宋体"/>
          <w:bCs/>
          <w:color w:val="auto"/>
          <w:szCs w:val="21"/>
          <w:highlight w:val="none"/>
        </w:rPr>
        <w:t>也可以重新开展采购活动</w:t>
      </w:r>
      <w:r>
        <w:rPr>
          <w:rFonts w:hint="eastAsia" w:ascii="宋体" w:hAnsi="宋体" w:eastAsia="宋体" w:cs="宋体"/>
          <w:color w:val="auto"/>
          <w:szCs w:val="21"/>
          <w:highlight w:val="none"/>
        </w:rPr>
        <w:t>。</w:t>
      </w:r>
    </w:p>
    <w:p w14:paraId="1CAE0A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成交通知书为合同的组成部分。</w:t>
      </w:r>
    </w:p>
    <w:p w14:paraId="0BD2EB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采购代理机构应及时将未成交的结果通知其他</w:t>
      </w:r>
      <w:r>
        <w:rPr>
          <w:rFonts w:hint="eastAsia" w:ascii="宋体" w:hAnsi="宋体" w:cs="宋体"/>
          <w:color w:val="auto"/>
          <w:szCs w:val="21"/>
          <w:highlight w:val="none"/>
          <w:lang w:val="en-US" w:eastAsia="zh-CN"/>
        </w:rPr>
        <w:t>供应商</w:t>
      </w:r>
      <w:r>
        <w:rPr>
          <w:rFonts w:hint="eastAsia" w:ascii="宋体" w:hAnsi="宋体" w:eastAsia="宋体" w:cs="宋体"/>
          <w:color w:val="auto"/>
          <w:szCs w:val="21"/>
          <w:highlight w:val="none"/>
        </w:rPr>
        <w:t>。</w:t>
      </w:r>
    </w:p>
    <w:p w14:paraId="4E25FE16">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34.</w:t>
      </w:r>
      <w:r>
        <w:rPr>
          <w:rFonts w:hint="eastAsia" w:asciiTheme="minorEastAsia" w:hAnsiTheme="minorEastAsia" w:eastAsiaTheme="minorEastAsia" w:cstheme="minorEastAsia"/>
          <w:b/>
          <w:bCs/>
          <w:color w:val="auto"/>
          <w:highlight w:val="none"/>
        </w:rPr>
        <w:t>合同</w:t>
      </w:r>
      <w:r>
        <w:rPr>
          <w:rFonts w:hint="eastAsia" w:asciiTheme="minorEastAsia" w:hAnsiTheme="minorEastAsia" w:eastAsiaTheme="minorEastAsia" w:cstheme="minorEastAsia"/>
          <w:b/>
          <w:bCs/>
          <w:color w:val="auto"/>
          <w:highlight w:val="none"/>
          <w:lang w:eastAsia="zh-CN"/>
        </w:rPr>
        <w:t>的</w:t>
      </w:r>
      <w:r>
        <w:rPr>
          <w:rFonts w:hint="eastAsia" w:asciiTheme="minorEastAsia" w:hAnsiTheme="minorEastAsia" w:eastAsiaTheme="minorEastAsia" w:cstheme="minorEastAsia"/>
          <w:b/>
          <w:bCs/>
          <w:color w:val="auto"/>
          <w:highlight w:val="none"/>
        </w:rPr>
        <w:t>授予标准</w:t>
      </w:r>
    </w:p>
    <w:p w14:paraId="0949705D">
      <w:pPr>
        <w:shd w:val="clear"/>
        <w:spacing w:line="460" w:lineRule="exact"/>
        <w:ind w:firstLine="420" w:firstLineChars="20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34.1合同将授予被确定为实质上响应招标文件要求，具备履行合同能力，综合评分排名第一的供应商。</w:t>
      </w:r>
    </w:p>
    <w:p w14:paraId="0E507D6F">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35.</w:t>
      </w:r>
      <w:r>
        <w:rPr>
          <w:rFonts w:hint="eastAsia" w:asciiTheme="minorEastAsia" w:hAnsiTheme="minorEastAsia" w:eastAsiaTheme="minorEastAsia" w:cstheme="minorEastAsia"/>
          <w:b/>
          <w:bCs/>
          <w:color w:val="auto"/>
          <w:highlight w:val="none"/>
        </w:rPr>
        <w:t>合同的签署</w:t>
      </w:r>
    </w:p>
    <w:p w14:paraId="4E89B4EE">
      <w:pPr>
        <w:pStyle w:val="168"/>
        <w:snapToGrid w:val="0"/>
        <w:spacing w:before="0"/>
        <w:ind w:firstLine="420"/>
        <w:rPr>
          <w:rFonts w:hint="eastAsia" w:ascii="宋体" w:hAnsi="宋体" w:eastAsia="宋体"/>
          <w:color w:val="auto"/>
          <w:sz w:val="21"/>
          <w:szCs w:val="21"/>
          <w:highlight w:val="none"/>
        </w:rPr>
      </w:pPr>
      <w:r>
        <w:rPr>
          <w:rFonts w:hint="eastAsia" w:ascii="宋体" w:hAnsi="宋体" w:cs="宋体"/>
          <w:color w:val="auto"/>
          <w:sz w:val="21"/>
          <w:szCs w:val="21"/>
          <w:highlight w:val="none"/>
          <w:lang w:val="en-US" w:eastAsia="zh-CN"/>
        </w:rPr>
        <w:t>35.1</w:t>
      </w:r>
      <w:r>
        <w:rPr>
          <w:rFonts w:hint="eastAsia" w:ascii="宋体" w:hAnsi="宋体" w:eastAsia="宋体"/>
          <w:color w:val="auto"/>
          <w:sz w:val="21"/>
          <w:szCs w:val="21"/>
          <w:highlight w:val="none"/>
        </w:rPr>
        <w:t>根据《贵港市财政局关于深化政府采购制度改革优化营商环境工作有关事项的通知》（贵财采[2020] 16号）文件精神，对中标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结果公告无异议的项目在中标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 xml:space="preserve">通知书发出之日起 </w:t>
      </w:r>
      <w:r>
        <w:rPr>
          <w:rFonts w:hint="eastAsia" w:ascii="宋体" w:hAnsi="宋体" w:eastAsia="宋体"/>
          <w:color w:val="auto"/>
          <w:sz w:val="21"/>
          <w:szCs w:val="21"/>
          <w:highlight w:val="none"/>
          <w:lang w:val="en-US" w:eastAsia="zh-CN"/>
        </w:rPr>
        <w:t>20个日历天</w:t>
      </w:r>
      <w:r>
        <w:rPr>
          <w:rFonts w:hint="eastAsia" w:ascii="宋体" w:hAnsi="宋体" w:eastAsia="宋体"/>
          <w:color w:val="auto"/>
          <w:sz w:val="21"/>
          <w:szCs w:val="21"/>
          <w:highlight w:val="none"/>
        </w:rPr>
        <w:t>内和中标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供应商签订采购合同，倡导各采购人尽量压缩合同签订时间。</w:t>
      </w:r>
    </w:p>
    <w:p w14:paraId="76B761A5">
      <w:pPr>
        <w:pStyle w:val="168"/>
        <w:snapToGrid w:val="0"/>
        <w:spacing w:before="0"/>
        <w:ind w:firstLine="420"/>
        <w:rPr>
          <w:rFonts w:hint="eastAsia" w:ascii="宋体" w:hAnsi="宋体"/>
          <w:color w:val="auto"/>
          <w:sz w:val="21"/>
          <w:szCs w:val="21"/>
          <w:highlight w:val="none"/>
          <w:lang w:val="zh-CN"/>
        </w:rPr>
      </w:pPr>
      <w:r>
        <w:rPr>
          <w:rFonts w:hint="eastAsia" w:ascii="宋体" w:hAnsi="宋体" w:cs="宋体"/>
          <w:color w:val="auto"/>
          <w:sz w:val="21"/>
          <w:szCs w:val="21"/>
          <w:highlight w:val="none"/>
          <w:lang w:val="en-US" w:eastAsia="zh-CN"/>
        </w:rPr>
        <w:t>35.2</w:t>
      </w:r>
      <w:r>
        <w:rPr>
          <w:rFonts w:hint="eastAsia" w:ascii="宋体" w:hAnsi="宋体" w:eastAsia="宋体"/>
          <w:color w:val="auto"/>
          <w:sz w:val="21"/>
          <w:szCs w:val="21"/>
          <w:highlight w:val="none"/>
        </w:rPr>
        <w:t>采购人与成交供应商应当在成交通知书规定的时间内，按照磋商文件确定的合同文本以及采购标的、服务技术、采购金额、</w:t>
      </w:r>
      <w:r>
        <w:rPr>
          <w:rFonts w:hint="eastAsia" w:ascii="宋体" w:hAnsi="宋体"/>
          <w:color w:val="auto"/>
          <w:sz w:val="21"/>
          <w:szCs w:val="21"/>
          <w:highlight w:val="none"/>
        </w:rPr>
        <w:t>采购数量、技术和服务要求等事项签订政府采购合同。</w:t>
      </w:r>
      <w:r>
        <w:rPr>
          <w:rFonts w:hint="eastAsia" w:ascii="宋体" w:hAnsi="宋体"/>
          <w:color w:val="auto"/>
          <w:sz w:val="21"/>
          <w:szCs w:val="21"/>
          <w:highlight w:val="none"/>
          <w:lang w:val="zh-CN"/>
        </w:rPr>
        <w:t>如成交供应商为联合体的，由联合体成员各方法定代表人或其授权代表与采购人代表签订合同。</w:t>
      </w:r>
    </w:p>
    <w:p w14:paraId="028D892E">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35.3</w:t>
      </w:r>
      <w:r>
        <w:rPr>
          <w:rFonts w:hint="eastAsia" w:ascii="宋体" w:hAnsi="宋体"/>
          <w:color w:val="auto"/>
          <w:szCs w:val="21"/>
          <w:highlight w:val="none"/>
        </w:rPr>
        <w:t>采购人不得向成交供应商提出超出磋商文件以外的任何要求作为签订合同的条件，不得与成交供应商订立背离磋商文件确定的合同文本以及采购标的、服务技术、采购金额、采购数量、技术和服务要求等实质性内容的协议。</w:t>
      </w:r>
    </w:p>
    <w:p w14:paraId="18A0FF9B">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35.4</w:t>
      </w:r>
      <w:r>
        <w:rPr>
          <w:rFonts w:hint="eastAsia" w:ascii="宋体" w:hAnsi="宋体"/>
          <w:color w:val="auto"/>
          <w:szCs w:val="21"/>
          <w:highlight w:val="none"/>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7180A72">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35.5</w:t>
      </w:r>
      <w:r>
        <w:rPr>
          <w:rFonts w:hint="eastAsia" w:ascii="宋体" w:hAnsi="宋体"/>
          <w:color w:val="auto"/>
          <w:szCs w:val="21"/>
          <w:highlight w:val="none"/>
        </w:rPr>
        <w:t>如签订合同并生效后，供应商无故拒绝或延期履行义务，除按照合同条款处理外，列入不良行为记录，并给予通报。</w:t>
      </w:r>
    </w:p>
    <w:p w14:paraId="7C14DD48">
      <w:pPr>
        <w:pStyle w:val="168"/>
        <w:keepNext w:val="0"/>
        <w:keepLines w:val="0"/>
        <w:pageBreakBefore w:val="0"/>
        <w:widowControl w:val="0"/>
        <w:kinsoku/>
        <w:wordWrap/>
        <w:overflowPunct/>
        <w:topLinePunct w:val="0"/>
        <w:autoSpaceDE/>
        <w:autoSpaceDN/>
        <w:bidi w:val="0"/>
        <w:snapToGrid/>
        <w:spacing w:before="0" w:line="360" w:lineRule="auto"/>
        <w:ind w:firstLine="420"/>
        <w:textAlignment w:val="auto"/>
        <w:rPr>
          <w:rFonts w:hint="eastAsia" w:ascii="宋体" w:hAnsi="宋体" w:cs="宋体"/>
          <w:color w:val="auto"/>
          <w:szCs w:val="21"/>
          <w:highlight w:val="none"/>
        </w:rPr>
      </w:pPr>
      <w:r>
        <w:rPr>
          <w:rFonts w:hint="eastAsia" w:ascii="宋体" w:hAnsi="宋体" w:cs="宋体"/>
          <w:color w:val="auto"/>
          <w:sz w:val="21"/>
          <w:szCs w:val="21"/>
          <w:highlight w:val="none"/>
          <w:lang w:val="en-US" w:eastAsia="zh-CN"/>
        </w:rPr>
        <w:t>35.6</w:t>
      </w:r>
      <w:r>
        <w:rPr>
          <w:rFonts w:ascii="宋体" w:hAnsi="宋体" w:cs="仿宋_GB2312"/>
          <w:color w:val="auto"/>
          <w:sz w:val="21"/>
          <w:szCs w:val="21"/>
          <w:highlight w:val="none"/>
        </w:rPr>
        <w:t>采购合同由采购人与</w:t>
      </w:r>
      <w:r>
        <w:rPr>
          <w:rFonts w:hint="eastAsia" w:ascii="宋体" w:hAnsi="宋体" w:cs="仿宋_GB2312"/>
          <w:color w:val="auto"/>
          <w:sz w:val="21"/>
          <w:szCs w:val="21"/>
          <w:highlight w:val="none"/>
        </w:rPr>
        <w:t>成交</w:t>
      </w:r>
      <w:r>
        <w:rPr>
          <w:rFonts w:ascii="宋体" w:hAnsi="宋体" w:cs="仿宋_GB2312"/>
          <w:color w:val="auto"/>
          <w:sz w:val="21"/>
          <w:szCs w:val="21"/>
          <w:highlight w:val="none"/>
        </w:rPr>
        <w:t>供应商根据</w:t>
      </w:r>
      <w:r>
        <w:rPr>
          <w:rFonts w:hint="eastAsia" w:ascii="宋体" w:hAnsi="宋体"/>
          <w:color w:val="auto"/>
          <w:sz w:val="21"/>
          <w:szCs w:val="21"/>
          <w:highlight w:val="none"/>
        </w:rPr>
        <w:t>磋商文件</w:t>
      </w:r>
      <w:r>
        <w:rPr>
          <w:rFonts w:hint="eastAsia" w:ascii="宋体" w:hAnsi="宋体" w:cs="仿宋_GB2312"/>
          <w:color w:val="auto"/>
          <w:sz w:val="21"/>
          <w:szCs w:val="21"/>
          <w:highlight w:val="none"/>
        </w:rPr>
        <w:t>、响应文件等内容通过政府采购电子交易平台在线签订，自动备案，</w:t>
      </w:r>
      <w:r>
        <w:rPr>
          <w:rFonts w:hint="eastAsia" w:ascii="宋体" w:hAnsi="宋体" w:eastAsia="宋体" w:cs="仿宋_GB2312"/>
          <w:color w:val="auto"/>
          <w:sz w:val="21"/>
          <w:szCs w:val="21"/>
          <w:highlight w:val="none"/>
          <w:lang w:val="en-US" w:eastAsia="zh-CN"/>
        </w:rPr>
        <w:t>根据《中华人民共和国政府采购法实施条例》第五十条规定，采购人应当自采购合同签订之日起2个工作日内，将采购合同在竞争性磋商采购公告发布的媒体上公告，但采购合同中涉及国家秘密、商业秘密的内容除外。</w:t>
      </w:r>
      <w:r>
        <w:rPr>
          <w:rFonts w:hint="eastAsia" w:ascii="宋体" w:hAnsi="宋体" w:eastAsia="宋体" w:cs="仿宋_GB2312"/>
          <w:color w:val="auto"/>
          <w:sz w:val="21"/>
          <w:szCs w:val="21"/>
          <w:highlight w:val="none"/>
        </w:rPr>
        <w:t>在线签订须携带</w:t>
      </w:r>
      <w:r>
        <w:rPr>
          <w:rFonts w:hint="eastAsia" w:ascii="宋体" w:hAnsi="宋体" w:eastAsia="宋体" w:cs="仿宋_GB2312"/>
          <w:color w:val="auto"/>
          <w:sz w:val="21"/>
          <w:szCs w:val="21"/>
          <w:highlight w:val="none"/>
          <w:lang w:eastAsia="zh-CN"/>
        </w:rPr>
        <w:t>使</w:t>
      </w:r>
      <w:r>
        <w:rPr>
          <w:rFonts w:hint="eastAsia" w:ascii="宋体" w:hAnsi="宋体" w:eastAsia="宋体" w:cs="宋体"/>
          <w:color w:val="auto"/>
          <w:sz w:val="21"/>
          <w:szCs w:val="21"/>
          <w:highlight w:val="none"/>
          <w:lang w:eastAsia="zh-CN"/>
        </w:rPr>
        <w:t>用的有效 CA 证书加盖单位电子公章</w:t>
      </w:r>
      <w:r>
        <w:rPr>
          <w:rFonts w:hint="eastAsia" w:ascii="宋体" w:hAnsi="宋体" w:cs="仿宋_GB2312"/>
          <w:color w:val="auto"/>
          <w:sz w:val="21"/>
          <w:szCs w:val="21"/>
          <w:highlight w:val="none"/>
        </w:rPr>
        <w:t>。</w:t>
      </w:r>
    </w:p>
    <w:p w14:paraId="40E98736">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履约保证金</w:t>
      </w:r>
    </w:p>
    <w:p w14:paraId="66BBBD83">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本项目不需要提交履约保证金。</w:t>
      </w:r>
    </w:p>
    <w:p w14:paraId="233D5171">
      <w:pPr>
        <w:pStyle w:val="29"/>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eastAsiaTheme="minorEastAsia"/>
          <w:color w:val="auto"/>
          <w:highlight w:val="none"/>
          <w:lang w:eastAsia="zh-CN"/>
        </w:rPr>
      </w:pPr>
      <w:r>
        <w:rPr>
          <w:rFonts w:hint="eastAsia" w:asciiTheme="minorEastAsia" w:hAnsiTheme="minorEastAsia" w:eastAsiaTheme="minorEastAsia" w:cstheme="minorEastAsia"/>
          <w:b/>
          <w:color w:val="auto"/>
          <w:sz w:val="21"/>
          <w:szCs w:val="21"/>
          <w:highlight w:val="none"/>
          <w:lang w:eastAsia="zh-CN"/>
        </w:rPr>
        <w:t>六</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验收</w:t>
      </w:r>
    </w:p>
    <w:p w14:paraId="2886D2C5">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37.1采购人会同实际使用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FA8A914">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eastAsia="宋体" w:cs="宋体"/>
          <w:color w:val="auto"/>
          <w:kern w:val="0"/>
          <w:sz w:val="21"/>
          <w:szCs w:val="21"/>
          <w:highlight w:val="none"/>
          <w:lang w:val="en-US" w:eastAsia="zh-CN" w:bidi="ar-SA"/>
        </w:rPr>
        <w:t>37.2采购人可以邀请参加本项目的其他供应商或者第三方机构参与验收。参与验收的供应商或者第三方机构</w:t>
      </w:r>
      <w:r>
        <w:rPr>
          <w:rFonts w:hint="eastAsia" w:ascii="宋体" w:hAnsi="宋体" w:cs="Helvetica"/>
          <w:color w:val="auto"/>
          <w:kern w:val="0"/>
          <w:szCs w:val="21"/>
          <w:highlight w:val="none"/>
        </w:rPr>
        <w:t>的意见作为验收书的参考资料一并存档。</w:t>
      </w:r>
    </w:p>
    <w:p w14:paraId="6F3586AC">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568A8E9">
      <w:pPr>
        <w:tabs>
          <w:tab w:val="left" w:pos="0"/>
        </w:tabs>
        <w:spacing w:line="360" w:lineRule="auto"/>
        <w:ind w:firstLine="420" w:firstLineChars="200"/>
        <w:rPr>
          <w:rFonts w:hint="eastAsia"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4验收合格的项目，实际使用人将根据采购合同的约定及时向供应商支付采购资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6B4EC48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center"/>
        <w:textAlignment w:val="auto"/>
        <w:rPr>
          <w:rFonts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lang w:eastAsia="zh-CN"/>
        </w:rPr>
        <w:t>七</w:t>
      </w:r>
      <w:r>
        <w:rPr>
          <w:rFonts w:hint="eastAsia" w:asciiTheme="minorEastAsia" w:hAnsiTheme="minorEastAsia" w:eastAsiaTheme="minorEastAsia" w:cstheme="minorEastAsia"/>
          <w:b/>
          <w:color w:val="auto"/>
          <w:sz w:val="21"/>
          <w:szCs w:val="21"/>
          <w:highlight w:val="none"/>
        </w:rPr>
        <w:t>、其他事项</w:t>
      </w:r>
    </w:p>
    <w:p w14:paraId="7529DE82">
      <w:pPr>
        <w:pStyle w:val="24"/>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z w:val="21"/>
          <w:szCs w:val="21"/>
          <w:highlight w:val="none"/>
          <w:lang w:val="en-US" w:eastAsia="zh-CN"/>
        </w:rPr>
        <w:t>38.代理</w:t>
      </w:r>
      <w:r>
        <w:rPr>
          <w:rFonts w:hint="eastAsia" w:asciiTheme="minorEastAsia" w:hAnsiTheme="minorEastAsia" w:eastAsiaTheme="minorEastAsia" w:cstheme="minorEastAsia"/>
          <w:b/>
          <w:color w:val="auto"/>
          <w:spacing w:val="0"/>
          <w:sz w:val="21"/>
          <w:szCs w:val="21"/>
          <w:highlight w:val="none"/>
        </w:rPr>
        <w:t>服务费</w:t>
      </w:r>
    </w:p>
    <w:p w14:paraId="5C18E770">
      <w:pPr>
        <w:pStyle w:val="24"/>
        <w:spacing w:line="360" w:lineRule="auto"/>
        <w:ind w:firstLine="420" w:firstLineChars="200"/>
        <w:textAlignment w:val="center"/>
        <w:rPr>
          <w:rFonts w:hint="eastAsia" w:hAnsi="宋体" w:cs="宋体"/>
          <w:color w:val="auto"/>
          <w:kern w:val="2"/>
          <w:sz w:val="21"/>
          <w:highlight w:val="none"/>
          <w:lang w:val="en-US" w:eastAsia="zh-CN"/>
        </w:rPr>
      </w:pPr>
      <w:r>
        <w:rPr>
          <w:rFonts w:hint="eastAsia" w:hAnsi="宋体" w:cs="宋体"/>
          <w:color w:val="auto"/>
          <w:kern w:val="2"/>
          <w:sz w:val="21"/>
          <w:highlight w:val="none"/>
          <w:lang w:val="en-US" w:eastAsia="zh-CN"/>
        </w:rPr>
        <w:t>代理服务收费标准及缴费账户详见“供应商须知前附表”，供应商为联合体的，可以由联合体中的一方或者多方共同缴纳代理服务费。</w:t>
      </w:r>
    </w:p>
    <w:p w14:paraId="364E5BA5">
      <w:pPr>
        <w:pStyle w:val="24"/>
        <w:shd w:val="clear"/>
        <w:spacing w:line="380" w:lineRule="exact"/>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pacing w:val="0"/>
          <w:sz w:val="21"/>
          <w:szCs w:val="21"/>
          <w:highlight w:val="none"/>
          <w:lang w:val="en-US" w:eastAsia="zh-CN"/>
        </w:rPr>
        <w:t>39.</w:t>
      </w:r>
      <w:r>
        <w:rPr>
          <w:rFonts w:hint="eastAsia" w:asciiTheme="minorEastAsia" w:hAnsiTheme="minorEastAsia" w:eastAsiaTheme="minorEastAsia" w:cstheme="minorEastAsia"/>
          <w:b/>
          <w:color w:val="auto"/>
          <w:spacing w:val="0"/>
          <w:sz w:val="21"/>
          <w:szCs w:val="21"/>
          <w:highlight w:val="none"/>
        </w:rPr>
        <w:t>需要补充的其他内容</w:t>
      </w:r>
    </w:p>
    <w:p w14:paraId="12B84861">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lang w:val="en-US" w:eastAsia="zh-CN"/>
        </w:rPr>
        <w:t>39</w:t>
      </w:r>
      <w:r>
        <w:rPr>
          <w:rFonts w:hint="eastAsia" w:hAnsi="宋体" w:cs="宋体"/>
          <w:color w:val="auto"/>
          <w:kern w:val="2"/>
          <w:sz w:val="21"/>
          <w:highlight w:val="none"/>
        </w:rPr>
        <w:t>.1本竞争性磋商采购文件是根据《中华人民共和国政府采购法》</w:t>
      </w:r>
      <w:r>
        <w:rPr>
          <w:rFonts w:hint="eastAsia" w:hAnsi="宋体" w:cs="宋体"/>
          <w:color w:val="auto"/>
          <w:kern w:val="2"/>
          <w:sz w:val="21"/>
          <w:highlight w:val="none"/>
          <w:lang w:eastAsia="zh-CN"/>
        </w:rPr>
        <w:t>、</w:t>
      </w:r>
      <w:r>
        <w:rPr>
          <w:rFonts w:hint="eastAsia" w:hAnsi="宋体" w:cs="宋体"/>
          <w:color w:val="auto"/>
          <w:kern w:val="2"/>
          <w:sz w:val="21"/>
          <w:highlight w:val="none"/>
        </w:rPr>
        <w:t>《中华人民共和国政府采购法实施条例》</w:t>
      </w:r>
      <w:r>
        <w:rPr>
          <w:rFonts w:hint="eastAsia" w:hAnsi="宋体" w:cs="宋体"/>
          <w:color w:val="auto"/>
          <w:kern w:val="2"/>
          <w:sz w:val="21"/>
          <w:highlight w:val="none"/>
          <w:lang w:eastAsia="zh-CN"/>
        </w:rPr>
        <w:t>、</w:t>
      </w:r>
      <w:r>
        <w:rPr>
          <w:rFonts w:hint="eastAsia" w:hAnsi="宋体" w:cs="宋体"/>
          <w:color w:val="auto"/>
          <w:kern w:val="2"/>
          <w:sz w:val="21"/>
          <w:highlight w:val="none"/>
        </w:rPr>
        <w:t>《政府采购竞争性磋商采购方式管理暂行办法》</w:t>
      </w:r>
      <w:r>
        <w:rPr>
          <w:rFonts w:hint="eastAsia" w:hAnsi="宋体" w:cs="宋体"/>
          <w:color w:val="auto"/>
          <w:kern w:val="2"/>
          <w:sz w:val="21"/>
          <w:highlight w:val="none"/>
          <w:lang w:eastAsia="zh-CN"/>
        </w:rPr>
        <w:t>、</w:t>
      </w:r>
      <w:r>
        <w:rPr>
          <w:rFonts w:hint="eastAsia" w:hAnsi="宋体" w:cs="宋体"/>
          <w:color w:val="auto"/>
          <w:kern w:val="2"/>
          <w:sz w:val="21"/>
          <w:highlight w:val="none"/>
        </w:rPr>
        <w:t>《财政部关于政府采购竞争性磋商采购方式管理暂行办法有关问题的补充通知》及本项目本级和上级财政部门政府采购有关规定，解释权属本采购代理机构。</w:t>
      </w:r>
    </w:p>
    <w:p w14:paraId="64334997">
      <w:pPr>
        <w:pStyle w:val="24"/>
        <w:spacing w:line="360" w:lineRule="auto"/>
        <w:ind w:firstLine="420" w:firstLineChars="200"/>
        <w:textAlignment w:val="center"/>
        <w:rPr>
          <w:rFonts w:hint="eastAsia" w:hAnsi="宋体" w:cs="宋体"/>
          <w:color w:val="auto"/>
          <w:kern w:val="2"/>
          <w:sz w:val="21"/>
          <w:highlight w:val="none"/>
        </w:rPr>
      </w:pPr>
      <w:r>
        <w:rPr>
          <w:rFonts w:hint="eastAsia" w:asciiTheme="minorEastAsia" w:hAnsiTheme="minorEastAsia" w:eastAsiaTheme="minorEastAsia" w:cstheme="minorEastAsia"/>
          <w:color w:val="auto"/>
          <w:spacing w:val="0"/>
          <w:sz w:val="21"/>
          <w:szCs w:val="21"/>
          <w:highlight w:val="none"/>
          <w:lang w:val="en-US" w:eastAsia="zh-CN"/>
        </w:rPr>
        <w:t>39.2</w:t>
      </w:r>
      <w:r>
        <w:rPr>
          <w:rFonts w:hint="eastAsia" w:hAnsi="宋体" w:cs="宋体"/>
          <w:color w:val="auto"/>
          <w:kern w:val="2"/>
          <w:sz w:val="21"/>
          <w:highlight w:val="none"/>
        </w:rPr>
        <w:t>本文件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在政府采购活动中，供应商提供的</w:t>
      </w:r>
      <w:r>
        <w:rPr>
          <w:rFonts w:hint="eastAsia" w:hAnsi="宋体"/>
          <w:color w:val="auto"/>
          <w:sz w:val="21"/>
          <w:highlight w:val="none"/>
        </w:rPr>
        <w:t>服务由中小企业承接，即提供服务的人员为中小企业依照《中华人民共和国劳动合同法》订立劳动合同的从业人员，不对其中涉及的货物的制造商和工程承建商作出要求的</w:t>
      </w:r>
      <w:r>
        <w:rPr>
          <w:rFonts w:hint="eastAsia" w:hAnsi="宋体" w:cs="宋体"/>
          <w:color w:val="auto"/>
          <w:kern w:val="2"/>
          <w:sz w:val="21"/>
          <w:highlight w:val="none"/>
        </w:rPr>
        <w:t>，享受本文件规定的中小企业扶持政策。</w:t>
      </w:r>
    </w:p>
    <w:p w14:paraId="6371B249">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rPr>
        <w:t>以联合体形式参加政府采购活动，联合体各方均为中小企业的，联合体视同中小企业。其中，联合体各方均为小微企业的，联合体视同小微企业。</w:t>
      </w:r>
    </w:p>
    <w:p w14:paraId="75FCB416">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hint="eastAsia" w:hAnsi="宋体" w:cs="宋体"/>
          <w:color w:val="auto"/>
          <w:kern w:val="2"/>
          <w:sz w:val="21"/>
          <w:highlight w:val="none"/>
        </w:rPr>
      </w:pPr>
      <w:r>
        <w:rPr>
          <w:rFonts w:hint="eastAsia" w:hAnsi="宋体" w:cs="宋体"/>
          <w:color w:val="auto"/>
          <w:kern w:val="2"/>
          <w:sz w:val="21"/>
          <w:highlight w:val="none"/>
        </w:rPr>
        <w:t>依据本文件规定享受扶持政策获得政府采购合同的，小微企业不得将合同分包给大中型企业，中型企业不得将合同分包给大型企业。</w:t>
      </w:r>
    </w:p>
    <w:p w14:paraId="3CC9DA38">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17" w:name="_Toc3177"/>
      <w:bookmarkStart w:id="18" w:name="_Toc139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26DDE331">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技术规范</w:t>
      </w:r>
      <w:bookmarkEnd w:id="17"/>
      <w:r>
        <w:rPr>
          <w:rFonts w:hint="eastAsia" w:asciiTheme="minorEastAsia" w:hAnsiTheme="minorEastAsia" w:eastAsiaTheme="minorEastAsia" w:cstheme="minorEastAsia"/>
          <w:b/>
          <w:bCs/>
          <w:color w:val="auto"/>
          <w:kern w:val="0"/>
          <w:sz w:val="44"/>
          <w:szCs w:val="44"/>
          <w:highlight w:val="none"/>
          <w:lang w:val="en-US" w:eastAsia="zh-CN" w:bidi="ar-SA"/>
        </w:rPr>
        <w:t>、工程量清单、图纸</w:t>
      </w:r>
    </w:p>
    <w:p w14:paraId="3FA7B718">
      <w:pPr>
        <w:spacing w:line="420" w:lineRule="exact"/>
        <w:ind w:firstLine="422" w:firstLineChars="200"/>
        <w:jc w:val="cente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一</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技术规范</w:t>
      </w:r>
    </w:p>
    <w:p w14:paraId="4A01DE7C">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一、工程建设地点的现场条件：</w:t>
      </w:r>
    </w:p>
    <w:p w14:paraId="1D46DCCE">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（一）现场自然条件</w:t>
      </w:r>
    </w:p>
    <w:p w14:paraId="74070F32">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满足施工要求。</w:t>
      </w:r>
    </w:p>
    <w:p w14:paraId="1E8B3A8F">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（二）现场施工条件</w:t>
      </w:r>
    </w:p>
    <w:p w14:paraId="380A23F9">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符合施工要求。</w:t>
      </w:r>
    </w:p>
    <w:p w14:paraId="0EE37BD8">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二、施工要求</w:t>
      </w:r>
    </w:p>
    <w:p w14:paraId="6532C666">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本工程应该认真按照设计施工图纸的要求进行施工，同时也要严格现行标准和技术规范。具体技术参数按工程图纸说明。</w:t>
      </w:r>
    </w:p>
    <w:p w14:paraId="147BC2E1">
      <w:pPr>
        <w:pStyle w:val="24"/>
        <w:shd w:val="clear"/>
        <w:spacing w:line="360" w:lineRule="auto"/>
        <w:jc w:val="center"/>
        <w:rPr>
          <w:rFonts w:hint="eastAsia" w:hAnsi="宋体"/>
          <w:b/>
          <w:bCs/>
          <w:color w:val="auto"/>
          <w:sz w:val="24"/>
          <w:szCs w:val="28"/>
          <w:highlight w:val="none"/>
          <w:lang w:val="en-US" w:eastAsia="zh-CN"/>
        </w:rPr>
      </w:pPr>
    </w:p>
    <w:p w14:paraId="6729F762">
      <w:pPr>
        <w:pStyle w:val="24"/>
        <w:shd w:val="clear"/>
        <w:spacing w:line="360" w:lineRule="auto"/>
        <w:jc w:val="center"/>
        <w:rPr>
          <w:rFonts w:hint="eastAsia" w:hAnsi="宋体"/>
          <w:b/>
          <w:bCs/>
          <w:color w:val="auto"/>
          <w:sz w:val="24"/>
          <w:szCs w:val="28"/>
          <w:highlight w:val="none"/>
          <w:lang w:val="en-US" w:eastAsia="zh-CN"/>
        </w:rPr>
        <w:sectPr>
          <w:pgSz w:w="11910" w:h="16840"/>
          <w:pgMar w:top="1340" w:right="1500" w:bottom="280" w:left="1680" w:header="720" w:footer="720" w:gutter="0"/>
          <w:cols w:space="720" w:num="1"/>
        </w:sectPr>
      </w:pPr>
      <w:r>
        <w:rPr>
          <w:rFonts w:hint="eastAsia" w:hAnsi="宋体"/>
          <w:b/>
          <w:bCs/>
          <w:color w:val="auto"/>
          <w:sz w:val="24"/>
          <w:szCs w:val="28"/>
          <w:highlight w:val="none"/>
          <w:lang w:val="en-US" w:eastAsia="zh-CN"/>
        </w:rPr>
        <w:t>本项目工程量清单及图纸另册发放。</w:t>
      </w:r>
    </w:p>
    <w:p w14:paraId="4084235A">
      <w:pPr>
        <w:spacing w:line="420" w:lineRule="exact"/>
        <w:ind w:firstLine="422" w:firstLineChars="200"/>
        <w:jc w:val="center"/>
        <w:rPr>
          <w:rFonts w:hint="eastAsia" w:ascii="宋体" w:hAnsi="宋体" w:eastAsia="宋体"/>
          <w:b/>
          <w:bCs/>
          <w:color w:val="auto"/>
          <w:szCs w:val="21"/>
          <w:highlight w:val="none"/>
          <w:lang w:eastAsia="zh-CN"/>
        </w:rPr>
      </w:pPr>
      <w:bookmarkStart w:id="19" w:name="_Toc128638342"/>
      <w:bookmarkStart w:id="20" w:name="_Toc1392571603"/>
      <w:bookmarkStart w:id="21" w:name="_Toc407135284"/>
      <w:bookmarkStart w:id="22" w:name="_Toc1386396751"/>
      <w:bookmarkStart w:id="23" w:name="_Toc78449869"/>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二</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工程量清单</w:t>
      </w:r>
    </w:p>
    <w:p w14:paraId="243F0BFF">
      <w:pPr>
        <w:pStyle w:val="3"/>
        <w:spacing w:before="0" w:after="0" w:line="440" w:lineRule="exact"/>
        <w:ind w:firstLine="422" w:firstLineChars="200"/>
        <w:rPr>
          <w:rFonts w:ascii="Times New Roman" w:hAnsi="Times New Roman"/>
          <w:color w:val="auto"/>
          <w:sz w:val="21"/>
          <w:szCs w:val="21"/>
          <w:highlight w:val="none"/>
        </w:rPr>
      </w:pPr>
    </w:p>
    <w:p w14:paraId="45BD81FE">
      <w:pPr>
        <w:pStyle w:val="3"/>
        <w:spacing w:before="0" w:after="0" w:line="440" w:lineRule="exact"/>
        <w:ind w:firstLine="422" w:firstLineChars="200"/>
        <w:rPr>
          <w:rFonts w:ascii="Times New Roman" w:hAnsi="Times New Roman"/>
          <w:color w:val="auto"/>
          <w:kern w:val="44"/>
          <w:sz w:val="21"/>
          <w:szCs w:val="21"/>
          <w:highlight w:val="none"/>
        </w:rPr>
      </w:pPr>
      <w:r>
        <w:rPr>
          <w:rFonts w:ascii="Times New Roman" w:hAnsi="Times New Roman"/>
          <w:color w:val="auto"/>
          <w:sz w:val="21"/>
          <w:szCs w:val="21"/>
          <w:highlight w:val="none"/>
        </w:rPr>
        <w:t>1.工程量清单编制说明</w:t>
      </w:r>
      <w:bookmarkEnd w:id="19"/>
      <w:bookmarkEnd w:id="20"/>
      <w:bookmarkEnd w:id="21"/>
      <w:bookmarkEnd w:id="22"/>
      <w:bookmarkEnd w:id="23"/>
    </w:p>
    <w:p w14:paraId="529EB5DC">
      <w:pPr>
        <w:spacing w:line="440" w:lineRule="exact"/>
        <w:ind w:firstLine="420" w:firstLineChars="200"/>
        <w:rPr>
          <w:color w:val="auto"/>
          <w:highlight w:val="none"/>
        </w:rPr>
      </w:pPr>
      <w:r>
        <w:rPr>
          <w:color w:val="auto"/>
          <w:highlight w:val="none"/>
        </w:rPr>
        <w:t>1.1本工程量清单依据</w:t>
      </w:r>
      <w:r>
        <w:rPr>
          <w:rFonts w:hint="eastAsia"/>
          <w:color w:val="auto"/>
          <w:highlight w:val="none"/>
        </w:rPr>
        <w:t>《建设工程工程量清单计价规范》（GB50500-2013）、《&lt;建设工程工程量清单计价规范（GB50500-2013）广西壮族自治区实施细则》；2016年版《广西壮族自治区建设工程费用定额》及计价相关规定 ；2011年版《广西壮族自治区拆除工程消耗量定额》； 2022年版《广西壮族自治区市政工程消耗量定额》；广西壮族自治区住房和城乡建设厅关于调整建</w:t>
      </w:r>
      <w:r>
        <w:rPr>
          <w:rFonts w:hint="eastAsia"/>
          <w:color w:val="auto"/>
          <w:highlight w:val="none"/>
          <w:lang w:val="en-US" w:eastAsia="zh-CN"/>
        </w:rPr>
        <w:t>设</w:t>
      </w:r>
      <w:r>
        <w:rPr>
          <w:rFonts w:hint="eastAsia"/>
          <w:color w:val="auto"/>
          <w:highlight w:val="none"/>
        </w:rPr>
        <w:t>工程定额人工费及有关费率的文件-桂建标[2023]7号</w:t>
      </w:r>
      <w:r>
        <w:rPr>
          <w:rFonts w:hint="eastAsia"/>
          <w:color w:val="auto"/>
          <w:highlight w:val="none"/>
          <w:lang w:eastAsia="zh-CN"/>
        </w:rPr>
        <w:t>；</w:t>
      </w:r>
      <w:r>
        <w:rPr>
          <w:rFonts w:hint="eastAsia"/>
          <w:color w:val="auto"/>
          <w:highlight w:val="none"/>
        </w:rPr>
        <w:t>15.2.6 关于调整除税价计算适用增值税税率的通知-桂造价[2019]10号文；15.2.7 广西壮族自治区住房城乡建设厅关于颁布2016年《广西壮族自治区建设工程费用定额》的通知（桂建标〔2016〕16号）</w:t>
      </w:r>
      <w:r>
        <w:rPr>
          <w:color w:val="auto"/>
          <w:kern w:val="0"/>
          <w:highlight w:val="none"/>
        </w:rPr>
        <w:t>、磋商文件</w:t>
      </w:r>
      <w:r>
        <w:rPr>
          <w:color w:val="auto"/>
          <w:highlight w:val="none"/>
        </w:rPr>
        <w:t>、施工图等编制。计算规范中没有的清单项目，应在本章第1.4款约定。</w:t>
      </w:r>
    </w:p>
    <w:p w14:paraId="7B684B06">
      <w:pPr>
        <w:spacing w:line="440" w:lineRule="exact"/>
        <w:ind w:firstLine="420" w:firstLineChars="200"/>
        <w:rPr>
          <w:color w:val="auto"/>
          <w:highlight w:val="none"/>
        </w:rPr>
      </w:pPr>
      <w:r>
        <w:rPr>
          <w:color w:val="auto"/>
          <w:highlight w:val="none"/>
        </w:rPr>
        <w:t>1.2 工程量清单应与供应商须知、合同协议条款、合同的通用条款、合同专用条款、技术规范及图纸等文件一起结合使用。</w:t>
      </w:r>
    </w:p>
    <w:p w14:paraId="5EF0CBF6">
      <w:pPr>
        <w:spacing w:line="440" w:lineRule="exact"/>
        <w:ind w:firstLine="420" w:firstLineChars="200"/>
        <w:rPr>
          <w:color w:val="auto"/>
          <w:highlight w:val="none"/>
        </w:rPr>
      </w:pPr>
      <w:r>
        <w:rPr>
          <w:color w:val="auto"/>
          <w:highlight w:val="none"/>
        </w:rPr>
        <w:t>1.3 工程量清单是磋商文件的组成部分，是工程量清单计价的基础，作为编制最高限价、竞争性磋商报价、计算或调整工程量、索赔等的依据之一。</w:t>
      </w:r>
    </w:p>
    <w:p w14:paraId="6841D0C1">
      <w:pPr>
        <w:spacing w:line="440" w:lineRule="exact"/>
        <w:ind w:firstLine="420" w:firstLineChars="200"/>
        <w:rPr>
          <w:color w:val="auto"/>
          <w:highlight w:val="none"/>
        </w:rPr>
      </w:pPr>
      <w:r>
        <w:rPr>
          <w:color w:val="auto"/>
          <w:highlight w:val="none"/>
        </w:rPr>
        <w:t>1.4 补充清单项目的特征、计量单位、工程量计算规则及工作内容说明如下：无。</w:t>
      </w:r>
    </w:p>
    <w:p w14:paraId="4C4332A5">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1.5 《允许调整主要材料和工程设备一览表》（表-22，表格编号为计价规范相应表格编号，下同）作为项目实施过程中材料和设备价格风险调整依据。</w:t>
      </w:r>
    </w:p>
    <w:p w14:paraId="3AA5836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1.6 本工程暂列金额</w:t>
      </w:r>
      <w:r>
        <w:rPr>
          <w:rFonts w:hint="eastAsia" w:ascii="Times New Roman" w:hAnsi="Times New Roman"/>
          <w:color w:val="auto"/>
          <w:sz w:val="21"/>
          <w:highlight w:val="none"/>
        </w:rPr>
        <w:t>分标一：</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w:t>
      </w:r>
      <w:r>
        <w:rPr>
          <w:rFonts w:hint="eastAsia" w:ascii="Times New Roman" w:hAnsi="Times New Roman"/>
          <w:color w:val="auto"/>
          <w:sz w:val="21"/>
          <w:highlight w:val="none"/>
        </w:rPr>
        <w:t>分标二：</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元（人民币）作为合同签订时尚未确定或者不可预见但施工中可能发生的费用。</w:t>
      </w:r>
    </w:p>
    <w:p w14:paraId="4A30E0F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1.7 本工程发包人提供的材料和设备详见《发包人提供的主要材料和工程设备一览表》（表-21）。</w:t>
      </w:r>
    </w:p>
    <w:p w14:paraId="216C2CFD">
      <w:pPr>
        <w:spacing w:line="440" w:lineRule="exact"/>
        <w:ind w:firstLine="420" w:firstLineChars="200"/>
        <w:rPr>
          <w:color w:val="auto"/>
          <w:highlight w:val="none"/>
        </w:rPr>
      </w:pPr>
      <w:r>
        <w:rPr>
          <w:color w:val="auto"/>
          <w:highlight w:val="none"/>
        </w:rPr>
        <w:t>1.8 本工程部分材料和设备在招标时作为暂估价计列，结算按实调整，具体内容详见《材料（工程设备）暂估单价及调整表》（表12-2）。</w:t>
      </w:r>
    </w:p>
    <w:p w14:paraId="1962474E">
      <w:pPr>
        <w:spacing w:line="440" w:lineRule="exact"/>
        <w:ind w:firstLine="420" w:firstLineChars="200"/>
        <w:rPr>
          <w:color w:val="auto"/>
          <w:highlight w:val="none"/>
        </w:rPr>
      </w:pPr>
      <w:r>
        <w:rPr>
          <w:color w:val="auto"/>
          <w:highlight w:val="none"/>
        </w:rPr>
        <w:t>1.9 招标时暂估专业工程的价款属于暂估价，结算按实调整，具体内容详见《专业工程暂估价及结算价表》（表12-3）。</w:t>
      </w:r>
    </w:p>
    <w:p w14:paraId="138236B3">
      <w:pPr>
        <w:spacing w:line="440" w:lineRule="exact"/>
        <w:ind w:firstLine="420" w:firstLineChars="200"/>
        <w:rPr>
          <w:color w:val="auto"/>
          <w:highlight w:val="none"/>
        </w:rPr>
      </w:pPr>
      <w:r>
        <w:rPr>
          <w:color w:val="auto"/>
          <w:highlight w:val="none"/>
        </w:rPr>
        <w:t>1.10 本工程量清单编码处标注“*”号的清单项目作为主要清单项目，需要供应商提供《主要清单项目工料机分析表》（表-10）。</w:t>
      </w:r>
    </w:p>
    <w:p w14:paraId="4E61D11F">
      <w:pPr>
        <w:spacing w:line="440" w:lineRule="exact"/>
        <w:ind w:firstLine="420" w:firstLineChars="200"/>
        <w:rPr>
          <w:color w:val="auto"/>
          <w:highlight w:val="none"/>
        </w:rPr>
      </w:pPr>
      <w:r>
        <w:rPr>
          <w:color w:val="auto"/>
          <w:highlight w:val="none"/>
        </w:rPr>
        <w:t>1.11 其它需要说明的问题：</w:t>
      </w:r>
      <w:r>
        <w:rPr>
          <w:color w:val="auto"/>
          <w:highlight w:val="none"/>
          <w:u w:val="single"/>
        </w:rPr>
        <w:t>无</w:t>
      </w:r>
      <w:r>
        <w:rPr>
          <w:color w:val="auto"/>
          <w:highlight w:val="none"/>
        </w:rPr>
        <w:t>。</w:t>
      </w:r>
    </w:p>
    <w:p w14:paraId="08139C45">
      <w:pPr>
        <w:spacing w:line="440" w:lineRule="exact"/>
        <w:ind w:firstLine="420" w:firstLineChars="200"/>
        <w:jc w:val="left"/>
        <w:rPr>
          <w:color w:val="auto"/>
          <w:highlight w:val="none"/>
        </w:rPr>
      </w:pPr>
      <w:r>
        <w:rPr>
          <w:color w:val="auto"/>
          <w:highlight w:val="none"/>
        </w:rPr>
        <w:t>1.12 工程量清单与磋商文件同时发布。 一般计税法建设工程的工程量清单表格按</w:t>
      </w:r>
      <w:r>
        <w:rPr>
          <w:color w:val="auto"/>
          <w:kern w:val="0"/>
          <w:highlight w:val="none"/>
        </w:rPr>
        <w:t>《关于建筑业实施营业税改征增值税后广西壮族自治区建设工程计价依据调整的通知》（桂建标〔2016〕17号）</w:t>
      </w:r>
      <w:r>
        <w:rPr>
          <w:color w:val="auto"/>
          <w:highlight w:val="none"/>
        </w:rPr>
        <w:t>附件“增值税一般计税方法工程计价表”要求提供；简易计税法建设工程按照《计价规范》要求的表格提供，但规费和税费要按照《关于建筑业实施营业税改征增值税后广西壮族自治区建设工程计价依据调整的通知》（桂建标〔2016〕17号）要求调整，具体包括</w:t>
      </w:r>
      <w:r>
        <w:rPr>
          <w:rFonts w:hint="eastAsia"/>
          <w:color w:val="auto"/>
          <w:highlight w:val="none"/>
          <w:lang w:eastAsia="zh-CN"/>
        </w:rPr>
        <w:t>（</w:t>
      </w:r>
      <w:r>
        <w:rPr>
          <w:rFonts w:hint="eastAsia"/>
          <w:color w:val="auto"/>
          <w:highlight w:val="none"/>
          <w:lang w:val="en-US" w:eastAsia="zh-CN"/>
        </w:rPr>
        <w:t>以工程量清单为准</w:t>
      </w:r>
      <w:r>
        <w:rPr>
          <w:rFonts w:hint="eastAsia"/>
          <w:color w:val="auto"/>
          <w:highlight w:val="none"/>
          <w:lang w:eastAsia="zh-CN"/>
        </w:rPr>
        <w:t>）</w:t>
      </w:r>
      <w:r>
        <w:rPr>
          <w:color w:val="auto"/>
          <w:highlight w:val="none"/>
        </w:rPr>
        <w:t>：</w:t>
      </w:r>
    </w:p>
    <w:p w14:paraId="6DF958CC">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1 招标工程量清单（封-1）</w:t>
      </w:r>
    </w:p>
    <w:p w14:paraId="02A38415">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2 招标工程量清单（封扉-1）</w:t>
      </w:r>
    </w:p>
    <w:p w14:paraId="61210F13">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3 总说明（表-01）</w:t>
      </w:r>
    </w:p>
    <w:p w14:paraId="3FC73C5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4 </w:t>
      </w:r>
      <w:r>
        <w:rPr>
          <w:rFonts w:hint="eastAsia"/>
          <w:color w:val="auto"/>
          <w:highlight w:val="none"/>
        </w:rPr>
        <w:t>建设项目建筑安装工程费汇总表</w:t>
      </w:r>
      <w:r>
        <w:rPr>
          <w:color w:val="auto"/>
          <w:highlight w:val="none"/>
        </w:rPr>
        <w:t>（表-02）</w:t>
      </w:r>
    </w:p>
    <w:p w14:paraId="2C6570AF">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5 </w:t>
      </w:r>
      <w:r>
        <w:rPr>
          <w:rFonts w:hint="eastAsia"/>
          <w:color w:val="auto"/>
          <w:highlight w:val="none"/>
        </w:rPr>
        <w:t>单项工程建筑安装工程费汇总表</w:t>
      </w:r>
      <w:r>
        <w:rPr>
          <w:color w:val="auto"/>
          <w:highlight w:val="none"/>
        </w:rPr>
        <w:t>（表-03）</w:t>
      </w:r>
    </w:p>
    <w:p w14:paraId="6A60D6DE">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6 </w:t>
      </w:r>
      <w:r>
        <w:rPr>
          <w:rFonts w:hint="eastAsia"/>
          <w:color w:val="auto"/>
          <w:highlight w:val="none"/>
        </w:rPr>
        <w:t>单位工程建筑安装工程费汇总表</w:t>
      </w:r>
      <w:r>
        <w:rPr>
          <w:color w:val="auto"/>
          <w:highlight w:val="none"/>
        </w:rPr>
        <w:t>（表-04）</w:t>
      </w:r>
    </w:p>
    <w:p w14:paraId="0604D0AB">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7 </w:t>
      </w:r>
      <w:r>
        <w:rPr>
          <w:rFonts w:hint="eastAsia"/>
          <w:color w:val="auto"/>
          <w:highlight w:val="none"/>
        </w:rPr>
        <w:t>分部分项工程和单价措施项目费用表</w:t>
      </w:r>
      <w:r>
        <w:rPr>
          <w:color w:val="auto"/>
          <w:highlight w:val="none"/>
        </w:rPr>
        <w:t>（表-08）</w:t>
      </w:r>
    </w:p>
    <w:p w14:paraId="40FCF054">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8 </w:t>
      </w:r>
      <w:r>
        <w:rPr>
          <w:rFonts w:hint="eastAsia"/>
          <w:color w:val="auto"/>
          <w:highlight w:val="none"/>
        </w:rPr>
        <w:t>综合单价分析表</w:t>
      </w:r>
      <w:r>
        <w:rPr>
          <w:color w:val="auto"/>
          <w:highlight w:val="none"/>
        </w:rPr>
        <w:t>（表-</w:t>
      </w:r>
      <w:r>
        <w:rPr>
          <w:rFonts w:hint="eastAsia"/>
          <w:color w:val="auto"/>
          <w:highlight w:val="none"/>
          <w:lang w:val="en-US" w:eastAsia="zh-CN"/>
        </w:rPr>
        <w:t>09</w:t>
      </w:r>
      <w:r>
        <w:rPr>
          <w:color w:val="auto"/>
          <w:highlight w:val="none"/>
        </w:rPr>
        <w:t>）</w:t>
      </w:r>
    </w:p>
    <w:p w14:paraId="6531AFC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9 </w:t>
      </w:r>
      <w:r>
        <w:rPr>
          <w:rFonts w:hint="eastAsia"/>
          <w:color w:val="auto"/>
          <w:highlight w:val="none"/>
        </w:rPr>
        <w:t>总价措施项目费用表</w:t>
      </w:r>
      <w:r>
        <w:rPr>
          <w:color w:val="auto"/>
          <w:highlight w:val="none"/>
        </w:rPr>
        <w:t>（表-</w:t>
      </w:r>
      <w:r>
        <w:rPr>
          <w:rFonts w:hint="eastAsia"/>
          <w:color w:val="auto"/>
          <w:highlight w:val="none"/>
          <w:lang w:val="en-US" w:eastAsia="zh-CN"/>
        </w:rPr>
        <w:t>10</w:t>
      </w:r>
      <w:r>
        <w:rPr>
          <w:color w:val="auto"/>
          <w:highlight w:val="none"/>
        </w:rPr>
        <w:t>）</w:t>
      </w:r>
    </w:p>
    <w:p w14:paraId="6C46E297">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10 </w:t>
      </w:r>
      <w:r>
        <w:rPr>
          <w:rFonts w:hint="eastAsia"/>
          <w:color w:val="auto"/>
          <w:highlight w:val="none"/>
        </w:rPr>
        <w:t>其他项目费用汇总表</w:t>
      </w:r>
      <w:r>
        <w:rPr>
          <w:color w:val="auto"/>
          <w:highlight w:val="none"/>
        </w:rPr>
        <w:t>（表</w:t>
      </w:r>
      <w:r>
        <w:rPr>
          <w:rFonts w:hint="eastAsia"/>
          <w:color w:val="auto"/>
          <w:highlight w:val="none"/>
          <w:lang w:val="en-US" w:eastAsia="zh-CN"/>
        </w:rPr>
        <w:t>-11</w:t>
      </w:r>
      <w:r>
        <w:rPr>
          <w:color w:val="auto"/>
          <w:highlight w:val="none"/>
        </w:rPr>
        <w:t>）</w:t>
      </w:r>
    </w:p>
    <w:p w14:paraId="3EDF1908">
      <w:pPr>
        <w:spacing w:line="440" w:lineRule="exact"/>
        <w:ind w:firstLine="420" w:firstLineChars="200"/>
        <w:jc w:val="left"/>
        <w:rPr>
          <w:color w:val="auto"/>
          <w:highlight w:val="none"/>
        </w:rPr>
      </w:pPr>
      <w:r>
        <w:rPr>
          <w:color w:val="auto"/>
          <w:highlight w:val="none"/>
        </w:rPr>
        <w:t xml:space="preserve">注：如本工程在合同中约定采用造价信息价差调整法，1.18 </w:t>
      </w:r>
      <w:r>
        <w:rPr>
          <w:color w:val="auto"/>
          <w:highlight w:val="none"/>
          <w:lang w:val="en"/>
        </w:rPr>
        <w:t>允许调整</w:t>
      </w:r>
      <w:r>
        <w:rPr>
          <w:color w:val="auto"/>
          <w:highlight w:val="none"/>
        </w:rPr>
        <w:t>主要材料和工程设备一览表（适用于造价信息差额调整法）（表-22）载明的主要材料和工程设备为本工程允许调整材料和工程设备，工程量清单必须提供该表格，并应载明允许调整材料和工程设备名称型号规格、单位、风险系数、基准单价等内容，且不能提供空白表。</w:t>
      </w:r>
    </w:p>
    <w:p w14:paraId="4EE2CEAA">
      <w:pPr>
        <w:spacing w:line="440" w:lineRule="exact"/>
        <w:ind w:firstLine="420" w:firstLineChars="200"/>
        <w:jc w:val="left"/>
        <w:rPr>
          <w:color w:val="auto"/>
          <w:highlight w:val="none"/>
        </w:rPr>
      </w:pPr>
      <w:r>
        <w:rPr>
          <w:color w:val="auto"/>
          <w:highlight w:val="none"/>
        </w:rPr>
        <w:t>以下表格视工程实际需要选用，如该工程不发生如下表格相关项目和费用，所编制工程量清单则不需列入相应表格：</w:t>
      </w:r>
    </w:p>
    <w:p w14:paraId="168FF4D1">
      <w:pPr>
        <w:spacing w:line="440" w:lineRule="exact"/>
        <w:ind w:firstLine="420" w:firstLineChars="200"/>
        <w:jc w:val="left"/>
        <w:rPr>
          <w:color w:val="auto"/>
          <w:highlight w:val="none"/>
        </w:rPr>
      </w:pPr>
      <w:r>
        <w:rPr>
          <w:rFonts w:hint="eastAsia" w:ascii="宋体" w:hAnsi="宋体" w:cs="宋体"/>
          <w:color w:val="auto"/>
          <w:highlight w:val="none"/>
        </w:rPr>
        <w:t>①</w:t>
      </w:r>
      <w:r>
        <w:rPr>
          <w:color w:val="auto"/>
          <w:highlight w:val="none"/>
        </w:rPr>
        <w:t>建设项目</w:t>
      </w:r>
      <w:r>
        <w:rPr>
          <w:rFonts w:hint="eastAsia"/>
          <w:color w:val="auto"/>
          <w:highlight w:val="none"/>
          <w:lang w:eastAsia="zh-CN"/>
        </w:rPr>
        <w:t>竞标</w:t>
      </w:r>
      <w:r>
        <w:rPr>
          <w:color w:val="auto"/>
          <w:highlight w:val="none"/>
        </w:rPr>
        <w:t>报价汇总表（表-02）</w:t>
      </w:r>
    </w:p>
    <w:p w14:paraId="1F14CA77">
      <w:pPr>
        <w:spacing w:line="440" w:lineRule="exact"/>
        <w:ind w:firstLine="420" w:firstLineChars="200"/>
        <w:jc w:val="left"/>
        <w:rPr>
          <w:color w:val="auto"/>
          <w:highlight w:val="none"/>
        </w:rPr>
      </w:pPr>
      <w:r>
        <w:rPr>
          <w:rFonts w:hint="eastAsia" w:ascii="宋体" w:hAnsi="宋体" w:cs="宋体"/>
          <w:color w:val="auto"/>
          <w:highlight w:val="none"/>
        </w:rPr>
        <w:t>②</w:t>
      </w:r>
      <w:r>
        <w:rPr>
          <w:color w:val="auto"/>
          <w:highlight w:val="none"/>
        </w:rPr>
        <w:t>暂列金额明细表（表12-1）</w:t>
      </w:r>
    </w:p>
    <w:p w14:paraId="2919F687">
      <w:pPr>
        <w:spacing w:line="440" w:lineRule="exact"/>
        <w:ind w:firstLine="420" w:firstLineChars="200"/>
        <w:jc w:val="left"/>
        <w:rPr>
          <w:color w:val="auto"/>
          <w:highlight w:val="none"/>
        </w:rPr>
      </w:pPr>
      <w:r>
        <w:rPr>
          <w:rFonts w:hint="eastAsia" w:ascii="宋体" w:hAnsi="宋体" w:cs="宋体"/>
          <w:color w:val="auto"/>
          <w:highlight w:val="none"/>
        </w:rPr>
        <w:t>③</w:t>
      </w:r>
      <w:r>
        <w:rPr>
          <w:color w:val="auto"/>
          <w:highlight w:val="none"/>
        </w:rPr>
        <w:t>材料（工程设备）暂估单价及调整表（表12-2）</w:t>
      </w:r>
    </w:p>
    <w:p w14:paraId="41E2820A">
      <w:pPr>
        <w:spacing w:line="440" w:lineRule="exact"/>
        <w:ind w:firstLine="420" w:firstLineChars="200"/>
        <w:jc w:val="left"/>
        <w:rPr>
          <w:color w:val="auto"/>
          <w:highlight w:val="none"/>
        </w:rPr>
      </w:pPr>
      <w:r>
        <w:rPr>
          <w:rFonts w:hint="eastAsia" w:ascii="宋体" w:hAnsi="宋体" w:cs="宋体"/>
          <w:color w:val="auto"/>
          <w:highlight w:val="none"/>
        </w:rPr>
        <w:t>④</w:t>
      </w:r>
      <w:r>
        <w:rPr>
          <w:color w:val="auto"/>
          <w:highlight w:val="none"/>
        </w:rPr>
        <w:t>专业工程暂估价表（表12-3）</w:t>
      </w:r>
    </w:p>
    <w:p w14:paraId="35193335">
      <w:pPr>
        <w:spacing w:line="440" w:lineRule="exact"/>
        <w:ind w:firstLine="420" w:firstLineChars="200"/>
        <w:jc w:val="left"/>
        <w:rPr>
          <w:color w:val="auto"/>
          <w:highlight w:val="none"/>
        </w:rPr>
      </w:pPr>
      <w:r>
        <w:rPr>
          <w:rFonts w:hint="eastAsia" w:ascii="宋体" w:hAnsi="宋体" w:cs="宋体"/>
          <w:color w:val="auto"/>
          <w:highlight w:val="none"/>
        </w:rPr>
        <w:t>⑤</w:t>
      </w:r>
      <w:r>
        <w:rPr>
          <w:color w:val="auto"/>
          <w:highlight w:val="none"/>
        </w:rPr>
        <w:t>计日工表（表12-4）</w:t>
      </w:r>
    </w:p>
    <w:p w14:paraId="56799F98">
      <w:pPr>
        <w:spacing w:line="440" w:lineRule="exact"/>
        <w:ind w:firstLine="420" w:firstLineChars="200"/>
        <w:jc w:val="left"/>
        <w:rPr>
          <w:color w:val="auto"/>
          <w:highlight w:val="none"/>
        </w:rPr>
      </w:pPr>
      <w:r>
        <w:rPr>
          <w:rFonts w:hint="eastAsia" w:ascii="宋体" w:hAnsi="宋体" w:cs="宋体"/>
          <w:color w:val="auto"/>
          <w:highlight w:val="none"/>
        </w:rPr>
        <w:t>⑥</w:t>
      </w:r>
      <w:r>
        <w:rPr>
          <w:color w:val="auto"/>
          <w:highlight w:val="none"/>
        </w:rPr>
        <w:t>总承包服务费计价表（表12-5）</w:t>
      </w:r>
    </w:p>
    <w:p w14:paraId="59FF0909">
      <w:pPr>
        <w:spacing w:line="440" w:lineRule="exact"/>
        <w:ind w:firstLine="420" w:firstLineChars="200"/>
        <w:jc w:val="left"/>
        <w:rPr>
          <w:color w:val="auto"/>
          <w:highlight w:val="none"/>
        </w:rPr>
      </w:pPr>
      <w:r>
        <w:rPr>
          <w:rFonts w:hint="eastAsia" w:ascii="宋体" w:hAnsi="宋体" w:cs="宋体"/>
          <w:color w:val="auto"/>
          <w:highlight w:val="none"/>
        </w:rPr>
        <w:t>⑦</w:t>
      </w:r>
      <w:r>
        <w:rPr>
          <w:color w:val="auto"/>
          <w:highlight w:val="none"/>
        </w:rPr>
        <w:t>税前项目清单与计价表（表-14）</w:t>
      </w:r>
    </w:p>
    <w:p w14:paraId="19D3A87B">
      <w:pPr>
        <w:spacing w:line="440" w:lineRule="exact"/>
        <w:ind w:firstLine="420" w:firstLineChars="200"/>
        <w:rPr>
          <w:color w:val="auto"/>
          <w:highlight w:val="none"/>
        </w:rPr>
      </w:pPr>
      <w:r>
        <w:rPr>
          <w:color w:val="auto"/>
          <w:highlight w:val="none"/>
        </w:rPr>
        <w:fldChar w:fldCharType="begin"/>
      </w:r>
      <w:r>
        <w:rPr>
          <w:color w:val="auto"/>
          <w:highlight w:val="none"/>
        </w:rPr>
        <w:instrText xml:space="preserve"> = 8 \* GB3 </w:instrText>
      </w:r>
      <w:r>
        <w:rPr>
          <w:color w:val="auto"/>
          <w:highlight w:val="none"/>
        </w:rPr>
        <w:fldChar w:fldCharType="separate"/>
      </w:r>
      <w:r>
        <w:rPr>
          <w:rFonts w:hint="eastAsia" w:ascii="宋体" w:hAnsi="宋体" w:cs="宋体"/>
          <w:color w:val="auto"/>
          <w:highlight w:val="none"/>
        </w:rPr>
        <w:t>⑧</w:t>
      </w:r>
      <w:r>
        <w:rPr>
          <w:color w:val="auto"/>
          <w:highlight w:val="none"/>
        </w:rPr>
        <w:fldChar w:fldCharType="end"/>
      </w:r>
      <w:r>
        <w:rPr>
          <w:color w:val="auto"/>
          <w:highlight w:val="none"/>
        </w:rPr>
        <w:t>允许调整主要材料和工程设备一览表（适用于价格指数差额调整法）（表-23）</w:t>
      </w:r>
    </w:p>
    <w:p w14:paraId="301AD516">
      <w:pPr>
        <w:pStyle w:val="3"/>
        <w:spacing w:before="0" w:after="0" w:line="440" w:lineRule="exact"/>
        <w:ind w:firstLine="422" w:firstLineChars="200"/>
        <w:rPr>
          <w:rFonts w:ascii="Times New Roman" w:hAnsi="Times New Roman"/>
          <w:color w:val="auto"/>
          <w:sz w:val="21"/>
          <w:szCs w:val="21"/>
          <w:highlight w:val="none"/>
        </w:rPr>
      </w:pPr>
      <w:bookmarkStart w:id="24" w:name="_Toc407135285"/>
      <w:bookmarkStart w:id="25" w:name="_Toc78449870"/>
      <w:bookmarkStart w:id="26" w:name="_Toc347872619"/>
      <w:bookmarkStart w:id="27" w:name="_Toc990933621"/>
      <w:bookmarkStart w:id="28" w:name="_Toc128638343"/>
      <w:r>
        <w:rPr>
          <w:rFonts w:ascii="Times New Roman" w:hAnsi="Times New Roman"/>
          <w:color w:val="auto"/>
          <w:sz w:val="21"/>
          <w:szCs w:val="21"/>
          <w:highlight w:val="none"/>
        </w:rPr>
        <w:t>2.最高限价编制说明</w:t>
      </w:r>
      <w:bookmarkEnd w:id="24"/>
      <w:bookmarkEnd w:id="25"/>
      <w:bookmarkEnd w:id="26"/>
      <w:bookmarkEnd w:id="27"/>
      <w:bookmarkEnd w:id="28"/>
    </w:p>
    <w:p w14:paraId="24EE200A">
      <w:pPr>
        <w:spacing w:line="440" w:lineRule="exact"/>
        <w:ind w:firstLine="420" w:firstLineChars="200"/>
        <w:rPr>
          <w:color w:val="auto"/>
          <w:highlight w:val="none"/>
        </w:rPr>
      </w:pPr>
      <w:r>
        <w:rPr>
          <w:color w:val="auto"/>
          <w:highlight w:val="none"/>
        </w:rPr>
        <w:t>2.1 最高限价编制依据：</w:t>
      </w:r>
    </w:p>
    <w:p w14:paraId="357FB74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1.</w:t>
      </w:r>
      <w:r>
        <w:rPr>
          <w:rFonts w:hint="eastAsia"/>
          <w:color w:val="auto"/>
          <w:highlight w:val="none"/>
        </w:rPr>
        <w:t>《建设工程工程量清单计价规范》(GB50500-2013)、《建设工程工程量清单计价规范》(GB50500-2013）广西壮族自治区实施细则、《建设工程工程量计算规范》（GB50854～50862-2013）、《建设工程工程量计算规范》（GB50854～50862-2013）广西壮族自治区实施细则（修订本）；</w:t>
      </w:r>
    </w:p>
    <w:p w14:paraId="476E7BD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2.2024年《广西壮族自治区建筑工程拆除消耗量及费用定额》、2024年《广西壮族自治区建筑装饰装修工程消耗量及费用定额》、2023年《广西壮族自治区安装工程消耗量及费用定额》；</w:t>
      </w:r>
    </w:p>
    <w:p w14:paraId="5E230B9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3.</w:t>
      </w:r>
      <w:r>
        <w:rPr>
          <w:rFonts w:hint="eastAsia"/>
          <w:color w:val="auto"/>
          <w:highlight w:val="none"/>
          <w:lang w:eastAsia="zh-CN"/>
        </w:rPr>
        <w:t>自治区住房和城乡建设厅</w:t>
      </w:r>
      <w:r>
        <w:rPr>
          <w:rFonts w:hint="eastAsia"/>
          <w:color w:val="auto"/>
          <w:highlight w:val="none"/>
        </w:rPr>
        <w:t>广西银保监局关于印发《广西壮族自治区房屋建筑和市政基础设施工程安全生产责任保险实施细则》的通知(桂建发【2023】2号)；</w:t>
      </w:r>
    </w:p>
    <w:p w14:paraId="32A0EBA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4.贵港市财政局关于印发《贵港市政府投资项目推行增值税简易计税方式实施方案》的通知 贵财建[2023]2号；</w:t>
      </w:r>
    </w:p>
    <w:p w14:paraId="4767A4D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5.现行的有关文件以及设计施工图纸和补充资料；</w:t>
      </w:r>
      <w:r>
        <w:rPr>
          <w:rFonts w:hint="eastAsia"/>
          <w:color w:val="auto"/>
          <w:highlight w:val="none"/>
        </w:rPr>
        <w:tab/>
      </w:r>
    </w:p>
    <w:p w14:paraId="2DD1E05B">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6.材料价格按《贵港市建设工程造价信息》2025年第</w:t>
      </w:r>
      <w:r>
        <w:rPr>
          <w:rFonts w:hint="eastAsia"/>
          <w:color w:val="auto"/>
          <w:highlight w:val="none"/>
          <w:lang w:val="en-US" w:eastAsia="zh-CN"/>
        </w:rPr>
        <w:t>2</w:t>
      </w:r>
      <w:r>
        <w:rPr>
          <w:rFonts w:hint="eastAsia"/>
          <w:color w:val="auto"/>
          <w:highlight w:val="none"/>
        </w:rPr>
        <w:t>期发布的含税价，缺项部分参考《南宁建设工程造价信息》或市场询价计取。</w:t>
      </w:r>
      <w:r>
        <w:rPr>
          <w:rFonts w:hint="eastAsia"/>
          <w:color w:val="auto"/>
          <w:highlight w:val="none"/>
        </w:rPr>
        <w:tab/>
      </w:r>
    </w:p>
    <w:p w14:paraId="3E33E679">
      <w:pPr>
        <w:spacing w:line="440" w:lineRule="exact"/>
        <w:ind w:firstLine="420" w:firstLineChars="200"/>
        <w:rPr>
          <w:color w:val="auto"/>
          <w:highlight w:val="none"/>
          <w:u w:val="single"/>
        </w:rPr>
      </w:pPr>
      <w:r>
        <w:rPr>
          <w:rFonts w:hint="eastAsia"/>
          <w:color w:val="auto"/>
          <w:highlight w:val="none"/>
          <w:lang w:val="en-US" w:eastAsia="zh-CN"/>
        </w:rPr>
        <w:t>2.2</w:t>
      </w:r>
      <w:r>
        <w:rPr>
          <w:color w:val="auto"/>
          <w:highlight w:val="none"/>
        </w:rPr>
        <w:t>建设工程设计文件及相关资料：</w:t>
      </w:r>
      <w:r>
        <w:rPr>
          <w:color w:val="auto"/>
          <w:highlight w:val="none"/>
          <w:u w:val="single"/>
        </w:rPr>
        <w:t>详见施工图纸</w:t>
      </w:r>
      <w:r>
        <w:rPr>
          <w:color w:val="auto"/>
          <w:highlight w:val="none"/>
        </w:rPr>
        <w:t xml:space="preserve">。 </w:t>
      </w:r>
    </w:p>
    <w:p w14:paraId="064C8D8B">
      <w:pPr>
        <w:spacing w:line="440" w:lineRule="exact"/>
        <w:ind w:firstLine="420" w:firstLineChars="200"/>
        <w:rPr>
          <w:color w:val="auto"/>
          <w:highlight w:val="none"/>
        </w:rPr>
      </w:pPr>
      <w:r>
        <w:rPr>
          <w:rFonts w:hint="eastAsia"/>
          <w:color w:val="auto"/>
          <w:highlight w:val="none"/>
          <w:lang w:val="en-US" w:eastAsia="zh-CN"/>
        </w:rPr>
        <w:t>2.3</w:t>
      </w:r>
      <w:r>
        <w:rPr>
          <w:color w:val="auto"/>
          <w:highlight w:val="none"/>
        </w:rPr>
        <w:t>本工程磋商文件及工程量清单；</w:t>
      </w:r>
    </w:p>
    <w:p w14:paraId="1AAC8F8A">
      <w:pPr>
        <w:spacing w:line="440" w:lineRule="exact"/>
        <w:ind w:firstLine="420" w:firstLineChars="200"/>
        <w:rPr>
          <w:color w:val="auto"/>
          <w:highlight w:val="none"/>
        </w:rPr>
      </w:pPr>
      <w:r>
        <w:rPr>
          <w:rFonts w:hint="eastAsia"/>
          <w:color w:val="auto"/>
          <w:highlight w:val="none"/>
          <w:lang w:val="en-US" w:eastAsia="zh-CN"/>
        </w:rPr>
        <w:t>2.4</w:t>
      </w:r>
      <w:r>
        <w:rPr>
          <w:color w:val="auto"/>
          <w:highlight w:val="none"/>
        </w:rPr>
        <w:t>与建设项目相关的标准、规范、技术资料；</w:t>
      </w:r>
    </w:p>
    <w:p w14:paraId="59DE9680">
      <w:pPr>
        <w:spacing w:line="440" w:lineRule="exact"/>
        <w:ind w:firstLine="420" w:firstLineChars="200"/>
        <w:rPr>
          <w:color w:val="auto"/>
          <w:highlight w:val="none"/>
        </w:rPr>
      </w:pPr>
      <w:r>
        <w:rPr>
          <w:rFonts w:hint="eastAsia"/>
          <w:color w:val="auto"/>
          <w:highlight w:val="none"/>
          <w:lang w:val="en-US" w:eastAsia="zh-CN"/>
        </w:rPr>
        <w:t>2.5</w:t>
      </w:r>
      <w:r>
        <w:rPr>
          <w:color w:val="auto"/>
          <w:highlight w:val="none"/>
        </w:rPr>
        <w:t>施工现场情况、工程特点及常规施工方案；</w:t>
      </w:r>
    </w:p>
    <w:p w14:paraId="1AB7062C">
      <w:pPr>
        <w:spacing w:line="440" w:lineRule="exact"/>
        <w:ind w:firstLine="420" w:firstLineChars="200"/>
        <w:rPr>
          <w:rFonts w:hint="eastAsia"/>
          <w:color w:val="auto"/>
          <w:highlight w:val="none"/>
          <w:lang w:val="en-US" w:eastAsia="zh-CN"/>
        </w:rPr>
      </w:pPr>
      <w:r>
        <w:rPr>
          <w:rFonts w:hint="eastAsia"/>
          <w:color w:val="auto"/>
          <w:highlight w:val="none"/>
          <w:lang w:val="en-US" w:eastAsia="zh-CN"/>
        </w:rPr>
        <w:t>2.6</w:t>
      </w:r>
      <w:r>
        <w:rPr>
          <w:color w:val="auto"/>
          <w:highlight w:val="none"/>
        </w:rPr>
        <w:t>材料价格信息：材料价格按《</w:t>
      </w:r>
      <w:r>
        <w:rPr>
          <w:rStyle w:val="55"/>
          <w:rFonts w:hint="eastAsia" w:ascii="Calibri" w:hAnsi="Calibri" w:cs="Calibri"/>
          <w:color w:val="auto"/>
          <w:highlight w:val="none"/>
          <w:lang w:val="en-US" w:eastAsia="zh-CN"/>
        </w:rPr>
        <w:t>贵港</w:t>
      </w:r>
      <w:r>
        <w:rPr>
          <w:color w:val="auto"/>
          <w:highlight w:val="none"/>
        </w:rPr>
        <w:t>建设工程造价信息》202</w:t>
      </w:r>
      <w:r>
        <w:rPr>
          <w:rFonts w:hint="eastAsia"/>
          <w:color w:val="auto"/>
          <w:highlight w:val="none"/>
          <w:lang w:val="en-US" w:eastAsia="zh-CN"/>
        </w:rPr>
        <w:t>5</w:t>
      </w:r>
      <w:r>
        <w:rPr>
          <w:color w:val="auto"/>
          <w:highlight w:val="none"/>
        </w:rPr>
        <w:t>第</w:t>
      </w:r>
      <w:r>
        <w:rPr>
          <w:rFonts w:hint="eastAsia"/>
          <w:color w:val="auto"/>
          <w:highlight w:val="none"/>
          <w:lang w:val="en-US" w:eastAsia="zh-CN"/>
        </w:rPr>
        <w:t>2</w:t>
      </w:r>
      <w:r>
        <w:rPr>
          <w:color w:val="auto"/>
          <w:highlight w:val="none"/>
        </w:rPr>
        <w:t>期计取，</w:t>
      </w:r>
      <w:r>
        <w:rPr>
          <w:rFonts w:hint="eastAsia"/>
          <w:color w:val="auto"/>
          <w:highlight w:val="none"/>
          <w:lang w:val="en-US" w:eastAsia="zh-CN"/>
        </w:rPr>
        <w:t>缺项部分参考《南宁建设工程造价信息》或市场询价计取。</w:t>
      </w:r>
    </w:p>
    <w:p w14:paraId="5AA4A97D">
      <w:pPr>
        <w:spacing w:line="440" w:lineRule="exact"/>
        <w:ind w:firstLine="420" w:firstLineChars="200"/>
        <w:rPr>
          <w:color w:val="auto"/>
          <w:highlight w:val="none"/>
        </w:rPr>
      </w:pPr>
      <w:r>
        <w:rPr>
          <w:color w:val="auto"/>
          <w:highlight w:val="none"/>
        </w:rPr>
        <w:t>2.2 分部分项及单价措施项目综合单价应包括磋商文件中采购人要求供应商所承担的风险内容及其范围（幅度）产生的风险费用。</w:t>
      </w:r>
    </w:p>
    <w:p w14:paraId="501593E9">
      <w:pPr>
        <w:spacing w:line="440" w:lineRule="exact"/>
        <w:ind w:firstLine="420" w:firstLineChars="200"/>
        <w:rPr>
          <w:color w:val="auto"/>
          <w:highlight w:val="none"/>
        </w:rPr>
      </w:pPr>
      <w:r>
        <w:rPr>
          <w:color w:val="auto"/>
          <w:highlight w:val="none"/>
        </w:rPr>
        <w:t>2.3 总价措施项目应根据拟定的磋商文件和常规施工方案按《计价规范》和《计算规范》规定编制。</w:t>
      </w:r>
    </w:p>
    <w:p w14:paraId="63247316">
      <w:pPr>
        <w:spacing w:line="440" w:lineRule="exact"/>
        <w:ind w:firstLine="420" w:firstLineChars="200"/>
        <w:rPr>
          <w:color w:val="auto"/>
          <w:highlight w:val="none"/>
        </w:rPr>
      </w:pPr>
      <w:r>
        <w:rPr>
          <w:color w:val="auto"/>
          <w:highlight w:val="none"/>
        </w:rPr>
        <w:t>2.4 其他项目费应按下列规定报价：</w:t>
      </w:r>
    </w:p>
    <w:p w14:paraId="32709FDF">
      <w:pPr>
        <w:spacing w:line="440" w:lineRule="exact"/>
        <w:ind w:firstLine="420" w:firstLineChars="200"/>
        <w:rPr>
          <w:color w:val="auto"/>
          <w:highlight w:val="none"/>
        </w:rPr>
      </w:pPr>
      <w:r>
        <w:rPr>
          <w:color w:val="auto"/>
          <w:highlight w:val="none"/>
        </w:rPr>
        <w:t>（1）暂列金额应按工程量清单中列出的金额填写；</w:t>
      </w:r>
    </w:p>
    <w:p w14:paraId="249A4C0F">
      <w:pPr>
        <w:pStyle w:val="163"/>
        <w:spacing w:line="440" w:lineRule="exact"/>
        <w:ind w:firstLine="420" w:firstLineChars="200"/>
        <w:rPr>
          <w:color w:val="auto"/>
          <w:highlight w:val="none"/>
        </w:rPr>
      </w:pPr>
      <w:r>
        <w:rPr>
          <w:color w:val="auto"/>
          <w:highlight w:val="none"/>
        </w:rPr>
        <w:t>（2）材料、工程设备暂估价应按工程量清单中列出的单价计入综合单价；</w:t>
      </w:r>
    </w:p>
    <w:p w14:paraId="56A5F939">
      <w:pPr>
        <w:spacing w:line="440" w:lineRule="exact"/>
        <w:ind w:firstLine="420" w:firstLineChars="200"/>
        <w:rPr>
          <w:color w:val="auto"/>
          <w:highlight w:val="none"/>
        </w:rPr>
      </w:pPr>
      <w:r>
        <w:rPr>
          <w:color w:val="auto"/>
          <w:highlight w:val="none"/>
        </w:rPr>
        <w:t>（3）专业工程暂估价应按工程量清单中列出的金额填写，</w:t>
      </w:r>
      <w:r>
        <w:rPr>
          <w:b/>
          <w:bCs/>
          <w:color w:val="auto"/>
          <w:highlight w:val="none"/>
        </w:rPr>
        <w:t>安全生产责任保险费暂估价应按工程量清单中列出的金额填写</w:t>
      </w:r>
      <w:r>
        <w:rPr>
          <w:color w:val="auto"/>
          <w:highlight w:val="none"/>
        </w:rPr>
        <w:t>；</w:t>
      </w:r>
    </w:p>
    <w:p w14:paraId="08B20C31">
      <w:pPr>
        <w:spacing w:line="440" w:lineRule="exact"/>
        <w:ind w:firstLine="420" w:firstLineChars="200"/>
        <w:rPr>
          <w:color w:val="auto"/>
          <w:highlight w:val="none"/>
        </w:rPr>
      </w:pPr>
      <w:r>
        <w:rPr>
          <w:color w:val="auto"/>
          <w:highlight w:val="none"/>
        </w:rPr>
        <w:t>（4）计日工应按工程量清单中列出的项目和数量，根据工程特点和有关计价依据确定的综合单价计算；</w:t>
      </w:r>
    </w:p>
    <w:p w14:paraId="2AC6B05A">
      <w:pPr>
        <w:spacing w:line="440" w:lineRule="exact"/>
        <w:ind w:firstLine="420" w:firstLineChars="200"/>
        <w:rPr>
          <w:color w:val="auto"/>
          <w:highlight w:val="none"/>
        </w:rPr>
      </w:pPr>
      <w:r>
        <w:rPr>
          <w:color w:val="auto"/>
          <w:highlight w:val="none"/>
        </w:rPr>
        <w:t>（5）总承包服务费应根据工程量清单列出的内容和要求，按自治区住房城乡建设行政主管部门颁发的计价定额及有关规定计算。</w:t>
      </w:r>
    </w:p>
    <w:p w14:paraId="7C0F7D45">
      <w:pPr>
        <w:spacing w:line="440" w:lineRule="exact"/>
        <w:ind w:firstLine="420" w:firstLineChars="200"/>
        <w:rPr>
          <w:color w:val="auto"/>
          <w:highlight w:val="none"/>
        </w:rPr>
      </w:pPr>
      <w:r>
        <w:rPr>
          <w:color w:val="auto"/>
          <w:highlight w:val="none"/>
        </w:rPr>
        <w:t>（6）对建设单位创建优质工程的，鼓励在最高限价和预算中按广西区工程建设定额规定计列工程优质费，并明确工程优质费不可竞争。</w:t>
      </w:r>
    </w:p>
    <w:p w14:paraId="73BDDF83">
      <w:pPr>
        <w:spacing w:line="440" w:lineRule="exact"/>
        <w:ind w:firstLine="420" w:firstLineChars="200"/>
        <w:rPr>
          <w:color w:val="auto"/>
          <w:highlight w:val="none"/>
        </w:rPr>
      </w:pPr>
      <w:r>
        <w:rPr>
          <w:color w:val="auto"/>
          <w:highlight w:val="none"/>
        </w:rPr>
        <w:t>2.5 规费和增值税应按规定确定，作为不可竞争费用。</w:t>
      </w:r>
    </w:p>
    <w:p w14:paraId="479CED36">
      <w:pPr>
        <w:spacing w:line="440" w:lineRule="exact"/>
        <w:ind w:firstLine="420" w:firstLineChars="200"/>
        <w:rPr>
          <w:color w:val="auto"/>
          <w:highlight w:val="none"/>
        </w:rPr>
      </w:pPr>
      <w:r>
        <w:rPr>
          <w:color w:val="auto"/>
          <w:highlight w:val="none"/>
        </w:rPr>
        <w:t>2.6 其它需要说明的问题：</w:t>
      </w:r>
      <w:r>
        <w:rPr>
          <w:rFonts w:hint="eastAsia"/>
          <w:color w:val="auto"/>
          <w:highlight w:val="none"/>
          <w:u w:val="single"/>
          <w:lang w:val="en-US" w:eastAsia="zh-CN"/>
        </w:rPr>
        <w:t>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color w:val="auto"/>
          <w:highlight w:val="none"/>
        </w:rPr>
        <w:t>。</w:t>
      </w:r>
    </w:p>
    <w:p w14:paraId="62CEC83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p>
    <w:p w14:paraId="1B063B7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bookmarkStart w:id="29" w:name="_Toc30817"/>
      <w:bookmarkStart w:id="30" w:name="_Toc12574"/>
      <w:bookmarkStart w:id="31" w:name="_Toc17557"/>
      <w:r>
        <w:rPr>
          <w:rStyle w:val="60"/>
          <w:rFonts w:hint="eastAsia" w:asciiTheme="minorEastAsia" w:hAnsiTheme="minorEastAsia" w:eastAsiaTheme="minorEastAsia" w:cstheme="minorEastAsia"/>
          <w:color w:val="auto"/>
          <w:sz w:val="36"/>
          <w:szCs w:val="36"/>
          <w:highlight w:val="none"/>
        </w:rPr>
        <w:t>本项目工程量清单及图纸另册发放。</w:t>
      </w:r>
    </w:p>
    <w:bookmarkEnd w:id="29"/>
    <w:bookmarkEnd w:id="30"/>
    <w:bookmarkEnd w:id="31"/>
    <w:p w14:paraId="1041C051">
      <w:pPr>
        <w:pStyle w:val="2"/>
        <w:rPr>
          <w:rFonts w:hint="eastAsia"/>
          <w:highlight w:val="none"/>
        </w:rPr>
        <w:sectPr>
          <w:pgSz w:w="11910" w:h="16840"/>
          <w:pgMar w:top="1340" w:right="1500" w:bottom="280" w:left="1680" w:header="720" w:footer="720" w:gutter="0"/>
          <w:cols w:space="720" w:num="1"/>
        </w:sectPr>
      </w:pPr>
    </w:p>
    <w:p w14:paraId="1824930B">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w:t>
      </w:r>
      <w:bookmarkStart w:id="32" w:name="_Toc3710"/>
      <w:r>
        <w:rPr>
          <w:rFonts w:hint="eastAsia" w:asciiTheme="minorEastAsia" w:hAnsiTheme="minorEastAsia" w:eastAsiaTheme="minorEastAsia" w:cstheme="minorEastAsia"/>
          <w:b/>
          <w:bCs/>
          <w:color w:val="auto"/>
          <w:kern w:val="0"/>
          <w:sz w:val="44"/>
          <w:szCs w:val="44"/>
          <w:highlight w:val="none"/>
          <w:lang w:val="en-US" w:eastAsia="zh-CN" w:bidi="ar-SA"/>
        </w:rPr>
        <w:t>评审程序、评审方法和评审标准</w:t>
      </w:r>
      <w:bookmarkEnd w:id="32"/>
    </w:p>
    <w:p w14:paraId="4F75DE68">
      <w:pPr>
        <w:pStyle w:val="3"/>
        <w:jc w:val="center"/>
        <w:rPr>
          <w:rFonts w:hint="eastAsia" w:ascii="宋体" w:hAnsi="宋体"/>
          <w:b w:val="0"/>
          <w:color w:val="auto"/>
          <w:highlight w:val="none"/>
        </w:rPr>
      </w:pPr>
      <w:bookmarkStart w:id="33" w:name="_Toc23320"/>
      <w:bookmarkStart w:id="34" w:name="_Toc80886938"/>
      <w:r>
        <w:rPr>
          <w:rFonts w:hint="eastAsia" w:ascii="宋体" w:hAnsi="宋体"/>
          <w:b w:val="0"/>
          <w:color w:val="auto"/>
          <w:highlight w:val="none"/>
        </w:rPr>
        <w:t>第一节 评审程序和评审方法</w:t>
      </w:r>
      <w:bookmarkEnd w:id="33"/>
      <w:bookmarkEnd w:id="34"/>
    </w:p>
    <w:p w14:paraId="02B5622D">
      <w:pPr>
        <w:spacing w:line="360" w:lineRule="auto"/>
        <w:ind w:firstLine="422" w:firstLineChars="200"/>
        <w:rPr>
          <w:rFonts w:ascii="黑体" w:hAnsi="黑体" w:eastAsia="黑体" w:cs="宋体"/>
          <w:b/>
          <w:bCs/>
          <w:color w:val="auto"/>
          <w:sz w:val="21"/>
          <w:szCs w:val="21"/>
          <w:highlight w:val="none"/>
        </w:rPr>
      </w:pPr>
      <w:r>
        <w:rPr>
          <w:rFonts w:ascii="黑体" w:hAnsi="黑体" w:eastAsia="黑体" w:cs="宋体"/>
          <w:b/>
          <w:bCs/>
          <w:color w:val="auto"/>
          <w:sz w:val="21"/>
          <w:szCs w:val="21"/>
          <w:highlight w:val="none"/>
        </w:rPr>
        <w:t>1</w:t>
      </w:r>
      <w:r>
        <w:rPr>
          <w:rFonts w:hint="eastAsia" w:ascii="黑体" w:hAnsi="黑体" w:eastAsia="黑体" w:cs="宋体"/>
          <w:b/>
          <w:bCs/>
          <w:color w:val="auto"/>
          <w:sz w:val="21"/>
          <w:szCs w:val="21"/>
          <w:highlight w:val="none"/>
        </w:rPr>
        <w:t>.确认磋商文件</w:t>
      </w:r>
    </w:p>
    <w:p w14:paraId="4E551B5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1.1</w:t>
      </w:r>
      <w:r>
        <w:rPr>
          <w:rFonts w:hint="eastAsia" w:ascii="宋体" w:hAnsi="宋体" w:cs="宋体"/>
          <w:color w:val="auto"/>
          <w:sz w:val="21"/>
          <w:szCs w:val="21"/>
          <w:highlight w:val="none"/>
        </w:rPr>
        <w:t>由磋商小组确认磋商文件。</w:t>
      </w:r>
    </w:p>
    <w:p w14:paraId="0B8C0E3E">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2.资格审查</w:t>
      </w:r>
    </w:p>
    <w:p w14:paraId="64D99DE1">
      <w:pPr>
        <w:snapToGrid w:val="0"/>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rPr>
        <w:t>2.1</w:t>
      </w:r>
      <w:r>
        <w:rPr>
          <w:rFonts w:hint="eastAsia" w:ascii="宋体" w:hAnsi="宋体"/>
          <w:color w:val="auto"/>
          <w:sz w:val="21"/>
          <w:szCs w:val="21"/>
          <w:highlight w:val="none"/>
        </w:rPr>
        <w:t>响应文件开启后</w:t>
      </w:r>
      <w:r>
        <w:rPr>
          <w:rFonts w:hint="eastAsia" w:ascii="宋体" w:hAnsi="宋体"/>
          <w:color w:val="auto"/>
          <w:szCs w:val="21"/>
          <w:highlight w:val="none"/>
        </w:rPr>
        <w:t>，磋商小组依法对供应商的资格证明文件进行审查。</w:t>
      </w:r>
    </w:p>
    <w:p w14:paraId="51C66990">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注：采购人代表或者采购代理机构在资格审查结束前，对供应商进行信用查询。</w:t>
      </w:r>
    </w:p>
    <w:p w14:paraId="35BD6838">
      <w:pPr>
        <w:snapToGrid w:val="0"/>
        <w:spacing w:line="360" w:lineRule="auto"/>
        <w:ind w:firstLine="420" w:firstLineChars="200"/>
        <w:jc w:val="left"/>
        <w:rPr>
          <w:rFonts w:hint="eastAsia" w:ascii="宋体" w:hAnsi="宋体" w:cs="宋体"/>
          <w:color w:val="auto"/>
          <w:szCs w:val="21"/>
          <w:highlight w:val="none"/>
        </w:rPr>
      </w:pPr>
      <w:r>
        <w:rPr>
          <w:rFonts w:hint="eastAsia" w:ascii="宋体" w:hAnsi="宋体" w:cs="宋体"/>
          <w:color w:val="auto"/>
          <w:szCs w:val="21"/>
          <w:highlight w:val="none"/>
        </w:rPr>
        <w:t>（1）查询渠道：“</w:t>
      </w:r>
      <w:r>
        <w:rPr>
          <w:rFonts w:hint="eastAsia" w:ascii="宋体" w:hAnsi="宋体" w:cs="宋体"/>
          <w:color w:val="auto"/>
          <w:szCs w:val="21"/>
          <w:highlight w:val="none"/>
          <w:lang w:val="en-US" w:eastAsia="zh-CN"/>
        </w:rPr>
        <w:t>广西</w:t>
      </w:r>
      <w:r>
        <w:rPr>
          <w:rFonts w:hint="eastAsia" w:ascii="宋体" w:hAnsi="宋体" w:cs="宋体"/>
          <w:color w:val="auto"/>
          <w:szCs w:val="21"/>
          <w:highlight w:val="none"/>
          <w:lang w:eastAsia="zh-CN"/>
        </w:rPr>
        <w:t>广西政府采购云</w:t>
      </w:r>
      <w:r>
        <w:rPr>
          <w:rFonts w:hint="eastAsia" w:ascii="宋体" w:hAnsi="宋体" w:cs="宋体"/>
          <w:color w:val="auto"/>
          <w:szCs w:val="21"/>
          <w:highlight w:val="none"/>
        </w:rPr>
        <w:t>”平台“信用中国”网站(</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www.creditchina.gov.cn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www.creditchina.gov.cn</w:t>
      </w:r>
      <w:r>
        <w:rPr>
          <w:rFonts w:ascii="宋体" w:hAnsi="宋体" w:cs="宋体"/>
          <w:color w:val="auto"/>
          <w:szCs w:val="21"/>
          <w:highlight w:val="none"/>
        </w:rPr>
        <w:fldChar w:fldCharType="end"/>
      </w:r>
      <w:r>
        <w:rPr>
          <w:rFonts w:hint="eastAsia" w:ascii="宋体" w:hAnsi="宋体" w:cs="宋体"/>
          <w:color w:val="auto"/>
          <w:szCs w:val="21"/>
          <w:highlight w:val="none"/>
        </w:rPr>
        <w:t>)、中国政府采购网(</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www.ccgp.gov.cn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www.ccgp.gov.cn</w:t>
      </w:r>
      <w:r>
        <w:rPr>
          <w:rFonts w:ascii="宋体" w:hAnsi="宋体" w:cs="宋体"/>
          <w:color w:val="auto"/>
          <w:szCs w:val="21"/>
          <w:highlight w:val="none"/>
        </w:rPr>
        <w:fldChar w:fldCharType="end"/>
      </w:r>
      <w:r>
        <w:rPr>
          <w:rFonts w:hint="eastAsia" w:ascii="宋体" w:hAnsi="宋体" w:cs="宋体"/>
          <w:color w:val="auto"/>
          <w:szCs w:val="21"/>
          <w:highlight w:val="none"/>
        </w:rPr>
        <w:t>)链接入口。</w:t>
      </w:r>
    </w:p>
    <w:p w14:paraId="477AB17A">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（2）信用查询截止时点：资格审查结束前。</w:t>
      </w:r>
    </w:p>
    <w:p w14:paraId="12B839A4">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查询记录和证据留存方式：在查询网站中直接打印查询记录，截图另存为电子文档作为评审资料保存。</w:t>
      </w:r>
    </w:p>
    <w:p w14:paraId="0517CC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（3）信用信息使用规则：对在“信用中国”网站(www.creditchina.gov.cn)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29B9949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2.2资格审查标准为本磋商文件中载明对供应商资格要求的条件。资格审查采用合格制，凡符合磋商文件规定的供应商资格要求的响应文件均通过资格审查。</w:t>
      </w:r>
    </w:p>
    <w:p w14:paraId="63CF60F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2.3供应商有下列情形之一的，资格审查不通过，其响应文件按无效响应处理：</w:t>
      </w:r>
    </w:p>
    <w:p w14:paraId="66CA260D">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1</w:t>
      </w:r>
      <w:r>
        <w:rPr>
          <w:rFonts w:hint="eastAsia" w:ascii="宋体" w:hAnsi="宋体" w:cs="宋体"/>
          <w:color w:val="auto"/>
          <w:szCs w:val="21"/>
          <w:highlight w:val="none"/>
        </w:rPr>
        <w:t>）不具备磋商文件中规定的资格要求的；</w:t>
      </w:r>
    </w:p>
    <w:p w14:paraId="54F4867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）响应文件未提供任一项“供应商须知前附表”资格证明文件规定的“必须提供”的文件资料的；</w:t>
      </w:r>
    </w:p>
    <w:p w14:paraId="16625F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3</w:t>
      </w:r>
      <w:r>
        <w:rPr>
          <w:rFonts w:hint="eastAsia" w:ascii="宋体" w:hAnsi="宋体" w:cs="宋体"/>
          <w:color w:val="auto"/>
          <w:szCs w:val="21"/>
          <w:highlight w:val="none"/>
        </w:rPr>
        <w:t>）响应文件提供的资格证明文件出现任一项不符合“供应商须知前附表”资格证明文件规定的“必须提供”的文件资料要求或者无效的。</w:t>
      </w:r>
    </w:p>
    <w:p w14:paraId="54A73238">
      <w:pPr>
        <w:spacing w:line="360" w:lineRule="auto"/>
        <w:ind w:firstLine="420" w:firstLineChars="200"/>
        <w:rPr>
          <w:rFonts w:hint="eastAsia" w:ascii="宋体" w:hAnsi="宋体" w:cs="宋体"/>
          <w:color w:val="auto"/>
          <w:szCs w:val="21"/>
          <w:highlight w:val="none"/>
        </w:rPr>
      </w:pPr>
      <w:bookmarkStart w:id="35" w:name="_Hlk68601553"/>
      <w:r>
        <w:rPr>
          <w:rFonts w:hint="eastAsia" w:ascii="宋体" w:hAnsi="宋体" w:cs="宋体"/>
          <w:color w:val="auto"/>
          <w:szCs w:val="21"/>
          <w:highlight w:val="none"/>
        </w:rPr>
        <w:t>（4）同一合同项下的不同供应商，单位负责人为同一人或者存在直接控股、管理关系的；为本项目提供过整体设计、规范编制或者项目管理、监理、检测等服务的。</w:t>
      </w:r>
      <w:bookmarkEnd w:id="35"/>
    </w:p>
    <w:p w14:paraId="6C254EAB">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2.4通过资格审查的合格供应商不足3家的，不得进入符合性审查环节，</w:t>
      </w:r>
      <w:r>
        <w:rPr>
          <w:rFonts w:hint="eastAsia" w:ascii="宋体" w:hAnsi="宋体"/>
          <w:color w:val="auto"/>
          <w:szCs w:val="21"/>
          <w:highlight w:val="none"/>
        </w:rPr>
        <w:t>采购人或者采购代理机构应当重新开展采购活动。</w:t>
      </w:r>
    </w:p>
    <w:p w14:paraId="7B154E33">
      <w:pPr>
        <w:pStyle w:val="27"/>
        <w:rPr>
          <w:rFonts w:hint="eastAsia"/>
          <w:color w:val="auto"/>
          <w:highlight w:val="none"/>
        </w:rPr>
      </w:pPr>
    </w:p>
    <w:p w14:paraId="32C52ACD">
      <w:pPr>
        <w:spacing w:line="360" w:lineRule="auto"/>
        <w:ind w:firstLine="482" w:firstLineChars="200"/>
        <w:rPr>
          <w:rFonts w:hint="eastAsia" w:ascii="黑体" w:hAnsi="黑体" w:eastAsia="黑体" w:cs="宋体"/>
          <w:b/>
          <w:bCs/>
          <w:color w:val="auto"/>
          <w:sz w:val="24"/>
          <w:highlight w:val="none"/>
        </w:rPr>
      </w:pPr>
      <w:r>
        <w:rPr>
          <w:rFonts w:hint="eastAsia" w:ascii="黑体" w:hAnsi="黑体" w:eastAsia="黑体" w:cs="宋体"/>
          <w:b/>
          <w:bCs/>
          <w:color w:val="auto"/>
          <w:sz w:val="24"/>
          <w:highlight w:val="none"/>
        </w:rPr>
        <w:t>3.符合性审查</w:t>
      </w:r>
    </w:p>
    <w:p w14:paraId="5802B6F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.1</w:t>
      </w:r>
      <w:r>
        <w:rPr>
          <w:rFonts w:hint="eastAsia" w:ascii="宋体" w:hAnsi="宋体" w:cs="宋体"/>
          <w:color w:val="auto"/>
          <w:szCs w:val="21"/>
          <w:highlight w:val="none"/>
        </w:rPr>
        <w:t>由磋商小组对</w:t>
      </w:r>
      <w:r>
        <w:rPr>
          <w:rFonts w:hint="eastAsia" w:ascii="宋体" w:hAnsi="宋体"/>
          <w:color w:val="auto"/>
          <w:szCs w:val="21"/>
          <w:highlight w:val="none"/>
        </w:rPr>
        <w:t>通过资格审查的合格供应商</w:t>
      </w:r>
      <w:r>
        <w:rPr>
          <w:rFonts w:hint="eastAsia" w:ascii="宋体" w:hAnsi="宋体" w:cs="宋体"/>
          <w:color w:val="auto"/>
          <w:szCs w:val="21"/>
          <w:highlight w:val="none"/>
        </w:rPr>
        <w:t>的响应文件的响应报价、商务、技术等实质性要求进行符合性审查，以确定其是否满足磋商文件的实质性要求。</w:t>
      </w:r>
    </w:p>
    <w:p w14:paraId="5918ACB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.2</w:t>
      </w:r>
      <w:r>
        <w:rPr>
          <w:rFonts w:hint="eastAsia" w:ascii="宋体" w:hAnsi="宋体" w:cs="宋体"/>
          <w:color w:val="auto"/>
          <w:szCs w:val="21"/>
          <w:highlight w:val="none"/>
        </w:rPr>
        <w:t>磋商小组在对响应文件进行符合性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22856B4">
      <w:pPr>
        <w:spacing w:line="360" w:lineRule="auto"/>
        <w:ind w:firstLine="420" w:firstLineChars="200"/>
        <w:rPr>
          <w:rFonts w:ascii="宋体" w:hAnsi="宋体" w:cs="宋体"/>
          <w:color w:val="auto"/>
          <w:spacing w:val="-6"/>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3</w:t>
      </w:r>
      <w:r>
        <w:rPr>
          <w:rFonts w:hint="eastAsia" w:ascii="宋体" w:hAnsi="宋体" w:cs="宋体"/>
          <w:color w:val="auto"/>
          <w:szCs w:val="21"/>
          <w:highlight w:val="none"/>
        </w:rPr>
        <w:t>磋商小组要求供应商澄清、说明或者更正响应文件应当以电子澄清函形式作出。供应商的澄清、说明或者更正应当</w:t>
      </w:r>
      <w:r>
        <w:rPr>
          <w:rFonts w:hint="eastAsia" w:ascii="宋体" w:hAnsi="宋体" w:cs="宋体"/>
          <w:color w:val="auto"/>
          <w:szCs w:val="21"/>
          <w:highlight w:val="none"/>
          <w:lang w:val="en-US" w:eastAsia="zh-CN"/>
        </w:rPr>
        <w:t>以</w:t>
      </w:r>
      <w:r>
        <w:rPr>
          <w:rFonts w:hint="eastAsia" w:ascii="宋体" w:hAnsi="宋体" w:cs="宋体"/>
          <w:color w:val="auto"/>
          <w:szCs w:val="21"/>
          <w:highlight w:val="none"/>
        </w:rPr>
        <w:t>电子回函形式按照磋商小组的要求作出明确的澄清、说明或者更正，未按磋商小组的要求作出明确澄清、说明或者更正的供应商的响应文件将按照有利于采购人的原则由磋商小组进行判定。供应商的澄清、说明或者更正必须加盖电子公章</w:t>
      </w:r>
      <w:r>
        <w:rPr>
          <w:rFonts w:hint="eastAsia" w:ascii="宋体" w:hAnsi="宋体" w:cs="宋体"/>
          <w:color w:val="auto"/>
          <w:spacing w:val="-6"/>
          <w:szCs w:val="21"/>
          <w:highlight w:val="none"/>
        </w:rPr>
        <w:t>。供应商为自然人的，必须由本人签字并附身份证明。</w:t>
      </w:r>
    </w:p>
    <w:p w14:paraId="4BA2E78B">
      <w:pPr>
        <w:spacing w:line="360" w:lineRule="auto"/>
        <w:ind w:firstLine="396" w:firstLineChars="200"/>
        <w:rPr>
          <w:rFonts w:hint="eastAsia" w:ascii="宋体" w:hAnsi="宋体" w:cs="宋体"/>
          <w:color w:val="auto"/>
          <w:szCs w:val="21"/>
          <w:highlight w:val="none"/>
        </w:rPr>
      </w:pPr>
      <w:r>
        <w:rPr>
          <w:rFonts w:hint="eastAsia" w:ascii="宋体" w:hAnsi="宋体" w:cs="宋体"/>
          <w:color w:val="auto"/>
          <w:spacing w:val="-6"/>
          <w:szCs w:val="21"/>
          <w:highlight w:val="none"/>
        </w:rPr>
        <w:t>3</w:t>
      </w:r>
      <w:r>
        <w:rPr>
          <w:rFonts w:ascii="宋体" w:hAnsi="宋体" w:cs="宋体"/>
          <w:color w:val="auto"/>
          <w:spacing w:val="-6"/>
          <w:szCs w:val="21"/>
          <w:highlight w:val="none"/>
        </w:rPr>
        <w:t>.4</w:t>
      </w:r>
      <w:r>
        <w:rPr>
          <w:rFonts w:hint="eastAsia" w:ascii="宋体" w:hAnsi="宋体" w:cs="宋体"/>
          <w:color w:val="auto"/>
          <w:szCs w:val="21"/>
          <w:highlight w:val="none"/>
        </w:rPr>
        <w:t xml:space="preserve">首次响应文件报价出现前后不一致的，按照下列规定修正： </w:t>
      </w:r>
    </w:p>
    <w:p w14:paraId="69978456">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（1）响应文件中报价表内容与响应文件中相应内容不一致的，以报价表为准；</w:t>
      </w:r>
    </w:p>
    <w:p w14:paraId="7639A7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（2）大写金额和小写金额不一致的，以大写金额为准；</w:t>
      </w:r>
    </w:p>
    <w:p w14:paraId="1AF843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（3）单价金额小数点或者百分比有明显错位的，以报价表的总价为准，并修改单价；</w:t>
      </w:r>
    </w:p>
    <w:p w14:paraId="2978622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（4）总价金额与按单价汇总金额不一致的，以单价金额计算结果为准。</w:t>
      </w:r>
    </w:p>
    <w:p w14:paraId="5EAFF3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同时出现两种以上不一致的，按照以上（1）-（4）规定的顺序逐条进行修正。修正后的报价经供应商确认后产生约束力，供应商不确认的，其响应文件按无效响应处理。</w:t>
      </w:r>
    </w:p>
    <w:p w14:paraId="1B1C872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5</w:t>
      </w:r>
      <w:r>
        <w:rPr>
          <w:rFonts w:hint="eastAsia" w:ascii="宋体" w:hAnsi="宋体" w:cs="宋体"/>
          <w:color w:val="auto"/>
          <w:szCs w:val="21"/>
          <w:highlight w:val="none"/>
        </w:rPr>
        <w:t>商务技术、报价评审</w:t>
      </w:r>
    </w:p>
    <w:p w14:paraId="02FE38C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在评审时，如发现下列情形之一的，将被视为响应文件无效处理：</w:t>
      </w:r>
    </w:p>
    <w:p w14:paraId="1140CFA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（1）商务技术评审</w:t>
      </w:r>
    </w:p>
    <w:p w14:paraId="69C5AE8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1）响应文件未按磋商文件要求签署、盖章；</w:t>
      </w:r>
    </w:p>
    <w:p w14:paraId="0569AA2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2）委托代理人未能出具有效身份证明或者出具的身份证明与授权委托书中的信息不符； </w:t>
      </w:r>
    </w:p>
    <w:p w14:paraId="6C0F9A85">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3）响应文件未提供任一项“供应商须知前附表” 商务技术文件中 “必须提供”或者“委托时必须提供”的文件资料；响应文件提供的商务技术文件出现任一项不符合“供应商须知前附表”商务技术文件中 “必须提供”或者“委托时必须提供”文件资料要求的规定或者提供的商务技术文件无效</w:t>
      </w:r>
      <w:r>
        <w:rPr>
          <w:rFonts w:hint="eastAsia" w:ascii="宋体" w:hAnsi="宋体" w:cs="宋体"/>
          <w:color w:val="auto"/>
          <w:szCs w:val="21"/>
          <w:highlight w:val="none"/>
          <w:lang w:eastAsia="zh-CN"/>
        </w:rPr>
        <w:t>；</w:t>
      </w:r>
    </w:p>
    <w:p w14:paraId="16BEB5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4）实质性的要求发生负偏离；</w:t>
      </w:r>
    </w:p>
    <w:p w14:paraId="56C6F64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5）未对竞标有效期作出响应或者响应文件承诺的竞标有效期不满足磋商文件要求；</w:t>
      </w:r>
    </w:p>
    <w:p w14:paraId="756F0AB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6）响应文件的实质性内容未使用中文表述、使用计量单位不符合磋商文件要求；</w:t>
      </w:r>
    </w:p>
    <w:p w14:paraId="7975E91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7）响应文件中的文件资料因填写不齐全或者内容虚假或者出现其他情形而导致被磋商小组认定无效；</w:t>
      </w:r>
    </w:p>
    <w:p w14:paraId="3701826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8）响应文件含有采购人不能接受的附加条件；</w:t>
      </w:r>
    </w:p>
    <w:p w14:paraId="458499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9）属于“供应商须知正文”第7.</w:t>
      </w:r>
      <w:r>
        <w:rPr>
          <w:rFonts w:ascii="宋体" w:hAnsi="宋体" w:cs="宋体"/>
          <w:color w:val="auto"/>
          <w:szCs w:val="21"/>
          <w:highlight w:val="none"/>
        </w:rPr>
        <w:t>5</w:t>
      </w:r>
      <w:r>
        <w:rPr>
          <w:rFonts w:hint="eastAsia" w:ascii="宋体" w:hAnsi="宋体" w:cs="宋体"/>
          <w:color w:val="auto"/>
          <w:szCs w:val="21"/>
          <w:highlight w:val="none"/>
        </w:rPr>
        <w:t>条情形；</w:t>
      </w:r>
    </w:p>
    <w:p w14:paraId="06D4C6D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0</w:t>
      </w:r>
      <w:r>
        <w:rPr>
          <w:rFonts w:hint="eastAsia" w:ascii="宋体" w:hAnsi="宋体" w:cs="宋体"/>
          <w:color w:val="auto"/>
          <w:szCs w:val="21"/>
          <w:highlight w:val="none"/>
        </w:rPr>
        <w:t>）虚假竞标，或者出现其他情形而导致被磋商小组认定无效；</w:t>
      </w:r>
    </w:p>
    <w:p w14:paraId="31398C5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1</w:t>
      </w:r>
      <w:r>
        <w:rPr>
          <w:rFonts w:hint="eastAsia" w:ascii="宋体" w:hAnsi="宋体" w:cs="宋体"/>
          <w:color w:val="auto"/>
          <w:szCs w:val="21"/>
          <w:highlight w:val="none"/>
        </w:rPr>
        <w:t>）竞标技术方案不明确，磋商文件未允许</w:t>
      </w:r>
      <w:r>
        <w:rPr>
          <w:rFonts w:hint="eastAsia" w:ascii="宋体" w:hAnsi="宋体"/>
          <w:color w:val="auto"/>
          <w:szCs w:val="21"/>
          <w:highlight w:val="none"/>
        </w:rPr>
        <w:t>但响应文件中</w:t>
      </w:r>
      <w:r>
        <w:rPr>
          <w:rFonts w:hint="eastAsia" w:ascii="宋体" w:hAnsi="宋体" w:cs="宋体"/>
          <w:color w:val="auto"/>
          <w:szCs w:val="21"/>
          <w:highlight w:val="none"/>
        </w:rPr>
        <w:t>存在一个或者一个以上备选（替代）竞标方案；</w:t>
      </w:r>
    </w:p>
    <w:p w14:paraId="3FDF0D9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）响应文件标注的项目名称或者项目编号与竞争性磋商文件标注的项目名称或者项目编号不一致的；</w:t>
      </w:r>
    </w:p>
    <w:p w14:paraId="310851B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3</w:t>
      </w:r>
      <w:r>
        <w:rPr>
          <w:rFonts w:hint="eastAsia" w:ascii="宋体" w:hAnsi="宋体" w:cs="宋体"/>
          <w:color w:val="auto"/>
          <w:szCs w:val="21"/>
          <w:highlight w:val="none"/>
        </w:rPr>
        <w:t>）未响应磋商文件实质性要求；</w:t>
      </w:r>
    </w:p>
    <w:p w14:paraId="7A08B6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4</w:t>
      </w:r>
      <w:r>
        <w:rPr>
          <w:rFonts w:hint="eastAsia" w:ascii="宋体" w:hAnsi="宋体" w:cs="宋体"/>
          <w:color w:val="auto"/>
          <w:szCs w:val="21"/>
          <w:highlight w:val="none"/>
        </w:rPr>
        <w:t>）法律、法规和磋商文件规定的其他无效情形。</w:t>
      </w:r>
    </w:p>
    <w:p w14:paraId="4E84FF2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）报价评审</w:t>
      </w:r>
    </w:p>
    <w:p w14:paraId="5BD70C3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 xml:space="preserve"> </w:t>
      </w:r>
      <w:r>
        <w:rPr>
          <w:rFonts w:hint="eastAsia" w:ascii="宋体" w:hAnsi="宋体" w:cs="宋体"/>
          <w:color w:val="auto"/>
          <w:szCs w:val="21"/>
          <w:highlight w:val="none"/>
        </w:rPr>
        <w:t>响应文件未提供“供应商须知前附表” 报价文件中规定的“</w:t>
      </w:r>
      <w:r>
        <w:rPr>
          <w:rFonts w:hint="eastAsia" w:ascii="宋体" w:hAnsi="宋体" w:cs="宋体"/>
          <w:color w:val="auto"/>
          <w:szCs w:val="21"/>
          <w:highlight w:val="none"/>
          <w:lang w:val="en-US" w:eastAsia="zh-CN"/>
        </w:rPr>
        <w:t>磋商</w:t>
      </w:r>
      <w:r>
        <w:rPr>
          <w:rFonts w:hint="eastAsia" w:ascii="宋体" w:hAnsi="宋体" w:cs="宋体"/>
          <w:color w:val="auto"/>
          <w:szCs w:val="21"/>
          <w:highlight w:val="none"/>
        </w:rPr>
        <w:t>报价表”；</w:t>
      </w:r>
    </w:p>
    <w:p w14:paraId="6FB492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2）未采用人民币报价或者未按照磋商文件标明的币种报价；</w:t>
      </w:r>
    </w:p>
    <w:p w14:paraId="3CFF64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未就所竞标分标进行报价或者存在漏项报价；供应商未就所竞标分标的单项内容作唯一报价；供应商未就所竞标分标的全部内容作唯一总价报价；供应商响应文件中存在有选择、有条件报价的（磋商文件允许有备选方案或者其他约定的除外）；</w:t>
      </w:r>
    </w:p>
    <w:p w14:paraId="34CD7FA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响应报价（包含首次报价、最后报价）超过所竞标分标规定的采购预算金额或者最高限价的（如本项目公布了最高限价）；响应报价（包含首次报价、最后报价）超过磋商文件分项采购预算金额或者最高限价的（如本项目公布了最高限价）；</w:t>
      </w:r>
    </w:p>
    <w:p w14:paraId="2DBC80E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修正后的报价，供应商不确认的；或者经供应商确认修正后的响应报价（包含首次报价、最后报价）超过所竞标分标规定的采购预算金额或者最高限价（如本项目公布了最高限价）；或者经供应商确认修正后响应报价（包含首次报价、最后报价）超过磋商文件分项采购预算金额或者最高限价的（如本项目公布了最高限价）。</w:t>
      </w:r>
    </w:p>
    <w:p w14:paraId="3D033B8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olor w:val="auto"/>
          <w:szCs w:val="21"/>
          <w:highlight w:val="none"/>
        </w:rPr>
        <w:t>响应文件响应的标的数量及单位与竞争性磋商采购文件要求实质性不一致的。</w:t>
      </w:r>
    </w:p>
    <w:p w14:paraId="26BE550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.6</w:t>
      </w:r>
      <w:r>
        <w:rPr>
          <w:rFonts w:hint="eastAsia" w:ascii="宋体" w:hAnsi="宋体" w:cs="宋体"/>
          <w:color w:val="auto"/>
          <w:szCs w:val="21"/>
          <w:highlight w:val="none"/>
        </w:rPr>
        <w:t>磋商小组对响应文件进行评审，未实质性响应磋商文件的响应文件按无效处理，磋商小组应当将资格和符合性不通过的情况告知有关供应商。磋商小组从符合磋商文件规定的相应资格条件的供应商名单中确定不少于3家的供应商参加磋商。</w:t>
      </w:r>
    </w:p>
    <w:p w14:paraId="1A5E569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.7</w:t>
      </w:r>
      <w:r>
        <w:rPr>
          <w:rFonts w:hint="eastAsia" w:ascii="宋体" w:hAnsi="宋体" w:cs="宋体"/>
          <w:color w:val="auto"/>
          <w:szCs w:val="21"/>
          <w:highlight w:val="none"/>
        </w:rPr>
        <w:t>非</w:t>
      </w:r>
      <w:r>
        <w:rPr>
          <w:rFonts w:hint="eastAsia" w:ascii="宋体" w:hAnsi="宋体"/>
          <w:color w:val="auto"/>
          <w:szCs w:val="21"/>
          <w:highlight w:val="none"/>
        </w:rPr>
        <w:t>政府购买服务项目，通过符合性审查的合格供应商不足3家的，不得进入磋商环节，采购人或者采购代理机构应当重新开展采购活动。政府购买服务项目，按《财政部关于政府采购竞争性磋商采购方式管理暂行办法有关问题的补充通知》（财库〔2015〕124号）规定，采购过程中通过符合性审查的供应商（社会资本）只有2家的，磋商采购活动可以继续进行。</w:t>
      </w:r>
    </w:p>
    <w:p w14:paraId="4356E723">
      <w:pPr>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4.磋商程序</w:t>
      </w:r>
    </w:p>
    <w:p w14:paraId="4F95A144">
      <w:pPr>
        <w:spacing w:line="360" w:lineRule="auto"/>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ascii="宋体" w:hAnsi="宋体" w:cs="宋体"/>
          <w:color w:val="auto"/>
          <w:kern w:val="0"/>
          <w:szCs w:val="21"/>
          <w:highlight w:val="none"/>
        </w:rPr>
        <w:t>.1</w:t>
      </w:r>
      <w:r>
        <w:rPr>
          <w:rFonts w:hint="eastAsia" w:ascii="宋体" w:hAnsi="宋体" w:cs="宋体"/>
          <w:color w:val="auto"/>
          <w:kern w:val="0"/>
          <w:szCs w:val="21"/>
          <w:highlight w:val="none"/>
        </w:rPr>
        <w:t>磋商小组按照“供应商须知前附表”</w:t>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确定的</w:t>
      </w:r>
      <w:r>
        <w:rPr>
          <w:rFonts w:hint="eastAsia" w:ascii="宋体" w:hAnsi="宋体" w:cs="宋体"/>
          <w:color w:val="auto"/>
          <w:szCs w:val="21"/>
          <w:highlight w:val="none"/>
        </w:rPr>
        <w:t>顺序，集中与单一供应商分别进行磋商，并给予所有参加磋商的供应商平等的磋商机会。符合磋商资格的供应商必须在接到磋商通知后规定时间内参加磋商，未在规定时间内参加磋商的视同放弃参加磋商权利，其响应文件按无效响应处理。</w:t>
      </w:r>
    </w:p>
    <w:p w14:paraId="405B23A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.2</w:t>
      </w:r>
      <w:r>
        <w:rPr>
          <w:rFonts w:hint="eastAsia" w:ascii="宋体" w:hAnsi="宋体" w:cs="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可能实质性变动的内容为采购需求中的技术、服务要求以及合同草案条款。</w:t>
      </w:r>
    </w:p>
    <w:p w14:paraId="71A9740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.3</w:t>
      </w:r>
      <w:r>
        <w:rPr>
          <w:rFonts w:hint="eastAsia" w:ascii="宋体" w:hAnsi="宋体" w:cs="宋体"/>
          <w:color w:val="auto"/>
          <w:szCs w:val="21"/>
          <w:highlight w:val="none"/>
        </w:rPr>
        <w:t>对磋商文件作出的实质性变动是磋商文件的有效组成部分，由磋商小组及时以电子澄清函形式同时通知所有参加磋商的供应商。</w:t>
      </w:r>
    </w:p>
    <w:p w14:paraId="2A41CDF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.4</w:t>
      </w:r>
      <w:r>
        <w:rPr>
          <w:rFonts w:hint="eastAsia" w:ascii="宋体" w:hAnsi="宋体" w:cs="宋体"/>
          <w:color w:val="auto"/>
          <w:szCs w:val="21"/>
          <w:highlight w:val="none"/>
        </w:rPr>
        <w:t>供应商必须按照磋商文件的变动情况和磋商小组的要求以回函的形式重新提交响应文件，并加盖电子公章。供应商为自然人的，必须由本人签字并附身份证明。参加磋商的供应商未在规定时间内重新提交响应文件的，视同退出磋商。</w:t>
      </w:r>
    </w:p>
    <w:p w14:paraId="465B9D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.5</w:t>
      </w:r>
      <w:r>
        <w:rPr>
          <w:rFonts w:hint="eastAsia" w:ascii="宋体" w:hAnsi="宋体" w:cs="宋体"/>
          <w:color w:val="auto"/>
          <w:szCs w:val="21"/>
          <w:highlight w:val="none"/>
        </w:rPr>
        <w:t>磋商中，</w:t>
      </w:r>
      <w:r>
        <w:rPr>
          <w:rFonts w:hint="eastAsia" w:ascii="宋体" w:hAnsi="宋体" w:cs="宋体"/>
          <w:color w:val="auto"/>
          <w:spacing w:val="-6"/>
          <w:szCs w:val="21"/>
          <w:highlight w:val="none"/>
        </w:rPr>
        <w:t>磋商的任何一方不得透露与磋商有关的其他供应商的技术资料、价格和其他信息。</w:t>
      </w:r>
    </w:p>
    <w:p w14:paraId="2F908B59">
      <w:pPr>
        <w:widowControl/>
        <w:tabs>
          <w:tab w:val="left" w:pos="540"/>
        </w:tabs>
        <w:spacing w:line="360" w:lineRule="auto"/>
        <w:ind w:firstLine="420" w:firstLineChars="200"/>
        <w:jc w:val="left"/>
        <w:rPr>
          <w:rFonts w:hint="eastAsia" w:ascii="仿宋" w:hAnsi="仿宋" w:eastAsia="仿宋" w:cs="仿宋_GB2312"/>
          <w:b/>
          <w:color w:val="auto"/>
          <w:highlight w:val="none"/>
        </w:rPr>
      </w:pPr>
      <w:r>
        <w:rPr>
          <w:rFonts w:hint="eastAsia" w:ascii="宋体" w:hAnsi="宋体" w:cs="宋体"/>
          <w:color w:val="auto"/>
          <w:szCs w:val="21"/>
          <w:highlight w:val="none"/>
        </w:rPr>
        <w:t>4</w:t>
      </w:r>
      <w:r>
        <w:rPr>
          <w:rFonts w:ascii="宋体" w:hAnsi="宋体" w:cs="宋体"/>
          <w:color w:val="auto"/>
          <w:szCs w:val="21"/>
          <w:highlight w:val="none"/>
        </w:rPr>
        <w:t>.6</w:t>
      </w:r>
      <w:r>
        <w:rPr>
          <w:rFonts w:hint="eastAsia" w:ascii="宋体" w:hAnsi="宋体" w:cs="宋体"/>
          <w:color w:val="auto"/>
          <w:szCs w:val="21"/>
          <w:highlight w:val="none"/>
        </w:rPr>
        <w:t>磋商小组应对磋商过程和重要磋商内容进行记录，作为评标报告一部分，磋商小组在记录上签字确认。</w:t>
      </w:r>
      <w:r>
        <w:rPr>
          <w:rFonts w:hint="eastAsia" w:ascii="仿宋" w:hAnsi="仿宋" w:eastAsia="仿宋" w:cs="仿宋_GB2312"/>
          <w:b/>
          <w:color w:val="auto"/>
          <w:highlight w:val="none"/>
        </w:rPr>
        <w:t>主要内容包括：</w:t>
      </w:r>
    </w:p>
    <w:p w14:paraId="258CFA35">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（1）按照相关规定进行公示的，公示情况说明；</w:t>
      </w:r>
    </w:p>
    <w:p w14:paraId="0C2E2036">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（2）磋商日期和地点，</w:t>
      </w:r>
      <w:r>
        <w:rPr>
          <w:rFonts w:hint="eastAsia" w:ascii="宋体" w:hAnsi="宋体" w:cs="宋体"/>
          <w:color w:val="auto"/>
          <w:spacing w:val="-6"/>
          <w:kern w:val="2"/>
          <w:sz w:val="21"/>
          <w:szCs w:val="21"/>
          <w:highlight w:val="none"/>
          <w:lang w:eastAsia="zh-CN"/>
        </w:rPr>
        <w:t>磋商供应商</w:t>
      </w:r>
      <w:r>
        <w:rPr>
          <w:rFonts w:hint="eastAsia" w:ascii="宋体" w:hAnsi="宋体" w:cs="宋体"/>
          <w:color w:val="auto"/>
          <w:spacing w:val="-6"/>
          <w:kern w:val="2"/>
          <w:sz w:val="21"/>
          <w:szCs w:val="21"/>
          <w:highlight w:val="none"/>
        </w:rPr>
        <w:t>名单；</w:t>
      </w:r>
    </w:p>
    <w:p w14:paraId="2058B454">
      <w:pPr>
        <w:pStyle w:val="168"/>
        <w:spacing w:before="0"/>
        <w:ind w:firstLine="396"/>
        <w:rPr>
          <w:rFonts w:hint="eastAsia"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（3）合同主要条款及价格商定情况。</w:t>
      </w:r>
    </w:p>
    <w:p w14:paraId="30C08506">
      <w:pPr>
        <w:widowControl/>
        <w:tabs>
          <w:tab w:val="left" w:pos="540"/>
        </w:tabs>
        <w:spacing w:line="360" w:lineRule="auto"/>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7</w:t>
      </w:r>
      <w:r>
        <w:rPr>
          <w:rFonts w:hint="eastAsia" w:ascii="宋体" w:hAnsi="宋体" w:cs="宋体"/>
          <w:color w:val="auto"/>
          <w:szCs w:val="21"/>
          <w:highlight w:val="none"/>
        </w:rPr>
        <w:t>磋商过程中重新提交的响应文件，供应商可以在开启前补充、修改。</w:t>
      </w:r>
    </w:p>
    <w:p w14:paraId="44279D5D">
      <w:pPr>
        <w:tabs>
          <w:tab w:val="left" w:pos="2835"/>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.8</w:t>
      </w:r>
      <w:r>
        <w:rPr>
          <w:rFonts w:hint="eastAsia" w:ascii="宋体" w:hAnsi="宋体"/>
          <w:color w:val="auto"/>
          <w:szCs w:val="21"/>
          <w:highlight w:val="none"/>
        </w:rPr>
        <w:t>对磋商过程提交的响应文件进行有效性、完整性和响应程度审查，通过审查的合格供应商不足3家的，采购人或者采购代理机构应当重新开展采购活动。</w:t>
      </w:r>
    </w:p>
    <w:p w14:paraId="4F0418CF">
      <w:pPr>
        <w:ind w:firstLine="200"/>
        <w:rPr>
          <w:rFonts w:ascii="宋体" w:hAnsi="宋体" w:cs="宋体"/>
          <w:color w:val="auto"/>
          <w:sz w:val="21"/>
          <w:szCs w:val="21"/>
          <w:highlight w:val="none"/>
        </w:rPr>
      </w:pPr>
      <w:r>
        <w:rPr>
          <w:rFonts w:hint="eastAsia" w:ascii="黑体" w:hAnsi="黑体" w:eastAsia="黑体" w:cs="宋体"/>
          <w:b/>
          <w:bCs/>
          <w:color w:val="auto"/>
          <w:sz w:val="21"/>
          <w:szCs w:val="21"/>
          <w:highlight w:val="none"/>
        </w:rPr>
        <w:t>5</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 xml:space="preserve"> 最后报价</w:t>
      </w:r>
    </w:p>
    <w:p w14:paraId="2B95BB38">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.1</w:t>
      </w:r>
      <w:r>
        <w:rPr>
          <w:rFonts w:hint="eastAsia" w:ascii="宋体" w:hAnsi="宋体" w:cs="宋体"/>
          <w:color w:val="auto"/>
          <w:szCs w:val="21"/>
          <w:highlight w:val="none"/>
        </w:rPr>
        <w:t>磋商文件能够详细列明采购标的的技术、服务要求的，磋商结束后，由磋商小组要求所有继续参加磋商的供应商在规定时间内密封提交最后报价，除本章第5</w:t>
      </w:r>
      <w:r>
        <w:rPr>
          <w:rFonts w:ascii="宋体" w:hAnsi="宋体" w:cs="宋体"/>
          <w:color w:val="auto"/>
          <w:szCs w:val="21"/>
          <w:highlight w:val="none"/>
        </w:rPr>
        <w:t>.3</w:t>
      </w:r>
      <w:r>
        <w:rPr>
          <w:rFonts w:hint="eastAsia" w:ascii="宋体" w:hAnsi="宋体" w:cs="宋体"/>
          <w:color w:val="auto"/>
          <w:szCs w:val="21"/>
          <w:highlight w:val="none"/>
        </w:rPr>
        <w:t>条外，提交最后报价的供应商不得少于3家，否则必须重新采购。</w:t>
      </w:r>
    </w:p>
    <w:p w14:paraId="14B18503">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.2</w:t>
      </w:r>
      <w:r>
        <w:rPr>
          <w:rFonts w:hint="eastAsia" w:ascii="宋体" w:hAnsi="宋体" w:cs="宋体"/>
          <w:color w:val="auto"/>
          <w:szCs w:val="21"/>
          <w:highlight w:val="none"/>
        </w:rPr>
        <w:t>磋商文件不能详细列明采购标的的技术、服务要求，需经磋商由供应商提供最后设计方案或者解决方案的，磋商结束后，由磋商小组按照少数服从多数的原则投票推荐3家以上供应商的设计方案或者解决方案，并要求其在规定时间内密封提交最后报价。</w:t>
      </w:r>
    </w:p>
    <w:p w14:paraId="2A7EE0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.3</w:t>
      </w:r>
      <w:r>
        <w:rPr>
          <w:rFonts w:hint="eastAsia" w:ascii="宋体" w:hAnsi="宋体" w:cs="宋体"/>
          <w:color w:val="auto"/>
          <w:szCs w:val="21"/>
          <w:highlight w:val="none"/>
        </w:rPr>
        <w:t xml:space="preserve"> 最后报价是供应商响应文件的有效组成部分。符合《政府采购竞争性磋商采购方式管理暂行办法》（财库〔2014〕214号）第三条第四项“市场竞争不充分的科研项目，以及需要扶持的科技成果转化项目”的，提交最后报价的供应商可以为2家。</w:t>
      </w:r>
    </w:p>
    <w:p w14:paraId="3DEE7DD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.4</w:t>
      </w:r>
      <w:r>
        <w:rPr>
          <w:rFonts w:hint="eastAsia" w:ascii="宋体" w:hAnsi="宋体" w:cs="宋体"/>
          <w:color w:val="auto"/>
          <w:szCs w:val="21"/>
          <w:highlight w:val="none"/>
        </w:rPr>
        <w:t>已经提交响应文件的供应商，在提交最后报价之前，可以根据磋商情况退出磋商，退出磋商的供应商的响应文件按无效响应处理。</w:t>
      </w:r>
    </w:p>
    <w:p w14:paraId="3BE06A37">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.5</w:t>
      </w:r>
      <w:r>
        <w:rPr>
          <w:rFonts w:hint="eastAsia" w:ascii="宋体" w:hAnsi="宋体" w:cs="宋体"/>
          <w:color w:val="auto"/>
          <w:szCs w:val="21"/>
          <w:highlight w:val="none"/>
        </w:rPr>
        <w:t>供应商未在规定时间内提交最后报价的，视同退出磋商。</w:t>
      </w:r>
    </w:p>
    <w:p w14:paraId="37F4231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.6</w:t>
      </w:r>
      <w:r>
        <w:rPr>
          <w:rFonts w:hint="eastAsia" w:ascii="宋体" w:hAnsi="宋体" w:cs="宋体"/>
          <w:color w:val="auto"/>
          <w:szCs w:val="21"/>
          <w:highlight w:val="none"/>
        </w:rPr>
        <w:t>磋商小组收齐某一分标最后报价后统一开启，磋商小组对最后报价进行有效性、完整性和响应程度的审查。</w:t>
      </w:r>
    </w:p>
    <w:p w14:paraId="4DB204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.7</w:t>
      </w:r>
      <w:r>
        <w:rPr>
          <w:rFonts w:hint="eastAsia" w:ascii="宋体" w:hAnsi="宋体" w:cs="宋体"/>
          <w:color w:val="auto"/>
          <w:szCs w:val="21"/>
          <w:highlight w:val="none"/>
        </w:rPr>
        <w:t>最终响应文件的报价出现前后不一致的，按照本章第3</w:t>
      </w:r>
      <w:r>
        <w:rPr>
          <w:rFonts w:ascii="宋体" w:hAnsi="宋体" w:cs="宋体"/>
          <w:color w:val="auto"/>
          <w:szCs w:val="21"/>
          <w:highlight w:val="none"/>
        </w:rPr>
        <w:t>.4</w:t>
      </w:r>
      <w:r>
        <w:rPr>
          <w:rFonts w:hint="eastAsia" w:ascii="宋体" w:hAnsi="宋体" w:cs="宋体"/>
          <w:color w:val="auto"/>
          <w:szCs w:val="21"/>
          <w:highlight w:val="none"/>
        </w:rPr>
        <w:t xml:space="preserve">条的规定修正。 </w:t>
      </w:r>
    </w:p>
    <w:p w14:paraId="462598D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.8</w:t>
      </w:r>
      <w:r>
        <w:rPr>
          <w:rFonts w:hint="eastAsia" w:ascii="宋体" w:hAnsi="宋体" w:cs="宋体"/>
          <w:color w:val="auto"/>
          <w:szCs w:val="21"/>
          <w:highlight w:val="none"/>
        </w:rPr>
        <w:t>修正后的最终报价出现下列情形的，按无效响应处理：</w:t>
      </w:r>
    </w:p>
    <w:p w14:paraId="0621916A">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（1）供应商不确认的（全流程电子化评标采取在线确认）；</w:t>
      </w:r>
    </w:p>
    <w:p w14:paraId="28AC7179">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（2）经供应商确认修正后的响应报价（包含首次报价、最后报价）超过所竞标分标规定的采购预算金额或者最高限价的（如本项目公布了最高限价）；</w:t>
      </w:r>
    </w:p>
    <w:p w14:paraId="69192D05">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（3）经供应商确认修正后的响应报价（包含首次报价、最后报价）超过分项采购预算金额或者最高限价的（如本项目公布了最高限价）。</w:t>
      </w:r>
    </w:p>
    <w:p w14:paraId="1D13EA8C">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.9</w:t>
      </w:r>
      <w:r>
        <w:rPr>
          <w:rFonts w:hint="eastAsia" w:ascii="宋体" w:hAnsi="宋体" w:cs="宋体"/>
          <w:color w:val="auto"/>
          <w:szCs w:val="21"/>
          <w:highlight w:val="none"/>
        </w:rPr>
        <w:t>经供应商确认修正后的最后报价作为评审及签订合同的依据。</w:t>
      </w:r>
    </w:p>
    <w:p w14:paraId="1B21F86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5.10供应商出现最后报价按无效响应处理或者响应文件按无效处理时</w:t>
      </w:r>
      <w:r>
        <w:rPr>
          <w:rFonts w:hint="eastAsia" w:ascii="宋体" w:hAnsi="宋体"/>
          <w:color w:val="auto"/>
          <w:sz w:val="22"/>
          <w:szCs w:val="22"/>
          <w:highlight w:val="none"/>
        </w:rPr>
        <w:t>，磋商小组应当告知有关供应商</w:t>
      </w:r>
      <w:r>
        <w:rPr>
          <w:rFonts w:hint="eastAsia" w:ascii="宋体" w:hAnsi="宋体" w:cs="宋体"/>
          <w:color w:val="auto"/>
          <w:szCs w:val="21"/>
          <w:highlight w:val="none"/>
        </w:rPr>
        <w:t>。</w:t>
      </w:r>
    </w:p>
    <w:p w14:paraId="2C7874D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5.1</w:t>
      </w:r>
      <w:r>
        <w:rPr>
          <w:rFonts w:hint="eastAsia" w:ascii="宋体" w:hAnsi="宋体" w:cs="宋体"/>
          <w:color w:val="auto"/>
          <w:szCs w:val="21"/>
          <w:highlight w:val="none"/>
        </w:rPr>
        <w:t>1最后报价结束后，磋商小组不得再与供应商进行任何形式的商谈。</w:t>
      </w:r>
    </w:p>
    <w:p w14:paraId="57D2B858">
      <w:pPr>
        <w:keepNext w:val="0"/>
        <w:keepLines w:val="0"/>
        <w:pageBreakBefore w:val="0"/>
        <w:widowControl w:val="0"/>
        <w:kinsoku/>
        <w:wordWrap/>
        <w:overflowPunct/>
        <w:topLinePunct w:val="0"/>
        <w:autoSpaceDE/>
        <w:autoSpaceDN/>
        <w:bidi w:val="0"/>
        <w:adjustRightInd/>
        <w:spacing w:line="360" w:lineRule="auto"/>
        <w:ind w:firstLine="200"/>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6</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比较与评价</w:t>
      </w:r>
    </w:p>
    <w:p w14:paraId="35A00404">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6</w:t>
      </w:r>
      <w:r>
        <w:rPr>
          <w:rFonts w:ascii="宋体" w:hAnsi="宋体" w:cs="宋体"/>
          <w:color w:val="auto"/>
          <w:szCs w:val="21"/>
          <w:highlight w:val="none"/>
        </w:rPr>
        <w:t>.1</w:t>
      </w:r>
      <w:r>
        <w:rPr>
          <w:rFonts w:hint="eastAsia" w:ascii="宋体" w:hAnsi="宋体" w:cs="宋体"/>
          <w:color w:val="auto"/>
          <w:szCs w:val="21"/>
          <w:highlight w:val="none"/>
        </w:rPr>
        <w:t>评审方法：综合评分法。</w:t>
      </w:r>
    </w:p>
    <w:p w14:paraId="6C96995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6.2</w:t>
      </w:r>
      <w:r>
        <w:rPr>
          <w:rFonts w:hint="eastAsia" w:ascii="宋体" w:hAnsi="宋体" w:cs="宋体"/>
          <w:color w:val="auto"/>
          <w:szCs w:val="21"/>
          <w:highlight w:val="none"/>
        </w:rPr>
        <w:t>经磋商确定最终采购需求和提交最后报价的供应商后，由磋商小组采用综合评分法对提交最后报价的供应商的响应文件和最后报价进行综合评分。</w:t>
      </w:r>
    </w:p>
    <w:p w14:paraId="45687D7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6.3</w:t>
      </w:r>
      <w:r>
        <w:rPr>
          <w:rFonts w:hint="eastAsia" w:ascii="宋体" w:hAnsi="宋体" w:cs="宋体"/>
          <w:color w:val="auto"/>
          <w:szCs w:val="21"/>
          <w:highlight w:val="none"/>
        </w:rPr>
        <w:t>评审时，磋商小组各成员应当独立对每个有效响应的文件进行评价、打分，然后汇总每个供应商每项评分因素的得分。</w:t>
      </w:r>
    </w:p>
    <w:p w14:paraId="066F525E">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（1）磋商小组按照磋商文件中规定的评审标准计算各供应商的报价得分。项目评审过程中，不得去掉最后报价中的最高报价和最低报价。</w:t>
      </w:r>
    </w:p>
    <w:p w14:paraId="6BE769C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（2）各供应商的得分为磋商小组所有成员的有效评分的算术平均数。</w:t>
      </w:r>
    </w:p>
    <w:p w14:paraId="5F0C4A18">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ascii="宋体" w:hAnsi="宋体" w:cs="宋体"/>
          <w:color w:val="auto"/>
          <w:szCs w:val="21"/>
          <w:highlight w:val="none"/>
        </w:rPr>
        <w:t>6.4</w:t>
      </w:r>
      <w:r>
        <w:rPr>
          <w:rFonts w:hint="eastAsia" w:ascii="宋体" w:hAnsi="宋体" w:cs="宋体"/>
          <w:color w:val="auto"/>
          <w:szCs w:val="21"/>
          <w:highlight w:val="none"/>
        </w:rPr>
        <w:t>评审价为供应商的最后报价进行政策性扣除后的价格，评审价只是作为评审时使用。最终成交供应商的成交金额等于最后报价（如有修正，以确认修正后的最后报价为准）。</w:t>
      </w:r>
    </w:p>
    <w:p w14:paraId="62A60EE1">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olor w:val="auto"/>
          <w:kern w:val="0"/>
          <w:szCs w:val="21"/>
          <w:highlight w:val="none"/>
        </w:rPr>
      </w:pPr>
      <w:r>
        <w:rPr>
          <w:rFonts w:ascii="宋体" w:hAnsi="宋体" w:cs="宋体"/>
          <w:color w:val="auto"/>
          <w:szCs w:val="21"/>
          <w:highlight w:val="none"/>
        </w:rPr>
        <w:t>6.5</w:t>
      </w:r>
      <w:r>
        <w:rPr>
          <w:rFonts w:hint="eastAsia" w:ascii="宋体" w:hAnsi="宋体" w:cs="宋体"/>
          <w:color w:val="auto"/>
          <w:szCs w:val="21"/>
          <w:highlight w:val="none"/>
        </w:rPr>
        <w:t>由磋商小组根据综合评分情况，按照评审得分由高到低顺序推荐3名以上成交候选供应商，并编写评</w:t>
      </w:r>
      <w:r>
        <w:rPr>
          <w:rFonts w:hint="eastAsia" w:ascii="宋体" w:hAnsi="宋体"/>
          <w:color w:val="auto"/>
          <w:kern w:val="0"/>
          <w:szCs w:val="21"/>
          <w:highlight w:val="none"/>
        </w:rPr>
        <w:t>审报告。符合本章第5</w:t>
      </w:r>
      <w:r>
        <w:rPr>
          <w:rFonts w:ascii="宋体" w:hAnsi="宋体"/>
          <w:color w:val="auto"/>
          <w:kern w:val="0"/>
          <w:szCs w:val="21"/>
          <w:highlight w:val="none"/>
        </w:rPr>
        <w:t>.3</w:t>
      </w:r>
      <w:r>
        <w:rPr>
          <w:rFonts w:hint="eastAsia" w:ascii="宋体" w:hAnsi="宋体"/>
          <w:color w:val="auto"/>
          <w:kern w:val="0"/>
          <w:szCs w:val="21"/>
          <w:highlight w:val="none"/>
        </w:rPr>
        <w:t>条情形的，可以推荐2家成交候选供应商。评审得分相同的，按照最后报价由低到高的顺序推荐。评审得分且最后报价相同的，按照技术指标优劣顺序推荐。</w:t>
      </w:r>
    </w:p>
    <w:p w14:paraId="3B4977C0">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rPr>
      </w:pPr>
      <w:r>
        <w:rPr>
          <w:rFonts w:ascii="宋体" w:hAnsi="宋体"/>
          <w:color w:val="auto"/>
          <w:kern w:val="0"/>
          <w:szCs w:val="21"/>
          <w:highlight w:val="none"/>
        </w:rPr>
        <w:t>6.6</w:t>
      </w:r>
      <w:r>
        <w:rPr>
          <w:rFonts w:hint="eastAsia" w:ascii="宋体" w:hAnsi="宋体"/>
          <w:color w:val="auto"/>
          <w:kern w:val="0"/>
          <w:szCs w:val="21"/>
          <w:highlight w:val="none"/>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w:t>
      </w:r>
      <w:r>
        <w:rPr>
          <w:rFonts w:hint="eastAsia" w:ascii="宋体" w:hAnsi="宋体"/>
          <w:color w:val="auto"/>
          <w:kern w:val="0"/>
          <w:sz w:val="21"/>
          <w:szCs w:val="21"/>
          <w:highlight w:val="none"/>
        </w:rPr>
        <w:t>面说明其不同意见和理由的，视为同意评审报告。</w:t>
      </w:r>
    </w:p>
    <w:p w14:paraId="144ED991">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黑体" w:eastAsia="黑体" w:cs="宋体"/>
          <w:b/>
          <w:bCs/>
          <w:color w:val="auto"/>
          <w:sz w:val="21"/>
          <w:szCs w:val="21"/>
          <w:highlight w:val="none"/>
        </w:rPr>
      </w:pPr>
    </w:p>
    <w:p w14:paraId="26F7C2FE">
      <w:pPr>
        <w:keepNext w:val="0"/>
        <w:keepLines w:val="0"/>
        <w:pageBreakBefore w:val="0"/>
        <w:widowControl w:val="0"/>
        <w:kinsoku/>
        <w:wordWrap/>
        <w:overflowPunct/>
        <w:topLinePunct w:val="0"/>
        <w:autoSpaceDE/>
        <w:autoSpaceDN/>
        <w:bidi w:val="0"/>
        <w:adjustRightInd/>
        <w:spacing w:line="360" w:lineRule="auto"/>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7</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评审标准</w:t>
      </w:r>
    </w:p>
    <w:p w14:paraId="180AC2F3">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bCs/>
          <w:color w:val="auto"/>
          <w:szCs w:val="21"/>
          <w:highlight w:val="none"/>
        </w:rPr>
      </w:pPr>
      <w:r>
        <w:rPr>
          <w:rFonts w:hint="eastAsia" w:ascii="宋体" w:hAnsi="宋体"/>
          <w:bCs/>
          <w:color w:val="auto"/>
          <w:szCs w:val="21"/>
          <w:highlight w:val="none"/>
        </w:rPr>
        <w:t>评审依据：磋商小组将以磋商响应文件为评审依据，对供应商的报价、技术、商务等方面内容按百分制打分。（计分方法按四舍五入取至百分位）</w:t>
      </w:r>
    </w:p>
    <w:p w14:paraId="00950E5C">
      <w:pPr>
        <w:keepNext w:val="0"/>
        <w:keepLines w:val="0"/>
        <w:pageBreakBefore w:val="0"/>
        <w:widowControl w:val="0"/>
        <w:numPr>
          <w:ilvl w:val="0"/>
          <w:numId w:val="0"/>
        </w:numPr>
        <w:kinsoku/>
        <w:wordWrap/>
        <w:overflowPunct/>
        <w:topLinePunct w:val="0"/>
        <w:autoSpaceDE/>
        <w:autoSpaceDN/>
        <w:bidi w:val="0"/>
        <w:adjustRightInd/>
        <w:spacing w:line="360" w:lineRule="auto"/>
        <w:ind w:leftChars="0" w:firstLine="422" w:firstLineChars="200"/>
        <w:textAlignment w:val="auto"/>
        <w:rPr>
          <w:rFonts w:hint="eastAsia"/>
          <w:color w:val="auto"/>
          <w:highlight w:val="none"/>
          <w:lang w:val="en-US" w:eastAsia="zh-CN"/>
        </w:rPr>
      </w:pP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价格分………………………………………………………………………………………</w:t>
      </w: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0分</w:t>
      </w:r>
    </w:p>
    <w:p w14:paraId="0FC70ADB">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hAnsi="宋体" w:cs="宋体"/>
          <w:bCs/>
          <w:color w:val="auto"/>
          <w:kern w:val="2"/>
          <w:sz w:val="21"/>
          <w:highlight w:val="none"/>
          <w:lang w:val="en-US" w:eastAsia="zh-CN"/>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1</w:t>
      </w:r>
      <w:r>
        <w:rPr>
          <w:rFonts w:hint="eastAsia" w:hAnsi="宋体" w:cs="宋体"/>
          <w:bCs/>
          <w:color w:val="auto"/>
          <w:kern w:val="2"/>
          <w:sz w:val="21"/>
          <w:highlight w:val="none"/>
          <w:lang w:eastAsia="zh-CN"/>
        </w:rPr>
        <w:t>）本项目为专门面向中小企业采购，不再执行价格分优惠政策，供应商的评审报价</w:t>
      </w:r>
      <w:r>
        <w:rPr>
          <w:rFonts w:hint="eastAsia" w:hAnsi="宋体" w:cs="宋体"/>
          <w:bCs/>
          <w:color w:val="auto"/>
          <w:kern w:val="2"/>
          <w:sz w:val="21"/>
          <w:highlight w:val="none"/>
          <w:lang w:val="en-US" w:eastAsia="zh-CN"/>
        </w:rPr>
        <w:t>=最终磋商报价；</w:t>
      </w:r>
    </w:p>
    <w:p w14:paraId="6B11FD63">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bCs/>
          <w:color w:val="auto"/>
          <w:kern w:val="2"/>
          <w:sz w:val="21"/>
          <w:highlight w:val="none"/>
        </w:rPr>
      </w:pPr>
      <w:r>
        <w:rPr>
          <w:rFonts w:hint="eastAsia" w:hAnsi="宋体" w:cs="宋体"/>
          <w:bCs/>
          <w:color w:val="auto"/>
          <w:kern w:val="2"/>
          <w:sz w:val="21"/>
          <w:highlight w:val="none"/>
          <w:lang w:val="en-US" w:eastAsia="zh-CN"/>
        </w:rPr>
        <w:t>（2）</w:t>
      </w:r>
      <w:r>
        <w:rPr>
          <w:rFonts w:hint="eastAsia" w:ascii="宋体" w:hAnsi="宋体" w:eastAsia="宋体" w:cs="宋体"/>
          <w:bCs/>
          <w:color w:val="auto"/>
          <w:kern w:val="2"/>
          <w:sz w:val="21"/>
          <w:highlight w:val="none"/>
        </w:rPr>
        <w:t>以进入比较与评价环节的最低报价为</w:t>
      </w:r>
      <w:r>
        <w:rPr>
          <w:rFonts w:hint="eastAsia" w:hAnsi="宋体" w:cs="宋体"/>
          <w:bCs/>
          <w:color w:val="auto"/>
          <w:kern w:val="2"/>
          <w:sz w:val="21"/>
          <w:highlight w:val="none"/>
          <w:lang w:eastAsia="zh-CN"/>
        </w:rPr>
        <w:t>磋商</w:t>
      </w:r>
      <w:r>
        <w:rPr>
          <w:rFonts w:hint="eastAsia" w:ascii="宋体" w:hAnsi="宋体" w:eastAsia="宋体" w:cs="宋体"/>
          <w:bCs/>
          <w:color w:val="auto"/>
          <w:kern w:val="2"/>
          <w:sz w:val="21"/>
          <w:highlight w:val="none"/>
        </w:rPr>
        <w:t>基准价，基准价得分为 10分。</w:t>
      </w:r>
    </w:p>
    <w:p w14:paraId="553366CC">
      <w:pPr>
        <w:pStyle w:val="24"/>
        <w:spacing w:line="240" w:lineRule="auto"/>
        <w:ind w:firstLine="420" w:firstLineChars="200"/>
        <w:rPr>
          <w:rFonts w:hint="eastAsia" w:ascii="宋体" w:hAnsi="宋体" w:eastAsia="宋体" w:cs="宋体"/>
          <w:bCs/>
          <w:color w:val="auto"/>
          <w:kern w:val="2"/>
          <w:sz w:val="21"/>
          <w:highlight w:val="none"/>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3</w:t>
      </w:r>
      <w:r>
        <w:rPr>
          <w:rFonts w:hint="eastAsia" w:hAnsi="宋体" w:cs="宋体"/>
          <w:bCs/>
          <w:color w:val="auto"/>
          <w:kern w:val="2"/>
          <w:sz w:val="21"/>
          <w:highlight w:val="none"/>
          <w:lang w:eastAsia="zh-CN"/>
        </w:rPr>
        <w:t>）</w:t>
      </w:r>
      <w:r>
        <w:rPr>
          <w:rFonts w:hint="eastAsia" w:ascii="宋体" w:hAnsi="宋体" w:eastAsia="宋体" w:cs="宋体"/>
          <w:bCs/>
          <w:color w:val="auto"/>
          <w:kern w:val="2"/>
          <w:sz w:val="21"/>
          <w:highlight w:val="none"/>
        </w:rPr>
        <w:t>价格分计算公式：</w:t>
      </w:r>
    </w:p>
    <w:p w14:paraId="42C83351">
      <w:pPr>
        <w:spacing w:line="280" w:lineRule="exact"/>
        <w:ind w:firstLine="3570" w:firstLineChars="1700"/>
        <w:jc w:val="both"/>
        <w:rPr>
          <w:rFonts w:ascii="宋体" w:hAnsi="宋体"/>
          <w:color w:val="auto"/>
          <w:highlight w:val="none"/>
        </w:rPr>
      </w:pPr>
      <w:r>
        <w:rPr>
          <w:rFonts w:hint="eastAsia" w:ascii="宋体" w:hAnsi="宋体"/>
          <w:color w:val="auto"/>
          <w:highlight w:val="none"/>
          <w:lang w:eastAsia="zh-CN"/>
        </w:rPr>
        <w:t>磋商基准价</w:t>
      </w:r>
      <w:r>
        <w:rPr>
          <w:rFonts w:hint="eastAsia" w:ascii="宋体" w:hAnsi="宋体"/>
          <w:color w:val="auto"/>
          <w:highlight w:val="none"/>
        </w:rPr>
        <w:t>（元）</w:t>
      </w:r>
    </w:p>
    <w:p w14:paraId="3B6427B8">
      <w:pPr>
        <w:spacing w:line="280" w:lineRule="exact"/>
        <w:ind w:firstLine="420" w:firstLineChars="200"/>
        <w:rPr>
          <w:rFonts w:ascii="宋体" w:hAnsi="宋体"/>
          <w:color w:val="auto"/>
          <w:highlight w:val="none"/>
        </w:rPr>
      </w:pP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1256665</wp:posOffset>
                </wp:positionH>
                <wp:positionV relativeFrom="paragraph">
                  <wp:posOffset>82550</wp:posOffset>
                </wp:positionV>
                <wp:extent cx="2768600" cy="0"/>
                <wp:effectExtent l="0" t="0" r="0" b="0"/>
                <wp:wrapNone/>
                <wp:docPr id="3" name="直接连接符 3"/>
                <wp:cNvGraphicFramePr/>
                <a:graphic xmlns:a="http://schemas.openxmlformats.org/drawingml/2006/main">
                  <a:graphicData uri="http://schemas.microsoft.com/office/word/2010/wordprocessingShape">
                    <wps:wsp>
                      <wps:cNvCnPr/>
                      <wps:spPr>
                        <a:xfrm>
                          <a:off x="1790065" y="4979035"/>
                          <a:ext cx="2768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8.95pt;margin-top:6.5pt;height:0pt;width:218pt;z-index:251662336;mso-width-relative:page;mso-height-relative:page;" filled="f" stroked="t" coordsize="21600,21600" o:gfxdata="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K/xp1gAAAAkBAAAPAAAAAAAAAAEAIAAAACIAAABkcnMv&#10;ZG93bnJldi54bWxQSwECFAAUAAAACACHTuJAoDzXcAUCAADfAwAADgAAAAAAAAABACAAAAAlAQAA&#10;ZHJzL2Uyb0RvYy54bWxQSwUGAAAAAAYABgBZAQAAnAUAAAAA&#10;">
                <v:fill on="f" focussize="0,0"/>
                <v:stroke color="#4A7EBB [3204]" joinstyle="round"/>
                <v:imagedata o:title=""/>
                <o:lock v:ext="edit" aspectratio="f"/>
              </v:line>
            </w:pict>
          </mc:Fallback>
        </mc:AlternateContent>
      </w:r>
      <w:r>
        <w:rPr>
          <w:rFonts w:hint="eastAsia" w:ascii="宋体" w:hAnsi="宋体"/>
          <w:color w:val="auto"/>
          <w:highlight w:val="none"/>
        </w:rPr>
        <w:t>某磋商报价分=</w:t>
      </w:r>
      <w:r>
        <w:rPr>
          <w:rFonts w:hint="eastAsia" w:ascii="宋体" w:hAnsi="宋体"/>
          <w:color w:val="auto"/>
          <w:highlight w:val="none"/>
          <w:lang w:val="en-US" w:eastAsia="zh-CN"/>
        </w:rPr>
        <w:t xml:space="preserve">  </w:t>
      </w:r>
      <w:r>
        <w:rPr>
          <w:rFonts w:hint="eastAsia" w:ascii="宋体" w:hAnsi="宋体"/>
          <w:color w:val="auto"/>
          <w:highlight w:val="none"/>
        </w:rPr>
        <w:t xml:space="preserve"> </w:t>
      </w:r>
      <w:r>
        <w:rPr>
          <w:rFonts w:hint="eastAsia" w:ascii="宋体" w:hAnsi="宋体" w:eastAsia="宋体" w:cs="宋体"/>
          <w:bCs/>
          <w:color w:val="auto"/>
          <w:kern w:val="2"/>
          <w:sz w:val="21"/>
          <w:szCs w:val="20"/>
          <w:highlight w:val="none"/>
          <w:lang w:val="en-US" w:eastAsia="zh-CN" w:bidi="ar-SA"/>
        </w:rPr>
        <w:t xml:space="preserve">                                          </w:t>
      </w:r>
      <w:r>
        <w:rPr>
          <w:rFonts w:hint="eastAsia" w:ascii="宋体" w:hAnsi="宋体"/>
          <w:color w:val="auto"/>
          <w:highlight w:val="none"/>
          <w:lang w:val="en-US" w:eastAsia="zh-CN"/>
        </w:rPr>
        <w:t xml:space="preserve"> </w:t>
      </w:r>
      <w:r>
        <w:rPr>
          <w:rFonts w:ascii="宋体" w:hAnsi="宋体"/>
          <w:color w:val="auto"/>
          <w:highlight w:val="none"/>
        </w:rPr>
        <w:t>×</w:t>
      </w:r>
      <w:r>
        <w:rPr>
          <w:rFonts w:hint="eastAsia" w:ascii="宋体" w:hAnsi="宋体"/>
          <w:color w:val="auto"/>
          <w:highlight w:val="none"/>
          <w:lang w:val="en-US" w:eastAsia="zh-CN"/>
        </w:rPr>
        <w:t>1</w:t>
      </w:r>
      <w:r>
        <w:rPr>
          <w:rFonts w:hint="eastAsia" w:ascii="宋体" w:hAnsi="宋体"/>
          <w:color w:val="auto"/>
          <w:highlight w:val="none"/>
        </w:rPr>
        <w:t>0分</w:t>
      </w:r>
    </w:p>
    <w:p w14:paraId="745206F0">
      <w:pPr>
        <w:pStyle w:val="18"/>
        <w:ind w:firstLine="2940" w:firstLineChars="1400"/>
        <w:jc w:val="both"/>
        <w:rPr>
          <w:rFonts w:hint="eastAsia" w:ascii="宋体" w:hAnsi="宋体" w:eastAsia="宋体" w:cs="Times New Roman"/>
          <w:b w:val="0"/>
          <w:bCs w:val="0"/>
          <w:color w:val="auto"/>
          <w:kern w:val="2"/>
          <w:sz w:val="21"/>
          <w:szCs w:val="21"/>
          <w:highlight w:val="none"/>
          <w:lang w:val="en-US" w:eastAsia="zh-CN" w:bidi="ar-SA"/>
        </w:rPr>
      </w:pPr>
      <w:r>
        <w:rPr>
          <w:rFonts w:hint="eastAsia" w:ascii="宋体" w:hAnsi="宋体" w:eastAsia="宋体" w:cs="Times New Roman"/>
          <w:b w:val="0"/>
          <w:bCs w:val="0"/>
          <w:color w:val="auto"/>
          <w:kern w:val="2"/>
          <w:sz w:val="21"/>
          <w:szCs w:val="21"/>
          <w:highlight w:val="none"/>
          <w:lang w:val="en-US" w:eastAsia="zh-CN" w:bidi="ar-SA"/>
        </w:rPr>
        <w:t>某磋商供应商的评审报价（元）</w:t>
      </w:r>
    </w:p>
    <w:p w14:paraId="74D36D1A">
      <w:pPr>
        <w:shd w:val="clear"/>
        <w:spacing w:line="400" w:lineRule="exact"/>
        <w:jc w:val="left"/>
        <w:rPr>
          <w:rFonts w:hint="eastAsia" w:ascii="宋体" w:hAnsi="宋体"/>
          <w:b/>
          <w:bCs/>
          <w:color w:val="auto"/>
          <w:kern w:val="0"/>
          <w:highlight w:val="none"/>
          <w:lang w:val="en-US" w:eastAsia="zh-CN"/>
        </w:rPr>
      </w:pPr>
      <w:r>
        <w:rPr>
          <w:rFonts w:hint="eastAsia" w:ascii="宋体" w:hAnsi="宋体"/>
          <w:b/>
          <w:bCs/>
          <w:color w:val="auto"/>
          <w:kern w:val="0"/>
          <w:highlight w:val="none"/>
          <w:lang w:val="en-US" w:eastAsia="zh-CN"/>
        </w:rPr>
        <w:t xml:space="preserve">    2、技术分</w:t>
      </w:r>
      <w:r>
        <w:rPr>
          <w:rFonts w:hint="eastAsia" w:ascii="宋体" w:cs="宋体"/>
          <w:b/>
          <w:color w:val="auto"/>
          <w:kern w:val="0"/>
          <w:szCs w:val="21"/>
          <w:highlight w:val="none"/>
        </w:rPr>
        <w:t>………………………………………………………………………………………</w:t>
      </w:r>
      <w:r>
        <w:rPr>
          <w:rFonts w:hint="eastAsia" w:ascii="宋体" w:cs="宋体"/>
          <w:b/>
          <w:color w:val="auto"/>
          <w:kern w:val="0"/>
          <w:szCs w:val="21"/>
          <w:highlight w:val="none"/>
          <w:lang w:val="en-US" w:eastAsia="zh-CN"/>
        </w:rPr>
        <w:t>85</w:t>
      </w:r>
      <w:r>
        <w:rPr>
          <w:rFonts w:hint="eastAsia" w:ascii="宋体" w:cs="宋体"/>
          <w:b/>
          <w:color w:val="auto"/>
          <w:kern w:val="0"/>
          <w:szCs w:val="21"/>
          <w:highlight w:val="none"/>
        </w:rPr>
        <w:t>分</w:t>
      </w:r>
    </w:p>
    <w:p w14:paraId="7C79DA06">
      <w:pPr>
        <w:shd w:val="clear"/>
        <w:spacing w:line="400" w:lineRule="exact"/>
        <w:ind w:firstLine="422" w:firstLineChars="200"/>
        <w:jc w:val="left"/>
        <w:rPr>
          <w:rFonts w:hint="eastAsia" w:ascii="宋体" w:hAnsi="宋体" w:eastAsia="宋体"/>
          <w:b/>
          <w:bCs w:val="0"/>
          <w:color w:val="auto"/>
          <w:kern w:val="0"/>
          <w:highlight w:val="none"/>
          <w:lang w:eastAsia="zh-CN"/>
        </w:rPr>
      </w:pPr>
      <w:r>
        <w:rPr>
          <w:rFonts w:hint="eastAsia" w:ascii="宋体" w:hAnsi="宋体"/>
          <w:b/>
          <w:bCs w:val="0"/>
          <w:color w:val="auto"/>
          <w:kern w:val="0"/>
          <w:highlight w:val="none"/>
          <w:lang w:val="en-US" w:eastAsia="zh-CN"/>
        </w:rPr>
        <w:t>2.1</w:t>
      </w:r>
      <w:r>
        <w:rPr>
          <w:rFonts w:hint="eastAsia" w:ascii="宋体" w:hAnsi="宋体"/>
          <w:b/>
          <w:bCs w:val="0"/>
          <w:color w:val="auto"/>
          <w:kern w:val="0"/>
          <w:highlight w:val="none"/>
        </w:rPr>
        <w:t>施工组织设计分（满分</w:t>
      </w:r>
      <w:r>
        <w:rPr>
          <w:rFonts w:hint="eastAsia" w:ascii="宋体" w:hAnsi="宋体"/>
          <w:b/>
          <w:bCs w:val="0"/>
          <w:color w:val="auto"/>
          <w:kern w:val="0"/>
          <w:highlight w:val="none"/>
          <w:lang w:val="en-US" w:eastAsia="zh-CN"/>
        </w:rPr>
        <w:t>77</w:t>
      </w:r>
      <w:r>
        <w:rPr>
          <w:rFonts w:hint="eastAsia" w:ascii="宋体" w:hAnsi="宋体"/>
          <w:b/>
          <w:bCs w:val="0"/>
          <w:color w:val="auto"/>
          <w:kern w:val="0"/>
          <w:highlight w:val="none"/>
        </w:rPr>
        <w:t>分）</w:t>
      </w:r>
      <w:r>
        <w:rPr>
          <w:rFonts w:hint="eastAsia" w:ascii="宋体" w:hAnsi="宋体"/>
          <w:b/>
          <w:bCs w:val="0"/>
          <w:color w:val="auto"/>
          <w:kern w:val="0"/>
          <w:highlight w:val="none"/>
          <w:lang w:eastAsia="zh-CN"/>
        </w:rPr>
        <w:t>：</w:t>
      </w:r>
    </w:p>
    <w:p w14:paraId="752A148A">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（1）主要施工方法（满分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2A988A47">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优（10分）：各主要分部施工方法完全契合项目实际，施工技术方案详尽有针对性，方案科学合理，全部满足项目需求，且能指导具体施工并确保安全。采用先进的工艺和技术，且技术成熟，既能优化整体项目施工保证工程质量和工期，又不增加成本。</w:t>
      </w:r>
    </w:p>
    <w:p w14:paraId="76E37D2B">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良（7分）：各主要分部施工方法符合项目实际，施工技术方案较详尽有针对性，方案合理可行，满足项目需求，能指导具体施工并确保安全。采用的工艺和技术先进，能部分优化项目施工，保证工程质量和工期。</w:t>
      </w:r>
    </w:p>
    <w:p w14:paraId="2BC2703A">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中（4分）：各主要分部施工方法符合项目实际，施工技术方案较详尽，但没有针对性，方案合理，满足项目部分需求，能指导具体施工并确保安全。采用的工艺和技术水平较旧，基本保证工程质量。</w:t>
      </w:r>
    </w:p>
    <w:p w14:paraId="119E079D">
      <w:pPr>
        <w:shd w:val="clear"/>
        <w:spacing w:line="360" w:lineRule="auto"/>
        <w:ind w:firstLine="420" w:firstLineChars="200"/>
        <w:jc w:val="both"/>
        <w:rPr>
          <w:rFonts w:hint="eastAsia" w:ascii="宋体" w:hAnsi="宋体" w:cs="宋体"/>
          <w:color w:val="auto"/>
          <w:kern w:val="0"/>
          <w:highlight w:val="none"/>
          <w:lang w:val="en-US" w:eastAsia="zh-CN"/>
        </w:rPr>
      </w:pPr>
      <w:r>
        <w:rPr>
          <w:rFonts w:hint="eastAsia" w:ascii="宋体" w:hAnsi="宋体" w:eastAsia="宋体" w:cs="宋体"/>
          <w:color w:val="auto"/>
          <w:kern w:val="0"/>
          <w:highlight w:val="none"/>
        </w:rPr>
        <w:t>差（1分）：各主要分部施工方法部分符合项目实际，施工技术方案不详细，没有针对性，可行性不高，不能满足项目需求，勉强能指导具体施工并确保安全。未采用先进的工艺和技术。</w:t>
      </w:r>
      <w:r>
        <w:rPr>
          <w:rFonts w:hint="eastAsia" w:ascii="宋体" w:hAnsi="宋体" w:cs="宋体"/>
          <w:color w:val="auto"/>
          <w:kern w:val="0"/>
          <w:highlight w:val="none"/>
          <w:lang w:val="en-US" w:eastAsia="zh-CN"/>
        </w:rPr>
        <w:t xml:space="preserve">    </w:t>
      </w:r>
    </w:p>
    <w:p w14:paraId="439CA27F">
      <w:pPr>
        <w:shd w:val="clear"/>
        <w:spacing w:line="360" w:lineRule="auto"/>
        <w:ind w:firstLine="422" w:firstLineChars="200"/>
        <w:jc w:val="both"/>
        <w:rPr>
          <w:rFonts w:ascii="宋体" w:hAnsi="宋体"/>
          <w:b/>
          <w:bCs/>
          <w:color w:val="auto"/>
          <w:kern w:val="0"/>
          <w:highlight w:val="none"/>
        </w:rPr>
      </w:pPr>
      <w:r>
        <w:rPr>
          <w:rFonts w:hint="eastAsia" w:ascii="宋体" w:hAnsi="宋体" w:cs="宋体"/>
          <w:b/>
          <w:bCs/>
          <w:color w:val="auto"/>
          <w:kern w:val="0"/>
          <w:highlight w:val="none"/>
          <w:lang w:val="en-US" w:eastAsia="zh-CN"/>
        </w:rPr>
        <w:t>（</w:t>
      </w:r>
      <w:r>
        <w:rPr>
          <w:rFonts w:hint="eastAsia" w:ascii="宋体" w:hAnsi="宋体"/>
          <w:b/>
          <w:bCs/>
          <w:color w:val="auto"/>
          <w:kern w:val="0"/>
          <w:highlight w:val="none"/>
        </w:rPr>
        <w:t>2）拟投入的主要物资计划（满分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07FA02F6">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优(5分)：投入的施工材料有详细的组织计划且计划周密，数量、选型配置、进场时间安排合理，完全满足施工需要。</w:t>
      </w:r>
    </w:p>
    <w:p w14:paraId="01746463">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良(4分)：投入的施工材料有较详细的组织计划且计划周密，数量、选型配置、进场时间安排较为合理，能较好满足施工需要。</w:t>
      </w:r>
    </w:p>
    <w:p w14:paraId="6B16BCE2">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中(3分)：投入的施工材料有组织计划，数量、选型配置、进场时间安排</w:t>
      </w:r>
      <w:r>
        <w:rPr>
          <w:rFonts w:hint="eastAsia" w:ascii="宋体" w:hAnsi="宋体" w:cs="宋体"/>
          <w:color w:val="auto"/>
          <w:kern w:val="0"/>
          <w:highlight w:val="none"/>
          <w:lang w:val="en-US" w:eastAsia="zh-CN"/>
        </w:rPr>
        <w:t>不明确</w:t>
      </w:r>
      <w:r>
        <w:rPr>
          <w:rFonts w:hint="eastAsia" w:ascii="宋体" w:hAnsi="宋体" w:cs="宋体"/>
          <w:color w:val="auto"/>
          <w:kern w:val="0"/>
          <w:highlight w:val="none"/>
        </w:rPr>
        <w:t>，能满足施工需要。</w:t>
      </w:r>
    </w:p>
    <w:p w14:paraId="4447CD65">
      <w:pPr>
        <w:widowControl/>
        <w:spacing w:line="360" w:lineRule="auto"/>
        <w:ind w:firstLine="420" w:firstLineChars="200"/>
        <w:rPr>
          <w:rFonts w:hint="eastAsia" w:ascii="宋体" w:hAnsi="宋体" w:eastAsia="宋体" w:cs="宋体"/>
          <w:color w:val="auto"/>
          <w:kern w:val="0"/>
          <w:highlight w:val="none"/>
        </w:rPr>
      </w:pPr>
      <w:r>
        <w:rPr>
          <w:rFonts w:hint="eastAsia" w:ascii="宋体" w:hAnsi="宋体" w:cs="宋体"/>
          <w:color w:val="auto"/>
          <w:kern w:val="0"/>
          <w:highlight w:val="none"/>
        </w:rPr>
        <w:t>差(1分)：投入的施工材料没有详细的组织计划且计划不周密，数量、选型配置、进场时间安排不清晰合理，不能满足施工需要。</w:t>
      </w:r>
    </w:p>
    <w:p w14:paraId="0A7313C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（3）劳动力安排计划（满分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5EA86DE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分别针对：①</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认为的本项目其他特点，提出劳动力安排计划，应对各施工内容的劳动力安排计划如进场时间、岗位、人数等具体化。按以下标准计分：</w:t>
      </w:r>
    </w:p>
    <w:p w14:paraId="77141F99">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优（</w:t>
      </w:r>
      <w:r>
        <w:rPr>
          <w:rFonts w:hint="eastAsia" w:ascii="宋体" w:hAnsi="宋体" w:cs="宋体"/>
          <w:color w:val="auto"/>
          <w:kern w:val="0"/>
          <w:highlight w:val="none"/>
          <w:lang w:eastAsia="zh-CN"/>
        </w:rPr>
        <w:t>1</w:t>
      </w:r>
      <w:r>
        <w:rPr>
          <w:rFonts w:hint="eastAsia" w:ascii="宋体" w:hAnsi="宋体" w:cs="宋体"/>
          <w:color w:val="auto"/>
          <w:kern w:val="0"/>
          <w:highlight w:val="none"/>
          <w:lang w:val="en-US" w:eastAsia="zh-CN"/>
        </w:rPr>
        <w:t>0</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各主要施工工序有详细周密的劳动力安排计划，有针对性的安排各工种劳动力，提供人员进退场计划，杜绝人员不足、人员窝工等情况，且安排计划详细周密，可行性高，劳动力投入科学合理，具有应急安排计划，完全满足项目平行施工等需要。并承诺拟投入本项目的劳动力稳定，各工种劳动力，如电焊工、机械设备安装工、电工等特殊工种具备相应的资格证书或合格证书。</w:t>
      </w:r>
    </w:p>
    <w:p w14:paraId="07A1737F">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良（</w:t>
      </w:r>
      <w:r>
        <w:rPr>
          <w:rFonts w:hint="eastAsia" w:ascii="宋体" w:hAnsi="宋体" w:cs="宋体"/>
          <w:color w:val="auto"/>
          <w:kern w:val="0"/>
          <w:highlight w:val="none"/>
          <w:lang w:eastAsia="zh-CN"/>
        </w:rPr>
        <w:t>7</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且各主要施工工序有较详细周密的劳动力安排计划，有针对性的安排各工种劳动力，提供人员进退场计划，杜绝人员不足、人员窝工等情况，且安排计划较详细周密、可行，劳动力投入合理，且具有应急安排计划，满足项目平行施工等需要。并承诺拟投入本项目各工种劳动力，如电焊工、机械设备安装工、电工等特殊工种具备相应的资格证书或合格证书。</w:t>
      </w:r>
    </w:p>
    <w:p w14:paraId="4D03CC18">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中（</w:t>
      </w:r>
      <w:r>
        <w:rPr>
          <w:rFonts w:hint="eastAsia" w:ascii="宋体" w:hAnsi="宋体" w:cs="宋体"/>
          <w:color w:val="auto"/>
          <w:kern w:val="0"/>
          <w:highlight w:val="none"/>
          <w:lang w:eastAsia="zh-CN"/>
        </w:rPr>
        <w:t>4</w:t>
      </w:r>
      <w:r>
        <w:rPr>
          <w:rFonts w:hint="eastAsia" w:ascii="宋体" w:hAnsi="宋体" w:cs="宋体"/>
          <w:color w:val="auto"/>
          <w:kern w:val="0"/>
          <w:highlight w:val="none"/>
        </w:rPr>
        <w:t xml:space="preserve"> 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根据本项目施工需要，配置各分部劳动力一般，各主要施工工序有劳动力安排计划，有各工种劳动力安排计划，</w:t>
      </w:r>
      <w:r>
        <w:rPr>
          <w:rFonts w:hint="eastAsia" w:ascii="宋体" w:hAnsi="宋体" w:cs="宋体"/>
          <w:color w:val="auto"/>
          <w:kern w:val="0"/>
          <w:highlight w:val="none"/>
          <w:lang w:val="en-US" w:eastAsia="zh-CN"/>
        </w:rPr>
        <w:t>但</w:t>
      </w:r>
      <w:r>
        <w:rPr>
          <w:rFonts w:hint="eastAsia" w:ascii="宋体" w:hAnsi="宋体" w:cs="宋体"/>
          <w:color w:val="auto"/>
          <w:kern w:val="0"/>
          <w:highlight w:val="none"/>
        </w:rPr>
        <w:t>劳动力投入</w:t>
      </w:r>
      <w:r>
        <w:rPr>
          <w:rFonts w:hint="eastAsia" w:ascii="宋体" w:hAnsi="宋体" w:cs="宋体"/>
          <w:color w:val="auto"/>
          <w:kern w:val="0"/>
          <w:highlight w:val="none"/>
          <w:lang w:val="en-US" w:eastAsia="zh-CN"/>
        </w:rPr>
        <w:t>不</w:t>
      </w:r>
      <w:r>
        <w:rPr>
          <w:rFonts w:hint="eastAsia" w:ascii="宋体" w:hAnsi="宋体" w:cs="宋体"/>
          <w:color w:val="auto"/>
          <w:kern w:val="0"/>
          <w:highlight w:val="none"/>
        </w:rPr>
        <w:t>合理，</w:t>
      </w:r>
      <w:r>
        <w:rPr>
          <w:rFonts w:hint="eastAsia" w:ascii="宋体" w:hAnsi="宋体" w:cs="宋体"/>
          <w:color w:val="auto"/>
          <w:kern w:val="0"/>
          <w:highlight w:val="none"/>
          <w:lang w:val="en-US" w:eastAsia="zh-CN"/>
        </w:rPr>
        <w:t>有</w:t>
      </w:r>
      <w:r>
        <w:rPr>
          <w:rFonts w:hint="eastAsia" w:ascii="宋体" w:hAnsi="宋体" w:cs="宋体"/>
          <w:color w:val="auto"/>
          <w:kern w:val="0"/>
          <w:highlight w:val="none"/>
        </w:rPr>
        <w:t>应急安排计划</w:t>
      </w:r>
      <w:r>
        <w:rPr>
          <w:rFonts w:hint="eastAsia" w:ascii="宋体" w:hAnsi="宋体" w:cs="宋体"/>
          <w:color w:val="auto"/>
          <w:kern w:val="0"/>
          <w:highlight w:val="none"/>
          <w:lang w:val="en-US" w:eastAsia="zh-CN"/>
        </w:rPr>
        <w:t>但不完善</w:t>
      </w:r>
      <w:r>
        <w:rPr>
          <w:rFonts w:hint="eastAsia" w:ascii="宋体" w:hAnsi="宋体" w:cs="宋体"/>
          <w:color w:val="auto"/>
          <w:kern w:val="0"/>
          <w:highlight w:val="none"/>
        </w:rPr>
        <w:t>，满足项目施工需要。</w:t>
      </w:r>
    </w:p>
    <w:p w14:paraId="4183014B">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差（1 分）：各主要施工工序无劳动力安排计划，无各工种劳动力安排计划，劳动力投入不合理，不能满足项目施工需要。</w:t>
      </w:r>
    </w:p>
    <w:p w14:paraId="0C3F7070">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（4）确保工程质量的技术组织措施（满分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1533C6AD">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 xml:space="preserve">优(10分)：有专门的质量技术管理班子和制度，且人员配备合理，制度健全。主要工序质量技术保证措施和手段科学合理，自控体系完整，能有效保证 技术质量，并能达到承诺的质量标准。 </w:t>
      </w:r>
    </w:p>
    <w:p w14:paraId="393E1CB3">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宋体" w:hAnsi="宋体" w:cs="宋体"/>
          <w:color w:val="auto"/>
          <w:kern w:val="0"/>
          <w:highlight w:val="none"/>
        </w:rPr>
        <w:t>良(7分)：有专门的质</w:t>
      </w:r>
      <w:r>
        <w:rPr>
          <w:rFonts w:hint="eastAsia" w:asciiTheme="minorEastAsia" w:hAnsiTheme="minorEastAsia" w:eastAsiaTheme="minorEastAsia" w:cstheme="minorEastAsia"/>
          <w:color w:val="auto"/>
          <w:kern w:val="0"/>
          <w:highlight w:val="none"/>
        </w:rPr>
        <w:t>量技术管理班子和制度，且人员配备较为合理，制度健全。主要工序的质量技术保证措施和手段较好，自控体系较好，能保证技术质量，能达到承诺的质量标准。</w:t>
      </w:r>
    </w:p>
    <w:p w14:paraId="32CB3FDF">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中(4分)：有专门的质量技术管理班子和制度，且人员配备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w:t>
      </w:r>
      <w:r>
        <w:rPr>
          <w:rFonts w:hint="eastAsia" w:asciiTheme="minorEastAsia" w:hAnsiTheme="minorEastAsia" w:eastAsiaTheme="minorEastAsia" w:cstheme="minorEastAsia"/>
          <w:color w:val="auto"/>
          <w:kern w:val="0"/>
          <w:highlight w:val="none"/>
          <w:lang w:val="en-US" w:eastAsia="zh-CN"/>
        </w:rPr>
        <w:t>健全</w:t>
      </w:r>
      <w:r>
        <w:rPr>
          <w:rFonts w:hint="eastAsia" w:asciiTheme="minorEastAsia" w:hAnsiTheme="minorEastAsia" w:eastAsiaTheme="minorEastAsia" w:cstheme="minorEastAsia"/>
          <w:color w:val="auto"/>
          <w:kern w:val="0"/>
          <w:highlight w:val="none"/>
        </w:rPr>
        <w:t>。</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主要工序的质量技术保证措施和手段，自控体系</w:t>
      </w:r>
      <w:r>
        <w:rPr>
          <w:rFonts w:hint="eastAsia" w:asciiTheme="minorEastAsia" w:hAnsiTheme="minorEastAsia" w:eastAsiaTheme="minorEastAsia" w:cstheme="minorEastAsia"/>
          <w:color w:val="auto"/>
          <w:kern w:val="0"/>
          <w:highlight w:val="none"/>
          <w:lang w:val="en-US" w:eastAsia="zh-CN"/>
        </w:rPr>
        <w:t>完整</w:t>
      </w:r>
      <w:r>
        <w:rPr>
          <w:rFonts w:hint="eastAsia" w:asciiTheme="minorEastAsia" w:hAnsiTheme="minorEastAsia" w:eastAsiaTheme="minorEastAsia" w:cstheme="minorEastAsia"/>
          <w:color w:val="auto"/>
          <w:kern w:val="0"/>
          <w:highlight w:val="none"/>
        </w:rPr>
        <w:t>，能保证技术质量</w:t>
      </w:r>
      <w:r>
        <w:rPr>
          <w:rFonts w:hint="eastAsia" w:asciiTheme="minorEastAsia" w:hAnsiTheme="minorEastAsia" w:eastAsiaTheme="minorEastAsia" w:cstheme="minorEastAsia"/>
          <w:color w:val="auto"/>
          <w:kern w:val="0"/>
          <w:highlight w:val="none"/>
          <w:lang w:val="en-US" w:eastAsia="zh-CN"/>
        </w:rPr>
        <w:t>基本要求</w:t>
      </w:r>
      <w:r>
        <w:rPr>
          <w:rFonts w:hint="eastAsia" w:asciiTheme="minorEastAsia" w:hAnsiTheme="minorEastAsia" w:eastAsiaTheme="minorEastAsia" w:cstheme="minorEastAsia"/>
          <w:color w:val="auto"/>
          <w:kern w:val="0"/>
          <w:highlight w:val="none"/>
        </w:rPr>
        <w:t>，能达到承诺的质量标准。</w:t>
      </w:r>
    </w:p>
    <w:p w14:paraId="6FDCBABA">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差(1分)：有专门的质量技术管理班子和制度，人员配备不合理，制度不健全。主要工序无质量技术保证措施和手段，自控体系不完整，不能有效保证技术质量，达不到承诺的质量标准。</w:t>
      </w:r>
    </w:p>
    <w:p w14:paraId="68AD8797">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（5）确保安全生产的技术组织措施（满分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1542F691">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优(10分)：有专门的安全管理人员和制度，且人员配备合理，制度健全，各道工序安全技术措施针对性强，完全符合实际且能满足有关安全技术标准要求。现场防火、应急救援、社会治安安全措施得力。</w:t>
      </w:r>
    </w:p>
    <w:p w14:paraId="364A29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良(7分)：有专门的安全管理人员和制度，且人员配备较为合理，制度较为健全，各道工序安全技术措施针对性比较强，符合实际且能较好满足有关安全技术标准要求。现场防火、应急救援、社会治安安全措施良好。</w:t>
      </w:r>
    </w:p>
    <w:p w14:paraId="0894DF39">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中(4分)：有安全管理人员和制度，</w:t>
      </w:r>
      <w:r>
        <w:rPr>
          <w:rFonts w:hint="eastAsia" w:asciiTheme="minorEastAsia" w:hAnsiTheme="minorEastAsia" w:eastAsiaTheme="minorEastAsia" w:cstheme="minorEastAsia"/>
          <w:color w:val="auto"/>
          <w:kern w:val="0"/>
          <w:highlight w:val="none"/>
          <w:lang w:val="en-US" w:eastAsia="zh-CN"/>
        </w:rPr>
        <w:t>但</w:t>
      </w:r>
      <w:r>
        <w:rPr>
          <w:rFonts w:hint="eastAsia" w:asciiTheme="minorEastAsia" w:hAnsiTheme="minorEastAsia" w:eastAsiaTheme="minorEastAsia" w:cstheme="minorEastAsia"/>
          <w:color w:val="auto"/>
          <w:kern w:val="0"/>
          <w:highlight w:val="none"/>
        </w:rPr>
        <w:t>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，制度基本健全，各道工序安全技术措施针对性</w:t>
      </w:r>
      <w:r>
        <w:rPr>
          <w:rFonts w:hint="eastAsia" w:asciiTheme="minorEastAsia" w:hAnsiTheme="minorEastAsia" w:eastAsiaTheme="minorEastAsia" w:cstheme="minorEastAsia"/>
          <w:color w:val="auto"/>
          <w:kern w:val="0"/>
          <w:highlight w:val="none"/>
          <w:lang w:val="en-US" w:eastAsia="zh-CN"/>
        </w:rPr>
        <w:t>不足</w:t>
      </w:r>
      <w:r>
        <w:rPr>
          <w:rFonts w:hint="eastAsia" w:asciiTheme="minorEastAsia" w:hAnsiTheme="minorEastAsia" w:eastAsiaTheme="minorEastAsia" w:cstheme="minorEastAsia"/>
          <w:color w:val="auto"/>
          <w:kern w:val="0"/>
          <w:highlight w:val="none"/>
        </w:rPr>
        <w:t>，符合实际，满足有关安全技术标准要求。</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现场防火、应急救援、社会治安安全措施</w:t>
      </w:r>
      <w:r>
        <w:rPr>
          <w:rFonts w:hint="eastAsia" w:asciiTheme="minorEastAsia" w:hAnsiTheme="minorEastAsia" w:eastAsiaTheme="minorEastAsia" w:cstheme="minorEastAsia"/>
          <w:color w:val="auto"/>
          <w:kern w:val="0"/>
          <w:highlight w:val="none"/>
          <w:lang w:val="en-US" w:eastAsia="zh-CN"/>
        </w:rPr>
        <w:t>但不完善</w:t>
      </w:r>
      <w:r>
        <w:rPr>
          <w:rFonts w:hint="eastAsia" w:asciiTheme="minorEastAsia" w:hAnsiTheme="minorEastAsia" w:eastAsiaTheme="minorEastAsia" w:cstheme="minorEastAsia"/>
          <w:color w:val="auto"/>
          <w:kern w:val="0"/>
          <w:highlight w:val="none"/>
        </w:rPr>
        <w:t>。</w:t>
      </w:r>
    </w:p>
    <w:p w14:paraId="4DE942A5">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差(1分)：没有专门的安全管理人员和制度，且人员配备不合理，制度不健全，各道工序安全技术措施针对性不强，不符合实际且能满足有关安全技术 标准要求。现场防火、应急救援、社会治安安全措施较差。</w:t>
      </w:r>
    </w:p>
    <w:p w14:paraId="4751C0CD">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（6）确保工期的技术组织措施（满分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3E12FC40">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在施工工艺、施工方法、材料选用、劳动力安排、技术等方面有保证工期的具体措施且措施得当。有控制工期的施工进度计划。有施工总进度表或施工网络图，各项计划图表编制完善，安排科学合理，符合本项目施工实际要求。</w:t>
      </w:r>
    </w:p>
    <w:p w14:paraId="6272B2DB">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 xml:space="preserve">良(7分)：在施工工艺、施工方法、材料选用、劳动力安排、技术等方面有较好的保证工期的具体措施且措施比较得当。有控制工期的施工进度计划。有施工总进度表或施工网络图，各项计划图表编制较为完善，安排科学合理，较好符合本项目施工实际要求。  </w:t>
      </w:r>
    </w:p>
    <w:p w14:paraId="056250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在施工工艺、施工方法、材料选用、劳动力安排、技术等方面有保证工期的具体措施，措施一般。有控制工期的施工进度计划。有施工总进度表或施工网络图，各项计划图表编制完善，安排基本科学合理，符合本项目施工实际要求。</w:t>
      </w:r>
    </w:p>
    <w:p w14:paraId="72424E15">
      <w:pPr>
        <w:widowControl/>
        <w:spacing w:line="360" w:lineRule="auto"/>
        <w:ind w:firstLine="420" w:firstLineChars="200"/>
        <w:rPr>
          <w:rFonts w:hint="eastAsia"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rPr>
        <w:t>差(1分)：在施工工艺、施工方法、材料选用、劳动力安排、技术等方面没有保证工期的具体措施且措施不当。没有控制工期的施工进度计划。没有施工总进度表或施工网络图，各项计划图表编制不完善，安排不科学合理，不符合本项目施工实际要求。</w:t>
      </w:r>
    </w:p>
    <w:p w14:paraId="454A1D21">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（7）确保文明施工的技术组织措施（满分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58227FCA">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10</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 准》(JGJ59-2011) 合格标准并符合《广西壮族自治区建筑工程文明施工导则》要求。各项措施周全、具体、有效。有具体实现现场文明施工目标的承诺。</w:t>
      </w:r>
    </w:p>
    <w:p w14:paraId="195480A0">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分)：针对本工程项目特点，有现场文明施工、环境保护措施，且措施内容较好达到《建筑施工安全生产检查标准》(JGJ59-2011) 合格标准并符合《广西壮族自治区建筑工程文明施工导则》要 求。各项措施良好。有具体实现现场文明施工目标的承诺。</w:t>
      </w:r>
    </w:p>
    <w:p w14:paraId="34B9AA2F">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分)：针对本工程项目特点，有现场文明施工、环境保护措施，且措施内容达到《建筑施工安全生产检查标准》(JGJ59-2011) 合格标准并符合《广西壮族自治区建筑工程文明施工导则》要求。各项措施</w:t>
      </w:r>
      <w:r>
        <w:rPr>
          <w:rFonts w:hint="eastAsia" w:asciiTheme="minorEastAsia" w:hAnsiTheme="minorEastAsia" w:eastAsiaTheme="minorEastAsia" w:cstheme="minorEastAsia"/>
          <w:color w:val="auto"/>
          <w:highlight w:val="none"/>
          <w:lang w:val="en-US" w:eastAsia="zh-CN"/>
        </w:rPr>
        <w:t>不齐全</w:t>
      </w:r>
      <w:r>
        <w:rPr>
          <w:rFonts w:hint="eastAsia" w:asciiTheme="minorEastAsia" w:hAnsiTheme="minorEastAsia" w:eastAsiaTheme="minorEastAsia" w:cstheme="minorEastAsia"/>
          <w:color w:val="auto"/>
          <w:highlight w:val="none"/>
        </w:rPr>
        <w:t>。有具体实现现场文明施工目标的承诺。</w:t>
      </w:r>
    </w:p>
    <w:p w14:paraId="6D81F775">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差(1分)：针对本工程项目特点，应有现场文明施工、环境保护措施，且措施内容应到《建筑施工安全生产检查标准》(JGJ59-2011) 合格标准并符合《广西壮族自治区建筑工程文明施工导则》要求。各项措施不合理。无具体实现现场文明施工目标的承诺。</w:t>
      </w:r>
    </w:p>
    <w:p w14:paraId="49165F39">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ascii="宋体" w:hAnsi="宋体"/>
          <w:b/>
          <w:bCs/>
          <w:color w:val="auto"/>
          <w:kern w:val="0"/>
          <w:highlight w:val="none"/>
        </w:rPr>
      </w:pPr>
      <w:r>
        <w:rPr>
          <w:rFonts w:hint="eastAsia" w:ascii="宋体" w:hAnsi="宋体"/>
          <w:b/>
          <w:bCs/>
          <w:color w:val="auto"/>
          <w:kern w:val="0"/>
          <w:highlight w:val="none"/>
        </w:rPr>
        <w:t>（8）工程施工的重点和难点及保证措施（满分</w:t>
      </w:r>
      <w:r>
        <w:rPr>
          <w:rFonts w:hint="eastAsia" w:ascii="宋体" w:hAnsi="宋体"/>
          <w:b/>
          <w:bCs/>
          <w:color w:val="auto"/>
          <w:kern w:val="0"/>
          <w:highlight w:val="none"/>
          <w:lang w:val="en-US" w:eastAsia="zh-CN"/>
        </w:rPr>
        <w:t>7</w:t>
      </w:r>
      <w:r>
        <w:rPr>
          <w:rFonts w:hint="eastAsia" w:ascii="宋体" w:hAnsi="宋体"/>
          <w:b/>
          <w:bCs/>
          <w:color w:val="auto"/>
          <w:kern w:val="0"/>
          <w:highlight w:val="none"/>
        </w:rPr>
        <w:t>分）</w:t>
      </w:r>
    </w:p>
    <w:p w14:paraId="18AE96A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w:t>
      </w:r>
      <w:r>
        <w:rPr>
          <w:rFonts w:hint="eastAsia" w:asciiTheme="minorEastAsia" w:hAnsiTheme="minorEastAsia" w:eastAsiaTheme="minorEastAsia" w:cstheme="minorEastAsia"/>
          <w:color w:val="auto"/>
          <w:highlight w:val="none"/>
          <w:lang w:val="en-US" w:eastAsia="zh-CN"/>
        </w:rPr>
        <w:t>项目施工地分散</w:t>
      </w:r>
      <w:r>
        <w:rPr>
          <w:rFonts w:hint="eastAsia" w:asciiTheme="minorEastAsia" w:hAnsiTheme="minorEastAsia" w:eastAsiaTheme="minorEastAsia" w:cstheme="minorEastAsia"/>
          <w:color w:val="auto"/>
          <w:highlight w:val="none"/>
        </w:rPr>
        <w:t>；②</w:t>
      </w:r>
      <w:r>
        <w:rPr>
          <w:rFonts w:hint="eastAsia" w:asciiTheme="minorEastAsia" w:hAnsiTheme="minorEastAsia" w:eastAsiaTheme="minorEastAsia" w:cstheme="minorEastAsia"/>
          <w:color w:val="auto"/>
          <w:highlight w:val="none"/>
          <w:lang w:val="en-US" w:eastAsia="zh-CN"/>
        </w:rPr>
        <w:t>改造</w:t>
      </w:r>
      <w:r>
        <w:rPr>
          <w:rFonts w:hint="eastAsia" w:asciiTheme="minorEastAsia" w:hAnsiTheme="minorEastAsia" w:eastAsiaTheme="minorEastAsia" w:cstheme="minorEastAsia"/>
          <w:color w:val="auto"/>
          <w:highlight w:val="none"/>
        </w:rPr>
        <w:t>施工方案；</w:t>
      </w:r>
      <w:r>
        <w:rPr>
          <w:rFonts w:hint="eastAsia" w:asciiTheme="minorEastAsia" w:hAnsiTheme="minorEastAsia" w:eastAsiaTheme="minorEastAsia" w:cstheme="minorEastAsia"/>
          <w:color w:val="auto"/>
          <w:highlight w:val="none"/>
          <w:lang w:val="en-US" w:eastAsia="zh-CN"/>
        </w:rPr>
        <w:t>④</w:t>
      </w:r>
      <w:r>
        <w:rPr>
          <w:rFonts w:hint="eastAsia" w:asciiTheme="minorEastAsia" w:hAnsiTheme="minorEastAsia" w:eastAsiaTheme="minorEastAsia" w:cstheme="minorEastAsia"/>
          <w:color w:val="auto"/>
          <w:highlight w:val="none"/>
        </w:rPr>
        <w:t>临时用电；</w:t>
      </w:r>
      <w:r>
        <w:rPr>
          <w:rFonts w:hint="eastAsia" w:asciiTheme="minorEastAsia" w:hAnsiTheme="minorEastAsia" w:eastAsiaTheme="minorEastAsia" w:cstheme="minorEastAsia"/>
          <w:color w:val="auto"/>
          <w:highlight w:val="none"/>
          <w:lang w:val="en-US" w:eastAsia="zh-CN"/>
        </w:rPr>
        <w:t>⑤</w:t>
      </w:r>
      <w:r>
        <w:rPr>
          <w:rFonts w:hint="eastAsia" w:asciiTheme="minorEastAsia" w:hAnsiTheme="minorEastAsia" w:eastAsiaTheme="minorEastAsia" w:cstheme="minorEastAsia"/>
          <w:color w:val="auto"/>
          <w:highlight w:val="none"/>
        </w:rPr>
        <w:t>投标人认为的本项目其他特点，阐述本工程的重点和难点，按以下标准计分：</w:t>
      </w:r>
    </w:p>
    <w:p w14:paraId="1E685A20">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分)：针对本工程的特点，阐述本工程的重点和难点，解决重点和难点问题的方法针对性强且科学合理，可行性强。</w:t>
      </w:r>
    </w:p>
    <w:p w14:paraId="416884ED">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分)：针对本工程的特点，阐述本工程的重点和难点，解决重点和难点问题的方法有针对性且较为合理。</w:t>
      </w:r>
    </w:p>
    <w:p w14:paraId="4E498E5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分)：针对本工程的特点，阐述本工程的重点和难点，解决重点和难点问题的方法合理。</w:t>
      </w:r>
    </w:p>
    <w:p w14:paraId="10A30EF6">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差(1分)：针对本工程的特点，阐述本工程的重点和难点，解决重点和难点问题的方法不合理。</w:t>
      </w:r>
    </w:p>
    <w:p w14:paraId="65F90D6C">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w:t>
      </w:r>
      <w:r>
        <w:rPr>
          <w:rFonts w:hint="eastAsia" w:asciiTheme="minorEastAsia" w:hAnsiTheme="minorEastAsia" w:eastAsiaTheme="minorEastAsia" w:cstheme="minorEastAsia"/>
          <w:b/>
          <w:bCs/>
          <w:color w:val="auto"/>
          <w:kern w:val="0"/>
          <w:highlight w:val="none"/>
          <w:lang w:val="en-US" w:eastAsia="zh-CN"/>
        </w:rPr>
        <w:t>9）施工总平面布置图（</w:t>
      </w:r>
      <w:r>
        <w:rPr>
          <w:rFonts w:hint="eastAsia" w:asciiTheme="minorEastAsia" w:hAnsiTheme="minorEastAsia" w:eastAsiaTheme="minorEastAsia" w:cstheme="minorEastAsia"/>
          <w:b/>
          <w:bCs/>
          <w:color w:val="auto"/>
          <w:kern w:val="0"/>
          <w:highlight w:val="none"/>
        </w:rPr>
        <w:t>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F362021">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投标人分别针对：①拟规划施工车辆行驶路线方案及周边现有建筑物等内容；②机械设备及建筑材料的场地安排；③投标人认为的本项目其他特点，自行提供施工总平面布置图，按以下标准计分：</w:t>
      </w:r>
    </w:p>
    <w:p w14:paraId="7986CC7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分）：投标人有施工总平面布置图，施工总平面布置图能结合项目周边现有建筑物的场地特点及各分部功能要求和管理要求布置，施工总平面布置图安排科学合理，符合本项目施工的实际要求。</w:t>
      </w:r>
    </w:p>
    <w:p w14:paraId="0F747924">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 分）：投标人有施工总平面布置图，施工总平面布置图能结合项目周边现有建筑物的场地特点及各分部功能要求和管理要求布置，施工总平面布置图安排比较合理，符合本项目施工的实际要求。</w:t>
      </w:r>
    </w:p>
    <w:p w14:paraId="1A2A9BBC">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 分）：投标人有施工总平面布置图，施工总平面布置图能结合项目周边现有建筑物的场地特点及各分部功能要求和管理要求布置，施工总平面布置图安排符合本项目施工的实际要求。</w:t>
      </w:r>
    </w:p>
    <w:p w14:paraId="0956AF05">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 分）：施工总平面布置图不合理或不提供，不符合本项目施工实际要求。</w:t>
      </w:r>
    </w:p>
    <w:p w14:paraId="3DA28343">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2.2</w:t>
      </w:r>
      <w:r>
        <w:rPr>
          <w:rFonts w:hint="eastAsia" w:asciiTheme="minorEastAsia" w:hAnsiTheme="minorEastAsia" w:eastAsiaTheme="minorEastAsia" w:cstheme="minorEastAsia"/>
          <w:b/>
          <w:bCs/>
          <w:color w:val="auto"/>
          <w:kern w:val="0"/>
          <w:sz w:val="21"/>
          <w:szCs w:val="21"/>
          <w:highlight w:val="none"/>
        </w:rPr>
        <w:t>项目管理机构配备分（满分</w:t>
      </w:r>
      <w:r>
        <w:rPr>
          <w:rFonts w:hint="eastAsia" w:asciiTheme="minorEastAsia" w:hAnsiTheme="minorEastAsia" w:eastAsiaTheme="minorEastAsia" w:cstheme="minorEastAsia"/>
          <w:b/>
          <w:bCs/>
          <w:color w:val="auto"/>
          <w:kern w:val="0"/>
          <w:sz w:val="21"/>
          <w:szCs w:val="21"/>
          <w:highlight w:val="none"/>
          <w:lang w:val="en-US" w:eastAsia="zh-CN"/>
        </w:rPr>
        <w:t>8</w:t>
      </w:r>
      <w:r>
        <w:rPr>
          <w:rFonts w:hint="eastAsia" w:asciiTheme="minorEastAsia" w:hAnsiTheme="minorEastAsia" w:eastAsiaTheme="minorEastAsia" w:cstheme="minorEastAsia"/>
          <w:b/>
          <w:bCs/>
          <w:color w:val="auto"/>
          <w:kern w:val="0"/>
          <w:sz w:val="21"/>
          <w:szCs w:val="21"/>
          <w:highlight w:val="none"/>
        </w:rPr>
        <w:t>分）</w:t>
      </w:r>
    </w:p>
    <w:p w14:paraId="2F3E2DF7">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拟投入本工程的施工员、质量员、安全员、</w:t>
      </w:r>
      <w:r>
        <w:rPr>
          <w:rFonts w:hint="eastAsia" w:asciiTheme="minorEastAsia" w:hAnsiTheme="minorEastAsia" w:eastAsiaTheme="minorEastAsia" w:cstheme="minorEastAsia"/>
          <w:bCs/>
          <w:color w:val="auto"/>
          <w:sz w:val="21"/>
          <w:szCs w:val="21"/>
          <w:highlight w:val="none"/>
          <w:lang w:eastAsia="zh-CN"/>
        </w:rPr>
        <w:t>材料</w:t>
      </w:r>
      <w:r>
        <w:rPr>
          <w:rFonts w:hint="eastAsia" w:asciiTheme="minorEastAsia" w:hAnsiTheme="minorEastAsia" w:eastAsiaTheme="minorEastAsia" w:cstheme="minorEastAsia"/>
          <w:bCs/>
          <w:color w:val="auto"/>
          <w:sz w:val="21"/>
          <w:szCs w:val="21"/>
          <w:highlight w:val="none"/>
        </w:rPr>
        <w:t>员</w:t>
      </w:r>
      <w:r>
        <w:rPr>
          <w:rFonts w:hint="eastAsia" w:ascii="宋体" w:hAnsi="宋体" w:eastAsia="宋体" w:cs="宋体"/>
          <w:color w:val="auto"/>
          <w:sz w:val="21"/>
          <w:szCs w:val="21"/>
          <w:highlight w:val="none"/>
        </w:rPr>
        <w:t>配备齐全合理且全部持证上岗经年检合格的得</w:t>
      </w:r>
      <w:r>
        <w:rPr>
          <w:rFonts w:hint="eastAsia" w:hAnsi="宋体" w:cs="宋体"/>
          <w:color w:val="auto"/>
          <w:sz w:val="21"/>
          <w:szCs w:val="21"/>
          <w:highlight w:val="none"/>
          <w:lang w:val="en-US" w:eastAsia="zh-CN"/>
        </w:rPr>
        <w:t>8</w:t>
      </w:r>
      <w:r>
        <w:rPr>
          <w:rFonts w:hint="eastAsia" w:ascii="宋体" w:hAnsi="宋体" w:eastAsia="宋体" w:cs="宋体"/>
          <w:color w:val="auto"/>
          <w:sz w:val="21"/>
          <w:szCs w:val="21"/>
          <w:highlight w:val="none"/>
        </w:rPr>
        <w:t>分，每缺1员扣</w:t>
      </w:r>
      <w:r>
        <w:rPr>
          <w:rFonts w:hint="eastAsia" w:hAnsi="宋体" w:cs="宋体"/>
          <w:color w:val="auto"/>
          <w:sz w:val="21"/>
          <w:szCs w:val="21"/>
          <w:highlight w:val="none"/>
          <w:lang w:val="en-US" w:eastAsia="zh-CN"/>
        </w:rPr>
        <w:t>2</w:t>
      </w:r>
      <w:r>
        <w:rPr>
          <w:rFonts w:hint="eastAsia" w:ascii="宋体" w:hAnsi="宋体" w:eastAsia="宋体" w:cs="宋体"/>
          <w:color w:val="auto"/>
          <w:sz w:val="21"/>
          <w:szCs w:val="21"/>
          <w:highlight w:val="none"/>
        </w:rPr>
        <w:t>分（无证或无效证件的算缺员），扣完为止</w:t>
      </w:r>
      <w:r>
        <w:rPr>
          <w:rFonts w:hint="eastAsia" w:asciiTheme="minorEastAsia" w:hAnsiTheme="minorEastAsia" w:eastAsiaTheme="minorEastAsia" w:cstheme="minorEastAsia"/>
          <w:bCs/>
          <w:color w:val="auto"/>
          <w:sz w:val="21"/>
          <w:szCs w:val="21"/>
          <w:highlight w:val="none"/>
        </w:rPr>
        <w:t>。</w:t>
      </w:r>
    </w:p>
    <w:p w14:paraId="64117BF8">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b/>
          <w:bCs/>
          <w:color w:val="auto"/>
          <w:kern w:val="0"/>
          <w:sz w:val="21"/>
          <w:szCs w:val="21"/>
          <w:highlight w:val="none"/>
          <w:lang w:val="en-US" w:eastAsia="zh-CN" w:bidi="ar-SA"/>
        </w:rPr>
      </w:pPr>
      <w:r>
        <w:rPr>
          <w:rFonts w:hint="eastAsia" w:asciiTheme="minorEastAsia" w:hAnsiTheme="minorEastAsia" w:eastAsiaTheme="minorEastAsia" w:cstheme="minorEastAsia"/>
          <w:b/>
          <w:bCs/>
          <w:color w:val="auto"/>
          <w:kern w:val="0"/>
          <w:sz w:val="21"/>
          <w:szCs w:val="21"/>
          <w:highlight w:val="none"/>
          <w:lang w:val="en-US" w:eastAsia="zh-CN" w:bidi="ar-SA"/>
        </w:rPr>
        <w:t>3、企业业绩分…………………………………………………………………………………5分</w:t>
      </w:r>
    </w:p>
    <w:p w14:paraId="75F5B821">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宋体" w:hAnsi="宋体" w:eastAsia="宋体" w:cs="Times New Roman"/>
          <w:bCs/>
          <w:color w:val="auto"/>
          <w:kern w:val="2"/>
          <w:sz w:val="21"/>
          <w:szCs w:val="21"/>
          <w:highlight w:val="none"/>
          <w:lang w:val="en-US" w:eastAsia="zh-CN" w:bidi="ar-SA"/>
        </w:rPr>
        <w:t>企业</w:t>
      </w:r>
      <w:r>
        <w:rPr>
          <w:rFonts w:hint="eastAsia" w:hAnsi="宋体" w:cs="Times New Roman"/>
          <w:bCs/>
          <w:color w:val="auto"/>
          <w:kern w:val="2"/>
          <w:sz w:val="21"/>
          <w:szCs w:val="21"/>
          <w:highlight w:val="none"/>
          <w:lang w:val="en-US" w:eastAsia="zh-CN" w:bidi="ar-SA"/>
        </w:rPr>
        <w:t>2020年至今</w:t>
      </w:r>
      <w:r>
        <w:rPr>
          <w:rFonts w:hint="eastAsia" w:ascii="宋体" w:hAnsi="宋体" w:eastAsia="宋体" w:cs="Times New Roman"/>
          <w:bCs/>
          <w:color w:val="auto"/>
          <w:kern w:val="2"/>
          <w:sz w:val="21"/>
          <w:szCs w:val="21"/>
          <w:highlight w:val="none"/>
          <w:lang w:val="en-US" w:eastAsia="zh-CN" w:bidi="ar-SA"/>
        </w:rPr>
        <w:t>在建或完成过工程业绩，每个得2.5分，满分5分。【业绩证明：20</w:t>
      </w:r>
      <w:r>
        <w:rPr>
          <w:rFonts w:hint="eastAsia" w:hAnsi="宋体" w:cs="Times New Roman"/>
          <w:bCs/>
          <w:color w:val="auto"/>
          <w:kern w:val="2"/>
          <w:sz w:val="21"/>
          <w:szCs w:val="21"/>
          <w:highlight w:val="none"/>
          <w:lang w:val="en-US" w:eastAsia="zh-CN" w:bidi="ar-SA"/>
        </w:rPr>
        <w:t>20</w:t>
      </w:r>
      <w:r>
        <w:rPr>
          <w:rFonts w:hint="eastAsia" w:ascii="宋体" w:hAnsi="宋体" w:eastAsia="宋体" w:cs="Times New Roman"/>
          <w:bCs/>
          <w:color w:val="auto"/>
          <w:kern w:val="2"/>
          <w:sz w:val="21"/>
          <w:szCs w:val="21"/>
          <w:highlight w:val="none"/>
          <w:lang w:val="en-US" w:eastAsia="zh-CN" w:bidi="ar-SA"/>
        </w:rPr>
        <w:t>年至今在建或已完成的工程类项目（房建类、市政类项目均可）。以中标通知书（如有）、工程合同协议书有关页面、工程竣工验收证明材料证明（在建工程不需提供）为准】</w:t>
      </w:r>
      <w:r>
        <w:rPr>
          <w:rFonts w:hint="eastAsia" w:asciiTheme="minorEastAsia" w:hAnsiTheme="minorEastAsia" w:eastAsiaTheme="minorEastAsia" w:cstheme="minorEastAsia"/>
          <w:bCs/>
          <w:color w:val="auto"/>
          <w:sz w:val="21"/>
          <w:szCs w:val="21"/>
          <w:highlight w:val="none"/>
        </w:rPr>
        <w:t>。同一项目，不同标段时按最高金额的标段计分，不重复计分。</w:t>
      </w:r>
    </w:p>
    <w:p w14:paraId="1B72608E">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kern w:val="0"/>
          <w:sz w:val="21"/>
          <w:szCs w:val="21"/>
          <w:highlight w:val="none"/>
        </w:rPr>
        <w:t>总得分=1+2</w:t>
      </w:r>
      <w:r>
        <w:rPr>
          <w:rFonts w:hint="eastAsia" w:asciiTheme="minorEastAsia" w:hAnsiTheme="minorEastAsia" w:eastAsiaTheme="minorEastAsia" w:cstheme="minorEastAsia"/>
          <w:color w:val="auto"/>
          <w:kern w:val="0"/>
          <w:sz w:val="21"/>
          <w:szCs w:val="21"/>
          <w:highlight w:val="none"/>
          <w:lang w:val="en-US" w:eastAsia="zh-CN"/>
        </w:rPr>
        <w:t>+3</w:t>
      </w:r>
    </w:p>
    <w:p w14:paraId="2BFC7600">
      <w:pPr>
        <w:spacing w:line="360" w:lineRule="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val="en-US" w:eastAsia="zh-CN"/>
        </w:rPr>
        <w:t>8.</w:t>
      </w:r>
      <w:r>
        <w:rPr>
          <w:rFonts w:hint="eastAsia" w:asciiTheme="minorEastAsia" w:hAnsiTheme="minorEastAsia" w:eastAsiaTheme="minorEastAsia" w:cstheme="minorEastAsia"/>
          <w:b/>
          <w:bCs/>
          <w:color w:val="auto"/>
          <w:sz w:val="21"/>
          <w:szCs w:val="21"/>
          <w:highlight w:val="none"/>
        </w:rPr>
        <w:t>终止竞争性磋商采购活动</w:t>
      </w:r>
    </w:p>
    <w:p w14:paraId="4C4195FB">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磋商小组发现竞争性磋商文件存在歧义、重大缺陷导致评审工作无法进行，或者竞争性磋商文件内容违反国家有关规定的，要停止评审工作并向采购人或采购代理机构书面说明情况，采购人或采购代理机构应当修改竞争性磋商文件后重新组织采购活动；发现供应商提供虚假材料、串通等违法违规行为的，要及时向采购人或采购代理机构报告。</w:t>
      </w:r>
    </w:p>
    <w:p w14:paraId="47FA0658">
      <w:pPr>
        <w:rPr>
          <w:rFonts w:hint="eastAsia"/>
          <w:color w:val="auto"/>
          <w:highlight w:val="none"/>
        </w:rPr>
      </w:pPr>
    </w:p>
    <w:p w14:paraId="790FD6D1">
      <w:pPr>
        <w:rPr>
          <w:rFonts w:hint="eastAsia"/>
          <w:color w:val="auto"/>
          <w:highlight w:val="none"/>
        </w:rPr>
      </w:pPr>
    </w:p>
    <w:p w14:paraId="684AFAC3">
      <w:pPr>
        <w:rPr>
          <w:rFonts w:hint="eastAsia" w:ascii="宋体" w:hAnsi="宋体" w:eastAsia="宋体"/>
          <w:b w:val="0"/>
          <w:color w:val="auto"/>
          <w:highlight w:val="none"/>
        </w:rPr>
      </w:pPr>
      <w:bookmarkStart w:id="36" w:name="_Toc32748"/>
      <w:bookmarkStart w:id="37" w:name="_Toc80886939"/>
      <w:r>
        <w:rPr>
          <w:rFonts w:hint="eastAsia" w:ascii="宋体" w:hAnsi="宋体" w:eastAsia="宋体"/>
          <w:b w:val="0"/>
          <w:color w:val="auto"/>
          <w:highlight w:val="none"/>
        </w:rPr>
        <w:br w:type="page"/>
      </w:r>
    </w:p>
    <w:p w14:paraId="1983813C">
      <w:pPr>
        <w:pStyle w:val="3"/>
        <w:jc w:val="center"/>
        <w:rPr>
          <w:rFonts w:hint="eastAsia" w:ascii="宋体" w:hAnsi="宋体" w:eastAsia="宋体"/>
          <w:b w:val="0"/>
          <w:color w:val="auto"/>
          <w:highlight w:val="none"/>
        </w:rPr>
      </w:pPr>
      <w:r>
        <w:rPr>
          <w:rFonts w:hint="eastAsia" w:ascii="宋体" w:hAnsi="宋体" w:eastAsia="宋体"/>
          <w:b w:val="0"/>
          <w:color w:val="auto"/>
          <w:highlight w:val="none"/>
        </w:rPr>
        <w:t>第二节 评标报告</w:t>
      </w:r>
      <w:bookmarkEnd w:id="36"/>
      <w:bookmarkEnd w:id="37"/>
    </w:p>
    <w:p w14:paraId="459C1BB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1.成交标准</w:t>
      </w:r>
    </w:p>
    <w:p w14:paraId="5A13F8C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sz w:val="21"/>
          <w:szCs w:val="21"/>
          <w:highlight w:val="none"/>
        </w:rPr>
        <w:t>由磋商小组根据综合评分情况，按照评审得分由高到低顺序推荐3名以上成交候选供应商</w:t>
      </w:r>
      <w:r>
        <w:rPr>
          <w:rFonts w:hint="eastAsia" w:asciiTheme="minorEastAsia" w:hAnsiTheme="minorEastAsia" w:eastAsiaTheme="minorEastAsia" w:cstheme="minorEastAsia"/>
          <w:color w:val="auto"/>
          <w:sz w:val="21"/>
          <w:szCs w:val="21"/>
          <w:highlight w:val="none"/>
        </w:rPr>
        <w:t>,并在线编写电子评审报告</w:t>
      </w:r>
      <w:r>
        <w:rPr>
          <w:rFonts w:hint="eastAsia" w:asciiTheme="minorEastAsia" w:hAnsiTheme="minorEastAsia" w:eastAsiaTheme="minorEastAsia" w:cstheme="minorEastAsia"/>
          <w:bCs/>
          <w:color w:val="auto"/>
          <w:sz w:val="21"/>
          <w:szCs w:val="21"/>
          <w:highlight w:val="none"/>
        </w:rPr>
        <w:t>。符合本章第一节第5.3条情形的，可以推荐2家成交候选供应商。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6E4314F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2.评标争议事项处理</w:t>
      </w:r>
    </w:p>
    <w:p w14:paraId="72422D85">
      <w:pPr>
        <w:pStyle w:val="168"/>
        <w:spacing w:before="0"/>
        <w:ind w:firstLine="420"/>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748C1405">
      <w:pPr>
        <w:pStyle w:val="3"/>
        <w:jc w:val="center"/>
        <w:rPr>
          <w:rFonts w:hint="eastAsia" w:ascii="宋体" w:hAnsi="宋体" w:eastAsia="宋体"/>
          <w:b w:val="0"/>
          <w:color w:val="auto"/>
          <w:highlight w:val="none"/>
        </w:rPr>
      </w:pPr>
      <w:bookmarkStart w:id="38" w:name="_Toc80886940"/>
      <w:bookmarkStart w:id="39" w:name="_Toc7829"/>
      <w:bookmarkStart w:id="40" w:name="_Toc80205936"/>
      <w:r>
        <w:rPr>
          <w:rFonts w:hint="eastAsia" w:ascii="宋体" w:hAnsi="宋体" w:eastAsia="宋体"/>
          <w:b w:val="0"/>
          <w:color w:val="auto"/>
          <w:highlight w:val="none"/>
        </w:rPr>
        <w:t>第三节 评审过程的保密与录像</w:t>
      </w:r>
      <w:bookmarkEnd w:id="38"/>
      <w:bookmarkEnd w:id="39"/>
      <w:bookmarkEnd w:id="40"/>
    </w:p>
    <w:p w14:paraId="453F816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1.保密。</w:t>
      </w:r>
    </w:p>
    <w:p w14:paraId="767BB850">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2952C9BB">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2.录音录像。</w:t>
      </w:r>
    </w:p>
    <w:p w14:paraId="0FA3DD61">
      <w:pPr>
        <w:pStyle w:val="42"/>
        <w:keepNext w:val="0"/>
        <w:keepLines w:val="0"/>
        <w:pageBreakBefore w:val="0"/>
        <w:widowControl w:val="0"/>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评审工作现场及操作屏幕进行全过程录音录像，录音录像资料作为采购项目文件随其他文件一并存档。</w:t>
      </w:r>
    </w:p>
    <w:p w14:paraId="15E4222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2345AD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6F408FBC">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1" w:name="_Toc27061"/>
      <w:bookmarkStart w:id="42" w:name="_Toc44229897"/>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65F19AF3">
      <w:pPr>
        <w:pStyle w:val="42"/>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第五章  响应文件格式</w:t>
      </w:r>
      <w:bookmarkEnd w:id="41"/>
    </w:p>
    <w:p w14:paraId="72C4202C">
      <w:pPr>
        <w:pStyle w:val="3"/>
        <w:jc w:val="center"/>
        <w:rPr>
          <w:rFonts w:hint="eastAsia" w:ascii="宋体" w:hAnsi="宋体"/>
          <w:b/>
          <w:bCs w:val="0"/>
          <w:color w:val="auto"/>
          <w:highlight w:val="none"/>
        </w:rPr>
      </w:pPr>
      <w:r>
        <w:rPr>
          <w:rFonts w:hint="eastAsia" w:ascii="宋体" w:hAnsi="宋体"/>
          <w:b/>
          <w:bCs w:val="0"/>
          <w:color w:val="auto"/>
          <w:highlight w:val="none"/>
        </w:rPr>
        <w:t>第一节 封面格式</w:t>
      </w:r>
    </w:p>
    <w:p w14:paraId="733FA183">
      <w:pPr>
        <w:rPr>
          <w:rFonts w:hint="eastAsia" w:ascii="宋体" w:hAnsi="宋体"/>
          <w:b/>
          <w:bCs/>
          <w:color w:val="auto"/>
          <w:sz w:val="32"/>
          <w:szCs w:val="32"/>
          <w:highlight w:val="none"/>
        </w:rPr>
      </w:pPr>
      <w:r>
        <w:rPr>
          <w:rFonts w:hint="eastAsia" w:ascii="宋体" w:hAnsi="宋体"/>
          <w:b/>
          <w:color w:val="auto"/>
          <w:sz w:val="32"/>
          <w:szCs w:val="32"/>
          <w:highlight w:val="none"/>
        </w:rPr>
        <w:t>（</w:t>
      </w:r>
      <w:r>
        <w:rPr>
          <w:rFonts w:hint="eastAsia" w:ascii="宋体" w:hAnsi="宋体"/>
          <w:b/>
          <w:bCs/>
          <w:color w:val="auto"/>
          <w:sz w:val="32"/>
          <w:szCs w:val="32"/>
          <w:highlight w:val="none"/>
        </w:rPr>
        <w:t>响应文件外层包装封面格式</w:t>
      </w:r>
      <w:r>
        <w:rPr>
          <w:rFonts w:hint="eastAsia" w:ascii="宋体" w:hAnsi="宋体"/>
          <w:b/>
          <w:color w:val="auto"/>
          <w:sz w:val="32"/>
          <w:szCs w:val="32"/>
          <w:highlight w:val="none"/>
        </w:rPr>
        <w:t xml:space="preserve"> ）</w:t>
      </w:r>
    </w:p>
    <w:p w14:paraId="2F42AFAB">
      <w:pPr>
        <w:snapToGrid w:val="0"/>
        <w:spacing w:before="120" w:beforeLines="50" w:after="50"/>
        <w:rPr>
          <w:rFonts w:hint="eastAsia" w:ascii="宋体" w:hAnsi="宋体"/>
          <w:color w:val="auto"/>
          <w:sz w:val="24"/>
          <w:szCs w:val="20"/>
          <w:highlight w:val="none"/>
        </w:rPr>
      </w:pPr>
    </w:p>
    <w:p w14:paraId="45F1EE9E">
      <w:pPr>
        <w:snapToGrid w:val="0"/>
        <w:spacing w:before="120" w:beforeLines="50" w:after="50"/>
        <w:jc w:val="center"/>
        <w:rPr>
          <w:rFonts w:hint="eastAsia" w:ascii="宋体" w:hAnsi="宋体"/>
          <w:bCs/>
          <w:color w:val="auto"/>
          <w:sz w:val="24"/>
          <w:szCs w:val="20"/>
          <w:highlight w:val="none"/>
        </w:rPr>
      </w:pPr>
    </w:p>
    <w:p w14:paraId="061380B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响  应  文  件</w:t>
      </w:r>
    </w:p>
    <w:p w14:paraId="43D10C21">
      <w:pPr>
        <w:snapToGrid w:val="0"/>
        <w:spacing w:before="120" w:beforeLines="50" w:after="50"/>
        <w:rPr>
          <w:rFonts w:hint="eastAsia" w:ascii="宋体" w:hAnsi="宋体"/>
          <w:bCs/>
          <w:color w:val="auto"/>
          <w:sz w:val="24"/>
          <w:szCs w:val="20"/>
          <w:highlight w:val="none"/>
        </w:rPr>
      </w:pPr>
    </w:p>
    <w:p w14:paraId="6DABF711">
      <w:pPr>
        <w:snapToGrid w:val="0"/>
        <w:spacing w:before="120" w:beforeLines="50" w:after="50"/>
        <w:rPr>
          <w:rFonts w:hint="eastAsia" w:ascii="宋体" w:hAnsi="宋体"/>
          <w:bCs/>
          <w:color w:val="auto"/>
          <w:sz w:val="24"/>
          <w:szCs w:val="20"/>
          <w:highlight w:val="none"/>
        </w:rPr>
      </w:pPr>
    </w:p>
    <w:p w14:paraId="539754F5">
      <w:pPr>
        <w:snapToGrid w:val="0"/>
        <w:spacing w:before="120" w:beforeLines="50" w:after="50"/>
        <w:rPr>
          <w:rFonts w:hint="eastAsia" w:ascii="仿宋_GB2312" w:hAnsi="仿宋_GB2312" w:eastAsia="仿宋_GB2312" w:cs="仿宋_GB2312"/>
          <w:bCs/>
          <w:color w:val="auto"/>
          <w:sz w:val="32"/>
          <w:szCs w:val="32"/>
          <w:highlight w:val="none"/>
        </w:rPr>
      </w:pPr>
    </w:p>
    <w:p w14:paraId="0DA4A9D5">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563652E4">
      <w:pPr>
        <w:snapToGrid w:val="0"/>
        <w:spacing w:before="120" w:beforeLines="50" w:after="50"/>
        <w:ind w:firstLine="480" w:firstLineChars="150"/>
        <w:rPr>
          <w:rFonts w:hint="eastAsia" w:ascii="宋体" w:hAnsi="宋体" w:cs="仿宋_GB2312"/>
          <w:bCs/>
          <w:color w:val="auto"/>
          <w:sz w:val="32"/>
          <w:szCs w:val="32"/>
          <w:highlight w:val="none"/>
        </w:rPr>
      </w:pPr>
    </w:p>
    <w:p w14:paraId="4D21D549">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119AF0BB">
      <w:pPr>
        <w:snapToGrid w:val="0"/>
        <w:spacing w:before="120" w:beforeLines="50" w:after="50"/>
        <w:ind w:firstLine="480" w:firstLineChars="150"/>
        <w:rPr>
          <w:rFonts w:hint="eastAsia" w:ascii="宋体" w:hAnsi="宋体" w:cs="仿宋_GB2312"/>
          <w:bCs/>
          <w:color w:val="auto"/>
          <w:sz w:val="32"/>
          <w:szCs w:val="32"/>
          <w:highlight w:val="none"/>
        </w:rPr>
      </w:pPr>
    </w:p>
    <w:p w14:paraId="0A77DF5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C502802">
      <w:pPr>
        <w:snapToGrid w:val="0"/>
        <w:spacing w:before="120" w:beforeLines="50" w:after="50"/>
        <w:rPr>
          <w:rFonts w:hint="eastAsia" w:ascii="宋体" w:hAnsi="宋体" w:cs="仿宋_GB2312"/>
          <w:bCs/>
          <w:color w:val="auto"/>
          <w:sz w:val="32"/>
          <w:szCs w:val="32"/>
          <w:highlight w:val="none"/>
        </w:rPr>
      </w:pPr>
    </w:p>
    <w:p w14:paraId="36D0B0B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383B00FD">
      <w:pPr>
        <w:snapToGrid w:val="0"/>
        <w:spacing w:before="120" w:beforeLines="50" w:after="50"/>
        <w:rPr>
          <w:rFonts w:hint="eastAsia" w:ascii="宋体" w:hAnsi="宋体" w:cs="仿宋_GB2312"/>
          <w:bCs/>
          <w:color w:val="auto"/>
          <w:sz w:val="32"/>
          <w:szCs w:val="32"/>
          <w:highlight w:val="none"/>
        </w:rPr>
      </w:pPr>
    </w:p>
    <w:p w14:paraId="34A5755A">
      <w:pPr>
        <w:snapToGrid w:val="0"/>
        <w:spacing w:before="120" w:beforeLines="50" w:after="50"/>
        <w:ind w:firstLine="480" w:firstLineChars="150"/>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首次响应文件提交截止时间前不得解密</w:t>
      </w:r>
    </w:p>
    <w:p w14:paraId="44C3B9A3">
      <w:pPr>
        <w:snapToGrid w:val="0"/>
        <w:spacing w:before="120" w:beforeLines="50" w:after="50"/>
        <w:ind w:firstLine="5440" w:firstLineChars="1700"/>
        <w:jc w:val="center"/>
        <w:rPr>
          <w:rFonts w:hint="eastAsia" w:ascii="宋体" w:hAnsi="宋体" w:cs="仿宋_GB2312"/>
          <w:bCs/>
          <w:color w:val="auto"/>
          <w:sz w:val="32"/>
          <w:szCs w:val="32"/>
          <w:highlight w:val="none"/>
        </w:rPr>
      </w:pPr>
    </w:p>
    <w:p w14:paraId="49559145">
      <w:pPr>
        <w:snapToGrid w:val="0"/>
        <w:spacing w:before="120" w:beforeLines="50" w:after="50"/>
        <w:ind w:firstLine="645"/>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年    月    日</w:t>
      </w:r>
    </w:p>
    <w:p w14:paraId="2145E66D">
      <w:pPr>
        <w:rPr>
          <w:color w:val="auto"/>
          <w:highlight w:val="none"/>
        </w:rPr>
        <w:sectPr>
          <w:pgSz w:w="11910" w:h="16840"/>
          <w:pgMar w:top="1340" w:right="1500" w:bottom="280" w:left="1680" w:header="720" w:footer="720" w:gutter="0"/>
          <w:cols w:space="720" w:num="1"/>
        </w:sectPr>
      </w:pPr>
    </w:p>
    <w:p w14:paraId="07D3DA5F">
      <w:pPr>
        <w:pStyle w:val="3"/>
        <w:jc w:val="center"/>
        <w:rPr>
          <w:rFonts w:hint="eastAsia" w:ascii="宋体" w:hAnsi="宋体"/>
          <w:bCs w:val="0"/>
          <w:color w:val="auto"/>
          <w:highlight w:val="none"/>
        </w:rPr>
      </w:pPr>
      <w:r>
        <w:rPr>
          <w:rFonts w:hint="eastAsia" w:ascii="宋体" w:hAnsi="宋体"/>
          <w:bCs w:val="0"/>
          <w:color w:val="auto"/>
          <w:highlight w:val="none"/>
        </w:rPr>
        <w:t>第二节 资格证明文件格式</w:t>
      </w:r>
    </w:p>
    <w:p w14:paraId="4822DEC6">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7B0E83BB">
      <w:pPr>
        <w:snapToGrid w:val="0"/>
        <w:spacing w:before="120" w:beforeLines="50" w:after="50"/>
        <w:rPr>
          <w:rFonts w:hint="eastAsia" w:ascii="宋体" w:hAnsi="宋体"/>
          <w:color w:val="auto"/>
          <w:sz w:val="24"/>
          <w:szCs w:val="20"/>
          <w:highlight w:val="none"/>
        </w:rPr>
      </w:pPr>
    </w:p>
    <w:p w14:paraId="10B83875">
      <w:pPr>
        <w:snapToGrid w:val="0"/>
        <w:spacing w:before="120" w:beforeLines="50" w:after="50"/>
        <w:rPr>
          <w:rFonts w:hint="eastAsia" w:ascii="宋体" w:hAnsi="宋体"/>
          <w:color w:val="auto"/>
          <w:sz w:val="24"/>
          <w:szCs w:val="20"/>
          <w:highlight w:val="none"/>
        </w:rPr>
      </w:pPr>
    </w:p>
    <w:p w14:paraId="4010958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资  格  证  明  文  件（封面）</w:t>
      </w:r>
    </w:p>
    <w:p w14:paraId="7521E49D">
      <w:pPr>
        <w:snapToGrid w:val="0"/>
        <w:spacing w:before="120" w:beforeLines="50" w:after="50"/>
        <w:rPr>
          <w:rFonts w:hint="eastAsia" w:ascii="宋体" w:hAnsi="宋体"/>
          <w:bCs/>
          <w:color w:val="auto"/>
          <w:sz w:val="24"/>
          <w:szCs w:val="20"/>
          <w:highlight w:val="none"/>
        </w:rPr>
      </w:pPr>
    </w:p>
    <w:p w14:paraId="38C5711B">
      <w:pPr>
        <w:snapToGrid w:val="0"/>
        <w:spacing w:before="120" w:beforeLines="50" w:after="50"/>
        <w:rPr>
          <w:rFonts w:hint="eastAsia" w:ascii="宋体" w:hAnsi="宋体"/>
          <w:bCs/>
          <w:color w:val="auto"/>
          <w:sz w:val="24"/>
          <w:szCs w:val="20"/>
          <w:highlight w:val="none"/>
        </w:rPr>
      </w:pPr>
    </w:p>
    <w:p w14:paraId="58A663CF">
      <w:pPr>
        <w:snapToGrid w:val="0"/>
        <w:spacing w:before="120" w:beforeLines="50" w:after="50"/>
        <w:rPr>
          <w:rFonts w:hint="eastAsia" w:ascii="宋体" w:hAnsi="宋体"/>
          <w:bCs/>
          <w:color w:val="auto"/>
          <w:sz w:val="24"/>
          <w:szCs w:val="20"/>
          <w:highlight w:val="none"/>
        </w:rPr>
      </w:pPr>
    </w:p>
    <w:p w14:paraId="42BDA329">
      <w:pPr>
        <w:snapToGrid w:val="0"/>
        <w:spacing w:before="120" w:beforeLines="50" w:after="50"/>
        <w:rPr>
          <w:rFonts w:hint="eastAsia" w:ascii="宋体" w:hAnsi="宋体"/>
          <w:bCs/>
          <w:color w:val="auto"/>
          <w:sz w:val="24"/>
          <w:szCs w:val="20"/>
          <w:highlight w:val="none"/>
        </w:rPr>
      </w:pPr>
    </w:p>
    <w:p w14:paraId="346FBD7F">
      <w:pPr>
        <w:snapToGrid w:val="0"/>
        <w:spacing w:before="120" w:beforeLines="50" w:after="50"/>
        <w:rPr>
          <w:rFonts w:hint="eastAsia" w:ascii="宋体" w:hAnsi="宋体"/>
          <w:bCs/>
          <w:color w:val="auto"/>
          <w:sz w:val="24"/>
          <w:szCs w:val="20"/>
          <w:highlight w:val="none"/>
        </w:rPr>
      </w:pPr>
    </w:p>
    <w:p w14:paraId="59822C4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4008533A">
      <w:pPr>
        <w:snapToGrid w:val="0"/>
        <w:spacing w:before="120" w:beforeLines="50" w:after="50"/>
        <w:ind w:firstLine="720" w:firstLineChars="225"/>
        <w:rPr>
          <w:rFonts w:hint="eastAsia" w:ascii="宋体" w:hAnsi="宋体" w:cs="仿宋_GB2312"/>
          <w:bCs/>
          <w:color w:val="auto"/>
          <w:sz w:val="32"/>
          <w:szCs w:val="32"/>
          <w:highlight w:val="none"/>
        </w:rPr>
      </w:pPr>
    </w:p>
    <w:p w14:paraId="5A38089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54F587E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1C9309F5">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649052F9">
      <w:pPr>
        <w:snapToGrid w:val="0"/>
        <w:spacing w:before="120" w:beforeLines="50" w:after="50"/>
        <w:ind w:firstLine="720" w:firstLineChars="225"/>
        <w:rPr>
          <w:rFonts w:hint="eastAsia" w:ascii="宋体" w:hAnsi="宋体" w:cs="仿宋_GB2312"/>
          <w:bCs/>
          <w:color w:val="auto"/>
          <w:sz w:val="32"/>
          <w:szCs w:val="32"/>
          <w:highlight w:val="none"/>
        </w:rPr>
      </w:pPr>
    </w:p>
    <w:p w14:paraId="238C6483">
      <w:pPr>
        <w:pStyle w:val="7"/>
        <w:snapToGrid w:val="0"/>
        <w:spacing w:before="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5DF36D6E">
      <w:pPr>
        <w:pStyle w:val="7"/>
        <w:snapToGrid w:val="0"/>
        <w:spacing w:before="50" w:after="50"/>
        <w:ind w:firstLine="720" w:firstLineChars="225"/>
        <w:rPr>
          <w:rFonts w:hint="eastAsia" w:ascii="宋体" w:hAnsi="宋体" w:cs="仿宋_GB2312"/>
          <w:bCs/>
          <w:color w:val="auto"/>
          <w:sz w:val="32"/>
          <w:szCs w:val="32"/>
          <w:highlight w:val="none"/>
        </w:rPr>
      </w:pPr>
    </w:p>
    <w:p w14:paraId="1BF3751F">
      <w:pPr>
        <w:pStyle w:val="7"/>
        <w:snapToGrid w:val="0"/>
        <w:spacing w:before="50" w:after="50"/>
        <w:ind w:firstLine="720" w:firstLineChars="225"/>
        <w:rPr>
          <w:rFonts w:hint="eastAsia" w:ascii="宋体" w:hAnsi="宋体" w:cs="仿宋_GB2312"/>
          <w:bCs/>
          <w:color w:val="auto"/>
          <w:sz w:val="32"/>
          <w:szCs w:val="32"/>
          <w:highlight w:val="none"/>
        </w:rPr>
      </w:pPr>
    </w:p>
    <w:p w14:paraId="64F12619">
      <w:pPr>
        <w:pStyle w:val="7"/>
        <w:snapToGrid w:val="0"/>
        <w:spacing w:before="50" w:after="50"/>
        <w:ind w:firstLine="720" w:firstLineChars="225"/>
        <w:rPr>
          <w:rFonts w:hint="eastAsia" w:ascii="宋体" w:hAnsi="宋体" w:cs="仿宋_GB2312"/>
          <w:bCs/>
          <w:color w:val="auto"/>
          <w:sz w:val="32"/>
          <w:szCs w:val="32"/>
          <w:highlight w:val="none"/>
        </w:rPr>
      </w:pPr>
    </w:p>
    <w:p w14:paraId="64DB6BE2">
      <w:pPr>
        <w:pStyle w:val="7"/>
        <w:snapToGrid w:val="0"/>
        <w:spacing w:before="50" w:after="50"/>
        <w:ind w:firstLine="1280" w:firstLineChars="400"/>
        <w:rPr>
          <w:rFonts w:hint="eastAsia" w:ascii="宋体" w:hAnsi="宋体" w:cs="仿宋_GB2312"/>
          <w:bCs/>
          <w:color w:val="auto"/>
          <w:sz w:val="32"/>
          <w:szCs w:val="32"/>
          <w:highlight w:val="none"/>
        </w:rPr>
      </w:pPr>
    </w:p>
    <w:p w14:paraId="020498BA">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565CDEC">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rPr>
          <w:rFonts w:hint="eastAsia"/>
          <w:color w:val="auto"/>
          <w:sz w:val="21"/>
          <w:szCs w:val="21"/>
          <w:highlight w:val="none"/>
          <w:lang w:val="en-US" w:eastAsia="zh-CN"/>
        </w:rPr>
      </w:pPr>
      <w:r>
        <w:rPr>
          <w:rFonts w:ascii="宋体" w:hAnsi="宋体"/>
          <w:color w:val="auto"/>
          <w:sz w:val="24"/>
          <w:highlight w:val="none"/>
        </w:rPr>
        <w:br w:type="page"/>
      </w:r>
    </w:p>
    <w:p w14:paraId="11714AB5">
      <w:pPr>
        <w:snapToGrid w:val="0"/>
        <w:spacing w:before="156" w:beforeLines="50" w:after="50"/>
        <w:jc w:val="left"/>
        <w:rPr>
          <w:rFonts w:hint="eastAsia" w:ascii="宋体" w:hAnsi="宋体"/>
          <w:b/>
          <w:color w:val="auto"/>
          <w:sz w:val="32"/>
          <w:szCs w:val="32"/>
          <w:highlight w:val="none"/>
        </w:rPr>
      </w:pPr>
    </w:p>
    <w:p w14:paraId="6DF3831E">
      <w:pPr>
        <w:snapToGrid w:val="0"/>
        <w:spacing w:before="156"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资格证明文件目录</w:t>
      </w:r>
    </w:p>
    <w:p w14:paraId="46663523">
      <w:pPr>
        <w:pStyle w:val="59"/>
        <w:rPr>
          <w:rFonts w:hint="eastAsia"/>
          <w:color w:val="auto"/>
          <w:highlight w:val="none"/>
        </w:rPr>
      </w:pPr>
    </w:p>
    <w:p w14:paraId="0E2C76F7">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宋体" w:hAnsi="宋体" w:eastAsia="宋体"/>
          <w:b w:val="0"/>
          <w:bCs w:val="0"/>
          <w:color w:val="auto"/>
          <w:spacing w:val="2"/>
          <w:highlight w:val="none"/>
        </w:rPr>
        <w:t>…………………………</w:t>
      </w:r>
      <w:r>
        <w:rPr>
          <w:rFonts w:hint="eastAsia" w:ascii="宋体" w:hAnsi="宋体" w:eastAsia="宋体"/>
          <w:b w:val="0"/>
          <w:bCs w:val="0"/>
          <w:color w:val="auto"/>
          <w:spacing w:val="2"/>
          <w:highlight w:val="none"/>
          <w:lang w:eastAsia="zh-CN"/>
        </w:rPr>
        <w:t>（页码）</w:t>
      </w:r>
    </w:p>
    <w:p w14:paraId="46AE01FE">
      <w:pPr>
        <w:spacing w:line="360" w:lineRule="auto"/>
        <w:jc w:val="distribute"/>
        <w:rPr>
          <w:rFonts w:hint="eastAsia" w:ascii="宋体" w:hAnsi="宋体"/>
          <w:b w:val="0"/>
          <w:bCs w:val="0"/>
          <w:color w:val="auto"/>
          <w:spacing w:val="2"/>
          <w:highlight w:val="none"/>
          <w:lang w:eastAsia="zh-CN"/>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有效的资</w:t>
      </w:r>
      <w:r>
        <w:rPr>
          <w:rFonts w:hint="eastAsia" w:ascii="宋体" w:hAnsi="宋体"/>
          <w:b w:val="0"/>
          <w:bCs w:val="0"/>
          <w:color w:val="auto"/>
          <w:spacing w:val="2"/>
          <w:highlight w:val="none"/>
        </w:rPr>
        <w:t>质证书、安全生产许可证复印件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1C330FE5">
      <w:pPr>
        <w:autoSpaceDE w:val="0"/>
        <w:autoSpaceDN w:val="0"/>
        <w:adjustRightInd w:val="0"/>
        <w:spacing w:line="360" w:lineRule="auto"/>
        <w:jc w:val="distribute"/>
        <w:rPr>
          <w:rFonts w:hint="eastAsia" w:hAnsi="宋体"/>
          <w:b w:val="0"/>
          <w:bCs w:val="0"/>
          <w:color w:val="auto"/>
          <w:spacing w:val="2"/>
          <w:highlight w:val="none"/>
        </w:rPr>
      </w:pPr>
      <w:r>
        <w:rPr>
          <w:rFonts w:hint="eastAsia" w:ascii="宋体" w:hAnsi="宋体" w:cs="宋体"/>
          <w:b w:val="0"/>
          <w:bCs w:val="0"/>
          <w:color w:val="auto"/>
          <w:kern w:val="0"/>
          <w:szCs w:val="21"/>
          <w:highlight w:val="none"/>
          <w:lang w:val="en-US" w:eastAsia="zh-CN"/>
        </w:rPr>
        <w:t>三、</w:t>
      </w:r>
      <w:r>
        <w:rPr>
          <w:rFonts w:hint="eastAsia" w:asciiTheme="minorEastAsia" w:hAnsiTheme="minorEastAsia" w:eastAsiaTheme="minorEastAsia" w:cstheme="minorEastAsia"/>
          <w:color w:val="auto"/>
          <w:szCs w:val="21"/>
          <w:highlight w:val="none"/>
          <w:lang w:val="en-US" w:eastAsia="zh-CN"/>
        </w:rPr>
        <w:t>项目经理:有效的注册建造师资质证书、安全生产考核合格证书（B类）复印件；安全员：有效的安全员证书及安全生产考核合格证书(C类)复印件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278B7207">
      <w:pPr>
        <w:spacing w:line="360" w:lineRule="auto"/>
        <w:jc w:val="distribute"/>
        <w:rPr>
          <w:rFonts w:hint="eastAsia" w:ascii="宋体" w:hAnsi="宋体"/>
          <w:b w:val="0"/>
          <w:bCs w:val="0"/>
          <w:color w:val="auto"/>
          <w:spacing w:val="2"/>
          <w:highlight w:val="none"/>
        </w:rPr>
      </w:pPr>
      <w:r>
        <w:rPr>
          <w:rFonts w:hint="eastAsia" w:ascii="宋体" w:hAnsi="宋体"/>
          <w:b w:val="0"/>
          <w:bCs w:val="0"/>
          <w:color w:val="auto"/>
          <w:spacing w:val="2"/>
          <w:highlight w:val="none"/>
          <w:lang w:val="en-US" w:eastAsia="zh-CN"/>
        </w:rPr>
        <w:t>四、</w:t>
      </w:r>
      <w:r>
        <w:rPr>
          <w:rFonts w:hint="eastAsia" w:ascii="宋体" w:hAnsi="宋体" w:eastAsia="宋体" w:cs="宋体"/>
          <w:b w:val="0"/>
          <w:bCs w:val="0"/>
          <w:color w:val="auto"/>
          <w:kern w:val="2"/>
          <w:sz w:val="21"/>
          <w:szCs w:val="21"/>
          <w:highlight w:val="none"/>
          <w:lang w:val="en-US" w:eastAsia="zh-CN" w:bidi="ar-SA"/>
        </w:rPr>
        <w:t>贵港市</w:t>
      </w:r>
      <w:r>
        <w:rPr>
          <w:rFonts w:hint="eastAsia" w:ascii="宋体" w:hAnsi="宋体" w:cs="宋体"/>
          <w:b w:val="0"/>
          <w:bCs w:val="0"/>
          <w:color w:val="auto"/>
          <w:kern w:val="2"/>
          <w:sz w:val="21"/>
          <w:szCs w:val="21"/>
          <w:highlight w:val="none"/>
          <w:lang w:val="en-US" w:eastAsia="zh-CN" w:bidi="ar-SA"/>
        </w:rPr>
        <w:t>政府</w:t>
      </w:r>
      <w:r>
        <w:rPr>
          <w:rFonts w:hint="eastAsia" w:ascii="宋体" w:hAnsi="宋体" w:eastAsia="宋体" w:cs="宋体"/>
          <w:b w:val="0"/>
          <w:bCs w:val="0"/>
          <w:color w:val="auto"/>
          <w:kern w:val="2"/>
          <w:sz w:val="21"/>
          <w:szCs w:val="21"/>
          <w:highlight w:val="none"/>
          <w:lang w:val="en-US" w:eastAsia="zh-CN" w:bidi="ar-SA"/>
        </w:rPr>
        <w:t>采购项目投标资格承诺函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7ED6CEB8">
      <w:pPr>
        <w:spacing w:line="360" w:lineRule="auto"/>
        <w:jc w:val="left"/>
        <w:rPr>
          <w:rFonts w:hint="eastAsia" w:ascii="宋体" w:hAnsi="宋体"/>
          <w:b w:val="0"/>
          <w:bCs w:val="0"/>
          <w:color w:val="auto"/>
          <w:spacing w:val="2"/>
          <w:highlight w:val="none"/>
        </w:rPr>
      </w:pPr>
      <w:r>
        <w:rPr>
          <w:rFonts w:hint="eastAsia" w:asciiTheme="minorEastAsia" w:hAnsiTheme="minorEastAsia" w:eastAsiaTheme="minorEastAsia" w:cstheme="minorEastAsia"/>
          <w:color w:val="auto"/>
          <w:szCs w:val="21"/>
          <w:highlight w:val="none"/>
          <w:lang w:val="en-US" w:eastAsia="zh-CN"/>
        </w:rPr>
        <w:t>五、供应商应为中小微企业、监狱企业或残疾人福利性单位：</w:t>
      </w:r>
    </w:p>
    <w:p w14:paraId="2A2A7BE2">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1、《中小企业声明函》</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9117966">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2、供应商属于监狱企业的，应当提供由省级以上监狱管理局、戒毒管理局等（含新疆生产建设兵团）出具的属于监狱企业的证明文件</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E226F19">
      <w:pPr>
        <w:pStyle w:val="16"/>
        <w:spacing w:line="360" w:lineRule="auto"/>
        <w:ind w:firstLine="210" w:firstLineChars="100"/>
        <w:jc w:val="distribute"/>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Theme="minorEastAsia" w:hAnsiTheme="minorEastAsia" w:eastAsiaTheme="minorEastAsia" w:cstheme="minorEastAsia"/>
          <w:color w:val="auto"/>
          <w:sz w:val="21"/>
          <w:szCs w:val="21"/>
          <w:highlight w:val="none"/>
          <w:lang w:val="en-US" w:eastAsia="zh-CN"/>
        </w:rPr>
        <w:t>符合条件的残疾人福利性单位在参加政府采购活动时，应当提供《残疾人福利性单位声明函》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5B39676E">
      <w:pPr>
        <w:spacing w:line="360" w:lineRule="auto"/>
        <w:rPr>
          <w:rFonts w:hint="eastAsia" w:ascii="仿宋_GB2312" w:hAnsi="仿宋_GB2312" w:eastAsia="仿宋_GB2312" w:cs="仿宋_GB2312"/>
          <w:b/>
          <w:bCs/>
          <w:color w:val="auto"/>
          <w:sz w:val="24"/>
          <w:highlight w:val="none"/>
        </w:rPr>
      </w:pPr>
    </w:p>
    <w:p w14:paraId="047F185B">
      <w:pPr>
        <w:spacing w:line="360" w:lineRule="auto"/>
        <w:rPr>
          <w:rFonts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注：以上目录是编制供应商响应文件的基本格式要求，各供应商可根据自身情况进一步细化。</w:t>
      </w:r>
    </w:p>
    <w:p w14:paraId="208C8827">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24FBDD72">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343367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A863B1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0B9FF66F">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9DE201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3E56823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55ACA94C">
      <w:pPr>
        <w:pStyle w:val="24"/>
        <w:spacing w:line="360" w:lineRule="auto"/>
        <w:ind w:firstLine="400" w:firstLineChars="20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b/>
          <w:color w:val="auto"/>
          <w:sz w:val="30"/>
          <w:szCs w:val="30"/>
          <w:highlight w:val="none"/>
        </w:rPr>
        <w:t>一、</w:t>
      </w:r>
      <w:r>
        <w:rPr>
          <w:rFonts w:hint="eastAsia" w:asciiTheme="minorEastAsia" w:hAnsiTheme="minorEastAsia" w:eastAsiaTheme="minorEastAsia" w:cstheme="minorEastAsia"/>
          <w:b/>
          <w:color w:val="auto"/>
          <w:sz w:val="30"/>
          <w:szCs w:val="30"/>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b/>
          <w:color w:val="auto"/>
          <w:sz w:val="30"/>
          <w:szCs w:val="30"/>
          <w:highlight w:val="none"/>
        </w:rPr>
        <w:t>）</w:t>
      </w:r>
    </w:p>
    <w:p w14:paraId="23597BE5">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9DAD96B">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47B5050C">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583B1C06">
      <w:pPr>
        <w:pStyle w:val="42"/>
        <w:jc w:val="righ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72BE5A73">
      <w:pPr>
        <w:shd w:val="clear"/>
        <w:snapToGrid w:val="0"/>
        <w:spacing w:before="50" w:after="120" w:afterLines="50" w:line="440" w:lineRule="exact"/>
        <w:jc w:val="center"/>
        <w:rPr>
          <w:rFonts w:hint="eastAsia" w:asciiTheme="minorEastAsia" w:hAnsiTheme="minorEastAsia" w:eastAsiaTheme="minorEastAsia" w:cstheme="minorEastAsia"/>
          <w:b/>
          <w:color w:val="auto"/>
          <w:sz w:val="44"/>
          <w:szCs w:val="44"/>
          <w:highlight w:val="none"/>
        </w:rPr>
      </w:pPr>
    </w:p>
    <w:p w14:paraId="567C96A5">
      <w:pPr>
        <w:pStyle w:val="59"/>
        <w:rPr>
          <w:rFonts w:hint="eastAsia"/>
          <w:color w:val="auto"/>
          <w:highlight w:val="none"/>
        </w:rPr>
      </w:pPr>
    </w:p>
    <w:p w14:paraId="4353B8FD">
      <w:pPr>
        <w:pStyle w:val="5"/>
        <w:outlineLvl w:val="9"/>
        <w:rPr>
          <w:rFonts w:hint="eastAsia" w:asciiTheme="minorEastAsia" w:hAnsiTheme="minorEastAsia" w:eastAsiaTheme="minorEastAsia" w:cstheme="minorEastAsia"/>
          <w:b/>
          <w:color w:val="auto"/>
          <w:sz w:val="44"/>
          <w:szCs w:val="44"/>
          <w:highlight w:val="none"/>
        </w:rPr>
      </w:pPr>
    </w:p>
    <w:p w14:paraId="77DDF7E4">
      <w:pPr>
        <w:numPr>
          <w:ilvl w:val="0"/>
          <w:numId w:val="10"/>
        </w:numPr>
        <w:ind w:left="451" w:leftChars="0" w:firstLine="0" w:firstLine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有效的资质证书、安全生产许可证复印件</w:t>
      </w:r>
    </w:p>
    <w:p w14:paraId="296CA8A5">
      <w:pPr>
        <w:pStyle w:val="5"/>
        <w:keepNext/>
        <w:keepLines/>
        <w:widowControl w:val="0"/>
        <w:numPr>
          <w:ilvl w:val="0"/>
          <w:numId w:val="0"/>
        </w:numPr>
        <w:spacing w:line="360" w:lineRule="auto"/>
        <w:jc w:val="center"/>
        <w:outlineLvl w:val="9"/>
        <w:rPr>
          <w:rFonts w:hint="eastAsia"/>
          <w:color w:val="auto"/>
          <w:highlight w:val="none"/>
        </w:rPr>
      </w:pPr>
    </w:p>
    <w:p w14:paraId="23E2020C">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F1211E1">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69CA0D2">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1460A6F9">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60596AE1">
      <w:pPr>
        <w:pStyle w:val="5"/>
        <w:outlineLvl w:val="9"/>
        <w:rPr>
          <w:rFonts w:hint="eastAsia"/>
          <w:color w:val="auto"/>
          <w:highlight w:val="none"/>
        </w:rPr>
      </w:pPr>
    </w:p>
    <w:p w14:paraId="18572436">
      <w:pPr>
        <w:rPr>
          <w:rFonts w:hint="eastAsia"/>
          <w:color w:val="auto"/>
          <w:highlight w:val="none"/>
        </w:rPr>
      </w:pPr>
    </w:p>
    <w:p w14:paraId="1D7585E7">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p>
    <w:p w14:paraId="53FE56B1">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r>
        <w:rPr>
          <w:rFonts w:hint="eastAsia" w:asciiTheme="minorEastAsia" w:hAnsiTheme="minorEastAsia" w:eastAsiaTheme="minorEastAsia" w:cstheme="minorEastAsia"/>
          <w:b/>
          <w:color w:val="auto"/>
          <w:kern w:val="2"/>
          <w:sz w:val="30"/>
          <w:szCs w:val="30"/>
          <w:highlight w:val="none"/>
          <w:lang w:val="en-US" w:eastAsia="zh-CN" w:bidi="ar-SA"/>
        </w:rPr>
        <w:t>三、</w:t>
      </w:r>
      <w:r>
        <w:rPr>
          <w:rFonts w:hint="eastAsia" w:asciiTheme="minorEastAsia" w:hAnsiTheme="minorEastAsia" w:eastAsiaTheme="minorEastAsia" w:cstheme="minorEastAsia"/>
          <w:color w:val="auto"/>
          <w:sz w:val="30"/>
          <w:szCs w:val="30"/>
          <w:highlight w:val="none"/>
          <w:lang w:val="en-US" w:eastAsia="zh-CN"/>
        </w:rPr>
        <w:t>项目经理:有效的注册建造师资质证书、安全生产考核合格证书（B类）复印件；安全员：有效的安全员证书及安全生产考核合格证书(C类)复印件</w:t>
      </w:r>
    </w:p>
    <w:p w14:paraId="64AD2C9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649A624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8E2DA94">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75BE9803">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4B5CD1A0">
      <w:pPr>
        <w:numPr>
          <w:ilvl w:val="0"/>
          <w:numId w:val="0"/>
        </w:numPr>
        <w:ind w:left="451" w:left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四、贵港市采购项目投标资格承诺函</w:t>
      </w:r>
    </w:p>
    <w:p w14:paraId="48DBD1FC">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p>
    <w:p w14:paraId="1646A1EB">
      <w:pPr>
        <w:rPr>
          <w:rFonts w:asciiTheme="minorEastAsia" w:hAnsiTheme="minorEastAsia" w:eastAsiaTheme="minorEastAsia" w:cstheme="minorEastAsia"/>
          <w:color w:val="auto"/>
          <w:sz w:val="24"/>
          <w:szCs w:val="24"/>
          <w:highlight w:val="none"/>
        </w:rPr>
      </w:pPr>
    </w:p>
    <w:p w14:paraId="07AC7A95">
      <w:pPr>
        <w:pStyle w:val="18"/>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贵港市采购项目投标资格承诺函</w:t>
      </w:r>
    </w:p>
    <w:p w14:paraId="23C8B3E1">
      <w:pPr>
        <w:pStyle w:val="42"/>
        <w:rPr>
          <w:color w:val="auto"/>
          <w:highlight w:val="none"/>
        </w:rPr>
      </w:pPr>
    </w:p>
    <w:p w14:paraId="3D869238">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本公司郑重承诺，根据《中华人民共和国政府采购法》第二十二条的规定，本公司为参加政府采购活动的合格供应商。即本公司同时满足以下条件：</w:t>
      </w:r>
    </w:p>
    <w:p w14:paraId="5E8E2D6A">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1、具有独立承担民事责任的能力。</w:t>
      </w:r>
    </w:p>
    <w:p w14:paraId="5A4065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2、具有良好的商业信誉和健全的财务会计制度。</w:t>
      </w:r>
    </w:p>
    <w:p w14:paraId="55CA082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3、具有履行合同所必需的设备和专业技术能力。</w:t>
      </w:r>
    </w:p>
    <w:p w14:paraId="348020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4、有依法缴纳税收和社会保障资金的良好记录。</w:t>
      </w:r>
    </w:p>
    <w:p w14:paraId="422E8205">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5、提交</w:t>
      </w:r>
      <w:r>
        <w:rPr>
          <w:rFonts w:hint="eastAsia" w:asciiTheme="minorEastAsia" w:hAnsiTheme="minorEastAsia" w:eastAsiaTheme="minorEastAsia" w:cstheme="minorEastAsia"/>
          <w:color w:val="auto"/>
          <w:sz w:val="24"/>
          <w:szCs w:val="24"/>
          <w:highlight w:val="none"/>
          <w:lang w:eastAsia="zh-CN"/>
        </w:rPr>
        <w:t>响应文件</w:t>
      </w:r>
      <w:r>
        <w:rPr>
          <w:rFonts w:hint="eastAsia" w:asciiTheme="minorEastAsia" w:hAnsiTheme="minorEastAsia" w:eastAsiaTheme="minorEastAsia" w:cstheme="minorEastAsia"/>
          <w:color w:val="auto"/>
          <w:sz w:val="24"/>
          <w:szCs w:val="24"/>
          <w:highlight w:val="none"/>
        </w:rPr>
        <w:t>截止日期前三年内，在经营活动中没有重大违法记录。</w:t>
      </w:r>
    </w:p>
    <w:p w14:paraId="2B3369EB">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6、本公司对上述承诺的真实性负责，并接受政府采购、税务、社会保障等监督管理部门、采购文件规定的资格审查机构、社会公众的监督和检查。如有虚假，将依法承担相应责任。</w:t>
      </w:r>
    </w:p>
    <w:p w14:paraId="48765E76">
      <w:pPr>
        <w:pStyle w:val="24"/>
        <w:shd w:val="clear"/>
        <w:spacing w:line="440" w:lineRule="exact"/>
        <w:ind w:firstLine="480" w:firstLineChars="200"/>
        <w:rPr>
          <w:rFonts w:asciiTheme="minorEastAsia" w:hAnsiTheme="minorEastAsia" w:eastAsiaTheme="minorEastAsia" w:cstheme="minorEastAsia"/>
          <w:color w:val="auto"/>
          <w:sz w:val="24"/>
          <w:szCs w:val="24"/>
          <w:highlight w:val="none"/>
        </w:rPr>
      </w:pPr>
    </w:p>
    <w:p w14:paraId="51730F23">
      <w:pPr>
        <w:pStyle w:val="24"/>
        <w:shd w:val="clear"/>
        <w:spacing w:line="440" w:lineRule="exact"/>
        <w:ind w:left="2726"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企业名称（盖章）：</w:t>
      </w:r>
    </w:p>
    <w:p w14:paraId="04C706F5">
      <w:pPr>
        <w:pStyle w:val="24"/>
        <w:shd w:val="clear"/>
        <w:spacing w:before="168" w:line="440" w:lineRule="exact"/>
        <w:ind w:left="2729"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法定代表人（签名）：</w:t>
      </w:r>
    </w:p>
    <w:p w14:paraId="0226D10B">
      <w:pPr>
        <w:pStyle w:val="42"/>
        <w:jc w:val="center"/>
        <w:rPr>
          <w:rFonts w:hint="eastAsia" w:asciiTheme="minorEastAsia" w:hAnsiTheme="minorEastAsia" w:eastAsiaTheme="minorEastAsia" w:cstheme="minorEastAsia"/>
          <w:color w:val="auto"/>
          <w:kern w:val="0"/>
          <w:sz w:val="24"/>
          <w:szCs w:val="24"/>
          <w:highlight w:val="none"/>
          <w:lang w:val="en-US" w:eastAsia="zh-CN" w:bidi="ar-SA"/>
        </w:rPr>
      </w:pPr>
    </w:p>
    <w:p w14:paraId="55AF379B">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 xml:space="preserve">                     </w:t>
      </w:r>
      <w:r>
        <w:rPr>
          <w:rFonts w:hint="eastAsia" w:asciiTheme="minorEastAsia" w:hAnsiTheme="minorEastAsia" w:eastAsiaTheme="minorEastAsia" w:cstheme="minorEastAsia"/>
          <w:b w:val="0"/>
          <w:bCs w:val="0"/>
          <w:color w:val="auto"/>
          <w:kern w:val="0"/>
          <w:sz w:val="24"/>
          <w:szCs w:val="24"/>
          <w:highlight w:val="none"/>
          <w:lang w:val="en-US" w:eastAsia="zh-CN" w:bidi="ar-SA"/>
        </w:rPr>
        <w:t>日期：</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年</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月</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日</w:t>
      </w:r>
    </w:p>
    <w:p w14:paraId="3B4F8DD6">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p>
    <w:p w14:paraId="1DB21DF5">
      <w:pPr>
        <w:pStyle w:val="42"/>
        <w:rPr>
          <w:rFonts w:hint="eastAsia"/>
          <w:color w:val="auto"/>
          <w:highlight w:val="none"/>
          <w:lang w:val="en-US" w:eastAsia="zh-CN"/>
        </w:rPr>
      </w:pPr>
    </w:p>
    <w:p w14:paraId="537F7E58">
      <w:pPr>
        <w:pStyle w:val="42"/>
        <w:rPr>
          <w:rFonts w:hint="eastAsia"/>
          <w:color w:val="auto"/>
          <w:highlight w:val="none"/>
          <w:lang w:val="en-US" w:eastAsia="zh-CN"/>
        </w:rPr>
      </w:pPr>
    </w:p>
    <w:p w14:paraId="46ABEFFC">
      <w:pPr>
        <w:pStyle w:val="42"/>
        <w:rPr>
          <w:rFonts w:hint="eastAsia"/>
          <w:color w:val="auto"/>
          <w:highlight w:val="none"/>
          <w:lang w:val="en-US" w:eastAsia="zh-CN"/>
        </w:rPr>
      </w:pPr>
    </w:p>
    <w:p w14:paraId="62A0D852">
      <w:pPr>
        <w:pStyle w:val="42"/>
        <w:rPr>
          <w:rFonts w:hint="eastAsia"/>
          <w:color w:val="auto"/>
          <w:highlight w:val="none"/>
          <w:lang w:val="en-US" w:eastAsia="zh-CN"/>
        </w:rPr>
      </w:pPr>
    </w:p>
    <w:p w14:paraId="08017027">
      <w:pPr>
        <w:pStyle w:val="42"/>
        <w:rPr>
          <w:rFonts w:hint="eastAsia"/>
          <w:color w:val="auto"/>
          <w:highlight w:val="none"/>
          <w:lang w:val="en-US" w:eastAsia="zh-CN"/>
        </w:rPr>
      </w:pPr>
    </w:p>
    <w:p w14:paraId="45A320A1">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五、供应商应为中小微企业、监狱企业或残疾人福利性单位：</w:t>
      </w:r>
    </w:p>
    <w:p w14:paraId="101CA87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C097F2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AE42A7E">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1、中小企业声明函</w:t>
      </w:r>
    </w:p>
    <w:p w14:paraId="27A26611">
      <w:pPr>
        <w:shd w:val="clear"/>
        <w:spacing w:line="588" w:lineRule="exact"/>
        <w:jc w:val="center"/>
        <w:rPr>
          <w:rFonts w:hint="eastAsia" w:asciiTheme="minorEastAsia" w:hAnsiTheme="minorEastAsia" w:eastAsiaTheme="minorEastAsia" w:cstheme="minorEastAsia"/>
          <w:b/>
          <w:color w:val="auto"/>
          <w:spacing w:val="6"/>
          <w:sz w:val="32"/>
          <w:szCs w:val="32"/>
          <w:highlight w:val="none"/>
        </w:rPr>
      </w:pPr>
    </w:p>
    <w:p w14:paraId="124ABCEB">
      <w:pPr>
        <w:shd w:val="clear"/>
        <w:spacing w:line="588" w:lineRule="exact"/>
        <w:ind w:firstLine="504" w:firstLineChars="200"/>
        <w:rPr>
          <w:rFonts w:hint="eastAsia" w:asciiTheme="minorEastAsia" w:hAnsiTheme="minorEastAsia" w:eastAsiaTheme="minorEastAsia" w:cstheme="minorEastAsia"/>
          <w:color w:val="auto"/>
          <w:spacing w:val="6"/>
          <w:sz w:val="24"/>
          <w:highlight w:val="none"/>
          <w:u w:val="none"/>
          <w:lang w:val="en-US" w:eastAsia="zh-CN"/>
        </w:rPr>
      </w:pPr>
      <w:r>
        <w:rPr>
          <w:rFonts w:hint="eastAsia" w:asciiTheme="minorEastAsia" w:hAnsiTheme="minorEastAsia" w:eastAsiaTheme="minorEastAsia" w:cstheme="minorEastAsia"/>
          <w:color w:val="auto"/>
          <w:spacing w:val="6"/>
          <w:sz w:val="24"/>
          <w:highlight w:val="none"/>
        </w:rPr>
        <w:t>本公司郑重声明，根据《政府采购促进中小企业发展暂行办法》（</w:t>
      </w:r>
      <w:r>
        <w:rPr>
          <w:rFonts w:hint="eastAsia" w:asciiTheme="minorEastAsia" w:hAnsiTheme="minorEastAsia" w:eastAsiaTheme="minorEastAsia" w:cstheme="minorEastAsia"/>
          <w:color w:val="auto"/>
          <w:spacing w:val="6"/>
          <w:sz w:val="24"/>
          <w:highlight w:val="none"/>
          <w:lang w:eastAsia="zh-CN"/>
        </w:rPr>
        <w:t>财库[2020]46号</w:t>
      </w:r>
      <w:r>
        <w:rPr>
          <w:rFonts w:hint="eastAsia" w:asciiTheme="minorEastAsia" w:hAnsiTheme="minorEastAsia" w:eastAsiaTheme="minorEastAsia" w:cstheme="minorEastAsia"/>
          <w:color w:val="auto"/>
          <w:spacing w:val="6"/>
          <w:sz w:val="24"/>
          <w:highlight w:val="none"/>
        </w:rPr>
        <w:t>）的规定，本公司</w:t>
      </w:r>
      <w:r>
        <w:rPr>
          <w:rFonts w:hint="eastAsia" w:asciiTheme="minorEastAsia" w:hAnsiTheme="minorEastAsia" w:eastAsiaTheme="minorEastAsia" w:cstheme="minorEastAsia"/>
          <w:color w:val="auto"/>
          <w:spacing w:val="6"/>
          <w:sz w:val="24"/>
          <w:highlight w:val="none"/>
          <w:lang w:eastAsia="zh-CN"/>
        </w:rPr>
        <w:t>参加</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（采购人名称）的</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（项目名称）采购活动，工程的施工单位全部为符合政策要求的中小企业（或者服务全部由符合政策要求的中小企业承接）。相关企业（</w:t>
      </w:r>
      <w:r>
        <w:rPr>
          <w:rFonts w:ascii="宋体" w:hAnsi="宋体" w:eastAsia="宋体" w:cs="宋体"/>
          <w:color w:val="auto"/>
          <w:sz w:val="24"/>
          <w:szCs w:val="24"/>
          <w:highlight w:val="none"/>
        </w:rPr>
        <w:t>含联合体中的中小企业、签订分包意向协议的中小企业</w:t>
      </w:r>
      <w:r>
        <w:rPr>
          <w:rFonts w:hint="eastAsia" w:asciiTheme="minorEastAsia" w:hAnsiTheme="minorEastAsia" w:eastAsiaTheme="minorEastAsia" w:cstheme="minorEastAsia"/>
          <w:color w:val="auto"/>
          <w:spacing w:val="6"/>
          <w:sz w:val="24"/>
          <w:highlight w:val="none"/>
          <w:u w:val="none"/>
          <w:lang w:val="en-US" w:eastAsia="zh-CN"/>
        </w:rPr>
        <w:t>）</w:t>
      </w:r>
      <w:r>
        <w:rPr>
          <w:rFonts w:ascii="宋体" w:hAnsi="宋体" w:eastAsia="宋体" w:cs="宋体"/>
          <w:color w:val="auto"/>
          <w:sz w:val="24"/>
          <w:szCs w:val="24"/>
          <w:highlight w:val="none"/>
        </w:rPr>
        <w:t>的具体情况如下：</w:t>
      </w:r>
    </w:p>
    <w:p w14:paraId="184B300E">
      <w:pPr>
        <w:numPr>
          <w:ilvl w:val="0"/>
          <w:numId w:val="0"/>
        </w:numPr>
        <w:shd w:val="clear"/>
        <w:spacing w:line="588" w:lineRule="exact"/>
        <w:ind w:firstLine="480" w:firstLineChars="200"/>
        <w:jc w:val="left"/>
        <w:rPr>
          <w:rFonts w:ascii="宋体" w:hAnsi="宋体" w:eastAsia="宋体" w:cs="宋体"/>
          <w:color w:val="auto"/>
          <w:sz w:val="24"/>
          <w:szCs w:val="24"/>
          <w:highlight w:val="none"/>
        </w:rPr>
      </w:pPr>
      <w:r>
        <w:rPr>
          <w:rFonts w:ascii="宋体" w:hAnsi="宋体" w:eastAsia="宋体" w:cs="宋体"/>
          <w:color w:val="auto"/>
          <w:sz w:val="24"/>
          <w:szCs w:val="24"/>
          <w:highlight w:val="none"/>
          <w:u w:val="single"/>
        </w:rPr>
        <w:t xml:space="preserve">（标的名称） </w:t>
      </w:r>
      <w:r>
        <w:rPr>
          <w:rFonts w:ascii="宋体" w:hAnsi="宋体" w:eastAsia="宋体" w:cs="宋体"/>
          <w:color w:val="auto"/>
          <w:sz w:val="24"/>
          <w:szCs w:val="24"/>
          <w:highlight w:val="none"/>
        </w:rPr>
        <w:t>，属于</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u w:val="single"/>
        </w:rPr>
        <w:t>建筑业</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 承建（承接）企业为</w:t>
      </w:r>
      <w:r>
        <w:rPr>
          <w:rFonts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万元，属于</w:t>
      </w:r>
      <w:r>
        <w:rPr>
          <w:rFonts w:ascii="宋体" w:hAnsi="宋体" w:eastAsia="宋体" w:cs="宋体"/>
          <w:color w:val="auto"/>
          <w:sz w:val="24"/>
          <w:szCs w:val="24"/>
          <w:highlight w:val="none"/>
          <w:u w:val="single"/>
        </w:rPr>
        <w:t>（中型企业、小型企业、微型企业）</w:t>
      </w:r>
      <w:r>
        <w:rPr>
          <w:rFonts w:ascii="宋体" w:hAnsi="宋体" w:eastAsia="宋体" w:cs="宋体"/>
          <w:color w:val="auto"/>
          <w:sz w:val="24"/>
          <w:szCs w:val="24"/>
          <w:highlight w:val="none"/>
        </w:rPr>
        <w:t>；</w:t>
      </w:r>
    </w:p>
    <w:p w14:paraId="22495ABD">
      <w:pPr>
        <w:numPr>
          <w:ilvl w:val="0"/>
          <w:numId w:val="0"/>
        </w:numPr>
        <w:shd w:val="clear"/>
        <w:spacing w:line="588" w:lineRule="exact"/>
        <w:ind w:firstLine="504" w:firstLineChars="200"/>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本公司对上述声明的真实性负责。如有虚假，将依法承担相应责任。</w:t>
      </w:r>
    </w:p>
    <w:p w14:paraId="13B91844">
      <w:pPr>
        <w:shd w:val="clear"/>
        <w:spacing w:line="588" w:lineRule="exact"/>
        <w:ind w:firstLine="504" w:firstLineChars="200"/>
        <w:rPr>
          <w:rFonts w:asciiTheme="minorEastAsia" w:hAnsiTheme="minorEastAsia" w:eastAsiaTheme="minorEastAsia" w:cstheme="minorEastAsia"/>
          <w:color w:val="auto"/>
          <w:spacing w:val="6"/>
          <w:sz w:val="24"/>
          <w:highlight w:val="none"/>
        </w:rPr>
      </w:pPr>
    </w:p>
    <w:p w14:paraId="49F6C4A8">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p>
    <w:p w14:paraId="52552835">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p>
    <w:p w14:paraId="29205D3C">
      <w:pPr>
        <w:shd w:val="clear"/>
        <w:tabs>
          <w:tab w:val="left" w:pos="4860"/>
        </w:tabs>
        <w:spacing w:line="588" w:lineRule="exact"/>
        <w:ind w:right="1560" w:firstLine="504" w:firstLineChars="200"/>
        <w:jc w:val="center"/>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企业名称（盖章）： </w:t>
      </w:r>
    </w:p>
    <w:p w14:paraId="569D4F5D">
      <w:pPr>
        <w:shd w:val="clear"/>
        <w:snapToGrid w:val="0"/>
        <w:spacing w:before="120" w:beforeLines="50" w:line="500" w:lineRule="exact"/>
        <w:ind w:left="1480" w:leftChars="650" w:hanging="115" w:hangingChars="46"/>
        <w:jc w:val="left"/>
        <w:rPr>
          <w:rFonts w:hint="eastAsia"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  日  期：</w:t>
      </w:r>
    </w:p>
    <w:p w14:paraId="6158DEAC">
      <w:pPr>
        <w:pStyle w:val="16"/>
        <w:rPr>
          <w:rFonts w:hint="eastAsia"/>
          <w:color w:val="auto"/>
          <w:highlight w:val="none"/>
        </w:rPr>
      </w:pPr>
    </w:p>
    <w:p w14:paraId="2AF8F431">
      <w:pPr>
        <w:pStyle w:val="59"/>
        <w:rPr>
          <w:rFonts w:hint="eastAsia"/>
          <w:color w:val="auto"/>
          <w:highlight w:val="none"/>
        </w:rPr>
      </w:pPr>
    </w:p>
    <w:p w14:paraId="361C172D">
      <w:pPr>
        <w:shd w:val="clear" w:color="auto" w:fill="auto"/>
        <w:spacing w:line="360" w:lineRule="auto"/>
        <w:contextualSpacing/>
        <w:jc w:val="left"/>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注：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7FB98520">
      <w:pPr>
        <w:shd w:val="clear" w:color="auto" w:fill="auto"/>
        <w:jc w:val="left"/>
        <w:rPr>
          <w:rFonts w:hint="eastAsia" w:ascii="宋体" w:hAnsi="宋体" w:eastAsia="宋体" w:cs="宋体"/>
          <w:color w:val="auto"/>
          <w:kern w:val="0"/>
          <w:sz w:val="32"/>
          <w:szCs w:val="32"/>
          <w:highlight w:val="none"/>
        </w:rPr>
      </w:pPr>
    </w:p>
    <w:p w14:paraId="4DD842BC">
      <w:pPr>
        <w:pStyle w:val="59"/>
        <w:rPr>
          <w:rFonts w:hint="eastAsia"/>
          <w:color w:val="auto"/>
          <w:highlight w:val="none"/>
        </w:rPr>
      </w:pPr>
    </w:p>
    <w:p w14:paraId="13A52B10">
      <w:pPr>
        <w:shd w:val="clear" w:color="auto" w:fill="auto"/>
        <w:jc w:val="left"/>
        <w:rPr>
          <w:rFonts w:hint="eastAsia" w:ascii="宋体" w:hAnsi="宋体" w:eastAsia="宋体" w:cs="宋体"/>
          <w:b/>
          <w:bCs/>
          <w:color w:val="auto"/>
          <w:kern w:val="0"/>
          <w:sz w:val="32"/>
          <w:szCs w:val="32"/>
          <w:highlight w:val="none"/>
        </w:rPr>
      </w:pPr>
    </w:p>
    <w:p w14:paraId="2F4A2679">
      <w:pPr>
        <w:shd w:val="clear" w:color="auto" w:fill="auto"/>
        <w:jc w:val="left"/>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w:t>
      </w:r>
    </w:p>
    <w:p w14:paraId="77B7BBB4">
      <w:pPr>
        <w:shd w:val="clear" w:color="auto" w:fill="auto"/>
        <w:spacing w:line="528" w:lineRule="exact"/>
        <w:jc w:val="cente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中小微企业划型标准</w:t>
      </w:r>
    </w:p>
    <w:tbl>
      <w:tblPr>
        <w:tblStyle w:val="43"/>
        <w:tblW w:w="9052" w:type="dxa"/>
        <w:jc w:val="center"/>
        <w:tblLayout w:type="fixed"/>
        <w:tblCellMar>
          <w:top w:w="0" w:type="dxa"/>
          <w:left w:w="108" w:type="dxa"/>
          <w:bottom w:w="0" w:type="dxa"/>
          <w:right w:w="108" w:type="dxa"/>
        </w:tblCellMar>
      </w:tblPr>
      <w:tblGrid>
        <w:gridCol w:w="1904"/>
        <w:gridCol w:w="1384"/>
        <w:gridCol w:w="913"/>
        <w:gridCol w:w="1966"/>
        <w:gridCol w:w="1743"/>
        <w:gridCol w:w="1142"/>
      </w:tblGrid>
      <w:tr w14:paraId="348C7763">
        <w:tblPrEx>
          <w:tblCellMar>
            <w:top w:w="0" w:type="dxa"/>
            <w:left w:w="108" w:type="dxa"/>
            <w:bottom w:w="0" w:type="dxa"/>
            <w:right w:w="108" w:type="dxa"/>
          </w:tblCellMar>
        </w:tblPrEx>
        <w:trPr>
          <w:trHeight w:val="285" w:hRule="atLeast"/>
          <w:jc w:val="center"/>
        </w:trPr>
        <w:tc>
          <w:tcPr>
            <w:tcW w:w="1904" w:type="dxa"/>
            <w:tcBorders>
              <w:top w:val="single" w:color="auto" w:sz="4" w:space="0"/>
              <w:left w:val="single" w:color="auto" w:sz="4" w:space="0"/>
              <w:bottom w:val="single" w:color="auto" w:sz="4" w:space="0"/>
              <w:right w:val="single" w:color="auto" w:sz="4" w:space="0"/>
            </w:tcBorders>
            <w:noWrap w:val="0"/>
            <w:vAlign w:val="center"/>
          </w:tcPr>
          <w:p w14:paraId="4BC0BDE7">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noWrap w:val="0"/>
            <w:vAlign w:val="center"/>
          </w:tcPr>
          <w:p w14:paraId="3487E9B0">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noWrap w:val="0"/>
            <w:vAlign w:val="center"/>
          </w:tcPr>
          <w:p w14:paraId="77BDF7AE">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计量单位</w:t>
            </w:r>
          </w:p>
        </w:tc>
        <w:tc>
          <w:tcPr>
            <w:tcW w:w="1966" w:type="dxa"/>
            <w:tcBorders>
              <w:top w:val="single" w:color="auto" w:sz="4" w:space="0"/>
              <w:left w:val="nil"/>
              <w:bottom w:val="single" w:color="auto" w:sz="4" w:space="0"/>
              <w:right w:val="single" w:color="auto" w:sz="4" w:space="0"/>
            </w:tcBorders>
            <w:noWrap w:val="0"/>
            <w:vAlign w:val="center"/>
          </w:tcPr>
          <w:p w14:paraId="35A5031F">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中型</w:t>
            </w:r>
          </w:p>
        </w:tc>
        <w:tc>
          <w:tcPr>
            <w:tcW w:w="1743" w:type="dxa"/>
            <w:tcBorders>
              <w:top w:val="single" w:color="auto" w:sz="4" w:space="0"/>
              <w:left w:val="nil"/>
              <w:bottom w:val="single" w:color="auto" w:sz="4" w:space="0"/>
              <w:right w:val="single" w:color="auto" w:sz="4" w:space="0"/>
            </w:tcBorders>
            <w:noWrap w:val="0"/>
            <w:vAlign w:val="center"/>
          </w:tcPr>
          <w:p w14:paraId="0CAFCF4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小型</w:t>
            </w:r>
          </w:p>
        </w:tc>
        <w:tc>
          <w:tcPr>
            <w:tcW w:w="1142" w:type="dxa"/>
            <w:tcBorders>
              <w:top w:val="single" w:color="auto" w:sz="4" w:space="0"/>
              <w:left w:val="nil"/>
              <w:bottom w:val="single" w:color="auto" w:sz="4" w:space="0"/>
              <w:right w:val="single" w:color="auto" w:sz="4" w:space="0"/>
            </w:tcBorders>
            <w:noWrap w:val="0"/>
            <w:vAlign w:val="center"/>
          </w:tcPr>
          <w:p w14:paraId="3F0EF93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微型</w:t>
            </w:r>
          </w:p>
        </w:tc>
      </w:tr>
      <w:tr w14:paraId="4A4D78DD">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03A2C12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农、林、牧、渔</w:t>
            </w:r>
          </w:p>
        </w:tc>
        <w:tc>
          <w:tcPr>
            <w:tcW w:w="1384" w:type="dxa"/>
            <w:tcBorders>
              <w:top w:val="nil"/>
              <w:left w:val="nil"/>
              <w:bottom w:val="single" w:color="auto" w:sz="4" w:space="0"/>
              <w:right w:val="single" w:color="auto" w:sz="4" w:space="0"/>
            </w:tcBorders>
            <w:noWrap w:val="0"/>
            <w:vAlign w:val="center"/>
          </w:tcPr>
          <w:p w14:paraId="3C73BCF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11B2B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FE8C7F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62CCCB8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50≤Y＜500</w:t>
            </w:r>
          </w:p>
        </w:tc>
        <w:tc>
          <w:tcPr>
            <w:tcW w:w="1142" w:type="dxa"/>
            <w:tcBorders>
              <w:top w:val="nil"/>
              <w:left w:val="nil"/>
              <w:bottom w:val="single" w:color="auto" w:sz="4" w:space="0"/>
              <w:right w:val="single" w:color="auto" w:sz="4" w:space="0"/>
            </w:tcBorders>
            <w:noWrap w:val="0"/>
            <w:vAlign w:val="center"/>
          </w:tcPr>
          <w:p w14:paraId="451C475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7F7F2E8B">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FF57065">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工业</w:t>
            </w:r>
          </w:p>
        </w:tc>
        <w:tc>
          <w:tcPr>
            <w:tcW w:w="1384" w:type="dxa"/>
            <w:tcBorders>
              <w:top w:val="nil"/>
              <w:left w:val="nil"/>
              <w:bottom w:val="single" w:color="auto" w:sz="4" w:space="0"/>
              <w:right w:val="single" w:color="auto" w:sz="4" w:space="0"/>
            </w:tcBorders>
            <w:noWrap w:val="0"/>
            <w:vAlign w:val="center"/>
          </w:tcPr>
          <w:p w14:paraId="7521CD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34202C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50CA0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41F5F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515A65D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066A2E83">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3E5043A">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245F0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86160C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186C4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2000≤Y＜40000</w:t>
            </w:r>
          </w:p>
        </w:tc>
        <w:tc>
          <w:tcPr>
            <w:tcW w:w="1743" w:type="dxa"/>
            <w:tcBorders>
              <w:top w:val="nil"/>
              <w:left w:val="nil"/>
              <w:bottom w:val="single" w:color="auto" w:sz="4" w:space="0"/>
              <w:right w:val="single" w:color="auto" w:sz="4" w:space="0"/>
            </w:tcBorders>
            <w:noWrap w:val="0"/>
            <w:vAlign w:val="center"/>
          </w:tcPr>
          <w:p w14:paraId="17DB328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300≤Y＜2000</w:t>
            </w:r>
          </w:p>
        </w:tc>
        <w:tc>
          <w:tcPr>
            <w:tcW w:w="1142" w:type="dxa"/>
            <w:tcBorders>
              <w:top w:val="nil"/>
              <w:left w:val="nil"/>
              <w:bottom w:val="single" w:color="auto" w:sz="4" w:space="0"/>
              <w:right w:val="single" w:color="auto" w:sz="4" w:space="0"/>
            </w:tcBorders>
            <w:noWrap w:val="0"/>
            <w:vAlign w:val="center"/>
          </w:tcPr>
          <w:p w14:paraId="5F3F287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1D7607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902FA63">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建筑业</w:t>
            </w:r>
          </w:p>
        </w:tc>
        <w:tc>
          <w:tcPr>
            <w:tcW w:w="1384" w:type="dxa"/>
            <w:tcBorders>
              <w:top w:val="nil"/>
              <w:left w:val="nil"/>
              <w:bottom w:val="single" w:color="auto" w:sz="4" w:space="0"/>
              <w:right w:val="single" w:color="auto" w:sz="4" w:space="0"/>
            </w:tcBorders>
            <w:noWrap w:val="0"/>
            <w:vAlign w:val="center"/>
          </w:tcPr>
          <w:p w14:paraId="27500E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4C85EC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E71576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6000≤Y＜80000</w:t>
            </w:r>
          </w:p>
        </w:tc>
        <w:tc>
          <w:tcPr>
            <w:tcW w:w="1743" w:type="dxa"/>
            <w:tcBorders>
              <w:top w:val="nil"/>
              <w:left w:val="nil"/>
              <w:bottom w:val="single" w:color="auto" w:sz="4" w:space="0"/>
              <w:right w:val="single" w:color="auto" w:sz="4" w:space="0"/>
            </w:tcBorders>
            <w:noWrap w:val="0"/>
            <w:vAlign w:val="center"/>
          </w:tcPr>
          <w:p w14:paraId="4F14D09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300≤Y＜6000</w:t>
            </w:r>
          </w:p>
        </w:tc>
        <w:tc>
          <w:tcPr>
            <w:tcW w:w="1142" w:type="dxa"/>
            <w:tcBorders>
              <w:top w:val="nil"/>
              <w:left w:val="nil"/>
              <w:bottom w:val="single" w:color="auto" w:sz="4" w:space="0"/>
              <w:right w:val="single" w:color="auto" w:sz="4" w:space="0"/>
            </w:tcBorders>
            <w:noWrap w:val="0"/>
            <w:vAlign w:val="center"/>
          </w:tcPr>
          <w:p w14:paraId="0722B10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4DA573C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3B3EA35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8B6645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577E11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C5542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5000≤Z＜80000</w:t>
            </w:r>
          </w:p>
        </w:tc>
        <w:tc>
          <w:tcPr>
            <w:tcW w:w="1743" w:type="dxa"/>
            <w:tcBorders>
              <w:top w:val="nil"/>
              <w:left w:val="nil"/>
              <w:bottom w:val="single" w:color="auto" w:sz="4" w:space="0"/>
              <w:right w:val="single" w:color="auto" w:sz="4" w:space="0"/>
            </w:tcBorders>
            <w:noWrap w:val="0"/>
            <w:vAlign w:val="center"/>
          </w:tcPr>
          <w:p w14:paraId="2E4D14D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300≤Z＜5000</w:t>
            </w:r>
          </w:p>
        </w:tc>
        <w:tc>
          <w:tcPr>
            <w:tcW w:w="1142" w:type="dxa"/>
            <w:tcBorders>
              <w:top w:val="nil"/>
              <w:left w:val="nil"/>
              <w:bottom w:val="single" w:color="auto" w:sz="4" w:space="0"/>
              <w:right w:val="single" w:color="auto" w:sz="4" w:space="0"/>
            </w:tcBorders>
            <w:noWrap w:val="0"/>
            <w:vAlign w:val="center"/>
          </w:tcPr>
          <w:p w14:paraId="013B3D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Z＜300</w:t>
            </w:r>
          </w:p>
        </w:tc>
      </w:tr>
      <w:tr w14:paraId="2FE1C0A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455FAD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批发业</w:t>
            </w:r>
          </w:p>
        </w:tc>
        <w:tc>
          <w:tcPr>
            <w:tcW w:w="1384" w:type="dxa"/>
            <w:tcBorders>
              <w:top w:val="nil"/>
              <w:left w:val="nil"/>
              <w:bottom w:val="single" w:color="auto" w:sz="4" w:space="0"/>
              <w:right w:val="single" w:color="auto" w:sz="4" w:space="0"/>
            </w:tcBorders>
            <w:noWrap w:val="0"/>
            <w:vAlign w:val="center"/>
          </w:tcPr>
          <w:p w14:paraId="41EE36C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D67C80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5B3A4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20≤X＜200</w:t>
            </w:r>
          </w:p>
        </w:tc>
        <w:tc>
          <w:tcPr>
            <w:tcW w:w="1743" w:type="dxa"/>
            <w:tcBorders>
              <w:top w:val="nil"/>
              <w:left w:val="nil"/>
              <w:bottom w:val="single" w:color="auto" w:sz="4" w:space="0"/>
              <w:right w:val="single" w:color="auto" w:sz="4" w:space="0"/>
            </w:tcBorders>
            <w:noWrap w:val="0"/>
            <w:vAlign w:val="center"/>
          </w:tcPr>
          <w:p w14:paraId="0B27858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5≤X＜20</w:t>
            </w:r>
          </w:p>
        </w:tc>
        <w:tc>
          <w:tcPr>
            <w:tcW w:w="1142" w:type="dxa"/>
            <w:tcBorders>
              <w:top w:val="nil"/>
              <w:left w:val="nil"/>
              <w:bottom w:val="single" w:color="auto" w:sz="4" w:space="0"/>
              <w:right w:val="single" w:color="auto" w:sz="4" w:space="0"/>
            </w:tcBorders>
            <w:noWrap w:val="0"/>
            <w:vAlign w:val="center"/>
          </w:tcPr>
          <w:p w14:paraId="164F391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X＜5</w:t>
            </w:r>
          </w:p>
        </w:tc>
      </w:tr>
      <w:tr w14:paraId="1FC03EB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3DD5D61">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0534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7F709D0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63960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5000≤Y＜40000</w:t>
            </w:r>
          </w:p>
        </w:tc>
        <w:tc>
          <w:tcPr>
            <w:tcW w:w="1743" w:type="dxa"/>
            <w:tcBorders>
              <w:top w:val="nil"/>
              <w:left w:val="nil"/>
              <w:bottom w:val="single" w:color="auto" w:sz="4" w:space="0"/>
              <w:right w:val="single" w:color="auto" w:sz="4" w:space="0"/>
            </w:tcBorders>
            <w:noWrap w:val="0"/>
            <w:vAlign w:val="center"/>
          </w:tcPr>
          <w:p w14:paraId="01E3F59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142" w:type="dxa"/>
            <w:tcBorders>
              <w:top w:val="nil"/>
              <w:left w:val="nil"/>
              <w:bottom w:val="single" w:color="auto" w:sz="4" w:space="0"/>
              <w:right w:val="single" w:color="auto" w:sz="4" w:space="0"/>
            </w:tcBorders>
            <w:noWrap w:val="0"/>
            <w:vAlign w:val="center"/>
          </w:tcPr>
          <w:p w14:paraId="2392E0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Y＜1000</w:t>
            </w:r>
          </w:p>
        </w:tc>
      </w:tr>
      <w:tr w14:paraId="2C05C93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DC2BA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零售业</w:t>
            </w:r>
          </w:p>
        </w:tc>
        <w:tc>
          <w:tcPr>
            <w:tcW w:w="1384" w:type="dxa"/>
            <w:tcBorders>
              <w:top w:val="nil"/>
              <w:left w:val="nil"/>
              <w:bottom w:val="single" w:color="auto" w:sz="4" w:space="0"/>
              <w:right w:val="single" w:color="auto" w:sz="4" w:space="0"/>
            </w:tcBorders>
            <w:noWrap w:val="0"/>
            <w:vAlign w:val="center"/>
          </w:tcPr>
          <w:p w14:paraId="3542E35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C8AD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7EFED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50≤X＜300</w:t>
            </w:r>
          </w:p>
        </w:tc>
        <w:tc>
          <w:tcPr>
            <w:tcW w:w="1743" w:type="dxa"/>
            <w:tcBorders>
              <w:top w:val="nil"/>
              <w:left w:val="nil"/>
              <w:bottom w:val="single" w:color="auto" w:sz="4" w:space="0"/>
              <w:right w:val="single" w:color="auto" w:sz="4" w:space="0"/>
            </w:tcBorders>
            <w:noWrap w:val="0"/>
            <w:vAlign w:val="center"/>
          </w:tcPr>
          <w:p w14:paraId="3D9BBB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10≤X＜50</w:t>
            </w:r>
          </w:p>
        </w:tc>
        <w:tc>
          <w:tcPr>
            <w:tcW w:w="1142" w:type="dxa"/>
            <w:tcBorders>
              <w:top w:val="nil"/>
              <w:left w:val="nil"/>
              <w:bottom w:val="single" w:color="auto" w:sz="4" w:space="0"/>
              <w:right w:val="single" w:color="auto" w:sz="4" w:space="0"/>
            </w:tcBorders>
            <w:noWrap w:val="0"/>
            <w:vAlign w:val="center"/>
          </w:tcPr>
          <w:p w14:paraId="37D7B14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2F407779">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5BF84B3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163812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056FA8E">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F9E835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73B000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100≤Y＜500</w:t>
            </w:r>
          </w:p>
        </w:tc>
        <w:tc>
          <w:tcPr>
            <w:tcW w:w="1142" w:type="dxa"/>
            <w:tcBorders>
              <w:top w:val="nil"/>
              <w:left w:val="nil"/>
              <w:bottom w:val="single" w:color="auto" w:sz="4" w:space="0"/>
              <w:right w:val="single" w:color="auto" w:sz="4" w:space="0"/>
            </w:tcBorders>
            <w:noWrap w:val="0"/>
            <w:vAlign w:val="center"/>
          </w:tcPr>
          <w:p w14:paraId="41DB86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408681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819001">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交通运输业</w:t>
            </w:r>
          </w:p>
        </w:tc>
        <w:tc>
          <w:tcPr>
            <w:tcW w:w="1384" w:type="dxa"/>
            <w:tcBorders>
              <w:top w:val="nil"/>
              <w:left w:val="nil"/>
              <w:bottom w:val="single" w:color="auto" w:sz="4" w:space="0"/>
              <w:right w:val="single" w:color="auto" w:sz="4" w:space="0"/>
            </w:tcBorders>
            <w:noWrap w:val="0"/>
            <w:vAlign w:val="center"/>
          </w:tcPr>
          <w:p w14:paraId="412D4C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E30570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EE823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7179097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7CCAAEB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3228067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EBCCE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C9549B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0094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5368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3000≤Y＜30000</w:t>
            </w:r>
          </w:p>
        </w:tc>
        <w:tc>
          <w:tcPr>
            <w:tcW w:w="1743" w:type="dxa"/>
            <w:tcBorders>
              <w:top w:val="nil"/>
              <w:left w:val="nil"/>
              <w:bottom w:val="single" w:color="auto" w:sz="4" w:space="0"/>
              <w:right w:val="single" w:color="auto" w:sz="4" w:space="0"/>
            </w:tcBorders>
            <w:noWrap w:val="0"/>
            <w:vAlign w:val="center"/>
          </w:tcPr>
          <w:p w14:paraId="7D61C7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200≤Y＜3000</w:t>
            </w:r>
          </w:p>
        </w:tc>
        <w:tc>
          <w:tcPr>
            <w:tcW w:w="1142" w:type="dxa"/>
            <w:tcBorders>
              <w:top w:val="nil"/>
              <w:left w:val="nil"/>
              <w:bottom w:val="single" w:color="auto" w:sz="4" w:space="0"/>
              <w:right w:val="single" w:color="auto" w:sz="4" w:space="0"/>
            </w:tcBorders>
            <w:noWrap w:val="0"/>
            <w:vAlign w:val="center"/>
          </w:tcPr>
          <w:p w14:paraId="0EAF0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w:t>
            </w:r>
          </w:p>
        </w:tc>
      </w:tr>
      <w:tr w14:paraId="543ECADF">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2B054F1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仓储业</w:t>
            </w:r>
          </w:p>
        </w:tc>
        <w:tc>
          <w:tcPr>
            <w:tcW w:w="1384" w:type="dxa"/>
            <w:tcBorders>
              <w:top w:val="nil"/>
              <w:left w:val="nil"/>
              <w:bottom w:val="single" w:color="auto" w:sz="4" w:space="0"/>
              <w:right w:val="single" w:color="auto" w:sz="4" w:space="0"/>
            </w:tcBorders>
            <w:noWrap w:val="0"/>
            <w:vAlign w:val="center"/>
          </w:tcPr>
          <w:p w14:paraId="3E4AA5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031B4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63BE778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w:t>
            </w:r>
          </w:p>
        </w:tc>
        <w:tc>
          <w:tcPr>
            <w:tcW w:w="1743" w:type="dxa"/>
            <w:tcBorders>
              <w:top w:val="nil"/>
              <w:left w:val="nil"/>
              <w:bottom w:val="single" w:color="auto" w:sz="4" w:space="0"/>
              <w:right w:val="single" w:color="auto" w:sz="4" w:space="0"/>
            </w:tcBorders>
            <w:noWrap w:val="0"/>
            <w:vAlign w:val="center"/>
          </w:tcPr>
          <w:p w14:paraId="7DEB72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20≤X＜100</w:t>
            </w:r>
          </w:p>
        </w:tc>
        <w:tc>
          <w:tcPr>
            <w:tcW w:w="1142" w:type="dxa"/>
            <w:tcBorders>
              <w:top w:val="nil"/>
              <w:left w:val="nil"/>
              <w:bottom w:val="single" w:color="auto" w:sz="4" w:space="0"/>
              <w:right w:val="single" w:color="auto" w:sz="4" w:space="0"/>
            </w:tcBorders>
            <w:noWrap w:val="0"/>
            <w:vAlign w:val="center"/>
          </w:tcPr>
          <w:p w14:paraId="32F749A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E5BFA9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08739D8">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1395FA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8D7F9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8BC4B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1000≤Y＜30000</w:t>
            </w:r>
          </w:p>
        </w:tc>
        <w:tc>
          <w:tcPr>
            <w:tcW w:w="1743" w:type="dxa"/>
            <w:tcBorders>
              <w:top w:val="nil"/>
              <w:left w:val="nil"/>
              <w:bottom w:val="single" w:color="auto" w:sz="4" w:space="0"/>
              <w:right w:val="single" w:color="auto" w:sz="4" w:space="0"/>
            </w:tcBorders>
            <w:noWrap w:val="0"/>
            <w:vAlign w:val="center"/>
          </w:tcPr>
          <w:p w14:paraId="6E8862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15B205E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C2A1C84">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5C76CAF">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邮政业</w:t>
            </w:r>
          </w:p>
        </w:tc>
        <w:tc>
          <w:tcPr>
            <w:tcW w:w="1384" w:type="dxa"/>
            <w:tcBorders>
              <w:top w:val="nil"/>
              <w:left w:val="nil"/>
              <w:bottom w:val="single" w:color="auto" w:sz="4" w:space="0"/>
              <w:right w:val="single" w:color="auto" w:sz="4" w:space="0"/>
            </w:tcBorders>
            <w:noWrap w:val="0"/>
            <w:vAlign w:val="center"/>
          </w:tcPr>
          <w:p w14:paraId="18C0A36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0A3CF0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C5CE1E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2EBC0DE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1DE6B4A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468048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33F63B">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B1D06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E2E519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890B6F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2000≤Y＜30000</w:t>
            </w:r>
          </w:p>
        </w:tc>
        <w:tc>
          <w:tcPr>
            <w:tcW w:w="1743" w:type="dxa"/>
            <w:tcBorders>
              <w:top w:val="nil"/>
              <w:left w:val="nil"/>
              <w:bottom w:val="single" w:color="auto" w:sz="4" w:space="0"/>
              <w:right w:val="single" w:color="auto" w:sz="4" w:space="0"/>
            </w:tcBorders>
            <w:noWrap w:val="0"/>
            <w:vAlign w:val="center"/>
          </w:tcPr>
          <w:p w14:paraId="58D7440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6D57F5F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6F81F8A">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3134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住宿业</w:t>
            </w:r>
          </w:p>
        </w:tc>
        <w:tc>
          <w:tcPr>
            <w:tcW w:w="1384" w:type="dxa"/>
            <w:tcBorders>
              <w:top w:val="nil"/>
              <w:left w:val="nil"/>
              <w:bottom w:val="single" w:color="auto" w:sz="4" w:space="0"/>
              <w:right w:val="single" w:color="auto" w:sz="4" w:space="0"/>
            </w:tcBorders>
            <w:noWrap w:val="0"/>
            <w:vAlign w:val="center"/>
          </w:tcPr>
          <w:p w14:paraId="66C75D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0BD5C0A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09319B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134C37A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5A11D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361AF670">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67AA54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BC87A8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474607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5DC1C9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14C82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7E5896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9A8FFC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F49940A">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餐饮业</w:t>
            </w:r>
          </w:p>
        </w:tc>
        <w:tc>
          <w:tcPr>
            <w:tcW w:w="1384" w:type="dxa"/>
            <w:tcBorders>
              <w:top w:val="nil"/>
              <w:left w:val="nil"/>
              <w:bottom w:val="single" w:color="auto" w:sz="4" w:space="0"/>
              <w:right w:val="single" w:color="auto" w:sz="4" w:space="0"/>
            </w:tcBorders>
            <w:noWrap w:val="0"/>
            <w:vAlign w:val="center"/>
          </w:tcPr>
          <w:p w14:paraId="163FECE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87D3B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B0C9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42286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3773DDA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7E166C6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AD1CD0E">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9E56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1E9EB8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6A178F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9805D6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2DB742F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6A667D0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D6DBA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信息传输业</w:t>
            </w:r>
          </w:p>
        </w:tc>
        <w:tc>
          <w:tcPr>
            <w:tcW w:w="1384" w:type="dxa"/>
            <w:tcBorders>
              <w:top w:val="nil"/>
              <w:left w:val="nil"/>
              <w:bottom w:val="single" w:color="auto" w:sz="4" w:space="0"/>
              <w:right w:val="single" w:color="auto" w:sz="4" w:space="0"/>
            </w:tcBorders>
            <w:noWrap w:val="0"/>
            <w:vAlign w:val="center"/>
          </w:tcPr>
          <w:p w14:paraId="2189A47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739C3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B4D8E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100≤X＜2000</w:t>
            </w:r>
          </w:p>
        </w:tc>
        <w:tc>
          <w:tcPr>
            <w:tcW w:w="1743" w:type="dxa"/>
            <w:tcBorders>
              <w:top w:val="nil"/>
              <w:left w:val="nil"/>
              <w:bottom w:val="single" w:color="auto" w:sz="4" w:space="0"/>
              <w:right w:val="single" w:color="auto" w:sz="4" w:space="0"/>
            </w:tcBorders>
            <w:noWrap w:val="0"/>
            <w:vAlign w:val="center"/>
          </w:tcPr>
          <w:p w14:paraId="540B1FE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29C9DBA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02FFE75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15598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A04078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322728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454AFD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1000≤Y＜100000</w:t>
            </w:r>
          </w:p>
        </w:tc>
        <w:tc>
          <w:tcPr>
            <w:tcW w:w="1743" w:type="dxa"/>
            <w:tcBorders>
              <w:top w:val="nil"/>
              <w:left w:val="nil"/>
              <w:bottom w:val="single" w:color="auto" w:sz="4" w:space="0"/>
              <w:right w:val="single" w:color="auto" w:sz="4" w:space="0"/>
            </w:tcBorders>
            <w:noWrap w:val="0"/>
            <w:vAlign w:val="center"/>
          </w:tcPr>
          <w:p w14:paraId="3D5C880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67DBD2B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153A7D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8B47FC9">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软件和信息技术服务业</w:t>
            </w:r>
          </w:p>
        </w:tc>
        <w:tc>
          <w:tcPr>
            <w:tcW w:w="1384" w:type="dxa"/>
            <w:tcBorders>
              <w:top w:val="nil"/>
              <w:left w:val="nil"/>
              <w:bottom w:val="single" w:color="auto" w:sz="4" w:space="0"/>
              <w:right w:val="single" w:color="auto" w:sz="4" w:space="0"/>
            </w:tcBorders>
            <w:noWrap w:val="0"/>
            <w:vAlign w:val="center"/>
          </w:tcPr>
          <w:p w14:paraId="09E21E0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19D6D90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AACF1B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84254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43E26F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61F5BF0A">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14CA1C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3F390E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9AB65E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906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w:t>
            </w:r>
          </w:p>
        </w:tc>
        <w:tc>
          <w:tcPr>
            <w:tcW w:w="1743" w:type="dxa"/>
            <w:tcBorders>
              <w:top w:val="nil"/>
              <w:left w:val="nil"/>
              <w:bottom w:val="single" w:color="auto" w:sz="4" w:space="0"/>
              <w:right w:val="single" w:color="auto" w:sz="4" w:space="0"/>
            </w:tcBorders>
            <w:noWrap w:val="0"/>
            <w:vAlign w:val="center"/>
          </w:tcPr>
          <w:p w14:paraId="13DFB8E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50≤Y＜1000</w:t>
            </w:r>
          </w:p>
        </w:tc>
        <w:tc>
          <w:tcPr>
            <w:tcW w:w="1142" w:type="dxa"/>
            <w:tcBorders>
              <w:top w:val="nil"/>
              <w:left w:val="nil"/>
              <w:bottom w:val="single" w:color="auto" w:sz="4" w:space="0"/>
              <w:right w:val="single" w:color="auto" w:sz="4" w:space="0"/>
            </w:tcBorders>
            <w:noWrap w:val="0"/>
            <w:vAlign w:val="center"/>
          </w:tcPr>
          <w:p w14:paraId="36EBA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49A8ECDE">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0C6681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房地产开发经营</w:t>
            </w:r>
          </w:p>
        </w:tc>
        <w:tc>
          <w:tcPr>
            <w:tcW w:w="1384" w:type="dxa"/>
            <w:tcBorders>
              <w:top w:val="nil"/>
              <w:left w:val="nil"/>
              <w:bottom w:val="single" w:color="auto" w:sz="4" w:space="0"/>
              <w:right w:val="single" w:color="auto" w:sz="4" w:space="0"/>
            </w:tcBorders>
            <w:noWrap w:val="0"/>
            <w:vAlign w:val="center"/>
          </w:tcPr>
          <w:p w14:paraId="43F8AE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A0D0457">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D99E17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1000≤Y＜200000</w:t>
            </w:r>
          </w:p>
        </w:tc>
        <w:tc>
          <w:tcPr>
            <w:tcW w:w="1743" w:type="dxa"/>
            <w:tcBorders>
              <w:top w:val="nil"/>
              <w:left w:val="nil"/>
              <w:bottom w:val="single" w:color="auto" w:sz="4" w:space="0"/>
              <w:right w:val="single" w:color="auto" w:sz="4" w:space="0"/>
            </w:tcBorders>
            <w:noWrap w:val="0"/>
            <w:vAlign w:val="center"/>
          </w:tcPr>
          <w:p w14:paraId="6A87B34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100≤X＜1000</w:t>
            </w:r>
          </w:p>
        </w:tc>
        <w:tc>
          <w:tcPr>
            <w:tcW w:w="1142" w:type="dxa"/>
            <w:tcBorders>
              <w:top w:val="nil"/>
              <w:left w:val="nil"/>
              <w:bottom w:val="single" w:color="auto" w:sz="4" w:space="0"/>
              <w:right w:val="single" w:color="auto" w:sz="4" w:space="0"/>
            </w:tcBorders>
            <w:noWrap w:val="0"/>
            <w:vAlign w:val="center"/>
          </w:tcPr>
          <w:p w14:paraId="147E946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22FE9F7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071BD67">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ECF1BE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495387B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A2A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5000≤Z＜10000</w:t>
            </w:r>
          </w:p>
        </w:tc>
        <w:tc>
          <w:tcPr>
            <w:tcW w:w="1743" w:type="dxa"/>
            <w:tcBorders>
              <w:top w:val="nil"/>
              <w:left w:val="nil"/>
              <w:bottom w:val="single" w:color="auto" w:sz="4" w:space="0"/>
              <w:right w:val="single" w:color="auto" w:sz="4" w:space="0"/>
            </w:tcBorders>
            <w:noWrap w:val="0"/>
            <w:vAlign w:val="center"/>
          </w:tcPr>
          <w:p w14:paraId="533D67B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2000≤Y＜5000</w:t>
            </w:r>
          </w:p>
        </w:tc>
        <w:tc>
          <w:tcPr>
            <w:tcW w:w="1142" w:type="dxa"/>
            <w:tcBorders>
              <w:top w:val="nil"/>
              <w:left w:val="nil"/>
              <w:bottom w:val="single" w:color="auto" w:sz="4" w:space="0"/>
              <w:right w:val="single" w:color="auto" w:sz="4" w:space="0"/>
            </w:tcBorders>
            <w:noWrap w:val="0"/>
            <w:vAlign w:val="center"/>
          </w:tcPr>
          <w:p w14:paraId="3D1C761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Y＜2000</w:t>
            </w:r>
          </w:p>
        </w:tc>
      </w:tr>
      <w:tr w14:paraId="32522703">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803660B">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物业管理</w:t>
            </w:r>
          </w:p>
        </w:tc>
        <w:tc>
          <w:tcPr>
            <w:tcW w:w="1384" w:type="dxa"/>
            <w:tcBorders>
              <w:top w:val="nil"/>
              <w:left w:val="nil"/>
              <w:bottom w:val="single" w:color="auto" w:sz="4" w:space="0"/>
              <w:right w:val="single" w:color="auto" w:sz="4" w:space="0"/>
            </w:tcBorders>
            <w:noWrap w:val="0"/>
            <w:vAlign w:val="center"/>
          </w:tcPr>
          <w:p w14:paraId="720057C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6FB16E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7F45FE1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50929D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142" w:type="dxa"/>
            <w:tcBorders>
              <w:top w:val="nil"/>
              <w:left w:val="nil"/>
              <w:bottom w:val="single" w:color="auto" w:sz="4" w:space="0"/>
              <w:right w:val="single" w:color="auto" w:sz="4" w:space="0"/>
            </w:tcBorders>
            <w:noWrap w:val="0"/>
            <w:vAlign w:val="center"/>
          </w:tcPr>
          <w:p w14:paraId="03FFA87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752B3FE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7DACDD3">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D56A21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49BDB7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6F600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743" w:type="dxa"/>
            <w:tcBorders>
              <w:top w:val="nil"/>
              <w:left w:val="nil"/>
              <w:bottom w:val="single" w:color="auto" w:sz="4" w:space="0"/>
              <w:right w:val="single" w:color="auto" w:sz="4" w:space="0"/>
            </w:tcBorders>
            <w:noWrap w:val="0"/>
            <w:vAlign w:val="center"/>
          </w:tcPr>
          <w:p w14:paraId="5DFCFF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500≤Y＜1000</w:t>
            </w:r>
          </w:p>
        </w:tc>
        <w:tc>
          <w:tcPr>
            <w:tcW w:w="1142" w:type="dxa"/>
            <w:tcBorders>
              <w:top w:val="nil"/>
              <w:left w:val="nil"/>
              <w:bottom w:val="single" w:color="auto" w:sz="4" w:space="0"/>
              <w:right w:val="single" w:color="auto" w:sz="4" w:space="0"/>
            </w:tcBorders>
            <w:noWrap w:val="0"/>
            <w:vAlign w:val="center"/>
          </w:tcPr>
          <w:p w14:paraId="7094A1F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Y＜500</w:t>
            </w:r>
          </w:p>
        </w:tc>
      </w:tr>
      <w:tr w14:paraId="7F2814E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11AAC5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租赁和商务服务业</w:t>
            </w:r>
          </w:p>
        </w:tc>
        <w:tc>
          <w:tcPr>
            <w:tcW w:w="1384" w:type="dxa"/>
            <w:tcBorders>
              <w:top w:val="nil"/>
              <w:left w:val="nil"/>
              <w:bottom w:val="single" w:color="auto" w:sz="4" w:space="0"/>
              <w:right w:val="single" w:color="auto" w:sz="4" w:space="0"/>
            </w:tcBorders>
            <w:noWrap w:val="0"/>
            <w:vAlign w:val="center"/>
          </w:tcPr>
          <w:p w14:paraId="1916269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2E319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8E7A54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3299893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435B78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1640DC8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5855E0">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F6889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207BE368">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081454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8000≤Z＜120000</w:t>
            </w:r>
          </w:p>
        </w:tc>
        <w:tc>
          <w:tcPr>
            <w:tcW w:w="1743" w:type="dxa"/>
            <w:tcBorders>
              <w:top w:val="nil"/>
              <w:left w:val="nil"/>
              <w:bottom w:val="single" w:color="auto" w:sz="4" w:space="0"/>
              <w:right w:val="single" w:color="auto" w:sz="4" w:space="0"/>
            </w:tcBorders>
            <w:noWrap w:val="0"/>
            <w:vAlign w:val="center"/>
          </w:tcPr>
          <w:p w14:paraId="6262166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100≤Z＜8000</w:t>
            </w:r>
          </w:p>
        </w:tc>
        <w:tc>
          <w:tcPr>
            <w:tcW w:w="1142" w:type="dxa"/>
            <w:tcBorders>
              <w:top w:val="nil"/>
              <w:left w:val="nil"/>
              <w:bottom w:val="single" w:color="auto" w:sz="4" w:space="0"/>
              <w:right w:val="single" w:color="auto" w:sz="4" w:space="0"/>
            </w:tcBorders>
            <w:noWrap w:val="0"/>
            <w:vAlign w:val="center"/>
          </w:tcPr>
          <w:p w14:paraId="21EF136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7B00D74">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3BBA674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其他未列明行业</w:t>
            </w:r>
          </w:p>
        </w:tc>
        <w:tc>
          <w:tcPr>
            <w:tcW w:w="1384" w:type="dxa"/>
            <w:tcBorders>
              <w:top w:val="nil"/>
              <w:left w:val="nil"/>
              <w:bottom w:val="single" w:color="auto" w:sz="4" w:space="0"/>
              <w:right w:val="single" w:color="auto" w:sz="4" w:space="0"/>
            </w:tcBorders>
            <w:noWrap w:val="0"/>
            <w:vAlign w:val="center"/>
          </w:tcPr>
          <w:p w14:paraId="2B42173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EE1648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2232C0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C78D99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61996C7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bl>
    <w:p w14:paraId="3576C62C">
      <w:pPr>
        <w:shd w:val="clear" w:color="auto" w:fill="auto"/>
        <w:spacing w:line="360" w:lineRule="auto"/>
        <w:ind w:firstLine="525" w:firstLineChars="25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62A62B6">
      <w:pPr>
        <w:shd w:val="clear" w:color="auto" w:fill="auto"/>
        <w:spacing w:line="560" w:lineRule="exact"/>
        <w:ind w:firstLine="500" w:firstLineChars="250"/>
        <w:rPr>
          <w:rFonts w:hint="eastAsia" w:ascii="宋体" w:hAnsi="宋体" w:eastAsia="宋体" w:cs="宋体"/>
          <w:color w:val="auto"/>
          <w:kern w:val="0"/>
          <w:sz w:val="20"/>
          <w:szCs w:val="21"/>
          <w:highlight w:val="none"/>
        </w:rPr>
        <w:sectPr>
          <w:pgSz w:w="11906" w:h="16838"/>
          <w:pgMar w:top="1134" w:right="1134" w:bottom="1134" w:left="1134" w:header="720" w:footer="720" w:gutter="0"/>
          <w:pgNumType w:fmt="decimal"/>
          <w:cols w:space="720" w:num="1"/>
          <w:docGrid w:type="lines" w:linePitch="331" w:charSpace="0"/>
        </w:sectPr>
      </w:pPr>
    </w:p>
    <w:p w14:paraId="1BFF4833">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2、监狱企业证明文件</w:t>
      </w:r>
    </w:p>
    <w:p w14:paraId="04822039">
      <w:pPr>
        <w:pStyle w:val="26"/>
        <w:ind w:left="5250" w:firstLine="480"/>
        <w:rPr>
          <w:rFonts w:ascii="Times New Roman" w:hAnsi="Times New Roman"/>
          <w:color w:val="auto"/>
          <w:kern w:val="0"/>
          <w:highlight w:val="none"/>
        </w:rPr>
      </w:pPr>
    </w:p>
    <w:p w14:paraId="03B2991B">
      <w:pPr>
        <w:pStyle w:val="24"/>
        <w:spacing w:line="460" w:lineRule="exact"/>
        <w:ind w:firstLine="882" w:firstLineChars="350"/>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按《关于政府采购支持监狱企业发展有关问题的通知》(财库[2014]68 号)认定为监狱企业的，在政府采购活动中，监狱企业视同小型、微型企业。监狱企业参加政府采购活动时，应当提供由省级以上监狱管理局、戒毒管理局(含新疆生产建设兵团)出具的属于监狱企业的证明文件。</w:t>
      </w:r>
    </w:p>
    <w:p w14:paraId="4DC117E8">
      <w:pPr>
        <w:shd w:val="clear" w:color="auto" w:fill="auto"/>
        <w:spacing w:line="360" w:lineRule="auto"/>
        <w:ind w:firstLine="2400" w:firstLineChars="1000"/>
        <w:contextualSpacing/>
        <w:rPr>
          <w:rFonts w:hint="eastAsia" w:ascii="宋体" w:hAnsi="宋体" w:eastAsia="宋体" w:cs="宋体"/>
          <w:color w:val="auto"/>
          <w:sz w:val="24"/>
          <w:highlight w:val="none"/>
        </w:rPr>
      </w:pPr>
    </w:p>
    <w:p w14:paraId="60D0246E">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1765D2C2">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4F4C0F9E">
      <w:pPr>
        <w:pStyle w:val="24"/>
        <w:spacing w:line="460" w:lineRule="exact"/>
        <w:ind w:firstLine="420"/>
        <w:jc w:val="left"/>
        <w:rPr>
          <w:rFonts w:hint="eastAsia" w:ascii="宋体" w:hAnsi="宋体" w:eastAsia="宋体" w:cs="Times New Roman"/>
          <w:color w:val="auto"/>
          <w:spacing w:val="6"/>
          <w:kern w:val="2"/>
          <w:sz w:val="24"/>
          <w:szCs w:val="24"/>
          <w:highlight w:val="none"/>
          <w:lang w:val="en-US" w:eastAsia="zh-CN" w:bidi="ar-SA"/>
        </w:rPr>
      </w:pPr>
    </w:p>
    <w:p w14:paraId="02F164C1">
      <w:pPr>
        <w:pStyle w:val="24"/>
        <w:spacing w:line="460" w:lineRule="exact"/>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说明：</w:t>
      </w:r>
      <w:r>
        <w:rPr>
          <w:rFonts w:hint="eastAsia" w:ascii="宋体" w:hAnsi="宋体" w:eastAsia="宋体" w:cs="Times New Roman"/>
          <w:b w:val="0"/>
          <w:bCs w:val="0"/>
          <w:color w:val="auto"/>
          <w:spacing w:val="-4"/>
          <w:kern w:val="2"/>
          <w:sz w:val="24"/>
          <w:szCs w:val="24"/>
          <w:highlight w:val="none"/>
          <w:lang w:val="en-US" w:eastAsia="zh-CN" w:bidi="ar-SA"/>
        </w:rPr>
        <w:t>采购人或者采购代理机构在公告成交结果时，</w:t>
      </w:r>
      <w:r>
        <w:rPr>
          <w:rFonts w:hint="eastAsia" w:ascii="宋体" w:hAnsi="宋体" w:eastAsia="宋体" w:cs="Times New Roman"/>
          <w:color w:val="auto"/>
          <w:spacing w:val="6"/>
          <w:kern w:val="2"/>
          <w:sz w:val="24"/>
          <w:szCs w:val="24"/>
          <w:highlight w:val="none"/>
          <w:lang w:val="en-US" w:eastAsia="zh-CN" w:bidi="ar-SA"/>
        </w:rPr>
        <w:t xml:space="preserve">同时公告其监狱企业证明文件。 </w:t>
      </w:r>
    </w:p>
    <w:p w14:paraId="44BBFC64">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B3A85C">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DD3E44">
      <w:pPr>
        <w:pStyle w:val="59"/>
        <w:rPr>
          <w:rFonts w:hint="eastAsia" w:ascii="宋体" w:hAnsi="宋体" w:eastAsia="宋体" w:cs="宋体"/>
          <w:color w:val="auto"/>
          <w:sz w:val="44"/>
          <w:szCs w:val="44"/>
          <w:highlight w:val="none"/>
          <w:lang w:val="en-US" w:eastAsia="zh-CN"/>
        </w:rPr>
      </w:pPr>
    </w:p>
    <w:p w14:paraId="6DF56685">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3、残疾人福利性单位声明函</w:t>
      </w:r>
    </w:p>
    <w:p w14:paraId="19ED0EA1">
      <w:pPr>
        <w:shd w:val="clear" w:color="auto" w:fill="auto"/>
        <w:spacing w:line="520" w:lineRule="exact"/>
        <w:rPr>
          <w:rFonts w:hint="eastAsia" w:ascii="宋体" w:hAnsi="宋体" w:eastAsia="宋体" w:cs="宋体"/>
          <w:color w:val="auto"/>
          <w:sz w:val="32"/>
          <w:szCs w:val="32"/>
          <w:highlight w:val="none"/>
        </w:rPr>
      </w:pPr>
    </w:p>
    <w:p w14:paraId="1C8E2537">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单位的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项目采购活动提供本单位制造的货物（由本单位承担工程/提供服务），或者提供其他残疾人福利性单位制造的货物（不包括使用非残疾人福利性单位注册商标的货物）。</w:t>
      </w:r>
    </w:p>
    <w:p w14:paraId="2412EFD5">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本单位对上述声明的真实性负责。如有虚假，将依法承担相应责任。</w:t>
      </w:r>
    </w:p>
    <w:p w14:paraId="085BB5C8">
      <w:pPr>
        <w:shd w:val="clear" w:color="auto" w:fill="auto"/>
        <w:spacing w:line="360" w:lineRule="auto"/>
        <w:contextualSpacing/>
        <w:rPr>
          <w:rFonts w:hint="eastAsia" w:ascii="宋体" w:hAnsi="宋体" w:eastAsia="宋体" w:cs="宋体"/>
          <w:color w:val="auto"/>
          <w:sz w:val="24"/>
          <w:highlight w:val="none"/>
        </w:rPr>
      </w:pPr>
    </w:p>
    <w:p w14:paraId="51B0506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p>
    <w:p w14:paraId="6D91B31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6AA0A83B">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12F6BEE9">
      <w:pPr>
        <w:shd w:val="clear" w:color="auto" w:fill="auto"/>
        <w:spacing w:line="360" w:lineRule="auto"/>
        <w:contextualSpacing/>
        <w:rPr>
          <w:rFonts w:hint="eastAsia" w:ascii="宋体" w:hAnsi="宋体" w:eastAsia="宋体" w:cs="宋体"/>
          <w:color w:val="auto"/>
          <w:sz w:val="24"/>
          <w:highlight w:val="none"/>
        </w:rPr>
      </w:pPr>
    </w:p>
    <w:p w14:paraId="331DA62E">
      <w:pPr>
        <w:shd w:val="clear" w:color="auto" w:fill="auto"/>
        <w:spacing w:line="360" w:lineRule="auto"/>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注：请根据自己的真实情况出具《残疾人福利性单位声明函》。依法享受中小企业优惠政策的，采购人或者采购代理机构在公告</w:t>
      </w:r>
      <w:r>
        <w:rPr>
          <w:rFonts w:hint="eastAsia" w:ascii="宋体" w:hAnsi="宋体" w:eastAsia="宋体" w:cs="Times New Roman"/>
          <w:b w:val="0"/>
          <w:bCs w:val="0"/>
          <w:color w:val="auto"/>
          <w:spacing w:val="-4"/>
          <w:kern w:val="2"/>
          <w:sz w:val="24"/>
          <w:szCs w:val="24"/>
          <w:highlight w:val="none"/>
          <w:lang w:val="en-US" w:eastAsia="zh-CN" w:bidi="ar-SA"/>
        </w:rPr>
        <w:t>成交</w:t>
      </w:r>
      <w:r>
        <w:rPr>
          <w:rFonts w:hint="eastAsia" w:ascii="宋体" w:hAnsi="宋体" w:eastAsia="宋体" w:cs="宋体"/>
          <w:color w:val="auto"/>
          <w:sz w:val="24"/>
          <w:highlight w:val="none"/>
        </w:rPr>
        <w:t>结果时，同时公告其《残疾人福利性单位声明函》，接受社会监督。</w:t>
      </w:r>
    </w:p>
    <w:p w14:paraId="231578D6">
      <w:pPr>
        <w:pStyle w:val="3"/>
        <w:jc w:val="center"/>
        <w:rPr>
          <w:rFonts w:hint="eastAsia" w:ascii="宋体" w:hAnsi="宋体"/>
          <w:b w:val="0"/>
          <w:color w:val="auto"/>
          <w:highlight w:val="none"/>
        </w:rPr>
      </w:pPr>
      <w:r>
        <w:rPr>
          <w:rFonts w:hint="eastAsia" w:ascii="宋体" w:hAnsi="宋体"/>
          <w:b w:val="0"/>
          <w:bCs w:val="0"/>
          <w:color w:val="auto"/>
          <w:highlight w:val="none"/>
        </w:rPr>
        <w:t xml:space="preserve">第三节 </w:t>
      </w:r>
      <w:r>
        <w:rPr>
          <w:rFonts w:hint="eastAsia" w:ascii="宋体" w:hAnsi="宋体"/>
          <w:b w:val="0"/>
          <w:color w:val="auto"/>
          <w:highlight w:val="none"/>
        </w:rPr>
        <w:t>商务技术文件格式</w:t>
      </w:r>
    </w:p>
    <w:p w14:paraId="5BB76440">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0D4F675D">
      <w:pPr>
        <w:snapToGrid w:val="0"/>
        <w:spacing w:before="120" w:beforeLines="50" w:after="50"/>
        <w:rPr>
          <w:rFonts w:hint="eastAsia" w:ascii="宋体" w:hAnsi="宋体"/>
          <w:color w:val="auto"/>
          <w:sz w:val="24"/>
          <w:szCs w:val="20"/>
          <w:highlight w:val="none"/>
        </w:rPr>
      </w:pPr>
    </w:p>
    <w:p w14:paraId="25F59DD3">
      <w:pPr>
        <w:snapToGrid w:val="0"/>
        <w:spacing w:before="120" w:beforeLines="50" w:after="50"/>
        <w:rPr>
          <w:rFonts w:hint="eastAsia" w:ascii="宋体" w:hAnsi="宋体"/>
          <w:color w:val="auto"/>
          <w:sz w:val="24"/>
          <w:szCs w:val="20"/>
          <w:highlight w:val="none"/>
        </w:rPr>
      </w:pPr>
    </w:p>
    <w:p w14:paraId="5FF5D7AC">
      <w:pPr>
        <w:snapToGrid w:val="0"/>
        <w:spacing w:before="120" w:beforeLines="50" w:after="50"/>
        <w:rPr>
          <w:rFonts w:hint="eastAsia" w:ascii="宋体" w:hAnsi="宋体"/>
          <w:color w:val="auto"/>
          <w:sz w:val="24"/>
          <w:szCs w:val="20"/>
          <w:highlight w:val="none"/>
        </w:rPr>
      </w:pPr>
    </w:p>
    <w:p w14:paraId="515BBB96">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商  务  技  术  文  件（封面）</w:t>
      </w:r>
    </w:p>
    <w:p w14:paraId="4993E89E">
      <w:pPr>
        <w:snapToGrid w:val="0"/>
        <w:spacing w:before="120" w:beforeLines="50" w:after="50"/>
        <w:rPr>
          <w:rFonts w:hint="eastAsia" w:ascii="宋体" w:hAnsi="宋体"/>
          <w:bCs/>
          <w:color w:val="auto"/>
          <w:sz w:val="24"/>
          <w:szCs w:val="20"/>
          <w:highlight w:val="none"/>
        </w:rPr>
      </w:pPr>
    </w:p>
    <w:p w14:paraId="3A5AD8B0">
      <w:pPr>
        <w:snapToGrid w:val="0"/>
        <w:spacing w:before="120" w:beforeLines="50" w:after="50"/>
        <w:rPr>
          <w:rFonts w:hint="eastAsia" w:ascii="宋体" w:hAnsi="宋体"/>
          <w:bCs/>
          <w:color w:val="auto"/>
          <w:sz w:val="24"/>
          <w:szCs w:val="20"/>
          <w:highlight w:val="none"/>
        </w:rPr>
      </w:pPr>
    </w:p>
    <w:p w14:paraId="1530DA6E">
      <w:pPr>
        <w:snapToGrid w:val="0"/>
        <w:spacing w:before="120" w:beforeLines="50" w:after="50"/>
        <w:rPr>
          <w:rFonts w:hint="eastAsia" w:ascii="宋体" w:hAnsi="宋体"/>
          <w:bCs/>
          <w:color w:val="auto"/>
          <w:sz w:val="24"/>
          <w:szCs w:val="20"/>
          <w:highlight w:val="none"/>
        </w:rPr>
      </w:pPr>
    </w:p>
    <w:p w14:paraId="5D9B3D1F">
      <w:pPr>
        <w:snapToGrid w:val="0"/>
        <w:spacing w:before="120" w:beforeLines="50" w:after="50"/>
        <w:rPr>
          <w:rFonts w:hint="eastAsia" w:ascii="宋体" w:hAnsi="宋体"/>
          <w:bCs/>
          <w:color w:val="auto"/>
          <w:sz w:val="24"/>
          <w:szCs w:val="20"/>
          <w:highlight w:val="none"/>
        </w:rPr>
      </w:pPr>
    </w:p>
    <w:p w14:paraId="1F69633B">
      <w:pPr>
        <w:snapToGrid w:val="0"/>
        <w:spacing w:before="120" w:beforeLines="50" w:after="50"/>
        <w:rPr>
          <w:rFonts w:hint="eastAsia" w:ascii="宋体" w:hAnsi="宋体"/>
          <w:bCs/>
          <w:color w:val="auto"/>
          <w:sz w:val="24"/>
          <w:szCs w:val="20"/>
          <w:highlight w:val="none"/>
        </w:rPr>
      </w:pPr>
    </w:p>
    <w:p w14:paraId="7E8FE52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0CE670A0">
      <w:pPr>
        <w:snapToGrid w:val="0"/>
        <w:spacing w:before="120" w:beforeLines="50" w:after="50"/>
        <w:ind w:firstLine="720" w:firstLineChars="225"/>
        <w:rPr>
          <w:rFonts w:hint="eastAsia" w:ascii="宋体" w:hAnsi="宋体" w:cs="仿宋_GB2312"/>
          <w:bCs/>
          <w:color w:val="auto"/>
          <w:sz w:val="32"/>
          <w:szCs w:val="32"/>
          <w:highlight w:val="none"/>
        </w:rPr>
      </w:pPr>
    </w:p>
    <w:p w14:paraId="7D3C7647">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660D5183">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68D2BC0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260A1D2">
      <w:pPr>
        <w:snapToGrid w:val="0"/>
        <w:spacing w:before="120" w:beforeLines="50" w:after="50"/>
        <w:ind w:firstLine="720" w:firstLineChars="225"/>
        <w:rPr>
          <w:rFonts w:hint="eastAsia" w:ascii="宋体" w:hAnsi="宋体" w:cs="仿宋_GB2312"/>
          <w:bCs/>
          <w:color w:val="auto"/>
          <w:sz w:val="32"/>
          <w:szCs w:val="32"/>
          <w:highlight w:val="none"/>
        </w:rPr>
      </w:pPr>
    </w:p>
    <w:p w14:paraId="1531270F">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2E42E5CF">
      <w:pPr>
        <w:pStyle w:val="7"/>
        <w:snapToGrid w:val="0"/>
        <w:spacing w:before="50" w:after="50"/>
        <w:ind w:firstLine="720" w:firstLineChars="225"/>
        <w:rPr>
          <w:rFonts w:hint="eastAsia" w:ascii="宋体" w:hAnsi="宋体" w:cs="仿宋_GB2312"/>
          <w:bCs/>
          <w:color w:val="auto"/>
          <w:sz w:val="32"/>
          <w:szCs w:val="32"/>
          <w:highlight w:val="none"/>
        </w:rPr>
      </w:pPr>
    </w:p>
    <w:p w14:paraId="5C9C36CE">
      <w:pPr>
        <w:pStyle w:val="7"/>
        <w:snapToGrid w:val="0"/>
        <w:spacing w:before="50" w:after="50"/>
        <w:ind w:firstLine="720" w:firstLineChars="225"/>
        <w:rPr>
          <w:rFonts w:hint="eastAsia" w:ascii="宋体" w:hAnsi="宋体" w:cs="仿宋_GB2312"/>
          <w:bCs/>
          <w:color w:val="auto"/>
          <w:sz w:val="32"/>
          <w:szCs w:val="32"/>
          <w:highlight w:val="none"/>
        </w:rPr>
      </w:pPr>
    </w:p>
    <w:p w14:paraId="4246CE3C">
      <w:pPr>
        <w:pStyle w:val="7"/>
        <w:snapToGrid w:val="0"/>
        <w:spacing w:before="50" w:after="50"/>
        <w:ind w:firstLine="1280" w:firstLineChars="400"/>
        <w:rPr>
          <w:rFonts w:hint="eastAsia" w:ascii="宋体" w:hAnsi="宋体" w:cs="仿宋_GB2312"/>
          <w:bCs/>
          <w:color w:val="auto"/>
          <w:sz w:val="32"/>
          <w:szCs w:val="32"/>
          <w:highlight w:val="none"/>
        </w:rPr>
      </w:pPr>
    </w:p>
    <w:p w14:paraId="443BFB96">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F35097B">
      <w:pPr>
        <w:snapToGrid w:val="0"/>
        <w:spacing w:before="120" w:beforeLines="50" w:after="50" w:line="360" w:lineRule="auto"/>
        <w:ind w:left="142" w:firstLine="643" w:firstLineChars="200"/>
        <w:jc w:val="left"/>
        <w:rPr>
          <w:rFonts w:ascii="宋体" w:hAnsi="宋体"/>
          <w:b/>
          <w:bCs/>
          <w:color w:val="auto"/>
          <w:sz w:val="32"/>
          <w:szCs w:val="32"/>
          <w:highlight w:val="none"/>
        </w:rPr>
        <w:sectPr>
          <w:pgSz w:w="11910" w:h="16840"/>
          <w:pgMar w:top="1340" w:right="1500" w:bottom="280" w:left="1680" w:header="720" w:footer="720" w:gutter="0"/>
          <w:cols w:space="720" w:num="1"/>
        </w:sectPr>
      </w:pPr>
    </w:p>
    <w:p w14:paraId="76212F39">
      <w:pPr>
        <w:pStyle w:val="42"/>
        <w:rPr>
          <w:rFonts w:hint="eastAsia" w:ascii="宋体" w:hAnsi="宋体" w:eastAsia="宋体" w:cs="Times New Roman"/>
          <w:b/>
          <w:bCs/>
          <w:color w:val="auto"/>
          <w:kern w:val="2"/>
          <w:sz w:val="32"/>
          <w:szCs w:val="32"/>
          <w:highlight w:val="none"/>
          <w:lang w:val="en-US" w:eastAsia="zh-CN" w:bidi="ar-SA"/>
        </w:rPr>
      </w:pPr>
    </w:p>
    <w:p w14:paraId="5888A9EE">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商务技术文件目录</w:t>
      </w:r>
      <w:r>
        <w:rPr>
          <w:rFonts w:hint="eastAsia" w:ascii="宋体" w:hAnsi="宋体" w:eastAsia="宋体" w:cs="Times New Roman"/>
          <w:b/>
          <w:bCs/>
          <w:color w:val="auto"/>
          <w:kern w:val="2"/>
          <w:sz w:val="32"/>
          <w:szCs w:val="32"/>
          <w:highlight w:val="none"/>
          <w:lang w:val="en-US" w:eastAsia="zh-CN" w:bidi="ar-SA"/>
        </w:rPr>
        <w:br w:type="textWrapping"/>
      </w:r>
    </w:p>
    <w:p w14:paraId="7A96CB48">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p>
    <w:p w14:paraId="4D79EBA5">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宋体" w:hAnsi="宋体" w:eastAsia="宋体"/>
          <w:b w:val="0"/>
          <w:bCs w:val="0"/>
          <w:color w:val="auto"/>
          <w:spacing w:val="2"/>
          <w:highlight w:val="none"/>
        </w:rPr>
        <w:t>法定代表人身份证明书</w:t>
      </w:r>
      <w:r>
        <w:rPr>
          <w:rFonts w:hint="eastAsia" w:ascii="宋体" w:hAnsi="宋体" w:eastAsia="宋体"/>
          <w:b w:val="0"/>
          <w:bCs w:val="0"/>
          <w:color w:val="auto"/>
          <w:spacing w:val="2"/>
          <w:highlight w:val="none"/>
          <w:lang w:eastAsia="zh-CN"/>
        </w:rPr>
        <w:t>……………………………………………………………（页码）</w:t>
      </w:r>
    </w:p>
    <w:p w14:paraId="17A406B5">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响应文件签署授权委托书原件及委托代理人身份证正反面复印件</w:t>
      </w:r>
      <w:r>
        <w:rPr>
          <w:rFonts w:hint="eastAsia" w:ascii="宋体" w:hAnsi="宋体" w:eastAsia="宋体"/>
          <w:b w:val="0"/>
          <w:bCs w:val="0"/>
          <w:color w:val="auto"/>
          <w:spacing w:val="2"/>
          <w:highlight w:val="none"/>
          <w:lang w:eastAsia="zh-CN"/>
        </w:rPr>
        <w:t>……………（页码）</w:t>
      </w:r>
    </w:p>
    <w:p w14:paraId="39CEC754">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三、</w:t>
      </w:r>
      <w:r>
        <w:rPr>
          <w:rFonts w:hint="eastAsia" w:ascii="宋体" w:hAnsi="宋体" w:eastAsia="宋体"/>
          <w:b w:val="0"/>
          <w:bCs w:val="0"/>
          <w:color w:val="auto"/>
          <w:spacing w:val="2"/>
          <w:highlight w:val="none"/>
        </w:rPr>
        <w:t>农民工工资保障金的交纳与使用承诺书</w:t>
      </w:r>
      <w:r>
        <w:rPr>
          <w:rFonts w:hint="eastAsia" w:ascii="宋体" w:hAnsi="宋体" w:eastAsia="宋体"/>
          <w:b w:val="0"/>
          <w:bCs w:val="0"/>
          <w:color w:val="auto"/>
          <w:spacing w:val="2"/>
          <w:highlight w:val="none"/>
          <w:lang w:eastAsia="zh-CN"/>
        </w:rPr>
        <w:t>…………………………………………（页码）</w:t>
      </w:r>
    </w:p>
    <w:p w14:paraId="62F59D0C">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四、</w:t>
      </w:r>
      <w:r>
        <w:rPr>
          <w:rFonts w:hint="eastAsia" w:ascii="宋体" w:hAnsi="宋体" w:eastAsia="宋体"/>
          <w:b w:val="0"/>
          <w:bCs w:val="0"/>
          <w:color w:val="auto"/>
          <w:spacing w:val="2"/>
          <w:highlight w:val="none"/>
        </w:rPr>
        <w:t>建设工程项目管理承诺书</w:t>
      </w:r>
      <w:r>
        <w:rPr>
          <w:rFonts w:hint="eastAsia" w:ascii="宋体" w:hAnsi="宋体" w:eastAsia="宋体"/>
          <w:b w:val="0"/>
          <w:bCs w:val="0"/>
          <w:color w:val="auto"/>
          <w:spacing w:val="2"/>
          <w:highlight w:val="none"/>
          <w:lang w:eastAsia="zh-CN"/>
        </w:rPr>
        <w:t>…………………………………………………………（页码）</w:t>
      </w:r>
    </w:p>
    <w:p w14:paraId="5AB69C9D">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五、</w:t>
      </w:r>
      <w:r>
        <w:rPr>
          <w:rFonts w:hint="eastAsia" w:ascii="宋体" w:hAnsi="宋体" w:eastAsia="宋体"/>
          <w:b w:val="0"/>
          <w:bCs w:val="0"/>
          <w:color w:val="auto"/>
          <w:spacing w:val="2"/>
          <w:highlight w:val="none"/>
          <w:lang w:val="en-US" w:eastAsia="zh-CN"/>
        </w:rPr>
        <w:t>供应商认为需要提供的其他有关资料</w:t>
      </w:r>
      <w:r>
        <w:rPr>
          <w:rFonts w:hint="eastAsia" w:ascii="宋体" w:hAnsi="宋体" w:eastAsia="宋体"/>
          <w:b w:val="0"/>
          <w:bCs w:val="0"/>
          <w:color w:val="auto"/>
          <w:spacing w:val="2"/>
          <w:highlight w:val="none"/>
          <w:lang w:eastAsia="zh-CN"/>
        </w:rPr>
        <w:t>……………………………………………（页码）</w:t>
      </w:r>
    </w:p>
    <w:p w14:paraId="73080803">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六、</w:t>
      </w:r>
      <w:r>
        <w:rPr>
          <w:rFonts w:hint="eastAsia" w:ascii="宋体" w:hAnsi="宋体" w:eastAsia="宋体"/>
          <w:b w:val="0"/>
          <w:bCs w:val="0"/>
          <w:color w:val="auto"/>
          <w:spacing w:val="2"/>
          <w:highlight w:val="none"/>
        </w:rPr>
        <w:t>施工组织设计</w:t>
      </w:r>
      <w:r>
        <w:rPr>
          <w:rFonts w:hint="eastAsia" w:ascii="宋体" w:hAnsi="宋体" w:eastAsia="宋体"/>
          <w:b w:val="0"/>
          <w:bCs w:val="0"/>
          <w:color w:val="auto"/>
          <w:spacing w:val="2"/>
          <w:highlight w:val="none"/>
          <w:lang w:eastAsia="zh-CN"/>
        </w:rPr>
        <w:t>……………………………………………………………………（页码）</w:t>
      </w:r>
    </w:p>
    <w:p w14:paraId="2FFF8D1E">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七、</w:t>
      </w:r>
      <w:r>
        <w:rPr>
          <w:rFonts w:hint="eastAsia" w:ascii="宋体" w:hAnsi="宋体" w:eastAsia="宋体"/>
          <w:b w:val="0"/>
          <w:bCs w:val="0"/>
          <w:color w:val="auto"/>
          <w:spacing w:val="2"/>
          <w:highlight w:val="none"/>
        </w:rPr>
        <w:t>项目管理机构</w:t>
      </w:r>
      <w:r>
        <w:rPr>
          <w:rFonts w:hint="eastAsia" w:ascii="宋体" w:hAnsi="宋体" w:eastAsia="宋体"/>
          <w:b w:val="0"/>
          <w:bCs w:val="0"/>
          <w:color w:val="auto"/>
          <w:spacing w:val="2"/>
          <w:highlight w:val="none"/>
          <w:lang w:eastAsia="zh-CN"/>
        </w:rPr>
        <w:t>………………………………………………………………………（页码）</w:t>
      </w:r>
    </w:p>
    <w:p w14:paraId="0C7CBBD7">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1、</w:t>
      </w:r>
      <w:r>
        <w:rPr>
          <w:rFonts w:hint="eastAsia" w:ascii="宋体" w:hAnsi="宋体" w:eastAsia="宋体"/>
          <w:b w:val="0"/>
          <w:bCs w:val="0"/>
          <w:color w:val="auto"/>
          <w:spacing w:val="2"/>
          <w:highlight w:val="none"/>
        </w:rPr>
        <w:t>项目管理机构配备情况表</w:t>
      </w:r>
      <w:r>
        <w:rPr>
          <w:rFonts w:hint="eastAsia" w:ascii="宋体" w:hAnsi="宋体" w:eastAsia="宋体"/>
          <w:b w:val="0"/>
          <w:bCs w:val="0"/>
          <w:color w:val="auto"/>
          <w:spacing w:val="2"/>
          <w:highlight w:val="none"/>
          <w:lang w:eastAsia="zh-CN"/>
        </w:rPr>
        <w:t>………………………………………………………（页码）</w:t>
      </w:r>
    </w:p>
    <w:p w14:paraId="014F4EEA">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2、</w:t>
      </w:r>
      <w:r>
        <w:rPr>
          <w:rFonts w:hint="eastAsia" w:ascii="宋体" w:hAnsi="宋体" w:eastAsia="宋体"/>
          <w:b w:val="0"/>
          <w:bCs w:val="0"/>
          <w:color w:val="auto"/>
          <w:spacing w:val="2"/>
          <w:highlight w:val="none"/>
        </w:rPr>
        <w:t>项目经理（注册建造师）简历表</w:t>
      </w:r>
      <w:r>
        <w:rPr>
          <w:rFonts w:hint="eastAsia" w:ascii="宋体" w:hAnsi="宋体" w:eastAsia="宋体"/>
          <w:b w:val="0"/>
          <w:bCs w:val="0"/>
          <w:color w:val="auto"/>
          <w:spacing w:val="2"/>
          <w:highlight w:val="none"/>
          <w:lang w:eastAsia="zh-CN"/>
        </w:rPr>
        <w:t>………………………………………………（页码）</w:t>
      </w:r>
    </w:p>
    <w:p w14:paraId="350153D2">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 xml:space="preserve">  3、</w:t>
      </w:r>
      <w:r>
        <w:rPr>
          <w:rFonts w:hint="eastAsia" w:ascii="宋体" w:hAnsi="宋体" w:eastAsia="宋体"/>
          <w:b w:val="0"/>
          <w:bCs w:val="0"/>
          <w:color w:val="auto"/>
          <w:spacing w:val="2"/>
          <w:highlight w:val="none"/>
        </w:rPr>
        <w:t>项目技术负责人简历表</w:t>
      </w:r>
      <w:r>
        <w:rPr>
          <w:rFonts w:hint="eastAsia" w:ascii="宋体" w:hAnsi="宋体" w:eastAsia="宋体"/>
          <w:b w:val="0"/>
          <w:bCs w:val="0"/>
          <w:color w:val="auto"/>
          <w:spacing w:val="2"/>
          <w:highlight w:val="none"/>
          <w:lang w:eastAsia="zh-CN"/>
        </w:rPr>
        <w:t>…………………………………………………………（页码）</w:t>
      </w:r>
    </w:p>
    <w:p w14:paraId="6DD5B8C8">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八、企业业绩（如有）</w:t>
      </w:r>
      <w:r>
        <w:rPr>
          <w:rFonts w:hint="eastAsia" w:ascii="宋体" w:hAnsi="宋体" w:eastAsia="宋体"/>
          <w:b w:val="0"/>
          <w:bCs w:val="0"/>
          <w:color w:val="auto"/>
          <w:spacing w:val="2"/>
          <w:highlight w:val="none"/>
          <w:lang w:eastAsia="zh-CN"/>
        </w:rPr>
        <w:t>…………………………………………………………………（页码）</w:t>
      </w:r>
    </w:p>
    <w:p w14:paraId="1D56F5BE">
      <w:pPr>
        <w:pStyle w:val="42"/>
        <w:rPr>
          <w:rFonts w:hint="eastAsia"/>
          <w:color w:val="auto"/>
          <w:highlight w:val="none"/>
          <w:lang w:val="en-US" w:eastAsia="zh-CN"/>
        </w:rPr>
      </w:pPr>
    </w:p>
    <w:p w14:paraId="0F73A8C5">
      <w:pPr>
        <w:pStyle w:val="42"/>
        <w:rPr>
          <w:rFonts w:hint="eastAsia"/>
          <w:color w:val="auto"/>
          <w:highlight w:val="none"/>
          <w:lang w:val="en-US" w:eastAsia="zh-CN"/>
        </w:rPr>
      </w:pPr>
    </w:p>
    <w:p w14:paraId="189DF10C">
      <w:pPr>
        <w:pStyle w:val="42"/>
        <w:rPr>
          <w:rFonts w:hint="eastAsia"/>
          <w:color w:val="auto"/>
          <w:highlight w:val="none"/>
          <w:lang w:val="en-US" w:eastAsia="zh-CN"/>
        </w:rPr>
      </w:pPr>
    </w:p>
    <w:p w14:paraId="29C38C60">
      <w:pPr>
        <w:pStyle w:val="42"/>
        <w:rPr>
          <w:rFonts w:hint="eastAsia"/>
          <w:color w:val="auto"/>
          <w:highlight w:val="none"/>
          <w:lang w:val="en-US" w:eastAsia="zh-CN"/>
        </w:rPr>
      </w:pPr>
    </w:p>
    <w:p w14:paraId="642445C0">
      <w:pPr>
        <w:pStyle w:val="42"/>
        <w:rPr>
          <w:rFonts w:hint="eastAsia"/>
          <w:color w:val="auto"/>
          <w:highlight w:val="none"/>
          <w:lang w:val="en-US" w:eastAsia="zh-CN"/>
        </w:rPr>
      </w:pPr>
    </w:p>
    <w:p w14:paraId="75265F9B">
      <w:pPr>
        <w:pStyle w:val="42"/>
        <w:rPr>
          <w:rFonts w:hint="eastAsia"/>
          <w:color w:val="auto"/>
          <w:highlight w:val="none"/>
          <w:lang w:val="en-US" w:eastAsia="zh-CN"/>
        </w:rPr>
      </w:pPr>
    </w:p>
    <w:p w14:paraId="5FDE40C7">
      <w:pPr>
        <w:pStyle w:val="42"/>
        <w:rPr>
          <w:rFonts w:hint="eastAsia"/>
          <w:color w:val="auto"/>
          <w:highlight w:val="none"/>
          <w:lang w:val="en-US" w:eastAsia="zh-CN"/>
        </w:rPr>
      </w:pPr>
    </w:p>
    <w:p w14:paraId="1BC7A83D">
      <w:pPr>
        <w:pStyle w:val="42"/>
        <w:rPr>
          <w:rFonts w:hint="eastAsia"/>
          <w:color w:val="auto"/>
          <w:highlight w:val="none"/>
          <w:lang w:val="en-US" w:eastAsia="zh-CN"/>
        </w:rPr>
      </w:pPr>
    </w:p>
    <w:p w14:paraId="200A3E6A">
      <w:pPr>
        <w:pStyle w:val="42"/>
        <w:jc w:val="center"/>
        <w:rPr>
          <w:rFonts w:hint="eastAsia"/>
          <w:color w:val="auto"/>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一、法定代表人身份证明书</w:t>
      </w:r>
    </w:p>
    <w:p w14:paraId="6D61E882">
      <w:pPr>
        <w:shd w:val="clear"/>
        <w:jc w:val="center"/>
        <w:rPr>
          <w:rFonts w:asciiTheme="minorEastAsia" w:hAnsiTheme="minorEastAsia" w:eastAsiaTheme="minorEastAsia" w:cstheme="minorEastAsia"/>
          <w:b/>
          <w:color w:val="auto"/>
          <w:highlight w:val="none"/>
        </w:rPr>
      </w:pPr>
    </w:p>
    <w:p w14:paraId="79569828">
      <w:pPr>
        <w:shd w:val="clear"/>
        <w:rPr>
          <w:rFonts w:asciiTheme="minorEastAsia" w:hAnsiTheme="minorEastAsia" w:eastAsiaTheme="minorEastAsia" w:cstheme="minorEastAsia"/>
          <w:b/>
          <w:color w:val="auto"/>
          <w:highlight w:val="none"/>
        </w:rPr>
      </w:pPr>
    </w:p>
    <w:p w14:paraId="0F48A9B4">
      <w:pPr>
        <w:pStyle w:val="59"/>
        <w:rPr>
          <w:color w:val="auto"/>
          <w:highlight w:val="none"/>
        </w:rPr>
      </w:pPr>
    </w:p>
    <w:p w14:paraId="79C6ACE6">
      <w:pPr>
        <w:shd w:val="clear"/>
        <w:spacing w:line="360" w:lineRule="auto"/>
        <w:ind w:firstLine="612"/>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单位名称：</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4FAEC1C">
      <w:pPr>
        <w:shd w:val="clear"/>
        <w:spacing w:line="360" w:lineRule="auto"/>
        <w:ind w:firstLine="612"/>
        <w:rPr>
          <w:rFonts w:asciiTheme="minorEastAsia" w:hAnsiTheme="minorEastAsia" w:eastAsiaTheme="minorEastAsia" w:cstheme="minorEastAsia"/>
          <w:color w:val="auto"/>
          <w:highlight w:val="none"/>
        </w:rPr>
      </w:pPr>
    </w:p>
    <w:p w14:paraId="32B84F7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单位性质：</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3532264">
      <w:pPr>
        <w:shd w:val="clear"/>
        <w:spacing w:line="360" w:lineRule="auto"/>
        <w:ind w:firstLine="610"/>
        <w:rPr>
          <w:rFonts w:asciiTheme="minorEastAsia" w:hAnsiTheme="minorEastAsia" w:eastAsiaTheme="minorEastAsia" w:cstheme="minorEastAsia"/>
          <w:color w:val="auto"/>
          <w:highlight w:val="none"/>
        </w:rPr>
      </w:pPr>
    </w:p>
    <w:p w14:paraId="2E57F30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50145E72">
      <w:pPr>
        <w:shd w:val="clear"/>
        <w:spacing w:line="360" w:lineRule="auto"/>
        <w:ind w:firstLine="610"/>
        <w:rPr>
          <w:rFonts w:asciiTheme="minorEastAsia" w:hAnsiTheme="minorEastAsia" w:eastAsiaTheme="minorEastAsia" w:cstheme="minorEastAsia"/>
          <w:color w:val="auto"/>
          <w:highlight w:val="none"/>
        </w:rPr>
      </w:pPr>
    </w:p>
    <w:p w14:paraId="77B78309">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成立时间：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30B2C956">
      <w:pPr>
        <w:shd w:val="clear"/>
        <w:spacing w:line="360" w:lineRule="auto"/>
        <w:ind w:firstLine="610"/>
        <w:rPr>
          <w:rFonts w:asciiTheme="minorEastAsia" w:hAnsiTheme="minorEastAsia" w:eastAsiaTheme="minorEastAsia" w:cstheme="minorEastAsia"/>
          <w:color w:val="auto"/>
          <w:highlight w:val="none"/>
          <w:u w:val="single"/>
        </w:rPr>
      </w:pPr>
    </w:p>
    <w:p w14:paraId="049F8DDE">
      <w:pPr>
        <w:shd w:val="clear"/>
        <w:spacing w:line="360" w:lineRule="auto"/>
        <w:ind w:firstLine="610"/>
        <w:rPr>
          <w:rFonts w:asciiTheme="minorEastAsia" w:hAnsiTheme="minorEastAsia" w:eastAsiaTheme="minorEastAsia" w:cstheme="minorEastAsia"/>
          <w:color w:val="auto"/>
          <w:highlight w:val="none"/>
        </w:rPr>
      </w:pPr>
    </w:p>
    <w:p w14:paraId="2EF1F561">
      <w:pPr>
        <w:shd w:val="clear"/>
        <w:spacing w:line="360" w:lineRule="auto"/>
        <w:ind w:firstLine="610"/>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姓    名：</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性别：</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职务：</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p>
    <w:p w14:paraId="43E15C52">
      <w:pPr>
        <w:shd w:val="clear"/>
        <w:spacing w:line="360" w:lineRule="auto"/>
        <w:ind w:firstLine="610"/>
        <w:rPr>
          <w:color w:val="auto"/>
          <w:highlight w:val="none"/>
        </w:rPr>
      </w:pPr>
      <w:r>
        <w:rPr>
          <w:rFonts w:hint="eastAsia" w:asciiTheme="minorEastAsia" w:hAnsiTheme="minorEastAsia" w:eastAsiaTheme="minorEastAsia" w:cstheme="minorEastAsia"/>
          <w:color w:val="auto"/>
          <w:highlight w:val="none"/>
          <w:lang w:val="en-US" w:eastAsia="zh-CN"/>
        </w:rPr>
        <w:t>身份证号码</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p w14:paraId="619C1E3E">
      <w:pPr>
        <w:shd w:val="clear"/>
        <w:spacing w:line="360" w:lineRule="auto"/>
        <w:ind w:firstLine="610"/>
        <w:rPr>
          <w:rFonts w:asciiTheme="minorEastAsia" w:hAnsiTheme="minorEastAsia" w:eastAsiaTheme="minorEastAsia" w:cstheme="minorEastAsia"/>
          <w:color w:val="auto"/>
          <w:highlight w:val="none"/>
        </w:rPr>
      </w:pPr>
    </w:p>
    <w:p w14:paraId="385D4C9C">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系</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eastAsia="zh-CN"/>
        </w:rPr>
        <w:t>供应商</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的法定代表人。</w:t>
      </w:r>
    </w:p>
    <w:p w14:paraId="5CE2988D">
      <w:pPr>
        <w:shd w:val="clear"/>
        <w:spacing w:line="360" w:lineRule="auto"/>
        <w:ind w:firstLine="610"/>
        <w:rPr>
          <w:rFonts w:asciiTheme="minorEastAsia" w:hAnsiTheme="minorEastAsia" w:eastAsiaTheme="minorEastAsia" w:cstheme="minorEastAsia"/>
          <w:color w:val="auto"/>
          <w:highlight w:val="none"/>
        </w:rPr>
      </w:pPr>
    </w:p>
    <w:p w14:paraId="0630D8E7">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特此证明。</w:t>
      </w:r>
    </w:p>
    <w:p w14:paraId="2509CB12">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4CB7475">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9A44E5F">
      <w:pPr>
        <w:shd w:val="clear"/>
        <w:tabs>
          <w:tab w:val="left" w:pos="720"/>
          <w:tab w:val="left" w:pos="900"/>
        </w:tabs>
        <w:spacing w:line="360" w:lineRule="auto"/>
        <w:ind w:firstLine="3990" w:firstLineChars="1900"/>
        <w:rPr>
          <w:rFonts w:asciiTheme="minorEastAsia" w:hAnsiTheme="minorEastAsia" w:eastAsiaTheme="minorEastAsia" w:cstheme="minorEastAsia"/>
          <w:color w:val="auto"/>
          <w:highlight w:val="none"/>
        </w:rPr>
      </w:pPr>
    </w:p>
    <w:p w14:paraId="604A04CD">
      <w:pPr>
        <w:shd w:val="clear"/>
        <w:tabs>
          <w:tab w:val="left" w:pos="720"/>
          <w:tab w:val="left" w:pos="900"/>
        </w:tabs>
        <w:spacing w:line="360" w:lineRule="auto"/>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32706E91">
      <w:pPr>
        <w:shd w:val="clear"/>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6A7C37FF">
      <w:pPr>
        <w:shd w:val="clear"/>
        <w:ind w:firstLine="4410" w:firstLineChars="2100"/>
        <w:rPr>
          <w:rFonts w:asciiTheme="minorEastAsia" w:hAnsiTheme="minorEastAsia" w:eastAsiaTheme="minorEastAsia" w:cstheme="minorEastAsia"/>
          <w:color w:val="auto"/>
          <w:highlight w:val="none"/>
        </w:rPr>
      </w:pPr>
    </w:p>
    <w:p w14:paraId="68E32C08">
      <w:pPr>
        <w:pStyle w:val="42"/>
        <w:rPr>
          <w:rFonts w:hint="eastAsia" w:asciiTheme="minorEastAsia" w:hAnsiTheme="minorEastAsia" w:eastAsiaTheme="minorEastAsia" w:cstheme="minorEastAsia"/>
          <w:b/>
          <w:color w:val="auto"/>
          <w:sz w:val="30"/>
          <w:szCs w:val="30"/>
          <w:highlight w:val="none"/>
          <w:lang w:val="en-US" w:eastAsia="zh-CN"/>
        </w:rPr>
      </w:pPr>
    </w:p>
    <w:p w14:paraId="58525B64">
      <w:pPr>
        <w:pStyle w:val="42"/>
        <w:rPr>
          <w:rFonts w:hint="eastAsia" w:asciiTheme="minorEastAsia" w:hAnsiTheme="minorEastAsia" w:eastAsiaTheme="minorEastAsia" w:cstheme="minorEastAsia"/>
          <w:b/>
          <w:color w:val="auto"/>
          <w:sz w:val="30"/>
          <w:szCs w:val="30"/>
          <w:highlight w:val="none"/>
          <w:lang w:val="en-US" w:eastAsia="zh-CN"/>
        </w:rPr>
      </w:pPr>
    </w:p>
    <w:p w14:paraId="5629C6A9">
      <w:pPr>
        <w:pStyle w:val="42"/>
        <w:rPr>
          <w:rFonts w:hint="eastAsia" w:asciiTheme="minorEastAsia" w:hAnsiTheme="minorEastAsia" w:eastAsiaTheme="minorEastAsia" w:cstheme="minorEastAsia"/>
          <w:b/>
          <w:color w:val="auto"/>
          <w:sz w:val="30"/>
          <w:szCs w:val="30"/>
          <w:highlight w:val="none"/>
          <w:lang w:val="en-US" w:eastAsia="zh-CN"/>
        </w:rPr>
      </w:pPr>
    </w:p>
    <w:p w14:paraId="1B453D2C">
      <w:pPr>
        <w:snapToGrid w:val="0"/>
        <w:ind w:firstLine="472" w:firstLineChars="196"/>
        <w:jc w:val="center"/>
        <w:rPr>
          <w:rFonts w:ascii="宋体" w:hAnsi="宋体"/>
          <w:b/>
          <w:color w:val="auto"/>
          <w:sz w:val="24"/>
          <w:highlight w:val="none"/>
        </w:rPr>
      </w:pPr>
      <w:r>
        <w:rPr>
          <w:rFonts w:hint="eastAsia" w:ascii="宋体" w:hAnsi="宋体"/>
          <w:b/>
          <w:color w:val="auto"/>
          <w:sz w:val="24"/>
          <w:highlight w:val="none"/>
        </w:rPr>
        <w:t>法定代表人身份证复印件</w:t>
      </w:r>
    </w:p>
    <w:p w14:paraId="09F5CE0A">
      <w:pPr>
        <w:rPr>
          <w:rFonts w:ascii="宋体" w:hAnsi="宋体"/>
          <w:color w:val="auto"/>
          <w:szCs w:val="21"/>
          <w:highlight w:val="none"/>
        </w:rPr>
      </w:pPr>
    </w:p>
    <w:p w14:paraId="22BE8BA7">
      <w:pPr>
        <w:rPr>
          <w:rFonts w:ascii="宋体" w:hAnsi="宋体"/>
          <w:color w:val="auto"/>
          <w:szCs w:val="21"/>
          <w:highlight w:val="none"/>
        </w:rPr>
      </w:pPr>
      <w:r>
        <w:rPr>
          <w:rFonts w:hint="eastAsia" w:ascii="宋体" w:hAnsi="宋体"/>
          <w:color w:val="auto"/>
          <w:szCs w:val="21"/>
          <w:highlight w:val="none"/>
        </w:rPr>
        <w:t>投标人法定代表人身份证复印件：</w:t>
      </w:r>
    </w:p>
    <w:p w14:paraId="4F4BFFAC">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183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6" w:hRule="atLeast"/>
        </w:trPr>
        <w:tc>
          <w:tcPr>
            <w:tcW w:w="6948" w:type="dxa"/>
            <w:vAlign w:val="center"/>
          </w:tcPr>
          <w:p w14:paraId="31F15BC5">
            <w:pPr>
              <w:jc w:val="center"/>
              <w:rPr>
                <w:rFonts w:ascii="宋体" w:hAnsi="宋体"/>
                <w:color w:val="auto"/>
                <w:szCs w:val="21"/>
                <w:highlight w:val="none"/>
              </w:rPr>
            </w:pPr>
            <w:r>
              <w:rPr>
                <w:rFonts w:hint="eastAsia" w:ascii="宋体" w:hAnsi="宋体"/>
                <w:color w:val="auto"/>
                <w:szCs w:val="21"/>
                <w:highlight w:val="none"/>
              </w:rPr>
              <w:t>身份证（正面）</w:t>
            </w:r>
          </w:p>
        </w:tc>
      </w:tr>
    </w:tbl>
    <w:p w14:paraId="467B6E89">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2057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7" w:hRule="atLeast"/>
        </w:trPr>
        <w:tc>
          <w:tcPr>
            <w:tcW w:w="6948" w:type="dxa"/>
            <w:vAlign w:val="center"/>
          </w:tcPr>
          <w:p w14:paraId="19256507">
            <w:pPr>
              <w:jc w:val="center"/>
              <w:rPr>
                <w:rFonts w:ascii="宋体" w:hAnsi="宋体"/>
                <w:color w:val="auto"/>
                <w:szCs w:val="21"/>
                <w:highlight w:val="none"/>
              </w:rPr>
            </w:pPr>
            <w:r>
              <w:rPr>
                <w:rFonts w:hint="eastAsia" w:ascii="宋体" w:hAnsi="宋体"/>
                <w:color w:val="auto"/>
                <w:szCs w:val="21"/>
                <w:highlight w:val="none"/>
              </w:rPr>
              <w:t>身份证（反面）</w:t>
            </w:r>
          </w:p>
          <w:p w14:paraId="4FFA5F45">
            <w:pPr>
              <w:jc w:val="center"/>
              <w:rPr>
                <w:rFonts w:ascii="宋体" w:hAnsi="宋体"/>
                <w:color w:val="auto"/>
                <w:szCs w:val="21"/>
                <w:highlight w:val="none"/>
              </w:rPr>
            </w:pPr>
          </w:p>
        </w:tc>
      </w:tr>
    </w:tbl>
    <w:p w14:paraId="1331987D">
      <w:pPr>
        <w:rPr>
          <w:rFonts w:ascii="宋体" w:hAnsi="宋体"/>
          <w:color w:val="auto"/>
          <w:szCs w:val="21"/>
          <w:highlight w:val="none"/>
        </w:rPr>
      </w:pPr>
    </w:p>
    <w:p w14:paraId="7DD74F51">
      <w:pPr>
        <w:rPr>
          <w:rFonts w:ascii="宋体" w:hAnsi="宋体"/>
          <w:color w:val="auto"/>
          <w:szCs w:val="21"/>
          <w:highlight w:val="none"/>
        </w:rPr>
      </w:pPr>
    </w:p>
    <w:p w14:paraId="2AAAF8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p>
    <w:p w14:paraId="4A38A1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p>
    <w:p w14:paraId="1D273F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Cs w:val="21"/>
          <w:highlight w:val="none"/>
          <w:u w:val="singl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法定代表人签名或电子签章：</w:t>
      </w:r>
      <w:r>
        <w:rPr>
          <w:rFonts w:hint="eastAsia" w:ascii="宋体" w:hAnsi="宋体"/>
          <w:color w:val="auto"/>
          <w:szCs w:val="21"/>
          <w:highlight w:val="none"/>
          <w:u w:val="single"/>
          <w:lang w:val="en-US" w:eastAsia="zh-CN"/>
        </w:rPr>
        <w:t xml:space="preserve">               </w:t>
      </w:r>
    </w:p>
    <w:p w14:paraId="41FF17E0">
      <w:pPr>
        <w:keepNext w:val="0"/>
        <w:keepLines w:val="0"/>
        <w:pageBreakBefore w:val="0"/>
        <w:widowControl w:val="0"/>
        <w:shd w:val="clear"/>
        <w:tabs>
          <w:tab w:val="left" w:pos="720"/>
          <w:tab w:val="left" w:pos="900"/>
        </w:tabs>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12BCB83F">
      <w:pPr>
        <w:keepNext w:val="0"/>
        <w:keepLines w:val="0"/>
        <w:pageBreakBefore w:val="0"/>
        <w:widowControl w:val="0"/>
        <w:shd w:val="clear"/>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21BE857C">
      <w:pPr>
        <w:pStyle w:val="42"/>
        <w:rPr>
          <w:rFonts w:hint="eastAsia" w:asciiTheme="minorEastAsia" w:hAnsiTheme="minorEastAsia" w:eastAsiaTheme="minorEastAsia" w:cstheme="minorEastAsia"/>
          <w:b/>
          <w:color w:val="auto"/>
          <w:sz w:val="30"/>
          <w:szCs w:val="30"/>
          <w:highlight w:val="none"/>
          <w:lang w:val="en-US" w:eastAsia="zh-CN"/>
        </w:rPr>
      </w:pPr>
      <w:r>
        <w:rPr>
          <w:rFonts w:ascii="宋体" w:hAnsi="宋体"/>
          <w:color w:val="auto"/>
          <w:highlight w:val="none"/>
        </w:rPr>
        <w:br w:type="page"/>
      </w:r>
    </w:p>
    <w:p w14:paraId="29B469AB">
      <w:pPr>
        <w:pStyle w:val="42"/>
        <w:jc w:val="center"/>
        <w:rPr>
          <w:rFonts w:hint="eastAsia" w:asciiTheme="minorEastAsia" w:hAnsiTheme="minorEastAsia" w:eastAsiaTheme="minorEastAsia" w:cstheme="minorEastAsia"/>
          <w:b/>
          <w:bCs/>
          <w:color w:val="auto"/>
          <w:kern w:val="2"/>
          <w:sz w:val="32"/>
          <w:szCs w:val="32"/>
          <w:highlight w:val="none"/>
          <w:lang w:val="en-US" w:eastAsia="zh-CN" w:bidi="ar-SA"/>
        </w:rPr>
      </w:pPr>
      <w:r>
        <w:rPr>
          <w:rFonts w:hint="eastAsia" w:asciiTheme="minorEastAsia" w:hAnsiTheme="minorEastAsia" w:eastAsiaTheme="minorEastAsia" w:cstheme="minorEastAsia"/>
          <w:b/>
          <w:color w:val="auto"/>
          <w:sz w:val="30"/>
          <w:szCs w:val="30"/>
          <w:highlight w:val="none"/>
          <w:lang w:val="en-US" w:eastAsia="zh-CN"/>
        </w:rPr>
        <w:t>二、</w:t>
      </w:r>
      <w:r>
        <w:rPr>
          <w:rFonts w:hint="eastAsia" w:asciiTheme="minorEastAsia" w:hAnsiTheme="minorEastAsia" w:eastAsiaTheme="minorEastAsia" w:cstheme="minorEastAsia"/>
          <w:b/>
          <w:bCs/>
          <w:color w:val="auto"/>
          <w:kern w:val="2"/>
          <w:sz w:val="32"/>
          <w:szCs w:val="32"/>
          <w:highlight w:val="none"/>
          <w:lang w:val="en-US" w:eastAsia="zh-CN" w:bidi="ar-SA"/>
        </w:rPr>
        <w:t>响应文件签署授权委托书原件及委托代理人身份证</w:t>
      </w:r>
    </w:p>
    <w:p w14:paraId="1BB90AF8">
      <w:pPr>
        <w:pStyle w:val="42"/>
        <w:jc w:val="center"/>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bCs/>
          <w:color w:val="auto"/>
          <w:kern w:val="2"/>
          <w:sz w:val="32"/>
          <w:szCs w:val="32"/>
          <w:highlight w:val="none"/>
          <w:lang w:val="en-US" w:eastAsia="zh-CN" w:bidi="ar-SA"/>
        </w:rPr>
        <w:t>正反面复印件</w:t>
      </w:r>
    </w:p>
    <w:p w14:paraId="61570609">
      <w:pPr>
        <w:pStyle w:val="4"/>
        <w:shd w:val="clear"/>
        <w:spacing w:line="500" w:lineRule="exact"/>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（委托代理时必须提供）</w:t>
      </w:r>
    </w:p>
    <w:p w14:paraId="4E31F3DC">
      <w:pPr>
        <w:shd w:val="clear"/>
        <w:spacing w:after="156"/>
        <w:rPr>
          <w:rFonts w:asciiTheme="minorEastAsia" w:hAnsiTheme="minorEastAsia" w:eastAsiaTheme="minorEastAsia" w:cstheme="minorEastAsia"/>
          <w:b/>
          <w:color w:val="auto"/>
          <w:highlight w:val="none"/>
        </w:rPr>
      </w:pPr>
    </w:p>
    <w:p w14:paraId="1363666E">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本授权委托书声明：我</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（姓名）系</w:t>
      </w:r>
      <w:r>
        <w:rPr>
          <w:rFonts w:hint="eastAsia" w:asciiTheme="minorEastAsia" w:hAnsiTheme="minorEastAsia" w:eastAsiaTheme="minorEastAsia" w:cstheme="minorEastAsia"/>
          <w:color w:val="auto"/>
          <w:highlight w:val="none"/>
          <w:u w:val="single"/>
        </w:rPr>
        <w:t xml:space="preserve">        （竞 标 人 名 称）</w:t>
      </w:r>
      <w:r>
        <w:rPr>
          <w:rFonts w:hint="eastAsia" w:asciiTheme="minorEastAsia" w:hAnsiTheme="minorEastAsia" w:eastAsiaTheme="minorEastAsia" w:cstheme="minorEastAsia"/>
          <w:color w:val="auto"/>
          <w:highlight w:val="none"/>
        </w:rPr>
        <w:t>的法定代表人，现授权委托</w:t>
      </w:r>
      <w:r>
        <w:rPr>
          <w:rFonts w:hint="eastAsia" w:asciiTheme="minorEastAsia" w:hAnsiTheme="minorEastAsia" w:eastAsiaTheme="minorEastAsia" w:cstheme="minorEastAsia"/>
          <w:color w:val="auto"/>
          <w:highlight w:val="none"/>
          <w:u w:val="single"/>
        </w:rPr>
        <w:t xml:space="preserve">      （单 位 名 称）     </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highlight w:val="none"/>
          <w:u w:val="single"/>
        </w:rPr>
        <w:t xml:space="preserve">    （姓名）    </w:t>
      </w:r>
      <w:r>
        <w:rPr>
          <w:rFonts w:hint="eastAsia" w:asciiTheme="minorEastAsia" w:hAnsiTheme="minorEastAsia" w:eastAsiaTheme="minorEastAsia" w:cstheme="minorEastAsia"/>
          <w:color w:val="auto"/>
          <w:highlight w:val="none"/>
        </w:rPr>
        <w:t>为我公司签署本工程的响应文件的法定代表人授权委托代理人，我承认代理人全权代表我所签署的本工程的响应文件的内容。</w:t>
      </w:r>
    </w:p>
    <w:p w14:paraId="317CA271">
      <w:pPr>
        <w:shd w:val="clear"/>
        <w:spacing w:line="360" w:lineRule="auto"/>
        <w:ind w:firstLine="610"/>
        <w:rPr>
          <w:rFonts w:asciiTheme="minorEastAsia" w:hAnsiTheme="minorEastAsia" w:eastAsiaTheme="minorEastAsia" w:cstheme="minorEastAsia"/>
          <w:color w:val="auto"/>
          <w:highlight w:val="none"/>
        </w:rPr>
      </w:pPr>
    </w:p>
    <w:p w14:paraId="65B23F2A">
      <w:pPr>
        <w:shd w:val="clear"/>
        <w:spacing w:line="360" w:lineRule="auto"/>
        <w:ind w:firstLine="697"/>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代理人无转委托权，特此委托。</w:t>
      </w:r>
    </w:p>
    <w:p w14:paraId="331A6D35">
      <w:pPr>
        <w:shd w:val="clear"/>
        <w:ind w:left="1260"/>
        <w:rPr>
          <w:rFonts w:asciiTheme="minorEastAsia" w:hAnsiTheme="minorEastAsia" w:eastAsiaTheme="minorEastAsia" w:cstheme="minorEastAsia"/>
          <w:color w:val="auto"/>
          <w:highlight w:val="none"/>
        </w:rPr>
      </w:pPr>
    </w:p>
    <w:p w14:paraId="4E8C5C82">
      <w:pPr>
        <w:shd w:val="clear"/>
        <w:ind w:left="1260"/>
        <w:rPr>
          <w:rFonts w:asciiTheme="minorEastAsia" w:hAnsiTheme="minorEastAsia" w:eastAsiaTheme="minorEastAsia" w:cstheme="minorEastAsia"/>
          <w:color w:val="auto"/>
          <w:highlight w:val="none"/>
        </w:rPr>
      </w:pPr>
    </w:p>
    <w:p w14:paraId="6400B936">
      <w:pPr>
        <w:shd w:val="clear"/>
        <w:ind w:left="1260"/>
        <w:rPr>
          <w:rFonts w:asciiTheme="minorEastAsia" w:hAnsiTheme="minorEastAsia" w:eastAsiaTheme="minorEastAsia" w:cstheme="minorEastAsia"/>
          <w:color w:val="auto"/>
          <w:highlight w:val="none"/>
        </w:rPr>
      </w:pPr>
    </w:p>
    <w:p w14:paraId="61CE416D">
      <w:pPr>
        <w:shd w:val="clear"/>
        <w:ind w:left="1260"/>
        <w:rPr>
          <w:rFonts w:asciiTheme="minorEastAsia" w:hAnsiTheme="minorEastAsia" w:eastAsiaTheme="minorEastAsia" w:cstheme="minorEastAsia"/>
          <w:color w:val="auto"/>
          <w:highlight w:val="none"/>
        </w:rPr>
      </w:pPr>
    </w:p>
    <w:p w14:paraId="69CF83CA">
      <w:pPr>
        <w:shd w:val="clear"/>
        <w:ind w:left="1260"/>
        <w:rPr>
          <w:rFonts w:asciiTheme="minorEastAsia" w:hAnsiTheme="minorEastAsia" w:eastAsiaTheme="minorEastAsia" w:cstheme="minorEastAsia"/>
          <w:color w:val="auto"/>
          <w:highlight w:val="none"/>
        </w:rPr>
      </w:pPr>
    </w:p>
    <w:p w14:paraId="336D5204">
      <w:pPr>
        <w:shd w:val="clear"/>
        <w:ind w:left="1260"/>
        <w:rPr>
          <w:rFonts w:asciiTheme="minorEastAsia" w:hAnsiTheme="minorEastAsia" w:eastAsiaTheme="minorEastAsia" w:cstheme="minorEastAsia"/>
          <w:color w:val="auto"/>
          <w:highlight w:val="none"/>
        </w:rPr>
      </w:pPr>
    </w:p>
    <w:p w14:paraId="435CCD06">
      <w:pPr>
        <w:shd w:val="clear"/>
        <w:ind w:left="1260"/>
        <w:rPr>
          <w:rFonts w:asciiTheme="minorEastAsia" w:hAnsiTheme="minorEastAsia" w:eastAsiaTheme="minorEastAsia" w:cstheme="minorEastAsia"/>
          <w:color w:val="auto"/>
          <w:highlight w:val="none"/>
        </w:rPr>
      </w:pPr>
    </w:p>
    <w:p w14:paraId="74992212">
      <w:pPr>
        <w:shd w:val="clear"/>
        <w:ind w:left="1260"/>
        <w:rPr>
          <w:rFonts w:asciiTheme="minorEastAsia" w:hAnsiTheme="minorEastAsia" w:eastAsiaTheme="minorEastAsia" w:cstheme="minorEastAsia"/>
          <w:color w:val="auto"/>
          <w:highlight w:val="none"/>
        </w:rPr>
      </w:pPr>
    </w:p>
    <w:p w14:paraId="34483100">
      <w:pPr>
        <w:shd w:val="clear"/>
        <w:ind w:left="1260"/>
        <w:rPr>
          <w:rFonts w:asciiTheme="minorEastAsia" w:hAnsiTheme="minorEastAsia" w:eastAsiaTheme="minorEastAsia" w:cstheme="minorEastAsia"/>
          <w:color w:val="auto"/>
          <w:highlight w:val="none"/>
        </w:rPr>
      </w:pPr>
    </w:p>
    <w:p w14:paraId="73BA8B1F">
      <w:pPr>
        <w:shd w:val="clear"/>
        <w:ind w:left="1260"/>
        <w:rPr>
          <w:rFonts w:asciiTheme="minorEastAsia" w:hAnsiTheme="minorEastAsia" w:eastAsiaTheme="minorEastAsia" w:cstheme="minorEastAsia"/>
          <w:color w:val="auto"/>
          <w:highlight w:val="none"/>
        </w:rPr>
      </w:pPr>
    </w:p>
    <w:p w14:paraId="64849CB6">
      <w:pPr>
        <w:shd w:val="clear"/>
        <w:ind w:left="1260"/>
        <w:rPr>
          <w:rFonts w:asciiTheme="minorEastAsia" w:hAnsiTheme="minorEastAsia" w:eastAsiaTheme="minorEastAsia" w:cstheme="minorEastAsia"/>
          <w:color w:val="auto"/>
          <w:highlight w:val="none"/>
        </w:rPr>
      </w:pPr>
    </w:p>
    <w:p w14:paraId="05ADF8EE">
      <w:pPr>
        <w:shd w:val="clear"/>
        <w:ind w:left="1260"/>
        <w:rPr>
          <w:rFonts w:asciiTheme="minorEastAsia" w:hAnsiTheme="minorEastAsia" w:eastAsiaTheme="minorEastAsia" w:cstheme="minorEastAsia"/>
          <w:color w:val="auto"/>
          <w:highlight w:val="none"/>
        </w:rPr>
      </w:pPr>
    </w:p>
    <w:p w14:paraId="36396BDA">
      <w:pPr>
        <w:shd w:val="clear"/>
        <w:ind w:left="1260"/>
        <w:rPr>
          <w:rFonts w:asciiTheme="minorEastAsia" w:hAnsiTheme="minorEastAsia" w:eastAsiaTheme="minorEastAsia" w:cstheme="minorEastAsia"/>
          <w:color w:val="auto"/>
          <w:highlight w:val="none"/>
        </w:rPr>
      </w:pPr>
    </w:p>
    <w:p w14:paraId="57E842B2">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代理人：</w:t>
      </w:r>
      <w:r>
        <w:rPr>
          <w:rFonts w:hint="eastAsia" w:asciiTheme="minorEastAsia" w:hAnsiTheme="minorEastAsia" w:eastAsiaTheme="minorEastAsia" w:cstheme="minorEastAsia"/>
          <w:color w:val="auto"/>
          <w:highlight w:val="none"/>
          <w:u w:val="single"/>
        </w:rPr>
        <w:t xml:space="preserve">   （签字）   </w:t>
      </w:r>
      <w:r>
        <w:rPr>
          <w:rFonts w:hint="eastAsia" w:asciiTheme="minorEastAsia" w:hAnsiTheme="minorEastAsia" w:eastAsiaTheme="minorEastAsia" w:cstheme="minorEastAsia"/>
          <w:color w:val="auto"/>
          <w:highlight w:val="none"/>
        </w:rPr>
        <w:t>性别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年龄：_______</w:t>
      </w:r>
    </w:p>
    <w:p w14:paraId="0700B697">
      <w:pPr>
        <w:shd w:val="clear"/>
        <w:ind w:left="2699"/>
        <w:rPr>
          <w:rFonts w:asciiTheme="minorEastAsia" w:hAnsiTheme="minorEastAsia" w:eastAsiaTheme="minorEastAsia" w:cstheme="minorEastAsia"/>
          <w:color w:val="auto"/>
          <w:highlight w:val="none"/>
        </w:rPr>
      </w:pPr>
    </w:p>
    <w:p w14:paraId="3424F6CB">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身份证号码：</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职务：</w:t>
      </w:r>
      <w:r>
        <w:rPr>
          <w:rFonts w:hint="eastAsia" w:asciiTheme="minorEastAsia" w:hAnsiTheme="minorEastAsia" w:eastAsiaTheme="minorEastAsia" w:cstheme="minorEastAsia"/>
          <w:color w:val="auto"/>
          <w:highlight w:val="none"/>
          <w:u w:val="single"/>
        </w:rPr>
        <w:t xml:space="preserve">         </w:t>
      </w:r>
    </w:p>
    <w:p w14:paraId="5669F908">
      <w:pPr>
        <w:shd w:val="clear"/>
        <w:ind w:left="2699"/>
        <w:rPr>
          <w:rFonts w:asciiTheme="minorEastAsia" w:hAnsiTheme="minorEastAsia" w:eastAsiaTheme="minorEastAsia" w:cstheme="minorEastAsia"/>
          <w:color w:val="auto"/>
          <w:highlight w:val="none"/>
        </w:rPr>
      </w:pPr>
    </w:p>
    <w:p w14:paraId="657C7D7E">
      <w:pPr>
        <w:shd w:val="clear"/>
        <w:ind w:left="2699"/>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（盖章）</w:t>
      </w:r>
    </w:p>
    <w:p w14:paraId="0767C03C">
      <w:pPr>
        <w:shd w:val="clear"/>
        <w:ind w:left="2699"/>
        <w:rPr>
          <w:rFonts w:asciiTheme="minorEastAsia" w:hAnsiTheme="minorEastAsia" w:eastAsiaTheme="minorEastAsia" w:cstheme="minorEastAsia"/>
          <w:color w:val="auto"/>
          <w:highlight w:val="none"/>
        </w:rPr>
      </w:pPr>
    </w:p>
    <w:p w14:paraId="0AB89B33">
      <w:pPr>
        <w:shd w:val="clear"/>
        <w:ind w:left="2699"/>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w:t>
      </w:r>
      <w:r>
        <w:rPr>
          <w:rFonts w:hint="eastAsia" w:asciiTheme="minorEastAsia" w:hAnsiTheme="minorEastAsia" w:eastAsiaTheme="minorEastAsia" w:cstheme="minorEastAsia"/>
          <w:color w:val="auto"/>
          <w:highlight w:val="none"/>
          <w:u w:val="single"/>
        </w:rPr>
        <w:t xml:space="preserve">                       （签字或或电子签章）</w:t>
      </w:r>
    </w:p>
    <w:p w14:paraId="796354F5">
      <w:pPr>
        <w:pStyle w:val="16"/>
        <w:rPr>
          <w:color w:val="auto"/>
          <w:highlight w:val="none"/>
        </w:rPr>
      </w:pPr>
    </w:p>
    <w:p w14:paraId="4CBCD778">
      <w:pPr>
        <w:pStyle w:val="42"/>
        <w:rPr>
          <w:rFonts w:hint="eastAsia"/>
          <w:color w:val="auto"/>
          <w:highlight w:val="none"/>
          <w:lang w:val="en-US" w:eastAsia="zh-CN"/>
        </w:rPr>
      </w:pPr>
    </w:p>
    <w:p w14:paraId="0A462C07">
      <w:pPr>
        <w:pStyle w:val="42"/>
        <w:rPr>
          <w:rFonts w:hint="eastAsia"/>
          <w:color w:val="auto"/>
          <w:highlight w:val="none"/>
          <w:lang w:val="en-US" w:eastAsia="zh-CN"/>
        </w:rPr>
      </w:pPr>
    </w:p>
    <w:p w14:paraId="7FF0759B">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三、农民工工资保障金的交纳与使用承诺书</w:t>
      </w:r>
    </w:p>
    <w:p w14:paraId="38A7DD1A">
      <w:pPr>
        <w:pStyle w:val="7"/>
        <w:shd w:val="clear"/>
        <w:spacing w:line="480" w:lineRule="auto"/>
        <w:ind w:firstLine="400" w:firstLineChars="167"/>
        <w:rPr>
          <w:rFonts w:hint="eastAsia" w:asciiTheme="minorEastAsia" w:hAnsiTheme="minorEastAsia" w:eastAsiaTheme="minorEastAsia" w:cstheme="minorEastAsia"/>
          <w:color w:val="auto"/>
          <w:sz w:val="24"/>
          <w:szCs w:val="24"/>
          <w:highlight w:val="none"/>
        </w:rPr>
      </w:pPr>
    </w:p>
    <w:p w14:paraId="2EB8F67F">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致：</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（采购单位名称）</w:t>
      </w:r>
    </w:p>
    <w:p w14:paraId="138C526C">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如我公司在贵单位的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项目成交，根据广西壮族自治区劳动和社会保障厅、广西壮族自治区建设厅桂劳社发[2009]50号规定，我方在此向采购人承诺： </w:t>
      </w:r>
    </w:p>
    <w:p w14:paraId="4481E0FD">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1、我方保证在</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项目的磋商文件中，如实反映我方以前所承建工程中工资支付的情况，并特别注明至提交磋商文件截止之日止，不存在拖欠或克扣农民工工资的行为。 </w:t>
      </w:r>
    </w:p>
    <w:p w14:paraId="71243A4C">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2、我方参与磋商的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项目，一旦成交，我方保证在收到成交通知书之日起 7个工作日内，及时并足额将农民工工资保证金存入指定帐户，作为本项目农民工工资保证金。 </w:t>
      </w:r>
    </w:p>
    <w:p w14:paraId="75219BF5">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3、如我方在承包</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 项目中出现欠或克扣农民工工资和其它职工工资情况的，由建设行政主管部门从本企业缴纳的农民工工资保证金中先予划支。 </w:t>
      </w:r>
    </w:p>
    <w:p w14:paraId="101EDD46">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4、如我方不按时、足额存入农民工工资保证金，采购人有权取消我方成交资格。 </w:t>
      </w:r>
    </w:p>
    <w:p w14:paraId="24040DF3">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10044D4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5E74711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供应商</w:t>
      </w:r>
      <w:r>
        <w:rPr>
          <w:rFonts w:hint="eastAsia" w:asciiTheme="minorEastAsia" w:hAnsiTheme="minorEastAsia" w:eastAsiaTheme="minorEastAsia" w:cstheme="minorEastAsia"/>
          <w:color w:val="auto"/>
          <w:sz w:val="24"/>
          <w:szCs w:val="24"/>
          <w:highlight w:val="none"/>
        </w:rPr>
        <w:t xml:space="preserve">： （盖章） </w:t>
      </w:r>
    </w:p>
    <w:p w14:paraId="0E9BA04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48BD0DF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法定代表人或其委托代理人： （签字或电子签章） </w:t>
      </w:r>
    </w:p>
    <w:p w14:paraId="15072554">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01678F2D">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日期：</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年</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月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日</w:t>
      </w:r>
    </w:p>
    <w:p w14:paraId="2727123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四、建设工程项目管理承诺书</w:t>
      </w:r>
    </w:p>
    <w:p w14:paraId="5BE7C4E1">
      <w:pPr>
        <w:shd w:val="clear"/>
        <w:spacing w:line="48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5E20B98F">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作为参与</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（工程名称）项目的投标方，根据国家、自治区相关文件规定，我方在此向招标人承诺：</w:t>
      </w:r>
    </w:p>
    <w:p w14:paraId="087BBFD6">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一旦中标，我方保证按照政府相关部门的规定，在发出中标通知书之日起7个工作日内足额将农民工工资保障金转入农民工工资保障金专用账户。一旦我方所承包的该项目中出现拖欠农民工工资情况，由劳动保障、住房城乡建设行政主管部门按照《关于进一步完善建筑行业农民工工资保证金制度的通知》（桂劳社发〔2009〕50号）从我方农民工工资保障金中先予划支。</w:t>
      </w:r>
    </w:p>
    <w:p w14:paraId="191C0762">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一旦中标，我方保证在施工过程中，严格执行《广西壮族自治区建筑工程安全文明施工费使用管理细则》（桂建质〔2015〕16号）的有关规定，确保建设工程各项安全防护、文明施工措施落实到位。如我方在该项目的承包中出现未按桂建质〔2006〕22号文附件一规定执行的情形，我方愿意按照相关规定接受建设单位及有关主管部门的处罚。</w:t>
      </w:r>
    </w:p>
    <w:p w14:paraId="390F7815">
      <w:pPr>
        <w:shd w:val="clear"/>
        <w:spacing w:line="520" w:lineRule="exact"/>
        <w:ind w:left="-2" w:leftChars="-1" w:firstLine="449" w:firstLineChars="214"/>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一旦中标，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6E8F7FB4">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58B4A9CB">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中标，我方保证严格执行《危险性较大的分部分项工程安全管理办法》（建质〔2009〕87号）的规定，强化对深基坑、高切坡、高大模板、人工挖孔桩、起重吊装、临时活动板房等重大危险源的专项施工方案的编制、论证、审批、实施、检测的风险管理。</w:t>
      </w:r>
    </w:p>
    <w:p w14:paraId="768DA1C9">
      <w:pPr>
        <w:shd w:val="clear"/>
        <w:spacing w:line="360" w:lineRule="auto"/>
        <w:ind w:firstLine="4410" w:firstLineChars="2100"/>
        <w:jc w:val="left"/>
        <w:rPr>
          <w:rFonts w:hint="eastAsia" w:asciiTheme="minorEastAsia" w:hAnsiTheme="minorEastAsia" w:eastAsiaTheme="minorEastAsia" w:cstheme="minorEastAsia"/>
          <w:color w:val="auto"/>
          <w:highlight w:val="none"/>
        </w:rPr>
      </w:pPr>
    </w:p>
    <w:p w14:paraId="3E18DDB1">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（盖单位章）</w:t>
      </w:r>
    </w:p>
    <w:p w14:paraId="51E12835">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法定代表人或授权代理人：</w:t>
      </w:r>
      <w:r>
        <w:rPr>
          <w:rFonts w:hint="eastAsia" w:asciiTheme="minorEastAsia" w:hAnsiTheme="minorEastAsia" w:eastAsiaTheme="minorEastAsia" w:cstheme="minorEastAsia"/>
          <w:color w:val="auto"/>
          <w:highlight w:val="none"/>
          <w:u w:val="single"/>
        </w:rPr>
        <w:t xml:space="preserve">              （签字或电子签章）</w:t>
      </w:r>
    </w:p>
    <w:p w14:paraId="7C30A083">
      <w:pPr>
        <w:pStyle w:val="18"/>
        <w:rPr>
          <w:rFonts w:hint="eastAsia"/>
          <w:color w:val="auto"/>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日期：</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color w:val="auto"/>
          <w:highlight w:val="none"/>
        </w:rPr>
        <w:br w:type="page"/>
      </w:r>
    </w:p>
    <w:p w14:paraId="37D44F2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五、供应商认为需要提供的其他有关资料</w:t>
      </w:r>
    </w:p>
    <w:p w14:paraId="472AD89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438C81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F5B11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D038606">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CD7E9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F11F8C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30B56D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52DE2B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CBB874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094A34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E71F89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023521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B9203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FB826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ACCA47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20B15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3B3D2B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CD20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A2F6CF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387859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5CF7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775CF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B50302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20BBDD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3C75CB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F6C4F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4EAA5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7553F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4B5E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9098A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85E957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45BE563">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730812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549EBA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六、施工组织设计</w:t>
      </w:r>
    </w:p>
    <w:p w14:paraId="1130DA6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2E49487E">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2．施工组织设计除采用文字表述外可附下列图表，图表及格式要求附后。</w:t>
      </w:r>
    </w:p>
    <w:p w14:paraId="1EBD37E0">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  拟投入本工程的主要施工设备表</w:t>
      </w:r>
    </w:p>
    <w:p w14:paraId="787A7103">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  拟配备本工程的试验和检测仪器设备表</w:t>
      </w:r>
    </w:p>
    <w:p w14:paraId="41ADAF64">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  劳动力计划表</w:t>
      </w:r>
    </w:p>
    <w:p w14:paraId="2BE147E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  计划开、竣工日期和施工进度网络图</w:t>
      </w:r>
    </w:p>
    <w:p w14:paraId="12C4D23B">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  施工总平面图</w:t>
      </w:r>
    </w:p>
    <w:p w14:paraId="350BE4D7">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  临时用地表</w:t>
      </w:r>
    </w:p>
    <w:p w14:paraId="1E355EA3">
      <w:pPr>
        <w:shd w:val="clear"/>
        <w:spacing w:line="460" w:lineRule="exact"/>
        <w:ind w:firstLine="420" w:firstLineChars="200"/>
        <w:rPr>
          <w:rFonts w:asciiTheme="minorEastAsia" w:hAnsiTheme="minorEastAsia" w:eastAsiaTheme="minorEastAsia" w:cstheme="minorEastAsia"/>
          <w:color w:val="auto"/>
          <w:highlight w:val="none"/>
        </w:rPr>
      </w:pPr>
    </w:p>
    <w:p w14:paraId="3E1295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附表一：拟投入本工程的主要施工设备表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0F01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tcBorders>
              <w:top w:val="single" w:color="auto" w:sz="4" w:space="0"/>
              <w:left w:val="single" w:color="auto" w:sz="4" w:space="0"/>
              <w:bottom w:val="single" w:color="auto" w:sz="4" w:space="0"/>
              <w:right w:val="single" w:color="auto" w:sz="4" w:space="0"/>
            </w:tcBorders>
            <w:vAlign w:val="center"/>
          </w:tcPr>
          <w:p w14:paraId="41BA521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6D94D17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09E571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C7E0F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F31B5A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ADBE2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55F57E8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851" w:type="dxa"/>
            <w:tcBorders>
              <w:top w:val="single" w:color="auto" w:sz="4" w:space="0"/>
              <w:left w:val="single" w:color="auto" w:sz="4" w:space="0"/>
              <w:bottom w:val="single" w:color="auto" w:sz="4" w:space="0"/>
              <w:right w:val="single" w:color="auto" w:sz="4" w:space="0"/>
            </w:tcBorders>
            <w:vAlign w:val="center"/>
          </w:tcPr>
          <w:p w14:paraId="473DE96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w:t>
            </w:r>
          </w:p>
          <w:p w14:paraId="716986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年份</w:t>
            </w:r>
          </w:p>
        </w:tc>
        <w:tc>
          <w:tcPr>
            <w:tcW w:w="1134" w:type="dxa"/>
            <w:tcBorders>
              <w:top w:val="single" w:color="auto" w:sz="4" w:space="0"/>
              <w:left w:val="single" w:color="auto" w:sz="4" w:space="0"/>
              <w:bottom w:val="single" w:color="auto" w:sz="4" w:space="0"/>
              <w:right w:val="single" w:color="auto" w:sz="4" w:space="0"/>
            </w:tcBorders>
            <w:vAlign w:val="center"/>
          </w:tcPr>
          <w:p w14:paraId="5FCAE7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额定功率</w:t>
            </w:r>
          </w:p>
          <w:p w14:paraId="730B8AE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（KW）</w:t>
            </w:r>
          </w:p>
        </w:tc>
        <w:tc>
          <w:tcPr>
            <w:tcW w:w="992" w:type="dxa"/>
            <w:tcBorders>
              <w:top w:val="single" w:color="auto" w:sz="4" w:space="0"/>
              <w:left w:val="single" w:color="auto" w:sz="4" w:space="0"/>
              <w:bottom w:val="single" w:color="auto" w:sz="4" w:space="0"/>
              <w:right w:val="single" w:color="auto" w:sz="4" w:space="0"/>
            </w:tcBorders>
            <w:vAlign w:val="center"/>
          </w:tcPr>
          <w:p w14:paraId="012F811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生产</w:t>
            </w:r>
          </w:p>
          <w:p w14:paraId="4BD8995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能力</w:t>
            </w:r>
          </w:p>
        </w:tc>
        <w:tc>
          <w:tcPr>
            <w:tcW w:w="1134" w:type="dxa"/>
            <w:tcBorders>
              <w:top w:val="single" w:color="auto" w:sz="4" w:space="0"/>
              <w:left w:val="single" w:color="auto" w:sz="4" w:space="0"/>
              <w:bottom w:val="single" w:color="auto" w:sz="4" w:space="0"/>
              <w:right w:val="single" w:color="auto" w:sz="4" w:space="0"/>
            </w:tcBorders>
            <w:vAlign w:val="center"/>
          </w:tcPr>
          <w:p w14:paraId="635DDE9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用于施</w:t>
            </w:r>
          </w:p>
          <w:p w14:paraId="0B6999D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工部位</w:t>
            </w:r>
          </w:p>
        </w:tc>
        <w:tc>
          <w:tcPr>
            <w:tcW w:w="992" w:type="dxa"/>
            <w:tcBorders>
              <w:top w:val="single" w:color="auto" w:sz="4" w:space="0"/>
              <w:left w:val="single" w:color="auto" w:sz="4" w:space="0"/>
              <w:bottom w:val="single" w:color="auto" w:sz="4" w:space="0"/>
              <w:right w:val="single" w:color="auto" w:sz="4" w:space="0"/>
            </w:tcBorders>
            <w:vAlign w:val="center"/>
          </w:tcPr>
          <w:p w14:paraId="1139329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0204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1B77729F">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60D55E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07C3122E">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04150F3">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1B819071">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1D650A0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CB54AE2">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2D64AC4">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892DAFF">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3523CFD7">
            <w:pPr>
              <w:shd w:val="clear"/>
              <w:spacing w:line="360" w:lineRule="auto"/>
              <w:rPr>
                <w:rFonts w:asciiTheme="minorEastAsia" w:hAnsiTheme="minorEastAsia" w:eastAsiaTheme="minorEastAsia" w:cstheme="minorEastAsia"/>
                <w:color w:val="auto"/>
                <w:highlight w:val="none"/>
              </w:rPr>
            </w:pPr>
          </w:p>
        </w:tc>
      </w:tr>
      <w:tr w14:paraId="514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6696A03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26A93552">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573A52C">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2EAB3884">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52F7F9B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AE340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1A317907">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BB88B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62E33C0">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8C0F3E9">
            <w:pPr>
              <w:shd w:val="clear"/>
              <w:spacing w:line="360" w:lineRule="auto"/>
              <w:rPr>
                <w:rFonts w:asciiTheme="minorEastAsia" w:hAnsiTheme="minorEastAsia" w:eastAsiaTheme="minorEastAsia" w:cstheme="minorEastAsia"/>
                <w:color w:val="auto"/>
                <w:highlight w:val="none"/>
              </w:rPr>
            </w:pPr>
          </w:p>
        </w:tc>
      </w:tr>
      <w:tr w14:paraId="2ECF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54967824">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125365F">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4495844">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0B08AC25">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A2A4593">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DFFE63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A708534">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FF6944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E52A81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E4ABD06">
            <w:pPr>
              <w:shd w:val="clear"/>
              <w:spacing w:line="360" w:lineRule="auto"/>
              <w:rPr>
                <w:rFonts w:asciiTheme="minorEastAsia" w:hAnsiTheme="minorEastAsia" w:eastAsiaTheme="minorEastAsia" w:cstheme="minorEastAsia"/>
                <w:color w:val="auto"/>
                <w:highlight w:val="none"/>
              </w:rPr>
            </w:pPr>
          </w:p>
        </w:tc>
      </w:tr>
      <w:tr w14:paraId="26AE9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760020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04C4075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40C8C05">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B0DA5CB">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4905EE4C">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05349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49502C9">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F8836F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96665EC">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A7DA2E4">
            <w:pPr>
              <w:shd w:val="clear"/>
              <w:spacing w:line="360" w:lineRule="auto"/>
              <w:rPr>
                <w:rFonts w:asciiTheme="minorEastAsia" w:hAnsiTheme="minorEastAsia" w:eastAsiaTheme="minorEastAsia" w:cstheme="minorEastAsia"/>
                <w:color w:val="auto"/>
                <w:highlight w:val="none"/>
              </w:rPr>
            </w:pPr>
          </w:p>
        </w:tc>
      </w:tr>
      <w:tr w14:paraId="5FFD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09B054A">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6CF63454">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FA019A1">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19437780">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23BB82B">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7865F9C">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26A0421">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04A5983">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40D3498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E69278">
            <w:pPr>
              <w:shd w:val="clear"/>
              <w:spacing w:line="360" w:lineRule="auto"/>
              <w:rPr>
                <w:rFonts w:asciiTheme="minorEastAsia" w:hAnsiTheme="minorEastAsia" w:eastAsiaTheme="minorEastAsia" w:cstheme="minorEastAsia"/>
                <w:color w:val="auto"/>
                <w:highlight w:val="none"/>
              </w:rPr>
            </w:pPr>
          </w:p>
        </w:tc>
      </w:tr>
    </w:tbl>
    <w:p w14:paraId="524641A0">
      <w:pPr>
        <w:shd w:val="clear"/>
        <w:rPr>
          <w:rFonts w:asciiTheme="minorEastAsia" w:hAnsiTheme="minorEastAsia" w:eastAsiaTheme="minorEastAsia" w:cstheme="minorEastAsia"/>
          <w:color w:val="auto"/>
          <w:highlight w:val="none"/>
        </w:rPr>
      </w:pPr>
    </w:p>
    <w:p w14:paraId="15A44297">
      <w:pPr>
        <w:shd w:val="clear"/>
        <w:rPr>
          <w:rFonts w:asciiTheme="minorEastAsia" w:hAnsiTheme="minorEastAsia" w:eastAsiaTheme="minorEastAsia" w:cstheme="minorEastAsia"/>
          <w:color w:val="auto"/>
          <w:highlight w:val="none"/>
        </w:rPr>
      </w:pPr>
    </w:p>
    <w:p w14:paraId="7C51BB6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附表二：拟配备本工程的试验和检测仪器设备表</w:t>
      </w:r>
    </w:p>
    <w:tbl>
      <w:tblPr>
        <w:tblStyle w:val="4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EF7D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58650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087A1FC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仪器设备名称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43E4836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337F89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DD1C52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BA32A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002FCBF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1134" w:type="dxa"/>
            <w:tcBorders>
              <w:top w:val="single" w:color="auto" w:sz="4" w:space="0"/>
              <w:left w:val="single" w:color="auto" w:sz="4" w:space="0"/>
              <w:bottom w:val="single" w:color="auto" w:sz="4" w:space="0"/>
              <w:right w:val="single" w:color="auto" w:sz="4" w:space="0"/>
            </w:tcBorders>
            <w:vAlign w:val="center"/>
          </w:tcPr>
          <w:p w14:paraId="060D115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制造年份</w:t>
            </w:r>
          </w:p>
        </w:tc>
        <w:tc>
          <w:tcPr>
            <w:tcW w:w="1276" w:type="dxa"/>
            <w:tcBorders>
              <w:top w:val="single" w:color="auto" w:sz="4" w:space="0"/>
              <w:left w:val="single" w:color="auto" w:sz="4" w:space="0"/>
              <w:bottom w:val="single" w:color="auto" w:sz="4" w:space="0"/>
              <w:right w:val="single" w:color="auto" w:sz="4" w:space="0"/>
            </w:tcBorders>
            <w:vAlign w:val="center"/>
          </w:tcPr>
          <w:p w14:paraId="7B68FD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已使用</w:t>
            </w:r>
          </w:p>
          <w:p w14:paraId="3DDA9BE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台时数</w:t>
            </w:r>
          </w:p>
        </w:tc>
        <w:tc>
          <w:tcPr>
            <w:tcW w:w="1134" w:type="dxa"/>
            <w:tcBorders>
              <w:top w:val="single" w:color="auto" w:sz="4" w:space="0"/>
              <w:left w:val="single" w:color="auto" w:sz="4" w:space="0"/>
              <w:bottom w:val="single" w:color="auto" w:sz="4" w:space="0"/>
              <w:right w:val="single" w:color="auto" w:sz="4" w:space="0"/>
            </w:tcBorders>
            <w:vAlign w:val="center"/>
          </w:tcPr>
          <w:p w14:paraId="556B7A7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1559" w:type="dxa"/>
            <w:tcBorders>
              <w:top w:val="single" w:color="auto" w:sz="4" w:space="0"/>
              <w:left w:val="single" w:color="auto" w:sz="4" w:space="0"/>
              <w:bottom w:val="single" w:color="auto" w:sz="4" w:space="0"/>
              <w:right w:val="single" w:color="auto" w:sz="4" w:space="0"/>
            </w:tcBorders>
            <w:vAlign w:val="center"/>
          </w:tcPr>
          <w:p w14:paraId="5A055BB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5DE14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3C11A3D3">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017E8652">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4908278A">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2045001E">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61F50CA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79EAF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DC5CF8D">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11D8D6E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E34776E">
            <w:pPr>
              <w:shd w:val="clear"/>
              <w:spacing w:line="360" w:lineRule="auto"/>
              <w:ind w:firstLine="420" w:firstLineChars="200"/>
              <w:rPr>
                <w:rFonts w:asciiTheme="minorEastAsia" w:hAnsiTheme="minorEastAsia" w:eastAsiaTheme="minorEastAsia" w:cstheme="minorEastAsia"/>
                <w:color w:val="auto"/>
                <w:highlight w:val="none"/>
              </w:rPr>
            </w:pPr>
          </w:p>
        </w:tc>
      </w:tr>
      <w:tr w14:paraId="0A7C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5791C84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0E02240">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3690FDD1">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4027C72F">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316DEDA6">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9B88ACC">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06DB26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692D8AB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B6CAC7E">
            <w:pPr>
              <w:shd w:val="clear"/>
              <w:spacing w:line="360" w:lineRule="auto"/>
              <w:ind w:firstLine="420" w:firstLineChars="200"/>
              <w:rPr>
                <w:rFonts w:asciiTheme="minorEastAsia" w:hAnsiTheme="minorEastAsia" w:eastAsiaTheme="minorEastAsia" w:cstheme="minorEastAsia"/>
                <w:color w:val="auto"/>
                <w:highlight w:val="none"/>
              </w:rPr>
            </w:pPr>
          </w:p>
        </w:tc>
      </w:tr>
      <w:tr w14:paraId="7718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76FCBA26">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F948E1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2B84D1CE">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67866560">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0B8F229">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5E353C6D">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4F03D3E">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00F23D0">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6052D70">
            <w:pPr>
              <w:shd w:val="clear"/>
              <w:spacing w:line="360" w:lineRule="auto"/>
              <w:ind w:firstLine="420" w:firstLineChars="200"/>
              <w:rPr>
                <w:rFonts w:asciiTheme="minorEastAsia" w:hAnsiTheme="minorEastAsia" w:eastAsiaTheme="minorEastAsia" w:cstheme="minorEastAsia"/>
                <w:color w:val="auto"/>
                <w:highlight w:val="none"/>
              </w:rPr>
            </w:pPr>
          </w:p>
        </w:tc>
      </w:tr>
      <w:tr w14:paraId="36EF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6BB66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E89799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6C6C51C4">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5B39EFB3">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B897A0C">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452FA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2547652">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03682218">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5F66F70">
            <w:pPr>
              <w:shd w:val="clear"/>
              <w:spacing w:line="360" w:lineRule="auto"/>
              <w:ind w:firstLine="420" w:firstLineChars="200"/>
              <w:rPr>
                <w:rFonts w:asciiTheme="minorEastAsia" w:hAnsiTheme="minorEastAsia" w:eastAsiaTheme="minorEastAsia" w:cstheme="minorEastAsia"/>
                <w:color w:val="auto"/>
                <w:highlight w:val="none"/>
              </w:rPr>
            </w:pPr>
          </w:p>
        </w:tc>
      </w:tr>
    </w:tbl>
    <w:p w14:paraId="39F3DAE6">
      <w:pPr>
        <w:shd w:val="clear"/>
        <w:rPr>
          <w:rFonts w:hint="eastAsia" w:asciiTheme="minorEastAsia" w:hAnsiTheme="minorEastAsia" w:eastAsiaTheme="minorEastAsia" w:cstheme="minorEastAsia"/>
          <w:color w:val="auto"/>
          <w:highlight w:val="none"/>
        </w:rPr>
      </w:pPr>
    </w:p>
    <w:p w14:paraId="425578B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附表三：劳动力计划表</w:t>
      </w:r>
    </w:p>
    <w:p w14:paraId="7B41830A">
      <w:pPr>
        <w:shd w:val="clear"/>
        <w:ind w:firstLine="7245" w:firstLineChars="34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单位：人</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586F0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87B338D">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工种</w:t>
            </w:r>
          </w:p>
        </w:tc>
        <w:tc>
          <w:tcPr>
            <w:tcW w:w="8506" w:type="dxa"/>
            <w:gridSpan w:val="7"/>
            <w:tcBorders>
              <w:top w:val="single" w:color="auto" w:sz="4" w:space="0"/>
              <w:left w:val="single" w:color="auto" w:sz="4" w:space="0"/>
              <w:bottom w:val="single" w:color="auto" w:sz="4" w:space="0"/>
              <w:right w:val="single" w:color="auto" w:sz="4" w:space="0"/>
            </w:tcBorders>
            <w:vAlign w:val="center"/>
          </w:tcPr>
          <w:p w14:paraId="4B537407">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按工程施工阶段投入劳动力情况</w:t>
            </w:r>
          </w:p>
        </w:tc>
      </w:tr>
      <w:tr w14:paraId="0DA0D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3042682">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44FEE3A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E9B0D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AA112A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54141CF">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D0C253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7E6163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1ED8AC0">
            <w:pPr>
              <w:shd w:val="clear"/>
              <w:spacing w:line="360" w:lineRule="auto"/>
              <w:jc w:val="center"/>
              <w:rPr>
                <w:rFonts w:asciiTheme="minorEastAsia" w:hAnsiTheme="minorEastAsia" w:eastAsiaTheme="minorEastAsia" w:cstheme="minorEastAsia"/>
                <w:color w:val="auto"/>
                <w:highlight w:val="none"/>
              </w:rPr>
            </w:pPr>
          </w:p>
        </w:tc>
      </w:tr>
      <w:tr w14:paraId="13E8B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634CA93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9EFEAF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37FE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33993C2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E13B76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FFD7FC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A0008A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28BCD19">
            <w:pPr>
              <w:shd w:val="clear"/>
              <w:spacing w:line="360" w:lineRule="auto"/>
              <w:jc w:val="center"/>
              <w:rPr>
                <w:rFonts w:asciiTheme="minorEastAsia" w:hAnsiTheme="minorEastAsia" w:eastAsiaTheme="minorEastAsia" w:cstheme="minorEastAsia"/>
                <w:color w:val="auto"/>
                <w:highlight w:val="none"/>
              </w:rPr>
            </w:pPr>
          </w:p>
        </w:tc>
      </w:tr>
      <w:tr w14:paraId="3A69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0C3A718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61A248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6790A49">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15AD7D8">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9F83CB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0EA036A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D49FD1">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E4349F1">
            <w:pPr>
              <w:shd w:val="clear"/>
              <w:spacing w:line="360" w:lineRule="auto"/>
              <w:jc w:val="center"/>
              <w:rPr>
                <w:rFonts w:asciiTheme="minorEastAsia" w:hAnsiTheme="minorEastAsia" w:eastAsiaTheme="minorEastAsia" w:cstheme="minorEastAsia"/>
                <w:color w:val="auto"/>
                <w:highlight w:val="none"/>
              </w:rPr>
            </w:pPr>
          </w:p>
        </w:tc>
      </w:tr>
      <w:tr w14:paraId="6C5F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1EF14675">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7D1B24B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F81C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8A9230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8108E2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43BA653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BEA6F3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0A03D1">
            <w:pPr>
              <w:shd w:val="clear"/>
              <w:spacing w:line="360" w:lineRule="auto"/>
              <w:jc w:val="center"/>
              <w:rPr>
                <w:rFonts w:asciiTheme="minorEastAsia" w:hAnsiTheme="minorEastAsia" w:eastAsiaTheme="minorEastAsia" w:cstheme="minorEastAsia"/>
                <w:color w:val="auto"/>
                <w:highlight w:val="none"/>
              </w:rPr>
            </w:pPr>
          </w:p>
        </w:tc>
      </w:tr>
      <w:tr w14:paraId="0A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61BC3F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05A8325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69C844E">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D2216A">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7BEE9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82BAF9F">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DC6FA2">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41506EC">
            <w:pPr>
              <w:shd w:val="clear"/>
              <w:spacing w:line="360" w:lineRule="auto"/>
              <w:jc w:val="center"/>
              <w:rPr>
                <w:rFonts w:asciiTheme="minorEastAsia" w:hAnsiTheme="minorEastAsia" w:eastAsiaTheme="minorEastAsia" w:cstheme="minorEastAsia"/>
                <w:color w:val="auto"/>
                <w:highlight w:val="none"/>
              </w:rPr>
            </w:pPr>
          </w:p>
        </w:tc>
      </w:tr>
      <w:tr w14:paraId="451B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26F2D89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BCF959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BF80C78">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CC9C55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74DFB93">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429411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F6593E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EDF5839">
            <w:pPr>
              <w:shd w:val="clear"/>
              <w:spacing w:line="360" w:lineRule="auto"/>
              <w:jc w:val="center"/>
              <w:rPr>
                <w:rFonts w:asciiTheme="minorEastAsia" w:hAnsiTheme="minorEastAsia" w:eastAsiaTheme="minorEastAsia" w:cstheme="minorEastAsia"/>
                <w:color w:val="auto"/>
                <w:highlight w:val="none"/>
              </w:rPr>
            </w:pPr>
          </w:p>
        </w:tc>
      </w:tr>
      <w:tr w14:paraId="27B86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DA29CB1">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EE90E4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FF6AD30">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34CD34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9D48B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099437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35471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87C1A9D">
            <w:pPr>
              <w:shd w:val="clear"/>
              <w:spacing w:line="360" w:lineRule="auto"/>
              <w:jc w:val="center"/>
              <w:rPr>
                <w:rFonts w:asciiTheme="minorEastAsia" w:hAnsiTheme="minorEastAsia" w:eastAsiaTheme="minorEastAsia" w:cstheme="minorEastAsia"/>
                <w:color w:val="auto"/>
                <w:highlight w:val="none"/>
              </w:rPr>
            </w:pPr>
          </w:p>
        </w:tc>
      </w:tr>
    </w:tbl>
    <w:p w14:paraId="775E6E26">
      <w:pPr>
        <w:shd w:val="clear"/>
        <w:rPr>
          <w:rFonts w:asciiTheme="minorEastAsia" w:hAnsiTheme="minorEastAsia" w:eastAsiaTheme="minorEastAsia" w:cstheme="minorEastAsia"/>
          <w:color w:val="auto"/>
          <w:highlight w:val="none"/>
        </w:rPr>
      </w:pPr>
    </w:p>
    <w:p w14:paraId="1227F33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附表四：计划开、竣工日期和施工进度计划（网络图或横道图）</w:t>
      </w:r>
    </w:p>
    <w:p w14:paraId="45731D1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应提交施工进度计划，说明按招标文件要求的工期进行施工的各个关键日期。中标的投标人还应按合同条件有关条款的要求提交详细的施工进度计划。</w:t>
      </w:r>
    </w:p>
    <w:p w14:paraId="7E0D8AE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施工进度计划可采用网络图（或横道图）表示，说明计划开工日期和各分项工程各阶段的完工日期和分包合同签订的日期。</w:t>
      </w:r>
    </w:p>
    <w:p w14:paraId="05FBBE6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施工进度计划应与施工组织设计相适应。</w:t>
      </w:r>
    </w:p>
    <w:p w14:paraId="73CDCBFB">
      <w:pPr>
        <w:shd w:val="clear"/>
        <w:spacing w:line="360" w:lineRule="auto"/>
        <w:ind w:left="-6" w:firstLine="420"/>
        <w:rPr>
          <w:rFonts w:asciiTheme="minorEastAsia" w:hAnsiTheme="minorEastAsia" w:eastAsiaTheme="minorEastAsia" w:cstheme="minorEastAsia"/>
          <w:color w:val="auto"/>
          <w:highlight w:val="none"/>
        </w:rPr>
      </w:pPr>
    </w:p>
    <w:p w14:paraId="191004A6">
      <w:pPr>
        <w:shd w:val="clear"/>
        <w:rPr>
          <w:rFonts w:asciiTheme="minorEastAsia" w:hAnsiTheme="minorEastAsia" w:eastAsiaTheme="minorEastAsia" w:cstheme="minorEastAsia"/>
          <w:color w:val="auto"/>
          <w:highlight w:val="none"/>
        </w:rPr>
      </w:pPr>
    </w:p>
    <w:p w14:paraId="44162CA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附表五：施工总平面图</w:t>
      </w:r>
    </w:p>
    <w:p w14:paraId="07591AF7">
      <w:pPr>
        <w:pStyle w:val="5"/>
        <w:shd w:val="clear"/>
        <w:outlineLvl w:val="9"/>
        <w:rPr>
          <w:color w:val="auto"/>
          <w:highlight w:val="none"/>
        </w:rPr>
      </w:pPr>
    </w:p>
    <w:p w14:paraId="10117E26">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投标人应递交一份施工总平面图，绘出现场临时设施布置图表并附文字说明，说明临时设施、加工车间、现场办公、设备及仓储、供电、供水、卫生、生活、道路、消防等设施的情况和布置。</w:t>
      </w:r>
    </w:p>
    <w:p w14:paraId="6CDC149C">
      <w:pPr>
        <w:shd w:val="clear"/>
        <w:rPr>
          <w:rFonts w:asciiTheme="minorEastAsia" w:hAnsiTheme="minorEastAsia" w:eastAsiaTheme="minorEastAsia" w:cstheme="minorEastAsia"/>
          <w:color w:val="auto"/>
          <w:highlight w:val="none"/>
        </w:rPr>
      </w:pPr>
    </w:p>
    <w:p w14:paraId="224DE37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附表六：临时用地表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159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tcBorders>
              <w:top w:val="single" w:color="auto" w:sz="4" w:space="0"/>
              <w:left w:val="single" w:color="auto" w:sz="4" w:space="0"/>
              <w:bottom w:val="single" w:color="auto" w:sz="4" w:space="0"/>
              <w:right w:val="single" w:color="auto" w:sz="4" w:space="0"/>
            </w:tcBorders>
            <w:vAlign w:val="center"/>
          </w:tcPr>
          <w:p w14:paraId="61846F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2357" w:type="dxa"/>
            <w:tcBorders>
              <w:top w:val="single" w:color="auto" w:sz="4" w:space="0"/>
              <w:left w:val="single" w:color="auto" w:sz="4" w:space="0"/>
              <w:bottom w:val="single" w:color="auto" w:sz="4" w:space="0"/>
              <w:right w:val="single" w:color="auto" w:sz="4" w:space="0"/>
            </w:tcBorders>
            <w:vAlign w:val="center"/>
          </w:tcPr>
          <w:p w14:paraId="55C3B3D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面积（平方米）</w:t>
            </w:r>
          </w:p>
        </w:tc>
        <w:tc>
          <w:tcPr>
            <w:tcW w:w="2356" w:type="dxa"/>
            <w:tcBorders>
              <w:top w:val="single" w:color="auto" w:sz="4" w:space="0"/>
              <w:left w:val="single" w:color="auto" w:sz="4" w:space="0"/>
              <w:bottom w:val="single" w:color="auto" w:sz="4" w:space="0"/>
              <w:right w:val="single" w:color="auto" w:sz="4" w:space="0"/>
            </w:tcBorders>
            <w:vAlign w:val="center"/>
          </w:tcPr>
          <w:p w14:paraId="22A683C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位置</w:t>
            </w:r>
          </w:p>
        </w:tc>
        <w:tc>
          <w:tcPr>
            <w:tcW w:w="2357" w:type="dxa"/>
            <w:tcBorders>
              <w:top w:val="single" w:color="auto" w:sz="4" w:space="0"/>
              <w:left w:val="single" w:color="auto" w:sz="4" w:space="0"/>
              <w:bottom w:val="single" w:color="auto" w:sz="4" w:space="0"/>
              <w:right w:val="single" w:color="auto" w:sz="4" w:space="0"/>
            </w:tcBorders>
            <w:vAlign w:val="center"/>
          </w:tcPr>
          <w:p w14:paraId="60499BF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需用时间</w:t>
            </w:r>
          </w:p>
        </w:tc>
      </w:tr>
      <w:tr w14:paraId="6784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4E4E5854">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BE26C76">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0D01C9C2">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743F601">
            <w:pPr>
              <w:shd w:val="clear"/>
              <w:rPr>
                <w:rFonts w:asciiTheme="minorEastAsia" w:hAnsiTheme="minorEastAsia" w:eastAsiaTheme="minorEastAsia" w:cstheme="minorEastAsia"/>
                <w:color w:val="auto"/>
                <w:highlight w:val="none"/>
              </w:rPr>
            </w:pPr>
          </w:p>
        </w:tc>
      </w:tr>
      <w:tr w14:paraId="2AC2C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390496F5">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04576508">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4E756660">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5819314">
            <w:pPr>
              <w:shd w:val="clear"/>
              <w:rPr>
                <w:rFonts w:asciiTheme="minorEastAsia" w:hAnsiTheme="minorEastAsia" w:eastAsiaTheme="minorEastAsia" w:cstheme="minorEastAsia"/>
                <w:color w:val="auto"/>
                <w:highlight w:val="none"/>
              </w:rPr>
            </w:pPr>
          </w:p>
        </w:tc>
      </w:tr>
      <w:tr w14:paraId="7BF2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Borders>
              <w:top w:val="single" w:color="auto" w:sz="4" w:space="0"/>
              <w:left w:val="single" w:color="auto" w:sz="4" w:space="0"/>
              <w:bottom w:val="single" w:color="auto" w:sz="4" w:space="0"/>
              <w:right w:val="single" w:color="auto" w:sz="4" w:space="0"/>
            </w:tcBorders>
          </w:tcPr>
          <w:p w14:paraId="41234BBD">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3A774E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741C8E83">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C3D9B8F">
            <w:pPr>
              <w:shd w:val="clear"/>
              <w:rPr>
                <w:rFonts w:asciiTheme="minorEastAsia" w:hAnsiTheme="minorEastAsia" w:eastAsiaTheme="minorEastAsia" w:cstheme="minorEastAsia"/>
                <w:color w:val="auto"/>
                <w:highlight w:val="none"/>
              </w:rPr>
            </w:pPr>
          </w:p>
        </w:tc>
      </w:tr>
      <w:tr w14:paraId="0F35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78A7EA97">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971284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5129D3AB">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7EB80DED">
            <w:pPr>
              <w:shd w:val="clear"/>
              <w:rPr>
                <w:rFonts w:asciiTheme="minorEastAsia" w:hAnsiTheme="minorEastAsia" w:eastAsiaTheme="minorEastAsia" w:cstheme="minorEastAsia"/>
                <w:color w:val="auto"/>
                <w:highlight w:val="none"/>
              </w:rPr>
            </w:pPr>
          </w:p>
        </w:tc>
      </w:tr>
    </w:tbl>
    <w:p w14:paraId="4C08450D">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七、项目管理机构</w:t>
      </w:r>
    </w:p>
    <w:p w14:paraId="19DC0C5B">
      <w:pPr>
        <w:pStyle w:val="59"/>
        <w:rPr>
          <w:rFonts w:hint="eastAsia"/>
          <w:color w:val="auto"/>
          <w:highlight w:val="none"/>
          <w:lang w:val="en-US" w:eastAsia="zh-CN"/>
        </w:rPr>
      </w:pPr>
    </w:p>
    <w:p w14:paraId="7B0B715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1、项目管理机构配备情况表</w:t>
      </w:r>
    </w:p>
    <w:p w14:paraId="4825F9FF">
      <w:pPr>
        <w:pStyle w:val="163"/>
        <w:shd w:val="clear"/>
        <w:rPr>
          <w:rFonts w:hint="eastAsia" w:asciiTheme="minorEastAsia" w:hAnsiTheme="minorEastAsia" w:eastAsiaTheme="minorEastAsia" w:cstheme="minorEastAsia"/>
          <w:color w:val="auto"/>
          <w:highlight w:val="none"/>
          <w:u w:val="single"/>
        </w:rPr>
      </w:pPr>
    </w:p>
    <w:p w14:paraId="4A132416">
      <w:pPr>
        <w:pStyle w:val="163"/>
        <w:shd w:val="clear"/>
        <w:rPr>
          <w:rFonts w:hint="eastAsia" w:asciiTheme="minorEastAsia" w:hAnsiTheme="minorEastAsia" w:eastAsiaTheme="minorEastAsia" w:cstheme="minorEastAsia"/>
          <w:color w:val="auto"/>
          <w:highlight w:val="none"/>
          <w:u w:val="single"/>
        </w:rPr>
      </w:pPr>
    </w:p>
    <w:p w14:paraId="2F9298F2">
      <w:pPr>
        <w:pStyle w:val="163"/>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 </w:t>
      </w:r>
    </w:p>
    <w:tbl>
      <w:tblPr>
        <w:tblStyle w:val="43"/>
        <w:tblW w:w="9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829"/>
        <w:gridCol w:w="816"/>
        <w:gridCol w:w="1148"/>
        <w:gridCol w:w="1148"/>
        <w:gridCol w:w="1148"/>
        <w:gridCol w:w="1148"/>
        <w:gridCol w:w="850"/>
        <w:gridCol w:w="1276"/>
      </w:tblGrid>
      <w:tr w14:paraId="60B6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1371" w:type="dxa"/>
            <w:vMerge w:val="restart"/>
            <w:vAlign w:val="center"/>
          </w:tcPr>
          <w:p w14:paraId="15CCCAA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岗位</w:t>
            </w:r>
          </w:p>
        </w:tc>
        <w:tc>
          <w:tcPr>
            <w:tcW w:w="829" w:type="dxa"/>
            <w:vMerge w:val="restart"/>
            <w:vAlign w:val="center"/>
          </w:tcPr>
          <w:p w14:paraId="0FE799E7">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816" w:type="dxa"/>
            <w:vMerge w:val="restart"/>
            <w:vAlign w:val="center"/>
          </w:tcPr>
          <w:p w14:paraId="4913DE5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4592" w:type="dxa"/>
            <w:gridSpan w:val="4"/>
            <w:vAlign w:val="center"/>
          </w:tcPr>
          <w:p w14:paraId="03A6ABB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执业或职业资格证明</w:t>
            </w:r>
          </w:p>
        </w:tc>
        <w:tc>
          <w:tcPr>
            <w:tcW w:w="2126" w:type="dxa"/>
            <w:gridSpan w:val="2"/>
            <w:vAlign w:val="center"/>
          </w:tcPr>
          <w:p w14:paraId="6AD12B7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承担完工工程情况</w:t>
            </w:r>
          </w:p>
        </w:tc>
      </w:tr>
      <w:tr w14:paraId="14E0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1371" w:type="dxa"/>
            <w:vMerge w:val="continue"/>
            <w:vAlign w:val="center"/>
          </w:tcPr>
          <w:p w14:paraId="2DED6F2F">
            <w:pPr>
              <w:shd w:val="clear"/>
              <w:ind w:left="223" w:hanging="222" w:hangingChars="106"/>
              <w:jc w:val="center"/>
              <w:rPr>
                <w:rFonts w:asciiTheme="minorEastAsia" w:hAnsiTheme="minorEastAsia" w:eastAsiaTheme="minorEastAsia" w:cstheme="minorEastAsia"/>
                <w:color w:val="auto"/>
                <w:highlight w:val="none"/>
              </w:rPr>
            </w:pPr>
          </w:p>
        </w:tc>
        <w:tc>
          <w:tcPr>
            <w:tcW w:w="829" w:type="dxa"/>
            <w:vMerge w:val="continue"/>
            <w:vAlign w:val="center"/>
          </w:tcPr>
          <w:p w14:paraId="09F03892">
            <w:pPr>
              <w:shd w:val="clear"/>
              <w:ind w:left="223" w:hanging="222" w:hangingChars="106"/>
              <w:jc w:val="center"/>
              <w:rPr>
                <w:rFonts w:asciiTheme="minorEastAsia" w:hAnsiTheme="minorEastAsia" w:eastAsiaTheme="minorEastAsia" w:cstheme="minorEastAsia"/>
                <w:color w:val="auto"/>
                <w:highlight w:val="none"/>
              </w:rPr>
            </w:pPr>
          </w:p>
        </w:tc>
        <w:tc>
          <w:tcPr>
            <w:tcW w:w="816" w:type="dxa"/>
            <w:vMerge w:val="continue"/>
            <w:vAlign w:val="center"/>
          </w:tcPr>
          <w:p w14:paraId="55F41BB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3027F8E">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证书名称</w:t>
            </w:r>
          </w:p>
        </w:tc>
        <w:tc>
          <w:tcPr>
            <w:tcW w:w="1148" w:type="dxa"/>
            <w:vAlign w:val="center"/>
          </w:tcPr>
          <w:p w14:paraId="40E2E0F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级别</w:t>
            </w:r>
          </w:p>
        </w:tc>
        <w:tc>
          <w:tcPr>
            <w:tcW w:w="1148" w:type="dxa"/>
            <w:vAlign w:val="center"/>
          </w:tcPr>
          <w:p w14:paraId="03F7D85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证号</w:t>
            </w:r>
          </w:p>
        </w:tc>
        <w:tc>
          <w:tcPr>
            <w:tcW w:w="1148" w:type="dxa"/>
            <w:vAlign w:val="center"/>
          </w:tcPr>
          <w:p w14:paraId="34D6B5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专业</w:t>
            </w:r>
          </w:p>
        </w:tc>
        <w:tc>
          <w:tcPr>
            <w:tcW w:w="850" w:type="dxa"/>
            <w:vAlign w:val="center"/>
          </w:tcPr>
          <w:p w14:paraId="7A42EAE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项目数</w:t>
            </w:r>
          </w:p>
        </w:tc>
        <w:tc>
          <w:tcPr>
            <w:tcW w:w="1276" w:type="dxa"/>
            <w:vAlign w:val="center"/>
          </w:tcPr>
          <w:p w14:paraId="09156DD0">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主要项目</w:t>
            </w:r>
          </w:p>
          <w:p w14:paraId="3C739B4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名称</w:t>
            </w:r>
          </w:p>
        </w:tc>
      </w:tr>
      <w:tr w14:paraId="1AA7B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BC829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施工员</w:t>
            </w:r>
          </w:p>
        </w:tc>
        <w:tc>
          <w:tcPr>
            <w:tcW w:w="829" w:type="dxa"/>
            <w:vAlign w:val="center"/>
          </w:tcPr>
          <w:p w14:paraId="3FA59820">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6FFEE5A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AF4B9F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5FFAEC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1827A1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8748B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49B635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B506525">
            <w:pPr>
              <w:shd w:val="clear"/>
              <w:ind w:left="223" w:hanging="222" w:hangingChars="106"/>
              <w:jc w:val="center"/>
              <w:rPr>
                <w:rFonts w:asciiTheme="minorEastAsia" w:hAnsiTheme="minorEastAsia" w:eastAsiaTheme="minorEastAsia" w:cstheme="minorEastAsia"/>
                <w:color w:val="auto"/>
                <w:highlight w:val="none"/>
              </w:rPr>
            </w:pPr>
          </w:p>
        </w:tc>
      </w:tr>
      <w:tr w14:paraId="339F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60B3ED0E">
            <w:pPr>
              <w:shd w:val="clear"/>
              <w:ind w:left="223" w:hanging="222" w:hangingChars="106"/>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质量员</w:t>
            </w:r>
          </w:p>
        </w:tc>
        <w:tc>
          <w:tcPr>
            <w:tcW w:w="829" w:type="dxa"/>
            <w:vAlign w:val="center"/>
          </w:tcPr>
          <w:p w14:paraId="0314BAA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610186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12AA52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8A18F7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601A0C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BC392A">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3700CEE">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6845174">
            <w:pPr>
              <w:shd w:val="clear"/>
              <w:ind w:left="223" w:hanging="222" w:hangingChars="106"/>
              <w:jc w:val="center"/>
              <w:rPr>
                <w:rFonts w:asciiTheme="minorEastAsia" w:hAnsiTheme="minorEastAsia" w:eastAsiaTheme="minorEastAsia" w:cstheme="minorEastAsia"/>
                <w:color w:val="auto"/>
                <w:highlight w:val="none"/>
              </w:rPr>
            </w:pPr>
          </w:p>
        </w:tc>
      </w:tr>
      <w:tr w14:paraId="61F7F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restart"/>
            <w:vAlign w:val="center"/>
          </w:tcPr>
          <w:p w14:paraId="4D305159">
            <w:pPr>
              <w:shd w:val="clear"/>
              <w:ind w:left="218" w:leftChars="99" w:hanging="10" w:hangingChars="5"/>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专职安全生产管理人员</w:t>
            </w:r>
          </w:p>
        </w:tc>
        <w:tc>
          <w:tcPr>
            <w:tcW w:w="829" w:type="dxa"/>
            <w:vAlign w:val="center"/>
          </w:tcPr>
          <w:p w14:paraId="11B4466A">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1DE5A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606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40B042C">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F604A0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850D8CE">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4A09EB80">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14066E2C">
            <w:pPr>
              <w:shd w:val="clear"/>
              <w:ind w:left="223" w:hanging="222" w:hangingChars="106"/>
              <w:jc w:val="center"/>
              <w:rPr>
                <w:rFonts w:asciiTheme="minorEastAsia" w:hAnsiTheme="minorEastAsia" w:eastAsiaTheme="minorEastAsia" w:cstheme="minorEastAsia"/>
                <w:color w:val="auto"/>
                <w:highlight w:val="none"/>
              </w:rPr>
            </w:pPr>
          </w:p>
        </w:tc>
      </w:tr>
      <w:tr w14:paraId="29DE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3B8BD946">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575FC38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2590E7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20EF3C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22AB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642E4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3333F3C">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FF3899">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8BFDAAC">
            <w:pPr>
              <w:shd w:val="clear"/>
              <w:ind w:left="223" w:hanging="222" w:hangingChars="106"/>
              <w:jc w:val="center"/>
              <w:rPr>
                <w:rFonts w:asciiTheme="minorEastAsia" w:hAnsiTheme="minorEastAsia" w:eastAsiaTheme="minorEastAsia" w:cstheme="minorEastAsia"/>
                <w:color w:val="auto"/>
                <w:highlight w:val="none"/>
              </w:rPr>
            </w:pPr>
          </w:p>
        </w:tc>
      </w:tr>
      <w:tr w14:paraId="0D9A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42FCD45E">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67BA6CE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71301F5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9950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00069D6">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5EB874E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093BFD6">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5B8756">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02555E9C">
            <w:pPr>
              <w:shd w:val="clear"/>
              <w:ind w:left="223" w:hanging="222" w:hangingChars="106"/>
              <w:jc w:val="center"/>
              <w:rPr>
                <w:rFonts w:asciiTheme="minorEastAsia" w:hAnsiTheme="minorEastAsia" w:eastAsiaTheme="minorEastAsia" w:cstheme="minorEastAsia"/>
                <w:color w:val="auto"/>
                <w:highlight w:val="none"/>
              </w:rPr>
            </w:pPr>
          </w:p>
        </w:tc>
      </w:tr>
      <w:tr w14:paraId="5EF3E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50BE463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材料</w:t>
            </w:r>
            <w:r>
              <w:rPr>
                <w:rFonts w:hint="eastAsia" w:asciiTheme="minorEastAsia" w:hAnsiTheme="minorEastAsia" w:eastAsiaTheme="minorEastAsia" w:cstheme="minorEastAsia"/>
                <w:color w:val="auto"/>
                <w:highlight w:val="none"/>
              </w:rPr>
              <w:t>员</w:t>
            </w:r>
          </w:p>
        </w:tc>
        <w:tc>
          <w:tcPr>
            <w:tcW w:w="829" w:type="dxa"/>
            <w:vAlign w:val="center"/>
          </w:tcPr>
          <w:p w14:paraId="532C003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9A4A01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4DCD04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CFABC4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5FCEC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4D327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9E8911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8853EA3">
            <w:pPr>
              <w:shd w:val="clear"/>
              <w:ind w:left="223" w:hanging="222" w:hangingChars="106"/>
              <w:jc w:val="center"/>
              <w:rPr>
                <w:rFonts w:asciiTheme="minorEastAsia" w:hAnsiTheme="minorEastAsia" w:eastAsiaTheme="minorEastAsia" w:cstheme="minorEastAsia"/>
                <w:color w:val="auto"/>
                <w:highlight w:val="none"/>
              </w:rPr>
            </w:pPr>
          </w:p>
        </w:tc>
      </w:tr>
      <w:tr w14:paraId="453E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748A2BB2">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4152A4F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11F47E4">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CEC36B2">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759351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D70E9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170DB49">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1EFB0E7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79B55C4D">
            <w:pPr>
              <w:shd w:val="clear"/>
              <w:ind w:left="223" w:hanging="222" w:hangingChars="106"/>
              <w:jc w:val="center"/>
              <w:rPr>
                <w:rFonts w:asciiTheme="minorEastAsia" w:hAnsiTheme="minorEastAsia" w:eastAsiaTheme="minorEastAsia" w:cstheme="minorEastAsia"/>
                <w:color w:val="auto"/>
                <w:highlight w:val="none"/>
              </w:rPr>
            </w:pPr>
          </w:p>
        </w:tc>
      </w:tr>
      <w:tr w14:paraId="4249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01F9452">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829" w:type="dxa"/>
            <w:vAlign w:val="center"/>
          </w:tcPr>
          <w:p w14:paraId="07D93EC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7AC0649">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7FE6B4D">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9C50B5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728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63D366A2">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5DA4C6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3E769EDB">
            <w:pPr>
              <w:shd w:val="clear"/>
              <w:ind w:left="223" w:hanging="222" w:hangingChars="106"/>
              <w:jc w:val="center"/>
              <w:rPr>
                <w:rFonts w:asciiTheme="minorEastAsia" w:hAnsiTheme="minorEastAsia" w:eastAsiaTheme="minorEastAsia" w:cstheme="minorEastAsia"/>
                <w:color w:val="auto"/>
                <w:highlight w:val="none"/>
              </w:rPr>
            </w:pPr>
          </w:p>
        </w:tc>
      </w:tr>
      <w:tr w14:paraId="2BA74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734" w:type="dxa"/>
            <w:gridSpan w:val="9"/>
            <w:vAlign w:val="center"/>
          </w:tcPr>
          <w:p w14:paraId="1D42DAB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一旦我单位中标，将实行项目经理负责制，我方保证并配备上述项目管理机构。上述填报内容真实，若不真实，愿按有关规定接受处理。项目管理班子机构设置、职责分工等情况另附资料说明。</w:t>
            </w:r>
          </w:p>
        </w:tc>
      </w:tr>
    </w:tbl>
    <w:p w14:paraId="471FED43">
      <w:pPr>
        <w:shd w:val="clear"/>
        <w:tabs>
          <w:tab w:val="left" w:pos="0"/>
        </w:tabs>
        <w:spacing w:line="360" w:lineRule="auto"/>
        <w:ind w:right="-210"/>
        <w:rPr>
          <w:rFonts w:asciiTheme="minorEastAsia" w:hAnsiTheme="minorEastAsia" w:eastAsiaTheme="minorEastAsia" w:cstheme="minorEastAsia"/>
          <w:color w:val="auto"/>
          <w:highlight w:val="none"/>
        </w:rPr>
      </w:pPr>
    </w:p>
    <w:p w14:paraId="1BD5C619">
      <w:pPr>
        <w:shd w:val="clear"/>
        <w:spacing w:line="360" w:lineRule="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【备注：附各岗位人员资格证件（如有）</w:t>
      </w:r>
      <w:r>
        <w:rPr>
          <w:rFonts w:hint="eastAsia" w:asciiTheme="minorEastAsia" w:hAnsiTheme="minorEastAsia" w:eastAsiaTheme="minorEastAsia" w:cstheme="minorEastAsia"/>
          <w:color w:val="auto"/>
          <w:highlight w:val="none"/>
          <w:lang w:val="en-US" w:eastAsia="zh-CN"/>
        </w:rPr>
        <w:t>的复印</w:t>
      </w:r>
      <w:r>
        <w:rPr>
          <w:rFonts w:hint="eastAsia" w:asciiTheme="minorEastAsia" w:hAnsiTheme="minorEastAsia" w:eastAsiaTheme="minorEastAsia" w:cstheme="minorEastAsia"/>
          <w:color w:val="auto"/>
          <w:highlight w:val="none"/>
          <w:lang w:eastAsia="zh-CN"/>
        </w:rPr>
        <w:t>件。】</w:t>
      </w:r>
    </w:p>
    <w:p w14:paraId="39010ECD">
      <w:pPr>
        <w:pStyle w:val="170"/>
        <w:spacing w:line="360" w:lineRule="auto"/>
        <w:rPr>
          <w:rStyle w:val="45"/>
          <w:rFonts w:hint="eastAsia" w:ascii="Times New Roman" w:hAnsi="Times New Roman" w:eastAsia="楷体_GB2312" w:cs="楷体_GB2312"/>
          <w:color w:val="auto"/>
          <w:szCs w:val="21"/>
          <w:highlight w:val="none"/>
        </w:rPr>
      </w:pPr>
    </w:p>
    <w:p w14:paraId="63E3F5F8">
      <w:pPr>
        <w:pStyle w:val="170"/>
        <w:spacing w:line="360" w:lineRule="auto"/>
        <w:rPr>
          <w:rStyle w:val="45"/>
          <w:rFonts w:hint="eastAsia" w:ascii="Times New Roman" w:hAnsi="Times New Roman" w:eastAsia="楷体_GB2312" w:cs="楷体_GB2312"/>
          <w:color w:val="auto"/>
          <w:szCs w:val="21"/>
          <w:highlight w:val="none"/>
        </w:rPr>
      </w:pPr>
    </w:p>
    <w:p w14:paraId="258FA5C1">
      <w:pPr>
        <w:pStyle w:val="42"/>
        <w:rPr>
          <w:rFonts w:hint="eastAsia"/>
          <w:color w:val="auto"/>
          <w:highlight w:val="none"/>
          <w:lang w:val="en-US" w:eastAsia="zh-CN"/>
        </w:rPr>
      </w:pPr>
    </w:p>
    <w:p w14:paraId="0F014495">
      <w:pPr>
        <w:pStyle w:val="42"/>
        <w:rPr>
          <w:rFonts w:hint="eastAsia"/>
          <w:color w:val="auto"/>
          <w:highlight w:val="none"/>
          <w:lang w:val="en-US" w:eastAsia="zh-CN"/>
        </w:rPr>
      </w:pPr>
    </w:p>
    <w:p w14:paraId="5D397591">
      <w:pPr>
        <w:pStyle w:val="42"/>
        <w:rPr>
          <w:rFonts w:hint="eastAsia"/>
          <w:color w:val="auto"/>
          <w:highlight w:val="none"/>
          <w:lang w:val="en-US" w:eastAsia="zh-CN"/>
        </w:rPr>
      </w:pPr>
    </w:p>
    <w:p w14:paraId="52547E6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2、项目经理（注册建造师）简历表</w:t>
      </w:r>
    </w:p>
    <w:p w14:paraId="48377E6F">
      <w:pPr>
        <w:pStyle w:val="163"/>
        <w:shd w:val="clear"/>
        <w:rPr>
          <w:rFonts w:hint="eastAsia" w:asciiTheme="minorEastAsia" w:hAnsiTheme="minorEastAsia" w:eastAsiaTheme="minorEastAsia" w:cstheme="minorEastAsia"/>
          <w:color w:val="auto"/>
          <w:highlight w:val="none"/>
          <w:u w:val="single"/>
        </w:rPr>
      </w:pPr>
    </w:p>
    <w:p w14:paraId="22773DE3">
      <w:pPr>
        <w:pStyle w:val="163"/>
        <w:shd w:val="clear"/>
        <w:rPr>
          <w:rFonts w:hint="eastAsia" w:asciiTheme="minorEastAsia" w:hAnsiTheme="minorEastAsia" w:eastAsiaTheme="minorEastAsia" w:cstheme="minorEastAsia"/>
          <w:color w:val="auto"/>
          <w:highlight w:val="none"/>
          <w:u w:val="single"/>
        </w:rPr>
      </w:pPr>
    </w:p>
    <w:p w14:paraId="4F048A17">
      <w:pPr>
        <w:pStyle w:val="163"/>
        <w:shd w:val="clear"/>
        <w:rPr>
          <w:rFonts w:hint="eastAsia" w:asciiTheme="minorEastAsia" w:hAnsiTheme="minorEastAsia" w:eastAsiaTheme="minorEastAsia" w:cstheme="minorEastAsia"/>
          <w:color w:val="auto"/>
          <w:highlight w:val="none"/>
          <w:u w:val="single"/>
        </w:rPr>
      </w:pPr>
    </w:p>
    <w:p w14:paraId="24863F8F">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2339FDEA">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9EC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9F2AC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50630288">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0036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67883F38">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15965F7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31FC05F4">
            <w:pPr>
              <w:shd w:val="clear"/>
              <w:jc w:val="center"/>
              <w:rPr>
                <w:rFonts w:asciiTheme="minorEastAsia" w:hAnsiTheme="minorEastAsia" w:eastAsiaTheme="minorEastAsia" w:cstheme="minorEastAsia"/>
                <w:color w:val="auto"/>
                <w:highlight w:val="none"/>
              </w:rPr>
            </w:pPr>
          </w:p>
        </w:tc>
      </w:tr>
      <w:tr w14:paraId="61DE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D2989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099A3CD7">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091FF4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6EC9051F">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D29D3B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4D17FB81">
            <w:pPr>
              <w:shd w:val="clear"/>
              <w:jc w:val="center"/>
              <w:rPr>
                <w:rFonts w:asciiTheme="minorEastAsia" w:hAnsiTheme="minorEastAsia" w:eastAsiaTheme="minorEastAsia" w:cstheme="minorEastAsia"/>
                <w:color w:val="auto"/>
                <w:highlight w:val="none"/>
              </w:rPr>
            </w:pPr>
          </w:p>
        </w:tc>
      </w:tr>
      <w:tr w14:paraId="5979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2364BDA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11822CD5">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35EFFD3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担任项目经理年限</w:t>
            </w:r>
          </w:p>
        </w:tc>
        <w:tc>
          <w:tcPr>
            <w:tcW w:w="1276" w:type="dxa"/>
            <w:vAlign w:val="center"/>
          </w:tcPr>
          <w:p w14:paraId="34096213">
            <w:pPr>
              <w:shd w:val="clear"/>
              <w:jc w:val="center"/>
              <w:rPr>
                <w:rFonts w:asciiTheme="minorEastAsia" w:hAnsiTheme="minorEastAsia" w:eastAsiaTheme="minorEastAsia" w:cstheme="minorEastAsia"/>
                <w:color w:val="auto"/>
                <w:highlight w:val="none"/>
              </w:rPr>
            </w:pPr>
          </w:p>
        </w:tc>
      </w:tr>
      <w:tr w14:paraId="42086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7752DD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建造师注册证书编号</w:t>
            </w:r>
          </w:p>
        </w:tc>
        <w:tc>
          <w:tcPr>
            <w:tcW w:w="5862" w:type="dxa"/>
            <w:gridSpan w:val="7"/>
            <w:vAlign w:val="center"/>
          </w:tcPr>
          <w:p w14:paraId="0D7068EE">
            <w:pPr>
              <w:shd w:val="clear"/>
              <w:jc w:val="center"/>
              <w:rPr>
                <w:rFonts w:asciiTheme="minorEastAsia" w:hAnsiTheme="minorEastAsia" w:eastAsiaTheme="minorEastAsia" w:cstheme="minorEastAsia"/>
                <w:color w:val="auto"/>
                <w:highlight w:val="none"/>
              </w:rPr>
            </w:pPr>
          </w:p>
        </w:tc>
      </w:tr>
      <w:tr w14:paraId="570F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EE1630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A7F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F74F72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1CFC7D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6D79919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471AFF6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283155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FF2C96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935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2366D737">
            <w:pPr>
              <w:shd w:val="clear"/>
              <w:jc w:val="center"/>
              <w:rPr>
                <w:rFonts w:asciiTheme="minorEastAsia" w:hAnsiTheme="minorEastAsia" w:eastAsiaTheme="minorEastAsia" w:cstheme="minorEastAsia"/>
                <w:color w:val="auto"/>
                <w:highlight w:val="none"/>
              </w:rPr>
            </w:pPr>
          </w:p>
        </w:tc>
        <w:tc>
          <w:tcPr>
            <w:tcW w:w="1548" w:type="dxa"/>
            <w:vAlign w:val="center"/>
          </w:tcPr>
          <w:p w14:paraId="5F627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B1AEB6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E4783B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7148D45">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C10DFB5">
            <w:pPr>
              <w:shd w:val="clear"/>
              <w:jc w:val="center"/>
              <w:rPr>
                <w:rFonts w:asciiTheme="minorEastAsia" w:hAnsiTheme="minorEastAsia" w:eastAsiaTheme="minorEastAsia" w:cstheme="minorEastAsia"/>
                <w:color w:val="auto"/>
                <w:highlight w:val="none"/>
              </w:rPr>
            </w:pPr>
          </w:p>
        </w:tc>
      </w:tr>
      <w:tr w14:paraId="7C3B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81AA64C">
            <w:pPr>
              <w:shd w:val="clear"/>
              <w:jc w:val="center"/>
              <w:rPr>
                <w:rFonts w:asciiTheme="minorEastAsia" w:hAnsiTheme="minorEastAsia" w:eastAsiaTheme="minorEastAsia" w:cstheme="minorEastAsia"/>
                <w:color w:val="auto"/>
                <w:highlight w:val="none"/>
              </w:rPr>
            </w:pPr>
          </w:p>
        </w:tc>
        <w:tc>
          <w:tcPr>
            <w:tcW w:w="1548" w:type="dxa"/>
            <w:vAlign w:val="center"/>
          </w:tcPr>
          <w:p w14:paraId="2868A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7C2C3A">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EBD84FA">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92572A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62417ED">
            <w:pPr>
              <w:shd w:val="clear"/>
              <w:jc w:val="center"/>
              <w:rPr>
                <w:rFonts w:asciiTheme="minorEastAsia" w:hAnsiTheme="minorEastAsia" w:eastAsiaTheme="minorEastAsia" w:cstheme="minorEastAsia"/>
                <w:color w:val="auto"/>
                <w:highlight w:val="none"/>
              </w:rPr>
            </w:pPr>
          </w:p>
        </w:tc>
      </w:tr>
      <w:tr w14:paraId="2CBB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3E62D51">
            <w:pPr>
              <w:shd w:val="clear"/>
              <w:jc w:val="center"/>
              <w:rPr>
                <w:rFonts w:asciiTheme="minorEastAsia" w:hAnsiTheme="minorEastAsia" w:eastAsiaTheme="minorEastAsia" w:cstheme="minorEastAsia"/>
                <w:color w:val="auto"/>
                <w:highlight w:val="none"/>
              </w:rPr>
            </w:pPr>
          </w:p>
        </w:tc>
        <w:tc>
          <w:tcPr>
            <w:tcW w:w="1548" w:type="dxa"/>
            <w:vAlign w:val="center"/>
          </w:tcPr>
          <w:p w14:paraId="228ED9FE">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E073F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D7D82F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883ADC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D6C67D5">
            <w:pPr>
              <w:shd w:val="clear"/>
              <w:jc w:val="center"/>
              <w:rPr>
                <w:rFonts w:asciiTheme="minorEastAsia" w:hAnsiTheme="minorEastAsia" w:eastAsiaTheme="minorEastAsia" w:cstheme="minorEastAsia"/>
                <w:color w:val="auto"/>
                <w:highlight w:val="none"/>
              </w:rPr>
            </w:pPr>
          </w:p>
        </w:tc>
      </w:tr>
      <w:tr w14:paraId="4B284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4B7F3FA">
            <w:pPr>
              <w:shd w:val="clear"/>
              <w:jc w:val="center"/>
              <w:rPr>
                <w:rFonts w:asciiTheme="minorEastAsia" w:hAnsiTheme="minorEastAsia" w:eastAsiaTheme="minorEastAsia" w:cstheme="minorEastAsia"/>
                <w:color w:val="auto"/>
                <w:highlight w:val="none"/>
              </w:rPr>
            </w:pPr>
          </w:p>
        </w:tc>
        <w:tc>
          <w:tcPr>
            <w:tcW w:w="1548" w:type="dxa"/>
            <w:vAlign w:val="center"/>
          </w:tcPr>
          <w:p w14:paraId="23E104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355CCE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0E81FA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111DDD1">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2F80640">
            <w:pPr>
              <w:shd w:val="clear"/>
              <w:jc w:val="center"/>
              <w:rPr>
                <w:rFonts w:asciiTheme="minorEastAsia" w:hAnsiTheme="minorEastAsia" w:eastAsiaTheme="minorEastAsia" w:cstheme="minorEastAsia"/>
                <w:color w:val="auto"/>
                <w:highlight w:val="none"/>
              </w:rPr>
            </w:pPr>
          </w:p>
        </w:tc>
      </w:tr>
    </w:tbl>
    <w:p w14:paraId="3C04BA26">
      <w:pPr>
        <w:shd w:val="clear"/>
        <w:spacing w:line="360" w:lineRule="auto"/>
        <w:rPr>
          <w:rFonts w:asciiTheme="minorEastAsia" w:hAnsiTheme="minorEastAsia" w:eastAsiaTheme="minorEastAsia" w:cstheme="minorEastAsia"/>
          <w:color w:val="auto"/>
          <w:highlight w:val="none"/>
        </w:rPr>
      </w:pPr>
    </w:p>
    <w:p w14:paraId="0910CD7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5485441C">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51227646">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1BA2A73F">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770A59E5">
      <w:pPr>
        <w:pStyle w:val="18"/>
        <w:rPr>
          <w:rFonts w:hint="eastAsia"/>
          <w:color w:val="auto"/>
          <w:highlight w:val="none"/>
          <w:lang w:val="en-US" w:eastAsia="zh-CN"/>
        </w:rPr>
      </w:pPr>
    </w:p>
    <w:p w14:paraId="6CDBF9D1">
      <w:pPr>
        <w:pStyle w:val="42"/>
        <w:rPr>
          <w:rFonts w:hint="eastAsia"/>
          <w:color w:val="auto"/>
          <w:highlight w:val="none"/>
          <w:lang w:val="en-US" w:eastAsia="zh-CN"/>
        </w:rPr>
      </w:pPr>
    </w:p>
    <w:p w14:paraId="463FDD6F">
      <w:pPr>
        <w:pStyle w:val="42"/>
        <w:rPr>
          <w:rFonts w:hint="eastAsia"/>
          <w:color w:val="auto"/>
          <w:highlight w:val="none"/>
          <w:lang w:val="en-US" w:eastAsia="zh-CN"/>
        </w:rPr>
      </w:pPr>
    </w:p>
    <w:p w14:paraId="38DAE019">
      <w:pPr>
        <w:pStyle w:val="42"/>
        <w:rPr>
          <w:rFonts w:hint="eastAsia"/>
          <w:color w:val="auto"/>
          <w:highlight w:val="none"/>
          <w:lang w:val="en-US" w:eastAsia="zh-CN"/>
        </w:rPr>
      </w:pPr>
    </w:p>
    <w:p w14:paraId="37A375E1">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3、项目技术负责人简历表</w:t>
      </w:r>
    </w:p>
    <w:p w14:paraId="52E4D45A">
      <w:pPr>
        <w:pStyle w:val="163"/>
        <w:shd w:val="clear"/>
        <w:rPr>
          <w:rFonts w:hint="eastAsia" w:asciiTheme="minorEastAsia" w:hAnsiTheme="minorEastAsia" w:eastAsiaTheme="minorEastAsia" w:cstheme="minorEastAsia"/>
          <w:color w:val="auto"/>
          <w:highlight w:val="none"/>
          <w:u w:val="single"/>
        </w:rPr>
      </w:pPr>
    </w:p>
    <w:p w14:paraId="4CB77A08">
      <w:pPr>
        <w:pStyle w:val="163"/>
        <w:shd w:val="clear"/>
        <w:rPr>
          <w:rFonts w:hint="eastAsia" w:asciiTheme="minorEastAsia" w:hAnsiTheme="minorEastAsia" w:eastAsiaTheme="minorEastAsia" w:cstheme="minorEastAsia"/>
          <w:color w:val="auto"/>
          <w:highlight w:val="none"/>
          <w:u w:val="single"/>
        </w:rPr>
      </w:pPr>
    </w:p>
    <w:p w14:paraId="22E116A1">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11BF74CD">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1F8C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39F26A4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2A637C42">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EFDCC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2A2466C7">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5AEDAED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4D990D1D">
            <w:pPr>
              <w:shd w:val="clear"/>
              <w:jc w:val="center"/>
              <w:rPr>
                <w:rFonts w:asciiTheme="minorEastAsia" w:hAnsiTheme="minorEastAsia" w:eastAsiaTheme="minorEastAsia" w:cstheme="minorEastAsia"/>
                <w:color w:val="auto"/>
                <w:highlight w:val="none"/>
              </w:rPr>
            </w:pPr>
          </w:p>
        </w:tc>
      </w:tr>
      <w:tr w14:paraId="6262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58A622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714BCD01">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495C0F1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7AE8ECD3">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7B392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3452D0C3">
            <w:pPr>
              <w:shd w:val="clear"/>
              <w:jc w:val="center"/>
              <w:rPr>
                <w:rFonts w:asciiTheme="minorEastAsia" w:hAnsiTheme="minorEastAsia" w:eastAsiaTheme="minorEastAsia" w:cstheme="minorEastAsia"/>
                <w:color w:val="auto"/>
                <w:highlight w:val="none"/>
              </w:rPr>
            </w:pPr>
          </w:p>
        </w:tc>
      </w:tr>
      <w:tr w14:paraId="35A69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E8AF0A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646D62CC">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2780A20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担任技术负责人年限</w:t>
            </w:r>
          </w:p>
        </w:tc>
        <w:tc>
          <w:tcPr>
            <w:tcW w:w="1276" w:type="dxa"/>
            <w:vAlign w:val="center"/>
          </w:tcPr>
          <w:p w14:paraId="30BC3392">
            <w:pPr>
              <w:shd w:val="clear"/>
              <w:jc w:val="center"/>
              <w:rPr>
                <w:rFonts w:asciiTheme="minorEastAsia" w:hAnsiTheme="minorEastAsia" w:eastAsiaTheme="minorEastAsia" w:cstheme="minorEastAsia"/>
                <w:color w:val="auto"/>
                <w:highlight w:val="none"/>
              </w:rPr>
            </w:pPr>
          </w:p>
        </w:tc>
      </w:tr>
      <w:tr w14:paraId="5E02A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A2B614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FFC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483B40F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2E08852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5F2941E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0FE1F74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69C122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01063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085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93E2E98">
            <w:pPr>
              <w:shd w:val="clear"/>
              <w:jc w:val="center"/>
              <w:rPr>
                <w:rFonts w:asciiTheme="minorEastAsia" w:hAnsiTheme="minorEastAsia" w:eastAsiaTheme="minorEastAsia" w:cstheme="minorEastAsia"/>
                <w:color w:val="auto"/>
                <w:highlight w:val="none"/>
              </w:rPr>
            </w:pPr>
          </w:p>
        </w:tc>
        <w:tc>
          <w:tcPr>
            <w:tcW w:w="1548" w:type="dxa"/>
            <w:vAlign w:val="center"/>
          </w:tcPr>
          <w:p w14:paraId="45C05207">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302AC6B2">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915971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2D3CFE9">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5BA4833">
            <w:pPr>
              <w:shd w:val="clear"/>
              <w:jc w:val="center"/>
              <w:rPr>
                <w:rFonts w:asciiTheme="minorEastAsia" w:hAnsiTheme="minorEastAsia" w:eastAsiaTheme="minorEastAsia" w:cstheme="minorEastAsia"/>
                <w:color w:val="auto"/>
                <w:highlight w:val="none"/>
              </w:rPr>
            </w:pPr>
          </w:p>
        </w:tc>
      </w:tr>
      <w:tr w14:paraId="640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DA3D046">
            <w:pPr>
              <w:shd w:val="clear"/>
              <w:jc w:val="center"/>
              <w:rPr>
                <w:rFonts w:asciiTheme="minorEastAsia" w:hAnsiTheme="minorEastAsia" w:eastAsiaTheme="minorEastAsia" w:cstheme="minorEastAsia"/>
                <w:color w:val="auto"/>
                <w:highlight w:val="none"/>
              </w:rPr>
            </w:pPr>
          </w:p>
        </w:tc>
        <w:tc>
          <w:tcPr>
            <w:tcW w:w="1548" w:type="dxa"/>
            <w:vAlign w:val="center"/>
          </w:tcPr>
          <w:p w14:paraId="0329F5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4D8062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29C176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5E30357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0CFA9188">
            <w:pPr>
              <w:shd w:val="clear"/>
              <w:jc w:val="center"/>
              <w:rPr>
                <w:rFonts w:asciiTheme="minorEastAsia" w:hAnsiTheme="minorEastAsia" w:eastAsiaTheme="minorEastAsia" w:cstheme="minorEastAsia"/>
                <w:color w:val="auto"/>
                <w:highlight w:val="none"/>
              </w:rPr>
            </w:pPr>
          </w:p>
        </w:tc>
      </w:tr>
      <w:tr w14:paraId="3095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20726E0">
            <w:pPr>
              <w:shd w:val="clear"/>
              <w:jc w:val="center"/>
              <w:rPr>
                <w:rFonts w:asciiTheme="minorEastAsia" w:hAnsiTheme="minorEastAsia" w:eastAsiaTheme="minorEastAsia" w:cstheme="minorEastAsia"/>
                <w:color w:val="auto"/>
                <w:highlight w:val="none"/>
              </w:rPr>
            </w:pPr>
          </w:p>
        </w:tc>
        <w:tc>
          <w:tcPr>
            <w:tcW w:w="1548" w:type="dxa"/>
            <w:vAlign w:val="center"/>
          </w:tcPr>
          <w:p w14:paraId="1CAC756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3BA4F1F">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E59E08F">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3E4E958">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F1D90A4">
            <w:pPr>
              <w:shd w:val="clear"/>
              <w:jc w:val="center"/>
              <w:rPr>
                <w:rFonts w:asciiTheme="minorEastAsia" w:hAnsiTheme="minorEastAsia" w:eastAsiaTheme="minorEastAsia" w:cstheme="minorEastAsia"/>
                <w:color w:val="auto"/>
                <w:highlight w:val="none"/>
              </w:rPr>
            </w:pPr>
          </w:p>
        </w:tc>
      </w:tr>
      <w:tr w14:paraId="3B0FB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07ADF378">
            <w:pPr>
              <w:shd w:val="clear"/>
              <w:jc w:val="center"/>
              <w:rPr>
                <w:rFonts w:asciiTheme="minorEastAsia" w:hAnsiTheme="minorEastAsia" w:eastAsiaTheme="minorEastAsia" w:cstheme="minorEastAsia"/>
                <w:color w:val="auto"/>
                <w:highlight w:val="none"/>
              </w:rPr>
            </w:pPr>
          </w:p>
        </w:tc>
        <w:tc>
          <w:tcPr>
            <w:tcW w:w="1548" w:type="dxa"/>
            <w:vAlign w:val="center"/>
          </w:tcPr>
          <w:p w14:paraId="2FD1B6D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CE2A6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76A8829">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6D193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B8F18FB">
            <w:pPr>
              <w:shd w:val="clear"/>
              <w:jc w:val="center"/>
              <w:rPr>
                <w:rFonts w:asciiTheme="minorEastAsia" w:hAnsiTheme="minorEastAsia" w:eastAsiaTheme="minorEastAsia" w:cstheme="minorEastAsia"/>
                <w:color w:val="auto"/>
                <w:highlight w:val="none"/>
              </w:rPr>
            </w:pPr>
          </w:p>
        </w:tc>
      </w:tr>
    </w:tbl>
    <w:p w14:paraId="037B59C9">
      <w:pPr>
        <w:shd w:val="clear"/>
        <w:spacing w:line="360" w:lineRule="auto"/>
        <w:rPr>
          <w:rFonts w:asciiTheme="minorEastAsia" w:hAnsiTheme="minorEastAsia" w:eastAsiaTheme="minorEastAsia" w:cstheme="minorEastAsia"/>
          <w:color w:val="auto"/>
          <w:highlight w:val="none"/>
        </w:rPr>
      </w:pPr>
    </w:p>
    <w:p w14:paraId="77F5E3FE">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4548622B">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4DD55F68">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4C047890">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02ED6024">
      <w:pPr>
        <w:shd w:val="clear"/>
        <w:spacing w:line="360" w:lineRule="auto"/>
        <w:ind w:firstLine="420" w:firstLineChars="200"/>
        <w:rPr>
          <w:rFonts w:asciiTheme="minorEastAsia" w:hAnsiTheme="minorEastAsia" w:eastAsiaTheme="minorEastAsia" w:cstheme="minorEastAsia"/>
          <w:color w:val="auto"/>
          <w:highlight w:val="none"/>
        </w:rPr>
      </w:pPr>
    </w:p>
    <w:p w14:paraId="59B66E80">
      <w:pPr>
        <w:pStyle w:val="16"/>
        <w:rPr>
          <w:rFonts w:hint="eastAsia"/>
          <w:color w:val="auto"/>
          <w:highlight w:val="none"/>
          <w:lang w:val="en-US" w:eastAsia="zh-CN"/>
        </w:rPr>
      </w:pPr>
    </w:p>
    <w:p w14:paraId="3D3FC18C">
      <w:pPr>
        <w:pStyle w:val="16"/>
        <w:rPr>
          <w:rFonts w:hint="eastAsia"/>
          <w:color w:val="auto"/>
          <w:highlight w:val="none"/>
          <w:lang w:val="en-US" w:eastAsia="zh-CN"/>
        </w:rPr>
      </w:pPr>
    </w:p>
    <w:p w14:paraId="75CA3654">
      <w:pPr>
        <w:pStyle w:val="16"/>
        <w:rPr>
          <w:rFonts w:hint="eastAsia"/>
          <w:color w:val="auto"/>
          <w:highlight w:val="none"/>
          <w:lang w:val="en-US" w:eastAsia="zh-CN"/>
        </w:rPr>
      </w:pPr>
    </w:p>
    <w:p w14:paraId="30D311DC">
      <w:pPr>
        <w:pStyle w:val="16"/>
        <w:rPr>
          <w:rFonts w:hint="eastAsia"/>
          <w:color w:val="auto"/>
          <w:highlight w:val="none"/>
          <w:lang w:val="en-US" w:eastAsia="zh-CN"/>
        </w:rPr>
      </w:pPr>
    </w:p>
    <w:p w14:paraId="75AA318C">
      <w:pPr>
        <w:pStyle w:val="16"/>
        <w:rPr>
          <w:rFonts w:hint="eastAsia"/>
          <w:color w:val="auto"/>
          <w:highlight w:val="none"/>
          <w:lang w:val="en-US" w:eastAsia="zh-CN"/>
        </w:rPr>
      </w:pPr>
    </w:p>
    <w:p w14:paraId="2731A68D">
      <w:pPr>
        <w:pStyle w:val="16"/>
        <w:rPr>
          <w:rFonts w:hint="eastAsia"/>
          <w:color w:val="auto"/>
          <w:highlight w:val="none"/>
          <w:lang w:val="en-US" w:eastAsia="zh-CN"/>
        </w:rPr>
      </w:pPr>
    </w:p>
    <w:p w14:paraId="7AE45A30">
      <w:pPr>
        <w:pStyle w:val="16"/>
        <w:rPr>
          <w:rFonts w:hint="eastAsia"/>
          <w:color w:val="auto"/>
          <w:highlight w:val="none"/>
          <w:lang w:val="en-US" w:eastAsia="zh-CN"/>
        </w:rPr>
      </w:pPr>
    </w:p>
    <w:p w14:paraId="2262ABFB">
      <w:pPr>
        <w:pStyle w:val="16"/>
        <w:rPr>
          <w:rFonts w:hint="eastAsia"/>
          <w:color w:val="auto"/>
          <w:highlight w:val="none"/>
          <w:lang w:val="en-US" w:eastAsia="zh-CN"/>
        </w:rPr>
      </w:pPr>
    </w:p>
    <w:p w14:paraId="474EA7F7">
      <w:pPr>
        <w:pStyle w:val="16"/>
        <w:rPr>
          <w:rFonts w:hint="eastAsia"/>
          <w:color w:val="auto"/>
          <w:highlight w:val="none"/>
          <w:lang w:val="en-US" w:eastAsia="zh-CN"/>
        </w:rPr>
      </w:pPr>
    </w:p>
    <w:p w14:paraId="37520A34">
      <w:pPr>
        <w:pStyle w:val="16"/>
        <w:rPr>
          <w:rFonts w:hint="eastAsia"/>
          <w:color w:val="auto"/>
          <w:highlight w:val="none"/>
          <w:lang w:val="en-US" w:eastAsia="zh-CN"/>
        </w:rPr>
      </w:pPr>
    </w:p>
    <w:p w14:paraId="108B3CDE">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八、企业业绩</w:t>
      </w:r>
    </w:p>
    <w:p w14:paraId="2DCDDF75">
      <w:pPr>
        <w:pStyle w:val="170"/>
        <w:rPr>
          <w:rFonts w:hint="eastAsia" w:ascii="Times New Roman" w:hAnsi="Times New Roman" w:cs="宋体"/>
          <w:b/>
          <w:bCs/>
          <w:color w:val="auto"/>
          <w:sz w:val="24"/>
          <w:szCs w:val="24"/>
          <w:highlight w:val="none"/>
        </w:rPr>
      </w:pPr>
    </w:p>
    <w:p w14:paraId="37705E98">
      <w:pPr>
        <w:pStyle w:val="170"/>
        <w:rPr>
          <w:rFonts w:hint="eastAsia" w:ascii="Times New Roman" w:hAnsi="Times New Roman" w:cs="宋体"/>
          <w:b/>
          <w:bCs/>
          <w:color w:val="auto"/>
          <w:sz w:val="24"/>
          <w:szCs w:val="24"/>
          <w:highlight w:val="none"/>
        </w:rPr>
      </w:pPr>
    </w:p>
    <w:p w14:paraId="58DA5DF0">
      <w:pPr>
        <w:pStyle w:val="170"/>
        <w:rPr>
          <w:rFonts w:hint="eastAsia" w:ascii="Times New Roman" w:hAnsi="Times New Roman" w:cs="宋体"/>
          <w:b/>
          <w:bCs/>
          <w:color w:val="auto"/>
          <w:sz w:val="24"/>
          <w:szCs w:val="24"/>
          <w:highlight w:val="none"/>
        </w:rPr>
      </w:pPr>
    </w:p>
    <w:p w14:paraId="5D99D5B3">
      <w:pPr>
        <w:pStyle w:val="170"/>
        <w:rPr>
          <w:rFonts w:ascii="Times New Roman" w:hAnsi="Times New Roman" w:cs="宋体"/>
          <w:b/>
          <w:bCs/>
          <w:color w:val="auto"/>
          <w:sz w:val="24"/>
          <w:szCs w:val="24"/>
          <w:highlight w:val="none"/>
        </w:rPr>
      </w:pPr>
      <w:r>
        <w:rPr>
          <w:rFonts w:hint="eastAsia" w:ascii="Times New Roman" w:hAnsi="Times New Roman" w:cs="宋体"/>
          <w:b/>
          <w:bCs/>
          <w:color w:val="auto"/>
          <w:sz w:val="24"/>
          <w:szCs w:val="24"/>
          <w:highlight w:val="none"/>
        </w:rPr>
        <w:t>企业</w:t>
      </w:r>
      <w:r>
        <w:rPr>
          <w:rFonts w:hint="eastAsia" w:ascii="Times New Roman" w:hAnsi="Times New Roman" w:cs="宋体"/>
          <w:b/>
          <w:bCs/>
          <w:color w:val="auto"/>
          <w:sz w:val="24"/>
          <w:szCs w:val="24"/>
          <w:highlight w:val="none"/>
          <w:lang w:val="en-US" w:eastAsia="zh-CN"/>
        </w:rPr>
        <w:t>2020</w:t>
      </w:r>
      <w:r>
        <w:rPr>
          <w:rFonts w:ascii="Times New Roman" w:hAnsi="Times New Roman" w:cs="宋体"/>
          <w:b/>
          <w:bCs/>
          <w:color w:val="auto"/>
          <w:sz w:val="24"/>
          <w:szCs w:val="24"/>
          <w:highlight w:val="none"/>
        </w:rPr>
        <w:t>年</w:t>
      </w:r>
      <w:r>
        <w:rPr>
          <w:rFonts w:hint="eastAsia" w:ascii="Times New Roman" w:hAnsi="Times New Roman" w:cs="宋体"/>
          <w:b/>
          <w:bCs/>
          <w:color w:val="auto"/>
          <w:sz w:val="24"/>
          <w:szCs w:val="24"/>
          <w:highlight w:val="none"/>
          <w:lang w:eastAsia="zh-CN"/>
        </w:rPr>
        <w:t>以来</w:t>
      </w:r>
      <w:r>
        <w:rPr>
          <w:rFonts w:hint="eastAsia" w:ascii="Times New Roman" w:hAnsi="Times New Roman" w:cs="宋体"/>
          <w:b/>
          <w:bCs/>
          <w:color w:val="auto"/>
          <w:sz w:val="24"/>
          <w:szCs w:val="24"/>
          <w:highlight w:val="none"/>
          <w:lang w:val="en-US" w:eastAsia="zh-CN"/>
        </w:rPr>
        <w:t>在建或</w:t>
      </w:r>
      <w:r>
        <w:rPr>
          <w:rFonts w:hint="eastAsia" w:ascii="Times New Roman" w:hAnsi="Times New Roman" w:cs="宋体"/>
          <w:b/>
          <w:bCs/>
          <w:color w:val="auto"/>
          <w:sz w:val="24"/>
          <w:szCs w:val="24"/>
          <w:highlight w:val="none"/>
        </w:rPr>
        <w:t>已完成</w:t>
      </w:r>
      <w:r>
        <w:rPr>
          <w:rFonts w:hint="eastAsia" w:ascii="Times New Roman" w:hAnsi="Times New Roman" w:cs="宋体"/>
          <w:b/>
          <w:bCs/>
          <w:color w:val="auto"/>
          <w:sz w:val="24"/>
          <w:szCs w:val="24"/>
          <w:highlight w:val="none"/>
          <w:lang w:eastAsia="zh-CN"/>
        </w:rPr>
        <w:t>工程项目</w:t>
      </w:r>
      <w:r>
        <w:rPr>
          <w:rFonts w:hint="eastAsia" w:ascii="Times New Roman" w:hAnsi="Times New Roman" w:cs="宋体"/>
          <w:b/>
          <w:bCs/>
          <w:color w:val="auto"/>
          <w:sz w:val="24"/>
          <w:szCs w:val="24"/>
          <w:highlight w:val="none"/>
        </w:rPr>
        <w:t>一览表</w:t>
      </w:r>
    </w:p>
    <w:tbl>
      <w:tblPr>
        <w:tblStyle w:val="43"/>
        <w:tblW w:w="96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1417"/>
        <w:gridCol w:w="851"/>
        <w:gridCol w:w="992"/>
        <w:gridCol w:w="1134"/>
        <w:gridCol w:w="790"/>
        <w:gridCol w:w="957"/>
        <w:gridCol w:w="957"/>
      </w:tblGrid>
      <w:tr w14:paraId="7565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851" w:type="dxa"/>
            <w:noWrap w:val="0"/>
            <w:vAlign w:val="center"/>
          </w:tcPr>
          <w:p w14:paraId="6B9D97A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序号</w:t>
            </w:r>
          </w:p>
        </w:tc>
        <w:tc>
          <w:tcPr>
            <w:tcW w:w="1701" w:type="dxa"/>
            <w:noWrap w:val="0"/>
            <w:vAlign w:val="center"/>
          </w:tcPr>
          <w:p w14:paraId="4577A27E">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发包人名称</w:t>
            </w:r>
          </w:p>
        </w:tc>
        <w:tc>
          <w:tcPr>
            <w:tcW w:w="1417" w:type="dxa"/>
            <w:noWrap w:val="0"/>
            <w:vAlign w:val="center"/>
          </w:tcPr>
          <w:p w14:paraId="4BCC72C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工程名称</w:t>
            </w:r>
          </w:p>
          <w:p w14:paraId="66A1E9C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及建设地点</w:t>
            </w:r>
          </w:p>
        </w:tc>
        <w:tc>
          <w:tcPr>
            <w:tcW w:w="851" w:type="dxa"/>
            <w:noWrap w:val="0"/>
            <w:vAlign w:val="center"/>
          </w:tcPr>
          <w:p w14:paraId="39E5CCA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结构</w:t>
            </w:r>
          </w:p>
          <w:p w14:paraId="581DC631">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类型</w:t>
            </w:r>
          </w:p>
        </w:tc>
        <w:tc>
          <w:tcPr>
            <w:tcW w:w="992" w:type="dxa"/>
            <w:noWrap w:val="0"/>
            <w:vAlign w:val="center"/>
          </w:tcPr>
          <w:p w14:paraId="6CF7619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建设</w:t>
            </w:r>
          </w:p>
          <w:p w14:paraId="06AEC17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规模</w:t>
            </w:r>
          </w:p>
        </w:tc>
        <w:tc>
          <w:tcPr>
            <w:tcW w:w="1134" w:type="dxa"/>
            <w:noWrap w:val="0"/>
            <w:vAlign w:val="center"/>
          </w:tcPr>
          <w:p w14:paraId="60B6118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合同金额</w:t>
            </w:r>
          </w:p>
          <w:p w14:paraId="5C6CE5DC">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（万元）</w:t>
            </w:r>
          </w:p>
        </w:tc>
        <w:tc>
          <w:tcPr>
            <w:tcW w:w="790" w:type="dxa"/>
            <w:noWrap w:val="0"/>
            <w:vAlign w:val="center"/>
          </w:tcPr>
          <w:p w14:paraId="729B422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质量标准</w:t>
            </w:r>
          </w:p>
        </w:tc>
        <w:tc>
          <w:tcPr>
            <w:tcW w:w="957" w:type="dxa"/>
            <w:noWrap w:val="0"/>
            <w:vAlign w:val="center"/>
          </w:tcPr>
          <w:p w14:paraId="0283ED3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开工</w:t>
            </w:r>
          </w:p>
          <w:p w14:paraId="1E0851E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p>
        </w:tc>
        <w:tc>
          <w:tcPr>
            <w:tcW w:w="957" w:type="dxa"/>
            <w:noWrap w:val="0"/>
            <w:vAlign w:val="center"/>
          </w:tcPr>
          <w:p w14:paraId="76FBDD8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竣工</w:t>
            </w:r>
          </w:p>
          <w:p w14:paraId="246212E2">
            <w:pPr>
              <w:pStyle w:val="170"/>
              <w:jc w:val="center"/>
              <w:rPr>
                <w:rFonts w:hint="eastAsia" w:ascii="Times New Roman" w:hAnsi="Times New Roman" w:eastAsia="宋体" w:cs="宋体"/>
                <w:color w:val="auto"/>
                <w:szCs w:val="21"/>
                <w:highlight w:val="none"/>
                <w:lang w:eastAsia="zh-CN"/>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r>
              <w:rPr>
                <w:rFonts w:hint="eastAsia" w:ascii="Times New Roman" w:hAnsi="Times New Roman" w:cs="宋体"/>
                <w:color w:val="auto"/>
                <w:szCs w:val="21"/>
                <w:highlight w:val="none"/>
                <w:lang w:eastAsia="zh-CN"/>
              </w:rPr>
              <w:t>（</w:t>
            </w:r>
            <w:r>
              <w:rPr>
                <w:rFonts w:hint="eastAsia" w:ascii="Times New Roman" w:hAnsi="Times New Roman" w:cs="宋体"/>
                <w:color w:val="auto"/>
                <w:szCs w:val="21"/>
                <w:highlight w:val="none"/>
                <w:lang w:val="en-US" w:eastAsia="zh-CN"/>
              </w:rPr>
              <w:t>如有</w:t>
            </w:r>
            <w:r>
              <w:rPr>
                <w:rFonts w:hint="eastAsia" w:ascii="Times New Roman" w:hAnsi="Times New Roman" w:cs="宋体"/>
                <w:color w:val="auto"/>
                <w:szCs w:val="21"/>
                <w:highlight w:val="none"/>
                <w:lang w:eastAsia="zh-CN"/>
              </w:rPr>
              <w:t>）</w:t>
            </w:r>
          </w:p>
        </w:tc>
      </w:tr>
      <w:tr w14:paraId="6DD4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851" w:type="dxa"/>
            <w:noWrap w:val="0"/>
            <w:vAlign w:val="center"/>
          </w:tcPr>
          <w:p w14:paraId="48B73E05">
            <w:pPr>
              <w:pStyle w:val="170"/>
              <w:jc w:val="center"/>
              <w:rPr>
                <w:rFonts w:ascii="Times New Roman" w:hAnsi="Times New Roman"/>
                <w:color w:val="auto"/>
                <w:szCs w:val="21"/>
                <w:highlight w:val="none"/>
              </w:rPr>
            </w:pPr>
          </w:p>
        </w:tc>
        <w:tc>
          <w:tcPr>
            <w:tcW w:w="1701" w:type="dxa"/>
            <w:noWrap w:val="0"/>
            <w:vAlign w:val="center"/>
          </w:tcPr>
          <w:p w14:paraId="1FBC60D3">
            <w:pPr>
              <w:pStyle w:val="170"/>
              <w:jc w:val="center"/>
              <w:rPr>
                <w:rFonts w:ascii="Times New Roman" w:hAnsi="Times New Roman"/>
                <w:color w:val="auto"/>
                <w:szCs w:val="21"/>
                <w:highlight w:val="none"/>
              </w:rPr>
            </w:pPr>
          </w:p>
        </w:tc>
        <w:tc>
          <w:tcPr>
            <w:tcW w:w="1417" w:type="dxa"/>
            <w:noWrap w:val="0"/>
            <w:vAlign w:val="center"/>
          </w:tcPr>
          <w:p w14:paraId="47698FBA">
            <w:pPr>
              <w:pStyle w:val="170"/>
              <w:jc w:val="center"/>
              <w:rPr>
                <w:rFonts w:ascii="Times New Roman" w:hAnsi="Times New Roman"/>
                <w:color w:val="auto"/>
                <w:szCs w:val="21"/>
                <w:highlight w:val="none"/>
              </w:rPr>
            </w:pPr>
          </w:p>
        </w:tc>
        <w:tc>
          <w:tcPr>
            <w:tcW w:w="851" w:type="dxa"/>
            <w:noWrap w:val="0"/>
            <w:vAlign w:val="center"/>
          </w:tcPr>
          <w:p w14:paraId="68A8D09C">
            <w:pPr>
              <w:pStyle w:val="170"/>
              <w:jc w:val="center"/>
              <w:rPr>
                <w:rFonts w:ascii="Times New Roman" w:hAnsi="Times New Roman"/>
                <w:color w:val="auto"/>
                <w:szCs w:val="21"/>
                <w:highlight w:val="none"/>
              </w:rPr>
            </w:pPr>
          </w:p>
        </w:tc>
        <w:tc>
          <w:tcPr>
            <w:tcW w:w="992" w:type="dxa"/>
            <w:noWrap w:val="0"/>
            <w:vAlign w:val="center"/>
          </w:tcPr>
          <w:p w14:paraId="4C04CF7A">
            <w:pPr>
              <w:pStyle w:val="170"/>
              <w:jc w:val="center"/>
              <w:rPr>
                <w:rFonts w:ascii="Times New Roman" w:hAnsi="Times New Roman"/>
                <w:color w:val="auto"/>
                <w:szCs w:val="21"/>
                <w:highlight w:val="none"/>
              </w:rPr>
            </w:pPr>
          </w:p>
        </w:tc>
        <w:tc>
          <w:tcPr>
            <w:tcW w:w="1134" w:type="dxa"/>
            <w:noWrap w:val="0"/>
            <w:vAlign w:val="center"/>
          </w:tcPr>
          <w:p w14:paraId="3FD5E8B7">
            <w:pPr>
              <w:pStyle w:val="170"/>
              <w:jc w:val="center"/>
              <w:rPr>
                <w:rFonts w:ascii="Times New Roman" w:hAnsi="Times New Roman"/>
                <w:color w:val="auto"/>
                <w:szCs w:val="21"/>
                <w:highlight w:val="none"/>
              </w:rPr>
            </w:pPr>
          </w:p>
        </w:tc>
        <w:tc>
          <w:tcPr>
            <w:tcW w:w="790" w:type="dxa"/>
            <w:noWrap w:val="0"/>
            <w:vAlign w:val="center"/>
          </w:tcPr>
          <w:p w14:paraId="67DF29BC">
            <w:pPr>
              <w:pStyle w:val="170"/>
              <w:jc w:val="center"/>
              <w:rPr>
                <w:rFonts w:ascii="Times New Roman" w:hAnsi="Times New Roman"/>
                <w:color w:val="auto"/>
                <w:szCs w:val="21"/>
                <w:highlight w:val="none"/>
              </w:rPr>
            </w:pPr>
          </w:p>
        </w:tc>
        <w:tc>
          <w:tcPr>
            <w:tcW w:w="957" w:type="dxa"/>
            <w:noWrap w:val="0"/>
            <w:vAlign w:val="center"/>
          </w:tcPr>
          <w:p w14:paraId="49487EE4">
            <w:pPr>
              <w:pStyle w:val="170"/>
              <w:jc w:val="center"/>
              <w:rPr>
                <w:rFonts w:ascii="Times New Roman" w:hAnsi="Times New Roman"/>
                <w:color w:val="auto"/>
                <w:szCs w:val="21"/>
                <w:highlight w:val="none"/>
              </w:rPr>
            </w:pPr>
          </w:p>
        </w:tc>
        <w:tc>
          <w:tcPr>
            <w:tcW w:w="957" w:type="dxa"/>
            <w:noWrap w:val="0"/>
            <w:vAlign w:val="center"/>
          </w:tcPr>
          <w:p w14:paraId="7F66EA4D">
            <w:pPr>
              <w:pStyle w:val="170"/>
              <w:jc w:val="center"/>
              <w:rPr>
                <w:rFonts w:ascii="Times New Roman" w:hAnsi="Times New Roman"/>
                <w:color w:val="auto"/>
                <w:szCs w:val="21"/>
                <w:highlight w:val="none"/>
              </w:rPr>
            </w:pPr>
          </w:p>
        </w:tc>
      </w:tr>
      <w:tr w14:paraId="2C51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51" w:type="dxa"/>
            <w:noWrap w:val="0"/>
            <w:vAlign w:val="center"/>
          </w:tcPr>
          <w:p w14:paraId="2497750C">
            <w:pPr>
              <w:pStyle w:val="170"/>
              <w:jc w:val="center"/>
              <w:rPr>
                <w:rFonts w:ascii="Times New Roman" w:hAnsi="Times New Roman"/>
                <w:color w:val="auto"/>
                <w:szCs w:val="21"/>
                <w:highlight w:val="none"/>
              </w:rPr>
            </w:pPr>
          </w:p>
        </w:tc>
        <w:tc>
          <w:tcPr>
            <w:tcW w:w="1701" w:type="dxa"/>
            <w:noWrap w:val="0"/>
            <w:vAlign w:val="center"/>
          </w:tcPr>
          <w:p w14:paraId="34F034AD">
            <w:pPr>
              <w:pStyle w:val="170"/>
              <w:jc w:val="center"/>
              <w:rPr>
                <w:rFonts w:ascii="Times New Roman" w:hAnsi="Times New Roman"/>
                <w:color w:val="auto"/>
                <w:szCs w:val="21"/>
                <w:highlight w:val="none"/>
              </w:rPr>
            </w:pPr>
          </w:p>
        </w:tc>
        <w:tc>
          <w:tcPr>
            <w:tcW w:w="1417" w:type="dxa"/>
            <w:noWrap w:val="0"/>
            <w:vAlign w:val="center"/>
          </w:tcPr>
          <w:p w14:paraId="72C0B15A">
            <w:pPr>
              <w:pStyle w:val="170"/>
              <w:jc w:val="center"/>
              <w:rPr>
                <w:rFonts w:ascii="Times New Roman" w:hAnsi="Times New Roman"/>
                <w:color w:val="auto"/>
                <w:szCs w:val="21"/>
                <w:highlight w:val="none"/>
              </w:rPr>
            </w:pPr>
          </w:p>
        </w:tc>
        <w:tc>
          <w:tcPr>
            <w:tcW w:w="851" w:type="dxa"/>
            <w:noWrap w:val="0"/>
            <w:vAlign w:val="center"/>
          </w:tcPr>
          <w:p w14:paraId="203A6DAE">
            <w:pPr>
              <w:pStyle w:val="170"/>
              <w:jc w:val="center"/>
              <w:rPr>
                <w:rFonts w:ascii="Times New Roman" w:hAnsi="Times New Roman"/>
                <w:color w:val="auto"/>
                <w:szCs w:val="21"/>
                <w:highlight w:val="none"/>
              </w:rPr>
            </w:pPr>
          </w:p>
        </w:tc>
        <w:tc>
          <w:tcPr>
            <w:tcW w:w="992" w:type="dxa"/>
            <w:noWrap w:val="0"/>
            <w:vAlign w:val="center"/>
          </w:tcPr>
          <w:p w14:paraId="55345232">
            <w:pPr>
              <w:pStyle w:val="170"/>
              <w:jc w:val="center"/>
              <w:rPr>
                <w:rFonts w:ascii="Times New Roman" w:hAnsi="Times New Roman"/>
                <w:color w:val="auto"/>
                <w:szCs w:val="21"/>
                <w:highlight w:val="none"/>
              </w:rPr>
            </w:pPr>
          </w:p>
        </w:tc>
        <w:tc>
          <w:tcPr>
            <w:tcW w:w="1134" w:type="dxa"/>
            <w:noWrap w:val="0"/>
            <w:vAlign w:val="center"/>
          </w:tcPr>
          <w:p w14:paraId="19C1F7D2">
            <w:pPr>
              <w:pStyle w:val="170"/>
              <w:jc w:val="center"/>
              <w:rPr>
                <w:rFonts w:ascii="Times New Roman" w:hAnsi="Times New Roman"/>
                <w:color w:val="auto"/>
                <w:szCs w:val="21"/>
                <w:highlight w:val="none"/>
              </w:rPr>
            </w:pPr>
          </w:p>
        </w:tc>
        <w:tc>
          <w:tcPr>
            <w:tcW w:w="790" w:type="dxa"/>
            <w:noWrap w:val="0"/>
            <w:vAlign w:val="center"/>
          </w:tcPr>
          <w:p w14:paraId="19334180">
            <w:pPr>
              <w:pStyle w:val="170"/>
              <w:jc w:val="center"/>
              <w:rPr>
                <w:rFonts w:ascii="Times New Roman" w:hAnsi="Times New Roman"/>
                <w:color w:val="auto"/>
                <w:szCs w:val="21"/>
                <w:highlight w:val="none"/>
              </w:rPr>
            </w:pPr>
          </w:p>
        </w:tc>
        <w:tc>
          <w:tcPr>
            <w:tcW w:w="957" w:type="dxa"/>
            <w:noWrap w:val="0"/>
            <w:vAlign w:val="center"/>
          </w:tcPr>
          <w:p w14:paraId="2D637019">
            <w:pPr>
              <w:pStyle w:val="170"/>
              <w:jc w:val="center"/>
              <w:rPr>
                <w:rFonts w:ascii="Times New Roman" w:hAnsi="Times New Roman"/>
                <w:color w:val="auto"/>
                <w:szCs w:val="21"/>
                <w:highlight w:val="none"/>
              </w:rPr>
            </w:pPr>
          </w:p>
        </w:tc>
        <w:tc>
          <w:tcPr>
            <w:tcW w:w="957" w:type="dxa"/>
            <w:noWrap w:val="0"/>
            <w:vAlign w:val="center"/>
          </w:tcPr>
          <w:p w14:paraId="43225CB1">
            <w:pPr>
              <w:pStyle w:val="170"/>
              <w:jc w:val="center"/>
              <w:rPr>
                <w:rFonts w:ascii="Times New Roman" w:hAnsi="Times New Roman"/>
                <w:color w:val="auto"/>
                <w:szCs w:val="21"/>
                <w:highlight w:val="none"/>
              </w:rPr>
            </w:pPr>
          </w:p>
        </w:tc>
      </w:tr>
      <w:tr w14:paraId="1250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182DEA38">
            <w:pPr>
              <w:pStyle w:val="170"/>
              <w:jc w:val="center"/>
              <w:rPr>
                <w:rFonts w:ascii="Times New Roman" w:hAnsi="Times New Roman"/>
                <w:color w:val="auto"/>
                <w:szCs w:val="21"/>
                <w:highlight w:val="none"/>
              </w:rPr>
            </w:pPr>
          </w:p>
        </w:tc>
        <w:tc>
          <w:tcPr>
            <w:tcW w:w="1701" w:type="dxa"/>
            <w:noWrap w:val="0"/>
            <w:vAlign w:val="center"/>
          </w:tcPr>
          <w:p w14:paraId="25F96786">
            <w:pPr>
              <w:pStyle w:val="170"/>
              <w:jc w:val="center"/>
              <w:rPr>
                <w:rFonts w:ascii="Times New Roman" w:hAnsi="Times New Roman"/>
                <w:color w:val="auto"/>
                <w:szCs w:val="21"/>
                <w:highlight w:val="none"/>
              </w:rPr>
            </w:pPr>
          </w:p>
        </w:tc>
        <w:tc>
          <w:tcPr>
            <w:tcW w:w="1417" w:type="dxa"/>
            <w:noWrap w:val="0"/>
            <w:vAlign w:val="center"/>
          </w:tcPr>
          <w:p w14:paraId="3505D0EA">
            <w:pPr>
              <w:pStyle w:val="170"/>
              <w:jc w:val="center"/>
              <w:rPr>
                <w:rFonts w:ascii="Times New Roman" w:hAnsi="Times New Roman"/>
                <w:color w:val="auto"/>
                <w:szCs w:val="21"/>
                <w:highlight w:val="none"/>
              </w:rPr>
            </w:pPr>
          </w:p>
        </w:tc>
        <w:tc>
          <w:tcPr>
            <w:tcW w:w="851" w:type="dxa"/>
            <w:noWrap w:val="0"/>
            <w:vAlign w:val="center"/>
          </w:tcPr>
          <w:p w14:paraId="25538F20">
            <w:pPr>
              <w:pStyle w:val="170"/>
              <w:jc w:val="center"/>
              <w:rPr>
                <w:rFonts w:ascii="Times New Roman" w:hAnsi="Times New Roman"/>
                <w:color w:val="auto"/>
                <w:szCs w:val="21"/>
                <w:highlight w:val="none"/>
              </w:rPr>
            </w:pPr>
          </w:p>
        </w:tc>
        <w:tc>
          <w:tcPr>
            <w:tcW w:w="992" w:type="dxa"/>
            <w:noWrap w:val="0"/>
            <w:vAlign w:val="center"/>
          </w:tcPr>
          <w:p w14:paraId="69440319">
            <w:pPr>
              <w:pStyle w:val="170"/>
              <w:jc w:val="center"/>
              <w:rPr>
                <w:rFonts w:ascii="Times New Roman" w:hAnsi="Times New Roman"/>
                <w:color w:val="auto"/>
                <w:szCs w:val="21"/>
                <w:highlight w:val="none"/>
              </w:rPr>
            </w:pPr>
          </w:p>
        </w:tc>
        <w:tc>
          <w:tcPr>
            <w:tcW w:w="1134" w:type="dxa"/>
            <w:noWrap w:val="0"/>
            <w:vAlign w:val="center"/>
          </w:tcPr>
          <w:p w14:paraId="3BDF5AE2">
            <w:pPr>
              <w:pStyle w:val="170"/>
              <w:jc w:val="center"/>
              <w:rPr>
                <w:rFonts w:ascii="Times New Roman" w:hAnsi="Times New Roman"/>
                <w:color w:val="auto"/>
                <w:szCs w:val="21"/>
                <w:highlight w:val="none"/>
              </w:rPr>
            </w:pPr>
          </w:p>
        </w:tc>
        <w:tc>
          <w:tcPr>
            <w:tcW w:w="790" w:type="dxa"/>
            <w:noWrap w:val="0"/>
            <w:vAlign w:val="center"/>
          </w:tcPr>
          <w:p w14:paraId="4070E309">
            <w:pPr>
              <w:pStyle w:val="170"/>
              <w:jc w:val="center"/>
              <w:rPr>
                <w:rFonts w:ascii="Times New Roman" w:hAnsi="Times New Roman"/>
                <w:color w:val="auto"/>
                <w:szCs w:val="21"/>
                <w:highlight w:val="none"/>
              </w:rPr>
            </w:pPr>
          </w:p>
        </w:tc>
        <w:tc>
          <w:tcPr>
            <w:tcW w:w="957" w:type="dxa"/>
            <w:noWrap w:val="0"/>
            <w:vAlign w:val="center"/>
          </w:tcPr>
          <w:p w14:paraId="10ADDFC2">
            <w:pPr>
              <w:pStyle w:val="170"/>
              <w:jc w:val="center"/>
              <w:rPr>
                <w:rFonts w:ascii="Times New Roman" w:hAnsi="Times New Roman"/>
                <w:color w:val="auto"/>
                <w:szCs w:val="21"/>
                <w:highlight w:val="none"/>
              </w:rPr>
            </w:pPr>
          </w:p>
        </w:tc>
        <w:tc>
          <w:tcPr>
            <w:tcW w:w="957" w:type="dxa"/>
            <w:noWrap w:val="0"/>
            <w:vAlign w:val="center"/>
          </w:tcPr>
          <w:p w14:paraId="1F6ECD17">
            <w:pPr>
              <w:pStyle w:val="170"/>
              <w:jc w:val="center"/>
              <w:rPr>
                <w:rFonts w:ascii="Times New Roman" w:hAnsi="Times New Roman"/>
                <w:color w:val="auto"/>
                <w:szCs w:val="21"/>
                <w:highlight w:val="none"/>
              </w:rPr>
            </w:pPr>
          </w:p>
        </w:tc>
      </w:tr>
      <w:tr w14:paraId="34C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70DFCF17">
            <w:pPr>
              <w:pStyle w:val="170"/>
              <w:jc w:val="center"/>
              <w:rPr>
                <w:rFonts w:ascii="Times New Roman" w:hAnsi="Times New Roman"/>
                <w:color w:val="auto"/>
                <w:szCs w:val="21"/>
                <w:highlight w:val="none"/>
              </w:rPr>
            </w:pPr>
          </w:p>
        </w:tc>
        <w:tc>
          <w:tcPr>
            <w:tcW w:w="1701" w:type="dxa"/>
            <w:noWrap w:val="0"/>
            <w:vAlign w:val="center"/>
          </w:tcPr>
          <w:p w14:paraId="75899384">
            <w:pPr>
              <w:pStyle w:val="170"/>
              <w:jc w:val="center"/>
              <w:rPr>
                <w:rFonts w:ascii="Times New Roman" w:hAnsi="Times New Roman"/>
                <w:color w:val="auto"/>
                <w:szCs w:val="21"/>
                <w:highlight w:val="none"/>
              </w:rPr>
            </w:pPr>
          </w:p>
        </w:tc>
        <w:tc>
          <w:tcPr>
            <w:tcW w:w="1417" w:type="dxa"/>
            <w:noWrap w:val="0"/>
            <w:vAlign w:val="center"/>
          </w:tcPr>
          <w:p w14:paraId="4AEB544C">
            <w:pPr>
              <w:pStyle w:val="170"/>
              <w:jc w:val="center"/>
              <w:rPr>
                <w:rFonts w:ascii="Times New Roman" w:hAnsi="Times New Roman"/>
                <w:color w:val="auto"/>
                <w:szCs w:val="21"/>
                <w:highlight w:val="none"/>
              </w:rPr>
            </w:pPr>
          </w:p>
        </w:tc>
        <w:tc>
          <w:tcPr>
            <w:tcW w:w="851" w:type="dxa"/>
            <w:noWrap w:val="0"/>
            <w:vAlign w:val="center"/>
          </w:tcPr>
          <w:p w14:paraId="77C1BCCF">
            <w:pPr>
              <w:pStyle w:val="170"/>
              <w:jc w:val="center"/>
              <w:rPr>
                <w:rFonts w:ascii="Times New Roman" w:hAnsi="Times New Roman"/>
                <w:color w:val="auto"/>
                <w:szCs w:val="21"/>
                <w:highlight w:val="none"/>
              </w:rPr>
            </w:pPr>
          </w:p>
        </w:tc>
        <w:tc>
          <w:tcPr>
            <w:tcW w:w="992" w:type="dxa"/>
            <w:noWrap w:val="0"/>
            <w:vAlign w:val="center"/>
          </w:tcPr>
          <w:p w14:paraId="55EA283C">
            <w:pPr>
              <w:pStyle w:val="170"/>
              <w:jc w:val="center"/>
              <w:rPr>
                <w:rFonts w:ascii="Times New Roman" w:hAnsi="Times New Roman"/>
                <w:color w:val="auto"/>
                <w:szCs w:val="21"/>
                <w:highlight w:val="none"/>
              </w:rPr>
            </w:pPr>
          </w:p>
        </w:tc>
        <w:tc>
          <w:tcPr>
            <w:tcW w:w="1134" w:type="dxa"/>
            <w:noWrap w:val="0"/>
            <w:vAlign w:val="center"/>
          </w:tcPr>
          <w:p w14:paraId="7E7DF799">
            <w:pPr>
              <w:pStyle w:val="170"/>
              <w:jc w:val="center"/>
              <w:rPr>
                <w:rFonts w:ascii="Times New Roman" w:hAnsi="Times New Roman"/>
                <w:color w:val="auto"/>
                <w:szCs w:val="21"/>
                <w:highlight w:val="none"/>
              </w:rPr>
            </w:pPr>
          </w:p>
        </w:tc>
        <w:tc>
          <w:tcPr>
            <w:tcW w:w="790" w:type="dxa"/>
            <w:noWrap w:val="0"/>
            <w:vAlign w:val="center"/>
          </w:tcPr>
          <w:p w14:paraId="57CCA1DE">
            <w:pPr>
              <w:pStyle w:val="170"/>
              <w:jc w:val="center"/>
              <w:rPr>
                <w:rFonts w:ascii="Times New Roman" w:hAnsi="Times New Roman"/>
                <w:color w:val="auto"/>
                <w:szCs w:val="21"/>
                <w:highlight w:val="none"/>
              </w:rPr>
            </w:pPr>
          </w:p>
        </w:tc>
        <w:tc>
          <w:tcPr>
            <w:tcW w:w="957" w:type="dxa"/>
            <w:noWrap w:val="0"/>
            <w:vAlign w:val="center"/>
          </w:tcPr>
          <w:p w14:paraId="352CDEFA">
            <w:pPr>
              <w:pStyle w:val="170"/>
              <w:jc w:val="center"/>
              <w:rPr>
                <w:rFonts w:ascii="Times New Roman" w:hAnsi="Times New Roman"/>
                <w:color w:val="auto"/>
                <w:szCs w:val="21"/>
                <w:highlight w:val="none"/>
              </w:rPr>
            </w:pPr>
          </w:p>
        </w:tc>
        <w:tc>
          <w:tcPr>
            <w:tcW w:w="957" w:type="dxa"/>
            <w:noWrap w:val="0"/>
            <w:vAlign w:val="center"/>
          </w:tcPr>
          <w:p w14:paraId="095750CF">
            <w:pPr>
              <w:pStyle w:val="170"/>
              <w:jc w:val="center"/>
              <w:rPr>
                <w:rFonts w:ascii="Times New Roman" w:hAnsi="Times New Roman"/>
                <w:color w:val="auto"/>
                <w:szCs w:val="21"/>
                <w:highlight w:val="none"/>
              </w:rPr>
            </w:pPr>
          </w:p>
        </w:tc>
      </w:tr>
      <w:tr w14:paraId="3CA7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394232F2">
            <w:pPr>
              <w:pStyle w:val="170"/>
              <w:jc w:val="center"/>
              <w:rPr>
                <w:rFonts w:ascii="Times New Roman" w:hAnsi="Times New Roman"/>
                <w:color w:val="auto"/>
                <w:szCs w:val="21"/>
                <w:highlight w:val="none"/>
              </w:rPr>
            </w:pPr>
          </w:p>
        </w:tc>
        <w:tc>
          <w:tcPr>
            <w:tcW w:w="1701" w:type="dxa"/>
            <w:noWrap w:val="0"/>
            <w:vAlign w:val="center"/>
          </w:tcPr>
          <w:p w14:paraId="55BBD67D">
            <w:pPr>
              <w:pStyle w:val="170"/>
              <w:jc w:val="center"/>
              <w:rPr>
                <w:rFonts w:ascii="Times New Roman" w:hAnsi="Times New Roman"/>
                <w:color w:val="auto"/>
                <w:szCs w:val="21"/>
                <w:highlight w:val="none"/>
              </w:rPr>
            </w:pPr>
          </w:p>
        </w:tc>
        <w:tc>
          <w:tcPr>
            <w:tcW w:w="1417" w:type="dxa"/>
            <w:noWrap w:val="0"/>
            <w:vAlign w:val="center"/>
          </w:tcPr>
          <w:p w14:paraId="05B635B8">
            <w:pPr>
              <w:pStyle w:val="170"/>
              <w:jc w:val="center"/>
              <w:rPr>
                <w:rFonts w:ascii="Times New Roman" w:hAnsi="Times New Roman"/>
                <w:color w:val="auto"/>
                <w:szCs w:val="21"/>
                <w:highlight w:val="none"/>
              </w:rPr>
            </w:pPr>
          </w:p>
        </w:tc>
        <w:tc>
          <w:tcPr>
            <w:tcW w:w="851" w:type="dxa"/>
            <w:noWrap w:val="0"/>
            <w:vAlign w:val="center"/>
          </w:tcPr>
          <w:p w14:paraId="6AEEDA63">
            <w:pPr>
              <w:pStyle w:val="170"/>
              <w:jc w:val="center"/>
              <w:rPr>
                <w:rFonts w:ascii="Times New Roman" w:hAnsi="Times New Roman"/>
                <w:color w:val="auto"/>
                <w:szCs w:val="21"/>
                <w:highlight w:val="none"/>
              </w:rPr>
            </w:pPr>
          </w:p>
        </w:tc>
        <w:tc>
          <w:tcPr>
            <w:tcW w:w="992" w:type="dxa"/>
            <w:noWrap w:val="0"/>
            <w:vAlign w:val="center"/>
          </w:tcPr>
          <w:p w14:paraId="35EE530D">
            <w:pPr>
              <w:pStyle w:val="170"/>
              <w:jc w:val="center"/>
              <w:rPr>
                <w:rFonts w:ascii="Times New Roman" w:hAnsi="Times New Roman"/>
                <w:color w:val="auto"/>
                <w:szCs w:val="21"/>
                <w:highlight w:val="none"/>
              </w:rPr>
            </w:pPr>
          </w:p>
        </w:tc>
        <w:tc>
          <w:tcPr>
            <w:tcW w:w="1134" w:type="dxa"/>
            <w:noWrap w:val="0"/>
            <w:vAlign w:val="center"/>
          </w:tcPr>
          <w:p w14:paraId="6568CF76">
            <w:pPr>
              <w:pStyle w:val="170"/>
              <w:jc w:val="center"/>
              <w:rPr>
                <w:rFonts w:ascii="Times New Roman" w:hAnsi="Times New Roman"/>
                <w:color w:val="auto"/>
                <w:szCs w:val="21"/>
                <w:highlight w:val="none"/>
              </w:rPr>
            </w:pPr>
          </w:p>
        </w:tc>
        <w:tc>
          <w:tcPr>
            <w:tcW w:w="790" w:type="dxa"/>
            <w:noWrap w:val="0"/>
            <w:vAlign w:val="center"/>
          </w:tcPr>
          <w:p w14:paraId="2CE866A6">
            <w:pPr>
              <w:pStyle w:val="170"/>
              <w:jc w:val="center"/>
              <w:rPr>
                <w:rFonts w:ascii="Times New Roman" w:hAnsi="Times New Roman"/>
                <w:color w:val="auto"/>
                <w:szCs w:val="21"/>
                <w:highlight w:val="none"/>
              </w:rPr>
            </w:pPr>
          </w:p>
        </w:tc>
        <w:tc>
          <w:tcPr>
            <w:tcW w:w="957" w:type="dxa"/>
            <w:noWrap w:val="0"/>
            <w:vAlign w:val="center"/>
          </w:tcPr>
          <w:p w14:paraId="5BE5F57A">
            <w:pPr>
              <w:pStyle w:val="170"/>
              <w:jc w:val="center"/>
              <w:rPr>
                <w:rFonts w:ascii="Times New Roman" w:hAnsi="Times New Roman"/>
                <w:color w:val="auto"/>
                <w:szCs w:val="21"/>
                <w:highlight w:val="none"/>
              </w:rPr>
            </w:pPr>
          </w:p>
        </w:tc>
        <w:tc>
          <w:tcPr>
            <w:tcW w:w="957" w:type="dxa"/>
            <w:noWrap w:val="0"/>
            <w:vAlign w:val="center"/>
          </w:tcPr>
          <w:p w14:paraId="205A8A38">
            <w:pPr>
              <w:pStyle w:val="170"/>
              <w:jc w:val="center"/>
              <w:rPr>
                <w:rFonts w:ascii="Times New Roman" w:hAnsi="Times New Roman"/>
                <w:color w:val="auto"/>
                <w:szCs w:val="21"/>
                <w:highlight w:val="none"/>
              </w:rPr>
            </w:pPr>
          </w:p>
        </w:tc>
      </w:tr>
    </w:tbl>
    <w:p w14:paraId="36F71453">
      <w:pPr>
        <w:pStyle w:val="170"/>
        <w:rPr>
          <w:rFonts w:ascii="Times New Roman" w:hAnsi="Times New Roman"/>
          <w:color w:val="auto"/>
          <w:szCs w:val="21"/>
          <w:highlight w:val="none"/>
        </w:rPr>
      </w:pPr>
    </w:p>
    <w:p w14:paraId="6744BD03">
      <w:pPr>
        <w:pStyle w:val="170"/>
        <w:spacing w:line="360" w:lineRule="auto"/>
        <w:rPr>
          <w:rFonts w:hint="eastAsia" w:asciiTheme="minorEastAsia" w:hAnsiTheme="minorEastAsia" w:eastAsiaTheme="minorEastAsia" w:cstheme="minorEastAsia"/>
          <w:color w:val="auto"/>
          <w:kern w:val="2"/>
          <w:sz w:val="21"/>
          <w:szCs w:val="21"/>
          <w:highlight w:val="none"/>
          <w:lang w:val="en-US" w:eastAsia="zh-CN" w:bidi="ar-SA"/>
        </w:rPr>
      </w:pPr>
    </w:p>
    <w:p w14:paraId="4BD3F83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C7CC1F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5226D23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F3481B">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57AEC1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DDEC9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E19948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1D25D8">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CD3B3C4">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B30D0DA">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3EA87CB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461879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3B49C8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CFCBF0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C65349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81DBA0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AC7AD07">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29BB6A6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BB981A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3A49D1">
      <w:pPr>
        <w:pStyle w:val="16"/>
        <w:numPr>
          <w:ilvl w:val="0"/>
          <w:numId w:val="0"/>
        </w:numPr>
        <w:rPr>
          <w:rFonts w:hint="eastAsia"/>
          <w:color w:val="auto"/>
          <w:highlight w:val="none"/>
          <w:lang w:val="en-US" w:eastAsia="zh-CN"/>
        </w:rPr>
      </w:pPr>
    </w:p>
    <w:p w14:paraId="5D8F4A52">
      <w:pPr>
        <w:pStyle w:val="16"/>
        <w:numPr>
          <w:ilvl w:val="0"/>
          <w:numId w:val="0"/>
        </w:numPr>
        <w:rPr>
          <w:rFonts w:hint="eastAsia"/>
          <w:color w:val="auto"/>
          <w:highlight w:val="none"/>
          <w:lang w:val="en-US" w:eastAsia="zh-CN"/>
        </w:rPr>
      </w:pPr>
    </w:p>
    <w:p w14:paraId="6E1650E0">
      <w:pPr>
        <w:pStyle w:val="3"/>
        <w:jc w:val="center"/>
        <w:rPr>
          <w:rFonts w:hint="eastAsia" w:ascii="宋体" w:hAnsi="宋体"/>
          <w:color w:val="auto"/>
          <w:highlight w:val="none"/>
        </w:rPr>
      </w:pPr>
      <w:r>
        <w:rPr>
          <w:rFonts w:hint="eastAsia" w:ascii="宋体" w:hAnsi="宋体"/>
          <w:color w:val="auto"/>
          <w:highlight w:val="none"/>
        </w:rPr>
        <w:t>第四节 报价文件格式</w:t>
      </w:r>
    </w:p>
    <w:p w14:paraId="73DA01AD">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5B1D4A4A">
      <w:pPr>
        <w:snapToGrid w:val="0"/>
        <w:spacing w:before="120" w:beforeLines="50" w:after="50"/>
        <w:rPr>
          <w:rFonts w:hint="eastAsia" w:ascii="宋体" w:hAnsi="宋体"/>
          <w:color w:val="auto"/>
          <w:sz w:val="24"/>
          <w:szCs w:val="20"/>
          <w:highlight w:val="none"/>
        </w:rPr>
      </w:pPr>
    </w:p>
    <w:p w14:paraId="18E16E40">
      <w:pPr>
        <w:snapToGrid w:val="0"/>
        <w:spacing w:before="120" w:beforeLines="50" w:after="50"/>
        <w:rPr>
          <w:rFonts w:hint="eastAsia" w:ascii="宋体" w:hAnsi="宋体"/>
          <w:color w:val="auto"/>
          <w:sz w:val="24"/>
          <w:szCs w:val="20"/>
          <w:highlight w:val="none"/>
        </w:rPr>
      </w:pPr>
    </w:p>
    <w:p w14:paraId="7D3F63E6">
      <w:pPr>
        <w:snapToGrid w:val="0"/>
        <w:spacing w:before="120" w:beforeLines="50" w:after="50"/>
        <w:rPr>
          <w:rFonts w:hint="eastAsia" w:ascii="宋体" w:hAnsi="宋体"/>
          <w:color w:val="auto"/>
          <w:sz w:val="24"/>
          <w:szCs w:val="20"/>
          <w:highlight w:val="none"/>
        </w:rPr>
      </w:pPr>
    </w:p>
    <w:p w14:paraId="570FBD8A">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 xml:space="preserve">报 </w:t>
      </w:r>
      <w:r>
        <w:rPr>
          <w:rFonts w:ascii="方正小标宋简体" w:hAnsi="方正小标宋简体" w:eastAsia="方正小标宋简体" w:cs="方正小标宋简体"/>
          <w:bCs/>
          <w:color w:val="auto"/>
          <w:sz w:val="44"/>
          <w:szCs w:val="44"/>
          <w:highlight w:val="none"/>
        </w:rPr>
        <w:t xml:space="preserve"> </w:t>
      </w:r>
      <w:r>
        <w:rPr>
          <w:rFonts w:hint="eastAsia" w:ascii="方正小标宋简体" w:hAnsi="方正小标宋简体" w:eastAsia="方正小标宋简体" w:cs="方正小标宋简体"/>
          <w:bCs/>
          <w:color w:val="auto"/>
          <w:sz w:val="44"/>
          <w:szCs w:val="44"/>
          <w:highlight w:val="none"/>
        </w:rPr>
        <w:t>价  文  件（封面）</w:t>
      </w:r>
    </w:p>
    <w:p w14:paraId="386DC6F1">
      <w:pPr>
        <w:snapToGrid w:val="0"/>
        <w:spacing w:before="120" w:beforeLines="50" w:after="50"/>
        <w:rPr>
          <w:rFonts w:hint="eastAsia" w:ascii="宋体" w:hAnsi="宋体"/>
          <w:bCs/>
          <w:color w:val="auto"/>
          <w:sz w:val="24"/>
          <w:szCs w:val="20"/>
          <w:highlight w:val="none"/>
        </w:rPr>
      </w:pPr>
    </w:p>
    <w:p w14:paraId="5804D3D8">
      <w:pPr>
        <w:snapToGrid w:val="0"/>
        <w:spacing w:before="120" w:beforeLines="50" w:after="50"/>
        <w:rPr>
          <w:rFonts w:hint="eastAsia" w:ascii="宋体" w:hAnsi="宋体"/>
          <w:bCs/>
          <w:color w:val="auto"/>
          <w:sz w:val="24"/>
          <w:szCs w:val="20"/>
          <w:highlight w:val="none"/>
        </w:rPr>
      </w:pPr>
    </w:p>
    <w:p w14:paraId="082F6F09">
      <w:pPr>
        <w:snapToGrid w:val="0"/>
        <w:spacing w:before="120" w:beforeLines="50" w:after="50"/>
        <w:rPr>
          <w:rFonts w:hint="eastAsia" w:ascii="宋体" w:hAnsi="宋体"/>
          <w:bCs/>
          <w:color w:val="auto"/>
          <w:sz w:val="24"/>
          <w:szCs w:val="20"/>
          <w:highlight w:val="none"/>
        </w:rPr>
      </w:pPr>
    </w:p>
    <w:p w14:paraId="5D510A2E">
      <w:pPr>
        <w:snapToGrid w:val="0"/>
        <w:spacing w:before="120" w:beforeLines="50" w:after="50"/>
        <w:rPr>
          <w:rFonts w:hint="eastAsia" w:ascii="宋体" w:hAnsi="宋体"/>
          <w:bCs/>
          <w:color w:val="auto"/>
          <w:sz w:val="24"/>
          <w:szCs w:val="20"/>
          <w:highlight w:val="none"/>
        </w:rPr>
      </w:pPr>
    </w:p>
    <w:p w14:paraId="4EFDBC1E">
      <w:pPr>
        <w:snapToGrid w:val="0"/>
        <w:spacing w:before="120" w:beforeLines="50" w:after="50"/>
        <w:rPr>
          <w:rFonts w:hint="eastAsia" w:ascii="宋体" w:hAnsi="宋体"/>
          <w:bCs/>
          <w:color w:val="auto"/>
          <w:sz w:val="24"/>
          <w:szCs w:val="20"/>
          <w:highlight w:val="none"/>
        </w:rPr>
      </w:pPr>
    </w:p>
    <w:p w14:paraId="07881D2C">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7B2671AD">
      <w:pPr>
        <w:snapToGrid w:val="0"/>
        <w:spacing w:before="120" w:beforeLines="50" w:after="50"/>
        <w:ind w:firstLine="720" w:firstLineChars="225"/>
        <w:rPr>
          <w:rFonts w:hint="eastAsia" w:ascii="宋体" w:hAnsi="宋体" w:cs="仿宋_GB2312"/>
          <w:bCs/>
          <w:color w:val="auto"/>
          <w:sz w:val="32"/>
          <w:szCs w:val="32"/>
          <w:highlight w:val="none"/>
        </w:rPr>
      </w:pPr>
    </w:p>
    <w:p w14:paraId="522F2E1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3CA5C9F0">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7CB1E00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9E2F512">
      <w:pPr>
        <w:snapToGrid w:val="0"/>
        <w:spacing w:before="120" w:beforeLines="50" w:after="50"/>
        <w:ind w:firstLine="720" w:firstLineChars="225"/>
        <w:rPr>
          <w:rFonts w:hint="eastAsia" w:ascii="宋体" w:hAnsi="宋体" w:cs="仿宋_GB2312"/>
          <w:bCs/>
          <w:color w:val="auto"/>
          <w:sz w:val="32"/>
          <w:szCs w:val="32"/>
          <w:highlight w:val="none"/>
        </w:rPr>
      </w:pPr>
    </w:p>
    <w:p w14:paraId="36A42500">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1D71DBB9">
      <w:pPr>
        <w:pStyle w:val="7"/>
        <w:snapToGrid w:val="0"/>
        <w:spacing w:before="50" w:after="50"/>
        <w:ind w:firstLine="720" w:firstLineChars="225"/>
        <w:rPr>
          <w:rFonts w:hint="eastAsia" w:ascii="宋体" w:hAnsi="宋体" w:cs="仿宋_GB2312"/>
          <w:bCs/>
          <w:color w:val="auto"/>
          <w:sz w:val="32"/>
          <w:szCs w:val="32"/>
          <w:highlight w:val="none"/>
        </w:rPr>
      </w:pPr>
    </w:p>
    <w:p w14:paraId="52D49CF0">
      <w:pPr>
        <w:pStyle w:val="7"/>
        <w:snapToGrid w:val="0"/>
        <w:spacing w:before="50" w:after="50"/>
        <w:ind w:firstLine="720" w:firstLineChars="225"/>
        <w:rPr>
          <w:rFonts w:hint="eastAsia" w:ascii="宋体" w:hAnsi="宋体" w:cs="仿宋_GB2312"/>
          <w:bCs/>
          <w:color w:val="auto"/>
          <w:sz w:val="32"/>
          <w:szCs w:val="32"/>
          <w:highlight w:val="none"/>
        </w:rPr>
      </w:pPr>
    </w:p>
    <w:p w14:paraId="3EC0693F">
      <w:pPr>
        <w:pStyle w:val="7"/>
        <w:snapToGrid w:val="0"/>
        <w:spacing w:before="50" w:after="50"/>
        <w:ind w:firstLine="1280" w:firstLineChars="400"/>
        <w:rPr>
          <w:rFonts w:hint="eastAsia" w:ascii="宋体" w:hAnsi="宋体" w:cs="仿宋_GB2312"/>
          <w:bCs/>
          <w:color w:val="auto"/>
          <w:sz w:val="32"/>
          <w:szCs w:val="32"/>
          <w:highlight w:val="none"/>
        </w:rPr>
      </w:pPr>
    </w:p>
    <w:p w14:paraId="2ED86C1E">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0A8FA70">
      <w:pPr>
        <w:snapToGrid w:val="0"/>
        <w:spacing w:before="120" w:beforeLines="50" w:after="50" w:line="480" w:lineRule="auto"/>
        <w:jc w:val="center"/>
        <w:rPr>
          <w:rFonts w:ascii="宋体" w:hAnsi="宋体"/>
          <w:color w:val="auto"/>
          <w:sz w:val="24"/>
          <w:highlight w:val="none"/>
        </w:rPr>
      </w:pPr>
      <w:r>
        <w:rPr>
          <w:rFonts w:ascii="宋体" w:hAnsi="宋体"/>
          <w:color w:val="auto"/>
          <w:sz w:val="24"/>
          <w:highlight w:val="none"/>
        </w:rPr>
        <w:br w:type="page"/>
      </w:r>
    </w:p>
    <w:p w14:paraId="1E6A7B3E">
      <w:pPr>
        <w:snapToGrid w:val="0"/>
        <w:spacing w:before="120" w:beforeLines="50" w:after="50" w:line="480" w:lineRule="auto"/>
        <w:jc w:val="center"/>
        <w:rPr>
          <w:rFonts w:ascii="宋体" w:hAnsi="宋体"/>
          <w:color w:val="auto"/>
          <w:sz w:val="24"/>
          <w:highlight w:val="none"/>
        </w:rPr>
      </w:pPr>
    </w:p>
    <w:p w14:paraId="14080E4B">
      <w:pPr>
        <w:snapToGrid w:val="0"/>
        <w:spacing w:before="120"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报价文件目录</w:t>
      </w:r>
    </w:p>
    <w:p w14:paraId="4EE8D7B6">
      <w:pPr>
        <w:spacing w:line="480" w:lineRule="auto"/>
        <w:rPr>
          <w:rFonts w:hint="eastAsia" w:ascii="宋体" w:hAnsi="宋体" w:cs="宋体"/>
          <w:color w:val="auto"/>
          <w:sz w:val="24"/>
          <w:szCs w:val="24"/>
          <w:highlight w:val="none"/>
        </w:rPr>
      </w:pPr>
    </w:p>
    <w:p w14:paraId="5D72C0EF">
      <w:pPr>
        <w:pStyle w:val="16"/>
        <w:spacing w:line="480" w:lineRule="auto"/>
        <w:rPr>
          <w:rFonts w:hint="eastAsia"/>
          <w:color w:val="auto"/>
          <w:highlight w:val="none"/>
        </w:rPr>
      </w:pPr>
    </w:p>
    <w:p w14:paraId="3D52A166">
      <w:pPr>
        <w:numPr>
          <w:ilvl w:val="0"/>
          <w:numId w:val="0"/>
        </w:numPr>
        <w:spacing w:line="360" w:lineRule="auto"/>
        <w:jc w:val="distribute"/>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一、</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w:t>
      </w: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color w:val="auto"/>
          <w:kern w:val="0"/>
          <w:sz w:val="24"/>
          <w:szCs w:val="24"/>
          <w:highlight w:val="none"/>
        </w:rPr>
        <w:t>………………………………………（页码）</w:t>
      </w:r>
    </w:p>
    <w:p w14:paraId="7E77EC3B">
      <w:pPr>
        <w:pStyle w:val="18"/>
        <w:numPr>
          <w:ilvl w:val="0"/>
          <w:numId w:val="0"/>
        </w:numPr>
        <w:spacing w:line="360" w:lineRule="auto"/>
        <w:jc w:val="distribute"/>
        <w:rPr>
          <w:rFonts w:hint="eastAsia"/>
          <w:color w:val="auto"/>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二</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函附</w:t>
      </w:r>
      <w:r>
        <w:rPr>
          <w:rFonts w:hint="eastAsia" w:asciiTheme="minorEastAsia" w:hAnsiTheme="minorEastAsia" w:eastAsiaTheme="minorEastAsia" w:cstheme="minorEastAsia"/>
          <w:b w:val="0"/>
          <w:bCs w:val="0"/>
          <w:color w:val="auto"/>
          <w:spacing w:val="2"/>
          <w:sz w:val="24"/>
          <w:szCs w:val="24"/>
          <w:highlight w:val="none"/>
        </w:rPr>
        <w:t>表………………………………………………………………（页码）</w:t>
      </w:r>
    </w:p>
    <w:p w14:paraId="1D1CC8F7">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三</w:t>
      </w:r>
      <w:r>
        <w:rPr>
          <w:rFonts w:hint="eastAsia" w:asciiTheme="minorEastAsia" w:hAnsiTheme="minorEastAsia" w:eastAsiaTheme="minorEastAsia" w:cstheme="minorEastAsia"/>
          <w:b w:val="0"/>
          <w:bCs w:val="0"/>
          <w:color w:val="auto"/>
          <w:spacing w:val="2"/>
          <w:sz w:val="24"/>
          <w:szCs w:val="24"/>
          <w:highlight w:val="none"/>
        </w:rPr>
        <w:t>、磋商报价表………………………………………………………………（页码）</w:t>
      </w:r>
    </w:p>
    <w:p w14:paraId="57E30D35">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四</w:t>
      </w:r>
      <w:r>
        <w:rPr>
          <w:rFonts w:hint="eastAsia" w:asciiTheme="minorEastAsia" w:hAnsiTheme="minorEastAsia" w:eastAsiaTheme="minorEastAsia" w:cstheme="minorEastAsia"/>
          <w:b w:val="0"/>
          <w:bCs w:val="0"/>
          <w:color w:val="auto"/>
          <w:spacing w:val="2"/>
          <w:sz w:val="24"/>
          <w:szCs w:val="24"/>
          <w:highlight w:val="none"/>
        </w:rPr>
        <w:t>、已标价的工程量清单报价有关材料……………………………………（页码）</w:t>
      </w:r>
    </w:p>
    <w:p w14:paraId="0333BDAA">
      <w:pPr>
        <w:pStyle w:val="5"/>
        <w:outlineLvl w:val="9"/>
        <w:rPr>
          <w:rFonts w:hint="eastAsia"/>
          <w:color w:val="auto"/>
          <w:highlight w:val="none"/>
          <w:lang w:val="en-US" w:eastAsia="zh-CN"/>
        </w:rPr>
      </w:pPr>
    </w:p>
    <w:p w14:paraId="7AC4782C">
      <w:pPr>
        <w:pStyle w:val="42"/>
        <w:rPr>
          <w:rFonts w:hint="eastAsia"/>
          <w:color w:val="auto"/>
          <w:highlight w:val="none"/>
          <w:lang w:val="en-US" w:eastAsia="zh-CN"/>
        </w:rPr>
      </w:pPr>
    </w:p>
    <w:p w14:paraId="07B829BF">
      <w:pPr>
        <w:pStyle w:val="42"/>
        <w:rPr>
          <w:rFonts w:hint="eastAsia"/>
          <w:color w:val="auto"/>
          <w:highlight w:val="none"/>
          <w:lang w:val="en-US" w:eastAsia="zh-CN"/>
        </w:rPr>
      </w:pPr>
    </w:p>
    <w:p w14:paraId="36A9EAD2">
      <w:pPr>
        <w:pStyle w:val="42"/>
        <w:rPr>
          <w:rFonts w:hint="eastAsia"/>
          <w:color w:val="auto"/>
          <w:highlight w:val="none"/>
          <w:lang w:val="en-US" w:eastAsia="zh-CN"/>
        </w:rPr>
      </w:pPr>
    </w:p>
    <w:p w14:paraId="508FAD93">
      <w:pPr>
        <w:pStyle w:val="42"/>
        <w:rPr>
          <w:rFonts w:hint="eastAsia"/>
          <w:color w:val="auto"/>
          <w:highlight w:val="none"/>
          <w:lang w:val="en-US" w:eastAsia="zh-CN"/>
        </w:rPr>
      </w:pPr>
    </w:p>
    <w:p w14:paraId="7B2407C2">
      <w:pPr>
        <w:pStyle w:val="42"/>
        <w:rPr>
          <w:rFonts w:hint="eastAsia"/>
          <w:color w:val="auto"/>
          <w:highlight w:val="none"/>
          <w:lang w:val="en-US" w:eastAsia="zh-CN"/>
        </w:rPr>
      </w:pPr>
    </w:p>
    <w:p w14:paraId="2B2B3848">
      <w:pPr>
        <w:pStyle w:val="42"/>
        <w:rPr>
          <w:rFonts w:hint="eastAsia"/>
          <w:color w:val="auto"/>
          <w:highlight w:val="none"/>
          <w:lang w:val="en-US" w:eastAsia="zh-CN"/>
        </w:rPr>
      </w:pPr>
    </w:p>
    <w:p w14:paraId="1BEF73EE">
      <w:pPr>
        <w:pStyle w:val="42"/>
        <w:rPr>
          <w:rFonts w:hint="eastAsia"/>
          <w:color w:val="auto"/>
          <w:highlight w:val="none"/>
          <w:lang w:val="en-US" w:eastAsia="zh-CN"/>
        </w:rPr>
      </w:pPr>
    </w:p>
    <w:p w14:paraId="4302B346">
      <w:pPr>
        <w:pStyle w:val="42"/>
        <w:rPr>
          <w:rFonts w:hint="eastAsia"/>
          <w:color w:val="auto"/>
          <w:highlight w:val="none"/>
          <w:lang w:val="en-US" w:eastAsia="zh-CN"/>
        </w:rPr>
      </w:pPr>
    </w:p>
    <w:p w14:paraId="633AB917">
      <w:pPr>
        <w:pStyle w:val="42"/>
        <w:rPr>
          <w:rFonts w:hint="eastAsia"/>
          <w:color w:val="auto"/>
          <w:highlight w:val="none"/>
          <w:lang w:val="en-US" w:eastAsia="zh-CN"/>
        </w:rPr>
      </w:pPr>
    </w:p>
    <w:p w14:paraId="7FFE8747">
      <w:pPr>
        <w:pStyle w:val="42"/>
        <w:rPr>
          <w:rFonts w:hint="eastAsia"/>
          <w:color w:val="auto"/>
          <w:highlight w:val="none"/>
          <w:lang w:val="en-US" w:eastAsia="zh-CN"/>
        </w:rPr>
      </w:pPr>
    </w:p>
    <w:p w14:paraId="48045D86">
      <w:pPr>
        <w:pStyle w:val="42"/>
        <w:rPr>
          <w:rFonts w:hint="eastAsia"/>
          <w:color w:val="auto"/>
          <w:highlight w:val="none"/>
          <w:lang w:val="en-US" w:eastAsia="zh-CN"/>
        </w:rPr>
      </w:pPr>
    </w:p>
    <w:p w14:paraId="5B88FF64">
      <w:pPr>
        <w:numPr>
          <w:ilvl w:val="0"/>
          <w:numId w:val="13"/>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w:t>
      </w:r>
    </w:p>
    <w:p w14:paraId="4228192D">
      <w:pPr>
        <w:shd w:val="clear"/>
        <w:spacing w:line="380" w:lineRule="exact"/>
        <w:rPr>
          <w:rFonts w:hint="eastAsia" w:asciiTheme="minorEastAsia" w:hAnsiTheme="minorEastAsia" w:eastAsiaTheme="minorEastAsia" w:cstheme="minorEastAsia"/>
          <w:color w:val="auto"/>
          <w:highlight w:val="none"/>
        </w:rPr>
      </w:pPr>
    </w:p>
    <w:p w14:paraId="004E4027">
      <w:pPr>
        <w:shd w:val="clear"/>
        <w:spacing w:line="380" w:lineRule="exact"/>
        <w:rPr>
          <w:rFonts w:hint="eastAsia" w:asciiTheme="minorEastAsia" w:hAnsiTheme="minorEastAsia" w:eastAsiaTheme="minorEastAsia" w:cstheme="minorEastAsia"/>
          <w:color w:val="auto"/>
          <w:highlight w:val="none"/>
        </w:rPr>
      </w:pPr>
    </w:p>
    <w:p w14:paraId="3C423418">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772DB91A">
      <w:pPr>
        <w:shd w:val="clear"/>
        <w:spacing w:line="380" w:lineRule="exact"/>
        <w:ind w:firstLine="63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我公司根据收到并研究了</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工程（项目编号：</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）的竞争性磋商采购文件，愿意按竞争性磋商采购文件规定的内容承担该工程的施工任务，严格执行</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所承诺的责任和义务。</w:t>
      </w:r>
    </w:p>
    <w:p w14:paraId="1622DD22">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spacing w:val="8"/>
          <w:highlight w:val="none"/>
        </w:rPr>
        <w:t>我单位经考察现场和研究上述工程竞争性磋商采购文件的磋商须知前附表及磋商须知、合同条件、工程建设标准及其他有关文件后，我方</w:t>
      </w:r>
      <w:r>
        <w:rPr>
          <w:rFonts w:hint="eastAsia" w:asciiTheme="minorEastAsia" w:hAnsiTheme="minorEastAsia" w:eastAsiaTheme="minorEastAsia" w:cstheme="minorEastAsia"/>
          <w:bCs/>
          <w:color w:val="auto"/>
          <w:highlight w:val="none"/>
        </w:rPr>
        <w:t>愿以：人民币</w:t>
      </w:r>
      <w:r>
        <w:rPr>
          <w:rFonts w:hint="eastAsia" w:asciiTheme="minorEastAsia" w:hAnsiTheme="minorEastAsia" w:eastAsiaTheme="minorEastAsia" w:cstheme="minorEastAsia"/>
          <w:bCs/>
          <w:color w:val="auto"/>
          <w:highlight w:val="none"/>
          <w:u w:val="single"/>
        </w:rPr>
        <w:t xml:space="preserve">（大写）                  （小写）            </w:t>
      </w:r>
      <w:r>
        <w:rPr>
          <w:rFonts w:hint="eastAsia" w:asciiTheme="minorEastAsia" w:hAnsiTheme="minorEastAsia" w:eastAsiaTheme="minorEastAsia" w:cstheme="minorEastAsia"/>
          <w:bCs/>
          <w:color w:val="auto"/>
          <w:highlight w:val="none"/>
        </w:rPr>
        <w:t>的磋商报价</w:t>
      </w:r>
      <w:r>
        <w:rPr>
          <w:rFonts w:hint="eastAsia" w:asciiTheme="minorEastAsia" w:hAnsiTheme="minorEastAsia" w:eastAsiaTheme="minorEastAsia" w:cstheme="minorEastAsia"/>
          <w:bCs/>
          <w:color w:val="auto"/>
          <w:spacing w:val="8"/>
          <w:highlight w:val="none"/>
        </w:rPr>
        <w:t>，安全文明施工费为：</w:t>
      </w:r>
      <w:r>
        <w:rPr>
          <w:rFonts w:hint="eastAsia" w:asciiTheme="minorEastAsia" w:hAnsiTheme="minorEastAsia" w:eastAsiaTheme="minorEastAsia" w:cstheme="minorEastAsia"/>
          <w:bCs/>
          <w:color w:val="auto"/>
          <w:highlight w:val="none"/>
        </w:rPr>
        <w:t>人民币</w:t>
      </w:r>
      <w:r>
        <w:rPr>
          <w:rFonts w:hint="eastAsia" w:asciiTheme="minorEastAsia" w:hAnsiTheme="minorEastAsia" w:eastAsiaTheme="minorEastAsia" w:cstheme="minorEastAsia"/>
          <w:bCs/>
          <w:color w:val="auto"/>
          <w:highlight w:val="none"/>
          <w:u w:val="single"/>
        </w:rPr>
        <w:t>（大写）                  （小写）            ，</w:t>
      </w:r>
      <w:r>
        <w:rPr>
          <w:rFonts w:hint="eastAsia" w:asciiTheme="minorEastAsia" w:hAnsiTheme="minorEastAsia" w:eastAsiaTheme="minorEastAsia" w:cstheme="minorEastAsia"/>
          <w:bCs/>
          <w:color w:val="auto"/>
          <w:highlight w:val="none"/>
        </w:rPr>
        <w:t>并按上述工程量清单、合</w:t>
      </w:r>
      <w:r>
        <w:rPr>
          <w:rFonts w:hint="eastAsia" w:asciiTheme="minorEastAsia" w:hAnsiTheme="minorEastAsia" w:eastAsiaTheme="minorEastAsia" w:cstheme="minorEastAsia"/>
          <w:color w:val="auto"/>
          <w:highlight w:val="none"/>
        </w:rPr>
        <w:t>同条款、工程建设标准的条件要求承包工程的施工、竣工，并承担任何质量缺陷保修责任。</w:t>
      </w:r>
    </w:p>
    <w:p w14:paraId="1F2C329E">
      <w:pPr>
        <w:pStyle w:val="24"/>
        <w:shd w:val="clear"/>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     3、一旦我方成交，我方保证：在签订合同后</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天内开工，</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天（日历天）内竣工并移交整个工程，并保证工程质量达到</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等级；</w:t>
      </w:r>
    </w:p>
    <w:p w14:paraId="5E6E7E3C">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4、我方同意所递交的响应文件在“磋商须知前附表及磋商须知”第13条规定的竞标有效期内有效，在此期间内我方的竞标有可能成交，我方将受此约束。</w:t>
      </w:r>
    </w:p>
    <w:p w14:paraId="1EB04515">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5、一旦成交，我公司保证按照竞争性磋商采购文件的要求和与采购人签订的工程施工合同，成立本工程的项目部，按响应文件拟订的项目经理和专业技术人员进驻施工现场实施施工合同。</w:t>
      </w:r>
    </w:p>
    <w:p w14:paraId="500C2D53">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我公司同意从竞标之日起至施工合同终止之日止，遵守本响应文件，在此期间，本响应文件一直对我公司具有约束力。同时，在制定和执行正式合同之前，除非另外达成协议并生效，本响应文件连同</w:t>
      </w:r>
      <w:r>
        <w:rPr>
          <w:rFonts w:hint="eastAsia" w:asciiTheme="minorEastAsia" w:hAnsiTheme="minorEastAsia" w:eastAsiaTheme="minorEastAsia" w:cstheme="minorEastAsia"/>
          <w:color w:val="auto"/>
          <w:spacing w:val="2"/>
          <w:highlight w:val="none"/>
        </w:rPr>
        <w:t>采购代理机构</w:t>
      </w:r>
      <w:r>
        <w:rPr>
          <w:rFonts w:hint="eastAsia" w:asciiTheme="minorEastAsia" w:hAnsiTheme="minorEastAsia" w:eastAsiaTheme="minorEastAsia" w:cstheme="minorEastAsia"/>
          <w:color w:val="auto"/>
          <w:highlight w:val="none"/>
        </w:rPr>
        <w:t>发出的成交通知书，应构成我们之间有约束力的合同。</w:t>
      </w:r>
    </w:p>
    <w:p w14:paraId="734DB846">
      <w:pPr>
        <w:shd w:val="clear"/>
        <w:spacing w:line="380" w:lineRule="exact"/>
        <w:rPr>
          <w:rFonts w:asciiTheme="minorEastAsia" w:hAnsiTheme="minorEastAsia" w:eastAsiaTheme="minorEastAsia" w:cstheme="minorEastAsia"/>
          <w:color w:val="auto"/>
          <w:highlight w:val="none"/>
        </w:rPr>
      </w:pPr>
    </w:p>
    <w:p w14:paraId="786A8B81">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：（盖章）                   法定代表人：（签字或电子签章）</w:t>
      </w:r>
    </w:p>
    <w:p w14:paraId="2D1033FE">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地址：                             邮政编码：</w:t>
      </w:r>
    </w:p>
    <w:p w14:paraId="2347DCFC">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电话：</w:t>
      </w:r>
    </w:p>
    <w:p w14:paraId="239BCAF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开户银行名称：                     </w:t>
      </w:r>
    </w:p>
    <w:p w14:paraId="354E784D">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银行</w:t>
      </w:r>
      <w:r>
        <w:rPr>
          <w:rFonts w:hint="eastAsia" w:asciiTheme="minorEastAsia" w:hAnsiTheme="minorEastAsia" w:eastAsiaTheme="minorEastAsia" w:cstheme="minorEastAsia"/>
          <w:color w:val="auto"/>
          <w:highlight w:val="none"/>
          <w:lang w:val="en-US" w:eastAsia="zh-CN"/>
        </w:rPr>
        <w:t>账</w:t>
      </w:r>
      <w:r>
        <w:rPr>
          <w:rFonts w:hint="eastAsia" w:asciiTheme="minorEastAsia" w:hAnsiTheme="minorEastAsia" w:eastAsiaTheme="minorEastAsia" w:cstheme="minorEastAsia"/>
          <w:color w:val="auto"/>
          <w:highlight w:val="none"/>
        </w:rPr>
        <w:t>号：</w:t>
      </w:r>
    </w:p>
    <w:p w14:paraId="002377B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开户行地址：     </w:t>
      </w:r>
    </w:p>
    <w:p w14:paraId="6CE13177">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日期：      年    月    日 </w:t>
      </w:r>
    </w:p>
    <w:p w14:paraId="14290A76">
      <w:pPr>
        <w:pStyle w:val="5"/>
        <w:keepNext/>
        <w:keepLines/>
        <w:widowControl w:val="0"/>
        <w:numPr>
          <w:ilvl w:val="0"/>
          <w:numId w:val="0"/>
        </w:numPr>
        <w:spacing w:line="360" w:lineRule="auto"/>
        <w:jc w:val="center"/>
        <w:outlineLvl w:val="9"/>
        <w:rPr>
          <w:rFonts w:hint="eastAsia"/>
          <w:color w:val="auto"/>
          <w:highlight w:val="none"/>
          <w:lang w:val="en-US" w:eastAsia="zh-CN"/>
        </w:rPr>
      </w:pPr>
      <w:r>
        <w:rPr>
          <w:rFonts w:hint="eastAsia" w:asciiTheme="minorEastAsia" w:hAnsiTheme="minorEastAsia" w:eastAsiaTheme="minorEastAsia" w:cstheme="minorEastAsia"/>
          <w:color w:val="auto"/>
          <w:highlight w:val="none"/>
        </w:rPr>
        <w:br w:type="page"/>
      </w:r>
    </w:p>
    <w:p w14:paraId="108EC678">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磋商函附表</w:t>
      </w:r>
    </w:p>
    <w:p w14:paraId="2C261060">
      <w:pPr>
        <w:pStyle w:val="18"/>
        <w:rPr>
          <w:rFonts w:hint="eastAsia" w:asciiTheme="minorEastAsia" w:hAnsiTheme="minorEastAsia" w:eastAsiaTheme="minorEastAsia" w:cstheme="minorEastAsia"/>
          <w:b/>
          <w:bCs/>
          <w:color w:val="auto"/>
          <w:kern w:val="0"/>
          <w:sz w:val="30"/>
          <w:szCs w:val="30"/>
          <w:highlight w:val="none"/>
          <w:lang w:val="en-US" w:eastAsia="zh-CN" w:bidi="ar-SA"/>
        </w:rPr>
      </w:pPr>
    </w:p>
    <w:tbl>
      <w:tblPr>
        <w:tblStyle w:val="43"/>
        <w:tblW w:w="93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985"/>
        <w:gridCol w:w="1822"/>
        <w:gridCol w:w="3672"/>
        <w:gridCol w:w="840"/>
      </w:tblGrid>
      <w:tr w14:paraId="699C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D216B1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 号</w:t>
            </w:r>
          </w:p>
        </w:tc>
        <w:tc>
          <w:tcPr>
            <w:tcW w:w="1985" w:type="dxa"/>
            <w:tcBorders>
              <w:top w:val="single" w:color="auto" w:sz="4" w:space="0"/>
              <w:left w:val="single" w:color="auto" w:sz="4" w:space="0"/>
              <w:bottom w:val="single" w:color="auto" w:sz="4" w:space="0"/>
              <w:right w:val="single" w:color="auto" w:sz="4" w:space="0"/>
            </w:tcBorders>
            <w:vAlign w:val="center"/>
          </w:tcPr>
          <w:p w14:paraId="6C55303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条款内容</w:t>
            </w:r>
          </w:p>
        </w:tc>
        <w:tc>
          <w:tcPr>
            <w:tcW w:w="1822" w:type="dxa"/>
            <w:tcBorders>
              <w:top w:val="single" w:color="auto" w:sz="4" w:space="0"/>
              <w:left w:val="single" w:color="auto" w:sz="4" w:space="0"/>
              <w:bottom w:val="single" w:color="auto" w:sz="4" w:space="0"/>
              <w:right w:val="single" w:color="auto" w:sz="4" w:space="0"/>
            </w:tcBorders>
            <w:vAlign w:val="center"/>
          </w:tcPr>
          <w:p w14:paraId="531336A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合同条款号</w:t>
            </w:r>
          </w:p>
        </w:tc>
        <w:tc>
          <w:tcPr>
            <w:tcW w:w="3672" w:type="dxa"/>
            <w:tcBorders>
              <w:top w:val="single" w:color="auto" w:sz="4" w:space="0"/>
              <w:left w:val="single" w:color="auto" w:sz="4" w:space="0"/>
              <w:bottom w:val="single" w:color="auto" w:sz="4" w:space="0"/>
              <w:right w:val="single" w:color="auto" w:sz="4" w:space="0"/>
            </w:tcBorders>
            <w:vAlign w:val="center"/>
          </w:tcPr>
          <w:p w14:paraId="24E34E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约定</w:t>
            </w:r>
            <w:r>
              <w:rPr>
                <w:rFonts w:hint="eastAsia" w:asciiTheme="minorEastAsia" w:hAnsiTheme="minorEastAsia" w:eastAsiaTheme="minorEastAsia" w:cstheme="minorEastAsia"/>
                <w:color w:val="auto"/>
                <w:highlight w:val="none"/>
              </w:rPr>
              <w:t>内容</w:t>
            </w:r>
          </w:p>
        </w:tc>
        <w:tc>
          <w:tcPr>
            <w:tcW w:w="840" w:type="dxa"/>
            <w:tcBorders>
              <w:top w:val="single" w:color="auto" w:sz="4" w:space="0"/>
              <w:left w:val="single" w:color="auto" w:sz="4" w:space="0"/>
              <w:bottom w:val="single" w:color="auto" w:sz="4" w:space="0"/>
              <w:right w:val="single" w:color="auto" w:sz="4" w:space="0"/>
            </w:tcBorders>
            <w:vAlign w:val="center"/>
          </w:tcPr>
          <w:p w14:paraId="1B1ADCB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275BF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10F9FE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p>
        </w:tc>
        <w:tc>
          <w:tcPr>
            <w:tcW w:w="1985" w:type="dxa"/>
            <w:tcBorders>
              <w:top w:val="single" w:color="auto" w:sz="4" w:space="0"/>
              <w:left w:val="single" w:color="auto" w:sz="4" w:space="0"/>
              <w:bottom w:val="single" w:color="auto" w:sz="4" w:space="0"/>
              <w:right w:val="single" w:color="auto" w:sz="4" w:space="0"/>
            </w:tcBorders>
            <w:vAlign w:val="center"/>
          </w:tcPr>
          <w:p w14:paraId="49B8D42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项目经理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DF08B7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A9A500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37E62D15">
            <w:pPr>
              <w:shd w:val="clear"/>
              <w:jc w:val="center"/>
              <w:rPr>
                <w:rFonts w:asciiTheme="minorEastAsia" w:hAnsiTheme="minorEastAsia" w:eastAsiaTheme="minorEastAsia" w:cstheme="minorEastAsia"/>
                <w:color w:val="auto"/>
                <w:highlight w:val="none"/>
              </w:rPr>
            </w:pPr>
          </w:p>
        </w:tc>
      </w:tr>
      <w:tr w14:paraId="19F8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138EEF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p>
        </w:tc>
        <w:tc>
          <w:tcPr>
            <w:tcW w:w="1985" w:type="dxa"/>
            <w:tcBorders>
              <w:top w:val="single" w:color="auto" w:sz="4" w:space="0"/>
              <w:left w:val="single" w:color="auto" w:sz="4" w:space="0"/>
              <w:bottom w:val="single" w:color="auto" w:sz="4" w:space="0"/>
              <w:right w:val="single" w:color="auto" w:sz="4" w:space="0"/>
            </w:tcBorders>
            <w:vAlign w:val="center"/>
          </w:tcPr>
          <w:p w14:paraId="05F279E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竞标</w:t>
            </w:r>
            <w:r>
              <w:rPr>
                <w:rFonts w:hint="eastAsia" w:asciiTheme="minorEastAsia" w:hAnsiTheme="minorEastAsia" w:eastAsiaTheme="minorEastAsia" w:cstheme="minorEastAsia"/>
                <w:color w:val="auto"/>
                <w:highlight w:val="none"/>
              </w:rPr>
              <w:t>有效期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9949FF">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B6DDA5C">
            <w:pPr>
              <w:shd w:val="clear"/>
              <w:jc w:val="center"/>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90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196DEB9F">
            <w:pPr>
              <w:shd w:val="clear"/>
              <w:jc w:val="center"/>
              <w:rPr>
                <w:rFonts w:asciiTheme="minorEastAsia" w:hAnsiTheme="minorEastAsia" w:eastAsiaTheme="minorEastAsia" w:cstheme="minorEastAsia"/>
                <w:color w:val="auto"/>
                <w:highlight w:val="none"/>
              </w:rPr>
            </w:pPr>
          </w:p>
        </w:tc>
      </w:tr>
      <w:tr w14:paraId="7F4E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DF36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w:t>
            </w:r>
          </w:p>
        </w:tc>
        <w:tc>
          <w:tcPr>
            <w:tcW w:w="1985" w:type="dxa"/>
            <w:tcBorders>
              <w:top w:val="single" w:color="auto" w:sz="4" w:space="0"/>
              <w:left w:val="single" w:color="auto" w:sz="4" w:space="0"/>
              <w:bottom w:val="single" w:color="auto" w:sz="4" w:space="0"/>
              <w:right w:val="single" w:color="auto" w:sz="4" w:space="0"/>
            </w:tcBorders>
            <w:vAlign w:val="center"/>
          </w:tcPr>
          <w:p w14:paraId="7EEE1EE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3C86DEF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D1D20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 xml:space="preserve"> 120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58C49454">
            <w:pPr>
              <w:shd w:val="clear"/>
              <w:jc w:val="center"/>
              <w:rPr>
                <w:rFonts w:asciiTheme="minorEastAsia" w:hAnsiTheme="minorEastAsia" w:eastAsiaTheme="minorEastAsia" w:cstheme="minorEastAsia"/>
                <w:color w:val="auto"/>
                <w:highlight w:val="none"/>
              </w:rPr>
            </w:pPr>
          </w:p>
        </w:tc>
      </w:tr>
      <w:tr w14:paraId="3D7F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1"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A55DD3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p>
        </w:tc>
        <w:tc>
          <w:tcPr>
            <w:tcW w:w="1985" w:type="dxa"/>
            <w:tcBorders>
              <w:top w:val="single" w:color="auto" w:sz="4" w:space="0"/>
              <w:left w:val="single" w:color="auto" w:sz="4" w:space="0"/>
              <w:bottom w:val="single" w:color="auto" w:sz="4" w:space="0"/>
              <w:right w:val="single" w:color="auto" w:sz="4" w:space="0"/>
            </w:tcBorders>
            <w:vAlign w:val="center"/>
          </w:tcPr>
          <w:p w14:paraId="743DAAE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缺陷责任期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2252FDE">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A17CDE">
            <w:pP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本工程缺陷责任期为</w:t>
            </w:r>
            <w:r>
              <w:rPr>
                <w:rFonts w:hint="eastAsia" w:asciiTheme="minorEastAsia" w:hAnsiTheme="minorEastAsia" w:eastAsiaTheme="minorEastAsia" w:cstheme="minorEastAsia"/>
                <w:color w:val="auto"/>
                <w:highlight w:val="none"/>
                <w:lang w:val="en-US" w:eastAsia="zh-CN"/>
              </w:rPr>
              <w:t>12个月</w:t>
            </w:r>
            <w:r>
              <w:rPr>
                <w:rFonts w:hint="eastAsia" w:asciiTheme="minorEastAsia" w:hAnsiTheme="minorEastAsia" w:eastAsiaTheme="minorEastAsia" w:cstheme="minorEastAsia"/>
                <w:color w:val="auto"/>
                <w:highlight w:val="none"/>
              </w:rPr>
              <w:t>，以竣工验收合格之日起计算，养护至竣工验收合格及完成接养手续为止。如工程质量不能满足竣工验收及接养要求的，整改期间承包人必须继续免费养护至竣工验收合格及完成接养手续为止。</w:t>
            </w:r>
          </w:p>
        </w:tc>
        <w:tc>
          <w:tcPr>
            <w:tcW w:w="840" w:type="dxa"/>
            <w:tcBorders>
              <w:top w:val="single" w:color="auto" w:sz="4" w:space="0"/>
              <w:left w:val="single" w:color="auto" w:sz="4" w:space="0"/>
              <w:bottom w:val="single" w:color="auto" w:sz="4" w:space="0"/>
              <w:right w:val="single" w:color="auto" w:sz="4" w:space="0"/>
            </w:tcBorders>
            <w:vAlign w:val="center"/>
          </w:tcPr>
          <w:p w14:paraId="00E101C1">
            <w:pPr>
              <w:shd w:val="clear"/>
              <w:jc w:val="center"/>
              <w:rPr>
                <w:rFonts w:asciiTheme="minorEastAsia" w:hAnsiTheme="minorEastAsia" w:eastAsiaTheme="minorEastAsia" w:cstheme="minorEastAsia"/>
                <w:color w:val="auto"/>
                <w:highlight w:val="none"/>
              </w:rPr>
            </w:pPr>
          </w:p>
        </w:tc>
      </w:tr>
      <w:tr w14:paraId="4E6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B35215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w:t>
            </w:r>
          </w:p>
        </w:tc>
        <w:tc>
          <w:tcPr>
            <w:tcW w:w="1985" w:type="dxa"/>
            <w:tcBorders>
              <w:top w:val="single" w:color="auto" w:sz="4" w:space="0"/>
              <w:left w:val="single" w:color="auto" w:sz="4" w:space="0"/>
              <w:bottom w:val="single" w:color="auto" w:sz="4" w:space="0"/>
              <w:right w:val="single" w:color="auto" w:sz="4" w:space="0"/>
            </w:tcBorders>
            <w:vAlign w:val="center"/>
          </w:tcPr>
          <w:p w14:paraId="3E22189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发包人支付担保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16171B7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6F0718F">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2C6F94D1">
            <w:pPr>
              <w:shd w:val="clear"/>
              <w:jc w:val="center"/>
              <w:rPr>
                <w:rFonts w:asciiTheme="minorEastAsia" w:hAnsiTheme="minorEastAsia" w:eastAsiaTheme="minorEastAsia" w:cstheme="minorEastAsia"/>
                <w:color w:val="auto"/>
                <w:highlight w:val="none"/>
              </w:rPr>
            </w:pPr>
          </w:p>
        </w:tc>
      </w:tr>
      <w:tr w14:paraId="31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AF9A7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p>
        </w:tc>
        <w:tc>
          <w:tcPr>
            <w:tcW w:w="1985" w:type="dxa"/>
            <w:tcBorders>
              <w:top w:val="single" w:color="auto" w:sz="4" w:space="0"/>
              <w:left w:val="single" w:color="auto" w:sz="4" w:space="0"/>
              <w:bottom w:val="single" w:color="auto" w:sz="4" w:space="0"/>
              <w:right w:val="single" w:color="auto" w:sz="4" w:space="0"/>
            </w:tcBorders>
            <w:vAlign w:val="center"/>
          </w:tcPr>
          <w:p w14:paraId="4118085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承包人履约担保金额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818545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1D5B4723">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53AD1FCD">
            <w:pPr>
              <w:shd w:val="clear"/>
              <w:jc w:val="center"/>
              <w:rPr>
                <w:rFonts w:asciiTheme="minorEastAsia" w:hAnsiTheme="minorEastAsia" w:eastAsiaTheme="minorEastAsia" w:cstheme="minorEastAsia"/>
                <w:color w:val="auto"/>
                <w:highlight w:val="none"/>
              </w:rPr>
            </w:pPr>
          </w:p>
        </w:tc>
      </w:tr>
      <w:tr w14:paraId="7095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870C65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w:t>
            </w:r>
          </w:p>
        </w:tc>
        <w:tc>
          <w:tcPr>
            <w:tcW w:w="1985" w:type="dxa"/>
            <w:tcBorders>
              <w:top w:val="single" w:color="auto" w:sz="4" w:space="0"/>
              <w:left w:val="single" w:color="auto" w:sz="4" w:space="0"/>
              <w:bottom w:val="single" w:color="auto" w:sz="4" w:space="0"/>
              <w:right w:val="single" w:color="auto" w:sz="4" w:space="0"/>
            </w:tcBorders>
            <w:vAlign w:val="center"/>
          </w:tcPr>
          <w:p w14:paraId="5BBEC5C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分包</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773FE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5C349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见分包项目情况表</w:t>
            </w:r>
          </w:p>
        </w:tc>
        <w:tc>
          <w:tcPr>
            <w:tcW w:w="840" w:type="dxa"/>
            <w:tcBorders>
              <w:top w:val="single" w:color="auto" w:sz="4" w:space="0"/>
              <w:left w:val="single" w:color="auto" w:sz="4" w:space="0"/>
              <w:bottom w:val="single" w:color="auto" w:sz="4" w:space="0"/>
              <w:right w:val="single" w:color="auto" w:sz="4" w:space="0"/>
            </w:tcBorders>
            <w:vAlign w:val="center"/>
          </w:tcPr>
          <w:p w14:paraId="5C39DCFB">
            <w:pPr>
              <w:shd w:val="clear"/>
              <w:jc w:val="center"/>
              <w:rPr>
                <w:rFonts w:asciiTheme="minorEastAsia" w:hAnsiTheme="minorEastAsia" w:eastAsiaTheme="minorEastAsia" w:cstheme="minorEastAsia"/>
                <w:color w:val="auto"/>
                <w:highlight w:val="none"/>
              </w:rPr>
            </w:pPr>
          </w:p>
        </w:tc>
      </w:tr>
      <w:tr w14:paraId="2D2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28F4C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w:t>
            </w:r>
          </w:p>
        </w:tc>
        <w:tc>
          <w:tcPr>
            <w:tcW w:w="1985" w:type="dxa"/>
            <w:tcBorders>
              <w:top w:val="single" w:color="auto" w:sz="4" w:space="0"/>
              <w:left w:val="single" w:color="auto" w:sz="4" w:space="0"/>
              <w:bottom w:val="single" w:color="auto" w:sz="4" w:space="0"/>
              <w:right w:val="single" w:color="auto" w:sz="4" w:space="0"/>
            </w:tcBorders>
            <w:vAlign w:val="center"/>
          </w:tcPr>
          <w:p w14:paraId="789F522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5B6BD4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4F027C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合同价款</w:t>
            </w:r>
            <w:r>
              <w:rPr>
                <w:rFonts w:hint="eastAsia" w:asciiTheme="minorEastAsia" w:hAnsiTheme="minorEastAsia" w:eastAsiaTheme="minorEastAsia" w:cstheme="minorEastAsia"/>
                <w:color w:val="auto"/>
                <w:highlight w:val="none"/>
                <w:u w:val="single"/>
                <w:lang w:val="en-US" w:eastAsia="zh-CN"/>
              </w:rPr>
              <w:t>0.02</w:t>
            </w:r>
            <w:r>
              <w:rPr>
                <w:rFonts w:hint="eastAsia" w:asciiTheme="minorEastAsia" w:hAnsiTheme="minorEastAsia" w:eastAsiaTheme="minorEastAsia" w:cstheme="minorEastAsia"/>
                <w:color w:val="auto"/>
                <w:highlight w:val="none"/>
                <w:u w:val="single"/>
              </w:rPr>
              <w:t>%</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rPr>
              <w:t>/天</w:t>
            </w:r>
          </w:p>
        </w:tc>
        <w:tc>
          <w:tcPr>
            <w:tcW w:w="840" w:type="dxa"/>
            <w:tcBorders>
              <w:top w:val="single" w:color="auto" w:sz="4" w:space="0"/>
              <w:left w:val="single" w:color="auto" w:sz="4" w:space="0"/>
              <w:bottom w:val="single" w:color="auto" w:sz="4" w:space="0"/>
              <w:right w:val="single" w:color="auto" w:sz="4" w:space="0"/>
            </w:tcBorders>
            <w:vAlign w:val="center"/>
          </w:tcPr>
          <w:p w14:paraId="4CA42E0A">
            <w:pPr>
              <w:shd w:val="clear"/>
              <w:jc w:val="center"/>
              <w:rPr>
                <w:rFonts w:asciiTheme="minorEastAsia" w:hAnsiTheme="minorEastAsia" w:eastAsiaTheme="minorEastAsia" w:cstheme="minorEastAsia"/>
                <w:color w:val="auto"/>
                <w:highlight w:val="none"/>
              </w:rPr>
            </w:pPr>
          </w:p>
        </w:tc>
      </w:tr>
      <w:tr w14:paraId="5A12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5BFA18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w:t>
            </w:r>
          </w:p>
        </w:tc>
        <w:tc>
          <w:tcPr>
            <w:tcW w:w="1985" w:type="dxa"/>
            <w:tcBorders>
              <w:top w:val="single" w:color="auto" w:sz="4" w:space="0"/>
              <w:left w:val="single" w:color="auto" w:sz="4" w:space="0"/>
              <w:bottom w:val="single" w:color="auto" w:sz="4" w:space="0"/>
              <w:right w:val="single" w:color="auto" w:sz="4" w:space="0"/>
            </w:tcBorders>
            <w:vAlign w:val="center"/>
          </w:tcPr>
          <w:p w14:paraId="3167487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逾期竣工违约金最高限额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801AA2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5807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w:t>
            </w:r>
            <w:r>
              <w:rPr>
                <w:rFonts w:hint="eastAsia" w:asciiTheme="minorEastAsia" w:hAnsiTheme="minorEastAsia" w:eastAsiaTheme="minorEastAsia" w:cstheme="minorEastAsia"/>
                <w:color w:val="auto"/>
                <w:highlight w:val="none"/>
                <w:u w:val="single"/>
                <w:lang w:val="en-US" w:eastAsia="zh-CN"/>
              </w:rPr>
              <w:t xml:space="preserve"> 5</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11B6A1E8">
            <w:pPr>
              <w:shd w:val="clear"/>
              <w:jc w:val="center"/>
              <w:rPr>
                <w:rFonts w:asciiTheme="minorEastAsia" w:hAnsiTheme="minorEastAsia" w:eastAsiaTheme="minorEastAsia" w:cstheme="minorEastAsia"/>
                <w:color w:val="auto"/>
                <w:highlight w:val="none"/>
              </w:rPr>
            </w:pPr>
          </w:p>
        </w:tc>
      </w:tr>
      <w:tr w14:paraId="5101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1675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w:t>
            </w:r>
          </w:p>
        </w:tc>
        <w:tc>
          <w:tcPr>
            <w:tcW w:w="1985" w:type="dxa"/>
            <w:tcBorders>
              <w:top w:val="single" w:color="auto" w:sz="4" w:space="0"/>
              <w:left w:val="single" w:color="auto" w:sz="4" w:space="0"/>
              <w:bottom w:val="single" w:color="auto" w:sz="4" w:space="0"/>
              <w:right w:val="single" w:color="auto" w:sz="4" w:space="0"/>
            </w:tcBorders>
            <w:vAlign w:val="center"/>
          </w:tcPr>
          <w:p w14:paraId="2BDE299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质量标准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7324E9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5B73A16D">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达到国家工程施工验收规范合格标准</w:t>
            </w:r>
          </w:p>
        </w:tc>
        <w:tc>
          <w:tcPr>
            <w:tcW w:w="840" w:type="dxa"/>
            <w:tcBorders>
              <w:top w:val="single" w:color="auto" w:sz="4" w:space="0"/>
              <w:left w:val="single" w:color="auto" w:sz="4" w:space="0"/>
              <w:bottom w:val="single" w:color="auto" w:sz="4" w:space="0"/>
              <w:right w:val="single" w:color="auto" w:sz="4" w:space="0"/>
            </w:tcBorders>
            <w:vAlign w:val="center"/>
          </w:tcPr>
          <w:p w14:paraId="221029EA">
            <w:pPr>
              <w:shd w:val="clear"/>
              <w:jc w:val="center"/>
              <w:rPr>
                <w:rFonts w:asciiTheme="minorEastAsia" w:hAnsiTheme="minorEastAsia" w:eastAsiaTheme="minorEastAsia" w:cstheme="minorEastAsia"/>
                <w:color w:val="auto"/>
                <w:highlight w:val="none"/>
              </w:rPr>
            </w:pPr>
          </w:p>
        </w:tc>
      </w:tr>
      <w:tr w14:paraId="7F35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E1B2D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p>
        </w:tc>
        <w:tc>
          <w:tcPr>
            <w:tcW w:w="1985" w:type="dxa"/>
            <w:tcBorders>
              <w:top w:val="single" w:color="auto" w:sz="4" w:space="0"/>
              <w:left w:val="single" w:color="auto" w:sz="4" w:space="0"/>
              <w:bottom w:val="single" w:color="auto" w:sz="4" w:space="0"/>
              <w:right w:val="single" w:color="auto" w:sz="4" w:space="0"/>
            </w:tcBorders>
            <w:vAlign w:val="center"/>
          </w:tcPr>
          <w:p w14:paraId="6E0922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901FFBD">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38F906D">
            <w:pPr>
              <w:shd w:val="clear"/>
              <w:jc w:val="left"/>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u w:val="single"/>
                <w:lang w:val="en-US" w:eastAsia="zh-CN"/>
              </w:rPr>
              <w:t>合同价款的30%</w:t>
            </w:r>
          </w:p>
        </w:tc>
        <w:tc>
          <w:tcPr>
            <w:tcW w:w="840" w:type="dxa"/>
            <w:tcBorders>
              <w:top w:val="single" w:color="auto" w:sz="4" w:space="0"/>
              <w:left w:val="single" w:color="auto" w:sz="4" w:space="0"/>
              <w:bottom w:val="single" w:color="auto" w:sz="4" w:space="0"/>
              <w:right w:val="single" w:color="auto" w:sz="4" w:space="0"/>
            </w:tcBorders>
            <w:vAlign w:val="center"/>
          </w:tcPr>
          <w:p w14:paraId="21D35378">
            <w:pPr>
              <w:shd w:val="clear"/>
              <w:jc w:val="center"/>
              <w:rPr>
                <w:rFonts w:asciiTheme="minorEastAsia" w:hAnsiTheme="minorEastAsia" w:eastAsiaTheme="minorEastAsia" w:cstheme="minorEastAsia"/>
                <w:color w:val="auto"/>
                <w:highlight w:val="none"/>
              </w:rPr>
            </w:pPr>
          </w:p>
        </w:tc>
      </w:tr>
      <w:tr w14:paraId="7B4E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5FCC9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p>
        </w:tc>
        <w:tc>
          <w:tcPr>
            <w:tcW w:w="1985" w:type="dxa"/>
            <w:tcBorders>
              <w:top w:val="single" w:color="auto" w:sz="4" w:space="0"/>
              <w:left w:val="single" w:color="auto" w:sz="4" w:space="0"/>
              <w:bottom w:val="single" w:color="auto" w:sz="4" w:space="0"/>
              <w:right w:val="single" w:color="auto" w:sz="4" w:space="0"/>
            </w:tcBorders>
            <w:vAlign w:val="center"/>
          </w:tcPr>
          <w:p w14:paraId="66A3BED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预付款保函金额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7A90909">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64A93164">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761EABFF">
            <w:pPr>
              <w:shd w:val="clear"/>
              <w:jc w:val="center"/>
              <w:rPr>
                <w:rFonts w:asciiTheme="minorEastAsia" w:hAnsiTheme="minorEastAsia" w:eastAsiaTheme="minorEastAsia" w:cstheme="minorEastAsia"/>
                <w:color w:val="auto"/>
                <w:highlight w:val="none"/>
              </w:rPr>
            </w:pPr>
          </w:p>
        </w:tc>
      </w:tr>
      <w:tr w14:paraId="050D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EA7F14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13</w:t>
            </w:r>
          </w:p>
        </w:tc>
        <w:tc>
          <w:tcPr>
            <w:tcW w:w="1985" w:type="dxa"/>
            <w:tcBorders>
              <w:top w:val="single" w:color="auto" w:sz="4" w:space="0"/>
              <w:left w:val="single" w:color="auto" w:sz="4" w:space="0"/>
              <w:bottom w:val="single" w:color="auto" w:sz="4" w:space="0"/>
              <w:right w:val="single" w:color="auto" w:sz="4" w:space="0"/>
            </w:tcBorders>
            <w:vAlign w:val="center"/>
          </w:tcPr>
          <w:p w14:paraId="1FE09C9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质量保证金额度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4F5D0BFF">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1C49E60">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结算价的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3</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4E03EEE4">
            <w:pPr>
              <w:shd w:val="clear"/>
              <w:jc w:val="center"/>
              <w:rPr>
                <w:rFonts w:asciiTheme="minorEastAsia" w:hAnsiTheme="minorEastAsia" w:eastAsiaTheme="minorEastAsia" w:cstheme="minorEastAsia"/>
                <w:color w:val="auto"/>
                <w:highlight w:val="none"/>
              </w:rPr>
            </w:pPr>
          </w:p>
        </w:tc>
      </w:tr>
      <w:tr w14:paraId="14F5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320FAD9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985" w:type="dxa"/>
            <w:tcBorders>
              <w:top w:val="single" w:color="auto" w:sz="4" w:space="0"/>
              <w:left w:val="single" w:color="auto" w:sz="4" w:space="0"/>
              <w:bottom w:val="single" w:color="auto" w:sz="4" w:space="0"/>
              <w:right w:val="single" w:color="auto" w:sz="4" w:space="0"/>
            </w:tcBorders>
            <w:vAlign w:val="center"/>
          </w:tcPr>
          <w:p w14:paraId="5397EF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A103B32">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B97B576">
            <w:pPr>
              <w:shd w:val="clear"/>
              <w:jc w:val="center"/>
              <w:rPr>
                <w:rFonts w:asciiTheme="minorEastAsia" w:hAnsiTheme="minorEastAsia" w:eastAsiaTheme="minorEastAsia" w:cstheme="minorEastAsia"/>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430C6A7F">
            <w:pPr>
              <w:shd w:val="clear"/>
              <w:jc w:val="center"/>
              <w:rPr>
                <w:rFonts w:asciiTheme="minorEastAsia" w:hAnsiTheme="minorEastAsia" w:eastAsiaTheme="minorEastAsia" w:cstheme="minorEastAsia"/>
                <w:color w:val="auto"/>
                <w:highlight w:val="none"/>
              </w:rPr>
            </w:pPr>
          </w:p>
        </w:tc>
      </w:tr>
      <w:tr w14:paraId="4392C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9311" w:type="dxa"/>
            <w:gridSpan w:val="5"/>
            <w:tcBorders>
              <w:top w:val="single" w:color="auto" w:sz="4" w:space="0"/>
              <w:left w:val="single" w:color="auto" w:sz="4" w:space="0"/>
              <w:bottom w:val="single" w:color="auto" w:sz="4" w:space="0"/>
              <w:right w:val="single" w:color="auto" w:sz="4" w:space="0"/>
            </w:tcBorders>
            <w:vAlign w:val="center"/>
          </w:tcPr>
          <w:p w14:paraId="4C782869">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备注：投标人在响应招标文件中规定的实质性要求和条件的基础上，可做出其他有利于招标人的承诺。此类承诺可在本表中予以补充填写。</w:t>
            </w:r>
          </w:p>
        </w:tc>
      </w:tr>
    </w:tbl>
    <w:p w14:paraId="3A035C32">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：(盖章)</w:t>
      </w:r>
    </w:p>
    <w:p w14:paraId="2B8EB263">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法定代表人：(签字或电子签章)</w:t>
      </w:r>
    </w:p>
    <w:p w14:paraId="7A6F71B8">
      <w:pPr>
        <w:pStyle w:val="24"/>
        <w:shd w:val="clear"/>
        <w:spacing w:line="440" w:lineRule="exact"/>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日期：         年        月        日</w:t>
      </w:r>
    </w:p>
    <w:p w14:paraId="469F4D44">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磋商报价表</w:t>
      </w:r>
    </w:p>
    <w:p w14:paraId="2D785B31">
      <w:pPr>
        <w:shd w:val="clear"/>
        <w:ind w:left="-178" w:leftChars="-85" w:right="-512" w:rightChars="-244" w:firstLine="630" w:firstLineChars="300"/>
        <w:jc w:val="left"/>
        <w:rPr>
          <w:rFonts w:hint="eastAsia" w:asciiTheme="minorEastAsia" w:hAnsiTheme="minorEastAsia" w:eastAsiaTheme="minorEastAsia" w:cstheme="minorEastAsia"/>
          <w:color w:val="auto"/>
          <w:highlight w:val="none"/>
        </w:rPr>
      </w:pPr>
    </w:p>
    <w:p w14:paraId="618F99A5">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639C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5F4798A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7E86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0225B6E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2DF9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D98F3F4">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0527CC6C">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539315ED">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CF78EC7">
            <w:pPr>
              <w:shd w:val="clear" w:color="auto" w:fill="auto"/>
              <w:jc w:val="center"/>
              <w:rPr>
                <w:rFonts w:ascii="宋体" w:hAnsi="宋体" w:eastAsia="宋体" w:cs="宋体"/>
                <w:color w:val="auto"/>
                <w:highlight w:val="none"/>
              </w:rPr>
            </w:pPr>
          </w:p>
        </w:tc>
      </w:tr>
      <w:tr w14:paraId="2A4A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51FA913A">
            <w:pPr>
              <w:widowControl/>
              <w:shd w:val="clear" w:color="auto" w:fill="auto"/>
              <w:jc w:val="center"/>
              <w:rPr>
                <w:rFonts w:ascii="宋体" w:hAnsi="宋体" w:eastAsia="宋体" w:cs="宋体"/>
                <w:color w:val="auto"/>
                <w:highlight w:val="none"/>
              </w:rPr>
            </w:pPr>
          </w:p>
        </w:tc>
        <w:tc>
          <w:tcPr>
            <w:tcW w:w="3116" w:type="dxa"/>
            <w:noWrap w:val="0"/>
            <w:vAlign w:val="center"/>
          </w:tcPr>
          <w:p w14:paraId="41DBFC68">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1DCFC216">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21243AE3">
            <w:pPr>
              <w:widowControl/>
              <w:shd w:val="clear" w:color="auto" w:fill="auto"/>
              <w:ind w:right="480"/>
              <w:rPr>
                <w:rFonts w:ascii="宋体" w:hAnsi="宋体" w:eastAsia="宋体" w:cs="宋体"/>
                <w:color w:val="auto"/>
                <w:highlight w:val="none"/>
              </w:rPr>
            </w:pPr>
          </w:p>
        </w:tc>
      </w:tr>
      <w:tr w14:paraId="13D1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84" w:type="dxa"/>
            <w:vMerge w:val="continue"/>
            <w:noWrap w:val="0"/>
            <w:vAlign w:val="center"/>
          </w:tcPr>
          <w:p w14:paraId="2CEC1155">
            <w:pPr>
              <w:widowControl/>
              <w:shd w:val="clear" w:color="auto" w:fill="auto"/>
              <w:jc w:val="center"/>
              <w:rPr>
                <w:rFonts w:ascii="宋体" w:hAnsi="宋体" w:eastAsia="宋体" w:cs="宋体"/>
                <w:color w:val="auto"/>
                <w:highlight w:val="none"/>
              </w:rPr>
            </w:pPr>
          </w:p>
        </w:tc>
        <w:tc>
          <w:tcPr>
            <w:tcW w:w="3116" w:type="dxa"/>
            <w:noWrap w:val="0"/>
            <w:vAlign w:val="center"/>
          </w:tcPr>
          <w:p w14:paraId="1DF73CB6">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3E3CFF6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78D267FD">
            <w:pPr>
              <w:widowControl/>
              <w:shd w:val="clear" w:color="auto" w:fill="auto"/>
              <w:ind w:right="480"/>
              <w:rPr>
                <w:rFonts w:ascii="宋体" w:hAnsi="宋体" w:eastAsia="宋体" w:cs="宋体"/>
                <w:color w:val="auto"/>
                <w:highlight w:val="none"/>
              </w:rPr>
            </w:pPr>
          </w:p>
        </w:tc>
      </w:tr>
      <w:tr w14:paraId="637C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20126CEB">
            <w:pPr>
              <w:widowControl/>
              <w:shd w:val="clear" w:color="auto" w:fill="auto"/>
              <w:jc w:val="center"/>
              <w:rPr>
                <w:rFonts w:ascii="宋体" w:hAnsi="宋体" w:eastAsia="宋体" w:cs="宋体"/>
                <w:color w:val="auto"/>
                <w:highlight w:val="none"/>
              </w:rPr>
            </w:pPr>
          </w:p>
        </w:tc>
        <w:tc>
          <w:tcPr>
            <w:tcW w:w="3116" w:type="dxa"/>
            <w:noWrap w:val="0"/>
            <w:vAlign w:val="center"/>
          </w:tcPr>
          <w:p w14:paraId="228EE44B">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643130AC">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6B51567">
            <w:pPr>
              <w:widowControl/>
              <w:shd w:val="clear" w:color="auto" w:fill="auto"/>
              <w:ind w:right="480"/>
              <w:rPr>
                <w:rFonts w:ascii="宋体" w:hAnsi="宋体" w:eastAsia="宋体" w:cs="宋体"/>
                <w:color w:val="auto"/>
                <w:highlight w:val="none"/>
              </w:rPr>
            </w:pPr>
          </w:p>
        </w:tc>
      </w:tr>
      <w:tr w14:paraId="620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84" w:type="dxa"/>
            <w:vMerge w:val="restart"/>
            <w:noWrap w:val="0"/>
            <w:vAlign w:val="center"/>
          </w:tcPr>
          <w:p w14:paraId="65B9ED99">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40DB166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1AB1CB4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4DC11C73">
            <w:pPr>
              <w:widowControl/>
              <w:shd w:val="clear" w:color="auto" w:fill="auto"/>
              <w:jc w:val="right"/>
              <w:rPr>
                <w:rFonts w:ascii="宋体" w:hAnsi="宋体" w:eastAsia="宋体" w:cs="宋体"/>
                <w:color w:val="auto"/>
                <w:highlight w:val="none"/>
              </w:rPr>
            </w:pPr>
          </w:p>
        </w:tc>
      </w:tr>
      <w:tr w14:paraId="25A5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5CEBBBF4">
            <w:pPr>
              <w:widowControl/>
              <w:shd w:val="clear" w:color="auto" w:fill="auto"/>
              <w:jc w:val="center"/>
              <w:rPr>
                <w:rFonts w:ascii="宋体" w:hAnsi="宋体" w:eastAsia="宋体" w:cs="宋体"/>
                <w:color w:val="auto"/>
                <w:highlight w:val="none"/>
              </w:rPr>
            </w:pPr>
          </w:p>
        </w:tc>
        <w:tc>
          <w:tcPr>
            <w:tcW w:w="3116" w:type="dxa"/>
            <w:noWrap w:val="0"/>
            <w:vAlign w:val="center"/>
          </w:tcPr>
          <w:p w14:paraId="3D127EB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69FF3881">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10A5F8F2">
            <w:pPr>
              <w:widowControl/>
              <w:shd w:val="clear" w:color="auto" w:fill="auto"/>
              <w:jc w:val="right"/>
              <w:rPr>
                <w:rFonts w:ascii="宋体" w:hAnsi="宋体" w:eastAsia="宋体" w:cs="宋体"/>
                <w:color w:val="auto"/>
                <w:highlight w:val="none"/>
              </w:rPr>
            </w:pPr>
          </w:p>
        </w:tc>
      </w:tr>
      <w:tr w14:paraId="3EEB1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3B1654BC">
            <w:pPr>
              <w:widowControl/>
              <w:shd w:val="clear" w:color="auto" w:fill="auto"/>
              <w:jc w:val="center"/>
              <w:rPr>
                <w:rFonts w:ascii="宋体" w:hAnsi="宋体" w:eastAsia="宋体" w:cs="宋体"/>
                <w:color w:val="auto"/>
                <w:highlight w:val="none"/>
              </w:rPr>
            </w:pPr>
          </w:p>
        </w:tc>
        <w:tc>
          <w:tcPr>
            <w:tcW w:w="3116" w:type="dxa"/>
            <w:noWrap w:val="0"/>
            <w:vAlign w:val="center"/>
          </w:tcPr>
          <w:p w14:paraId="79E71958">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0FD06093">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13FA3E4">
            <w:pPr>
              <w:widowControl/>
              <w:shd w:val="clear" w:color="auto" w:fill="auto"/>
              <w:jc w:val="right"/>
              <w:rPr>
                <w:rFonts w:ascii="宋体" w:hAnsi="宋体" w:eastAsia="宋体" w:cs="宋体"/>
                <w:color w:val="auto"/>
                <w:highlight w:val="none"/>
              </w:rPr>
            </w:pPr>
          </w:p>
        </w:tc>
      </w:tr>
      <w:tr w14:paraId="59CB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69168BBC">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04A32F90">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54340BCB">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52A6F84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D38C50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15DD10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B75EC80">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3EB7591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5F28B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3BF59D9">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C779EE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536E44C4">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6B21BE07">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475E00CE">
      <w:pPr>
        <w:shd w:val="clear"/>
        <w:spacing w:line="480" w:lineRule="auto"/>
        <w:ind w:firstLine="210" w:firstLineChars="100"/>
        <w:rPr>
          <w:rFonts w:hint="eastAsia" w:asciiTheme="minorEastAsia" w:hAnsiTheme="minorEastAsia" w:eastAsiaTheme="minorEastAsia" w:cstheme="minorEastAsia"/>
          <w:color w:val="auto"/>
          <w:highlight w:val="none"/>
        </w:rPr>
      </w:pPr>
    </w:p>
    <w:p w14:paraId="79ADE335">
      <w:pPr>
        <w:pStyle w:val="59"/>
        <w:rPr>
          <w:rFonts w:hint="eastAsia"/>
          <w:color w:val="auto"/>
          <w:highlight w:val="none"/>
        </w:rPr>
      </w:pPr>
    </w:p>
    <w:p w14:paraId="41B4F556">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2B988292">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03A934D8">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8EB1E45">
      <w:pPr>
        <w:pStyle w:val="16"/>
        <w:rPr>
          <w:rFonts w:hint="eastAsia" w:asciiTheme="minorEastAsia" w:hAnsiTheme="minorEastAsia" w:eastAsiaTheme="minorEastAsia" w:cstheme="minorEastAsia"/>
          <w:color w:val="auto"/>
          <w:highlight w:val="none"/>
        </w:rPr>
      </w:pPr>
    </w:p>
    <w:p w14:paraId="1921BBB2">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已标价的工程量清单报价有关材料</w:t>
      </w:r>
    </w:p>
    <w:p w14:paraId="2A51DE8E">
      <w:pPr>
        <w:pStyle w:val="5"/>
        <w:keepNext/>
        <w:keepLines/>
        <w:widowControl w:val="0"/>
        <w:numPr>
          <w:ilvl w:val="0"/>
          <w:numId w:val="0"/>
        </w:numPr>
        <w:spacing w:line="360" w:lineRule="auto"/>
        <w:jc w:val="center"/>
        <w:outlineLvl w:val="9"/>
        <w:rPr>
          <w:rFonts w:hint="eastAsia" w:asciiTheme="minorEastAsia" w:hAnsiTheme="minorEastAsia" w:eastAsiaTheme="minorEastAsia" w:cstheme="minorEastAsia"/>
          <w:color w:val="auto"/>
          <w:highlight w:val="none"/>
        </w:rPr>
      </w:pPr>
    </w:p>
    <w:p w14:paraId="13638E69">
      <w:pPr>
        <w:spacing w:line="360" w:lineRule="auto"/>
        <w:ind w:firstLine="420" w:firstLineChars="200"/>
        <w:rPr>
          <w:color w:val="auto"/>
          <w:highlight w:val="none"/>
        </w:rPr>
      </w:pPr>
      <w:r>
        <w:rPr>
          <w:rFonts w:hint="eastAsia"/>
          <w:color w:val="auto"/>
          <w:highlight w:val="none"/>
          <w:lang w:val="en-US" w:eastAsia="zh-CN"/>
        </w:rPr>
        <w:t>1.</w:t>
      </w:r>
      <w:r>
        <w:rPr>
          <w:color w:val="auto"/>
          <w:highlight w:val="none"/>
        </w:rPr>
        <w:t xml:space="preserve"> </w:t>
      </w:r>
      <w:r>
        <w:rPr>
          <w:rFonts w:hint="eastAsia" w:cs="宋体"/>
          <w:color w:val="auto"/>
          <w:highlight w:val="none"/>
          <w:lang w:eastAsia="zh-CN"/>
        </w:rPr>
        <w:t>供应商</w:t>
      </w:r>
      <w:r>
        <w:rPr>
          <w:rFonts w:hint="eastAsia" w:cs="宋体"/>
          <w:color w:val="auto"/>
          <w:highlight w:val="none"/>
        </w:rPr>
        <w:t>应依据</w:t>
      </w:r>
      <w:r>
        <w:rPr>
          <w:rFonts w:hint="eastAsia" w:cs="宋体"/>
          <w:color w:val="auto"/>
          <w:highlight w:val="none"/>
          <w:lang w:eastAsia="zh-CN"/>
        </w:rPr>
        <w:t>竞争性磋商</w:t>
      </w:r>
      <w:r>
        <w:rPr>
          <w:rFonts w:hint="eastAsia" w:cs="宋体"/>
          <w:color w:val="auto"/>
          <w:highlight w:val="none"/>
        </w:rPr>
        <w:t>文件、</w:t>
      </w:r>
      <w:r>
        <w:rPr>
          <w:rFonts w:hint="eastAsia" w:cs="宋体"/>
          <w:color w:val="auto"/>
          <w:highlight w:val="none"/>
          <w:lang w:eastAsia="zh-CN"/>
        </w:rPr>
        <w:t>招标</w:t>
      </w:r>
      <w:r>
        <w:rPr>
          <w:rFonts w:hint="eastAsia" w:cs="宋体"/>
          <w:color w:val="auto"/>
          <w:highlight w:val="none"/>
        </w:rPr>
        <w:t>工程量清单</w:t>
      </w:r>
      <w:r>
        <w:rPr>
          <w:rFonts w:hint="eastAsia" w:cs="宋体"/>
          <w:color w:val="auto"/>
          <w:highlight w:val="none"/>
          <w:lang w:eastAsia="zh-CN"/>
        </w:rPr>
        <w:t>、</w:t>
      </w:r>
      <w:r>
        <w:rPr>
          <w:rFonts w:hint="eastAsia" w:asciiTheme="minorEastAsia" w:hAnsiTheme="minorEastAsia" w:eastAsiaTheme="minorEastAsia" w:cstheme="minorEastAsia"/>
          <w:color w:val="auto"/>
          <w:highlight w:val="none"/>
        </w:rPr>
        <w:t>《(GB50500-2013)建设工程工程量清单计价规范》广西壮族自治区实施细则”</w:t>
      </w:r>
      <w:r>
        <w:rPr>
          <w:rFonts w:hint="eastAsia" w:cs="宋体"/>
          <w:color w:val="auto"/>
          <w:highlight w:val="none"/>
        </w:rPr>
        <w:t>、《计算规范》自主报价，自主报价</w:t>
      </w:r>
      <w:r>
        <w:rPr>
          <w:rFonts w:hint="eastAsia" w:hAnsi="宋体" w:cs="宋体"/>
          <w:color w:val="auto"/>
          <w:highlight w:val="none"/>
        </w:rPr>
        <w:t>不得违反计价规范强制性条文规定。</w:t>
      </w:r>
      <w:r>
        <w:rPr>
          <w:rFonts w:hint="eastAsia" w:cs="宋体"/>
          <w:color w:val="auto"/>
          <w:highlight w:val="none"/>
          <w:lang w:eastAsia="zh-CN"/>
        </w:rPr>
        <w:t>供应商</w:t>
      </w:r>
      <w:r>
        <w:rPr>
          <w:rFonts w:hint="eastAsia" w:cs="宋体"/>
          <w:color w:val="auto"/>
          <w:highlight w:val="none"/>
        </w:rPr>
        <w:t>不得采用总价让利或以百分比让利等形式进行报价，任何优惠（或降价、让利）均应反映在相应清单项目的综合单价中。同时，不得出现任意一项单价重大让利，</w:t>
      </w:r>
      <w:r>
        <w:rPr>
          <w:rFonts w:hint="eastAsia" w:hAnsi="宋体" w:cs="宋体"/>
          <w:color w:val="auto"/>
          <w:highlight w:val="none"/>
        </w:rPr>
        <w:t>不得以自有机械闲置、自有材料等不计成本为由</w:t>
      </w:r>
      <w:r>
        <w:rPr>
          <w:rFonts w:hint="eastAsia" w:cs="宋体"/>
          <w:color w:val="auto"/>
          <w:highlight w:val="none"/>
        </w:rPr>
        <w:t>低于工程成本报价。</w:t>
      </w:r>
    </w:p>
    <w:p w14:paraId="4FC62A8A">
      <w:pPr>
        <w:spacing w:line="360" w:lineRule="auto"/>
        <w:ind w:firstLine="420" w:firstLineChars="200"/>
        <w:rPr>
          <w:rFonts w:hAnsi="宋体"/>
          <w:color w:val="auto"/>
          <w:highlight w:val="none"/>
        </w:rPr>
      </w:pPr>
      <w:r>
        <w:rPr>
          <w:rFonts w:hint="eastAsia"/>
          <w:color w:val="auto"/>
          <w:highlight w:val="none"/>
          <w:lang w:val="en-US" w:eastAsia="zh-CN"/>
        </w:rPr>
        <w:t>2.</w:t>
      </w:r>
      <w:r>
        <w:rPr>
          <w:rFonts w:hint="eastAsia" w:cs="宋体"/>
          <w:color w:val="auto"/>
          <w:highlight w:val="none"/>
          <w:lang w:eastAsia="zh-CN"/>
        </w:rPr>
        <w:t>供应商</w:t>
      </w:r>
      <w:r>
        <w:rPr>
          <w:rFonts w:hint="eastAsia" w:cs="宋体"/>
          <w:color w:val="auto"/>
          <w:highlight w:val="none"/>
        </w:rPr>
        <w:t>应按招标工程量清单填报价格。项目编码、项目名称、项目特征、计量单位、工程量必须与招标工程量清单一致，</w:t>
      </w:r>
      <w:r>
        <w:rPr>
          <w:rFonts w:hint="eastAsia" w:cs="宋体"/>
          <w:color w:val="auto"/>
          <w:highlight w:val="none"/>
          <w:lang w:eastAsia="zh-CN"/>
        </w:rPr>
        <w:t>供应商</w:t>
      </w:r>
      <w:r>
        <w:rPr>
          <w:rFonts w:hint="eastAsia" w:hAnsi="宋体" w:cs="宋体"/>
          <w:color w:val="auto"/>
          <w:highlight w:val="none"/>
        </w:rPr>
        <w:t>不得对招标工程量清单项目进行增减调整。</w:t>
      </w:r>
    </w:p>
    <w:p w14:paraId="570572F9">
      <w:pPr>
        <w:spacing w:line="360" w:lineRule="auto"/>
        <w:ind w:firstLine="420" w:firstLineChars="200"/>
        <w:rPr>
          <w:color w:val="auto"/>
          <w:highlight w:val="none"/>
        </w:rPr>
      </w:pPr>
      <w:r>
        <w:rPr>
          <w:rFonts w:hint="eastAsia"/>
          <w:color w:val="auto"/>
          <w:highlight w:val="none"/>
          <w:lang w:val="en-US" w:eastAsia="zh-CN"/>
        </w:rPr>
        <w:t>3.</w:t>
      </w:r>
      <w:r>
        <w:rPr>
          <w:rFonts w:hint="eastAsia" w:cs="宋体"/>
          <w:color w:val="auto"/>
          <w:highlight w:val="none"/>
        </w:rPr>
        <w:t>综合单价中应包含</w:t>
      </w:r>
      <w:r>
        <w:rPr>
          <w:rFonts w:hint="eastAsia" w:cs="宋体"/>
          <w:color w:val="auto"/>
          <w:highlight w:val="none"/>
          <w:lang w:eastAsia="zh-CN"/>
        </w:rPr>
        <w:t>竞争性磋商</w:t>
      </w:r>
      <w:r>
        <w:rPr>
          <w:rFonts w:hint="eastAsia" w:cs="宋体"/>
          <w:color w:val="auto"/>
          <w:highlight w:val="none"/>
        </w:rPr>
        <w:t>文件中划分的应由</w:t>
      </w:r>
      <w:r>
        <w:rPr>
          <w:rFonts w:hint="eastAsia" w:cs="宋体"/>
          <w:color w:val="auto"/>
          <w:highlight w:val="none"/>
          <w:lang w:eastAsia="zh-CN"/>
        </w:rPr>
        <w:t>供应商</w:t>
      </w:r>
      <w:r>
        <w:rPr>
          <w:rFonts w:hint="eastAsia" w:cs="宋体"/>
          <w:color w:val="auto"/>
          <w:highlight w:val="none"/>
        </w:rPr>
        <w:t>承担的风险范围及其费用。</w:t>
      </w:r>
    </w:p>
    <w:p w14:paraId="44410CF8">
      <w:pPr>
        <w:spacing w:line="360" w:lineRule="auto"/>
        <w:ind w:firstLine="420" w:firstLineChars="200"/>
        <w:rPr>
          <w:rFonts w:hAnsi="宋体"/>
          <w:color w:val="auto"/>
          <w:highlight w:val="none"/>
        </w:rPr>
      </w:pPr>
      <w:r>
        <w:rPr>
          <w:rFonts w:hint="eastAsia"/>
          <w:color w:val="auto"/>
          <w:highlight w:val="none"/>
          <w:lang w:val="en-US" w:eastAsia="zh-CN"/>
        </w:rPr>
        <w:t>4.</w:t>
      </w:r>
      <w:r>
        <w:rPr>
          <w:rFonts w:hint="eastAsia" w:hAnsi="宋体" w:cs="宋体"/>
          <w:color w:val="auto"/>
          <w:highlight w:val="none"/>
        </w:rPr>
        <w:t>分部分项工程项目和单价措施项目，应根据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和招标工程量清单项目中的特征描述确定综合单价计算。如出现招标工程量清单特征描述与设计图纸不符时，</w:t>
      </w:r>
      <w:r>
        <w:rPr>
          <w:rFonts w:hint="eastAsia" w:hAnsi="宋体" w:cs="宋体"/>
          <w:color w:val="auto"/>
          <w:highlight w:val="none"/>
          <w:lang w:eastAsia="zh-CN"/>
        </w:rPr>
        <w:t>供应商</w:t>
      </w:r>
      <w:r>
        <w:rPr>
          <w:rFonts w:hint="eastAsia" w:hAnsi="宋体" w:cs="宋体"/>
          <w:color w:val="auto"/>
          <w:highlight w:val="none"/>
        </w:rPr>
        <w:t>应以招标工程量清单的项目特征描述为准，确定投标报价的综合单价。</w:t>
      </w:r>
    </w:p>
    <w:p w14:paraId="4FB33CDC">
      <w:pPr>
        <w:spacing w:line="360" w:lineRule="auto"/>
        <w:ind w:firstLine="420" w:firstLineChars="200"/>
        <w:rPr>
          <w:color w:val="auto"/>
          <w:highlight w:val="none"/>
        </w:rPr>
      </w:pPr>
      <w:r>
        <w:rPr>
          <w:rFonts w:hint="eastAsia"/>
          <w:color w:val="auto"/>
          <w:highlight w:val="none"/>
          <w:lang w:val="en-US" w:eastAsia="zh-CN"/>
        </w:rPr>
        <w:t>5.</w:t>
      </w:r>
      <w:r>
        <w:rPr>
          <w:rFonts w:hint="eastAsia" w:hAnsi="宋体" w:cs="宋体"/>
          <w:color w:val="auto"/>
          <w:highlight w:val="none"/>
        </w:rPr>
        <w:t>总价措施项目的金额应根据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及投标时拟定的施工组织设计或施工方案，按计价规范的规定自主确定。但</w:t>
      </w:r>
      <w:r>
        <w:rPr>
          <w:rFonts w:hint="eastAsia" w:cs="宋体"/>
          <w:color w:val="auto"/>
          <w:highlight w:val="none"/>
        </w:rPr>
        <w:t>安全文明施工费按国家、省级或行业建设主管部门的有关规定执行，作为不竞争费用单列。</w:t>
      </w:r>
    </w:p>
    <w:p w14:paraId="5EAFDCCB">
      <w:pPr>
        <w:spacing w:line="360" w:lineRule="auto"/>
        <w:ind w:firstLine="420" w:firstLineChars="200"/>
        <w:rPr>
          <w:color w:val="auto"/>
          <w:highlight w:val="none"/>
        </w:rPr>
      </w:pPr>
      <w:r>
        <w:rPr>
          <w:rFonts w:hint="eastAsia"/>
          <w:color w:val="auto"/>
          <w:highlight w:val="none"/>
          <w:lang w:val="en-US" w:eastAsia="zh-CN"/>
        </w:rPr>
        <w:t>6.</w:t>
      </w:r>
      <w:r>
        <w:rPr>
          <w:rFonts w:hint="eastAsia" w:cs="宋体"/>
          <w:color w:val="auto"/>
          <w:highlight w:val="none"/>
        </w:rPr>
        <w:t>其他项目费应按下列规定报价：</w:t>
      </w:r>
    </w:p>
    <w:p w14:paraId="1773C58F">
      <w:pPr>
        <w:spacing w:line="360" w:lineRule="auto"/>
        <w:ind w:firstLine="420" w:firstLineChars="200"/>
        <w:rPr>
          <w:color w:val="auto"/>
          <w:highlight w:val="none"/>
        </w:rPr>
      </w:pPr>
      <w:r>
        <w:rPr>
          <w:rFonts w:hint="eastAsia" w:cs="宋体"/>
          <w:color w:val="auto"/>
          <w:highlight w:val="none"/>
        </w:rPr>
        <w:t>（</w:t>
      </w:r>
      <w:r>
        <w:rPr>
          <w:color w:val="auto"/>
          <w:highlight w:val="none"/>
        </w:rPr>
        <w:t>1</w:t>
      </w:r>
      <w:r>
        <w:rPr>
          <w:rFonts w:hint="eastAsia" w:cs="宋体"/>
          <w:color w:val="auto"/>
          <w:highlight w:val="none"/>
        </w:rPr>
        <w:t>）暂列金额应按招标工程量清单中列出的金额填写；</w:t>
      </w:r>
    </w:p>
    <w:p w14:paraId="49D2BDA7">
      <w:pPr>
        <w:pStyle w:val="163"/>
        <w:spacing w:line="360" w:lineRule="auto"/>
        <w:ind w:firstLine="420" w:firstLineChars="200"/>
        <w:rPr>
          <w:color w:val="auto"/>
          <w:highlight w:val="none"/>
        </w:rPr>
      </w:pPr>
      <w:r>
        <w:rPr>
          <w:rFonts w:hint="eastAsia" w:cs="宋体"/>
          <w:color w:val="auto"/>
          <w:highlight w:val="none"/>
        </w:rPr>
        <w:t>（</w:t>
      </w:r>
      <w:r>
        <w:rPr>
          <w:color w:val="auto"/>
          <w:highlight w:val="none"/>
        </w:rPr>
        <w:t>2</w:t>
      </w:r>
      <w:r>
        <w:rPr>
          <w:rFonts w:hint="eastAsia" w:cs="宋体"/>
          <w:color w:val="auto"/>
          <w:highlight w:val="none"/>
        </w:rPr>
        <w:t>）材料、工程设备暂估价应按招标工程量清单中列出的单价计入综合单价；</w:t>
      </w:r>
    </w:p>
    <w:p w14:paraId="7E43A563">
      <w:pPr>
        <w:spacing w:line="360" w:lineRule="auto"/>
        <w:ind w:firstLine="420" w:firstLineChars="200"/>
        <w:rPr>
          <w:color w:val="auto"/>
          <w:highlight w:val="none"/>
        </w:rPr>
      </w:pPr>
      <w:r>
        <w:rPr>
          <w:rFonts w:hint="eastAsia" w:cs="宋体"/>
          <w:color w:val="auto"/>
          <w:highlight w:val="none"/>
        </w:rPr>
        <w:t>（</w:t>
      </w:r>
      <w:r>
        <w:rPr>
          <w:color w:val="auto"/>
          <w:highlight w:val="none"/>
        </w:rPr>
        <w:t>3</w:t>
      </w:r>
      <w:r>
        <w:rPr>
          <w:rFonts w:hint="eastAsia" w:cs="宋体"/>
          <w:color w:val="auto"/>
          <w:highlight w:val="none"/>
        </w:rPr>
        <w:t>）专业工程暂估价应按招标工程量清单中列出的金额填写；</w:t>
      </w:r>
    </w:p>
    <w:p w14:paraId="18F65D64">
      <w:pPr>
        <w:spacing w:line="360" w:lineRule="auto"/>
        <w:ind w:firstLine="420" w:firstLineChars="200"/>
        <w:rPr>
          <w:color w:val="auto"/>
          <w:highlight w:val="none"/>
        </w:rPr>
      </w:pPr>
      <w:r>
        <w:rPr>
          <w:rFonts w:hint="eastAsia" w:cs="宋体"/>
          <w:color w:val="auto"/>
          <w:highlight w:val="none"/>
        </w:rPr>
        <w:t>（</w:t>
      </w:r>
      <w:r>
        <w:rPr>
          <w:color w:val="auto"/>
          <w:highlight w:val="none"/>
        </w:rPr>
        <w:t>4</w:t>
      </w:r>
      <w:r>
        <w:rPr>
          <w:rFonts w:hint="eastAsia" w:cs="宋体"/>
          <w:color w:val="auto"/>
          <w:highlight w:val="none"/>
        </w:rPr>
        <w:t>）计日工应按招标工程量清单中列出的项目和估算数量，自主确定综合单价并计算计日工总额；计日工单价均不含规费和税金；</w:t>
      </w:r>
    </w:p>
    <w:p w14:paraId="2247A2FA">
      <w:pPr>
        <w:spacing w:line="360" w:lineRule="auto"/>
        <w:ind w:firstLine="420" w:firstLineChars="200"/>
        <w:rPr>
          <w:color w:val="auto"/>
          <w:highlight w:val="none"/>
        </w:rPr>
      </w:pPr>
      <w:r>
        <w:rPr>
          <w:rFonts w:hint="eastAsia" w:cs="宋体"/>
          <w:color w:val="auto"/>
          <w:highlight w:val="none"/>
        </w:rPr>
        <w:t>（</w:t>
      </w:r>
      <w:r>
        <w:rPr>
          <w:color w:val="auto"/>
          <w:highlight w:val="none"/>
        </w:rPr>
        <w:t>5</w:t>
      </w:r>
      <w:r>
        <w:rPr>
          <w:rFonts w:hint="eastAsia" w:cs="宋体"/>
          <w:color w:val="auto"/>
          <w:highlight w:val="none"/>
        </w:rPr>
        <w:t>）总承包服务费应根据招标工程量清单中列出的内容</w:t>
      </w:r>
      <w:r>
        <w:rPr>
          <w:rFonts w:hint="eastAsia" w:hAnsi="宋体" w:cs="宋体"/>
          <w:color w:val="auto"/>
          <w:highlight w:val="none"/>
        </w:rPr>
        <w:t>和供应材料、设备情况，按照招标人提出的协调、配合与服务要求和施工现场管理需要</w:t>
      </w:r>
      <w:r>
        <w:rPr>
          <w:rFonts w:hint="eastAsia" w:cs="宋体"/>
          <w:color w:val="auto"/>
          <w:highlight w:val="none"/>
        </w:rPr>
        <w:t>自主确定。</w:t>
      </w:r>
    </w:p>
    <w:p w14:paraId="70D035AA">
      <w:pPr>
        <w:spacing w:line="360" w:lineRule="auto"/>
        <w:ind w:firstLine="420" w:firstLineChars="200"/>
        <w:rPr>
          <w:color w:val="auto"/>
          <w:highlight w:val="none"/>
        </w:rPr>
      </w:pPr>
      <w:r>
        <w:rPr>
          <w:rFonts w:hint="eastAsia"/>
          <w:color w:val="auto"/>
          <w:highlight w:val="none"/>
          <w:lang w:val="en-US" w:eastAsia="zh-CN"/>
        </w:rPr>
        <w:t>7.</w:t>
      </w:r>
      <w:r>
        <w:rPr>
          <w:rFonts w:hint="eastAsia" w:cs="宋体"/>
          <w:color w:val="auto"/>
          <w:highlight w:val="none"/>
        </w:rPr>
        <w:t>规费和增值税应按规定确定，作为不可竞争费用。</w:t>
      </w:r>
    </w:p>
    <w:p w14:paraId="0965BDBB">
      <w:pPr>
        <w:spacing w:line="360" w:lineRule="auto"/>
        <w:ind w:firstLine="420" w:firstLineChars="200"/>
        <w:rPr>
          <w:color w:val="auto"/>
          <w:highlight w:val="none"/>
        </w:rPr>
      </w:pPr>
      <w:r>
        <w:rPr>
          <w:rFonts w:hint="eastAsia"/>
          <w:color w:val="auto"/>
          <w:highlight w:val="none"/>
          <w:lang w:val="en-US" w:eastAsia="zh-CN"/>
        </w:rPr>
        <w:t>8.</w:t>
      </w:r>
      <w:r>
        <w:rPr>
          <w:rFonts w:hint="eastAsia" w:cs="宋体"/>
          <w:color w:val="auto"/>
          <w:highlight w:val="none"/>
        </w:rPr>
        <w:t>招标工程量清单与计价表中列明的所有需要填写的单价和合价的项目，</w:t>
      </w:r>
      <w:r>
        <w:rPr>
          <w:rFonts w:hint="eastAsia" w:cs="宋体"/>
          <w:color w:val="auto"/>
          <w:highlight w:val="none"/>
          <w:lang w:eastAsia="zh-CN"/>
        </w:rPr>
        <w:t>供应商</w:t>
      </w:r>
      <w:r>
        <w:rPr>
          <w:rFonts w:hint="eastAsia" w:cs="宋体"/>
          <w:color w:val="auto"/>
          <w:highlight w:val="none"/>
        </w:rPr>
        <w:t>均应填写且只允许有一个报价。未填写单价和合价的项目，视为此项费用已包含在已标价工程量清单中其他项目的单价和合价之中。竣工结算时，此项目不得重新组价予以调整。</w:t>
      </w:r>
    </w:p>
    <w:p w14:paraId="0D50829F">
      <w:pPr>
        <w:spacing w:line="360" w:lineRule="auto"/>
        <w:ind w:firstLine="420" w:firstLineChars="200"/>
        <w:rPr>
          <w:color w:val="auto"/>
          <w:highlight w:val="none"/>
        </w:rPr>
      </w:pPr>
      <w:r>
        <w:rPr>
          <w:rFonts w:hint="eastAsia"/>
          <w:color w:val="auto"/>
          <w:highlight w:val="none"/>
          <w:lang w:val="en-US" w:eastAsia="zh-CN"/>
        </w:rPr>
        <w:t>9.</w:t>
      </w:r>
      <w:r>
        <w:rPr>
          <w:rFonts w:hint="eastAsia" w:cs="宋体"/>
          <w:color w:val="auto"/>
          <w:highlight w:val="none"/>
          <w:lang w:eastAsia="zh-CN"/>
        </w:rPr>
        <w:t>竞标</w:t>
      </w:r>
      <w:r>
        <w:rPr>
          <w:rFonts w:hint="eastAsia" w:cs="宋体"/>
          <w:color w:val="auto"/>
          <w:highlight w:val="none"/>
        </w:rPr>
        <w:t>总价应当与分部分项工程费、措施项目费、其他项目费和规费、增值税的合计金额一致。</w:t>
      </w:r>
    </w:p>
    <w:p w14:paraId="10D388D7">
      <w:pPr>
        <w:spacing w:line="360" w:lineRule="auto"/>
        <w:ind w:firstLine="420" w:firstLineChars="200"/>
        <w:rPr>
          <w:color w:val="auto"/>
          <w:highlight w:val="none"/>
        </w:rPr>
      </w:pPr>
      <w:r>
        <w:rPr>
          <w:rFonts w:hint="eastAsia"/>
          <w:color w:val="auto"/>
          <w:highlight w:val="none"/>
          <w:lang w:val="en-US" w:eastAsia="zh-CN"/>
        </w:rPr>
        <w:t>10.</w:t>
      </w:r>
      <w:r>
        <w:rPr>
          <w:rFonts w:hint="eastAsia" w:cs="宋体"/>
          <w:color w:val="auto"/>
          <w:highlight w:val="none"/>
          <w:lang w:eastAsia="zh-CN"/>
        </w:rPr>
        <w:t>供应商</w:t>
      </w:r>
      <w:r>
        <w:rPr>
          <w:rFonts w:hint="eastAsia" w:cs="宋体"/>
          <w:color w:val="auto"/>
          <w:highlight w:val="none"/>
        </w:rPr>
        <w:t>应按《承包人提供的主要材料和设备一览表》的内容填报，不得擅自调整材料和设备名称型号规格、单位、风险系数、基准单价。</w:t>
      </w:r>
    </w:p>
    <w:p w14:paraId="09509B13">
      <w:pPr>
        <w:spacing w:line="360" w:lineRule="auto"/>
        <w:ind w:firstLine="420" w:firstLineChars="200"/>
        <w:rPr>
          <w:rFonts w:hAnsi="宋体"/>
          <w:color w:val="auto"/>
          <w:highlight w:val="none"/>
        </w:rPr>
      </w:pPr>
      <w:r>
        <w:rPr>
          <w:rFonts w:hint="eastAsia"/>
          <w:color w:val="auto"/>
          <w:highlight w:val="none"/>
          <w:lang w:val="en-US" w:eastAsia="zh-CN"/>
        </w:rPr>
        <w:t>11.</w:t>
      </w:r>
      <w:r>
        <w:rPr>
          <w:rFonts w:hint="eastAsia" w:hAnsi="宋体" w:cs="宋体"/>
          <w:color w:val="auto"/>
          <w:highlight w:val="none"/>
          <w:lang w:eastAsia="zh-CN"/>
        </w:rPr>
        <w:t>竞标</w:t>
      </w:r>
      <w:r>
        <w:rPr>
          <w:rFonts w:hint="eastAsia" w:hAnsi="宋体" w:cs="宋体"/>
          <w:color w:val="auto"/>
          <w:highlight w:val="none"/>
        </w:rPr>
        <w:t>报价</w:t>
      </w:r>
      <w:r>
        <w:rPr>
          <w:rFonts w:hint="eastAsia" w:cs="宋体"/>
          <w:color w:val="auto"/>
          <w:highlight w:val="none"/>
        </w:rPr>
        <w:t>表格按本工程工程量清单表格要求填写，并</w:t>
      </w:r>
      <w:r>
        <w:rPr>
          <w:rFonts w:hint="eastAsia" w:hAnsi="宋体" w:cs="宋体"/>
          <w:color w:val="auto"/>
          <w:highlight w:val="none"/>
        </w:rPr>
        <w:t>应按招标文件</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要求，附上《工程量清单综合单价分析表》（表</w:t>
      </w:r>
      <w:r>
        <w:rPr>
          <w:color w:val="auto"/>
          <w:highlight w:val="none"/>
        </w:rPr>
        <w:t>-09</w:t>
      </w:r>
      <w:r>
        <w:rPr>
          <w:rFonts w:hint="eastAsia" w:hAnsi="宋体" w:cs="宋体"/>
          <w:color w:val="auto"/>
          <w:highlight w:val="none"/>
        </w:rPr>
        <w:t>）和《主要清单项目工料机分析表》（表</w:t>
      </w:r>
      <w:r>
        <w:rPr>
          <w:color w:val="auto"/>
          <w:highlight w:val="none"/>
        </w:rPr>
        <w:t>-10</w:t>
      </w:r>
      <w:r>
        <w:rPr>
          <w:rFonts w:hint="eastAsia" w:hAnsi="宋体" w:cs="宋体"/>
          <w:color w:val="auto"/>
          <w:highlight w:val="none"/>
        </w:rPr>
        <w:t>）。</w:t>
      </w:r>
    </w:p>
    <w:p w14:paraId="070D5C2A">
      <w:pPr>
        <w:spacing w:line="360" w:lineRule="auto"/>
        <w:ind w:firstLine="420" w:firstLineChars="200"/>
        <w:rPr>
          <w:rFonts w:hint="eastAsia" w:cs="宋体"/>
          <w:color w:val="auto"/>
          <w:highlight w:val="none"/>
        </w:rPr>
      </w:pPr>
      <w:r>
        <w:rPr>
          <w:rFonts w:hint="eastAsia" w:cs="宋体"/>
          <w:color w:val="auto"/>
          <w:highlight w:val="none"/>
        </w:rPr>
        <w:t>未尽事宜详见本工程招标工程量清单、招标控制价编制说明以及现行《计价规范》等有关规定执行。</w:t>
      </w:r>
    </w:p>
    <w:p w14:paraId="29C9E7E8">
      <w:pPr>
        <w:pStyle w:val="59"/>
        <w:rPr>
          <w:rFonts w:hint="default" w:eastAsia="宋体"/>
          <w:highlight w:val="none"/>
          <w:lang w:val="en-US" w:eastAsia="zh-CN"/>
        </w:rPr>
      </w:pPr>
      <w:r>
        <w:rPr>
          <w:rFonts w:hint="eastAsia"/>
          <w:highlight w:val="none"/>
          <w:lang w:val="en-US" w:eastAsia="zh-CN"/>
        </w:rPr>
        <w:t>本项目工程量清单及图纸另册发放。</w:t>
      </w:r>
    </w:p>
    <w:p w14:paraId="610B5FCA">
      <w:pPr>
        <w:rPr>
          <w:rFonts w:hint="eastAsia"/>
          <w:color w:val="auto"/>
          <w:highlight w:val="none"/>
          <w:lang w:eastAsia="zh-CN"/>
        </w:rPr>
      </w:pPr>
    </w:p>
    <w:p w14:paraId="21DA7274">
      <w:pPr>
        <w:rPr>
          <w:rFonts w:hint="eastAsia"/>
          <w:color w:val="auto"/>
          <w:highlight w:val="none"/>
          <w:lang w:eastAsia="zh-CN"/>
        </w:rPr>
      </w:pPr>
    </w:p>
    <w:p w14:paraId="0A544C58">
      <w:pPr>
        <w:rPr>
          <w:rFonts w:hint="eastAsia" w:asciiTheme="minorEastAsia" w:hAnsiTheme="minorEastAsia" w:eastAsiaTheme="minorEastAsia" w:cstheme="minorEastAsia"/>
          <w:color w:val="auto"/>
          <w:highlight w:val="none"/>
          <w:lang w:eastAsia="zh-CN"/>
        </w:rPr>
      </w:pPr>
    </w:p>
    <w:p w14:paraId="49667D20">
      <w:pPr>
        <w:pStyle w:val="18"/>
        <w:rPr>
          <w:rFonts w:hint="eastAsia" w:asciiTheme="minorEastAsia" w:hAnsiTheme="minorEastAsia" w:eastAsiaTheme="minorEastAsia" w:cstheme="minorEastAsia"/>
          <w:color w:val="auto"/>
          <w:highlight w:val="none"/>
          <w:lang w:eastAsia="zh-CN"/>
        </w:rPr>
      </w:pPr>
    </w:p>
    <w:p w14:paraId="75DB5D46">
      <w:pPr>
        <w:pStyle w:val="42"/>
        <w:rPr>
          <w:rFonts w:hint="eastAsia" w:asciiTheme="minorEastAsia" w:hAnsiTheme="minorEastAsia" w:eastAsiaTheme="minorEastAsia" w:cstheme="minorEastAsia"/>
          <w:color w:val="auto"/>
          <w:highlight w:val="none"/>
          <w:lang w:eastAsia="zh-CN"/>
        </w:rPr>
      </w:pPr>
    </w:p>
    <w:p w14:paraId="1EA917DE">
      <w:pPr>
        <w:pStyle w:val="42"/>
        <w:rPr>
          <w:rFonts w:hint="eastAsia" w:asciiTheme="minorEastAsia" w:hAnsiTheme="minorEastAsia" w:eastAsiaTheme="minorEastAsia" w:cstheme="minorEastAsia"/>
          <w:color w:val="auto"/>
          <w:highlight w:val="none"/>
          <w:lang w:eastAsia="zh-CN"/>
        </w:rPr>
      </w:pPr>
    </w:p>
    <w:p w14:paraId="56CB088B">
      <w:pPr>
        <w:pStyle w:val="42"/>
        <w:rPr>
          <w:rFonts w:hint="eastAsia" w:asciiTheme="minorEastAsia" w:hAnsiTheme="minorEastAsia" w:eastAsiaTheme="minorEastAsia" w:cstheme="minorEastAsia"/>
          <w:color w:val="auto"/>
          <w:highlight w:val="none"/>
          <w:lang w:eastAsia="zh-CN"/>
        </w:rPr>
      </w:pPr>
    </w:p>
    <w:p w14:paraId="41CB0D7C">
      <w:pPr>
        <w:pStyle w:val="42"/>
        <w:rPr>
          <w:rFonts w:hint="eastAsia" w:asciiTheme="minorEastAsia" w:hAnsiTheme="minorEastAsia" w:eastAsiaTheme="minorEastAsia" w:cstheme="minorEastAsia"/>
          <w:color w:val="auto"/>
          <w:highlight w:val="none"/>
          <w:lang w:eastAsia="zh-CN"/>
        </w:rPr>
      </w:pPr>
    </w:p>
    <w:p w14:paraId="4EFA3083">
      <w:pPr>
        <w:pStyle w:val="42"/>
        <w:rPr>
          <w:rFonts w:hint="eastAsia" w:asciiTheme="minorEastAsia" w:hAnsiTheme="minorEastAsia" w:eastAsiaTheme="minorEastAsia" w:cstheme="minorEastAsia"/>
          <w:color w:val="auto"/>
          <w:highlight w:val="none"/>
          <w:lang w:eastAsia="zh-CN"/>
        </w:rPr>
      </w:pPr>
    </w:p>
    <w:p w14:paraId="5A23C7DB">
      <w:pPr>
        <w:pStyle w:val="42"/>
        <w:rPr>
          <w:rFonts w:hint="eastAsia" w:asciiTheme="minorEastAsia" w:hAnsiTheme="minorEastAsia" w:eastAsiaTheme="minorEastAsia" w:cstheme="minorEastAsia"/>
          <w:color w:val="auto"/>
          <w:highlight w:val="none"/>
          <w:lang w:eastAsia="zh-CN"/>
        </w:rPr>
      </w:pPr>
    </w:p>
    <w:p w14:paraId="4E9A1A84">
      <w:pPr>
        <w:pStyle w:val="42"/>
        <w:rPr>
          <w:rFonts w:hint="eastAsia" w:asciiTheme="minorEastAsia" w:hAnsiTheme="minorEastAsia" w:eastAsiaTheme="minorEastAsia" w:cstheme="minorEastAsia"/>
          <w:color w:val="auto"/>
          <w:highlight w:val="none"/>
          <w:lang w:eastAsia="zh-CN"/>
        </w:rPr>
      </w:pPr>
    </w:p>
    <w:p w14:paraId="40D897CB">
      <w:pPr>
        <w:pStyle w:val="42"/>
        <w:rPr>
          <w:rFonts w:hint="eastAsia" w:asciiTheme="minorEastAsia" w:hAnsiTheme="minorEastAsia" w:eastAsiaTheme="minorEastAsia" w:cstheme="minorEastAsia"/>
          <w:color w:val="auto"/>
          <w:highlight w:val="none"/>
          <w:lang w:eastAsia="zh-CN"/>
        </w:rPr>
      </w:pPr>
    </w:p>
    <w:p w14:paraId="6BE45530">
      <w:pPr>
        <w:pStyle w:val="42"/>
        <w:rPr>
          <w:rFonts w:hint="eastAsia" w:asciiTheme="minorEastAsia" w:hAnsiTheme="minorEastAsia" w:eastAsiaTheme="minorEastAsia" w:cstheme="minorEastAsia"/>
          <w:color w:val="auto"/>
          <w:highlight w:val="none"/>
          <w:lang w:eastAsia="zh-CN"/>
        </w:rPr>
      </w:pPr>
    </w:p>
    <w:p w14:paraId="2BB38A71">
      <w:pPr>
        <w:pStyle w:val="42"/>
        <w:rPr>
          <w:rFonts w:hint="eastAsia" w:asciiTheme="minorEastAsia" w:hAnsiTheme="minorEastAsia" w:eastAsiaTheme="minorEastAsia" w:cstheme="minorEastAsia"/>
          <w:color w:val="auto"/>
          <w:highlight w:val="none"/>
          <w:lang w:eastAsia="zh-CN"/>
        </w:rPr>
      </w:pPr>
    </w:p>
    <w:p w14:paraId="5DB96F10">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3" w:name="_Toc63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74894A8D">
      <w:p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第六章  二次报价格式</w:t>
      </w:r>
      <w:bookmarkEnd w:id="43"/>
    </w:p>
    <w:p w14:paraId="06C3EE8C">
      <w:pPr>
        <w:jc w:val="center"/>
        <w:rPr>
          <w:rFonts w:hint="eastAsia" w:ascii="宋体" w:hAnsi="Courier New"/>
          <w:b/>
          <w:color w:val="auto"/>
          <w:sz w:val="32"/>
          <w:szCs w:val="20"/>
          <w:highlight w:val="none"/>
        </w:rPr>
      </w:pPr>
      <w:r>
        <w:rPr>
          <w:rFonts w:hint="eastAsia" w:ascii="宋体" w:hAnsi="Courier New"/>
          <w:b/>
          <w:color w:val="auto"/>
          <w:sz w:val="32"/>
          <w:szCs w:val="20"/>
          <w:highlight w:val="none"/>
        </w:rPr>
        <w:t>（1）二次磋商报价表</w:t>
      </w:r>
    </w:p>
    <w:p w14:paraId="27599B73">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444E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6470EDC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3C925A9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2AD1C24">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09EA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E900A9B">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3EB7FC7A">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68F097E6">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28048F8C">
            <w:pPr>
              <w:shd w:val="clear" w:color="auto" w:fill="auto"/>
              <w:jc w:val="center"/>
              <w:rPr>
                <w:rFonts w:ascii="宋体" w:hAnsi="宋体" w:eastAsia="宋体" w:cs="宋体"/>
                <w:color w:val="auto"/>
                <w:highlight w:val="none"/>
              </w:rPr>
            </w:pPr>
          </w:p>
        </w:tc>
      </w:tr>
      <w:tr w14:paraId="5759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18EB559E">
            <w:pPr>
              <w:widowControl/>
              <w:shd w:val="clear" w:color="auto" w:fill="auto"/>
              <w:jc w:val="center"/>
              <w:rPr>
                <w:rFonts w:ascii="宋体" w:hAnsi="宋体" w:eastAsia="宋体" w:cs="宋体"/>
                <w:color w:val="auto"/>
                <w:highlight w:val="none"/>
              </w:rPr>
            </w:pPr>
          </w:p>
        </w:tc>
        <w:tc>
          <w:tcPr>
            <w:tcW w:w="3116" w:type="dxa"/>
            <w:noWrap w:val="0"/>
            <w:vAlign w:val="center"/>
          </w:tcPr>
          <w:p w14:paraId="08F19382">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42685592">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46F3FDCC">
            <w:pPr>
              <w:widowControl/>
              <w:shd w:val="clear" w:color="auto" w:fill="auto"/>
              <w:ind w:right="480"/>
              <w:rPr>
                <w:rFonts w:ascii="宋体" w:hAnsi="宋体" w:eastAsia="宋体" w:cs="宋体"/>
                <w:color w:val="auto"/>
                <w:highlight w:val="none"/>
              </w:rPr>
            </w:pPr>
          </w:p>
        </w:tc>
      </w:tr>
      <w:tr w14:paraId="3B138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84" w:type="dxa"/>
            <w:vMerge w:val="continue"/>
            <w:noWrap w:val="0"/>
            <w:vAlign w:val="center"/>
          </w:tcPr>
          <w:p w14:paraId="10AB3785">
            <w:pPr>
              <w:widowControl/>
              <w:shd w:val="clear" w:color="auto" w:fill="auto"/>
              <w:jc w:val="center"/>
              <w:rPr>
                <w:rFonts w:ascii="宋体" w:hAnsi="宋体" w:eastAsia="宋体" w:cs="宋体"/>
                <w:color w:val="auto"/>
                <w:highlight w:val="none"/>
              </w:rPr>
            </w:pPr>
          </w:p>
        </w:tc>
        <w:tc>
          <w:tcPr>
            <w:tcW w:w="3116" w:type="dxa"/>
            <w:noWrap w:val="0"/>
            <w:vAlign w:val="center"/>
          </w:tcPr>
          <w:p w14:paraId="17879251">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0B7169B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38C6065F">
            <w:pPr>
              <w:widowControl/>
              <w:shd w:val="clear" w:color="auto" w:fill="auto"/>
              <w:ind w:right="480"/>
              <w:rPr>
                <w:rFonts w:ascii="宋体" w:hAnsi="宋体" w:eastAsia="宋体" w:cs="宋体"/>
                <w:color w:val="auto"/>
                <w:highlight w:val="none"/>
              </w:rPr>
            </w:pPr>
          </w:p>
        </w:tc>
      </w:tr>
      <w:tr w14:paraId="7050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51B764DA">
            <w:pPr>
              <w:widowControl/>
              <w:shd w:val="clear" w:color="auto" w:fill="auto"/>
              <w:jc w:val="center"/>
              <w:rPr>
                <w:rFonts w:ascii="宋体" w:hAnsi="宋体" w:eastAsia="宋体" w:cs="宋体"/>
                <w:color w:val="auto"/>
                <w:highlight w:val="none"/>
              </w:rPr>
            </w:pPr>
          </w:p>
        </w:tc>
        <w:tc>
          <w:tcPr>
            <w:tcW w:w="3116" w:type="dxa"/>
            <w:noWrap w:val="0"/>
            <w:vAlign w:val="center"/>
          </w:tcPr>
          <w:p w14:paraId="2AC630ED">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15D3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331020F">
            <w:pPr>
              <w:widowControl/>
              <w:shd w:val="clear" w:color="auto" w:fill="auto"/>
              <w:ind w:right="480"/>
              <w:rPr>
                <w:rFonts w:ascii="宋体" w:hAnsi="宋体" w:eastAsia="宋体" w:cs="宋体"/>
                <w:color w:val="auto"/>
                <w:highlight w:val="none"/>
              </w:rPr>
            </w:pPr>
          </w:p>
        </w:tc>
      </w:tr>
      <w:tr w14:paraId="33AD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84" w:type="dxa"/>
            <w:vMerge w:val="restart"/>
            <w:noWrap w:val="0"/>
            <w:vAlign w:val="center"/>
          </w:tcPr>
          <w:p w14:paraId="55B8467B">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333658E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665CCDC8">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2BE6B91">
            <w:pPr>
              <w:widowControl/>
              <w:shd w:val="clear" w:color="auto" w:fill="auto"/>
              <w:jc w:val="right"/>
              <w:rPr>
                <w:rFonts w:ascii="宋体" w:hAnsi="宋体" w:eastAsia="宋体" w:cs="宋体"/>
                <w:color w:val="auto"/>
                <w:highlight w:val="none"/>
              </w:rPr>
            </w:pPr>
          </w:p>
        </w:tc>
      </w:tr>
      <w:tr w14:paraId="2813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27B5CFF0">
            <w:pPr>
              <w:widowControl/>
              <w:shd w:val="clear" w:color="auto" w:fill="auto"/>
              <w:jc w:val="center"/>
              <w:rPr>
                <w:rFonts w:ascii="宋体" w:hAnsi="宋体" w:eastAsia="宋体" w:cs="宋体"/>
                <w:color w:val="auto"/>
                <w:highlight w:val="none"/>
              </w:rPr>
            </w:pPr>
          </w:p>
        </w:tc>
        <w:tc>
          <w:tcPr>
            <w:tcW w:w="3116" w:type="dxa"/>
            <w:noWrap w:val="0"/>
            <w:vAlign w:val="center"/>
          </w:tcPr>
          <w:p w14:paraId="1621F08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0DB55F88">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F28887C">
            <w:pPr>
              <w:widowControl/>
              <w:shd w:val="clear" w:color="auto" w:fill="auto"/>
              <w:jc w:val="right"/>
              <w:rPr>
                <w:rFonts w:ascii="宋体" w:hAnsi="宋体" w:eastAsia="宋体" w:cs="宋体"/>
                <w:color w:val="auto"/>
                <w:highlight w:val="none"/>
              </w:rPr>
            </w:pPr>
          </w:p>
        </w:tc>
      </w:tr>
      <w:tr w14:paraId="6B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43D7A98A">
            <w:pPr>
              <w:widowControl/>
              <w:shd w:val="clear" w:color="auto" w:fill="auto"/>
              <w:jc w:val="center"/>
              <w:rPr>
                <w:rFonts w:ascii="宋体" w:hAnsi="宋体" w:eastAsia="宋体" w:cs="宋体"/>
                <w:color w:val="auto"/>
                <w:highlight w:val="none"/>
              </w:rPr>
            </w:pPr>
          </w:p>
        </w:tc>
        <w:tc>
          <w:tcPr>
            <w:tcW w:w="3116" w:type="dxa"/>
            <w:noWrap w:val="0"/>
            <w:vAlign w:val="center"/>
          </w:tcPr>
          <w:p w14:paraId="0888763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6212BE4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CADA2C4">
            <w:pPr>
              <w:widowControl/>
              <w:shd w:val="clear" w:color="auto" w:fill="auto"/>
              <w:jc w:val="right"/>
              <w:rPr>
                <w:rFonts w:ascii="宋体" w:hAnsi="宋体" w:eastAsia="宋体" w:cs="宋体"/>
                <w:color w:val="auto"/>
                <w:highlight w:val="none"/>
              </w:rPr>
            </w:pPr>
          </w:p>
        </w:tc>
      </w:tr>
      <w:tr w14:paraId="7F0E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7C56146E">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21549E5A">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7B3C0D39">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0D36B7C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9F546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C792A8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35BDF9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403D83B">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73193C2">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B6BEF5C">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5FEAD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63D1087B">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4DCC62A1">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1A577B66">
      <w:pPr>
        <w:shd w:val="clear"/>
        <w:spacing w:line="480" w:lineRule="auto"/>
        <w:ind w:firstLine="210" w:firstLineChars="100"/>
        <w:rPr>
          <w:rFonts w:hint="eastAsia" w:asciiTheme="minorEastAsia" w:hAnsiTheme="minorEastAsia" w:eastAsiaTheme="minorEastAsia" w:cstheme="minorEastAsia"/>
          <w:color w:val="auto"/>
          <w:highlight w:val="none"/>
        </w:rPr>
      </w:pPr>
    </w:p>
    <w:p w14:paraId="098855DD">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707073A4">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443B2A44">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493971E">
      <w:pPr>
        <w:jc w:val="center"/>
        <w:rPr>
          <w:rFonts w:hint="eastAsia" w:ascii="宋体" w:hAnsi="Courier New" w:eastAsia="宋体" w:cs="Times New Roman"/>
          <w:b/>
          <w:color w:val="auto"/>
          <w:sz w:val="32"/>
          <w:szCs w:val="20"/>
          <w:highlight w:val="none"/>
        </w:rPr>
      </w:pPr>
      <w:r>
        <w:rPr>
          <w:rFonts w:hint="eastAsia" w:ascii="宋体" w:hAnsi="Courier New" w:eastAsia="宋体" w:cs="Times New Roman"/>
          <w:b/>
          <w:color w:val="auto"/>
          <w:sz w:val="32"/>
          <w:szCs w:val="20"/>
          <w:highlight w:val="none"/>
        </w:rPr>
        <w:t>（2）二次报价已标价工程量清单</w:t>
      </w:r>
    </w:p>
    <w:p w14:paraId="160BF6F0">
      <w:pPr>
        <w:pStyle w:val="42"/>
        <w:rPr>
          <w:rFonts w:hint="eastAsia"/>
          <w:color w:val="auto"/>
          <w:highlight w:val="none"/>
          <w:lang w:val="en-US" w:eastAsia="zh-CN"/>
        </w:rPr>
      </w:pPr>
    </w:p>
    <w:p w14:paraId="78526E16">
      <w:pPr>
        <w:pStyle w:val="5"/>
        <w:keepNext/>
        <w:keepLines/>
        <w:widowControl w:val="0"/>
        <w:numPr>
          <w:ilvl w:val="0"/>
          <w:numId w:val="0"/>
        </w:numPr>
        <w:spacing w:line="360" w:lineRule="auto"/>
        <w:ind w:firstLine="562" w:firstLineChars="200"/>
        <w:jc w:val="left"/>
        <w:outlineLvl w:val="3"/>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由</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按“《(GB50500-2013)建设工程工程量清单计价规范》广西壮族自治区实施细则”编制</w:t>
      </w:r>
      <w:r>
        <w:rPr>
          <w:rFonts w:hint="eastAsia" w:asciiTheme="minorEastAsia" w:hAnsiTheme="minorEastAsia" w:eastAsiaTheme="minorEastAsia" w:cstheme="minorEastAsia"/>
          <w:color w:val="auto"/>
          <w:highlight w:val="none"/>
          <w:lang w:eastAsia="zh-CN"/>
        </w:rPr>
        <w:t>。</w:t>
      </w:r>
    </w:p>
    <w:p w14:paraId="44E096AC">
      <w:pPr>
        <w:pStyle w:val="24"/>
        <w:shd w:val="clear"/>
        <w:spacing w:line="360" w:lineRule="auto"/>
        <w:jc w:val="center"/>
        <w:rPr>
          <w:rStyle w:val="60"/>
          <w:rFonts w:hint="eastAsia" w:asciiTheme="minorEastAsia" w:hAnsiTheme="minorEastAsia" w:eastAsiaTheme="minorEastAsia" w:cstheme="minorEastAsia"/>
          <w:color w:val="auto"/>
          <w:sz w:val="36"/>
          <w:szCs w:val="36"/>
          <w:highlight w:val="none"/>
        </w:rPr>
      </w:pPr>
    </w:p>
    <w:p w14:paraId="2043A29D">
      <w:pPr>
        <w:rPr>
          <w:rStyle w:val="60"/>
          <w:rFonts w:hint="eastAsia" w:asciiTheme="minorEastAsia" w:hAnsiTheme="minorEastAsia" w:eastAsiaTheme="minorEastAsia" w:cstheme="minorEastAsia"/>
          <w:color w:val="auto"/>
          <w:sz w:val="36"/>
          <w:szCs w:val="36"/>
          <w:highlight w:val="none"/>
        </w:rPr>
      </w:pPr>
    </w:p>
    <w:p w14:paraId="0FBE2472">
      <w:pPr>
        <w:pStyle w:val="18"/>
        <w:rPr>
          <w:rStyle w:val="60"/>
          <w:rFonts w:hint="eastAsia" w:asciiTheme="minorEastAsia" w:hAnsiTheme="minorEastAsia" w:eastAsiaTheme="minorEastAsia" w:cstheme="minorEastAsia"/>
          <w:b/>
          <w:bCs/>
          <w:color w:val="auto"/>
          <w:sz w:val="36"/>
          <w:szCs w:val="36"/>
          <w:highlight w:val="none"/>
        </w:rPr>
      </w:pPr>
    </w:p>
    <w:p w14:paraId="66EC9F73">
      <w:pPr>
        <w:pStyle w:val="42"/>
        <w:rPr>
          <w:rStyle w:val="60"/>
          <w:rFonts w:hint="eastAsia" w:asciiTheme="minorEastAsia" w:hAnsiTheme="minorEastAsia" w:eastAsiaTheme="minorEastAsia" w:cstheme="minorEastAsia"/>
          <w:b/>
          <w:bCs/>
          <w:color w:val="auto"/>
          <w:sz w:val="36"/>
          <w:szCs w:val="36"/>
          <w:highlight w:val="none"/>
        </w:rPr>
      </w:pPr>
    </w:p>
    <w:p w14:paraId="2711D01A">
      <w:pPr>
        <w:pStyle w:val="42"/>
        <w:rPr>
          <w:rStyle w:val="60"/>
          <w:rFonts w:hint="eastAsia" w:asciiTheme="minorEastAsia" w:hAnsiTheme="minorEastAsia" w:eastAsiaTheme="minorEastAsia" w:cstheme="minorEastAsia"/>
          <w:b/>
          <w:bCs/>
          <w:color w:val="auto"/>
          <w:sz w:val="36"/>
          <w:szCs w:val="36"/>
          <w:highlight w:val="none"/>
        </w:rPr>
      </w:pPr>
    </w:p>
    <w:p w14:paraId="1A400F58">
      <w:pPr>
        <w:pStyle w:val="42"/>
        <w:rPr>
          <w:rStyle w:val="60"/>
          <w:rFonts w:hint="eastAsia" w:asciiTheme="minorEastAsia" w:hAnsiTheme="minorEastAsia" w:eastAsiaTheme="minorEastAsia" w:cstheme="minorEastAsia"/>
          <w:b/>
          <w:bCs/>
          <w:color w:val="auto"/>
          <w:sz w:val="36"/>
          <w:szCs w:val="36"/>
          <w:highlight w:val="none"/>
        </w:rPr>
      </w:pPr>
    </w:p>
    <w:p w14:paraId="28008925">
      <w:pPr>
        <w:pStyle w:val="42"/>
        <w:rPr>
          <w:rStyle w:val="60"/>
          <w:rFonts w:hint="eastAsia" w:asciiTheme="minorEastAsia" w:hAnsiTheme="minorEastAsia" w:eastAsiaTheme="minorEastAsia" w:cstheme="minorEastAsia"/>
          <w:b/>
          <w:bCs/>
          <w:color w:val="auto"/>
          <w:sz w:val="36"/>
          <w:szCs w:val="36"/>
          <w:highlight w:val="none"/>
        </w:rPr>
      </w:pPr>
    </w:p>
    <w:p w14:paraId="5F512D3D">
      <w:pPr>
        <w:pStyle w:val="42"/>
        <w:rPr>
          <w:rStyle w:val="60"/>
          <w:rFonts w:hint="eastAsia" w:asciiTheme="minorEastAsia" w:hAnsiTheme="minorEastAsia" w:eastAsiaTheme="minorEastAsia" w:cstheme="minorEastAsia"/>
          <w:b/>
          <w:bCs/>
          <w:color w:val="auto"/>
          <w:sz w:val="36"/>
          <w:szCs w:val="36"/>
          <w:highlight w:val="none"/>
        </w:rPr>
      </w:pPr>
    </w:p>
    <w:p w14:paraId="041FF40A">
      <w:pPr>
        <w:pStyle w:val="42"/>
        <w:rPr>
          <w:rStyle w:val="60"/>
          <w:rFonts w:hint="eastAsia" w:asciiTheme="minorEastAsia" w:hAnsiTheme="minorEastAsia" w:eastAsiaTheme="minorEastAsia" w:cstheme="minorEastAsia"/>
          <w:b/>
          <w:bCs/>
          <w:color w:val="auto"/>
          <w:sz w:val="36"/>
          <w:szCs w:val="36"/>
          <w:highlight w:val="none"/>
        </w:rPr>
      </w:pPr>
    </w:p>
    <w:p w14:paraId="016AA8B7">
      <w:pPr>
        <w:pStyle w:val="42"/>
        <w:rPr>
          <w:rStyle w:val="60"/>
          <w:rFonts w:hint="eastAsia" w:asciiTheme="minorEastAsia" w:hAnsiTheme="minorEastAsia" w:eastAsiaTheme="minorEastAsia" w:cstheme="minorEastAsia"/>
          <w:b/>
          <w:bCs/>
          <w:color w:val="auto"/>
          <w:sz w:val="36"/>
          <w:szCs w:val="36"/>
          <w:highlight w:val="none"/>
        </w:rPr>
      </w:pPr>
    </w:p>
    <w:p w14:paraId="07062D08">
      <w:pPr>
        <w:pStyle w:val="42"/>
        <w:rPr>
          <w:rStyle w:val="60"/>
          <w:rFonts w:hint="eastAsia" w:asciiTheme="minorEastAsia" w:hAnsiTheme="minorEastAsia" w:eastAsiaTheme="minorEastAsia" w:cstheme="minorEastAsia"/>
          <w:b/>
          <w:bCs/>
          <w:color w:val="auto"/>
          <w:sz w:val="36"/>
          <w:szCs w:val="36"/>
          <w:highlight w:val="none"/>
        </w:rPr>
      </w:pPr>
    </w:p>
    <w:p w14:paraId="6F8C4D7D">
      <w:pPr>
        <w:pStyle w:val="42"/>
        <w:rPr>
          <w:rStyle w:val="60"/>
          <w:rFonts w:hint="eastAsia" w:asciiTheme="minorEastAsia" w:hAnsiTheme="minorEastAsia" w:eastAsiaTheme="minorEastAsia" w:cstheme="minorEastAsia"/>
          <w:b/>
          <w:bCs/>
          <w:color w:val="auto"/>
          <w:sz w:val="36"/>
          <w:szCs w:val="36"/>
          <w:highlight w:val="none"/>
        </w:rPr>
      </w:pPr>
    </w:p>
    <w:p w14:paraId="0E19329A">
      <w:pPr>
        <w:pStyle w:val="42"/>
        <w:rPr>
          <w:rStyle w:val="60"/>
          <w:rFonts w:hint="eastAsia" w:asciiTheme="minorEastAsia" w:hAnsiTheme="minorEastAsia" w:eastAsiaTheme="minorEastAsia" w:cstheme="minorEastAsia"/>
          <w:b/>
          <w:bCs/>
          <w:color w:val="auto"/>
          <w:sz w:val="36"/>
          <w:szCs w:val="36"/>
          <w:highlight w:val="none"/>
        </w:rPr>
      </w:pPr>
    </w:p>
    <w:p w14:paraId="6D013DA0">
      <w:pPr>
        <w:pStyle w:val="42"/>
        <w:rPr>
          <w:rStyle w:val="60"/>
          <w:rFonts w:hint="eastAsia" w:asciiTheme="minorEastAsia" w:hAnsiTheme="minorEastAsia" w:eastAsiaTheme="minorEastAsia" w:cstheme="minorEastAsia"/>
          <w:b/>
          <w:bCs/>
          <w:color w:val="auto"/>
          <w:sz w:val="36"/>
          <w:szCs w:val="36"/>
          <w:highlight w:val="none"/>
        </w:rPr>
      </w:pPr>
    </w:p>
    <w:p w14:paraId="368A8307">
      <w:pPr>
        <w:pStyle w:val="42"/>
        <w:rPr>
          <w:rStyle w:val="60"/>
          <w:rFonts w:hint="eastAsia" w:asciiTheme="minorEastAsia" w:hAnsiTheme="minorEastAsia" w:eastAsiaTheme="minorEastAsia" w:cstheme="minorEastAsia"/>
          <w:b/>
          <w:bCs/>
          <w:color w:val="auto"/>
          <w:sz w:val="36"/>
          <w:szCs w:val="36"/>
          <w:highlight w:val="none"/>
        </w:rPr>
      </w:pPr>
    </w:p>
    <w:p w14:paraId="727801F9">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4" w:name="_Toc23378"/>
      <w:r>
        <w:rPr>
          <w:rFonts w:hint="eastAsia" w:asciiTheme="minorEastAsia" w:hAnsiTheme="minorEastAsia" w:eastAsiaTheme="minorEastAsia" w:cstheme="minorEastAsia"/>
          <w:b/>
          <w:bCs/>
          <w:color w:val="auto"/>
          <w:kern w:val="0"/>
          <w:sz w:val="44"/>
          <w:szCs w:val="44"/>
          <w:highlight w:val="none"/>
          <w:lang w:val="en-US" w:eastAsia="zh-CN" w:bidi="ar-SA"/>
        </w:rPr>
        <w:t>第七章   合同书格式</w:t>
      </w:r>
      <w:bookmarkEnd w:id="44"/>
    </w:p>
    <w:p w14:paraId="5F4B1F43">
      <w:pPr>
        <w:spacing w:line="360" w:lineRule="auto"/>
        <w:ind w:firstLine="420" w:firstLineChars="200"/>
        <w:rPr>
          <w:rFonts w:hint="eastAsia" w:ascii="宋体" w:hAnsi="宋体"/>
          <w:color w:val="auto"/>
          <w:szCs w:val="21"/>
          <w:highlight w:val="none"/>
        </w:rPr>
      </w:pPr>
      <w:r>
        <w:rPr>
          <w:rFonts w:ascii="宋体" w:hAnsi="宋体"/>
          <w:color w:val="auto"/>
          <w:szCs w:val="21"/>
          <w:highlight w:val="none"/>
        </w:rPr>
        <w:t>注：本合同仅为合同的参考文本，合同签订双方可根据项目的具体要求进行修订，但合同条款不得与采购文件和</w:t>
      </w:r>
      <w:r>
        <w:rPr>
          <w:rFonts w:hint="eastAsia" w:ascii="宋体" w:hAnsi="宋体"/>
          <w:color w:val="auto"/>
          <w:szCs w:val="21"/>
          <w:highlight w:val="none"/>
        </w:rPr>
        <w:t>成交</w:t>
      </w:r>
      <w:r>
        <w:rPr>
          <w:rFonts w:ascii="宋体" w:hAnsi="宋体"/>
          <w:color w:val="auto"/>
          <w:szCs w:val="21"/>
          <w:highlight w:val="none"/>
        </w:rPr>
        <w:t>供应商</w:t>
      </w:r>
      <w:r>
        <w:rPr>
          <w:rFonts w:hint="eastAsia" w:ascii="宋体" w:hAnsi="宋体"/>
          <w:color w:val="auto"/>
          <w:szCs w:val="21"/>
          <w:highlight w:val="none"/>
        </w:rPr>
        <w:t>响应</w:t>
      </w:r>
      <w:r>
        <w:rPr>
          <w:rFonts w:ascii="宋体" w:hAnsi="宋体"/>
          <w:color w:val="auto"/>
          <w:szCs w:val="21"/>
          <w:highlight w:val="none"/>
        </w:rPr>
        <w:t>文件有实质性偏离</w:t>
      </w:r>
      <w:r>
        <w:rPr>
          <w:rFonts w:hint="eastAsia" w:ascii="宋体" w:hAnsi="宋体"/>
          <w:color w:val="auto"/>
          <w:szCs w:val="21"/>
          <w:highlight w:val="none"/>
        </w:rPr>
        <w:t>。</w:t>
      </w:r>
    </w:p>
    <w:p w14:paraId="6C023C5B">
      <w:pPr>
        <w:snapToGrid w:val="0"/>
        <w:spacing w:line="360" w:lineRule="auto"/>
        <w:jc w:val="center"/>
        <w:rPr>
          <w:rFonts w:hint="eastAsia" w:hAnsi="宋体"/>
          <w:b/>
          <w:color w:val="auto"/>
          <w:sz w:val="28"/>
          <w:szCs w:val="28"/>
          <w:highlight w:val="none"/>
        </w:rPr>
      </w:pPr>
      <w:r>
        <w:rPr>
          <w:rFonts w:hint="eastAsia" w:hAnsi="宋体"/>
          <w:b/>
          <w:color w:val="auto"/>
          <w:sz w:val="28"/>
          <w:szCs w:val="28"/>
          <w:highlight w:val="none"/>
        </w:rPr>
        <w:t>（仅供参考，具体以实际签订内容为准，但不得偏离实质性内容）</w:t>
      </w:r>
    </w:p>
    <w:p w14:paraId="0E8B5A10">
      <w:pPr>
        <w:pStyle w:val="2"/>
        <w:numPr>
          <w:ilvl w:val="0"/>
          <w:numId w:val="0"/>
        </w:numPr>
        <w:spacing w:line="360" w:lineRule="auto"/>
        <w:jc w:val="center"/>
        <w:rPr>
          <w:color w:val="auto"/>
          <w:highlight w:val="none"/>
        </w:rPr>
      </w:pPr>
      <w:bookmarkStart w:id="45" w:name="_Toc296503025"/>
      <w:bookmarkStart w:id="46" w:name="_Toc12617"/>
      <w:bookmarkStart w:id="47" w:name="_Toc66356450"/>
      <w:bookmarkStart w:id="48" w:name="_Toc351203480"/>
      <w:bookmarkStart w:id="49" w:name="_Toc10704"/>
      <w:bookmarkStart w:id="50" w:name="_Toc373478199"/>
      <w:bookmarkStart w:id="51" w:name="_Toc373227552"/>
      <w:bookmarkStart w:id="52" w:name="_Toc296890982"/>
      <w:bookmarkStart w:id="53" w:name="_Toc389065255"/>
      <w:r>
        <w:rPr>
          <w:color w:val="auto"/>
          <w:highlight w:val="none"/>
        </w:rPr>
        <w:t>第一</w:t>
      </w:r>
      <w:r>
        <w:rPr>
          <w:rFonts w:hint="eastAsia"/>
          <w:color w:val="auto"/>
          <w:highlight w:val="none"/>
        </w:rPr>
        <w:t>部分</w:t>
      </w:r>
      <w:r>
        <w:rPr>
          <w:color w:val="auto"/>
          <w:highlight w:val="none"/>
        </w:rPr>
        <w:t xml:space="preserve"> 合同协议书</w:t>
      </w:r>
      <w:bookmarkEnd w:id="45"/>
      <w:bookmarkEnd w:id="46"/>
      <w:bookmarkEnd w:id="47"/>
      <w:bookmarkEnd w:id="48"/>
      <w:bookmarkEnd w:id="49"/>
      <w:bookmarkEnd w:id="50"/>
      <w:bookmarkEnd w:id="51"/>
      <w:bookmarkEnd w:id="52"/>
      <w:bookmarkEnd w:id="53"/>
    </w:p>
    <w:p w14:paraId="365015D1">
      <w:pPr>
        <w:spacing w:line="360" w:lineRule="auto"/>
        <w:rPr>
          <w:rFonts w:hAnsi="宋体"/>
          <w:color w:val="auto"/>
          <w:szCs w:val="21"/>
          <w:highlight w:val="none"/>
        </w:rPr>
      </w:pPr>
    </w:p>
    <w:p w14:paraId="3B484B5B">
      <w:pPr>
        <w:spacing w:line="360" w:lineRule="auto"/>
        <w:rPr>
          <w:color w:val="auto"/>
          <w:szCs w:val="21"/>
          <w:highlight w:val="none"/>
          <w:u w:val="single"/>
        </w:rPr>
      </w:pPr>
      <w:r>
        <w:rPr>
          <w:rFonts w:hAnsi="宋体"/>
          <w:color w:val="auto"/>
          <w:szCs w:val="21"/>
          <w:highlight w:val="none"/>
        </w:rPr>
        <w:t>发包人（全称）：</w:t>
      </w:r>
      <w:r>
        <w:rPr>
          <w:rFonts w:hAnsi="宋体"/>
          <w:color w:val="auto"/>
          <w:szCs w:val="21"/>
          <w:highlight w:val="none"/>
          <w:u w:val="single"/>
        </w:rPr>
        <w:t></w:t>
      </w:r>
      <w:r>
        <w:rPr>
          <w:rFonts w:hint="eastAsia" w:hAnsi="宋体"/>
          <w:color w:val="auto"/>
          <w:szCs w:val="21"/>
          <w:highlight w:val="none"/>
          <w:u w:val="single"/>
          <w:lang w:val="en-US" w:eastAsia="zh-CN"/>
        </w:rPr>
        <w:t>贵港市港北区生态移民发展中心</w:t>
      </w:r>
      <w:r>
        <w:rPr>
          <w:rFonts w:hAnsi="宋体"/>
          <w:color w:val="auto"/>
          <w:szCs w:val="21"/>
          <w:highlight w:val="none"/>
          <w:u w:val="single"/>
        </w:rPr>
        <w:t></w:t>
      </w:r>
    </w:p>
    <w:p w14:paraId="36F21AC6">
      <w:pPr>
        <w:spacing w:line="360" w:lineRule="auto"/>
        <w:rPr>
          <w:color w:val="auto"/>
          <w:szCs w:val="21"/>
          <w:highlight w:val="none"/>
          <w:u w:val="single"/>
        </w:rPr>
      </w:pPr>
      <w:r>
        <w:rPr>
          <w:rFonts w:hAnsi="宋体"/>
          <w:color w:val="auto"/>
          <w:szCs w:val="21"/>
          <w:highlight w:val="none"/>
        </w:rPr>
        <w:t>承包人（全称）：</w:t>
      </w:r>
      <w:r>
        <w:rPr>
          <w:rFonts w:hAnsi="宋体"/>
          <w:color w:val="auto"/>
          <w:szCs w:val="21"/>
          <w:highlight w:val="none"/>
          <w:u w:val="single"/>
        </w:rPr>
        <w:t></w:t>
      </w:r>
      <w:r>
        <w:rPr>
          <w:rFonts w:hint="eastAsia" w:hAnsi="宋体"/>
          <w:color w:val="auto"/>
          <w:szCs w:val="21"/>
          <w:highlight w:val="none"/>
          <w:u w:val="single"/>
        </w:rPr>
        <w:t xml:space="preserve">                            </w:t>
      </w:r>
      <w:r>
        <w:rPr>
          <w:rFonts w:hAnsi="宋体"/>
          <w:color w:val="auto"/>
          <w:szCs w:val="21"/>
          <w:highlight w:val="none"/>
          <w:u w:val="single"/>
        </w:rPr>
        <w:t></w:t>
      </w:r>
    </w:p>
    <w:p w14:paraId="11DCFCDC">
      <w:pPr>
        <w:spacing w:line="360" w:lineRule="auto"/>
        <w:ind w:firstLine="420" w:firstLineChars="200"/>
        <w:rPr>
          <w:rFonts w:hAnsi="宋体"/>
          <w:color w:val="auto"/>
          <w:szCs w:val="21"/>
          <w:highlight w:val="none"/>
        </w:rPr>
      </w:pPr>
      <w:r>
        <w:rPr>
          <w:rFonts w:hAnsi="宋体"/>
          <w:color w:val="auto"/>
          <w:szCs w:val="21"/>
          <w:highlight w:val="none"/>
        </w:rPr>
        <w:t>根据《中华人民共和国</w:t>
      </w:r>
      <w:r>
        <w:rPr>
          <w:rFonts w:hint="eastAsia" w:hAnsi="宋体"/>
          <w:color w:val="auto"/>
          <w:szCs w:val="21"/>
          <w:highlight w:val="none"/>
          <w:lang w:val="en-US" w:eastAsia="zh-CN"/>
        </w:rPr>
        <w:t>民</w:t>
      </w:r>
      <w:r>
        <w:rPr>
          <w:rFonts w:hAnsi="宋体"/>
          <w:color w:val="auto"/>
          <w:szCs w:val="21"/>
          <w:highlight w:val="none"/>
        </w:rPr>
        <w:t>法</w:t>
      </w:r>
      <w:r>
        <w:rPr>
          <w:rFonts w:hint="eastAsia" w:hAnsi="宋体"/>
          <w:color w:val="auto"/>
          <w:szCs w:val="21"/>
          <w:highlight w:val="none"/>
          <w:lang w:val="en-US" w:eastAsia="zh-CN"/>
        </w:rPr>
        <w:t>典</w:t>
      </w:r>
      <w:r>
        <w:rPr>
          <w:rFonts w:hAnsi="宋体"/>
          <w:color w:val="auto"/>
          <w:szCs w:val="21"/>
          <w:highlight w:val="none"/>
        </w:rPr>
        <w:t>》、《中华人民共和国建筑法》及有关法律规定，遵循平等、自愿、公平和诚实信用的原则，双方就</w:t>
      </w:r>
      <w:r>
        <w:rPr>
          <w:rFonts w:hint="eastAsia" w:hAnsi="宋体"/>
          <w:color w:val="auto"/>
          <w:szCs w:val="21"/>
          <w:highlight w:val="none"/>
          <w:u w:val="single"/>
          <w:lang w:eastAsia="zh-CN"/>
        </w:rPr>
        <w:t>贵港市港北区奇石乡六马村六行屯人居环境改善工程</w:t>
      </w:r>
      <w:r>
        <w:rPr>
          <w:color w:val="auto"/>
          <w:szCs w:val="21"/>
          <w:highlight w:val="none"/>
          <w:u w:val="single"/>
        </w:rPr>
        <w:t xml:space="preserve"> </w:t>
      </w:r>
      <w:r>
        <w:rPr>
          <w:rFonts w:hAnsi="宋体"/>
          <w:color w:val="auto"/>
          <w:szCs w:val="21"/>
          <w:highlight w:val="none"/>
        </w:rPr>
        <w:t>工程施工及有关事项协商一致，共同达成如下协议：</w:t>
      </w:r>
      <w:bookmarkStart w:id="54" w:name="_Toc351203481"/>
    </w:p>
    <w:p w14:paraId="7A284E87">
      <w:pPr>
        <w:spacing w:line="360" w:lineRule="auto"/>
        <w:ind w:firstLine="422" w:firstLineChars="200"/>
        <w:rPr>
          <w:b/>
          <w:bCs/>
          <w:color w:val="auto"/>
          <w:szCs w:val="21"/>
          <w:highlight w:val="none"/>
        </w:rPr>
      </w:pPr>
      <w:r>
        <w:rPr>
          <w:rFonts w:hAnsi="宋体"/>
          <w:b/>
          <w:bCs/>
          <w:color w:val="auto"/>
          <w:szCs w:val="21"/>
          <w:highlight w:val="none"/>
        </w:rPr>
        <w:t>一、工程概况</w:t>
      </w:r>
      <w:bookmarkEnd w:id="54"/>
    </w:p>
    <w:p w14:paraId="35B2631B">
      <w:pPr>
        <w:spacing w:line="360" w:lineRule="auto"/>
        <w:ind w:firstLine="411" w:firstLineChars="196"/>
        <w:rPr>
          <w:rFonts w:hint="eastAsia" w:hAnsi="宋体"/>
          <w:color w:val="auto"/>
          <w:szCs w:val="21"/>
          <w:highlight w:val="none"/>
          <w:u w:val="single"/>
          <w:lang w:eastAsia="zh-CN"/>
        </w:rPr>
      </w:pPr>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工程名称</w:t>
      </w:r>
      <w:r>
        <w:rPr>
          <w:rFonts w:hAnsi="宋体"/>
          <w:color w:val="auto"/>
          <w:szCs w:val="21"/>
          <w:highlight w:val="none"/>
        </w:rPr>
        <w:t>：</w:t>
      </w:r>
      <w:r>
        <w:rPr>
          <w:rFonts w:hint="eastAsia" w:hAnsi="宋体"/>
          <w:color w:val="auto"/>
          <w:szCs w:val="21"/>
          <w:highlight w:val="none"/>
          <w:u w:val="single"/>
          <w:lang w:eastAsia="zh-CN"/>
        </w:rPr>
        <w:t>贵港市港北区奇石乡六马村六行屯人居环境改善工程。</w:t>
      </w:r>
    </w:p>
    <w:p w14:paraId="0FB7F1CC">
      <w:pPr>
        <w:spacing w:line="360" w:lineRule="auto"/>
        <w:ind w:firstLine="411" w:firstLineChars="196"/>
        <w:rPr>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工程地点：</w:t>
      </w:r>
      <w:r>
        <w:rPr>
          <w:rFonts w:hint="eastAsia" w:hAnsi="宋体"/>
          <w:color w:val="auto"/>
          <w:szCs w:val="21"/>
          <w:highlight w:val="none"/>
          <w:u w:val="single"/>
          <w:lang w:val="en-US" w:eastAsia="zh-CN"/>
        </w:rPr>
        <w:t>贵港市港北区奇石乡六马村六行屯</w:t>
      </w:r>
      <w:r>
        <w:rPr>
          <w:rFonts w:hAnsi="宋体"/>
          <w:color w:val="auto"/>
          <w:szCs w:val="21"/>
          <w:highlight w:val="none"/>
        </w:rPr>
        <w:t>。</w:t>
      </w:r>
    </w:p>
    <w:p w14:paraId="7445AD18">
      <w:pPr>
        <w:spacing w:line="360" w:lineRule="auto"/>
        <w:ind w:firstLine="411" w:firstLineChars="196"/>
        <w:rPr>
          <w:bCs/>
          <w:color w:val="auto"/>
          <w:szCs w:val="21"/>
          <w:highlight w:val="none"/>
        </w:rPr>
      </w:pPr>
      <w:r>
        <w:rPr>
          <w:bCs/>
          <w:color w:val="auto"/>
          <w:szCs w:val="21"/>
          <w:highlight w:val="none"/>
        </w:rPr>
        <w:t>3.</w:t>
      </w:r>
      <w:r>
        <w:rPr>
          <w:rFonts w:hint="eastAsia"/>
          <w:bCs/>
          <w:color w:val="auto"/>
          <w:szCs w:val="21"/>
          <w:highlight w:val="none"/>
        </w:rPr>
        <w:t xml:space="preserve"> </w:t>
      </w:r>
      <w:r>
        <w:rPr>
          <w:rFonts w:hAnsi="宋体"/>
          <w:bCs/>
          <w:color w:val="auto"/>
          <w:szCs w:val="21"/>
          <w:highlight w:val="none"/>
        </w:rPr>
        <w:t>工程立项批准文号：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43F3C1F3">
      <w:pPr>
        <w:spacing w:line="360" w:lineRule="auto"/>
        <w:ind w:firstLine="411" w:firstLineChars="196"/>
        <w:rPr>
          <w:bCs/>
          <w:color w:val="auto"/>
          <w:szCs w:val="21"/>
          <w:highlight w:val="none"/>
        </w:rPr>
      </w:pPr>
      <w:r>
        <w:rPr>
          <w:bCs/>
          <w:color w:val="auto"/>
          <w:szCs w:val="21"/>
          <w:highlight w:val="none"/>
        </w:rPr>
        <w:t>4.</w:t>
      </w:r>
      <w:r>
        <w:rPr>
          <w:rFonts w:hint="eastAsia"/>
          <w:bCs/>
          <w:color w:val="auto"/>
          <w:szCs w:val="21"/>
          <w:highlight w:val="none"/>
        </w:rPr>
        <w:t xml:space="preserve"> </w:t>
      </w:r>
      <w:r>
        <w:rPr>
          <w:rFonts w:hAnsi="宋体"/>
          <w:bCs/>
          <w:color w:val="auto"/>
          <w:szCs w:val="21"/>
          <w:highlight w:val="none"/>
        </w:rPr>
        <w:t>资金来源：</w:t>
      </w:r>
      <w:r>
        <w:rPr>
          <w:rFonts w:hAnsi="宋体"/>
          <w:color w:val="auto"/>
          <w:szCs w:val="21"/>
          <w:highlight w:val="none"/>
          <w:u w:val="single"/>
        </w:rPr>
        <w:t></w:t>
      </w:r>
      <w:r>
        <w:rPr>
          <w:rFonts w:hint="eastAsia" w:hAnsi="宋体"/>
          <w:color w:val="auto"/>
          <w:szCs w:val="21"/>
          <w:highlight w:val="none"/>
          <w:u w:val="single"/>
          <w:lang w:val="en-US" w:eastAsia="zh-CN"/>
        </w:rPr>
        <w:t>公共财政预算拨款</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5F8F53EC">
      <w:pPr>
        <w:spacing w:line="360" w:lineRule="auto"/>
        <w:ind w:firstLine="411" w:firstLineChars="196"/>
        <w:rPr>
          <w:rFonts w:hint="eastAsia" w:hAnsi="宋体"/>
          <w:bCs/>
          <w:color w:val="auto"/>
          <w:szCs w:val="21"/>
          <w:highlight w:val="none"/>
          <w:u w:val="single"/>
          <w:lang w:val="en-US" w:eastAsia="zh-CN"/>
        </w:rPr>
      </w:pPr>
      <w:r>
        <w:rPr>
          <w:bCs/>
          <w:color w:val="auto"/>
          <w:szCs w:val="21"/>
          <w:highlight w:val="none"/>
        </w:rPr>
        <w:t>5.</w:t>
      </w:r>
      <w:r>
        <w:rPr>
          <w:rFonts w:hint="eastAsia"/>
          <w:bCs/>
          <w:color w:val="auto"/>
          <w:szCs w:val="21"/>
          <w:highlight w:val="none"/>
        </w:rPr>
        <w:t xml:space="preserve"> </w:t>
      </w:r>
      <w:r>
        <w:rPr>
          <w:rFonts w:hAnsi="宋体"/>
          <w:bCs/>
          <w:color w:val="auto"/>
          <w:szCs w:val="21"/>
          <w:highlight w:val="none"/>
        </w:rPr>
        <w:t>工程内容：</w:t>
      </w:r>
      <w:r>
        <w:rPr>
          <w:rFonts w:hint="eastAsia" w:hAnsi="宋体"/>
          <w:bCs/>
          <w:color w:val="auto"/>
          <w:szCs w:val="21"/>
          <w:highlight w:val="none"/>
          <w:u w:val="single"/>
          <w:lang w:val="en-US" w:eastAsia="zh-CN"/>
        </w:rPr>
        <w:t>1.道路工程：道路硬化2条长611m宽3.5m(增加会车台2道)；2.环境整治：新建场地硬化34㎡,场地修复2处201㎡,路灯39盏。如需进一步了解详细内容，详见工程量清单和施工图纸。</w:t>
      </w:r>
    </w:p>
    <w:p w14:paraId="4F60F3EF">
      <w:pPr>
        <w:spacing w:line="360" w:lineRule="auto"/>
        <w:ind w:firstLine="411" w:firstLineChars="196"/>
        <w:rPr>
          <w:bCs/>
          <w:color w:val="auto"/>
          <w:szCs w:val="21"/>
          <w:highlight w:val="none"/>
        </w:rPr>
      </w:pPr>
      <w:r>
        <w:rPr>
          <w:rFonts w:hAnsi="宋体"/>
          <w:color w:val="auto"/>
          <w:szCs w:val="21"/>
          <w:highlight w:val="none"/>
        </w:rPr>
        <w:t>群体工程应附《承包人承揽工程项目一览表》（附件</w:t>
      </w:r>
      <w:r>
        <w:rPr>
          <w:color w:val="auto"/>
          <w:szCs w:val="21"/>
          <w:highlight w:val="none"/>
        </w:rPr>
        <w:t>1</w:t>
      </w:r>
      <w:r>
        <w:rPr>
          <w:rFonts w:hAnsi="宋体"/>
          <w:color w:val="auto"/>
          <w:szCs w:val="21"/>
          <w:highlight w:val="none"/>
        </w:rPr>
        <w:t>）。</w:t>
      </w:r>
    </w:p>
    <w:p w14:paraId="6C149442">
      <w:pPr>
        <w:spacing w:line="360" w:lineRule="auto"/>
        <w:ind w:firstLine="411" w:firstLineChars="196"/>
        <w:rPr>
          <w:bCs/>
          <w:color w:val="auto"/>
          <w:szCs w:val="21"/>
          <w:highlight w:val="none"/>
        </w:rPr>
      </w:pPr>
      <w:r>
        <w:rPr>
          <w:bCs/>
          <w:color w:val="auto"/>
          <w:szCs w:val="21"/>
          <w:highlight w:val="none"/>
        </w:rPr>
        <w:t>6.</w:t>
      </w:r>
      <w:r>
        <w:rPr>
          <w:rFonts w:hint="eastAsia"/>
          <w:bCs/>
          <w:color w:val="auto"/>
          <w:szCs w:val="21"/>
          <w:highlight w:val="none"/>
        </w:rPr>
        <w:t xml:space="preserve"> </w:t>
      </w:r>
      <w:r>
        <w:rPr>
          <w:rFonts w:hAnsi="宋体"/>
          <w:bCs/>
          <w:color w:val="auto"/>
          <w:szCs w:val="21"/>
          <w:highlight w:val="none"/>
        </w:rPr>
        <w:t>工程承包范围：</w:t>
      </w:r>
    </w:p>
    <w:p w14:paraId="44163FA8">
      <w:pPr>
        <w:spacing w:line="360" w:lineRule="auto"/>
        <w:ind w:firstLine="405" w:firstLineChars="193"/>
        <w:rPr>
          <w:rFonts w:hint="eastAsia" w:hAnsi="宋体"/>
          <w:bCs/>
          <w:color w:val="auto"/>
          <w:szCs w:val="21"/>
          <w:highlight w:val="none"/>
          <w:u w:val="single"/>
          <w:lang w:val="en-US" w:eastAsia="zh-CN"/>
        </w:rPr>
      </w:pPr>
      <w:bookmarkStart w:id="55" w:name="_Toc351203482"/>
      <w:r>
        <w:rPr>
          <w:rFonts w:hint="eastAsia" w:hAnsi="宋体"/>
          <w:bCs/>
          <w:color w:val="auto"/>
          <w:szCs w:val="21"/>
          <w:highlight w:val="none"/>
          <w:u w:val="single"/>
          <w:lang w:val="en-US" w:eastAsia="zh-CN"/>
        </w:rPr>
        <w:t>1.道路工程：道路硬化2条长611m宽3.5m(增加会车台2道)；2.环境整治：新建场地硬化34㎡,场地修复2处201㎡,路灯39盏。如需进一步了解详细内容，详见工程量清单和施工图纸。</w:t>
      </w:r>
    </w:p>
    <w:p w14:paraId="4D0A44C9">
      <w:pPr>
        <w:spacing w:line="360" w:lineRule="auto"/>
        <w:ind w:firstLine="407" w:firstLineChars="193"/>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二、合同工期</w:t>
      </w:r>
      <w:bookmarkEnd w:id="55"/>
    </w:p>
    <w:p w14:paraId="37E8CBB7">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计划开工日期：</w:t>
      </w:r>
      <w:r>
        <w:rPr>
          <w:rFonts w:hint="eastAsia" w:ascii="宋体" w:hAnsi="宋体" w:eastAsia="宋体" w:cs="宋体"/>
          <w:color w:val="auto"/>
          <w:szCs w:val="21"/>
          <w:highlight w:val="none"/>
          <w:u w:val="single"/>
          <w:lang w:val="en-US" w:eastAsia="zh-CN"/>
        </w:rPr>
        <w:t>202</w:t>
      </w:r>
      <w:r>
        <w:rPr>
          <w:rFonts w:hint="eastAsia" w:ascii="宋体" w:hAnsi="宋体" w:cs="宋体"/>
          <w:color w:val="auto"/>
          <w:szCs w:val="21"/>
          <w:highlight w:val="none"/>
          <w:u w:val="single"/>
          <w:lang w:val="en-US" w:eastAsia="zh-CN"/>
        </w:rPr>
        <w:t>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日。（具体以发包人书面通知为准）</w:t>
      </w:r>
    </w:p>
    <w:p w14:paraId="05523642">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计划竣工日期：</w:t>
      </w:r>
      <w:r>
        <w:rPr>
          <w:rFonts w:hint="eastAsia" w:ascii="宋体" w:hAnsi="宋体" w:eastAsia="宋体" w:cs="宋体"/>
          <w:color w:val="auto"/>
          <w:szCs w:val="21"/>
          <w:highlight w:val="none"/>
          <w:u w:val="single"/>
          <w:lang w:val="en-US" w:eastAsia="zh-CN"/>
        </w:rPr>
        <w:t>20</w:t>
      </w:r>
      <w:r>
        <w:rPr>
          <w:rFonts w:hint="eastAsia" w:ascii="宋体" w:hAnsi="宋体" w:cs="宋体"/>
          <w:color w:val="auto"/>
          <w:szCs w:val="21"/>
          <w:highlight w:val="none"/>
          <w:u w:val="single"/>
          <w:lang w:val="en-US" w:eastAsia="zh-CN"/>
        </w:rPr>
        <w:t>25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w:t>
      </w:r>
    </w:p>
    <w:p w14:paraId="68077901">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工期总日历天数：</w:t>
      </w:r>
      <w:r>
        <w:rPr>
          <w:rFonts w:hint="eastAsia" w:ascii="宋体" w:hAnsi="宋体" w:cs="宋体"/>
          <w:color w:val="auto"/>
          <w:szCs w:val="21"/>
          <w:highlight w:val="none"/>
          <w:u w:val="single"/>
          <w:lang w:val="en-US" w:eastAsia="zh-CN"/>
        </w:rPr>
        <w:t>120</w:t>
      </w:r>
      <w:r>
        <w:rPr>
          <w:rFonts w:hint="eastAsia" w:ascii="宋体" w:hAnsi="宋体" w:eastAsia="宋体" w:cs="宋体"/>
          <w:color w:val="auto"/>
          <w:szCs w:val="21"/>
          <w:highlight w:val="none"/>
          <w:u w:val="none"/>
          <w:lang w:val="en-US" w:eastAsia="zh-CN"/>
        </w:rPr>
        <w:t>日历</w:t>
      </w:r>
      <w:r>
        <w:rPr>
          <w:rFonts w:hint="eastAsia" w:ascii="宋体" w:hAnsi="宋体" w:eastAsia="宋体" w:cs="宋体"/>
          <w:color w:val="auto"/>
          <w:szCs w:val="21"/>
          <w:highlight w:val="none"/>
        </w:rPr>
        <w:t>天。工期总日历天数与根据前述计划开竣工日期计算的工期天数不一致的，以工期总日历天数为准。</w:t>
      </w:r>
    </w:p>
    <w:p w14:paraId="71D6623B">
      <w:pPr>
        <w:spacing w:line="360" w:lineRule="auto"/>
        <w:ind w:firstLine="459"/>
        <w:rPr>
          <w:b/>
          <w:bCs/>
          <w:color w:val="auto"/>
          <w:szCs w:val="21"/>
          <w:highlight w:val="none"/>
        </w:rPr>
      </w:pPr>
      <w:bookmarkStart w:id="56" w:name="_Toc351203483"/>
      <w:r>
        <w:rPr>
          <w:rFonts w:hAnsi="宋体"/>
          <w:b/>
          <w:bCs/>
          <w:color w:val="auto"/>
          <w:szCs w:val="21"/>
          <w:highlight w:val="none"/>
        </w:rPr>
        <w:t>三、质量标准</w:t>
      </w:r>
      <w:bookmarkEnd w:id="56"/>
    </w:p>
    <w:p w14:paraId="2083A92D">
      <w:pPr>
        <w:spacing w:line="360" w:lineRule="auto"/>
        <w:ind w:firstLine="459"/>
        <w:rPr>
          <w:rFonts w:hAnsi="宋体"/>
          <w:color w:val="auto"/>
          <w:szCs w:val="21"/>
          <w:highlight w:val="none"/>
        </w:rPr>
      </w:pPr>
      <w:r>
        <w:rPr>
          <w:rFonts w:hAnsi="宋体"/>
          <w:color w:val="auto"/>
          <w:szCs w:val="21"/>
          <w:highlight w:val="none"/>
        </w:rPr>
        <w:t>工程质量符合</w:t>
      </w:r>
      <w:r>
        <w:rPr>
          <w:rFonts w:hint="eastAsia" w:ascii="宋体" w:hAnsi="宋体"/>
          <w:color w:val="auto"/>
          <w:szCs w:val="21"/>
          <w:highlight w:val="none"/>
          <w:lang w:val="en-US" w:eastAsia="zh-CN"/>
        </w:rPr>
        <w:t xml:space="preserve"> </w:t>
      </w:r>
      <w:r>
        <w:rPr>
          <w:rFonts w:hint="eastAsia" w:ascii="宋体" w:hAnsi="宋体"/>
          <w:color w:val="auto"/>
          <w:szCs w:val="21"/>
          <w:highlight w:val="none"/>
          <w:u w:val="single"/>
        </w:rPr>
        <w:t>国家施工质量验收规范合格</w:t>
      </w:r>
      <w:r>
        <w:rPr>
          <w:rFonts w:hAnsi="宋体"/>
          <w:color w:val="auto"/>
          <w:szCs w:val="21"/>
          <w:highlight w:val="none"/>
          <w:u w:val="single"/>
        </w:rPr>
        <w:t></w:t>
      </w:r>
      <w:r>
        <w:rPr>
          <w:rFonts w:hAnsi="宋体"/>
          <w:color w:val="auto"/>
          <w:szCs w:val="21"/>
          <w:highlight w:val="none"/>
        </w:rPr>
        <w:t>标准。</w:t>
      </w:r>
    </w:p>
    <w:p w14:paraId="1E54FCC5">
      <w:pPr>
        <w:spacing w:line="360" w:lineRule="auto"/>
        <w:ind w:firstLine="459"/>
        <w:rPr>
          <w:rFonts w:hAnsi="宋体"/>
          <w:b/>
          <w:bCs/>
          <w:color w:val="auto"/>
          <w:szCs w:val="21"/>
          <w:highlight w:val="none"/>
        </w:rPr>
      </w:pPr>
      <w:bookmarkStart w:id="57" w:name="_Toc351203484"/>
      <w:r>
        <w:rPr>
          <w:rFonts w:hAnsi="宋体"/>
          <w:b/>
          <w:bCs/>
          <w:color w:val="auto"/>
          <w:szCs w:val="21"/>
          <w:highlight w:val="none"/>
        </w:rPr>
        <w:t>四、签约合同价与合同价格形式</w:t>
      </w:r>
      <w:bookmarkEnd w:id="57"/>
    </w:p>
    <w:p w14:paraId="375129E4">
      <w:pPr>
        <w:spacing w:line="360" w:lineRule="auto"/>
        <w:ind w:firstLine="459"/>
        <w:rPr>
          <w:color w:val="auto"/>
          <w:szCs w:val="21"/>
          <w:highlight w:val="none"/>
        </w:rPr>
      </w:pPr>
      <w:r>
        <w:rPr>
          <w:color w:val="auto"/>
          <w:szCs w:val="21"/>
          <w:highlight w:val="none"/>
        </w:rPr>
        <w:t>1.</w:t>
      </w:r>
      <w:r>
        <w:rPr>
          <w:rFonts w:hint="eastAsia"/>
          <w:color w:val="auto"/>
          <w:szCs w:val="21"/>
          <w:highlight w:val="none"/>
        </w:rPr>
        <w:t xml:space="preserve"> </w:t>
      </w:r>
      <w:r>
        <w:rPr>
          <w:rFonts w:hAnsi="宋体"/>
          <w:color w:val="auto"/>
          <w:szCs w:val="21"/>
          <w:highlight w:val="none"/>
        </w:rPr>
        <w:t>签约合同价为：</w:t>
      </w:r>
    </w:p>
    <w:p w14:paraId="19BE67EE">
      <w:pPr>
        <w:spacing w:line="360" w:lineRule="auto"/>
        <w:ind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FD0DCAA">
      <w:pPr>
        <w:spacing w:line="360" w:lineRule="auto"/>
        <w:ind w:firstLine="525" w:firstLineChars="250"/>
        <w:rPr>
          <w:rFonts w:hAnsi="宋体"/>
          <w:color w:val="auto"/>
          <w:szCs w:val="21"/>
          <w:highlight w:val="none"/>
        </w:rPr>
      </w:pPr>
      <w:r>
        <w:rPr>
          <w:rFonts w:hAnsi="宋体"/>
          <w:color w:val="auto"/>
          <w:szCs w:val="21"/>
          <w:highlight w:val="none"/>
        </w:rPr>
        <w:t>其中：</w:t>
      </w:r>
    </w:p>
    <w:p w14:paraId="63064040">
      <w:pPr>
        <w:spacing w:line="360" w:lineRule="auto"/>
        <w:ind w:firstLine="420" w:firstLineChars="200"/>
        <w:rPr>
          <w:color w:val="auto"/>
          <w:szCs w:val="21"/>
          <w:highlight w:val="none"/>
        </w:rPr>
      </w:pPr>
      <w:r>
        <w:rPr>
          <w:rFonts w:hint="eastAsia" w:hAnsi="宋体"/>
          <w:color w:val="auto"/>
          <w:szCs w:val="21"/>
          <w:highlight w:val="none"/>
        </w:rPr>
        <w:t>（1）</w:t>
      </w:r>
      <w:r>
        <w:rPr>
          <w:rFonts w:hAnsi="宋体"/>
          <w:color w:val="auto"/>
          <w:szCs w:val="21"/>
          <w:highlight w:val="none"/>
        </w:rPr>
        <w:t>安全文明施工费：</w:t>
      </w:r>
    </w:p>
    <w:p w14:paraId="290B505A">
      <w:pPr>
        <w:spacing w:line="360" w:lineRule="auto"/>
        <w:ind w:left="420" w:leftChars="200"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5907BC">
      <w:pPr>
        <w:spacing w:line="360" w:lineRule="auto"/>
        <w:ind w:firstLine="420" w:firstLineChars="200"/>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）建安劳保费：</w:t>
      </w:r>
    </w:p>
    <w:p w14:paraId="4950967D">
      <w:pPr>
        <w:spacing w:line="360" w:lineRule="auto"/>
        <w:ind w:left="420" w:leftChars="200" w:firstLine="525" w:firstLineChars="2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41B87BBF">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）材料和工程设备暂估价金额：</w:t>
      </w:r>
    </w:p>
    <w:p w14:paraId="0BEC0EC4">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1B6D069">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）专业工程暂估价金额：</w:t>
      </w:r>
    </w:p>
    <w:p w14:paraId="41CB8EED">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1EF012E">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）暂列金额：</w:t>
      </w:r>
    </w:p>
    <w:p w14:paraId="4302092C">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9129EBB">
      <w:pPr>
        <w:spacing w:line="360" w:lineRule="auto"/>
        <w:ind w:firstLine="359" w:firstLineChars="171"/>
        <w:rPr>
          <w:color w:val="auto"/>
          <w:szCs w:val="21"/>
          <w:highlight w:val="none"/>
        </w:rPr>
      </w:pPr>
      <w:r>
        <w:rPr>
          <w:rFonts w:hAnsi="宋体"/>
          <w:color w:val="auto"/>
          <w:szCs w:val="21"/>
          <w:highlight w:val="none"/>
        </w:rPr>
        <w:t>（6）</w:t>
      </w:r>
      <w:r>
        <w:rPr>
          <w:rFonts w:hint="eastAsia" w:hAnsi="宋体"/>
          <w:color w:val="auto"/>
          <w:szCs w:val="21"/>
          <w:highlight w:val="none"/>
        </w:rPr>
        <w:t>增值税额：</w:t>
      </w:r>
    </w:p>
    <w:p w14:paraId="6496717E">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12F2C9">
      <w:pPr>
        <w:spacing w:line="360" w:lineRule="auto"/>
        <w:ind w:firstLine="987" w:firstLineChars="470"/>
        <w:rPr>
          <w:rFonts w:hAnsi="宋体"/>
          <w:color w:val="auto"/>
          <w:szCs w:val="21"/>
          <w:highlight w:val="none"/>
        </w:rPr>
      </w:pPr>
      <w:r>
        <w:rPr>
          <w:rFonts w:hint="eastAsia" w:hAnsi="宋体"/>
          <w:color w:val="auto"/>
          <w:szCs w:val="21"/>
          <w:highlight w:val="none"/>
        </w:rPr>
        <w:t>增值税率：</w:t>
      </w:r>
      <w:r>
        <w:rPr>
          <w:rFonts w:hAnsi="宋体"/>
          <w:color w:val="auto"/>
          <w:szCs w:val="21"/>
          <w:highlight w:val="none"/>
          <w:u w:val="single"/>
        </w:rPr>
        <w:t xml:space="preserve">  </w:t>
      </w:r>
      <w:r>
        <w:rPr>
          <w:rFonts w:hint="eastAsia" w:hAnsi="宋体"/>
          <w:color w:val="auto"/>
          <w:szCs w:val="21"/>
          <w:highlight w:val="none"/>
          <w:u w:val="single"/>
        </w:rPr>
        <w:t>　　　　　　</w:t>
      </w:r>
      <w:r>
        <w:rPr>
          <w:rFonts w:hAnsi="宋体"/>
          <w:color w:val="auto"/>
          <w:szCs w:val="21"/>
          <w:highlight w:val="none"/>
          <w:u w:val="single"/>
        </w:rPr>
        <w:t xml:space="preserve">  </w:t>
      </w:r>
    </w:p>
    <w:p w14:paraId="07E0A381">
      <w:pPr>
        <w:numPr>
          <w:ilvl w:val="0"/>
          <w:numId w:val="14"/>
        </w:numPr>
        <w:spacing w:line="360" w:lineRule="auto"/>
        <w:ind w:firstLine="420" w:firstLineChars="200"/>
        <w:rPr>
          <w:rFonts w:hAnsi="宋体"/>
          <w:color w:val="auto"/>
          <w:szCs w:val="21"/>
          <w:highlight w:val="none"/>
        </w:rPr>
      </w:pPr>
      <w:r>
        <w:rPr>
          <w:rFonts w:hAnsi="宋体"/>
          <w:color w:val="auto"/>
          <w:szCs w:val="21"/>
          <w:highlight w:val="none"/>
        </w:rPr>
        <w:t>合同价格形式：</w:t>
      </w:r>
      <w:r>
        <w:rPr>
          <w:color w:val="auto"/>
          <w:szCs w:val="21"/>
          <w:highlight w:val="none"/>
        </w:rPr>
        <w:t xml:space="preserve">   </w:t>
      </w:r>
      <w:r>
        <w:rPr>
          <w:rFonts w:hAnsi="宋体"/>
          <w:color w:val="auto"/>
          <w:szCs w:val="21"/>
          <w:highlight w:val="none"/>
          <w:u w:val="single"/>
        </w:rPr>
        <w:t></w:t>
      </w:r>
      <w:r>
        <w:rPr>
          <w:rFonts w:hint="eastAsia"/>
          <w:color w:val="auto"/>
          <w:szCs w:val="21"/>
          <w:highlight w:val="none"/>
          <w:u w:val="single"/>
          <w:lang w:eastAsia="zh-CN"/>
        </w:rPr>
        <w:t>总价合同</w:t>
      </w:r>
      <w:r>
        <w:rPr>
          <w:rFonts w:hint="eastAsia"/>
          <w:color w:val="auto"/>
          <w:szCs w:val="21"/>
          <w:highlight w:val="none"/>
          <w:u w:val="single"/>
          <w:lang w:val="en-US" w:eastAsia="zh-CN"/>
        </w:rPr>
        <w:t xml:space="preserve"> </w:t>
      </w:r>
      <w:r>
        <w:rPr>
          <w:color w:val="auto"/>
          <w:szCs w:val="21"/>
          <w:highlight w:val="none"/>
          <w:u w:val="single"/>
        </w:rPr>
        <w:t xml:space="preserve"> </w:t>
      </w:r>
      <w:r>
        <w:rPr>
          <w:rFonts w:hAnsi="宋体"/>
          <w:color w:val="auto"/>
          <w:szCs w:val="21"/>
          <w:highlight w:val="none"/>
        </w:rPr>
        <w:t>。</w:t>
      </w:r>
    </w:p>
    <w:p w14:paraId="0E0EBD86">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3、（1）工程款支付账户：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p>
    <w:p w14:paraId="6DBF36CA">
      <w:pPr>
        <w:spacing w:line="360" w:lineRule="auto"/>
        <w:rPr>
          <w:rFonts w:hint="eastAsia" w:ascii="宋体" w:hAnsi="宋体"/>
          <w:color w:val="auto"/>
          <w:szCs w:val="21"/>
          <w:highlight w:val="none"/>
          <w:u w:val="single"/>
        </w:rPr>
      </w:pP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账号：</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B975D93">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（2）安全文明施工费支付专用账户（如有）：</w:t>
      </w:r>
      <w:r>
        <w:rPr>
          <w:rFonts w:ascii="宋体" w:hAnsi="宋体" w:cs="Arial"/>
          <w:color w:val="auto"/>
          <w:szCs w:val="21"/>
          <w:highlight w:val="none"/>
          <w:u w:val="single"/>
        </w:rPr>
        <w:t>××××</w:t>
      </w:r>
      <w:r>
        <w:rPr>
          <w:rFonts w:hint="eastAsia" w:ascii="宋体" w:hAnsi="宋体" w:cs="Arial"/>
          <w:color w:val="auto"/>
          <w:szCs w:val="21"/>
          <w:highlight w:val="none"/>
          <w:u w:val="single"/>
        </w:rPr>
        <w:t>项目安全文明施工费专用账户</w:t>
      </w:r>
      <w:r>
        <w:rPr>
          <w:rFonts w:ascii="宋体" w:hAnsi="宋体"/>
          <w:color w:val="auto"/>
          <w:szCs w:val="21"/>
          <w:highlight w:val="none"/>
          <w:u w:val="single"/>
        </w:rPr>
        <w:t xml:space="preserve"> </w:t>
      </w:r>
      <w:r>
        <w:rPr>
          <w:rFonts w:hint="eastAsia" w:ascii="宋体" w:hAnsi="宋体"/>
          <w:color w:val="auto"/>
          <w:szCs w:val="21"/>
          <w:highlight w:val="none"/>
        </w:rPr>
        <w:t xml:space="preserve">。 </w:t>
      </w:r>
    </w:p>
    <w:p w14:paraId="50738CD4">
      <w:pPr>
        <w:spacing w:line="360" w:lineRule="auto"/>
        <w:ind w:firstLine="735" w:firstLineChars="350"/>
        <w:rPr>
          <w:rFonts w:hint="eastAsia" w:ascii="宋体" w:hAnsi="宋体"/>
          <w:color w:val="auto"/>
          <w:szCs w:val="21"/>
          <w:highlight w:val="none"/>
        </w:rPr>
      </w:pPr>
      <w:r>
        <w:rPr>
          <w:rFonts w:hint="eastAsia" w:ascii="宋体" w:hAnsi="宋体"/>
          <w:color w:val="auto"/>
          <w:szCs w:val="21"/>
          <w:highlight w:val="none"/>
        </w:rPr>
        <w:t>账号：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369B372C">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（3）农民工工资支付专用账户：</w:t>
      </w:r>
      <w:r>
        <w:rPr>
          <w:rFonts w:ascii="宋体" w:hAnsi="宋体" w:cs="Arial"/>
          <w:color w:val="auto"/>
          <w:szCs w:val="21"/>
          <w:highlight w:val="none"/>
          <w:u w:val="single"/>
        </w:rPr>
        <w:t>××××</w:t>
      </w:r>
      <w:r>
        <w:rPr>
          <w:rFonts w:hint="eastAsia" w:ascii="宋体" w:hAnsi="宋体" w:cs="Arial"/>
          <w:color w:val="auto"/>
          <w:szCs w:val="21"/>
          <w:highlight w:val="none"/>
          <w:u w:val="single"/>
        </w:rPr>
        <w:t>项目农民工工资支付专用账户</w:t>
      </w:r>
      <w:r>
        <w:rPr>
          <w:rFonts w:ascii="宋体" w:hAnsi="宋体"/>
          <w:color w:val="auto"/>
          <w:szCs w:val="21"/>
          <w:highlight w:val="none"/>
        </w:rPr>
        <w:t xml:space="preserve"> </w:t>
      </w:r>
      <w:r>
        <w:rPr>
          <w:rFonts w:hint="eastAsia" w:ascii="宋体" w:hAnsi="宋体"/>
          <w:color w:val="auto"/>
          <w:szCs w:val="21"/>
          <w:highlight w:val="none"/>
        </w:rPr>
        <w:t xml:space="preserve">。 </w:t>
      </w:r>
    </w:p>
    <w:p w14:paraId="7DAAE4DA">
      <w:pPr>
        <w:spacing w:line="360" w:lineRule="auto"/>
        <w:ind w:firstLine="630" w:firstLineChars="300"/>
        <w:rPr>
          <w:color w:val="auto"/>
          <w:highlight w:val="none"/>
        </w:rPr>
      </w:pPr>
      <w:r>
        <w:rPr>
          <w:rFonts w:hint="eastAsia" w:ascii="宋体" w:hAnsi="宋体"/>
          <w:color w:val="auto"/>
          <w:szCs w:val="21"/>
          <w:highlight w:val="none"/>
        </w:rPr>
        <w:t>账号：</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w:t>
      </w:r>
      <w:r>
        <w:rPr>
          <w:rFonts w:ascii="宋体" w:hAnsi="宋体"/>
          <w:color w:val="auto"/>
          <w:szCs w:val="21"/>
          <w:highlight w:val="none"/>
        </w:rPr>
        <w:t>。</w:t>
      </w:r>
    </w:p>
    <w:p w14:paraId="790E408F">
      <w:pPr>
        <w:spacing w:line="360" w:lineRule="auto"/>
        <w:ind w:firstLine="422" w:firstLineChars="200"/>
        <w:rPr>
          <w:b/>
          <w:bCs/>
          <w:color w:val="auto"/>
          <w:szCs w:val="21"/>
          <w:highlight w:val="none"/>
        </w:rPr>
      </w:pPr>
      <w:bookmarkStart w:id="58" w:name="_Toc351203485"/>
      <w:r>
        <w:rPr>
          <w:rFonts w:hAnsi="宋体"/>
          <w:b/>
          <w:bCs/>
          <w:color w:val="auto"/>
          <w:szCs w:val="21"/>
          <w:highlight w:val="none"/>
        </w:rPr>
        <w:t>五、</w:t>
      </w:r>
      <w:bookmarkEnd w:id="58"/>
      <w:r>
        <w:rPr>
          <w:rFonts w:hAnsi="宋体"/>
          <w:b/>
          <w:bCs/>
          <w:color w:val="auto"/>
          <w:szCs w:val="21"/>
          <w:highlight w:val="none"/>
        </w:rPr>
        <w:t>项目经理</w:t>
      </w:r>
    </w:p>
    <w:p w14:paraId="34585073">
      <w:pPr>
        <w:spacing w:line="360" w:lineRule="auto"/>
        <w:ind w:firstLine="420" w:firstLineChars="200"/>
        <w:rPr>
          <w:rFonts w:hAnsi="宋体"/>
          <w:color w:val="auto"/>
          <w:szCs w:val="21"/>
          <w:highlight w:val="none"/>
        </w:rPr>
      </w:pPr>
      <w:r>
        <w:rPr>
          <w:rFonts w:hAnsi="宋体"/>
          <w:color w:val="auto"/>
          <w:szCs w:val="21"/>
          <w:highlight w:val="none"/>
        </w:rPr>
        <w:t>承包人项目经理：</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rFonts w:hAnsi="宋体"/>
          <w:color w:val="auto"/>
          <w:szCs w:val="21"/>
          <w:highlight w:val="none"/>
        </w:rPr>
        <w:t>。</w:t>
      </w:r>
    </w:p>
    <w:p w14:paraId="417F38B7">
      <w:pPr>
        <w:spacing w:line="360" w:lineRule="auto"/>
        <w:ind w:firstLine="422" w:firstLineChars="200"/>
        <w:rPr>
          <w:b/>
          <w:bCs/>
          <w:color w:val="auto"/>
          <w:szCs w:val="21"/>
          <w:highlight w:val="none"/>
        </w:rPr>
      </w:pPr>
      <w:bookmarkStart w:id="59" w:name="_Toc351203486"/>
      <w:r>
        <w:rPr>
          <w:rFonts w:hAnsi="宋体"/>
          <w:b/>
          <w:bCs/>
          <w:color w:val="auto"/>
          <w:szCs w:val="21"/>
          <w:highlight w:val="none"/>
        </w:rPr>
        <w:t>六、合同文件构成</w:t>
      </w:r>
      <w:bookmarkEnd w:id="59"/>
    </w:p>
    <w:p w14:paraId="32FF81B7">
      <w:pPr>
        <w:spacing w:line="360" w:lineRule="auto"/>
        <w:ind w:firstLine="420" w:firstLineChars="200"/>
        <w:rPr>
          <w:bCs/>
          <w:color w:val="auto"/>
          <w:szCs w:val="21"/>
          <w:highlight w:val="none"/>
        </w:rPr>
      </w:pPr>
      <w:r>
        <w:rPr>
          <w:rFonts w:hAnsi="宋体"/>
          <w:bCs/>
          <w:color w:val="auto"/>
          <w:szCs w:val="21"/>
          <w:highlight w:val="none"/>
        </w:rPr>
        <w:t>本协议书与下列文件一起构成合同文件：</w:t>
      </w:r>
    </w:p>
    <w:p w14:paraId="2125AD3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w:t>
      </w:r>
      <w:r>
        <w:rPr>
          <w:rFonts w:hint="eastAsia" w:hAnsi="宋体"/>
          <w:color w:val="auto"/>
          <w:szCs w:val="21"/>
          <w:highlight w:val="none"/>
          <w:lang w:val="en-US" w:eastAsia="zh-CN"/>
        </w:rPr>
        <w:t>成交</w:t>
      </w:r>
      <w:r>
        <w:rPr>
          <w:rFonts w:hAnsi="宋体"/>
          <w:color w:val="auto"/>
          <w:szCs w:val="21"/>
          <w:highlight w:val="none"/>
        </w:rPr>
        <w:t>通知书（如有）；</w:t>
      </w:r>
    </w:p>
    <w:p w14:paraId="3B0272F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hAnsi="宋体"/>
          <w:color w:val="auto"/>
          <w:szCs w:val="21"/>
          <w:highlight w:val="none"/>
        </w:rPr>
        <w:t>（如有）；</w:t>
      </w:r>
      <w:r>
        <w:rPr>
          <w:color w:val="auto"/>
          <w:szCs w:val="21"/>
          <w:highlight w:val="none"/>
        </w:rPr>
        <w:t xml:space="preserve"> </w:t>
      </w:r>
    </w:p>
    <w:p w14:paraId="643779DD">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）专用合同条款及其</w:t>
      </w:r>
      <w:r>
        <w:rPr>
          <w:rFonts w:hint="eastAsia" w:hAnsi="宋体"/>
          <w:color w:val="auto"/>
          <w:szCs w:val="21"/>
          <w:highlight w:val="none"/>
          <w:lang w:val="en-US" w:eastAsia="zh-CN"/>
        </w:rPr>
        <w:t>附表</w:t>
      </w:r>
      <w:r>
        <w:rPr>
          <w:rFonts w:hAnsi="宋体"/>
          <w:color w:val="auto"/>
          <w:szCs w:val="21"/>
          <w:highlight w:val="none"/>
        </w:rPr>
        <w:t>；</w:t>
      </w:r>
    </w:p>
    <w:p w14:paraId="2F2138E5">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）通用合同条款；</w:t>
      </w:r>
    </w:p>
    <w:p w14:paraId="446E123A">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）技术标准和要求；</w:t>
      </w:r>
    </w:p>
    <w:p w14:paraId="79B814D8">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）已标价工程量清单或预算书；</w:t>
      </w:r>
      <w:r>
        <w:rPr>
          <w:color w:val="auto"/>
          <w:szCs w:val="21"/>
          <w:highlight w:val="none"/>
        </w:rPr>
        <w:t xml:space="preserve"> </w:t>
      </w:r>
    </w:p>
    <w:p w14:paraId="4ADAC036">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7</w:t>
      </w:r>
      <w:r>
        <w:rPr>
          <w:rFonts w:hAnsi="宋体"/>
          <w:color w:val="auto"/>
          <w:szCs w:val="21"/>
          <w:highlight w:val="none"/>
        </w:rPr>
        <w:t>）图纸；</w:t>
      </w:r>
    </w:p>
    <w:p w14:paraId="6DEE2FA9">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8</w:t>
      </w:r>
      <w:r>
        <w:rPr>
          <w:rFonts w:hAnsi="宋体"/>
          <w:color w:val="auto"/>
          <w:szCs w:val="21"/>
          <w:highlight w:val="none"/>
        </w:rPr>
        <w:t>）其他合同文件。</w:t>
      </w:r>
    </w:p>
    <w:p w14:paraId="6A7579C2">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在合同订立及履行过程中形成的与合同有关的文件均构成合同文件组成部分。</w:t>
      </w:r>
    </w:p>
    <w:p w14:paraId="6AE94476">
      <w:pPr>
        <w:autoSpaceDE w:val="0"/>
        <w:autoSpaceDN w:val="0"/>
        <w:adjustRightInd w:val="0"/>
        <w:spacing w:line="360" w:lineRule="auto"/>
        <w:ind w:firstLine="420" w:firstLineChars="200"/>
        <w:jc w:val="left"/>
        <w:rPr>
          <w:rFonts w:hAnsi="宋体"/>
          <w:color w:val="auto"/>
          <w:szCs w:val="21"/>
          <w:highlight w:val="none"/>
        </w:rPr>
      </w:pPr>
      <w:r>
        <w:rPr>
          <w:rFonts w:hAnsi="宋体"/>
          <w:color w:val="auto"/>
          <w:szCs w:val="21"/>
          <w:highlight w:val="none"/>
        </w:rPr>
        <w:t>上述各项合同文件包括合同当事人就该项合同文件所作出的补充和修改，属于同一类内容的文件，应以最新签署的为准。专用合同条款及其附件须经合同当事人签字或盖章。</w:t>
      </w:r>
    </w:p>
    <w:p w14:paraId="59DF4553">
      <w:pPr>
        <w:autoSpaceDE w:val="0"/>
        <w:autoSpaceDN w:val="0"/>
        <w:adjustRightInd w:val="0"/>
        <w:spacing w:line="360" w:lineRule="auto"/>
        <w:ind w:firstLine="422" w:firstLineChars="200"/>
        <w:jc w:val="left"/>
        <w:rPr>
          <w:b/>
          <w:bCs/>
          <w:color w:val="auto"/>
          <w:szCs w:val="21"/>
          <w:highlight w:val="none"/>
        </w:rPr>
      </w:pPr>
      <w:bookmarkStart w:id="60" w:name="_Toc351203487"/>
      <w:r>
        <w:rPr>
          <w:rFonts w:hAnsi="宋体"/>
          <w:b/>
          <w:bCs/>
          <w:color w:val="auto"/>
          <w:szCs w:val="21"/>
          <w:highlight w:val="none"/>
        </w:rPr>
        <w:t>七、承诺</w:t>
      </w:r>
      <w:bookmarkEnd w:id="60"/>
    </w:p>
    <w:p w14:paraId="644955F9">
      <w:pPr>
        <w:spacing w:line="360" w:lineRule="auto"/>
        <w:ind w:firstLine="420" w:firstLineChars="200"/>
        <w:rPr>
          <w:bCs/>
          <w:color w:val="auto"/>
          <w:szCs w:val="21"/>
          <w:highlight w:val="none"/>
        </w:rPr>
      </w:pPr>
      <w:bookmarkStart w:id="61" w:name="_Toc351203488"/>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发包人承诺按照法律规定履行项目审批手续、筹集工程建设资金并按照合同约定的期限和方式支付合同价款。</w:t>
      </w:r>
    </w:p>
    <w:p w14:paraId="64F4E654">
      <w:pPr>
        <w:spacing w:line="360" w:lineRule="auto"/>
        <w:ind w:firstLine="420" w:firstLineChars="200"/>
        <w:rPr>
          <w:rFonts w:hint="eastAsia" w:hAnsi="宋体"/>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承包人承诺按照法律规定及合同约定组织完成工程施工，确保工程质量和安全，不进行转包及违法分包，并在缺陷责任期及保修期内承担相应的工程维修责任。</w:t>
      </w:r>
    </w:p>
    <w:p w14:paraId="347357A4">
      <w:pPr>
        <w:spacing w:line="360" w:lineRule="auto"/>
        <w:ind w:firstLine="420" w:firstLineChars="200"/>
        <w:rPr>
          <w:rFonts w:hint="eastAsia" w:hAnsi="宋体"/>
          <w:bCs/>
          <w:color w:val="auto"/>
          <w:szCs w:val="21"/>
          <w:highlight w:val="none"/>
        </w:rPr>
      </w:pPr>
      <w:r>
        <w:rPr>
          <w:rFonts w:hint="eastAsia" w:hAnsi="宋体"/>
          <w:bCs/>
          <w:color w:val="auto"/>
          <w:szCs w:val="21"/>
          <w:highlight w:val="none"/>
        </w:rPr>
        <w:t>3、承包人承诺在与发包人签订施工合同后7个日历天内组织进场施工，超出此时限的属于合同违约，发包人有权单方面解除合同，因此行为给发包人造成经济损失的由承包人承担。</w:t>
      </w:r>
    </w:p>
    <w:p w14:paraId="23E25D4C">
      <w:pPr>
        <w:spacing w:line="360" w:lineRule="auto"/>
        <w:ind w:firstLine="420" w:firstLineChars="200"/>
        <w:rPr>
          <w:bCs/>
          <w:color w:val="auto"/>
          <w:szCs w:val="21"/>
          <w:highlight w:val="none"/>
        </w:rPr>
      </w:pPr>
      <w:r>
        <w:rPr>
          <w:rFonts w:hint="eastAsia" w:hAnsi="宋体"/>
          <w:bCs/>
          <w:color w:val="auto"/>
          <w:szCs w:val="21"/>
          <w:highlight w:val="none"/>
        </w:rPr>
        <w:t>4、承包人承诺在施工期间，除不可抗力原因外，不得超过15个日历天处于停工状态，否则发包人有权单方面解除合同，因此行为给发包人造成经济损失的由承包人承担。</w:t>
      </w:r>
    </w:p>
    <w:p w14:paraId="2D0A2F00">
      <w:pPr>
        <w:spacing w:line="360" w:lineRule="auto"/>
        <w:ind w:firstLine="420" w:firstLineChars="200"/>
        <w:rPr>
          <w:rFonts w:hint="eastAsia" w:hAnsi="宋体"/>
          <w:bCs/>
          <w:color w:val="auto"/>
          <w:szCs w:val="21"/>
          <w:highlight w:val="none"/>
        </w:rPr>
      </w:pPr>
      <w:r>
        <w:rPr>
          <w:rFonts w:hint="eastAsia"/>
          <w:bCs/>
          <w:color w:val="auto"/>
          <w:szCs w:val="21"/>
          <w:highlight w:val="none"/>
        </w:rPr>
        <w:t>5</w:t>
      </w:r>
      <w:r>
        <w:rPr>
          <w:bCs/>
          <w:color w:val="auto"/>
          <w:szCs w:val="21"/>
          <w:highlight w:val="none"/>
        </w:rPr>
        <w:t>.</w:t>
      </w:r>
      <w:r>
        <w:rPr>
          <w:rFonts w:hint="eastAsia"/>
          <w:bCs/>
          <w:color w:val="auto"/>
          <w:szCs w:val="21"/>
          <w:highlight w:val="none"/>
        </w:rPr>
        <w:t xml:space="preserve"> </w:t>
      </w:r>
      <w:r>
        <w:rPr>
          <w:rFonts w:hAnsi="宋体"/>
          <w:bCs/>
          <w:color w:val="auto"/>
          <w:szCs w:val="21"/>
          <w:highlight w:val="none"/>
        </w:rPr>
        <w:t>发包人和承包人通过招投标形式签订合同的，双方理解并承诺不再就同一工程另行签订与合同实质性内容相背离的协议。</w:t>
      </w:r>
    </w:p>
    <w:p w14:paraId="7390A30C">
      <w:pPr>
        <w:spacing w:line="360" w:lineRule="auto"/>
        <w:ind w:firstLine="422" w:firstLineChars="200"/>
        <w:rPr>
          <w:b/>
          <w:bCs/>
          <w:color w:val="auto"/>
          <w:szCs w:val="21"/>
          <w:highlight w:val="none"/>
        </w:rPr>
      </w:pPr>
      <w:r>
        <w:rPr>
          <w:rFonts w:hAnsi="宋体"/>
          <w:b/>
          <w:bCs/>
          <w:color w:val="auto"/>
          <w:szCs w:val="21"/>
          <w:highlight w:val="none"/>
        </w:rPr>
        <w:t>八、词语含义</w:t>
      </w:r>
      <w:bookmarkEnd w:id="61"/>
    </w:p>
    <w:p w14:paraId="3E03F5AA">
      <w:pPr>
        <w:spacing w:line="360" w:lineRule="auto"/>
        <w:ind w:firstLine="420" w:firstLineChars="200"/>
        <w:rPr>
          <w:rFonts w:hAnsi="宋体"/>
          <w:bCs/>
          <w:color w:val="auto"/>
          <w:szCs w:val="21"/>
          <w:highlight w:val="none"/>
        </w:rPr>
      </w:pPr>
      <w:r>
        <w:rPr>
          <w:rFonts w:hAnsi="宋体"/>
          <w:bCs/>
          <w:color w:val="auto"/>
          <w:szCs w:val="21"/>
          <w:highlight w:val="none"/>
        </w:rPr>
        <w:t>本协议书中词语含义与第二部分通用合同条款中赋予的含义相同。</w:t>
      </w:r>
    </w:p>
    <w:p w14:paraId="37149BC8">
      <w:pPr>
        <w:spacing w:line="360" w:lineRule="auto"/>
        <w:ind w:firstLine="422" w:firstLineChars="200"/>
        <w:rPr>
          <w:b/>
          <w:bCs/>
          <w:color w:val="auto"/>
          <w:szCs w:val="21"/>
          <w:highlight w:val="none"/>
        </w:rPr>
      </w:pPr>
      <w:bookmarkStart w:id="62" w:name="_Toc351203489"/>
      <w:r>
        <w:rPr>
          <w:rFonts w:hAnsi="宋体"/>
          <w:b/>
          <w:bCs/>
          <w:color w:val="auto"/>
          <w:szCs w:val="21"/>
          <w:highlight w:val="none"/>
        </w:rPr>
        <w:t>九、签订时间</w:t>
      </w:r>
      <w:bookmarkEnd w:id="62"/>
    </w:p>
    <w:p w14:paraId="6FE2133E">
      <w:pPr>
        <w:spacing w:line="360" w:lineRule="auto"/>
        <w:ind w:firstLine="420" w:firstLineChars="200"/>
        <w:rPr>
          <w:rFonts w:hAnsi="宋体"/>
          <w:bCs/>
          <w:color w:val="auto"/>
          <w:szCs w:val="21"/>
          <w:highlight w:val="none"/>
        </w:rPr>
      </w:pPr>
      <w:r>
        <w:rPr>
          <w:rFonts w:hAnsi="宋体"/>
          <w:bCs/>
          <w:color w:val="auto"/>
          <w:szCs w:val="21"/>
          <w:highlight w:val="none"/>
        </w:rPr>
        <w:t>本合同于</w:t>
      </w:r>
      <w:r>
        <w:rPr>
          <w:bCs/>
          <w:color w:val="auto"/>
          <w:szCs w:val="21"/>
          <w:highlight w:val="none"/>
          <w:u w:val="single"/>
        </w:rPr>
        <w:t xml:space="preserve">         </w:t>
      </w:r>
      <w:r>
        <w:rPr>
          <w:rFonts w:hAnsi="宋体"/>
          <w:bCs/>
          <w:color w:val="auto"/>
          <w:szCs w:val="21"/>
          <w:highlight w:val="none"/>
        </w:rPr>
        <w:t>年</w:t>
      </w:r>
      <w:r>
        <w:rPr>
          <w:bCs/>
          <w:color w:val="auto"/>
          <w:szCs w:val="21"/>
          <w:highlight w:val="none"/>
          <w:u w:val="single"/>
        </w:rPr>
        <w:t xml:space="preserve">    </w:t>
      </w:r>
      <w:r>
        <w:rPr>
          <w:rFonts w:hAnsi="宋体"/>
          <w:bCs/>
          <w:color w:val="auto"/>
          <w:szCs w:val="21"/>
          <w:highlight w:val="none"/>
        </w:rPr>
        <w:t>月</w:t>
      </w:r>
      <w:r>
        <w:rPr>
          <w:bCs/>
          <w:color w:val="auto"/>
          <w:szCs w:val="21"/>
          <w:highlight w:val="none"/>
          <w:u w:val="single"/>
        </w:rPr>
        <w:t xml:space="preserve">    </w:t>
      </w:r>
      <w:r>
        <w:rPr>
          <w:rFonts w:hAnsi="宋体"/>
          <w:bCs/>
          <w:color w:val="auto"/>
          <w:szCs w:val="21"/>
          <w:highlight w:val="none"/>
        </w:rPr>
        <w:t>日签订。</w:t>
      </w:r>
    </w:p>
    <w:p w14:paraId="711DB14B">
      <w:pPr>
        <w:spacing w:line="360" w:lineRule="auto"/>
        <w:ind w:firstLine="422" w:firstLineChars="200"/>
        <w:rPr>
          <w:b/>
          <w:bCs/>
          <w:color w:val="auto"/>
          <w:szCs w:val="21"/>
          <w:highlight w:val="none"/>
        </w:rPr>
      </w:pPr>
      <w:bookmarkStart w:id="63" w:name="_Toc351203490"/>
      <w:r>
        <w:rPr>
          <w:rFonts w:hAnsi="宋体"/>
          <w:b/>
          <w:bCs/>
          <w:color w:val="auto"/>
          <w:szCs w:val="21"/>
          <w:highlight w:val="none"/>
        </w:rPr>
        <w:t>十、签订地点</w:t>
      </w:r>
      <w:bookmarkEnd w:id="63"/>
    </w:p>
    <w:p w14:paraId="3E8F20F0">
      <w:pPr>
        <w:spacing w:line="360" w:lineRule="auto"/>
        <w:ind w:firstLine="420" w:firstLineChars="200"/>
        <w:rPr>
          <w:rFonts w:hAnsi="宋体"/>
          <w:bCs/>
          <w:color w:val="auto"/>
          <w:szCs w:val="21"/>
          <w:highlight w:val="none"/>
        </w:rPr>
      </w:pPr>
      <w:r>
        <w:rPr>
          <w:rFonts w:hAnsi="宋体"/>
          <w:bCs/>
          <w:color w:val="auto"/>
          <w:szCs w:val="21"/>
          <w:highlight w:val="none"/>
        </w:rPr>
        <w:t>本合同在</w:t>
      </w:r>
      <w:r>
        <w:rPr>
          <w:bCs/>
          <w:color w:val="auto"/>
          <w:szCs w:val="21"/>
          <w:highlight w:val="none"/>
          <w:u w:val="single"/>
        </w:rPr>
        <w:t xml:space="preserve">  </w:t>
      </w:r>
      <w:r>
        <w:rPr>
          <w:rFonts w:hint="eastAsia" w:ascii="宋体" w:hAnsi="宋体"/>
          <w:color w:val="auto"/>
          <w:szCs w:val="21"/>
          <w:highlight w:val="none"/>
          <w:u w:val="single"/>
        </w:rPr>
        <w:t>广西</w:t>
      </w:r>
      <w:r>
        <w:rPr>
          <w:rFonts w:hint="eastAsia" w:ascii="宋体" w:hAnsi="宋体"/>
          <w:color w:val="auto"/>
          <w:szCs w:val="21"/>
          <w:highlight w:val="none"/>
          <w:u w:val="single"/>
          <w:lang w:eastAsia="zh-CN"/>
        </w:rPr>
        <w:t>贵港</w:t>
      </w:r>
      <w:r>
        <w:rPr>
          <w:rFonts w:hint="eastAsia" w:ascii="宋体" w:hAnsi="宋体"/>
          <w:color w:val="auto"/>
          <w:szCs w:val="21"/>
          <w:highlight w:val="none"/>
          <w:u w:val="single"/>
        </w:rPr>
        <w:t xml:space="preserve">市 </w:t>
      </w:r>
      <w:r>
        <w:rPr>
          <w:bCs/>
          <w:color w:val="auto"/>
          <w:szCs w:val="21"/>
          <w:highlight w:val="none"/>
          <w:u w:val="single"/>
        </w:rPr>
        <w:t xml:space="preserve"> </w:t>
      </w:r>
      <w:r>
        <w:rPr>
          <w:rFonts w:hAnsi="宋体"/>
          <w:bCs/>
          <w:color w:val="auto"/>
          <w:szCs w:val="21"/>
          <w:highlight w:val="none"/>
        </w:rPr>
        <w:t>签订。</w:t>
      </w:r>
    </w:p>
    <w:p w14:paraId="23D458C7">
      <w:pPr>
        <w:spacing w:line="360" w:lineRule="auto"/>
        <w:ind w:firstLine="422" w:firstLineChars="200"/>
        <w:rPr>
          <w:b/>
          <w:bCs/>
          <w:color w:val="auto"/>
          <w:szCs w:val="21"/>
          <w:highlight w:val="none"/>
        </w:rPr>
      </w:pPr>
      <w:bookmarkStart w:id="64" w:name="_Toc351203491"/>
      <w:r>
        <w:rPr>
          <w:rFonts w:hAnsi="宋体"/>
          <w:b/>
          <w:bCs/>
          <w:color w:val="auto"/>
          <w:szCs w:val="21"/>
          <w:highlight w:val="none"/>
        </w:rPr>
        <w:t>十一、补充协议</w:t>
      </w:r>
      <w:bookmarkEnd w:id="64"/>
    </w:p>
    <w:p w14:paraId="72AB4F90">
      <w:pPr>
        <w:spacing w:line="360" w:lineRule="auto"/>
        <w:ind w:firstLine="420" w:firstLineChars="200"/>
        <w:rPr>
          <w:rFonts w:hAnsi="宋体"/>
          <w:bCs/>
          <w:color w:val="auto"/>
          <w:szCs w:val="21"/>
          <w:highlight w:val="none"/>
        </w:rPr>
      </w:pPr>
      <w:r>
        <w:rPr>
          <w:rFonts w:hAnsi="宋体"/>
          <w:bCs/>
          <w:color w:val="auto"/>
          <w:szCs w:val="21"/>
          <w:highlight w:val="none"/>
        </w:rPr>
        <w:t>合同未尽事宜，合同当事人另行签订补充协议，补充协议是合同的组成部分。</w:t>
      </w:r>
    </w:p>
    <w:p w14:paraId="6EF3F716">
      <w:pPr>
        <w:spacing w:line="360" w:lineRule="auto"/>
        <w:ind w:firstLine="422" w:firstLineChars="200"/>
        <w:rPr>
          <w:b/>
          <w:bCs/>
          <w:color w:val="auto"/>
          <w:szCs w:val="21"/>
          <w:highlight w:val="none"/>
        </w:rPr>
      </w:pPr>
      <w:bookmarkStart w:id="65" w:name="_Toc351203492"/>
      <w:r>
        <w:rPr>
          <w:rFonts w:hAnsi="宋体"/>
          <w:b/>
          <w:bCs/>
          <w:color w:val="auto"/>
          <w:szCs w:val="21"/>
          <w:highlight w:val="none"/>
        </w:rPr>
        <w:t>十二、合同生效</w:t>
      </w:r>
      <w:bookmarkEnd w:id="65"/>
    </w:p>
    <w:p w14:paraId="5B8E754E">
      <w:pPr>
        <w:spacing w:line="360" w:lineRule="auto"/>
        <w:ind w:firstLine="420" w:firstLineChars="200"/>
        <w:rPr>
          <w:rFonts w:hAnsi="宋体"/>
          <w:bCs/>
          <w:color w:val="auto"/>
          <w:szCs w:val="21"/>
          <w:highlight w:val="none"/>
        </w:rPr>
      </w:pPr>
      <w:r>
        <w:rPr>
          <w:rFonts w:hAnsi="宋体"/>
          <w:bCs/>
          <w:color w:val="auto"/>
          <w:szCs w:val="21"/>
          <w:highlight w:val="none"/>
        </w:rPr>
        <w:t>本合同自</w:t>
      </w:r>
      <w:r>
        <w:rPr>
          <w:bCs/>
          <w:color w:val="auto"/>
          <w:szCs w:val="21"/>
          <w:highlight w:val="none"/>
          <w:u w:val="single"/>
        </w:rPr>
        <w:t xml:space="preserve">  </w:t>
      </w:r>
      <w:r>
        <w:rPr>
          <w:rFonts w:hint="eastAsia" w:ascii="宋体" w:hAnsi="宋体"/>
          <w:color w:val="auto"/>
          <w:szCs w:val="21"/>
          <w:highlight w:val="none"/>
          <w:u w:val="single"/>
        </w:rPr>
        <w:t>双方签字盖章后</w:t>
      </w:r>
      <w:r>
        <w:rPr>
          <w:rFonts w:hint="eastAsia" w:ascii="宋体" w:hAnsi="宋体"/>
          <w:color w:val="auto"/>
          <w:szCs w:val="21"/>
          <w:highlight w:val="none"/>
          <w:u w:val="single"/>
          <w:lang w:val="en-US" w:eastAsia="zh-CN"/>
        </w:rPr>
        <w:t xml:space="preserve"> </w:t>
      </w:r>
      <w:r>
        <w:rPr>
          <w:bCs/>
          <w:color w:val="auto"/>
          <w:szCs w:val="21"/>
          <w:highlight w:val="none"/>
          <w:u w:val="single"/>
        </w:rPr>
        <w:t xml:space="preserve"> </w:t>
      </w:r>
      <w:r>
        <w:rPr>
          <w:rFonts w:hAnsi="宋体"/>
          <w:bCs/>
          <w:color w:val="auto"/>
          <w:szCs w:val="21"/>
          <w:highlight w:val="none"/>
        </w:rPr>
        <w:t>生效。</w:t>
      </w:r>
    </w:p>
    <w:p w14:paraId="48C60043">
      <w:pPr>
        <w:spacing w:line="360" w:lineRule="auto"/>
        <w:ind w:firstLine="422" w:firstLineChars="200"/>
        <w:rPr>
          <w:b/>
          <w:bCs/>
          <w:color w:val="auto"/>
          <w:szCs w:val="21"/>
          <w:highlight w:val="none"/>
        </w:rPr>
      </w:pPr>
      <w:bookmarkStart w:id="66" w:name="_Toc351203493"/>
      <w:r>
        <w:rPr>
          <w:rFonts w:hAnsi="宋体"/>
          <w:b/>
          <w:bCs/>
          <w:color w:val="auto"/>
          <w:szCs w:val="21"/>
          <w:highlight w:val="none"/>
        </w:rPr>
        <w:t>十三、合同份数</w:t>
      </w:r>
      <w:bookmarkEnd w:id="66"/>
    </w:p>
    <w:p w14:paraId="25AEABC2">
      <w:pPr>
        <w:spacing w:line="360" w:lineRule="auto"/>
        <w:ind w:firstLine="420" w:firstLineChars="200"/>
        <w:rPr>
          <w:bCs/>
          <w:color w:val="auto"/>
          <w:szCs w:val="21"/>
          <w:highlight w:val="none"/>
        </w:rPr>
      </w:pPr>
      <w:r>
        <w:rPr>
          <w:rFonts w:hAnsi="宋体"/>
          <w:bCs/>
          <w:color w:val="auto"/>
          <w:szCs w:val="21"/>
          <w:highlight w:val="none"/>
        </w:rPr>
        <w:t>本合同一式</w:t>
      </w:r>
      <w:r>
        <w:rPr>
          <w:bCs/>
          <w:color w:val="auto"/>
          <w:szCs w:val="21"/>
          <w:highlight w:val="none"/>
          <w:u w:val="single"/>
        </w:rPr>
        <w:t xml:space="preserve">    </w:t>
      </w:r>
      <w:r>
        <w:rPr>
          <w:rFonts w:hAnsi="宋体"/>
          <w:bCs/>
          <w:color w:val="auto"/>
          <w:szCs w:val="21"/>
          <w:highlight w:val="none"/>
        </w:rPr>
        <w:t>份，均具有同等法律效力，发包人执</w:t>
      </w:r>
      <w:r>
        <w:rPr>
          <w:bCs/>
          <w:color w:val="auto"/>
          <w:szCs w:val="21"/>
          <w:highlight w:val="none"/>
          <w:u w:val="single"/>
        </w:rPr>
        <w:t xml:space="preserve">    </w:t>
      </w:r>
      <w:r>
        <w:rPr>
          <w:rFonts w:hAnsi="宋体"/>
          <w:bCs/>
          <w:color w:val="auto"/>
          <w:szCs w:val="21"/>
          <w:highlight w:val="none"/>
        </w:rPr>
        <w:t>份，承包人执</w:t>
      </w:r>
      <w:r>
        <w:rPr>
          <w:bCs/>
          <w:color w:val="auto"/>
          <w:szCs w:val="21"/>
          <w:highlight w:val="none"/>
          <w:u w:val="single"/>
        </w:rPr>
        <w:t xml:space="preserve">    </w:t>
      </w:r>
      <w:r>
        <w:rPr>
          <w:rFonts w:hAnsi="宋体"/>
          <w:bCs/>
          <w:color w:val="auto"/>
          <w:szCs w:val="21"/>
          <w:highlight w:val="none"/>
        </w:rPr>
        <w:t>份。</w:t>
      </w:r>
    </w:p>
    <w:p w14:paraId="59348A40">
      <w:pPr>
        <w:spacing w:line="360" w:lineRule="auto"/>
        <w:rPr>
          <w:bCs/>
          <w:color w:val="auto"/>
          <w:szCs w:val="21"/>
          <w:highlight w:val="none"/>
        </w:rPr>
      </w:pPr>
    </w:p>
    <w:p w14:paraId="75283A81">
      <w:pPr>
        <w:spacing w:line="360" w:lineRule="auto"/>
        <w:rPr>
          <w:color w:val="auto"/>
          <w:szCs w:val="21"/>
          <w:highlight w:val="none"/>
        </w:rPr>
      </w:pPr>
    </w:p>
    <w:p w14:paraId="47653504">
      <w:pPr>
        <w:spacing w:line="360" w:lineRule="auto"/>
        <w:rPr>
          <w:color w:val="auto"/>
          <w:szCs w:val="21"/>
          <w:highlight w:val="none"/>
        </w:rPr>
      </w:pPr>
      <w:r>
        <w:rPr>
          <w:rFonts w:hAnsi="宋体"/>
          <w:color w:val="auto"/>
          <w:szCs w:val="21"/>
          <w:highlight w:val="none"/>
        </w:rPr>
        <w:t>发包人：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r>
        <w:rPr>
          <w:color w:val="auto"/>
          <w:szCs w:val="21"/>
          <w:highlight w:val="none"/>
        </w:rPr>
        <w:t xml:space="preserve">                              </w:t>
      </w:r>
      <w:r>
        <w:rPr>
          <w:rFonts w:hAnsi="宋体"/>
          <w:color w:val="auto"/>
          <w:szCs w:val="21"/>
          <w:highlight w:val="none"/>
        </w:rPr>
        <w:t>承包人：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p>
    <w:p w14:paraId="5049FBDC">
      <w:pPr>
        <w:spacing w:line="360" w:lineRule="auto"/>
        <w:rPr>
          <w:color w:val="auto"/>
          <w:szCs w:val="21"/>
          <w:highlight w:val="none"/>
          <w:u w:val="single"/>
        </w:rPr>
      </w:pPr>
      <w:r>
        <w:rPr>
          <w:color w:val="auto"/>
          <w:szCs w:val="21"/>
          <w:highlight w:val="none"/>
        </w:rPr>
        <w:t xml:space="preserve">                                 </w:t>
      </w:r>
    </w:p>
    <w:p w14:paraId="5E6E7FC1">
      <w:pPr>
        <w:spacing w:line="360" w:lineRule="auto"/>
        <w:rPr>
          <w:color w:val="auto"/>
          <w:szCs w:val="21"/>
          <w:highlight w:val="none"/>
        </w:rPr>
      </w:pPr>
      <w:r>
        <w:rPr>
          <w:rFonts w:hAnsi="宋体"/>
          <w:color w:val="auto"/>
          <w:szCs w:val="21"/>
          <w:highlight w:val="none"/>
        </w:rPr>
        <w:t>法定代表人或其委托代理人：</w:t>
      </w:r>
      <w:r>
        <w:rPr>
          <w:color w:val="auto"/>
          <w:szCs w:val="21"/>
          <w:highlight w:val="none"/>
        </w:rPr>
        <w:t xml:space="preserve">                    </w:t>
      </w:r>
      <w:r>
        <w:rPr>
          <w:rFonts w:hAnsi="宋体"/>
          <w:color w:val="auto"/>
          <w:szCs w:val="21"/>
          <w:highlight w:val="none"/>
        </w:rPr>
        <w:t>法定代表人或其委托代理人：</w:t>
      </w:r>
    </w:p>
    <w:p w14:paraId="65973581">
      <w:pPr>
        <w:spacing w:line="360" w:lineRule="auto"/>
        <w:rPr>
          <w:color w:val="auto"/>
          <w:szCs w:val="21"/>
          <w:highlight w:val="none"/>
        </w:rPr>
      </w:pPr>
      <w:r>
        <w:rPr>
          <w:rFonts w:hAnsi="宋体"/>
          <w:color w:val="auto"/>
          <w:szCs w:val="21"/>
          <w:highlight w:val="none"/>
        </w:rPr>
        <w:t>（签字）</w:t>
      </w:r>
      <w:r>
        <w:rPr>
          <w:color w:val="auto"/>
          <w:szCs w:val="21"/>
          <w:highlight w:val="none"/>
        </w:rPr>
        <w:t xml:space="preserve">                                     </w:t>
      </w:r>
      <w:r>
        <w:rPr>
          <w:rFonts w:hAnsi="宋体"/>
          <w:color w:val="auto"/>
          <w:szCs w:val="21"/>
          <w:highlight w:val="none"/>
        </w:rPr>
        <w:t>（签字）</w:t>
      </w:r>
    </w:p>
    <w:p w14:paraId="0732A984">
      <w:pPr>
        <w:spacing w:line="360" w:lineRule="auto"/>
        <w:rPr>
          <w:color w:val="auto"/>
          <w:szCs w:val="21"/>
          <w:highlight w:val="none"/>
          <w:u w:val="single"/>
        </w:rPr>
      </w:pPr>
    </w:p>
    <w:p w14:paraId="350C4947">
      <w:pPr>
        <w:rPr>
          <w:color w:val="auto"/>
          <w:szCs w:val="21"/>
          <w:highlight w:val="none"/>
          <w:u w:val="single"/>
        </w:rPr>
      </w:pPr>
      <w:r>
        <w:rPr>
          <w:rFonts w:hint="eastAsia" w:hAnsi="宋体"/>
          <w:color w:val="auto"/>
          <w:szCs w:val="21"/>
          <w:highlight w:val="none"/>
        </w:rPr>
        <w:t>社会信用代码</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 xml:space="preserve">  </w:t>
      </w:r>
      <w:r>
        <w:rPr>
          <w:rFonts w:hint="eastAsia" w:hAnsi="宋体"/>
          <w:color w:val="auto"/>
          <w:szCs w:val="21"/>
          <w:highlight w:val="none"/>
        </w:rPr>
        <w:t>社会信用代码</w:t>
      </w:r>
      <w:r>
        <w:rPr>
          <w:rFonts w:hAnsi="宋体"/>
          <w:color w:val="auto"/>
          <w:szCs w:val="21"/>
          <w:highlight w:val="none"/>
        </w:rPr>
        <w:t>：</w:t>
      </w:r>
      <w:r>
        <w:rPr>
          <w:rFonts w:hAnsi="宋体"/>
          <w:color w:val="auto"/>
          <w:szCs w:val="21"/>
          <w:highlight w:val="none"/>
          <w:u w:val="single"/>
        </w:rPr>
        <w:t></w:t>
      </w:r>
    </w:p>
    <w:p w14:paraId="76CDDCDF">
      <w:pPr>
        <w:spacing w:line="360" w:lineRule="auto"/>
        <w:rPr>
          <w:color w:val="auto"/>
          <w:szCs w:val="21"/>
          <w:highlight w:val="none"/>
        </w:rPr>
      </w:pP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8ABF2D6">
      <w:pPr>
        <w:spacing w:line="360" w:lineRule="auto"/>
        <w:rPr>
          <w:color w:val="auto"/>
          <w:szCs w:val="21"/>
          <w:highlight w:val="none"/>
        </w:rPr>
      </w:pPr>
      <w:r>
        <w:rPr>
          <w:rFonts w:hAnsi="宋体"/>
          <w:color w:val="auto"/>
          <w:szCs w:val="21"/>
          <w:highlight w:val="none"/>
        </w:rPr>
        <w:t>邮政编码：</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邮政编码：</w:t>
      </w:r>
      <w:r>
        <w:rPr>
          <w:rFonts w:hAnsi="宋体"/>
          <w:color w:val="auto"/>
          <w:szCs w:val="21"/>
          <w:highlight w:val="none"/>
          <w:u w:val="single"/>
        </w:rPr>
        <w:t></w:t>
      </w:r>
      <w:r>
        <w:rPr>
          <w:color w:val="auto"/>
          <w:szCs w:val="21"/>
          <w:highlight w:val="none"/>
          <w:u w:val="single"/>
        </w:rPr>
        <w:t xml:space="preserve">   </w:t>
      </w:r>
    </w:p>
    <w:p w14:paraId="3A3EA35F">
      <w:pPr>
        <w:spacing w:line="360" w:lineRule="auto"/>
        <w:rPr>
          <w:color w:val="auto"/>
          <w:szCs w:val="21"/>
          <w:highlight w:val="none"/>
        </w:rPr>
      </w:pP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497AAC4">
      <w:pPr>
        <w:spacing w:line="360" w:lineRule="auto"/>
        <w:rPr>
          <w:color w:val="auto"/>
          <w:szCs w:val="21"/>
          <w:highlight w:val="none"/>
        </w:rPr>
      </w:pP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p>
    <w:p w14:paraId="0394E0B0">
      <w:pPr>
        <w:spacing w:line="360" w:lineRule="auto"/>
        <w:rPr>
          <w:color w:val="auto"/>
          <w:szCs w:val="21"/>
          <w:highlight w:val="none"/>
        </w:rPr>
      </w:pP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p>
    <w:p w14:paraId="059219A4">
      <w:pPr>
        <w:spacing w:line="360" w:lineRule="auto"/>
        <w:rPr>
          <w:color w:val="auto"/>
          <w:szCs w:val="21"/>
          <w:highlight w:val="none"/>
        </w:rPr>
      </w:pP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0A1AD1D">
      <w:pPr>
        <w:spacing w:line="360" w:lineRule="auto"/>
        <w:rPr>
          <w:color w:val="auto"/>
          <w:szCs w:val="21"/>
          <w:highlight w:val="none"/>
        </w:rPr>
      </w:pPr>
      <w:r>
        <w:rPr>
          <w:rFonts w:hAnsi="宋体"/>
          <w:color w:val="auto"/>
          <w:szCs w:val="21"/>
          <w:highlight w:val="none"/>
        </w:rPr>
        <w:t>电子信箱：</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电子信箱：</w:t>
      </w:r>
      <w:r>
        <w:rPr>
          <w:rFonts w:hAnsi="宋体"/>
          <w:color w:val="auto"/>
          <w:szCs w:val="21"/>
          <w:highlight w:val="none"/>
          <w:u w:val="single"/>
        </w:rPr>
        <w:t></w:t>
      </w:r>
      <w:r>
        <w:rPr>
          <w:color w:val="auto"/>
          <w:szCs w:val="21"/>
          <w:highlight w:val="none"/>
          <w:u w:val="single"/>
        </w:rPr>
        <w:t xml:space="preserve">   </w:t>
      </w:r>
    </w:p>
    <w:p w14:paraId="1C7F71EC">
      <w:pPr>
        <w:spacing w:line="360" w:lineRule="auto"/>
        <w:rPr>
          <w:color w:val="auto"/>
          <w:szCs w:val="21"/>
          <w:highlight w:val="none"/>
        </w:rPr>
      </w:pP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p>
    <w:p w14:paraId="36229121">
      <w:pPr>
        <w:rPr>
          <w:color w:val="auto"/>
          <w:szCs w:val="21"/>
          <w:highlight w:val="none"/>
          <w:u w:val="single"/>
        </w:rPr>
      </w:pP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p>
    <w:p w14:paraId="12724F8D">
      <w:pPr>
        <w:widowControl/>
        <w:jc w:val="left"/>
        <w:rPr>
          <w:color w:val="auto"/>
          <w:szCs w:val="21"/>
          <w:highlight w:val="none"/>
          <w:u w:val="single"/>
        </w:rPr>
      </w:pPr>
      <w:r>
        <w:rPr>
          <w:color w:val="auto"/>
          <w:szCs w:val="21"/>
          <w:highlight w:val="none"/>
        </w:rPr>
        <w:br w:type="page"/>
      </w:r>
    </w:p>
    <w:p w14:paraId="390BF1BD">
      <w:pPr>
        <w:pStyle w:val="2"/>
        <w:numPr>
          <w:ilvl w:val="0"/>
          <w:numId w:val="0"/>
        </w:numPr>
        <w:jc w:val="center"/>
        <w:rPr>
          <w:color w:val="auto"/>
          <w:highlight w:val="none"/>
        </w:rPr>
      </w:pPr>
      <w:bookmarkStart w:id="67" w:name="_Toc28672"/>
      <w:bookmarkStart w:id="68" w:name="_Toc531267660"/>
      <w:bookmarkStart w:id="69" w:name="_Toc66356451"/>
      <w:bookmarkStart w:id="70" w:name="_Toc389065256"/>
      <w:bookmarkStart w:id="71" w:name="_Toc24694"/>
      <w:bookmarkStart w:id="72" w:name="_Toc373478338"/>
      <w:bookmarkStart w:id="73" w:name="_Toc373227691"/>
      <w:bookmarkStart w:id="74" w:name="_Toc351203632"/>
      <w:r>
        <w:rPr>
          <w:rFonts w:hint="eastAsia"/>
          <w:color w:val="auto"/>
          <w:highlight w:val="none"/>
        </w:rPr>
        <w:t>第二部分 通用</w:t>
      </w:r>
      <w:r>
        <w:rPr>
          <w:color w:val="auto"/>
          <w:highlight w:val="none"/>
        </w:rPr>
        <w:t>合同条款</w:t>
      </w:r>
      <w:bookmarkEnd w:id="67"/>
      <w:bookmarkEnd w:id="68"/>
      <w:bookmarkEnd w:id="69"/>
      <w:bookmarkEnd w:id="70"/>
      <w:bookmarkEnd w:id="71"/>
    </w:p>
    <w:p w14:paraId="0AB6A38B">
      <w:pPr>
        <w:spacing w:line="360" w:lineRule="auto"/>
        <w:ind w:firstLine="422" w:firstLineChars="200"/>
        <w:rPr>
          <w:rFonts w:hAnsi="宋体"/>
          <w:b/>
          <w:color w:val="auto"/>
          <w:kern w:val="0"/>
          <w:szCs w:val="21"/>
          <w:highlight w:val="none"/>
        </w:rPr>
      </w:pPr>
      <w:r>
        <w:rPr>
          <w:rFonts w:hint="eastAsia" w:hAnsi="宋体"/>
          <w:b/>
          <w:color w:val="auto"/>
          <w:kern w:val="0"/>
          <w:szCs w:val="21"/>
          <w:highlight w:val="none"/>
        </w:rPr>
        <w:t>采用《</w:t>
      </w:r>
      <w:r>
        <w:rPr>
          <w:rFonts w:hAnsi="宋体"/>
          <w:b/>
          <w:color w:val="auto"/>
          <w:kern w:val="0"/>
          <w:szCs w:val="21"/>
          <w:highlight w:val="none"/>
        </w:rPr>
        <w:t>建设工程施工合同（示范文本）</w:t>
      </w:r>
      <w:r>
        <w:rPr>
          <w:rFonts w:hint="eastAsia" w:hAnsi="宋体"/>
          <w:b/>
          <w:color w:val="auto"/>
          <w:kern w:val="0"/>
          <w:szCs w:val="21"/>
          <w:highlight w:val="none"/>
        </w:rPr>
        <w:t>》</w:t>
      </w:r>
      <w:r>
        <w:rPr>
          <w:rFonts w:hAnsi="宋体"/>
          <w:b/>
          <w:color w:val="auto"/>
          <w:kern w:val="0"/>
          <w:szCs w:val="21"/>
          <w:highlight w:val="none"/>
        </w:rPr>
        <w:t>（GF—201</w:t>
      </w:r>
      <w:r>
        <w:rPr>
          <w:rFonts w:hint="eastAsia" w:hAnsi="宋体"/>
          <w:b/>
          <w:color w:val="auto"/>
          <w:kern w:val="0"/>
          <w:szCs w:val="21"/>
          <w:highlight w:val="none"/>
        </w:rPr>
        <w:t>7</w:t>
      </w:r>
      <w:r>
        <w:rPr>
          <w:rFonts w:hAnsi="宋体"/>
          <w:b/>
          <w:color w:val="auto"/>
          <w:kern w:val="0"/>
          <w:szCs w:val="21"/>
          <w:highlight w:val="none"/>
        </w:rPr>
        <w:t>—</w:t>
      </w:r>
      <w:r>
        <w:rPr>
          <w:rFonts w:hint="eastAsia" w:hAnsi="宋体"/>
          <w:b/>
          <w:color w:val="auto"/>
          <w:kern w:val="0"/>
          <w:szCs w:val="21"/>
          <w:highlight w:val="none"/>
        </w:rPr>
        <w:t>0201）。</w:t>
      </w:r>
    </w:p>
    <w:bookmarkEnd w:id="72"/>
    <w:bookmarkEnd w:id="73"/>
    <w:bookmarkEnd w:id="74"/>
    <w:p w14:paraId="22446732">
      <w:pPr>
        <w:pStyle w:val="154"/>
        <w:jc w:val="center"/>
        <w:rPr>
          <w:rFonts w:ascii="黑体" w:hAnsi="黑体"/>
          <w:color w:val="auto"/>
          <w:szCs w:val="32"/>
          <w:highlight w:val="none"/>
        </w:rPr>
      </w:pPr>
      <w:bookmarkStart w:id="75" w:name="_Toc1539"/>
      <w:bookmarkEnd w:id="75"/>
      <w:bookmarkStart w:id="76" w:name="_Toc25080"/>
      <w:bookmarkEnd w:id="76"/>
      <w:bookmarkStart w:id="77" w:name="_Toc66356452"/>
      <w:bookmarkStart w:id="78" w:name="_Toc524083283"/>
      <w:bookmarkStart w:id="79" w:name="_Toc531267661"/>
      <w:bookmarkStart w:id="80" w:name="_Toc29158"/>
      <w:bookmarkStart w:id="81" w:name="_Toc523415182"/>
      <w:bookmarkStart w:id="82" w:name="_Toc23247"/>
      <w:bookmarkStart w:id="83" w:name="_Toc522177059"/>
      <w:r>
        <w:rPr>
          <w:rFonts w:hint="eastAsia" w:ascii="黑体" w:hAnsi="黑体"/>
          <w:color w:val="auto"/>
          <w:szCs w:val="32"/>
          <w:highlight w:val="none"/>
        </w:rPr>
        <w:t>第三部分 专用合同条款</w:t>
      </w:r>
      <w:bookmarkEnd w:id="77"/>
      <w:bookmarkEnd w:id="78"/>
      <w:bookmarkEnd w:id="79"/>
      <w:bookmarkEnd w:id="80"/>
      <w:bookmarkEnd w:id="81"/>
      <w:bookmarkEnd w:id="82"/>
      <w:bookmarkEnd w:id="83"/>
    </w:p>
    <w:p w14:paraId="015CE951">
      <w:pPr>
        <w:pStyle w:val="172"/>
        <w:spacing w:line="360" w:lineRule="auto"/>
        <w:rPr>
          <w:rFonts w:ascii="宋体" w:hAnsi="宋体"/>
          <w:color w:val="auto"/>
          <w:sz w:val="21"/>
          <w:szCs w:val="21"/>
          <w:highlight w:val="none"/>
        </w:rPr>
      </w:pPr>
      <w:bookmarkStart w:id="84" w:name="_Toc522177060"/>
      <w:bookmarkStart w:id="85" w:name="_Toc524083284"/>
      <w:bookmarkStart w:id="86" w:name="_Toc523415183"/>
      <w:r>
        <w:rPr>
          <w:rFonts w:hint="eastAsia" w:ascii="宋体" w:hAnsi="宋体"/>
          <w:color w:val="auto"/>
          <w:sz w:val="21"/>
          <w:szCs w:val="21"/>
          <w:highlight w:val="none"/>
        </w:rPr>
        <w:t>1. 一般约定</w:t>
      </w:r>
      <w:bookmarkEnd w:id="84"/>
      <w:bookmarkEnd w:id="85"/>
      <w:bookmarkEnd w:id="86"/>
    </w:p>
    <w:p w14:paraId="5E62FDF5">
      <w:pPr>
        <w:pStyle w:val="173"/>
        <w:rPr>
          <w:rFonts w:ascii="宋体" w:hAnsi="宋体"/>
          <w:color w:val="auto"/>
          <w:szCs w:val="21"/>
          <w:highlight w:val="none"/>
        </w:rPr>
      </w:pPr>
      <w:bookmarkStart w:id="87" w:name="_Toc523415184"/>
      <w:bookmarkStart w:id="88" w:name="_Toc524083285"/>
      <w:bookmarkStart w:id="89" w:name="_Toc522177061"/>
      <w:r>
        <w:rPr>
          <w:rFonts w:hint="eastAsia" w:ascii="宋体" w:hAnsi="宋体"/>
          <w:color w:val="auto"/>
          <w:szCs w:val="21"/>
          <w:highlight w:val="none"/>
        </w:rPr>
        <w:t>1.1 词语定义</w:t>
      </w:r>
      <w:bookmarkEnd w:id="87"/>
      <w:bookmarkEnd w:id="88"/>
      <w:bookmarkEnd w:id="89"/>
    </w:p>
    <w:p w14:paraId="5C685BE7">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1.1.1合同</w:t>
      </w:r>
    </w:p>
    <w:p w14:paraId="3A02359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1.1.1.10其他合同文件包括：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履行合同过程中双方总经理以上管理者（或双方工地代表人）书面确认的对合同内容有实质性影响的会议纪要、签证、设计变更等资料 </w:t>
      </w:r>
      <w:r>
        <w:rPr>
          <w:rFonts w:hint="eastAsia" w:ascii="宋体" w:hAnsi="宋体"/>
          <w:color w:val="auto"/>
          <w:highlight w:val="none"/>
        </w:rPr>
        <w:t>。</w:t>
      </w:r>
    </w:p>
    <w:p w14:paraId="51EE44C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 合同当事人及其他相关方</w:t>
      </w:r>
    </w:p>
    <w:p w14:paraId="656802C7">
      <w:pPr>
        <w:pStyle w:val="160"/>
        <w:spacing w:line="360" w:lineRule="auto"/>
        <w:ind w:firstLine="420" w:firstLineChars="200"/>
        <w:rPr>
          <w:rFonts w:ascii="宋体" w:hAnsi="宋体"/>
          <w:color w:val="auto"/>
          <w:highlight w:val="none"/>
        </w:rPr>
      </w:pPr>
      <w:r>
        <w:rPr>
          <w:rFonts w:hint="eastAsia" w:ascii="宋体" w:hAnsi="宋体"/>
          <w:color w:val="auto"/>
          <w:highlight w:val="none"/>
        </w:rPr>
        <w:t>1.1.2.4监理人：</w:t>
      </w:r>
    </w:p>
    <w:p w14:paraId="0C16E0F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E21BEDF">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A607E7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31D23C6E">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2E2F03B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99F28E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1.1.2.5 设计人：</w:t>
      </w:r>
    </w:p>
    <w:p w14:paraId="6D7C3B2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514E091B">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6C192DD2">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49EBBAEF">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F25E29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655BFE0">
      <w:pPr>
        <w:pStyle w:val="160"/>
        <w:spacing w:line="360" w:lineRule="auto"/>
        <w:ind w:firstLine="420" w:firstLineChars="200"/>
        <w:rPr>
          <w:rFonts w:ascii="宋体" w:hAnsi="宋体"/>
          <w:color w:val="auto"/>
          <w:highlight w:val="none"/>
        </w:rPr>
      </w:pPr>
      <w:r>
        <w:rPr>
          <w:rFonts w:hint="eastAsia" w:ascii="宋体" w:hAnsi="宋体"/>
          <w:color w:val="auto"/>
          <w:highlight w:val="none"/>
        </w:rPr>
        <w:t>1.1.3 工程和设备</w:t>
      </w:r>
    </w:p>
    <w:p w14:paraId="29E95037">
      <w:pPr>
        <w:pStyle w:val="174"/>
        <w:spacing w:line="360" w:lineRule="auto"/>
        <w:ind w:firstLine="420" w:firstLineChars="200"/>
        <w:rPr>
          <w:rFonts w:hAnsi="宋体"/>
          <w:color w:val="auto"/>
          <w:highlight w:val="none"/>
        </w:rPr>
      </w:pPr>
      <w:r>
        <w:rPr>
          <w:color w:val="auto"/>
          <w:highlight w:val="none"/>
        </w:rPr>
        <w:t xml:space="preserve">1.1.3.7 </w:t>
      </w:r>
      <w:r>
        <w:rPr>
          <w:rFonts w:ascii="宋体" w:hAnsi="宋体"/>
          <w:color w:val="auto"/>
          <w:highlight w:val="none"/>
        </w:rPr>
        <w:t>作为施工现场组成部分的其他场所包括：</w:t>
      </w:r>
    </w:p>
    <w:p w14:paraId="1FC5CE71">
      <w:pPr>
        <w:pStyle w:val="174"/>
        <w:spacing w:line="360" w:lineRule="auto"/>
        <w:ind w:firstLine="420" w:firstLineChars="200"/>
        <w:rPr>
          <w:color w:val="auto"/>
          <w:highlight w:val="none"/>
        </w:rPr>
      </w:pPr>
      <w:r>
        <w:rPr>
          <w:rFonts w:hint="eastAsia" w:ascii="宋体" w:hAnsi="宋体"/>
          <w:color w:val="auto"/>
          <w:highlight w:val="none"/>
          <w:u w:val="single"/>
        </w:rPr>
        <w:t>符合通用条款规定的发包方提供的施工场地</w:t>
      </w:r>
      <w:r>
        <w:rPr>
          <w:rFonts w:hint="eastAsia" w:ascii="宋体" w:hAnsi="宋体"/>
          <w:color w:val="auto"/>
          <w:highlight w:val="none"/>
        </w:rPr>
        <w:t>。</w:t>
      </w:r>
    </w:p>
    <w:p w14:paraId="5D8C6CFA">
      <w:pPr>
        <w:pStyle w:val="174"/>
        <w:spacing w:line="360" w:lineRule="auto"/>
        <w:ind w:firstLine="420" w:firstLineChars="200"/>
        <w:jc w:val="left"/>
        <w:rPr>
          <w:color w:val="auto"/>
          <w:kern w:val="0"/>
          <w:highlight w:val="none"/>
        </w:rPr>
      </w:pPr>
      <w:r>
        <w:rPr>
          <w:color w:val="auto"/>
          <w:kern w:val="0"/>
          <w:highlight w:val="none"/>
        </w:rPr>
        <w:t xml:space="preserve">1.1.3.9 </w:t>
      </w:r>
      <w:r>
        <w:rPr>
          <w:rFonts w:ascii="宋体" w:hAnsi="宋体"/>
          <w:color w:val="auto"/>
          <w:kern w:val="0"/>
          <w:highlight w:val="none"/>
        </w:rPr>
        <w:t>永久占地包括：</w:t>
      </w:r>
      <w:r>
        <w:rPr>
          <w:rFonts w:hint="eastAsia" w:ascii="宋体" w:hAnsi="宋体"/>
          <w:color w:val="auto"/>
          <w:highlight w:val="none"/>
          <w:u w:val="single"/>
        </w:rPr>
        <w:t>建筑占地、道路用地、绿化用地</w:t>
      </w:r>
      <w:r>
        <w:rPr>
          <w:rFonts w:hint="eastAsia" w:ascii="宋体" w:hAnsi="宋体"/>
          <w:color w:val="auto"/>
          <w:kern w:val="0"/>
          <w:highlight w:val="none"/>
        </w:rPr>
        <w:t>。</w:t>
      </w:r>
    </w:p>
    <w:p w14:paraId="06579E2C">
      <w:pPr>
        <w:pStyle w:val="160"/>
        <w:spacing w:line="360" w:lineRule="auto"/>
        <w:ind w:firstLine="420" w:firstLineChars="200"/>
        <w:jc w:val="left"/>
        <w:rPr>
          <w:rFonts w:ascii="宋体" w:hAnsi="宋体"/>
          <w:color w:val="auto"/>
          <w:highlight w:val="none"/>
        </w:rPr>
      </w:pPr>
      <w:r>
        <w:rPr>
          <w:color w:val="auto"/>
          <w:kern w:val="0"/>
          <w:highlight w:val="none"/>
        </w:rPr>
        <w:t xml:space="preserve">1.1.3.10 </w:t>
      </w:r>
      <w:r>
        <w:rPr>
          <w:rFonts w:ascii="宋体" w:hAnsi="宋体"/>
          <w:color w:val="auto"/>
          <w:kern w:val="0"/>
          <w:highlight w:val="none"/>
        </w:rPr>
        <w:t>临时占地包括：</w:t>
      </w:r>
      <w:r>
        <w:rPr>
          <w:rFonts w:hint="eastAsia" w:ascii="宋体" w:hAnsi="宋体"/>
          <w:color w:val="auto"/>
          <w:highlight w:val="none"/>
          <w:u w:val="single"/>
        </w:rPr>
        <w:t>临时工人宿舍、实验室、材料堆放场、材料加工场及施工便道用地等</w:t>
      </w:r>
      <w:r>
        <w:rPr>
          <w:rFonts w:hint="eastAsia" w:ascii="宋体" w:hAnsi="宋体"/>
          <w:color w:val="auto"/>
          <w:kern w:val="0"/>
          <w:highlight w:val="none"/>
        </w:rPr>
        <w:t>。</w:t>
      </w:r>
    </w:p>
    <w:p w14:paraId="27BF839C">
      <w:pPr>
        <w:pStyle w:val="173"/>
        <w:rPr>
          <w:rFonts w:ascii="宋体" w:hAnsi="宋体"/>
          <w:color w:val="auto"/>
          <w:szCs w:val="21"/>
          <w:highlight w:val="none"/>
        </w:rPr>
      </w:pPr>
      <w:bookmarkStart w:id="90" w:name="_Toc523415185"/>
      <w:bookmarkStart w:id="91" w:name="_Toc524083286"/>
      <w:bookmarkStart w:id="92" w:name="_Toc522177062"/>
      <w:r>
        <w:rPr>
          <w:rFonts w:hint="eastAsia" w:ascii="宋体" w:hAnsi="宋体"/>
          <w:color w:val="auto"/>
          <w:szCs w:val="21"/>
          <w:highlight w:val="none"/>
        </w:rPr>
        <w:t>1.3法律</w:t>
      </w:r>
      <w:bookmarkEnd w:id="90"/>
      <w:bookmarkEnd w:id="91"/>
      <w:bookmarkEnd w:id="92"/>
      <w:r>
        <w:rPr>
          <w:rFonts w:hint="eastAsia" w:ascii="宋体" w:hAnsi="宋体"/>
          <w:color w:val="auto"/>
          <w:szCs w:val="21"/>
          <w:highlight w:val="none"/>
        </w:rPr>
        <w:t xml:space="preserve"> </w:t>
      </w:r>
    </w:p>
    <w:p w14:paraId="4B3EC614">
      <w:pPr>
        <w:pStyle w:val="160"/>
        <w:autoSpaceDE w:val="0"/>
        <w:autoSpaceDN w:val="0"/>
        <w:adjustRightInd w:val="0"/>
        <w:spacing w:line="360" w:lineRule="auto"/>
        <w:ind w:left="596" w:leftChars="284"/>
        <w:jc w:val="left"/>
        <w:rPr>
          <w:rFonts w:ascii="宋体" w:hAnsi="宋体"/>
          <w:color w:val="auto"/>
          <w:highlight w:val="none"/>
        </w:rPr>
      </w:pPr>
      <w:r>
        <w:rPr>
          <w:rFonts w:hint="eastAsia" w:ascii="宋体" w:hAnsi="宋体"/>
          <w:color w:val="auto"/>
          <w:highlight w:val="none"/>
        </w:rPr>
        <w:t>适用于合同的其他规范性文件：</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现行《中华人民共和国建筑法》、《</w:t>
      </w:r>
      <w:r>
        <w:rPr>
          <w:rFonts w:hint="eastAsia" w:ascii="宋体" w:hAnsi="宋体"/>
          <w:color w:val="auto"/>
          <w:highlight w:val="none"/>
          <w:u w:val="single"/>
          <w:lang w:eastAsia="zh-CN"/>
        </w:rPr>
        <w:t>中华人民共和国民法典</w:t>
      </w:r>
      <w:r>
        <w:rPr>
          <w:rFonts w:hint="eastAsia" w:ascii="宋体" w:hAnsi="宋体"/>
          <w:color w:val="auto"/>
          <w:highlight w:val="none"/>
          <w:u w:val="single"/>
        </w:rPr>
        <w:t xml:space="preserve">》、《中华人民共和国招标投标法》、《建筑施工合同管理办法》及省市地方建设工程的法律、法规等 </w:t>
      </w:r>
      <w:r>
        <w:rPr>
          <w:rFonts w:hint="eastAsia" w:ascii="宋体" w:hAnsi="宋体"/>
          <w:color w:val="auto"/>
          <w:highlight w:val="none"/>
        </w:rPr>
        <w:t>。</w:t>
      </w:r>
    </w:p>
    <w:p w14:paraId="27D363A2">
      <w:pPr>
        <w:pStyle w:val="173"/>
        <w:rPr>
          <w:rFonts w:ascii="宋体" w:hAnsi="宋体"/>
          <w:color w:val="auto"/>
          <w:szCs w:val="21"/>
          <w:highlight w:val="none"/>
        </w:rPr>
      </w:pPr>
      <w:bookmarkStart w:id="93" w:name="_Toc523415186"/>
      <w:bookmarkStart w:id="94" w:name="_Toc524083287"/>
      <w:bookmarkStart w:id="95" w:name="_Toc522177063"/>
      <w:r>
        <w:rPr>
          <w:rFonts w:hint="eastAsia" w:ascii="宋体" w:hAnsi="宋体"/>
          <w:color w:val="auto"/>
          <w:szCs w:val="21"/>
          <w:highlight w:val="none"/>
        </w:rPr>
        <w:t>1.4 标准和规范</w:t>
      </w:r>
      <w:bookmarkEnd w:id="93"/>
      <w:bookmarkEnd w:id="94"/>
      <w:bookmarkEnd w:id="95"/>
    </w:p>
    <w:p w14:paraId="05415D07">
      <w:pPr>
        <w:pStyle w:val="160"/>
        <w:spacing w:line="360" w:lineRule="auto"/>
        <w:ind w:left="596" w:leftChars="284"/>
        <w:rPr>
          <w:rFonts w:ascii="宋体" w:hAnsi="宋体"/>
          <w:color w:val="auto"/>
          <w:highlight w:val="none"/>
        </w:rPr>
      </w:pPr>
      <w:r>
        <w:rPr>
          <w:rFonts w:hint="eastAsia" w:ascii="宋体" w:hAnsi="宋体"/>
          <w:color w:val="auto"/>
          <w:highlight w:val="none"/>
        </w:rPr>
        <w:t>1.4.1适用于工程的标准规范包括：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国家及省市现行施工验收规范及强制性条文和有关规定，现行颁布实施的建设工程标准规范</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CF440A1">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1.4.2 发包人提供国外标准、规范的名称：</w:t>
      </w:r>
      <w:r>
        <w:rPr>
          <w:rFonts w:hint="eastAsia" w:ascii="宋体" w:hAnsi="宋体"/>
          <w:color w:val="auto"/>
          <w:kern w:val="0"/>
          <w:highlight w:val="none"/>
          <w:u w:val="single"/>
        </w:rPr>
        <w:t xml:space="preserve"> </w:t>
      </w:r>
      <w:r>
        <w:rPr>
          <w:rFonts w:hint="eastAsia" w:ascii="宋体" w:hAnsi="宋体"/>
          <w:color w:val="auto"/>
          <w:kern w:val="0"/>
          <w:highlight w:val="none"/>
          <w:u w:val="single"/>
          <w:lang w:val="en-US" w:eastAsia="zh-CN"/>
        </w:rPr>
        <w:t xml:space="preserve">  </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11E082B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发包人提供国外标准、规范的份数：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4483D11B">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发包人提供国外标准、规范的名称：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5AB2DD21">
      <w:pPr>
        <w:pStyle w:val="160"/>
        <w:spacing w:line="360" w:lineRule="auto"/>
        <w:ind w:left="596" w:leftChars="284"/>
        <w:rPr>
          <w:rFonts w:ascii="宋体" w:hAnsi="宋体"/>
          <w:color w:val="auto"/>
          <w:highlight w:val="none"/>
        </w:rPr>
      </w:pPr>
      <w:r>
        <w:rPr>
          <w:rFonts w:hint="eastAsia" w:ascii="宋体" w:hAnsi="宋体"/>
          <w:color w:val="auto"/>
          <w:highlight w:val="none"/>
        </w:rPr>
        <w:t>1.4.3发包人对工程的技术标准和功能要求的特殊要求：</w:t>
      </w:r>
      <w:r>
        <w:rPr>
          <w:rFonts w:hint="eastAsia" w:ascii="宋体" w:hAnsi="宋体"/>
          <w:color w:val="auto"/>
          <w:highlight w:val="none"/>
          <w:u w:val="single"/>
        </w:rPr>
        <w:t xml:space="preserve">无     </w:t>
      </w:r>
      <w:r>
        <w:rPr>
          <w:rFonts w:hint="eastAsia" w:ascii="宋体" w:hAnsi="宋体"/>
          <w:color w:val="auto"/>
          <w:highlight w:val="none"/>
        </w:rPr>
        <w:t>。</w:t>
      </w:r>
    </w:p>
    <w:p w14:paraId="5A0F45AA">
      <w:pPr>
        <w:pStyle w:val="173"/>
        <w:rPr>
          <w:rFonts w:ascii="宋体" w:hAnsi="宋体"/>
          <w:color w:val="auto"/>
          <w:szCs w:val="21"/>
          <w:highlight w:val="none"/>
        </w:rPr>
      </w:pPr>
      <w:bookmarkStart w:id="96" w:name="_Toc522177064"/>
      <w:bookmarkStart w:id="97" w:name="_Toc524083288"/>
      <w:bookmarkStart w:id="98" w:name="_Toc523415187"/>
      <w:r>
        <w:rPr>
          <w:rFonts w:hint="eastAsia" w:ascii="宋体" w:hAnsi="宋体"/>
          <w:color w:val="auto"/>
          <w:szCs w:val="21"/>
          <w:highlight w:val="none"/>
        </w:rPr>
        <w:t>1.5 合同文件的优先顺序</w:t>
      </w:r>
      <w:bookmarkEnd w:id="96"/>
      <w:bookmarkEnd w:id="97"/>
      <w:bookmarkEnd w:id="98"/>
    </w:p>
    <w:p w14:paraId="7E2EB55A">
      <w:pPr>
        <w:pStyle w:val="174"/>
        <w:spacing w:line="360" w:lineRule="auto"/>
        <w:ind w:firstLine="420" w:firstLineChars="200"/>
        <w:rPr>
          <w:rFonts w:ascii="MingLiU_HKSCS" w:hAnsi="MingLiU_HKSCS" w:cs="MingLiU_HKSCS"/>
          <w:color w:val="auto"/>
          <w:highlight w:val="none"/>
          <w:u w:val="single"/>
        </w:rPr>
      </w:pPr>
      <w:r>
        <w:rPr>
          <w:rFonts w:hint="eastAsia" w:ascii="宋体" w:hAnsi="宋体"/>
          <w:color w:val="auto"/>
          <w:highlight w:val="none"/>
        </w:rPr>
        <w:t>合同文件组成及优先顺序为：</w:t>
      </w:r>
    </w:p>
    <w:p w14:paraId="47FC596D">
      <w:pPr>
        <w:pStyle w:val="174"/>
        <w:spacing w:line="360" w:lineRule="auto"/>
        <w:ind w:firstLine="420" w:firstLineChars="200"/>
        <w:rPr>
          <w:rFonts w:hAnsi="宋体"/>
          <w:color w:val="auto"/>
          <w:kern w:val="0"/>
          <w:highlight w:val="none"/>
        </w:rPr>
      </w:pPr>
      <w:r>
        <w:rPr>
          <w:rFonts w:hint="eastAsia" w:ascii="宋体" w:hAnsi="宋体"/>
          <w:color w:val="auto"/>
          <w:kern w:val="0"/>
          <w:highlight w:val="none"/>
        </w:rPr>
        <w:t>（</w:t>
      </w:r>
      <w:r>
        <w:rPr>
          <w:rFonts w:hint="eastAsia" w:hAnsi="宋体"/>
          <w:color w:val="auto"/>
          <w:kern w:val="0"/>
          <w:highlight w:val="none"/>
        </w:rPr>
        <w:t>1</w:t>
      </w:r>
      <w:r>
        <w:rPr>
          <w:rFonts w:hint="eastAsia" w:ascii="宋体" w:hAnsi="宋体"/>
          <w:color w:val="auto"/>
          <w:kern w:val="0"/>
          <w:highlight w:val="none"/>
        </w:rPr>
        <w:t>）合同协议书；</w:t>
      </w:r>
    </w:p>
    <w:p w14:paraId="3063761B">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2</w:t>
      </w:r>
      <w:r>
        <w:rPr>
          <w:rFonts w:ascii="宋体" w:hAnsi="宋体"/>
          <w:color w:val="auto"/>
          <w:kern w:val="0"/>
          <w:highlight w:val="none"/>
        </w:rPr>
        <w:t>）</w:t>
      </w:r>
      <w:r>
        <w:rPr>
          <w:rFonts w:hint="eastAsia" w:ascii="宋体" w:hAnsi="宋体"/>
          <w:color w:val="auto"/>
          <w:kern w:val="0"/>
          <w:highlight w:val="none"/>
          <w:lang w:val="en-US" w:eastAsia="zh-CN"/>
        </w:rPr>
        <w:t>成交</w:t>
      </w:r>
      <w:r>
        <w:rPr>
          <w:rFonts w:ascii="宋体" w:hAnsi="宋体"/>
          <w:color w:val="auto"/>
          <w:kern w:val="0"/>
          <w:highlight w:val="none"/>
        </w:rPr>
        <w:t>通知书（如果有）；</w:t>
      </w:r>
    </w:p>
    <w:p w14:paraId="59FAAFA6">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3</w:t>
      </w:r>
      <w:r>
        <w:rPr>
          <w:rFonts w:ascii="宋体" w:hAnsi="宋体"/>
          <w:color w:val="auto"/>
          <w:kern w:val="0"/>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ascii="宋体" w:hAnsi="宋体"/>
          <w:color w:val="auto"/>
          <w:kern w:val="0"/>
          <w:highlight w:val="none"/>
        </w:rPr>
        <w:t>（如果有）；</w:t>
      </w:r>
    </w:p>
    <w:p w14:paraId="1D0D20D2">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4</w:t>
      </w:r>
      <w:r>
        <w:rPr>
          <w:rFonts w:ascii="宋体" w:hAnsi="宋体"/>
          <w:color w:val="auto"/>
          <w:kern w:val="0"/>
          <w:highlight w:val="none"/>
        </w:rPr>
        <w:t>）专用合同条款及其附件；</w:t>
      </w:r>
    </w:p>
    <w:p w14:paraId="5510A124">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5</w:t>
      </w:r>
      <w:r>
        <w:rPr>
          <w:rFonts w:ascii="宋体" w:hAnsi="宋体"/>
          <w:color w:val="auto"/>
          <w:kern w:val="0"/>
          <w:highlight w:val="none"/>
        </w:rPr>
        <w:t>）通用合同条款；</w:t>
      </w:r>
    </w:p>
    <w:p w14:paraId="3638C1CC">
      <w:pPr>
        <w:pStyle w:val="174"/>
        <w:spacing w:line="360" w:lineRule="auto"/>
        <w:ind w:firstLine="420" w:firstLineChars="200"/>
        <w:rPr>
          <w:rFonts w:ascii="宋体" w:hAnsi="宋体"/>
          <w:color w:val="auto"/>
          <w:kern w:val="0"/>
          <w:highlight w:val="none"/>
        </w:rPr>
      </w:pPr>
      <w:r>
        <w:rPr>
          <w:rFonts w:hint="eastAsia" w:ascii="宋体" w:hAnsi="宋体"/>
          <w:color w:val="auto"/>
          <w:kern w:val="0"/>
          <w:highlight w:val="none"/>
        </w:rPr>
        <w:t>（6）</w:t>
      </w:r>
      <w:r>
        <w:rPr>
          <w:rFonts w:hint="eastAsia" w:ascii="宋体" w:hAnsi="宋体"/>
          <w:color w:val="auto"/>
          <w:kern w:val="0"/>
          <w:highlight w:val="none"/>
          <w:u w:val="none"/>
        </w:rPr>
        <w:t>技术标准和要求</w:t>
      </w:r>
      <w:r>
        <w:rPr>
          <w:rFonts w:hint="eastAsia" w:ascii="宋体" w:hAnsi="宋体"/>
          <w:color w:val="auto"/>
          <w:kern w:val="0"/>
          <w:highlight w:val="none"/>
        </w:rPr>
        <w:t>；</w:t>
      </w:r>
    </w:p>
    <w:p w14:paraId="1F3E0D53">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rPr>
        <w:t>（</w:t>
      </w:r>
      <w:r>
        <w:rPr>
          <w:rFonts w:hint="eastAsia" w:ascii="宋体" w:hAnsi="宋体"/>
          <w:color w:val="auto"/>
          <w:kern w:val="0"/>
          <w:highlight w:val="none"/>
          <w:u w:val="none"/>
        </w:rPr>
        <w:t>7）图纸；</w:t>
      </w:r>
    </w:p>
    <w:p w14:paraId="1FBEEBCD">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u w:val="none"/>
        </w:rPr>
        <w:t>（8）已标价工程量清单或预算书；</w:t>
      </w:r>
    </w:p>
    <w:p w14:paraId="7AE6584A">
      <w:pPr>
        <w:pStyle w:val="174"/>
        <w:spacing w:line="360" w:lineRule="auto"/>
        <w:ind w:firstLine="420" w:firstLineChars="200"/>
        <w:rPr>
          <w:rFonts w:hint="eastAsia" w:ascii="宋体" w:hAnsi="宋体" w:eastAsia="宋体"/>
          <w:color w:val="auto"/>
          <w:kern w:val="0"/>
          <w:highlight w:val="none"/>
          <w:lang w:eastAsia="zh-CN"/>
        </w:rPr>
      </w:pPr>
      <w:r>
        <w:rPr>
          <w:rFonts w:hint="eastAsia" w:ascii="宋体" w:hAnsi="宋体"/>
          <w:color w:val="auto"/>
          <w:kern w:val="0"/>
          <w:highlight w:val="none"/>
          <w:u w:val="none"/>
        </w:rPr>
        <w:t>（9）其他合同文件</w:t>
      </w:r>
      <w:r>
        <w:rPr>
          <w:rFonts w:hint="eastAsia" w:ascii="宋体" w:hAnsi="宋体"/>
          <w:color w:val="auto"/>
          <w:kern w:val="0"/>
          <w:highlight w:val="none"/>
          <w:lang w:eastAsia="zh-CN"/>
        </w:rPr>
        <w:t>：</w:t>
      </w:r>
    </w:p>
    <w:p w14:paraId="5B00AF16">
      <w:pPr>
        <w:pStyle w:val="174"/>
        <w:spacing w:line="360" w:lineRule="auto"/>
        <w:ind w:firstLine="420" w:firstLineChars="200"/>
        <w:rPr>
          <w:rFonts w:hAnsi="宋体"/>
          <w:color w:val="auto"/>
          <w:kern w:val="0"/>
          <w:highlight w:val="none"/>
        </w:rPr>
      </w:pPr>
      <w:r>
        <w:rPr>
          <w:rFonts w:hint="eastAsia" w:ascii="宋体" w:hAnsi="宋体" w:eastAsia="宋体" w:cs="宋体"/>
          <w:color w:val="auto"/>
          <w:kern w:val="0"/>
          <w:highlight w:val="none"/>
        </w:rPr>
        <w:t>（10）</w:t>
      </w:r>
      <w:r>
        <w:rPr>
          <w:rFonts w:hint="eastAsia" w:ascii="Times New Roman" w:hAnsi="宋体" w:eastAsia="宋体" w:cs="宋体"/>
          <w:color w:val="auto"/>
          <w:kern w:val="0"/>
          <w:highlight w:val="none"/>
        </w:rPr>
        <w:t>《建设工程工程量清单计价规范（GB5050-2013）》及其广西实施细则及《关于建筑业实施营业税改征增值税后广西壮族自治区建设工程计价依据调整的通知》（桂建标〔2016〕17号）、《建设工程工程量清单计算规范（GB5854~50862-2013）》及其广西实施细则（修订本）。</w:t>
      </w:r>
    </w:p>
    <w:p w14:paraId="42DA44D3">
      <w:pPr>
        <w:pStyle w:val="160"/>
        <w:spacing w:line="360" w:lineRule="auto"/>
        <w:ind w:firstLine="420" w:firstLineChars="200"/>
        <w:rPr>
          <w:rFonts w:ascii="宋体" w:hAnsi="宋体"/>
          <w:color w:val="auto"/>
          <w:highlight w:val="none"/>
        </w:rPr>
      </w:pPr>
      <w:r>
        <w:rPr>
          <w:rFonts w:ascii="宋体" w:hAnsi="宋体"/>
          <w:color w:val="auto"/>
          <w:kern w:val="0"/>
          <w:highlight w:val="none"/>
        </w:rPr>
        <w:t>说明：</w:t>
      </w:r>
      <w:r>
        <w:rPr>
          <w:rFonts w:hint="eastAsia" w:ascii="宋体" w:hAnsi="宋体"/>
          <w:color w:val="auto"/>
          <w:kern w:val="0"/>
          <w:highlight w:val="none"/>
        </w:rPr>
        <w:t>（</w:t>
      </w:r>
      <w:r>
        <w:rPr>
          <w:rFonts w:hint="eastAsia" w:hAnsi="宋体"/>
          <w:color w:val="auto"/>
          <w:kern w:val="0"/>
          <w:highlight w:val="none"/>
        </w:rPr>
        <w:t>6</w:t>
      </w:r>
      <w:r>
        <w:rPr>
          <w:rFonts w:hint="eastAsia" w:ascii="宋体" w:hAnsi="宋体"/>
          <w:color w:val="auto"/>
          <w:kern w:val="0"/>
          <w:highlight w:val="none"/>
        </w:rPr>
        <w:t>）、（</w:t>
      </w:r>
      <w:r>
        <w:rPr>
          <w:rFonts w:hint="eastAsia"/>
          <w:color w:val="auto"/>
          <w:kern w:val="0"/>
          <w:highlight w:val="none"/>
        </w:rPr>
        <w:t>7</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8</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9</w:t>
      </w:r>
      <w:r>
        <w:rPr>
          <w:rFonts w:hint="eastAsia" w:ascii="宋体" w:hAnsi="宋体"/>
          <w:color w:val="auto"/>
          <w:kern w:val="0"/>
          <w:highlight w:val="none"/>
        </w:rPr>
        <w:t>）</w:t>
      </w:r>
      <w:r>
        <w:rPr>
          <w:rFonts w:ascii="宋体" w:hAnsi="宋体"/>
          <w:color w:val="auto"/>
          <w:kern w:val="0"/>
          <w:highlight w:val="none"/>
        </w:rPr>
        <w:t>填空内容分别限于技术标准和要求、图纸、已标价工程量清单</w:t>
      </w:r>
      <w:r>
        <w:rPr>
          <w:rFonts w:hint="eastAsia" w:ascii="宋体" w:hAnsi="宋体"/>
          <w:color w:val="auto"/>
          <w:kern w:val="0"/>
          <w:highlight w:val="none"/>
        </w:rPr>
        <w:t>或预算书、</w:t>
      </w:r>
      <w:r>
        <w:rPr>
          <w:rFonts w:ascii="宋体" w:hAnsi="宋体"/>
          <w:color w:val="auto"/>
          <w:kern w:val="0"/>
          <w:highlight w:val="none"/>
        </w:rPr>
        <w:t>其他合同文件</w:t>
      </w:r>
      <w:r>
        <w:rPr>
          <w:rFonts w:hint="eastAsia" w:ascii="宋体" w:hAnsi="宋体"/>
          <w:color w:val="auto"/>
          <w:kern w:val="0"/>
          <w:highlight w:val="none"/>
        </w:rPr>
        <w:t>四</w:t>
      </w:r>
      <w:r>
        <w:rPr>
          <w:rFonts w:ascii="宋体" w:hAnsi="宋体"/>
          <w:color w:val="auto"/>
          <w:kern w:val="0"/>
          <w:highlight w:val="none"/>
        </w:rPr>
        <w:t>者之一</w:t>
      </w:r>
      <w:r>
        <w:rPr>
          <w:rFonts w:hint="eastAsia" w:ascii="宋体" w:hAnsi="宋体"/>
          <w:color w:val="auto"/>
          <w:kern w:val="0"/>
          <w:highlight w:val="none"/>
        </w:rPr>
        <w:t>，其优先顺序可根据采取的不同合同方式由双方约定</w:t>
      </w:r>
      <w:r>
        <w:rPr>
          <w:rFonts w:ascii="宋体" w:hAnsi="宋体"/>
          <w:color w:val="auto"/>
          <w:kern w:val="0"/>
          <w:highlight w:val="none"/>
        </w:rPr>
        <w:t>。</w:t>
      </w:r>
    </w:p>
    <w:p w14:paraId="388240FE">
      <w:pPr>
        <w:pStyle w:val="173"/>
        <w:rPr>
          <w:rFonts w:ascii="宋体" w:hAnsi="宋体"/>
          <w:color w:val="auto"/>
          <w:szCs w:val="21"/>
          <w:highlight w:val="none"/>
        </w:rPr>
      </w:pPr>
      <w:bookmarkStart w:id="99" w:name="_Toc522177065"/>
      <w:bookmarkStart w:id="100" w:name="_Toc523415188"/>
      <w:bookmarkStart w:id="101" w:name="_Toc524083289"/>
      <w:r>
        <w:rPr>
          <w:rFonts w:hint="eastAsia" w:ascii="宋体" w:hAnsi="宋体"/>
          <w:color w:val="auto"/>
          <w:szCs w:val="21"/>
          <w:highlight w:val="none"/>
        </w:rPr>
        <w:t>1.6 图纸和承包人文件</w:t>
      </w:r>
      <w:bookmarkEnd w:id="99"/>
      <w:bookmarkEnd w:id="100"/>
      <w:bookmarkEnd w:id="101"/>
      <w:r>
        <w:rPr>
          <w:rFonts w:hint="eastAsia" w:ascii="宋体" w:hAnsi="宋体"/>
          <w:color w:val="auto"/>
          <w:szCs w:val="21"/>
          <w:highlight w:val="none"/>
        </w:rPr>
        <w:tab/>
      </w:r>
    </w:p>
    <w:p w14:paraId="66D497BB">
      <w:pPr>
        <w:pStyle w:val="160"/>
        <w:spacing w:line="360" w:lineRule="auto"/>
        <w:ind w:firstLine="420" w:firstLineChars="200"/>
        <w:rPr>
          <w:rFonts w:ascii="宋体" w:hAnsi="宋体"/>
          <w:color w:val="auto"/>
          <w:highlight w:val="none"/>
        </w:rPr>
      </w:pPr>
      <w:r>
        <w:rPr>
          <w:rFonts w:hint="eastAsia" w:ascii="宋体" w:hAnsi="宋体"/>
          <w:color w:val="auto"/>
          <w:highlight w:val="none"/>
        </w:rPr>
        <w:t>1.6.1 图纸的提供</w:t>
      </w:r>
    </w:p>
    <w:p w14:paraId="39AF5A87">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发包人向承包人提供图纸的期限：</w:t>
      </w:r>
      <w:r>
        <w:rPr>
          <w:rFonts w:hint="eastAsia" w:ascii="宋体" w:hAnsi="宋体"/>
          <w:color w:val="auto"/>
          <w:highlight w:val="none"/>
          <w:u w:val="single"/>
        </w:rPr>
        <w:t>合同生效后</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0450BA7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发包人向承包人提供图纸的数量：</w:t>
      </w:r>
      <w:r>
        <w:rPr>
          <w:rFonts w:hint="eastAsia" w:hAnsi="宋体" w:cs="宋体"/>
          <w:color w:val="auto"/>
          <w:highlight w:val="none"/>
          <w:u w:val="single"/>
        </w:rPr>
        <w:t xml:space="preserve"> </w:t>
      </w:r>
      <w:r>
        <w:rPr>
          <w:rFonts w:hint="eastAsia" w:ascii="MingLiU_HKSCS" w:cs="MingLiU_HKSCS"/>
          <w:color w:val="auto"/>
          <w:highlight w:val="none"/>
          <w:u w:val="single"/>
        </w:rPr>
        <w:t xml:space="preserve"> </w:t>
      </w:r>
      <w:r>
        <w:rPr>
          <w:rFonts w:hint="eastAsia" w:ascii="MingLiU_HKSCS" w:cs="MingLiU_HKSCS"/>
          <w:color w:val="auto"/>
          <w:highlight w:val="none"/>
          <w:u w:val="single"/>
          <w:lang w:val="en-US" w:eastAsia="zh-CN"/>
        </w:rPr>
        <w:t xml:space="preserve">叁 </w:t>
      </w:r>
      <w:r>
        <w:rPr>
          <w:rFonts w:hint="eastAsia" w:ascii="MingLiU_HKSCS" w:cs="MingLiU_HKSCS"/>
          <w:color w:val="auto"/>
          <w:highlight w:val="none"/>
          <w:u w:val="single"/>
        </w:rPr>
        <w:t xml:space="preserve"> </w:t>
      </w:r>
      <w:r>
        <w:rPr>
          <w:rFonts w:hint="eastAsia" w:hAnsi="宋体" w:cs="宋体"/>
          <w:color w:val="auto"/>
          <w:highlight w:val="none"/>
        </w:rPr>
        <w:t>套（承包人需要增加图纸套数的，发包人应代为复制，复制费用由承包人承担）</w:t>
      </w:r>
      <w:r>
        <w:rPr>
          <w:rFonts w:hint="eastAsia" w:ascii="宋体" w:hAnsi="宋体"/>
          <w:color w:val="auto"/>
          <w:highlight w:val="none"/>
        </w:rPr>
        <w:t>；</w:t>
      </w:r>
    </w:p>
    <w:p w14:paraId="71DB09CF">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发包人向承包人提供图纸的内容：</w:t>
      </w:r>
      <w:r>
        <w:rPr>
          <w:rFonts w:hint="eastAsia" w:hAnsi="宋体"/>
          <w:color w:val="auto"/>
          <w:highlight w:val="none"/>
          <w:u w:val="single"/>
        </w:rPr>
        <w:t>本合同发包内容中的全部图纸</w:t>
      </w:r>
      <w:r>
        <w:rPr>
          <w:rFonts w:hint="eastAsia" w:ascii="宋体" w:hAnsi="宋体"/>
          <w:color w:val="auto"/>
          <w:highlight w:val="none"/>
        </w:rPr>
        <w:t>。</w:t>
      </w:r>
    </w:p>
    <w:p w14:paraId="0C21D223">
      <w:pPr>
        <w:pStyle w:val="160"/>
        <w:spacing w:line="360" w:lineRule="auto"/>
        <w:ind w:firstLine="420" w:firstLineChars="200"/>
        <w:rPr>
          <w:rFonts w:ascii="宋体" w:hAnsi="宋体"/>
          <w:color w:val="auto"/>
          <w:highlight w:val="none"/>
        </w:rPr>
      </w:pPr>
      <w:r>
        <w:rPr>
          <w:rFonts w:hint="eastAsia" w:ascii="宋体" w:hAnsi="宋体"/>
          <w:color w:val="auto"/>
          <w:highlight w:val="none"/>
        </w:rPr>
        <w:t>1.6.4 承包人文件</w:t>
      </w:r>
    </w:p>
    <w:p w14:paraId="49900E0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需要由承包人提供的文件，包括：</w:t>
      </w:r>
      <w:r>
        <w:rPr>
          <w:rFonts w:hint="eastAsia" w:ascii="宋体" w:hAnsi="宋体"/>
          <w:color w:val="auto"/>
          <w:szCs w:val="21"/>
          <w:highlight w:val="none"/>
          <w:u w:val="single"/>
        </w:rPr>
        <w:t>施工组织设计、工程进度计划书、主要施工方法和措施等</w:t>
      </w:r>
      <w:r>
        <w:rPr>
          <w:rFonts w:hint="eastAsia" w:hAnsi="宋体"/>
          <w:color w:val="auto"/>
          <w:szCs w:val="21"/>
          <w:highlight w:val="none"/>
          <w:u w:val="single"/>
        </w:rPr>
        <w:t>；</w:t>
      </w:r>
      <w:r>
        <w:rPr>
          <w:rFonts w:hint="eastAsia" w:ascii="宋体" w:hAnsi="宋体"/>
          <w:color w:val="auto"/>
          <w:szCs w:val="32"/>
          <w:highlight w:val="none"/>
          <w:u w:val="single"/>
        </w:rPr>
        <w:t>开工前5天应提供完善的施工组织设计和安全专项方案，其他需要由承包人提供的文件由双方另行确定</w:t>
      </w:r>
      <w:r>
        <w:rPr>
          <w:rFonts w:hint="eastAsia" w:ascii="宋体" w:hAnsi="宋体"/>
          <w:color w:val="auto"/>
          <w:highlight w:val="none"/>
        </w:rPr>
        <w:t>；</w:t>
      </w:r>
    </w:p>
    <w:p w14:paraId="27961333">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承包人提供的文件的期限为：</w:t>
      </w:r>
      <w:r>
        <w:rPr>
          <w:rFonts w:hint="eastAsia" w:ascii="宋体" w:hAnsi="宋体"/>
          <w:color w:val="auto"/>
          <w:highlight w:val="none"/>
          <w:u w:val="single"/>
        </w:rPr>
        <w:t>构件开始施工前</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178A3EA6">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承包人提供的文件的数量为：</w:t>
      </w:r>
      <w:r>
        <w:rPr>
          <w:rFonts w:hint="eastAsia" w:ascii="宋体" w:hAnsi="宋体"/>
          <w:color w:val="auto"/>
          <w:highlight w:val="none"/>
          <w:u w:val="single"/>
        </w:rPr>
        <w:t xml:space="preserve"> 3份</w:t>
      </w:r>
      <w:r>
        <w:rPr>
          <w:rFonts w:hint="eastAsia" w:ascii="宋体" w:hAnsi="宋体"/>
          <w:color w:val="auto"/>
          <w:highlight w:val="none"/>
        </w:rPr>
        <w:t>；</w:t>
      </w:r>
    </w:p>
    <w:p w14:paraId="796FE6AC">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承包人提供的文件的形式为：</w:t>
      </w:r>
      <w:r>
        <w:rPr>
          <w:rFonts w:hint="eastAsia" w:ascii="宋体" w:hAnsi="宋体"/>
          <w:color w:val="auto"/>
          <w:highlight w:val="none"/>
          <w:u w:val="single"/>
        </w:rPr>
        <w:t>书面形式</w:t>
      </w:r>
      <w:r>
        <w:rPr>
          <w:rFonts w:hint="eastAsia" w:ascii="宋体" w:hAnsi="宋体"/>
          <w:color w:val="auto"/>
          <w:highlight w:val="none"/>
        </w:rPr>
        <w:t>；</w:t>
      </w:r>
    </w:p>
    <w:p w14:paraId="1CCD1BBC">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发包人审批承包人文件的期限：</w:t>
      </w:r>
      <w:r>
        <w:rPr>
          <w:rFonts w:hint="eastAsia" w:ascii="宋体" w:hAnsi="宋体" w:cs="宋体"/>
          <w:color w:val="auto"/>
          <w:szCs w:val="21"/>
          <w:highlight w:val="none"/>
          <w:u w:val="single"/>
        </w:rPr>
        <w:t>监理人审查完毕且发包人</w:t>
      </w:r>
      <w:r>
        <w:rPr>
          <w:rFonts w:hint="eastAsia" w:hAnsi="宋体"/>
          <w:color w:val="auto"/>
          <w:szCs w:val="21"/>
          <w:highlight w:val="none"/>
          <w:u w:val="single"/>
        </w:rPr>
        <w:t>收到文件后</w:t>
      </w:r>
      <w:r>
        <w:rPr>
          <w:rFonts w:hAnsi="宋体"/>
          <w:color w:val="auto"/>
          <w:szCs w:val="21"/>
          <w:highlight w:val="none"/>
          <w:u w:val="single"/>
        </w:rPr>
        <w:t>7</w:t>
      </w:r>
      <w:r>
        <w:rPr>
          <w:rFonts w:hint="eastAsia" w:hAnsi="宋体"/>
          <w:color w:val="auto"/>
          <w:szCs w:val="21"/>
          <w:highlight w:val="none"/>
          <w:u w:val="single"/>
        </w:rPr>
        <w:t>个工作日内</w:t>
      </w:r>
      <w:r>
        <w:rPr>
          <w:rFonts w:hint="eastAsia" w:ascii="宋体" w:hAnsi="宋体"/>
          <w:color w:val="auto"/>
          <w:highlight w:val="none"/>
        </w:rPr>
        <w:t>。</w:t>
      </w:r>
    </w:p>
    <w:p w14:paraId="4F02139B">
      <w:pPr>
        <w:pStyle w:val="160"/>
        <w:spacing w:line="360" w:lineRule="auto"/>
        <w:ind w:firstLine="420" w:firstLineChars="200"/>
        <w:rPr>
          <w:rFonts w:ascii="宋体" w:hAnsi="宋体"/>
          <w:color w:val="auto"/>
          <w:highlight w:val="none"/>
        </w:rPr>
      </w:pPr>
      <w:r>
        <w:rPr>
          <w:rFonts w:hint="eastAsia" w:ascii="宋体" w:hAnsi="宋体"/>
          <w:color w:val="auto"/>
          <w:highlight w:val="none"/>
        </w:rPr>
        <w:t>1.6.5 现场图纸准备</w:t>
      </w:r>
    </w:p>
    <w:p w14:paraId="009E9588">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关于现场图纸准备的约定：</w:t>
      </w:r>
      <w:r>
        <w:rPr>
          <w:rFonts w:hint="eastAsia" w:ascii="宋体" w:hAnsi="宋体"/>
          <w:color w:val="auto"/>
          <w:highlight w:val="none"/>
          <w:u w:val="single"/>
        </w:rPr>
        <w:t>承包人应在施工现场另外保存一套完整的图纸和承包人文件，供发包人、监理人及有关人员进行工程检查时使用</w:t>
      </w:r>
      <w:r>
        <w:rPr>
          <w:rFonts w:hint="eastAsia" w:ascii="宋体" w:hAnsi="宋体"/>
          <w:color w:val="auto"/>
          <w:highlight w:val="none"/>
        </w:rPr>
        <w:t>。</w:t>
      </w:r>
    </w:p>
    <w:p w14:paraId="6FB8FCBE">
      <w:pPr>
        <w:pStyle w:val="173"/>
        <w:rPr>
          <w:rFonts w:ascii="宋体" w:hAnsi="宋体"/>
          <w:color w:val="auto"/>
          <w:szCs w:val="21"/>
          <w:highlight w:val="none"/>
        </w:rPr>
      </w:pPr>
      <w:bookmarkStart w:id="102" w:name="_Toc524083290"/>
      <w:bookmarkStart w:id="103" w:name="_Toc522177066"/>
      <w:bookmarkStart w:id="104" w:name="_Toc523415189"/>
      <w:r>
        <w:rPr>
          <w:rFonts w:hint="eastAsia" w:ascii="宋体" w:hAnsi="宋体"/>
          <w:color w:val="auto"/>
          <w:szCs w:val="21"/>
          <w:highlight w:val="none"/>
        </w:rPr>
        <w:t>1.7 联络</w:t>
      </w:r>
      <w:bookmarkEnd w:id="102"/>
      <w:bookmarkEnd w:id="103"/>
      <w:bookmarkEnd w:id="104"/>
    </w:p>
    <w:p w14:paraId="1B7EBDCB">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1.7.1发包人和承包人应当在</w:t>
      </w:r>
      <w:r>
        <w:rPr>
          <w:rFonts w:hint="eastAsia" w:ascii="宋体" w:hAnsi="宋体"/>
          <w:color w:val="auto"/>
          <w:highlight w:val="none"/>
          <w:u w:val="single"/>
        </w:rPr>
        <w:t>7</w:t>
      </w:r>
      <w:r>
        <w:rPr>
          <w:rFonts w:hint="eastAsia" w:ascii="宋体" w:hAnsi="宋体"/>
          <w:color w:val="auto"/>
          <w:kern w:val="0"/>
          <w:highlight w:val="none"/>
        </w:rPr>
        <w:t>天内将与合同有关的通知、批准、证明、证书、指示、指令、要求、请求、同意、意见、确定和决定等书面函件送达对方当事人。</w:t>
      </w:r>
    </w:p>
    <w:p w14:paraId="09D52F87">
      <w:pPr>
        <w:spacing w:line="360" w:lineRule="auto"/>
        <w:ind w:firstLine="420" w:firstLineChars="200"/>
        <w:rPr>
          <w:rFonts w:ascii="宋体"/>
          <w:color w:val="auto"/>
          <w:kern w:val="0"/>
          <w:highlight w:val="none"/>
        </w:rPr>
      </w:pPr>
      <w:r>
        <w:rPr>
          <w:rFonts w:ascii="宋体" w:hAnsi="宋体" w:cs="宋体"/>
          <w:color w:val="auto"/>
          <w:kern w:val="0"/>
          <w:highlight w:val="none"/>
        </w:rPr>
        <w:t xml:space="preserve">1.7.2 </w:t>
      </w:r>
      <w:r>
        <w:rPr>
          <w:rFonts w:hint="eastAsia" w:ascii="宋体" w:hAnsi="宋体" w:cs="宋体"/>
          <w:color w:val="auto"/>
          <w:kern w:val="0"/>
          <w:highlight w:val="none"/>
        </w:rPr>
        <w:t>发包人接收文件的地点：</w:t>
      </w:r>
      <w:r>
        <w:rPr>
          <w:rFonts w:hint="eastAsia" w:ascii="宋体" w:hAnsi="宋体" w:cs="宋体"/>
          <w:color w:val="auto"/>
          <w:kern w:val="0"/>
          <w:highlight w:val="none"/>
          <w:u w:val="single"/>
          <w:lang w:val="en-US" w:eastAsia="zh-CN"/>
        </w:rPr>
        <w:t>施工</w:t>
      </w:r>
      <w:r>
        <w:rPr>
          <w:rFonts w:hint="eastAsia" w:ascii="宋体" w:hAnsi="宋体" w:cs="宋体"/>
          <w:color w:val="auto"/>
          <w:highlight w:val="none"/>
          <w:u w:val="single"/>
        </w:rPr>
        <w:t>现场业主工程部</w:t>
      </w:r>
      <w:r>
        <w:rPr>
          <w:rFonts w:hint="eastAsia" w:ascii="宋体" w:hAnsi="宋体" w:cs="宋体"/>
          <w:color w:val="auto"/>
          <w:kern w:val="0"/>
          <w:highlight w:val="none"/>
        </w:rPr>
        <w:t>；</w:t>
      </w:r>
    </w:p>
    <w:p w14:paraId="34BB0201">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发包人指定的接收人为：</w:t>
      </w:r>
      <w:r>
        <w:rPr>
          <w:rFonts w:hint="eastAsia" w:ascii="宋体" w:hAnsi="宋体" w:cs="宋体"/>
          <w:color w:val="auto"/>
          <w:highlight w:val="none"/>
          <w:u w:val="single"/>
        </w:rPr>
        <w:t>业主派驻现场代表</w:t>
      </w:r>
      <w:r>
        <w:rPr>
          <w:rFonts w:hint="eastAsia" w:ascii="宋体" w:hAnsi="宋体" w:cs="宋体"/>
          <w:color w:val="auto"/>
          <w:kern w:val="0"/>
          <w:highlight w:val="none"/>
        </w:rPr>
        <w:t>。</w:t>
      </w:r>
    </w:p>
    <w:p w14:paraId="61B1F2B9">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承包人接收文件的地点：</w:t>
      </w:r>
      <w:r>
        <w:rPr>
          <w:rFonts w:hint="eastAsia" w:ascii="宋体" w:hAnsi="宋体" w:cs="宋体"/>
          <w:color w:val="auto"/>
          <w:highlight w:val="none"/>
          <w:u w:val="single"/>
        </w:rPr>
        <w:t>现场施工单位项目部</w:t>
      </w:r>
      <w:r>
        <w:rPr>
          <w:rFonts w:hint="eastAsia" w:ascii="宋体" w:hAnsi="宋体" w:cs="宋体"/>
          <w:color w:val="auto"/>
          <w:kern w:val="0"/>
          <w:highlight w:val="none"/>
        </w:rPr>
        <w:t>；</w:t>
      </w:r>
    </w:p>
    <w:p w14:paraId="7EC3414B">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承包人指定的接收人为：</w:t>
      </w:r>
      <w:r>
        <w:rPr>
          <w:rFonts w:hint="eastAsia" w:ascii="宋体" w:hAnsi="宋体" w:cs="宋体"/>
          <w:color w:val="auto"/>
          <w:highlight w:val="none"/>
          <w:u w:val="single"/>
        </w:rPr>
        <w:t>项目经理、技术负责人</w:t>
      </w:r>
      <w:r>
        <w:rPr>
          <w:rFonts w:hint="eastAsia" w:ascii="宋体" w:hAnsi="宋体" w:cs="宋体"/>
          <w:color w:val="auto"/>
          <w:kern w:val="0"/>
          <w:highlight w:val="none"/>
        </w:rPr>
        <w:t>。</w:t>
      </w:r>
    </w:p>
    <w:p w14:paraId="55ADEA0F">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监理人接收文件的地点：</w:t>
      </w:r>
      <w:r>
        <w:rPr>
          <w:rFonts w:hint="eastAsia" w:ascii="宋体" w:hAnsi="宋体" w:cs="宋体"/>
          <w:color w:val="auto"/>
          <w:highlight w:val="none"/>
          <w:u w:val="single"/>
        </w:rPr>
        <w:t>监理人施工现场监理办公室</w:t>
      </w:r>
      <w:r>
        <w:rPr>
          <w:rFonts w:hint="eastAsia" w:ascii="宋体" w:hAnsi="宋体" w:cs="宋体"/>
          <w:color w:val="auto"/>
          <w:kern w:val="0"/>
          <w:highlight w:val="none"/>
        </w:rPr>
        <w:t>；</w:t>
      </w:r>
    </w:p>
    <w:p w14:paraId="43F6071A">
      <w:pPr>
        <w:spacing w:line="360" w:lineRule="auto"/>
        <w:ind w:firstLine="420" w:firstLineChars="200"/>
        <w:rPr>
          <w:rFonts w:ascii="宋体"/>
          <w:b/>
          <w:color w:val="auto"/>
          <w:kern w:val="0"/>
          <w:highlight w:val="none"/>
        </w:rPr>
      </w:pPr>
      <w:r>
        <w:rPr>
          <w:rFonts w:hint="eastAsia" w:ascii="宋体" w:hAnsi="宋体" w:cs="宋体"/>
          <w:color w:val="auto"/>
          <w:kern w:val="0"/>
          <w:highlight w:val="none"/>
        </w:rPr>
        <w:t>监理人指定的接收人为：</w:t>
      </w:r>
      <w:r>
        <w:rPr>
          <w:rFonts w:hint="eastAsia" w:ascii="宋体" w:hAnsi="宋体" w:cs="宋体"/>
          <w:color w:val="auto"/>
          <w:highlight w:val="none"/>
          <w:u w:val="single"/>
        </w:rPr>
        <w:t>总监或总监代表</w:t>
      </w:r>
      <w:r>
        <w:rPr>
          <w:rFonts w:hint="eastAsia" w:ascii="宋体" w:hAnsi="宋体" w:cs="宋体"/>
          <w:color w:val="auto"/>
          <w:kern w:val="0"/>
          <w:highlight w:val="none"/>
        </w:rPr>
        <w:t>。</w:t>
      </w:r>
    </w:p>
    <w:p w14:paraId="6DE08B5D">
      <w:pPr>
        <w:pStyle w:val="173"/>
        <w:rPr>
          <w:rFonts w:ascii="宋体" w:hAnsi="宋体"/>
          <w:color w:val="auto"/>
          <w:szCs w:val="21"/>
          <w:highlight w:val="none"/>
        </w:rPr>
      </w:pPr>
      <w:bookmarkStart w:id="105" w:name="_Toc522177067"/>
      <w:bookmarkStart w:id="106" w:name="_Toc524083291"/>
      <w:bookmarkStart w:id="107" w:name="_Toc523415190"/>
      <w:r>
        <w:rPr>
          <w:rFonts w:hint="eastAsia" w:ascii="宋体" w:hAnsi="宋体"/>
          <w:color w:val="auto"/>
          <w:szCs w:val="21"/>
          <w:highlight w:val="none"/>
        </w:rPr>
        <w:t>1.10 交通运输</w:t>
      </w:r>
      <w:bookmarkEnd w:id="105"/>
      <w:bookmarkEnd w:id="106"/>
      <w:bookmarkEnd w:id="107"/>
    </w:p>
    <w:p w14:paraId="360D3DA4">
      <w:pPr>
        <w:pStyle w:val="160"/>
        <w:spacing w:line="360" w:lineRule="auto"/>
        <w:ind w:firstLine="420" w:firstLineChars="200"/>
        <w:rPr>
          <w:rFonts w:ascii="宋体" w:hAnsi="宋体"/>
          <w:color w:val="auto"/>
          <w:highlight w:val="none"/>
        </w:rPr>
      </w:pPr>
      <w:r>
        <w:rPr>
          <w:rFonts w:hint="eastAsia" w:ascii="宋体" w:hAnsi="宋体"/>
          <w:color w:val="auto"/>
          <w:highlight w:val="none"/>
        </w:rPr>
        <w:t>1.10.1 出入现场的权利</w:t>
      </w:r>
    </w:p>
    <w:p w14:paraId="6659942B">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关于出入现场的权利的约定：</w:t>
      </w:r>
      <w:r>
        <w:rPr>
          <w:rFonts w:hint="eastAsia" w:ascii="MingLiU_HKSCS" w:hAnsi="MingLiU_HKSCS" w:cs="MingLiU_HKSCS"/>
          <w:color w:val="auto"/>
          <w:highlight w:val="none"/>
          <w:u w:val="single"/>
        </w:rPr>
        <w:t>由承包人按发包人要求负责取得出入施工现场所需的批准手续和全部权利，以及取得因施工所需修建道路、桥梁以及其他基础设施的权利，并承担相关手续费用和建设费用</w:t>
      </w:r>
      <w:r>
        <w:rPr>
          <w:rFonts w:hint="eastAsia" w:ascii="宋体" w:hAnsi="宋体"/>
          <w:color w:val="auto"/>
          <w:highlight w:val="none"/>
        </w:rPr>
        <w:t>。</w:t>
      </w:r>
    </w:p>
    <w:p w14:paraId="4D79EED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1.10.3 场内交通</w:t>
      </w:r>
    </w:p>
    <w:p w14:paraId="4CBD55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关于场外交通和场内交通的边界的约定：</w:t>
      </w:r>
      <w:r>
        <w:rPr>
          <w:rFonts w:hint="eastAsia" w:hAnsi="宋体"/>
          <w:color w:val="auto"/>
          <w:szCs w:val="21"/>
          <w:highlight w:val="none"/>
          <w:u w:val="single"/>
        </w:rPr>
        <w:t>以双方确认的用地红线为边界</w:t>
      </w:r>
      <w:r>
        <w:rPr>
          <w:rFonts w:hint="eastAsia" w:ascii="宋体" w:hAnsi="宋体"/>
          <w:color w:val="auto"/>
          <w:highlight w:val="none"/>
        </w:rPr>
        <w:t>。</w:t>
      </w:r>
    </w:p>
    <w:p w14:paraId="09C908D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关于发包人向承包人免费提供满足工程施工需要的场内道路和交通设施的约定：</w:t>
      </w:r>
      <w:r>
        <w:rPr>
          <w:rFonts w:hint="eastAsia" w:ascii="宋体" w:hAnsi="宋体" w:cs="宋体"/>
          <w:color w:val="auto"/>
          <w:szCs w:val="21"/>
          <w:highlight w:val="none"/>
          <w:u w:val="single"/>
        </w:rPr>
        <w:t>以</w:t>
      </w:r>
      <w:r>
        <w:rPr>
          <w:rFonts w:hint="eastAsia" w:ascii="宋体" w:hAnsi="宋体" w:cs="宋体"/>
          <w:color w:val="auto"/>
          <w:szCs w:val="21"/>
          <w:highlight w:val="none"/>
          <w:u w:val="single"/>
          <w:lang w:val="en-US" w:eastAsia="zh-CN"/>
        </w:rPr>
        <w:t>施工</w:t>
      </w:r>
      <w:r>
        <w:rPr>
          <w:rFonts w:hint="eastAsia" w:ascii="宋体" w:hAnsi="宋体" w:cs="宋体"/>
          <w:color w:val="auto"/>
          <w:szCs w:val="21"/>
          <w:highlight w:val="none"/>
          <w:u w:val="single"/>
        </w:rPr>
        <w:t>现场实际施工条件为准，由承包人负责并承担相应费用</w:t>
      </w:r>
      <w:r>
        <w:rPr>
          <w:rFonts w:hint="eastAsia" w:ascii="宋体" w:hAnsi="宋体"/>
          <w:color w:val="auto"/>
          <w:highlight w:val="none"/>
        </w:rPr>
        <w:t xml:space="preserve">。  </w:t>
      </w:r>
    </w:p>
    <w:p w14:paraId="2D98C24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1.10.4超大件和超重件的运输</w:t>
      </w:r>
    </w:p>
    <w:p w14:paraId="7D67E5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运输超大件或超重件所需的道路和桥梁临时加固改造费用和其他有关费用由</w:t>
      </w:r>
      <w:r>
        <w:rPr>
          <w:rFonts w:hint="eastAsia" w:ascii="宋体" w:hAnsi="宋体"/>
          <w:color w:val="auto"/>
          <w:highlight w:val="none"/>
          <w:u w:val="single"/>
        </w:rPr>
        <w:t xml:space="preserve"> 承包人</w:t>
      </w:r>
      <w:r>
        <w:rPr>
          <w:rFonts w:hint="eastAsia" w:ascii="宋体" w:hAnsi="宋体"/>
          <w:color w:val="auto"/>
          <w:highlight w:val="none"/>
        </w:rPr>
        <w:t>承担。</w:t>
      </w:r>
    </w:p>
    <w:p w14:paraId="50955A9D">
      <w:pPr>
        <w:pStyle w:val="173"/>
        <w:rPr>
          <w:rFonts w:ascii="宋体" w:hAnsi="宋体"/>
          <w:color w:val="auto"/>
          <w:szCs w:val="21"/>
          <w:highlight w:val="none"/>
        </w:rPr>
      </w:pPr>
      <w:bookmarkStart w:id="108" w:name="_Toc523415191"/>
      <w:bookmarkStart w:id="109" w:name="_Toc524083292"/>
      <w:bookmarkStart w:id="110" w:name="_Toc522177068"/>
      <w:r>
        <w:rPr>
          <w:rFonts w:hint="eastAsia" w:ascii="宋体" w:hAnsi="宋体"/>
          <w:color w:val="auto"/>
          <w:szCs w:val="21"/>
          <w:highlight w:val="none"/>
        </w:rPr>
        <w:t>1.11 知识产权</w:t>
      </w:r>
      <w:bookmarkEnd w:id="108"/>
      <w:bookmarkEnd w:id="109"/>
      <w:bookmarkEnd w:id="110"/>
    </w:p>
    <w:p w14:paraId="59506F1C">
      <w:pPr>
        <w:pStyle w:val="160"/>
        <w:spacing w:line="360" w:lineRule="auto"/>
        <w:ind w:firstLine="420" w:firstLineChars="200"/>
        <w:rPr>
          <w:rFonts w:ascii="宋体" w:hAnsi="宋体"/>
          <w:color w:val="auto"/>
          <w:highlight w:val="none"/>
        </w:rPr>
      </w:pPr>
      <w:r>
        <w:rPr>
          <w:rFonts w:hint="eastAsia" w:ascii="宋体" w:hAnsi="宋体"/>
          <w:color w:val="auto"/>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olor w:val="auto"/>
          <w:highlight w:val="none"/>
          <w:u w:val="single"/>
        </w:rPr>
        <w:t>按《通用合同条款》1.11.1条执行</w:t>
      </w:r>
      <w:r>
        <w:rPr>
          <w:rFonts w:hint="eastAsia" w:ascii="宋体" w:hAnsi="宋体"/>
          <w:color w:val="auto"/>
          <w:highlight w:val="none"/>
        </w:rPr>
        <w:t>。</w:t>
      </w:r>
    </w:p>
    <w:p w14:paraId="0F54927A">
      <w:pPr>
        <w:pStyle w:val="160"/>
        <w:spacing w:line="360" w:lineRule="auto"/>
        <w:ind w:firstLine="567" w:firstLineChars="270"/>
        <w:rPr>
          <w:rFonts w:ascii="宋体" w:hAnsi="宋体"/>
          <w:color w:val="auto"/>
          <w:highlight w:val="none"/>
        </w:rPr>
      </w:pPr>
      <w:r>
        <w:rPr>
          <w:rFonts w:hint="eastAsia" w:ascii="宋体" w:hAnsi="宋体"/>
          <w:color w:val="auto"/>
          <w:highlight w:val="none"/>
        </w:rPr>
        <w:t>关于发包人提供的上述文件的使用限制的要求：</w:t>
      </w:r>
      <w:r>
        <w:rPr>
          <w:rFonts w:hint="eastAsia" w:ascii="宋体" w:hAnsi="宋体"/>
          <w:color w:val="auto"/>
          <w:highlight w:val="none"/>
          <w:u w:val="single"/>
        </w:rPr>
        <w:t>按《通用合同条款》1.11.1条执行</w:t>
      </w:r>
      <w:r>
        <w:rPr>
          <w:rFonts w:hint="eastAsia" w:ascii="宋体" w:hAnsi="宋体"/>
          <w:color w:val="auto"/>
          <w:highlight w:val="none"/>
        </w:rPr>
        <w:t>。</w:t>
      </w:r>
    </w:p>
    <w:p w14:paraId="2C53BBE7">
      <w:pPr>
        <w:pStyle w:val="160"/>
        <w:spacing w:line="360" w:lineRule="auto"/>
        <w:ind w:firstLine="420" w:firstLineChars="200"/>
        <w:rPr>
          <w:rFonts w:ascii="宋体" w:hAnsi="宋体"/>
          <w:color w:val="auto"/>
          <w:highlight w:val="none"/>
        </w:rPr>
      </w:pPr>
      <w:r>
        <w:rPr>
          <w:rFonts w:hint="eastAsia" w:ascii="宋体" w:hAnsi="宋体"/>
          <w:color w:val="auto"/>
          <w:highlight w:val="none"/>
        </w:rPr>
        <w:t>1.11.2 关于承包人为实施工程所编制文件的著作权的归属：</w:t>
      </w:r>
      <w:r>
        <w:rPr>
          <w:rFonts w:hint="eastAsia" w:ascii="宋体" w:hAnsi="宋体"/>
          <w:color w:val="auto"/>
          <w:highlight w:val="none"/>
          <w:u w:val="single"/>
        </w:rPr>
        <w:t>按《通用合同条款》1.11.2条执行</w:t>
      </w:r>
      <w:r>
        <w:rPr>
          <w:rFonts w:hint="eastAsia" w:ascii="宋体" w:hAnsi="宋体"/>
          <w:color w:val="auto"/>
          <w:highlight w:val="none"/>
        </w:rPr>
        <w:t>。</w:t>
      </w:r>
    </w:p>
    <w:p w14:paraId="5666C70C">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关于承包人提供的上述文件的使用限制的要求：</w:t>
      </w:r>
      <w:r>
        <w:rPr>
          <w:rFonts w:hint="eastAsia" w:ascii="宋体" w:hAnsi="宋体"/>
          <w:color w:val="auto"/>
          <w:highlight w:val="none"/>
          <w:u w:val="single"/>
        </w:rPr>
        <w:t xml:space="preserve">按《通用合同条款》1.11.2条执行  </w:t>
      </w:r>
      <w:r>
        <w:rPr>
          <w:rFonts w:hint="eastAsia" w:ascii="宋体" w:hAnsi="宋体"/>
          <w:color w:val="auto"/>
          <w:highlight w:val="none"/>
        </w:rPr>
        <w:t>。</w:t>
      </w:r>
    </w:p>
    <w:p w14:paraId="76B14AB8">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1.11.</w:t>
      </w:r>
      <w:r>
        <w:rPr>
          <w:rFonts w:hint="eastAsia" w:ascii="宋体" w:hAnsi="宋体"/>
          <w:color w:val="auto"/>
          <w:highlight w:val="none"/>
          <w:lang w:val="en-US" w:eastAsia="zh-CN"/>
        </w:rPr>
        <w:t>4</w:t>
      </w:r>
      <w:r>
        <w:rPr>
          <w:rFonts w:hint="eastAsia" w:ascii="宋体" w:hAnsi="宋体"/>
          <w:color w:val="auto"/>
          <w:highlight w:val="none"/>
        </w:rPr>
        <w:t xml:space="preserve"> 承包人在施工过程中所采用的专利、专有技术、技术秘密的使用费的承担方式：</w:t>
      </w:r>
      <w:r>
        <w:rPr>
          <w:rFonts w:hint="eastAsia" w:ascii="宋体" w:hAnsi="宋体"/>
          <w:color w:val="auto"/>
          <w:highlight w:val="none"/>
          <w:u w:val="single"/>
        </w:rPr>
        <w:t>承包人在合同签订前和签订时已确定采用的专利、专有技术、技术秘密的使用费已包含在签约合同价中</w:t>
      </w:r>
      <w:r>
        <w:rPr>
          <w:rFonts w:hint="eastAsia" w:ascii="宋体" w:hAnsi="宋体"/>
          <w:color w:val="auto"/>
          <w:kern w:val="0"/>
          <w:highlight w:val="none"/>
        </w:rPr>
        <w:t>。</w:t>
      </w:r>
    </w:p>
    <w:p w14:paraId="26F9D609">
      <w:pPr>
        <w:pStyle w:val="173"/>
        <w:rPr>
          <w:rFonts w:ascii="宋体" w:hAnsi="宋体"/>
          <w:color w:val="auto"/>
          <w:szCs w:val="21"/>
          <w:highlight w:val="none"/>
        </w:rPr>
      </w:pPr>
      <w:bookmarkStart w:id="111" w:name="_Toc522177069"/>
      <w:bookmarkStart w:id="112" w:name="_Toc524083293"/>
      <w:bookmarkStart w:id="113" w:name="_Toc523415192"/>
      <w:r>
        <w:rPr>
          <w:rFonts w:hint="eastAsia" w:ascii="宋体" w:hAnsi="宋体"/>
          <w:color w:val="auto"/>
          <w:szCs w:val="21"/>
          <w:highlight w:val="none"/>
        </w:rPr>
        <w:t>1.13工程量清单错误的修正</w:t>
      </w:r>
      <w:bookmarkEnd w:id="111"/>
      <w:bookmarkEnd w:id="112"/>
      <w:bookmarkEnd w:id="113"/>
    </w:p>
    <w:p w14:paraId="087663CD">
      <w:pPr>
        <w:pStyle w:val="160"/>
        <w:spacing w:line="360" w:lineRule="auto"/>
        <w:ind w:firstLine="420" w:firstLineChars="200"/>
        <w:rPr>
          <w:rFonts w:ascii="宋体" w:hAnsi="宋体"/>
          <w:color w:val="auto"/>
          <w:highlight w:val="none"/>
        </w:rPr>
      </w:pPr>
      <w:r>
        <w:rPr>
          <w:rFonts w:hint="eastAsia" w:ascii="宋体" w:hAnsi="宋体"/>
          <w:color w:val="auto"/>
          <w:highlight w:val="none"/>
        </w:rPr>
        <w:t>出现工程量清单错误时，是否调整合同价格：</w:t>
      </w:r>
      <w:r>
        <w:rPr>
          <w:rFonts w:hint="eastAsia" w:ascii="宋体" w:hAnsi="宋体"/>
          <w:color w:val="auto"/>
          <w:highlight w:val="none"/>
          <w:u w:val="single"/>
        </w:rPr>
        <w:t xml:space="preserve"> </w:t>
      </w:r>
      <w:r>
        <w:rPr>
          <w:rFonts w:hint="eastAsia" w:ascii="宋体" w:hAnsi="宋体"/>
          <w:color w:val="auto"/>
          <w:highlight w:val="none"/>
          <w:u w:val="single"/>
          <w:lang w:eastAsia="zh-CN"/>
        </w:rPr>
        <w:t>不允许</w:t>
      </w:r>
      <w:r>
        <w:rPr>
          <w:rFonts w:hint="eastAsia" w:ascii="宋体" w:hAnsi="宋体"/>
          <w:color w:val="auto"/>
          <w:highlight w:val="none"/>
          <w:u w:val="single"/>
        </w:rPr>
        <w:t xml:space="preserve">调整  </w:t>
      </w:r>
      <w:r>
        <w:rPr>
          <w:rFonts w:hint="eastAsia" w:ascii="宋体" w:hAnsi="宋体"/>
          <w:color w:val="auto"/>
          <w:kern w:val="0"/>
          <w:highlight w:val="none"/>
        </w:rPr>
        <w:t>。</w:t>
      </w:r>
    </w:p>
    <w:p w14:paraId="14744CD8">
      <w:pPr>
        <w:pStyle w:val="160"/>
        <w:spacing w:line="360" w:lineRule="auto"/>
        <w:ind w:firstLine="420" w:firstLineChars="200"/>
        <w:rPr>
          <w:rFonts w:ascii="宋体" w:hAnsi="宋体"/>
          <w:color w:val="auto"/>
          <w:highlight w:val="none"/>
        </w:rPr>
      </w:pPr>
      <w:r>
        <w:rPr>
          <w:rFonts w:hint="eastAsia" w:ascii="宋体" w:hAnsi="宋体"/>
          <w:color w:val="auto"/>
          <w:highlight w:val="none"/>
        </w:rPr>
        <w:t>允许调整合同价格的工程量偏差范围：</w:t>
      </w:r>
      <w:r>
        <w:rPr>
          <w:rFonts w:hint="eastAsia" w:ascii="宋体" w:hAnsi="宋体"/>
          <w:color w:val="auto"/>
          <w:highlight w:val="none"/>
          <w:u w:val="single"/>
        </w:rPr>
        <w:t xml:space="preserve">    </w:t>
      </w:r>
      <w:r>
        <w:rPr>
          <w:rFonts w:hint="eastAsia" w:ascii="宋体" w:hAnsi="宋体"/>
          <w:color w:val="auto"/>
          <w:highlight w:val="none"/>
          <w:u w:val="single"/>
          <w:lang w:eastAsia="zh-CN"/>
        </w:rPr>
        <w:t>无</w:t>
      </w:r>
      <w:r>
        <w:rPr>
          <w:rFonts w:hint="eastAsia" w:ascii="宋体" w:hAnsi="宋体"/>
          <w:color w:val="auto"/>
          <w:highlight w:val="none"/>
          <w:u w:val="single"/>
        </w:rPr>
        <w:t xml:space="preserve">    </w:t>
      </w:r>
      <w:r>
        <w:rPr>
          <w:rFonts w:hint="eastAsia" w:ascii="宋体" w:hAnsi="宋体"/>
          <w:color w:val="auto"/>
          <w:kern w:val="0"/>
          <w:highlight w:val="none"/>
        </w:rPr>
        <w:t>。</w:t>
      </w:r>
    </w:p>
    <w:p w14:paraId="0D9E9F50">
      <w:pPr>
        <w:pStyle w:val="172"/>
        <w:spacing w:line="360" w:lineRule="auto"/>
        <w:rPr>
          <w:rFonts w:ascii="宋体" w:hAnsi="宋体"/>
          <w:color w:val="auto"/>
          <w:sz w:val="21"/>
          <w:szCs w:val="21"/>
          <w:highlight w:val="none"/>
        </w:rPr>
      </w:pPr>
      <w:bookmarkStart w:id="114" w:name="_Toc522177070"/>
      <w:bookmarkStart w:id="115" w:name="_Toc523415193"/>
      <w:bookmarkStart w:id="116" w:name="_Toc524083294"/>
      <w:r>
        <w:rPr>
          <w:rFonts w:hint="eastAsia" w:ascii="宋体" w:hAnsi="宋体"/>
          <w:color w:val="auto"/>
          <w:sz w:val="21"/>
          <w:szCs w:val="21"/>
          <w:highlight w:val="none"/>
        </w:rPr>
        <w:t>2. 发包人</w:t>
      </w:r>
      <w:bookmarkEnd w:id="114"/>
      <w:bookmarkEnd w:id="115"/>
      <w:bookmarkEnd w:id="116"/>
    </w:p>
    <w:p w14:paraId="24907858">
      <w:pPr>
        <w:pStyle w:val="173"/>
        <w:rPr>
          <w:rFonts w:ascii="宋体" w:hAnsi="宋体"/>
          <w:color w:val="auto"/>
          <w:szCs w:val="21"/>
          <w:highlight w:val="none"/>
        </w:rPr>
      </w:pPr>
      <w:bookmarkStart w:id="117" w:name="_Toc524083295"/>
      <w:bookmarkStart w:id="118" w:name="_Toc522177071"/>
      <w:bookmarkStart w:id="119" w:name="_Toc523415194"/>
      <w:r>
        <w:rPr>
          <w:rFonts w:hint="eastAsia" w:ascii="宋体" w:hAnsi="宋体"/>
          <w:color w:val="auto"/>
          <w:szCs w:val="21"/>
          <w:highlight w:val="none"/>
        </w:rPr>
        <w:t>2.2 发包人代表</w:t>
      </w:r>
      <w:bookmarkEnd w:id="117"/>
      <w:bookmarkEnd w:id="118"/>
      <w:bookmarkEnd w:id="119"/>
    </w:p>
    <w:p w14:paraId="3071E246">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发包人代表：</w:t>
      </w:r>
    </w:p>
    <w:p w14:paraId="7D7B7720">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123A06F8">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948E4E">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2917930F">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ascii="宋体" w:hAnsi="宋体"/>
          <w:color w:val="auto"/>
          <w:highlight w:val="none"/>
          <w:u w:val="single"/>
        </w:rPr>
        <w:t>0775-4258084</w:t>
      </w:r>
      <w:r>
        <w:rPr>
          <w:rFonts w:hint="eastAsia" w:ascii="宋体" w:hAnsi="宋体"/>
          <w:color w:val="auto"/>
          <w:highlight w:val="none"/>
          <w:u w:val="single"/>
        </w:rPr>
        <w:t xml:space="preserve">  </w:t>
      </w:r>
      <w:r>
        <w:rPr>
          <w:rFonts w:hint="eastAsia" w:ascii="宋体" w:hAnsi="宋体"/>
          <w:color w:val="auto"/>
          <w:highlight w:val="none"/>
        </w:rPr>
        <w:t>；</w:t>
      </w:r>
    </w:p>
    <w:p w14:paraId="5F9820DC">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lang w:val="en-US" w:eastAsia="zh-CN"/>
        </w:rPr>
        <w:t xml:space="preserve"> </w:t>
      </w:r>
      <w:r>
        <w:rPr>
          <w:rFonts w:hint="eastAsia" w:hAnsi="宋体"/>
          <w:color w:val="auto"/>
          <w:szCs w:val="21"/>
          <w:highlight w:val="none"/>
          <w:u w:val="single"/>
        </w:rPr>
        <w:t>签订合同时明确</w:t>
      </w:r>
      <w:r>
        <w:rPr>
          <w:rFonts w:hint="eastAsia" w:hAnsi="宋体"/>
          <w:color w:val="auto"/>
          <w:szCs w:val="21"/>
          <w:highlight w:val="none"/>
          <w:u w:val="single"/>
          <w:lang w:val="en-US" w:eastAsia="zh-CN"/>
        </w:rPr>
        <w:t xml:space="preserve"> </w:t>
      </w:r>
      <w:r>
        <w:rPr>
          <w:rFonts w:hint="eastAsia" w:ascii="宋体" w:hAnsi="宋体"/>
          <w:color w:val="auto"/>
          <w:highlight w:val="none"/>
        </w:rPr>
        <w:t>；</w:t>
      </w:r>
    </w:p>
    <w:p w14:paraId="7A74B414">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Times New Roman" w:hAnsi="宋体" w:eastAsia="宋体" w:cs="Times New Roman"/>
          <w:color w:val="auto"/>
          <w:szCs w:val="21"/>
          <w:highlight w:val="none"/>
          <w:u w:val="single"/>
        </w:rPr>
        <w:t xml:space="preserve"> </w:t>
      </w:r>
      <w:r>
        <w:rPr>
          <w:rFonts w:hint="eastAsia" w:ascii="Times New Roman" w:hAnsi="宋体" w:eastAsia="宋体" w:cs="Times New Roman"/>
          <w:color w:val="auto"/>
          <w:szCs w:val="21"/>
          <w:highlight w:val="none"/>
          <w:u w:val="single"/>
          <w:lang w:val="zh-CN"/>
        </w:rPr>
        <w:t>贵港市港北区行政中心大楼B区405</w:t>
      </w:r>
      <w:r>
        <w:rPr>
          <w:rFonts w:hint="eastAsia" w:ascii="Times New Roman" w:hAnsi="宋体" w:eastAsia="宋体" w:cs="Times New Roman"/>
          <w:color w:val="auto"/>
          <w:szCs w:val="21"/>
          <w:highlight w:val="none"/>
          <w:u w:val="single"/>
        </w:rPr>
        <w:t xml:space="preserve"> </w:t>
      </w:r>
      <w:r>
        <w:rPr>
          <w:rFonts w:hint="eastAsia" w:ascii="宋体" w:hAnsi="宋体"/>
          <w:color w:val="auto"/>
          <w:highlight w:val="none"/>
        </w:rPr>
        <w:t>。</w:t>
      </w:r>
    </w:p>
    <w:p w14:paraId="7E12984D">
      <w:pPr>
        <w:pStyle w:val="160"/>
        <w:spacing w:line="360" w:lineRule="auto"/>
        <w:ind w:firstLine="420" w:firstLineChars="200"/>
        <w:rPr>
          <w:rFonts w:ascii="宋体" w:hAnsi="宋体"/>
          <w:b/>
          <w:bCs/>
          <w:color w:val="auto"/>
          <w:highlight w:val="none"/>
        </w:rPr>
      </w:pPr>
      <w:r>
        <w:rPr>
          <w:rFonts w:hint="eastAsia" w:ascii="宋体" w:hAnsi="宋体"/>
          <w:color w:val="auto"/>
          <w:highlight w:val="none"/>
        </w:rPr>
        <w:t>发包人对发包人代表的授权范围如下：</w:t>
      </w:r>
      <w:r>
        <w:rPr>
          <w:rFonts w:hint="eastAsia" w:ascii="宋体" w:hAnsi="宋体"/>
          <w:color w:val="auto"/>
          <w:kern w:val="0"/>
          <w:highlight w:val="none"/>
          <w:u w:val="single"/>
        </w:rPr>
        <w:t>发包人代表在授权范围内的行为由发包人承担法律责任。发包人更换发包人代表的，应提前7天书面通知承包人。发包人代表不能按照合同约定履行其职责及义务，并导致合同无法继续正常履行的，承包人可以要求发包人撤换发包人代表</w:t>
      </w:r>
      <w:r>
        <w:rPr>
          <w:rFonts w:hint="eastAsia" w:ascii="宋体" w:hAnsi="宋体"/>
          <w:color w:val="auto"/>
          <w:highlight w:val="none"/>
        </w:rPr>
        <w:t>。</w:t>
      </w:r>
    </w:p>
    <w:p w14:paraId="10F0A607">
      <w:pPr>
        <w:pStyle w:val="173"/>
        <w:rPr>
          <w:rFonts w:ascii="宋体" w:hAnsi="宋体"/>
          <w:color w:val="auto"/>
          <w:szCs w:val="21"/>
          <w:highlight w:val="none"/>
        </w:rPr>
      </w:pPr>
      <w:bookmarkStart w:id="120" w:name="_Toc524083296"/>
      <w:bookmarkStart w:id="121" w:name="_Toc523415195"/>
      <w:bookmarkStart w:id="122" w:name="_Toc522177072"/>
      <w:r>
        <w:rPr>
          <w:rFonts w:hint="eastAsia" w:ascii="宋体" w:hAnsi="宋体"/>
          <w:color w:val="auto"/>
          <w:szCs w:val="21"/>
          <w:highlight w:val="none"/>
        </w:rPr>
        <w:t>2.4 施工现场、施工条件和基础资料的提供</w:t>
      </w:r>
      <w:bookmarkEnd w:id="120"/>
      <w:bookmarkEnd w:id="121"/>
      <w:bookmarkEnd w:id="122"/>
    </w:p>
    <w:p w14:paraId="30A54E31">
      <w:pPr>
        <w:pStyle w:val="160"/>
        <w:spacing w:line="360" w:lineRule="auto"/>
        <w:ind w:firstLine="420" w:firstLineChars="200"/>
        <w:rPr>
          <w:rFonts w:ascii="宋体" w:hAnsi="宋体"/>
          <w:color w:val="auto"/>
          <w:highlight w:val="none"/>
        </w:rPr>
      </w:pPr>
      <w:r>
        <w:rPr>
          <w:rFonts w:hint="eastAsia" w:ascii="宋体" w:hAnsi="宋体"/>
          <w:color w:val="auto"/>
          <w:highlight w:val="none"/>
        </w:rPr>
        <w:t>2.4.1 提供施工现场</w:t>
      </w:r>
    </w:p>
    <w:p w14:paraId="5B49539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关于发包人移交施工现场的期限要求：</w:t>
      </w:r>
      <w:r>
        <w:rPr>
          <w:rFonts w:hint="eastAsia" w:ascii="宋体" w:hAnsi="宋体"/>
          <w:color w:val="auto"/>
          <w:highlight w:val="none"/>
          <w:u w:val="single"/>
        </w:rPr>
        <w:t>开工日期7天前移交</w:t>
      </w:r>
      <w:r>
        <w:rPr>
          <w:rFonts w:hint="eastAsia" w:ascii="宋体" w:hAnsi="宋体"/>
          <w:color w:val="auto"/>
          <w:highlight w:val="none"/>
        </w:rPr>
        <w:t>。</w:t>
      </w:r>
    </w:p>
    <w:p w14:paraId="09C84459">
      <w:pPr>
        <w:pStyle w:val="160"/>
        <w:spacing w:line="360" w:lineRule="auto"/>
        <w:ind w:firstLine="420" w:firstLineChars="200"/>
        <w:rPr>
          <w:rFonts w:ascii="宋体" w:hAnsi="宋体"/>
          <w:color w:val="auto"/>
          <w:highlight w:val="none"/>
        </w:rPr>
      </w:pPr>
      <w:r>
        <w:rPr>
          <w:rFonts w:hint="eastAsia" w:ascii="宋体" w:hAnsi="宋体"/>
          <w:color w:val="auto"/>
          <w:highlight w:val="none"/>
        </w:rPr>
        <w:t>2.4.2 提供施工条件</w:t>
      </w:r>
    </w:p>
    <w:p w14:paraId="207279D5">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关于发包人应负责提供施工所需要的条件，包括：</w:t>
      </w:r>
      <w:r>
        <w:rPr>
          <w:rFonts w:hint="eastAsia" w:ascii="宋体" w:hAnsi="宋体"/>
          <w:color w:val="auto"/>
          <w:highlight w:val="none"/>
          <w:u w:val="single"/>
        </w:rPr>
        <w:t xml:space="preserve"> </w:t>
      </w:r>
      <w:r>
        <w:rPr>
          <w:rFonts w:hint="eastAsia"/>
          <w:color w:val="auto"/>
          <w:highlight w:val="none"/>
          <w:u w:val="single"/>
        </w:rPr>
        <w:t>施工所需电接点和水接点由发包人和承包人根据现场实际情况双方协商，接点至施工现场段管道/管线、计量设备由承包人自行解决，电讯线路的开通由承包人自行解决并承担费用；承包人使用的水、电、通讯费用由承包人负责。若供电部门的原因造成停电，承包人必须自行解决施工用电，费用由承包人负责</w:t>
      </w:r>
      <w:r>
        <w:rPr>
          <w:rFonts w:hint="eastAsia" w:ascii="宋体" w:hAnsi="宋体"/>
          <w:color w:val="auto"/>
          <w:highlight w:val="none"/>
        </w:rPr>
        <w:t>。</w:t>
      </w:r>
    </w:p>
    <w:p w14:paraId="3F8126C2">
      <w:pPr>
        <w:pStyle w:val="173"/>
        <w:rPr>
          <w:rFonts w:ascii="宋体" w:hAnsi="宋体"/>
          <w:color w:val="auto"/>
          <w:szCs w:val="21"/>
          <w:highlight w:val="none"/>
        </w:rPr>
      </w:pPr>
      <w:bookmarkStart w:id="123" w:name="_Toc524083297"/>
      <w:bookmarkStart w:id="124" w:name="_Toc523415196"/>
      <w:bookmarkStart w:id="125" w:name="_Toc522177073"/>
      <w:r>
        <w:rPr>
          <w:rFonts w:hint="eastAsia" w:ascii="宋体" w:hAnsi="宋体"/>
          <w:color w:val="auto"/>
          <w:szCs w:val="21"/>
          <w:highlight w:val="none"/>
        </w:rPr>
        <w:t>2.5 资金来源证明及支付担保</w:t>
      </w:r>
      <w:bookmarkEnd w:id="123"/>
      <w:bookmarkEnd w:id="124"/>
      <w:bookmarkEnd w:id="125"/>
    </w:p>
    <w:p w14:paraId="74F6240D">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发包人提供资金来源证明的期限要求：</w:t>
      </w:r>
      <w:r>
        <w:rPr>
          <w:rFonts w:hint="eastAsia" w:ascii="宋体" w:hAnsi="宋体"/>
          <w:color w:val="auto"/>
          <w:highlight w:val="none"/>
          <w:u w:val="single"/>
        </w:rPr>
        <w:t xml:space="preserve"> 无   </w:t>
      </w:r>
      <w:r>
        <w:rPr>
          <w:rFonts w:hint="eastAsia" w:ascii="宋体" w:hAnsi="宋体"/>
          <w:color w:val="auto"/>
          <w:highlight w:val="none"/>
        </w:rPr>
        <w:t>。</w:t>
      </w:r>
    </w:p>
    <w:p w14:paraId="32503D2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发包人是否提供支付担保：</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否</w:t>
      </w:r>
      <w:r>
        <w:rPr>
          <w:rFonts w:hint="eastAsia" w:ascii="宋体" w:hAnsi="宋体"/>
          <w:color w:val="auto"/>
          <w:highlight w:val="none"/>
          <w:u w:val="single"/>
        </w:rPr>
        <w:t xml:space="preserve">      </w:t>
      </w:r>
      <w:r>
        <w:rPr>
          <w:rFonts w:hint="eastAsia" w:ascii="宋体" w:hAnsi="宋体"/>
          <w:color w:val="auto"/>
          <w:highlight w:val="none"/>
        </w:rPr>
        <w:t>。</w:t>
      </w:r>
    </w:p>
    <w:p w14:paraId="0FC3C48D">
      <w:pPr>
        <w:pStyle w:val="160"/>
        <w:spacing w:line="360" w:lineRule="auto"/>
        <w:ind w:firstLine="420" w:firstLineChars="200"/>
        <w:rPr>
          <w:rFonts w:hint="eastAsia" w:ascii="宋体" w:hAnsi="宋体"/>
          <w:color w:val="auto"/>
          <w:highlight w:val="none"/>
        </w:rPr>
      </w:pPr>
      <w:r>
        <w:rPr>
          <w:rFonts w:hint="eastAsia" w:ascii="宋体" w:hAnsi="宋体"/>
          <w:color w:val="auto"/>
          <w:highlight w:val="none"/>
        </w:rPr>
        <w:t>发包人提供支付担保的形式：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 </w:t>
      </w:r>
      <w:r>
        <w:rPr>
          <w:rFonts w:hint="eastAsia" w:ascii="宋体" w:hAnsi="宋体"/>
          <w:color w:val="auto"/>
          <w:highlight w:val="none"/>
          <w:u w:val="single"/>
        </w:rPr>
        <w:t xml:space="preserve">    </w:t>
      </w:r>
      <w:r>
        <w:rPr>
          <w:rFonts w:hint="eastAsia" w:ascii="宋体" w:hAnsi="宋体"/>
          <w:color w:val="auto"/>
          <w:highlight w:val="none"/>
        </w:rPr>
        <w:t>。</w:t>
      </w:r>
    </w:p>
    <w:p w14:paraId="27D36001">
      <w:pPr>
        <w:pStyle w:val="160"/>
        <w:spacing w:line="360" w:lineRule="auto"/>
        <w:ind w:firstLine="420" w:firstLineChars="200"/>
        <w:rPr>
          <w:rFonts w:ascii="宋体" w:hAnsi="宋体"/>
          <w:color w:val="auto"/>
          <w:highlight w:val="none"/>
          <w:u w:val="single"/>
        </w:rPr>
      </w:pPr>
      <w:r>
        <w:rPr>
          <w:rFonts w:hint="eastAsia" w:hAnsi="宋体"/>
          <w:color w:val="auto"/>
          <w:highlight w:val="none"/>
        </w:rPr>
        <w:t>发包人提供的支付担保格式见合同附件2。</w:t>
      </w:r>
    </w:p>
    <w:p w14:paraId="0721342A">
      <w:pPr>
        <w:pStyle w:val="172"/>
        <w:spacing w:line="360" w:lineRule="auto"/>
        <w:rPr>
          <w:rFonts w:ascii="宋体" w:hAnsi="宋体"/>
          <w:color w:val="auto"/>
          <w:sz w:val="21"/>
          <w:szCs w:val="21"/>
          <w:highlight w:val="none"/>
        </w:rPr>
      </w:pPr>
      <w:bookmarkStart w:id="126" w:name="_Toc523415197"/>
      <w:bookmarkStart w:id="127" w:name="_Toc524083298"/>
      <w:bookmarkStart w:id="128" w:name="_Toc522177074"/>
      <w:r>
        <w:rPr>
          <w:rFonts w:hint="eastAsia" w:ascii="宋体" w:hAnsi="宋体"/>
          <w:color w:val="auto"/>
          <w:sz w:val="21"/>
          <w:szCs w:val="21"/>
          <w:highlight w:val="none"/>
        </w:rPr>
        <w:t>3. 承包人</w:t>
      </w:r>
      <w:bookmarkEnd w:id="126"/>
      <w:bookmarkEnd w:id="127"/>
      <w:bookmarkEnd w:id="128"/>
    </w:p>
    <w:p w14:paraId="3D77F4DC">
      <w:pPr>
        <w:pStyle w:val="173"/>
        <w:rPr>
          <w:rFonts w:ascii="宋体" w:hAnsi="宋体"/>
          <w:color w:val="auto"/>
          <w:szCs w:val="21"/>
          <w:highlight w:val="none"/>
        </w:rPr>
      </w:pPr>
      <w:bookmarkStart w:id="129" w:name="_Toc522177075"/>
      <w:bookmarkStart w:id="130" w:name="_Toc523415198"/>
      <w:bookmarkStart w:id="131" w:name="_Toc524083299"/>
      <w:r>
        <w:rPr>
          <w:rFonts w:hint="eastAsia" w:ascii="宋体" w:hAnsi="宋体"/>
          <w:color w:val="auto"/>
          <w:szCs w:val="21"/>
          <w:highlight w:val="none"/>
        </w:rPr>
        <w:t>3.1 承包人的一般义务</w:t>
      </w:r>
      <w:bookmarkEnd w:id="129"/>
      <w:bookmarkEnd w:id="130"/>
      <w:bookmarkEnd w:id="131"/>
    </w:p>
    <w:p w14:paraId="34E37B1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（9）</w:t>
      </w:r>
      <w:r>
        <w:rPr>
          <w:rFonts w:hint="eastAsia" w:ascii="宋体" w:hAnsi="宋体"/>
          <w:color w:val="auto"/>
          <w:highlight w:val="none"/>
        </w:rPr>
        <w:t>承包人提交的竣工资料的内容：</w:t>
      </w:r>
      <w:r>
        <w:rPr>
          <w:rFonts w:hint="eastAsia" w:ascii="宋体" w:hAnsi="宋体"/>
          <w:color w:val="auto"/>
          <w:highlight w:val="none"/>
          <w:u w:val="single"/>
        </w:rPr>
        <w:t xml:space="preserve"> 当全部工程完工，准备竣工验收前，承包人应提供全套竣工资料 </w:t>
      </w:r>
      <w:r>
        <w:rPr>
          <w:rFonts w:hint="eastAsia" w:ascii="宋体" w:hAnsi="宋体"/>
          <w:color w:val="auto"/>
          <w:highlight w:val="none"/>
        </w:rPr>
        <w:t>。</w:t>
      </w:r>
    </w:p>
    <w:p w14:paraId="25F9FF37">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承包人需要提交的竣工资料套数：</w:t>
      </w:r>
      <w:r>
        <w:rPr>
          <w:rFonts w:hint="eastAsia" w:ascii="宋体" w:hAnsi="宋体"/>
          <w:color w:val="auto"/>
          <w:highlight w:val="none"/>
          <w:u w:val="single"/>
        </w:rPr>
        <w:t xml:space="preserve"> </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套竣工图、</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套竣工资料和电子版竣工图及资料光盘一张</w:t>
      </w:r>
      <w:r>
        <w:rPr>
          <w:rFonts w:hint="eastAsia" w:ascii="宋体" w:hAnsi="宋体"/>
          <w:color w:val="auto"/>
          <w:highlight w:val="none"/>
          <w:u w:val="single"/>
        </w:rPr>
        <w:t xml:space="preserve"> </w:t>
      </w:r>
      <w:r>
        <w:rPr>
          <w:rFonts w:hint="eastAsia" w:ascii="宋体" w:hAnsi="宋体"/>
          <w:color w:val="auto"/>
          <w:highlight w:val="none"/>
        </w:rPr>
        <w:t>。</w:t>
      </w:r>
    </w:p>
    <w:p w14:paraId="387193FD">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承包人提交的竣工资料的费用承担：</w:t>
      </w:r>
      <w:r>
        <w:rPr>
          <w:rFonts w:hint="eastAsia" w:ascii="宋体" w:hAnsi="宋体"/>
          <w:color w:val="auto"/>
          <w:highlight w:val="none"/>
          <w:u w:val="single"/>
        </w:rPr>
        <w:t xml:space="preserve"> 由承包人承担</w:t>
      </w:r>
      <w:r>
        <w:rPr>
          <w:rFonts w:hint="eastAsia" w:ascii="宋体" w:hAnsi="宋体"/>
          <w:color w:val="auto"/>
          <w:highlight w:val="none"/>
        </w:rPr>
        <w:t>。</w:t>
      </w:r>
    </w:p>
    <w:p w14:paraId="77275331">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承包人提交的竣工资料移交时间：</w:t>
      </w:r>
      <w:r>
        <w:rPr>
          <w:rFonts w:hint="eastAsia" w:ascii="宋体" w:hAnsi="宋体"/>
          <w:color w:val="auto"/>
          <w:highlight w:val="none"/>
          <w:u w:val="single"/>
        </w:rPr>
        <w:t xml:space="preserve">  竣工验收合格后28天内</w:t>
      </w:r>
      <w:r>
        <w:rPr>
          <w:rFonts w:hint="eastAsia" w:ascii="宋体" w:hAnsi="宋体"/>
          <w:color w:val="auto"/>
          <w:highlight w:val="none"/>
        </w:rPr>
        <w:t>。</w:t>
      </w:r>
    </w:p>
    <w:p w14:paraId="43BE7824">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承包人提交的竣工资料形式要求：</w:t>
      </w:r>
      <w:r>
        <w:rPr>
          <w:rFonts w:hint="eastAsia"/>
          <w:color w:val="auto"/>
          <w:szCs w:val="21"/>
          <w:highlight w:val="none"/>
          <w:u w:val="single"/>
        </w:rPr>
        <w:t>书面形式及电子文档</w:t>
      </w:r>
      <w:r>
        <w:rPr>
          <w:rFonts w:hint="eastAsia" w:ascii="宋体" w:hAnsi="宋体"/>
          <w:color w:val="auto"/>
          <w:highlight w:val="none"/>
        </w:rPr>
        <w:t>。</w:t>
      </w:r>
    </w:p>
    <w:p w14:paraId="50E32603">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（10）承包人应履行的其他义务：</w:t>
      </w:r>
      <w:r>
        <w:rPr>
          <w:rFonts w:hint="eastAsia" w:ascii="宋体" w:hAnsi="宋体"/>
          <w:color w:val="auto"/>
          <w:highlight w:val="none"/>
          <w:u w:val="single"/>
        </w:rPr>
        <w:t>发包人委托办理施工许可证等开工前的各项手续，其余事项按《通用合同条款》3.1条执行</w:t>
      </w:r>
      <w:r>
        <w:rPr>
          <w:rFonts w:hint="eastAsia" w:ascii="宋体" w:hAnsi="宋体"/>
          <w:color w:val="auto"/>
          <w:highlight w:val="none"/>
        </w:rPr>
        <w:t>。</w:t>
      </w:r>
    </w:p>
    <w:p w14:paraId="2A02CBC5">
      <w:pPr>
        <w:pStyle w:val="173"/>
        <w:rPr>
          <w:rFonts w:ascii="宋体" w:hAnsi="宋体"/>
          <w:color w:val="auto"/>
          <w:szCs w:val="21"/>
          <w:highlight w:val="none"/>
        </w:rPr>
      </w:pPr>
      <w:bookmarkStart w:id="132" w:name="_Toc524083300"/>
      <w:bookmarkStart w:id="133" w:name="_Toc522177076"/>
      <w:bookmarkStart w:id="134" w:name="_Toc523415199"/>
      <w:r>
        <w:rPr>
          <w:rFonts w:hint="eastAsia" w:ascii="宋体" w:hAnsi="宋体"/>
          <w:color w:val="auto"/>
          <w:szCs w:val="21"/>
          <w:highlight w:val="none"/>
        </w:rPr>
        <w:t>3.2 项目经理</w:t>
      </w:r>
      <w:bookmarkEnd w:id="132"/>
      <w:bookmarkEnd w:id="133"/>
      <w:bookmarkEnd w:id="134"/>
    </w:p>
    <w:p w14:paraId="3DEBED1F">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 xml:space="preserve">3.2.1 </w:t>
      </w:r>
      <w:r>
        <w:rPr>
          <w:rFonts w:hint="eastAsia" w:ascii="宋体" w:hAnsi="宋体"/>
          <w:color w:val="auto"/>
          <w:highlight w:val="none"/>
        </w:rPr>
        <w:t>项目经理：</w:t>
      </w:r>
    </w:p>
    <w:p w14:paraId="29545F8D">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s="MingLiU_HKSCS"/>
          <w:color w:val="auto"/>
          <w:highlight w:val="none"/>
          <w:u w:val="single"/>
        </w:rPr>
        <w:t>（</w:t>
      </w:r>
      <w:r>
        <w:rPr>
          <w:rFonts w:hint="eastAsia" w:ascii="宋体" w:hAnsi="宋体" w:cs="MingLiU_HKSCS"/>
          <w:color w:val="auto"/>
          <w:highlight w:val="none"/>
          <w:u w:val="single"/>
          <w:lang w:val="en-US" w:eastAsia="zh-CN"/>
        </w:rPr>
        <w:t>成交</w:t>
      </w:r>
      <w:r>
        <w:rPr>
          <w:rFonts w:hint="eastAsia" w:ascii="宋体" w:hAnsi="宋体" w:cs="MingLiU_HKSCS"/>
          <w:color w:val="auto"/>
          <w:highlight w:val="none"/>
          <w:u w:val="single"/>
        </w:rPr>
        <w:t>人在本项目拟采用的项目经理，必须与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2845A5C">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s="MingLiU_HKSCS"/>
          <w:color w:val="auto"/>
          <w:highlight w:val="none"/>
          <w:u w:val="single"/>
        </w:rPr>
        <w:t>（与</w:t>
      </w:r>
      <w:r>
        <w:rPr>
          <w:rFonts w:hint="eastAsia" w:ascii="宋体" w:hAnsi="宋体" w:cs="MingLiU_HKSCS"/>
          <w:color w:val="auto"/>
          <w:highlight w:val="none"/>
          <w:u w:val="single"/>
          <w:lang w:val="en-US" w:eastAsia="zh-CN"/>
        </w:rPr>
        <w:t>响应</w:t>
      </w:r>
      <w:r>
        <w:rPr>
          <w:rFonts w:hint="eastAsia" w:ascii="宋体" w:hAnsi="宋体" w:cs="MingLiU_HKSCS"/>
          <w:color w:val="auto"/>
          <w:highlight w:val="none"/>
          <w:u w:val="single"/>
        </w:rPr>
        <w:t>文件一致）</w:t>
      </w:r>
      <w:r>
        <w:rPr>
          <w:rFonts w:hint="eastAsia" w:ascii="宋体" w:hAnsi="宋体"/>
          <w:color w:val="auto"/>
          <w:highlight w:val="none"/>
          <w:u w:val="single"/>
        </w:rPr>
        <w:t xml:space="preserve"> </w:t>
      </w:r>
      <w:r>
        <w:rPr>
          <w:rFonts w:hint="eastAsia" w:ascii="宋体" w:hAnsi="宋体"/>
          <w:color w:val="auto"/>
          <w:highlight w:val="none"/>
        </w:rPr>
        <w:t>；</w:t>
      </w:r>
    </w:p>
    <w:p w14:paraId="24F7EC2D">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建造师执业资格等级：</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13A96C3">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建造师注册证书号：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9596F5E">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建造师执业印章号：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8110F2B">
      <w:pPr>
        <w:pStyle w:val="160"/>
        <w:spacing w:line="360" w:lineRule="auto"/>
        <w:ind w:firstLine="420" w:firstLineChars="200"/>
        <w:rPr>
          <w:rFonts w:ascii="宋体" w:hAnsi="宋体"/>
          <w:color w:val="auto"/>
          <w:highlight w:val="none"/>
        </w:rPr>
      </w:pPr>
      <w:r>
        <w:rPr>
          <w:rFonts w:hint="eastAsia" w:ascii="宋体" w:hAnsi="宋体"/>
          <w:color w:val="auto"/>
          <w:highlight w:val="none"/>
        </w:rPr>
        <w:t>安全生产考核合格证书号：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4303658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EB8A656">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5FA607EA">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47AC712">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承包人对项目经理的授权范围如下：</w:t>
      </w:r>
      <w:r>
        <w:rPr>
          <w:rFonts w:hint="eastAsia" w:ascii="宋体" w:hAnsi="宋体"/>
          <w:color w:val="auto"/>
          <w:highlight w:val="none"/>
          <w:u w:val="single"/>
        </w:rPr>
        <w:t xml:space="preserve">项目经理为承包人法定代表人在该项目上的代表人，负责本工程施工过程的一切事务  </w:t>
      </w:r>
      <w:r>
        <w:rPr>
          <w:rFonts w:hint="eastAsia" w:ascii="宋体" w:hAnsi="宋体"/>
          <w:color w:val="auto"/>
          <w:highlight w:val="none"/>
        </w:rPr>
        <w:t>。</w:t>
      </w:r>
    </w:p>
    <w:p w14:paraId="710BEC5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关于项目经理每月在施工现场的时间要</w:t>
      </w:r>
      <w:r>
        <w:rPr>
          <w:rFonts w:hint="eastAsia" w:ascii="宋体" w:hAnsi="宋体" w:eastAsia="宋体" w:cs="宋体"/>
          <w:color w:val="auto"/>
          <w:kern w:val="0"/>
          <w:highlight w:val="none"/>
        </w:rPr>
        <w:t>求：</w:t>
      </w:r>
      <w:r>
        <w:rPr>
          <w:rFonts w:hint="eastAsia" w:ascii="宋体" w:hAnsi="宋体" w:eastAsia="宋体" w:cs="宋体"/>
          <w:color w:val="auto"/>
          <w:highlight w:val="none"/>
          <w:u w:val="single"/>
        </w:rPr>
        <w:t xml:space="preserve"> 项目经理不少于24日历天（施工关键节点、工地例会必须在场，不到场1次罚款1000元），未达到的每少一天罚款200元，按月考核，项目经理不到位累计达5天的，发包人及监理人给予警告并罚款1000元，累计达10天及以上的，发包人有权终止合同，由此引起的损失由承包人承担</w:t>
      </w:r>
      <w:r>
        <w:rPr>
          <w:rFonts w:hint="eastAsia" w:ascii="宋体" w:hAnsi="宋体" w:eastAsia="宋体" w:cs="宋体"/>
          <w:color w:val="auto"/>
          <w:highlight w:val="none"/>
        </w:rPr>
        <w:t>。</w:t>
      </w:r>
    </w:p>
    <w:p w14:paraId="6CFF98BA">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承包人未提交劳动合同，以及没有为项目经理缴纳社会保险证明的违约责任：</w:t>
      </w:r>
      <w:r>
        <w:rPr>
          <w:rFonts w:hint="eastAsia" w:ascii="宋体" w:hAnsi="宋体"/>
          <w:color w:val="auto"/>
          <w:highlight w:val="none"/>
          <w:u w:val="single"/>
        </w:rPr>
        <w:t>由承包人自行承担相关责任</w:t>
      </w:r>
      <w:r>
        <w:rPr>
          <w:rFonts w:hint="eastAsia" w:ascii="宋体" w:hAnsi="宋体"/>
          <w:color w:val="auto"/>
          <w:highlight w:val="none"/>
        </w:rPr>
        <w:t>。</w:t>
      </w:r>
    </w:p>
    <w:p w14:paraId="6D3541BE">
      <w:pPr>
        <w:pStyle w:val="160"/>
        <w:spacing w:line="360" w:lineRule="auto"/>
        <w:ind w:firstLine="420" w:firstLineChars="200"/>
        <w:rPr>
          <w:rFonts w:hAnsi="宋体"/>
          <w:color w:val="auto"/>
          <w:highlight w:val="none"/>
        </w:rPr>
      </w:pPr>
      <w:r>
        <w:rPr>
          <w:rFonts w:hint="eastAsia" w:ascii="宋体" w:hAnsi="宋体"/>
          <w:color w:val="auto"/>
          <w:kern w:val="0"/>
          <w:highlight w:val="none"/>
        </w:rPr>
        <w:t>项目经理未经批准，擅自离开施工现场的违约责任：</w:t>
      </w:r>
      <w:r>
        <w:rPr>
          <w:rFonts w:hint="eastAsia" w:ascii="宋体" w:hAnsi="宋体"/>
          <w:color w:val="auto"/>
          <w:highlight w:val="none"/>
          <w:u w:val="single"/>
        </w:rPr>
        <w:t xml:space="preserve"> 发包人有权处违约金100元/日（人民币）</w:t>
      </w:r>
      <w:r>
        <w:rPr>
          <w:rFonts w:ascii="宋体" w:hAnsi="宋体"/>
          <w:color w:val="auto"/>
          <w:highlight w:val="none"/>
        </w:rPr>
        <w:t>。</w:t>
      </w:r>
    </w:p>
    <w:p w14:paraId="633831D5">
      <w:pPr>
        <w:pStyle w:val="160"/>
        <w:spacing w:line="360" w:lineRule="auto"/>
        <w:ind w:firstLine="420" w:firstLineChars="200"/>
        <w:rPr>
          <w:rFonts w:ascii="宋体" w:hAnsi="宋体"/>
          <w:color w:val="auto"/>
          <w:highlight w:val="none"/>
        </w:rPr>
      </w:pPr>
      <w:r>
        <w:rPr>
          <w:rFonts w:hint="eastAsia" w:ascii="宋体" w:hAnsi="宋体"/>
          <w:color w:val="auto"/>
          <w:highlight w:val="none"/>
        </w:rPr>
        <w:t>3.2.3 承包人擅自更换项目经理的违约责任：</w:t>
      </w:r>
      <w:r>
        <w:rPr>
          <w:rFonts w:hint="eastAsia" w:ascii="宋体" w:hAnsi="宋体"/>
          <w:color w:val="auto"/>
          <w:highlight w:val="none"/>
          <w:u w:val="single"/>
        </w:rPr>
        <w:t xml:space="preserve"> </w:t>
      </w:r>
      <w:r>
        <w:rPr>
          <w:rFonts w:hint="eastAsia" w:hAnsi="宋体"/>
          <w:color w:val="auto"/>
          <w:highlight w:val="none"/>
          <w:u w:val="single"/>
        </w:rPr>
        <w:t xml:space="preserve">承包人项目经理必须与承包人投标时所承诺的人员一致，并在  （开工日期）  前到任。在监理人向承包人颁发 </w:t>
      </w:r>
      <w:r>
        <w:rPr>
          <w:rFonts w:hint="eastAsia" w:hAnsi="宋体"/>
          <w:color w:val="auto"/>
          <w:highlight w:val="none"/>
          <w:u w:val="single"/>
          <w:lang w:val="en-US" w:eastAsia="zh-CN"/>
        </w:rPr>
        <w:t xml:space="preserve"> </w:t>
      </w:r>
      <w:r>
        <w:rPr>
          <w:rFonts w:hint="eastAsia" w:hAnsi="宋体"/>
          <w:color w:val="auto"/>
          <w:highlight w:val="none"/>
          <w:u w:val="single"/>
        </w:rPr>
        <w:t>（竣工证明材料名称）   前，项目经理不得同时兼任其他任何项目的项目经理（</w:t>
      </w:r>
      <w:r>
        <w:rPr>
          <w:rFonts w:hint="default" w:ascii="Times New Roman" w:hAnsi="Times New Roman" w:eastAsia="宋体" w:cs="Times New Roman"/>
          <w:color w:val="auto"/>
          <w:kern w:val="2"/>
          <w:highlight w:val="none"/>
          <w:u w:val="none"/>
          <w:lang w:eastAsia="zh-CN"/>
        </w:rPr>
        <w:t>符合</w:t>
      </w:r>
      <w:r>
        <w:rPr>
          <w:rFonts w:hint="default" w:ascii="Times New Roman" w:hAnsi="Times New Roman" w:eastAsia="宋体" w:cs="Times New Roman"/>
          <w:color w:val="auto"/>
          <w:highlight w:val="none"/>
        </w:rPr>
        <w:t>《广西壮族自治区建筑市场诚信卡管理暂行办法》第十六条第一款及桂建管</w:t>
      </w:r>
      <w:r>
        <w:rPr>
          <w:rFonts w:ascii="Times New Roman" w:hAnsi="Times New Roman" w:eastAsia="宋体" w:cs="Times New Roman"/>
          <w:color w:val="auto"/>
          <w:highlight w:val="none"/>
        </w:rPr>
        <w:t>﹝</w:t>
      </w:r>
      <w:r>
        <w:rPr>
          <w:rFonts w:hint="default" w:ascii="Times New Roman" w:hAnsi="Times New Roman" w:eastAsia="宋体" w:cs="Times New Roman"/>
          <w:color w:val="auto"/>
          <w:kern w:val="2"/>
          <w:highlight w:val="none"/>
        </w:rPr>
        <w:t>2016</w:t>
      </w:r>
      <w:r>
        <w:rPr>
          <w:rFonts w:ascii="Times New Roman" w:hAnsi="Times New Roman" w:eastAsia="宋体" w:cs="Times New Roman"/>
          <w:color w:val="auto"/>
          <w:highlight w:val="none"/>
        </w:rPr>
        <w:t>﹞</w:t>
      </w:r>
      <w:r>
        <w:rPr>
          <w:rFonts w:hint="default" w:ascii="Times New Roman" w:hAnsi="Times New Roman" w:eastAsia="宋体" w:cs="Times New Roman"/>
          <w:color w:val="auto"/>
          <w:highlight w:val="none"/>
        </w:rPr>
        <w:t>70号</w:t>
      </w:r>
      <w:r>
        <w:rPr>
          <w:rFonts w:hint="default" w:ascii="Times New Roman" w:hAnsi="Times New Roman" w:eastAsia="宋体" w:cs="Times New Roman"/>
          <w:color w:val="auto"/>
          <w:highlight w:val="none"/>
          <w:u w:val="none"/>
          <w:lang w:eastAsia="zh-CN"/>
        </w:rPr>
        <w:t>、</w:t>
      </w:r>
      <w:r>
        <w:rPr>
          <w:rFonts w:hint="default" w:ascii="Times New Roman" w:hAnsi="Times New Roman" w:eastAsia="宋体" w:cs="Times New Roman"/>
          <w:color w:val="auto"/>
          <w:sz w:val="21"/>
          <w:szCs w:val="21"/>
          <w:highlight w:val="none"/>
          <w:u w:val="none"/>
        </w:rPr>
        <w:t>桂建管〔2020〕11号</w:t>
      </w:r>
      <w:r>
        <w:rPr>
          <w:rFonts w:hint="default" w:ascii="Times New Roman" w:hAnsi="Times New Roman" w:eastAsia="宋体" w:cs="Times New Roman"/>
          <w:color w:val="auto"/>
          <w:kern w:val="2"/>
          <w:highlight w:val="none"/>
          <w:u w:val="none"/>
        </w:rPr>
        <w:t>文除外</w:t>
      </w:r>
      <w:r>
        <w:rPr>
          <w:rFonts w:hint="eastAsia" w:hAnsi="宋体"/>
          <w:color w:val="auto"/>
          <w:highlight w:val="none"/>
          <w:u w:val="single"/>
        </w:rPr>
        <w:t>）。</w:t>
      </w:r>
      <w:r>
        <w:rPr>
          <w:rFonts w:hAnsi="宋体"/>
          <w:color w:val="auto"/>
          <w:highlight w:val="none"/>
          <w:u w:val="single"/>
        </w:rPr>
        <w:t>未经发包人书面同意，承包人擅自更换项目经理的视为违约</w:t>
      </w:r>
      <w:r>
        <w:rPr>
          <w:rFonts w:hint="eastAsia" w:hAnsi="宋体"/>
          <w:color w:val="auto"/>
          <w:highlight w:val="none"/>
          <w:u w:val="single"/>
        </w:rPr>
        <w:t>，</w:t>
      </w:r>
      <w:r>
        <w:rPr>
          <w:rFonts w:hAnsi="宋体"/>
          <w:color w:val="auto"/>
          <w:highlight w:val="none"/>
          <w:u w:val="single"/>
        </w:rPr>
        <w:t>违约金处</w:t>
      </w:r>
      <w:r>
        <w:rPr>
          <w:rFonts w:hint="eastAsia"/>
          <w:color w:val="auto"/>
          <w:highlight w:val="none"/>
          <w:u w:val="single"/>
        </w:rPr>
        <w:t>1000</w:t>
      </w:r>
      <w:r>
        <w:rPr>
          <w:rFonts w:hAnsi="宋体"/>
          <w:color w:val="auto"/>
          <w:highlight w:val="none"/>
          <w:u w:val="single"/>
        </w:rPr>
        <w:t>元</w:t>
      </w:r>
      <w:r>
        <w:rPr>
          <w:color w:val="auto"/>
          <w:highlight w:val="none"/>
          <w:u w:val="single"/>
        </w:rPr>
        <w:t>/</w:t>
      </w:r>
      <w:r>
        <w:rPr>
          <w:rFonts w:hAnsi="宋体"/>
          <w:color w:val="auto"/>
          <w:highlight w:val="none"/>
          <w:u w:val="single"/>
        </w:rPr>
        <w:t>人</w:t>
      </w:r>
      <w:r>
        <w:rPr>
          <w:color w:val="auto"/>
          <w:highlight w:val="none"/>
          <w:u w:val="single"/>
        </w:rPr>
        <w:t>•</w:t>
      </w:r>
      <w:r>
        <w:rPr>
          <w:rFonts w:hAnsi="宋体"/>
          <w:color w:val="auto"/>
          <w:highlight w:val="none"/>
          <w:u w:val="single"/>
        </w:rPr>
        <w:t>次</w:t>
      </w:r>
      <w:r>
        <w:rPr>
          <w:rFonts w:hint="eastAsia"/>
          <w:color w:val="auto"/>
          <w:highlight w:val="none"/>
          <w:u w:val="single"/>
        </w:rPr>
        <w:t>（</w:t>
      </w:r>
      <w:r>
        <w:rPr>
          <w:rFonts w:hAnsi="宋体"/>
          <w:color w:val="auto"/>
          <w:highlight w:val="none"/>
          <w:u w:val="single"/>
        </w:rPr>
        <w:t>人民币</w:t>
      </w:r>
      <w:r>
        <w:rPr>
          <w:rFonts w:hint="eastAsia"/>
          <w:color w:val="auto"/>
          <w:highlight w:val="none"/>
          <w:u w:val="single"/>
        </w:rPr>
        <w:t>），发包人有权终止合同</w:t>
      </w:r>
      <w:r>
        <w:rPr>
          <w:rFonts w:hint="eastAsia" w:ascii="宋体" w:hAnsi="宋体"/>
          <w:color w:val="auto"/>
          <w:highlight w:val="none"/>
        </w:rPr>
        <w:t>。</w:t>
      </w:r>
    </w:p>
    <w:p w14:paraId="66DE17D4">
      <w:pPr>
        <w:pStyle w:val="160"/>
        <w:spacing w:line="360" w:lineRule="auto"/>
        <w:rPr>
          <w:rFonts w:ascii="宋体" w:hAnsi="宋体"/>
          <w:color w:val="auto"/>
          <w:highlight w:val="none"/>
        </w:rPr>
      </w:pPr>
      <w:r>
        <w:rPr>
          <w:rFonts w:hint="eastAsia" w:ascii="宋体" w:hAnsi="宋体"/>
          <w:color w:val="auto"/>
          <w:highlight w:val="none"/>
        </w:rPr>
        <w:t xml:space="preserve">    3.2.4 </w:t>
      </w:r>
      <w:r>
        <w:rPr>
          <w:rFonts w:hint="eastAsia" w:ascii="宋体" w:hAnsi="宋体"/>
          <w:color w:val="auto"/>
          <w:spacing w:val="-6"/>
          <w:sz w:val="21"/>
          <w:highlight w:val="none"/>
        </w:rPr>
        <w:t>承包人无正当理由拒绝更换项目经理的违约责任：</w:t>
      </w:r>
      <w:r>
        <w:rPr>
          <w:rFonts w:hint="eastAsia" w:ascii="宋体" w:hAnsi="宋体"/>
          <w:color w:val="auto"/>
          <w:spacing w:val="-6"/>
          <w:sz w:val="21"/>
          <w:highlight w:val="none"/>
          <w:u w:val="single"/>
        </w:rPr>
        <w:t>因承包人项目经理不称职，发包人要求调换而未及时调换的，视为承包人违约，必须向发包人交纳处罚金1000元/人•次（人民币）</w:t>
      </w:r>
      <w:r>
        <w:rPr>
          <w:rFonts w:hint="eastAsia" w:ascii="宋体" w:hAnsi="宋体"/>
          <w:color w:val="auto"/>
          <w:spacing w:val="-6"/>
          <w:sz w:val="21"/>
          <w:highlight w:val="none"/>
        </w:rPr>
        <w:t>。</w:t>
      </w:r>
    </w:p>
    <w:p w14:paraId="5F994128">
      <w:pPr>
        <w:pStyle w:val="173"/>
        <w:rPr>
          <w:rFonts w:ascii="宋体" w:hAnsi="宋体"/>
          <w:color w:val="auto"/>
          <w:szCs w:val="21"/>
          <w:highlight w:val="none"/>
        </w:rPr>
      </w:pPr>
      <w:bookmarkStart w:id="135" w:name="_Toc523415200"/>
      <w:bookmarkStart w:id="136" w:name="_Toc522177077"/>
      <w:bookmarkStart w:id="137" w:name="_Toc524083301"/>
      <w:r>
        <w:rPr>
          <w:rFonts w:hint="eastAsia" w:ascii="宋体" w:hAnsi="宋体"/>
          <w:color w:val="auto"/>
          <w:szCs w:val="21"/>
          <w:highlight w:val="none"/>
        </w:rPr>
        <w:t>3.3 承包人人员</w:t>
      </w:r>
      <w:bookmarkEnd w:id="135"/>
      <w:bookmarkEnd w:id="136"/>
      <w:bookmarkEnd w:id="137"/>
    </w:p>
    <w:p w14:paraId="4A7E9F80">
      <w:pPr>
        <w:pStyle w:val="174"/>
        <w:spacing w:line="360" w:lineRule="auto"/>
        <w:ind w:firstLine="420" w:firstLineChars="200"/>
        <w:rPr>
          <w:rFonts w:hAnsi="宋体"/>
          <w:color w:val="auto"/>
          <w:highlight w:val="none"/>
        </w:rPr>
      </w:pPr>
      <w:r>
        <w:rPr>
          <w:color w:val="auto"/>
          <w:highlight w:val="none"/>
        </w:rPr>
        <w:t xml:space="preserve">3.3.1 </w:t>
      </w:r>
      <w:r>
        <w:rPr>
          <w:rFonts w:ascii="宋体" w:hAnsi="宋体"/>
          <w:color w:val="auto"/>
          <w:highlight w:val="none"/>
        </w:rPr>
        <w:t>承包人提交项目管理机构及施工现场管理人员安排报告</w:t>
      </w:r>
      <w:r>
        <w:rPr>
          <w:rFonts w:hint="eastAsia" w:ascii="宋体" w:hAnsi="宋体"/>
          <w:color w:val="auto"/>
          <w:highlight w:val="none"/>
        </w:rPr>
        <w:t>（格式见合同附件</w:t>
      </w:r>
      <w:r>
        <w:rPr>
          <w:rFonts w:hint="eastAsia" w:hAnsi="宋体"/>
          <w:color w:val="auto"/>
          <w:highlight w:val="none"/>
        </w:rPr>
        <w:t>3</w:t>
      </w:r>
      <w:r>
        <w:rPr>
          <w:rFonts w:hint="eastAsia" w:ascii="宋体" w:hAnsi="宋体"/>
          <w:color w:val="auto"/>
          <w:highlight w:val="none"/>
        </w:rPr>
        <w:t>）</w:t>
      </w:r>
      <w:r>
        <w:rPr>
          <w:rFonts w:ascii="宋体" w:hAnsi="宋体"/>
          <w:color w:val="auto"/>
          <w:highlight w:val="none"/>
        </w:rPr>
        <w:t>的期限：</w:t>
      </w:r>
    </w:p>
    <w:p w14:paraId="625B0341">
      <w:pPr>
        <w:pStyle w:val="174"/>
        <w:spacing w:line="360" w:lineRule="auto"/>
        <w:rPr>
          <w:color w:val="auto"/>
          <w:highlight w:val="none"/>
        </w:rPr>
      </w:pPr>
      <w:r>
        <w:rPr>
          <w:rFonts w:hint="eastAsia" w:ascii="宋体" w:hAnsi="宋体"/>
          <w:color w:val="auto"/>
          <w:highlight w:val="none"/>
          <w:u w:val="single"/>
        </w:rPr>
        <w:t>开工日期前7天</w:t>
      </w:r>
      <w:r>
        <w:rPr>
          <w:rFonts w:ascii="宋体" w:hAnsi="宋体"/>
          <w:color w:val="auto"/>
          <w:highlight w:val="none"/>
        </w:rPr>
        <w:t>。</w:t>
      </w:r>
    </w:p>
    <w:p w14:paraId="0B44799D">
      <w:pPr>
        <w:pStyle w:val="174"/>
        <w:spacing w:line="360" w:lineRule="auto"/>
        <w:ind w:firstLine="420" w:firstLineChars="200"/>
        <w:rPr>
          <w:color w:val="auto"/>
          <w:highlight w:val="none"/>
        </w:rPr>
      </w:pPr>
      <w:r>
        <w:rPr>
          <w:color w:val="auto"/>
          <w:highlight w:val="none"/>
        </w:rPr>
        <w:t xml:space="preserve">3.3.3 </w:t>
      </w:r>
      <w:r>
        <w:rPr>
          <w:rFonts w:ascii="宋体" w:hAnsi="宋体"/>
          <w:color w:val="auto"/>
          <w:highlight w:val="none"/>
        </w:rPr>
        <w:t>承包人无正当理由拒绝撤换主要施工管理人员的违约责任：</w:t>
      </w:r>
      <w:r>
        <w:rPr>
          <w:rFonts w:ascii="宋体" w:hAnsi="宋体"/>
          <w:color w:val="auto"/>
          <w:highlight w:val="none"/>
          <w:u w:val="single"/>
        </w:rPr>
        <w:t>因承包人主要施工管理人员不称职，发包人要求调换而无正当理由拒绝撤换或未及时调换的，视为承包人违约，必须向发包人交纳处罚金，处罚标准：</w:t>
      </w:r>
      <w:r>
        <w:rPr>
          <w:rFonts w:hint="eastAsia" w:ascii="宋体" w:hAnsi="宋体"/>
          <w:color w:val="auto"/>
          <w:highlight w:val="none"/>
          <w:u w:val="single"/>
        </w:rPr>
        <w:t>技术负责人</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次（人民币）；专业工程师</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w:t>
      </w:r>
      <w:r>
        <w:rPr>
          <w:rFonts w:ascii="宋体" w:hAnsi="宋体"/>
          <w:color w:val="auto"/>
          <w:highlight w:val="none"/>
        </w:rPr>
        <w:t>。</w:t>
      </w:r>
    </w:p>
    <w:p w14:paraId="0672641E">
      <w:pPr>
        <w:pStyle w:val="174"/>
        <w:spacing w:line="360" w:lineRule="auto"/>
        <w:ind w:firstLine="420" w:firstLineChars="200"/>
        <w:rPr>
          <w:color w:val="auto"/>
          <w:highlight w:val="none"/>
          <w:u w:val="single"/>
        </w:rPr>
      </w:pPr>
      <w:r>
        <w:rPr>
          <w:color w:val="auto"/>
          <w:highlight w:val="none"/>
        </w:rPr>
        <w:t xml:space="preserve">3.3.4 </w:t>
      </w:r>
      <w:r>
        <w:rPr>
          <w:rFonts w:ascii="宋体" w:hAnsi="宋体"/>
          <w:color w:val="auto"/>
          <w:highlight w:val="none"/>
        </w:rPr>
        <w:t>承包人主要施工管理人员离开施工现场的批准要求：</w:t>
      </w:r>
      <w:r>
        <w:rPr>
          <w:rFonts w:hint="eastAsia" w:ascii="宋体" w:hAnsi="宋体"/>
          <w:color w:val="auto"/>
          <w:highlight w:val="none"/>
          <w:u w:val="single"/>
        </w:rPr>
        <w:t>承包人的主要施工管理人员（五大员）每人每月到位率不少于24日历天，未经发包人同意或正当理由，少在岗一天，发包人有权处违约金100元/日（人民币）</w:t>
      </w:r>
      <w:r>
        <w:rPr>
          <w:rFonts w:ascii="宋体" w:hAnsi="宋体"/>
          <w:color w:val="auto"/>
          <w:highlight w:val="none"/>
        </w:rPr>
        <w:t>。</w:t>
      </w:r>
    </w:p>
    <w:p w14:paraId="1C619CEA">
      <w:pPr>
        <w:pStyle w:val="174"/>
        <w:spacing w:line="360" w:lineRule="auto"/>
        <w:ind w:firstLine="420" w:firstLineChars="200"/>
        <w:rPr>
          <w:color w:val="auto"/>
          <w:highlight w:val="none"/>
        </w:rPr>
      </w:pPr>
      <w:r>
        <w:rPr>
          <w:color w:val="auto"/>
          <w:highlight w:val="none"/>
        </w:rPr>
        <w:t>3.3.5</w:t>
      </w:r>
      <w:r>
        <w:rPr>
          <w:rFonts w:hint="eastAsia"/>
          <w:color w:val="auto"/>
          <w:highlight w:val="none"/>
        </w:rPr>
        <w:t xml:space="preserve"> </w:t>
      </w:r>
      <w:r>
        <w:rPr>
          <w:rFonts w:ascii="宋体" w:hAnsi="宋体"/>
          <w:color w:val="auto"/>
          <w:highlight w:val="none"/>
        </w:rPr>
        <w:t>承包人擅自更换主要施工管理人员的违约责任：</w:t>
      </w:r>
      <w:r>
        <w:rPr>
          <w:rFonts w:hint="eastAsia" w:ascii="宋体" w:hAnsi="宋体"/>
          <w:color w:val="auto"/>
          <w:highlight w:val="none"/>
          <w:u w:val="single"/>
        </w:rPr>
        <w:t>项目</w:t>
      </w:r>
      <w:r>
        <w:rPr>
          <w:rFonts w:ascii="宋体" w:hAnsi="宋体"/>
          <w:color w:val="auto"/>
          <w:highlight w:val="none"/>
          <w:u w:val="single"/>
        </w:rPr>
        <w:t>技术负责人、</w:t>
      </w:r>
      <w:r>
        <w:rPr>
          <w:rFonts w:hint="eastAsia" w:ascii="宋体" w:hAnsi="宋体"/>
          <w:color w:val="auto"/>
          <w:highlight w:val="none"/>
          <w:u w:val="single"/>
        </w:rPr>
        <w:t>专职安全员及其承诺的其它在场管理人员</w:t>
      </w:r>
      <w:r>
        <w:rPr>
          <w:rFonts w:ascii="宋体" w:hAnsi="宋体"/>
          <w:color w:val="auto"/>
          <w:highlight w:val="none"/>
          <w:u w:val="single"/>
        </w:rPr>
        <w:t>未经发包人书面同意不准擅自更换，擅自更换</w:t>
      </w:r>
      <w:r>
        <w:rPr>
          <w:rFonts w:hint="eastAsia" w:ascii="宋体" w:hAnsi="宋体"/>
          <w:color w:val="auto"/>
          <w:highlight w:val="none"/>
          <w:u w:val="single"/>
        </w:rPr>
        <w:t>的</w:t>
      </w:r>
      <w:r>
        <w:rPr>
          <w:rFonts w:ascii="宋体" w:hAnsi="宋体"/>
          <w:color w:val="auto"/>
          <w:highlight w:val="none"/>
          <w:u w:val="single"/>
        </w:rPr>
        <w:t>处</w:t>
      </w:r>
      <w:r>
        <w:rPr>
          <w:rFonts w:hint="eastAsia"/>
          <w:color w:val="auto"/>
          <w:highlight w:val="none"/>
          <w:u w:val="single"/>
        </w:rPr>
        <w:t>100</w:t>
      </w:r>
      <w:r>
        <w:rPr>
          <w:rFonts w:ascii="宋体" w:hAnsi="宋体"/>
          <w:color w:val="auto"/>
          <w:highlight w:val="none"/>
          <w:u w:val="single"/>
        </w:rPr>
        <w:t>元</w:t>
      </w:r>
      <w:r>
        <w:rPr>
          <w:color w:val="auto"/>
          <w:highlight w:val="none"/>
          <w:u w:val="single"/>
        </w:rPr>
        <w:t>/</w:t>
      </w:r>
      <w:r>
        <w:rPr>
          <w:rFonts w:ascii="宋体" w:hAnsi="宋体"/>
          <w:color w:val="auto"/>
          <w:highlight w:val="none"/>
          <w:u w:val="single"/>
        </w:rPr>
        <w:t>人</w:t>
      </w:r>
      <w:r>
        <w:rPr>
          <w:color w:val="auto"/>
          <w:highlight w:val="none"/>
          <w:u w:val="single"/>
        </w:rPr>
        <w:t>•</w:t>
      </w:r>
      <w:r>
        <w:rPr>
          <w:rFonts w:ascii="宋体" w:hAnsi="宋体"/>
          <w:color w:val="auto"/>
          <w:highlight w:val="none"/>
          <w:u w:val="single"/>
        </w:rPr>
        <w:t>次</w:t>
      </w:r>
      <w:r>
        <w:rPr>
          <w:rFonts w:hint="eastAsia" w:ascii="宋体" w:hAnsi="宋体"/>
          <w:color w:val="auto"/>
          <w:highlight w:val="none"/>
          <w:u w:val="single"/>
        </w:rPr>
        <w:t>（</w:t>
      </w:r>
      <w:r>
        <w:rPr>
          <w:rFonts w:ascii="宋体" w:hAnsi="宋体"/>
          <w:color w:val="auto"/>
          <w:highlight w:val="none"/>
          <w:u w:val="single"/>
        </w:rPr>
        <w:t>人民币</w:t>
      </w:r>
      <w:r>
        <w:rPr>
          <w:rFonts w:hint="eastAsia" w:ascii="宋体" w:hAnsi="宋体"/>
          <w:color w:val="auto"/>
          <w:highlight w:val="none"/>
          <w:u w:val="single"/>
        </w:rPr>
        <w:t>）</w:t>
      </w:r>
      <w:r>
        <w:rPr>
          <w:rFonts w:ascii="宋体" w:hAnsi="宋体"/>
          <w:color w:val="auto"/>
          <w:highlight w:val="none"/>
          <w:u w:val="single"/>
        </w:rPr>
        <w:t>违约金</w:t>
      </w:r>
      <w:r>
        <w:rPr>
          <w:rFonts w:ascii="宋体" w:hAnsi="宋体"/>
          <w:color w:val="auto"/>
          <w:highlight w:val="none"/>
        </w:rPr>
        <w:t>。</w:t>
      </w:r>
    </w:p>
    <w:p w14:paraId="2EB232E9">
      <w:pPr>
        <w:pStyle w:val="174"/>
        <w:spacing w:line="360" w:lineRule="auto"/>
        <w:ind w:firstLine="420" w:firstLineChars="200"/>
        <w:rPr>
          <w:rFonts w:ascii="宋体" w:hAnsi="宋体"/>
          <w:color w:val="auto"/>
          <w:highlight w:val="none"/>
        </w:rPr>
      </w:pPr>
      <w:r>
        <w:rPr>
          <w:rFonts w:ascii="宋体" w:hAnsi="宋体"/>
          <w:color w:val="auto"/>
          <w:highlight w:val="none"/>
        </w:rPr>
        <w:t>承包人主要施工管理人员擅自离开施工现场的违约责任：</w:t>
      </w:r>
      <w:r>
        <w:rPr>
          <w:rFonts w:hint="eastAsia" w:ascii="宋体" w:hAnsi="宋体"/>
          <w:color w:val="auto"/>
          <w:highlight w:val="none"/>
          <w:u w:val="single"/>
        </w:rPr>
        <w:t>未经发包人同意，擅自离岗的，视为承包人违约，发包人有权处违约金100 元/人•次（人民币）违约金</w:t>
      </w:r>
      <w:r>
        <w:rPr>
          <w:rFonts w:hint="eastAsia" w:ascii="宋体" w:hAnsi="宋体"/>
          <w:color w:val="auto"/>
          <w:highlight w:val="none"/>
        </w:rPr>
        <w:t>。</w:t>
      </w:r>
    </w:p>
    <w:p w14:paraId="0695DBDC">
      <w:pPr>
        <w:pStyle w:val="173"/>
        <w:rPr>
          <w:rFonts w:ascii="宋体" w:hAnsi="宋体"/>
          <w:color w:val="auto"/>
          <w:szCs w:val="21"/>
          <w:highlight w:val="none"/>
        </w:rPr>
      </w:pPr>
      <w:bookmarkStart w:id="138" w:name="_Toc524083302"/>
      <w:bookmarkStart w:id="139" w:name="_Toc522177078"/>
      <w:bookmarkStart w:id="140" w:name="_Toc523415201"/>
      <w:r>
        <w:rPr>
          <w:rFonts w:hint="eastAsia" w:ascii="宋体" w:hAnsi="宋体"/>
          <w:color w:val="auto"/>
          <w:szCs w:val="21"/>
          <w:highlight w:val="none"/>
        </w:rPr>
        <w:t>3.5 分包</w:t>
      </w:r>
      <w:bookmarkEnd w:id="138"/>
      <w:bookmarkEnd w:id="139"/>
      <w:bookmarkEnd w:id="140"/>
    </w:p>
    <w:p w14:paraId="7CF2ABE4">
      <w:pPr>
        <w:pStyle w:val="160"/>
        <w:spacing w:line="360" w:lineRule="auto"/>
        <w:ind w:firstLine="420" w:firstLineChars="200"/>
        <w:rPr>
          <w:rFonts w:ascii="宋体" w:hAnsi="宋体"/>
          <w:color w:val="auto"/>
          <w:highlight w:val="none"/>
        </w:rPr>
      </w:pPr>
      <w:r>
        <w:rPr>
          <w:rFonts w:hint="eastAsia" w:ascii="宋体" w:hAnsi="宋体"/>
          <w:color w:val="auto"/>
          <w:highlight w:val="none"/>
        </w:rPr>
        <w:t>3.5.1 分包的一般约定</w:t>
      </w:r>
    </w:p>
    <w:p w14:paraId="00594C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禁止分包的工程包括：</w:t>
      </w:r>
      <w:r>
        <w:rPr>
          <w:rFonts w:hint="eastAsia" w:ascii="宋体" w:hAnsi="宋体"/>
          <w:color w:val="auto"/>
          <w:highlight w:val="none"/>
          <w:u w:val="single"/>
        </w:rPr>
        <w:t>按《通用合同条款》3.5.1条</w:t>
      </w:r>
      <w:r>
        <w:rPr>
          <w:rFonts w:hint="eastAsia" w:ascii="宋体" w:hAnsi="宋体"/>
          <w:color w:val="auto"/>
          <w:highlight w:val="none"/>
        </w:rPr>
        <w:t>。</w:t>
      </w:r>
    </w:p>
    <w:p w14:paraId="4EF715BE">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主体结构、关键性工作的范围：</w:t>
      </w:r>
      <w:r>
        <w:rPr>
          <w:rFonts w:hint="eastAsia" w:ascii="宋体" w:hAnsi="宋体"/>
          <w:color w:val="auto"/>
          <w:highlight w:val="none"/>
          <w:u w:val="single"/>
        </w:rPr>
        <w:t xml:space="preserve">    /       </w:t>
      </w:r>
      <w:r>
        <w:rPr>
          <w:rFonts w:hint="eastAsia" w:ascii="宋体" w:hAnsi="宋体"/>
          <w:color w:val="auto"/>
          <w:highlight w:val="none"/>
        </w:rPr>
        <w:t>。</w:t>
      </w:r>
    </w:p>
    <w:p w14:paraId="4E3D2FA6">
      <w:pPr>
        <w:pStyle w:val="160"/>
        <w:spacing w:line="360" w:lineRule="auto"/>
        <w:rPr>
          <w:rFonts w:ascii="宋体" w:hAnsi="宋体"/>
          <w:color w:val="auto"/>
          <w:highlight w:val="none"/>
        </w:rPr>
      </w:pPr>
      <w:r>
        <w:rPr>
          <w:rFonts w:hint="eastAsia" w:ascii="宋体" w:hAnsi="宋体"/>
          <w:color w:val="auto"/>
          <w:highlight w:val="none"/>
        </w:rPr>
        <w:t xml:space="preserve">    3.5.2分包的确定</w:t>
      </w:r>
    </w:p>
    <w:p w14:paraId="55495F09">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允许分包的专业工程包括：</w:t>
      </w:r>
      <w:r>
        <w:rPr>
          <w:rFonts w:hint="eastAsia" w:ascii="宋体" w:hAnsi="宋体"/>
          <w:color w:val="auto"/>
          <w:highlight w:val="none"/>
          <w:u w:val="single"/>
        </w:rPr>
        <w:t xml:space="preserve">无          </w:t>
      </w:r>
      <w:r>
        <w:rPr>
          <w:rFonts w:hint="eastAsia" w:ascii="宋体" w:hAnsi="宋体"/>
          <w:color w:val="auto"/>
          <w:highlight w:val="none"/>
        </w:rPr>
        <w:t>。</w:t>
      </w:r>
    </w:p>
    <w:p w14:paraId="03723838">
      <w:pPr>
        <w:pStyle w:val="160"/>
        <w:spacing w:line="360" w:lineRule="auto"/>
        <w:ind w:firstLine="420" w:firstLineChars="200"/>
        <w:rPr>
          <w:rFonts w:ascii="宋体" w:hAnsi="宋体"/>
          <w:color w:val="auto"/>
          <w:highlight w:val="none"/>
        </w:rPr>
      </w:pPr>
      <w:r>
        <w:rPr>
          <w:rFonts w:hint="eastAsia" w:ascii="宋体" w:hAnsi="宋体"/>
          <w:color w:val="auto"/>
          <w:highlight w:val="none"/>
        </w:rPr>
        <w:t>其他关于分包的约定：</w:t>
      </w:r>
      <w:r>
        <w:rPr>
          <w:rFonts w:hint="eastAsia" w:ascii="宋体" w:hAnsi="宋体"/>
          <w:color w:val="auto"/>
          <w:highlight w:val="none"/>
          <w:u w:val="single"/>
        </w:rPr>
        <w:t xml:space="preserve">       /     </w:t>
      </w:r>
      <w:r>
        <w:rPr>
          <w:rFonts w:hint="eastAsia" w:ascii="宋体" w:hAnsi="宋体"/>
          <w:color w:val="auto"/>
          <w:highlight w:val="none"/>
        </w:rPr>
        <w:t>。</w:t>
      </w:r>
    </w:p>
    <w:p w14:paraId="70F2CC17">
      <w:pPr>
        <w:pStyle w:val="160"/>
        <w:spacing w:line="360" w:lineRule="auto"/>
        <w:ind w:firstLine="420" w:firstLineChars="200"/>
        <w:rPr>
          <w:rFonts w:ascii="宋体" w:hAnsi="宋体"/>
          <w:color w:val="auto"/>
          <w:highlight w:val="none"/>
        </w:rPr>
      </w:pPr>
      <w:r>
        <w:rPr>
          <w:rFonts w:hint="eastAsia" w:ascii="宋体" w:hAnsi="宋体"/>
          <w:color w:val="auto"/>
          <w:highlight w:val="none"/>
        </w:rPr>
        <w:t>3.5.4 分包合同价款</w:t>
      </w:r>
    </w:p>
    <w:p w14:paraId="573CAB5A">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关于分包合同价款支付的约定：</w:t>
      </w:r>
      <w:r>
        <w:rPr>
          <w:rFonts w:hint="eastAsia" w:ascii="宋体" w:hAnsi="宋体"/>
          <w:color w:val="auto"/>
          <w:highlight w:val="none"/>
          <w:u w:val="single"/>
        </w:rPr>
        <w:t>本工程不允许分包</w:t>
      </w:r>
      <w:r>
        <w:rPr>
          <w:rFonts w:hint="eastAsia" w:ascii="宋体" w:hAnsi="宋体"/>
          <w:color w:val="auto"/>
          <w:highlight w:val="none"/>
        </w:rPr>
        <w:t>。</w:t>
      </w:r>
    </w:p>
    <w:p w14:paraId="6EC3A0BD">
      <w:pPr>
        <w:pStyle w:val="173"/>
        <w:rPr>
          <w:rFonts w:ascii="宋体" w:hAnsi="宋体"/>
          <w:color w:val="auto"/>
          <w:szCs w:val="21"/>
          <w:highlight w:val="none"/>
        </w:rPr>
      </w:pPr>
      <w:bookmarkStart w:id="141" w:name="_Toc523415202"/>
      <w:bookmarkStart w:id="142" w:name="_Toc524083303"/>
      <w:bookmarkStart w:id="143" w:name="_Toc522177079"/>
      <w:r>
        <w:rPr>
          <w:rFonts w:hint="eastAsia" w:ascii="宋体" w:hAnsi="宋体"/>
          <w:color w:val="auto"/>
          <w:szCs w:val="21"/>
          <w:highlight w:val="none"/>
        </w:rPr>
        <w:t>3.6 工程照管与成品、半成品保护</w:t>
      </w:r>
      <w:bookmarkEnd w:id="141"/>
      <w:bookmarkEnd w:id="142"/>
      <w:bookmarkEnd w:id="143"/>
    </w:p>
    <w:p w14:paraId="1DEF9AEA">
      <w:pPr>
        <w:pStyle w:val="160"/>
        <w:spacing w:before="120" w:after="120" w:line="360" w:lineRule="auto"/>
        <w:ind w:firstLine="420" w:firstLineChars="200"/>
        <w:rPr>
          <w:rFonts w:ascii="宋体" w:hAnsi="宋体"/>
          <w:color w:val="auto"/>
          <w:kern w:val="0"/>
          <w:highlight w:val="none"/>
          <w:u w:val="single"/>
        </w:rPr>
      </w:pPr>
      <w:r>
        <w:rPr>
          <w:rFonts w:hint="eastAsia" w:ascii="宋体" w:hAnsi="宋体"/>
          <w:color w:val="auto"/>
          <w:kern w:val="0"/>
          <w:highlight w:val="none"/>
        </w:rPr>
        <w:t>承包人负责照管工程及工程相关的材料、工程设备的起始时间：</w:t>
      </w:r>
      <w:r>
        <w:rPr>
          <w:rFonts w:hint="eastAsia" w:ascii="宋体" w:hAnsi="宋体"/>
          <w:color w:val="auto"/>
          <w:kern w:val="0"/>
          <w:highlight w:val="none"/>
          <w:u w:val="single"/>
        </w:rPr>
        <w:t xml:space="preserve">由发包人提供的材料和工程设备验收后开始 </w:t>
      </w:r>
      <w:r>
        <w:rPr>
          <w:rFonts w:hint="eastAsia" w:ascii="宋体" w:hAnsi="宋体"/>
          <w:color w:val="auto"/>
          <w:kern w:val="0"/>
          <w:highlight w:val="none"/>
        </w:rPr>
        <w:t>。</w:t>
      </w:r>
    </w:p>
    <w:p w14:paraId="22AC9A4F">
      <w:pPr>
        <w:pStyle w:val="173"/>
        <w:rPr>
          <w:rFonts w:ascii="宋体" w:hAnsi="宋体"/>
          <w:color w:val="auto"/>
          <w:szCs w:val="21"/>
          <w:highlight w:val="none"/>
        </w:rPr>
      </w:pPr>
      <w:bookmarkStart w:id="144" w:name="_Toc522177080"/>
      <w:bookmarkStart w:id="145" w:name="_Toc523415203"/>
      <w:bookmarkStart w:id="146" w:name="_Toc524083304"/>
      <w:r>
        <w:rPr>
          <w:rFonts w:hint="eastAsia" w:ascii="宋体" w:hAnsi="宋体"/>
          <w:color w:val="auto"/>
          <w:szCs w:val="21"/>
          <w:highlight w:val="none"/>
        </w:rPr>
        <w:t>3.7 履约担保</w:t>
      </w:r>
      <w:bookmarkEnd w:id="144"/>
      <w:bookmarkEnd w:id="145"/>
      <w:bookmarkEnd w:id="146"/>
    </w:p>
    <w:p w14:paraId="61E4D23B">
      <w:pPr>
        <w:pStyle w:val="160"/>
        <w:spacing w:before="120" w:after="120" w:line="360" w:lineRule="auto"/>
        <w:ind w:firstLine="420" w:firstLineChars="200"/>
        <w:rPr>
          <w:rFonts w:hint="eastAsia" w:ascii="宋体" w:hAnsi="宋体"/>
          <w:color w:val="auto"/>
          <w:kern w:val="0"/>
          <w:highlight w:val="none"/>
          <w:u w:val="single"/>
        </w:rPr>
      </w:pPr>
      <w:bookmarkStart w:id="147" w:name="_Toc522177081"/>
      <w:bookmarkStart w:id="148" w:name="_Toc523415204"/>
      <w:bookmarkStart w:id="149" w:name="_Toc524083305"/>
      <w:r>
        <w:rPr>
          <w:rFonts w:hint="eastAsia" w:ascii="宋体" w:hAnsi="宋体"/>
          <w:color w:val="auto"/>
          <w:szCs w:val="22"/>
          <w:highlight w:val="none"/>
        </w:rPr>
        <w:t>承包人是否提供履约担保：</w:t>
      </w:r>
      <w:r>
        <w:rPr>
          <w:rFonts w:hint="eastAsia" w:ascii="宋体" w:hAnsi="宋体"/>
          <w:color w:val="auto"/>
          <w:szCs w:val="22"/>
          <w:highlight w:val="none"/>
          <w:u w:val="single"/>
        </w:rPr>
        <w:t xml:space="preserve">  否  </w:t>
      </w:r>
      <w:r>
        <w:rPr>
          <w:rFonts w:hint="eastAsia" w:ascii="宋体" w:hAnsi="宋体"/>
          <w:color w:val="auto"/>
          <w:szCs w:val="22"/>
          <w:highlight w:val="none"/>
          <w:u w:val="none"/>
        </w:rPr>
        <w:t>。</w:t>
      </w:r>
    </w:p>
    <w:p w14:paraId="5CA8D8DC">
      <w:pPr>
        <w:pStyle w:val="172"/>
        <w:spacing w:line="360" w:lineRule="auto"/>
        <w:rPr>
          <w:rFonts w:ascii="宋体" w:hAnsi="宋体"/>
          <w:color w:val="auto"/>
          <w:sz w:val="21"/>
          <w:szCs w:val="21"/>
          <w:highlight w:val="none"/>
        </w:rPr>
      </w:pPr>
      <w:r>
        <w:rPr>
          <w:rFonts w:hint="eastAsia" w:ascii="宋体" w:hAnsi="宋体"/>
          <w:color w:val="auto"/>
          <w:sz w:val="21"/>
          <w:szCs w:val="21"/>
          <w:highlight w:val="none"/>
        </w:rPr>
        <w:t>4. 监理人</w:t>
      </w:r>
      <w:bookmarkEnd w:id="147"/>
      <w:bookmarkEnd w:id="148"/>
      <w:bookmarkEnd w:id="149"/>
    </w:p>
    <w:p w14:paraId="20EC07CF">
      <w:pPr>
        <w:pStyle w:val="173"/>
        <w:rPr>
          <w:rFonts w:ascii="宋体" w:hAnsi="宋体"/>
          <w:color w:val="auto"/>
          <w:szCs w:val="21"/>
          <w:highlight w:val="none"/>
        </w:rPr>
      </w:pPr>
      <w:bookmarkStart w:id="150" w:name="_Toc523415205"/>
      <w:bookmarkStart w:id="151" w:name="_Toc522177082"/>
      <w:bookmarkStart w:id="152" w:name="_Toc524083306"/>
      <w:r>
        <w:rPr>
          <w:rFonts w:hint="eastAsia" w:ascii="宋体" w:hAnsi="宋体"/>
          <w:color w:val="auto"/>
          <w:szCs w:val="21"/>
          <w:highlight w:val="none"/>
        </w:rPr>
        <w:t>4.1监理人的一般规定</w:t>
      </w:r>
      <w:bookmarkEnd w:id="150"/>
      <w:bookmarkEnd w:id="151"/>
      <w:bookmarkEnd w:id="152"/>
    </w:p>
    <w:p w14:paraId="3AE6DEBB">
      <w:pPr>
        <w:pStyle w:val="177"/>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highlight w:val="none"/>
        </w:rPr>
      </w:pPr>
      <w:r>
        <w:rPr>
          <w:rFonts w:hint="eastAsia" w:ascii="宋体" w:hAnsi="宋体"/>
          <w:color w:val="auto"/>
          <w:highlight w:val="none"/>
        </w:rPr>
        <w:t>关于监理人的监理内容：</w:t>
      </w:r>
      <w:r>
        <w:rPr>
          <w:rFonts w:hint="eastAsia"/>
          <w:color w:val="auto"/>
          <w:highlight w:val="none"/>
          <w:u w:val="single"/>
        </w:rPr>
        <w:t>审查施工承包人提交的施工组织设计，专项施工方案与工程建设强制性标准的符合性；检查施工承包人工程质量、安全、施工进度；审查施工承包人报送的工程材料、构配件、设备质量证明文件的有效性和符合性；签发工程暂停令和复工令；验收隐蔽工程、分部分项工程；参与工程变更的审核签认，协助发包人核签现场发生的签证，最终须经发包人认可后作为结算的依据，审核月进度工作报表并报发包人审批；审核工程款支付申请；参加工程竣工验收</w:t>
      </w:r>
      <w:r>
        <w:rPr>
          <w:rFonts w:hint="eastAsia" w:ascii="宋体" w:hAnsi="宋体"/>
          <w:color w:val="auto"/>
          <w:highlight w:val="none"/>
          <w:u w:val="single"/>
        </w:rPr>
        <w:t xml:space="preserve"> 。</w:t>
      </w:r>
    </w:p>
    <w:p w14:paraId="2F7374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关于监理人的监理权限：</w:t>
      </w:r>
      <w:r>
        <w:rPr>
          <w:rFonts w:hint="eastAsia" w:ascii="宋体" w:hAnsi="宋体"/>
          <w:color w:val="auto"/>
          <w:highlight w:val="none"/>
          <w:u w:val="single"/>
        </w:rPr>
        <w:t>根据监理合同、施工承包合同和法律法规规定的事项代表发包人进行工程前期协调、施工现场协调、工程监理</w:t>
      </w:r>
      <w:r>
        <w:rPr>
          <w:rFonts w:hint="eastAsia" w:ascii="宋体" w:hAnsi="宋体"/>
          <w:color w:val="auto"/>
          <w:highlight w:val="none"/>
        </w:rPr>
        <w:t xml:space="preserve">。 </w:t>
      </w:r>
    </w:p>
    <w:p w14:paraId="43642004">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关于监理人在施工现场的办公场所、生活场所的提供和费用承担的约定：</w:t>
      </w:r>
      <w:r>
        <w:rPr>
          <w:rFonts w:hint="eastAsia" w:ascii="宋体" w:hAnsi="宋体"/>
          <w:color w:val="auto"/>
          <w:highlight w:val="none"/>
          <w:u w:val="single"/>
        </w:rPr>
        <w:t xml:space="preserve"> 由承包人提供一间共15平方米的施工现场办公室</w:t>
      </w:r>
      <w:r>
        <w:rPr>
          <w:rFonts w:hint="eastAsia" w:ascii="宋体" w:hAnsi="宋体"/>
          <w:color w:val="auto"/>
          <w:highlight w:val="none"/>
        </w:rPr>
        <w:t>。</w:t>
      </w:r>
    </w:p>
    <w:p w14:paraId="23F395B4">
      <w:pPr>
        <w:pStyle w:val="173"/>
        <w:rPr>
          <w:rFonts w:ascii="宋体" w:hAnsi="宋体"/>
          <w:color w:val="auto"/>
          <w:szCs w:val="21"/>
          <w:highlight w:val="none"/>
        </w:rPr>
      </w:pPr>
      <w:bookmarkStart w:id="153" w:name="_Toc524083307"/>
      <w:bookmarkStart w:id="154" w:name="_Toc522177083"/>
      <w:bookmarkStart w:id="155" w:name="_Toc523415206"/>
      <w:r>
        <w:rPr>
          <w:rFonts w:hint="eastAsia" w:ascii="宋体" w:hAnsi="宋体"/>
          <w:color w:val="auto"/>
          <w:szCs w:val="21"/>
          <w:highlight w:val="none"/>
        </w:rPr>
        <w:t>4.2 监理人员</w:t>
      </w:r>
      <w:bookmarkEnd w:id="153"/>
      <w:bookmarkEnd w:id="154"/>
      <w:bookmarkEnd w:id="155"/>
    </w:p>
    <w:p w14:paraId="7DCAC726">
      <w:pPr>
        <w:pStyle w:val="160"/>
        <w:spacing w:line="360" w:lineRule="auto"/>
        <w:ind w:firstLine="420" w:firstLineChars="200"/>
        <w:rPr>
          <w:rFonts w:ascii="宋体" w:hAnsi="宋体"/>
          <w:color w:val="auto"/>
          <w:highlight w:val="none"/>
        </w:rPr>
      </w:pPr>
      <w:r>
        <w:rPr>
          <w:rFonts w:hint="eastAsia" w:ascii="宋体" w:hAnsi="宋体"/>
          <w:color w:val="auto"/>
          <w:highlight w:val="none"/>
        </w:rPr>
        <w:t>总监理工程师：</w:t>
      </w:r>
    </w:p>
    <w:p w14:paraId="5406C608">
      <w:pPr>
        <w:pStyle w:val="160"/>
        <w:spacing w:line="360" w:lineRule="auto"/>
        <w:ind w:left="0" w:leftChars="0"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（在签订合同时明确）</w:t>
      </w:r>
      <w:r>
        <w:rPr>
          <w:rFonts w:hint="eastAsia" w:ascii="宋体" w:hAnsi="宋体"/>
          <w:color w:val="auto"/>
          <w:highlight w:val="none"/>
        </w:rPr>
        <w:t>；</w:t>
      </w:r>
    </w:p>
    <w:p w14:paraId="07975FE3">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6E2EAAA2">
      <w:pPr>
        <w:pStyle w:val="160"/>
        <w:spacing w:line="360" w:lineRule="auto"/>
        <w:ind w:firstLine="420" w:firstLineChars="200"/>
        <w:rPr>
          <w:rFonts w:ascii="宋体" w:hAnsi="宋体"/>
          <w:color w:val="auto"/>
          <w:highlight w:val="none"/>
        </w:rPr>
      </w:pPr>
      <w:r>
        <w:rPr>
          <w:rFonts w:hint="eastAsia" w:ascii="宋体" w:hAnsi="宋体"/>
          <w:color w:val="auto"/>
          <w:highlight w:val="none"/>
        </w:rPr>
        <w:t>监理工程师执业资格证书号：</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40137AA6">
      <w:pPr>
        <w:pStyle w:val="174"/>
        <w:spacing w:line="360" w:lineRule="auto"/>
        <w:ind w:firstLine="420" w:firstLineChars="200"/>
        <w:rPr>
          <w:color w:val="auto"/>
          <w:highlight w:val="none"/>
        </w:rPr>
      </w:pPr>
      <w:r>
        <w:rPr>
          <w:rFonts w:hint="eastAsia" w:ascii="宋体" w:hAnsi="宋体"/>
          <w:color w:val="auto"/>
          <w:highlight w:val="none"/>
        </w:rPr>
        <w:t>身份证号：</w:t>
      </w:r>
      <w:r>
        <w:rPr>
          <w:rFonts w:hint="eastAsia" w:ascii="宋体" w:hAnsi="宋体"/>
          <w:color w:val="auto"/>
          <w:highlight w:val="none"/>
          <w:u w:val="single"/>
        </w:rPr>
        <w:t>（在签订合同时明确）</w:t>
      </w:r>
      <w:r>
        <w:rPr>
          <w:rFonts w:hint="eastAsia" w:ascii="宋体" w:hAnsi="宋体"/>
          <w:color w:val="auto"/>
          <w:highlight w:val="none"/>
        </w:rPr>
        <w:t>；</w:t>
      </w:r>
    </w:p>
    <w:p w14:paraId="1BD18EF4">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（在签订合同时明确）</w:t>
      </w:r>
      <w:r>
        <w:rPr>
          <w:rFonts w:hint="eastAsia" w:ascii="宋体" w:hAnsi="宋体"/>
          <w:color w:val="auto"/>
          <w:highlight w:val="none"/>
        </w:rPr>
        <w:t>；</w:t>
      </w:r>
    </w:p>
    <w:p w14:paraId="3C86F164">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（在签订合同时明确）</w:t>
      </w:r>
      <w:r>
        <w:rPr>
          <w:rFonts w:hint="eastAsia" w:ascii="宋体" w:hAnsi="宋体"/>
          <w:color w:val="auto"/>
          <w:highlight w:val="none"/>
        </w:rPr>
        <w:t>；</w:t>
      </w:r>
    </w:p>
    <w:p w14:paraId="3980D970">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（在签订合同时明确）</w:t>
      </w:r>
      <w:r>
        <w:rPr>
          <w:rFonts w:hint="eastAsia" w:ascii="宋体" w:hAnsi="宋体"/>
          <w:color w:val="auto"/>
          <w:highlight w:val="none"/>
        </w:rPr>
        <w:t>；</w:t>
      </w:r>
    </w:p>
    <w:p w14:paraId="2154554D">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关于监理人的其他约定：</w:t>
      </w:r>
      <w:r>
        <w:rPr>
          <w:rFonts w:hint="eastAsia" w:ascii="宋体" w:hAnsi="宋体"/>
          <w:color w:val="auto"/>
          <w:highlight w:val="none"/>
          <w:u w:val="single"/>
        </w:rPr>
        <w:t>按《通用合同条款》执行</w:t>
      </w:r>
      <w:r>
        <w:rPr>
          <w:rFonts w:hint="eastAsia" w:ascii="宋体" w:hAnsi="宋体"/>
          <w:color w:val="auto"/>
          <w:highlight w:val="none"/>
        </w:rPr>
        <w:t>。</w:t>
      </w:r>
    </w:p>
    <w:p w14:paraId="664A270C">
      <w:pPr>
        <w:pStyle w:val="173"/>
        <w:rPr>
          <w:rFonts w:ascii="宋体" w:hAnsi="宋体"/>
          <w:color w:val="auto"/>
          <w:szCs w:val="21"/>
          <w:highlight w:val="none"/>
        </w:rPr>
      </w:pPr>
      <w:bookmarkStart w:id="156" w:name="_Toc523415207"/>
      <w:bookmarkStart w:id="157" w:name="_Toc522177084"/>
      <w:bookmarkStart w:id="158" w:name="_Toc524083308"/>
      <w:r>
        <w:rPr>
          <w:rFonts w:hint="eastAsia" w:ascii="宋体" w:hAnsi="宋体"/>
          <w:color w:val="auto"/>
          <w:szCs w:val="21"/>
          <w:highlight w:val="none"/>
        </w:rPr>
        <w:t>4.4 商定或确定</w:t>
      </w:r>
      <w:bookmarkEnd w:id="156"/>
      <w:bookmarkEnd w:id="157"/>
      <w:bookmarkEnd w:id="158"/>
    </w:p>
    <w:p w14:paraId="1F2AC0DF">
      <w:pPr>
        <w:pStyle w:val="160"/>
        <w:spacing w:line="360" w:lineRule="auto"/>
        <w:ind w:firstLine="420" w:firstLineChars="200"/>
        <w:rPr>
          <w:rFonts w:ascii="宋体" w:hAnsi="宋体"/>
          <w:color w:val="auto"/>
          <w:highlight w:val="none"/>
        </w:rPr>
      </w:pPr>
      <w:r>
        <w:rPr>
          <w:rFonts w:hint="eastAsia" w:ascii="宋体" w:hAnsi="宋体"/>
          <w:color w:val="auto"/>
          <w:highlight w:val="none"/>
        </w:rPr>
        <w:t>在发包人和承包人不能通过协商达成一致意见时，发包人授权监理人对以下事项进行确定：</w:t>
      </w:r>
    </w:p>
    <w:p w14:paraId="4887E792">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ascii="宋体" w:hAnsi="宋体"/>
          <w:color w:val="auto"/>
          <w:kern w:val="0"/>
          <w:highlight w:val="none"/>
        </w:rPr>
        <w:t>（</w:t>
      </w:r>
      <w:r>
        <w:rPr>
          <w:color w:val="auto"/>
          <w:kern w:val="0"/>
          <w:highlight w:val="none"/>
        </w:rPr>
        <w:t>1</w:t>
      </w:r>
      <w:r>
        <w:rPr>
          <w:rFonts w:ascii="宋体" w:hAnsi="宋体"/>
          <w:color w:val="auto"/>
          <w:kern w:val="0"/>
          <w:highlight w:val="none"/>
        </w:rPr>
        <w:t>）</w:t>
      </w:r>
      <w:r>
        <w:rPr>
          <w:rFonts w:hint="eastAsia" w:ascii="宋体" w:hAnsi="宋体"/>
          <w:color w:val="auto"/>
          <w:kern w:val="0"/>
          <w:highlight w:val="none"/>
          <w:u w:val="single"/>
        </w:rPr>
        <w:t>由总监理工程师对双方异议按照合同约定审定做出公正的确定</w:t>
      </w:r>
      <w:r>
        <w:rPr>
          <w:rFonts w:hint="eastAsia" w:ascii="宋体" w:hAnsi="宋体"/>
          <w:color w:val="auto"/>
          <w:highlight w:val="none"/>
        </w:rPr>
        <w:t>；</w:t>
      </w:r>
    </w:p>
    <w:p w14:paraId="4B45FEA4">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hint="eastAsia" w:ascii="宋体" w:hAnsi="宋体"/>
          <w:color w:val="auto"/>
          <w:kern w:val="0"/>
          <w:highlight w:val="none"/>
          <w:u w:val="single"/>
        </w:rPr>
        <w:t>总监理工程师应将确定以书面形式通知发包人和承包人，并附详细依据</w:t>
      </w:r>
      <w:r>
        <w:rPr>
          <w:rFonts w:hint="eastAsia" w:ascii="宋体" w:hAnsi="宋体"/>
          <w:color w:val="auto"/>
          <w:highlight w:val="none"/>
        </w:rPr>
        <w:t>；</w:t>
      </w:r>
    </w:p>
    <w:p w14:paraId="0F4B234A">
      <w:pPr>
        <w:pStyle w:val="174"/>
        <w:autoSpaceDE w:val="0"/>
        <w:autoSpaceDN w:val="0"/>
        <w:adjustRightInd w:val="0"/>
        <w:spacing w:line="400" w:lineRule="exact"/>
        <w:jc w:val="left"/>
        <w:rPr>
          <w:rFonts w:ascii="宋体" w:hAnsi="宋体"/>
          <w:color w:val="auto"/>
          <w:kern w:val="0"/>
          <w:highlight w:val="none"/>
        </w:rPr>
      </w:pPr>
      <w:r>
        <w:rPr>
          <w:rFonts w:hint="eastAsia" w:ascii="宋体" w:hAnsi="宋体"/>
          <w:color w:val="auto"/>
          <w:kern w:val="0"/>
          <w:highlight w:val="none"/>
        </w:rPr>
        <w:t xml:space="preserve">    （3）</w:t>
      </w:r>
      <w:r>
        <w:rPr>
          <w:rFonts w:hint="eastAsia" w:ascii="宋体" w:hAnsi="宋体"/>
          <w:color w:val="auto"/>
          <w:kern w:val="0"/>
          <w:highlight w:val="none"/>
          <w:u w:val="single"/>
        </w:rPr>
        <w:t>合同当事人对总监理工程师的确定没有异议的，按照总监理工程师的确定执行</w:t>
      </w:r>
      <w:r>
        <w:rPr>
          <w:rFonts w:hint="eastAsia" w:ascii="宋体" w:hAnsi="宋体"/>
          <w:color w:val="auto"/>
          <w:highlight w:val="none"/>
        </w:rPr>
        <w:t>。</w:t>
      </w:r>
    </w:p>
    <w:p w14:paraId="28BD6D16">
      <w:pPr>
        <w:pStyle w:val="172"/>
        <w:spacing w:line="360" w:lineRule="auto"/>
        <w:rPr>
          <w:rFonts w:ascii="宋体" w:hAnsi="宋体"/>
          <w:color w:val="auto"/>
          <w:sz w:val="21"/>
          <w:szCs w:val="21"/>
          <w:highlight w:val="none"/>
        </w:rPr>
      </w:pPr>
      <w:bookmarkStart w:id="159" w:name="_Toc523415208"/>
      <w:bookmarkStart w:id="160" w:name="_Toc524083309"/>
      <w:bookmarkStart w:id="161" w:name="_Toc522177085"/>
      <w:r>
        <w:rPr>
          <w:rFonts w:hint="eastAsia" w:ascii="宋体" w:hAnsi="宋体"/>
          <w:color w:val="auto"/>
          <w:sz w:val="21"/>
          <w:szCs w:val="21"/>
          <w:highlight w:val="none"/>
        </w:rPr>
        <w:t>5. 工程质量</w:t>
      </w:r>
      <w:bookmarkEnd w:id="159"/>
      <w:bookmarkEnd w:id="160"/>
      <w:bookmarkEnd w:id="161"/>
    </w:p>
    <w:p w14:paraId="645DACA2">
      <w:pPr>
        <w:pStyle w:val="173"/>
        <w:rPr>
          <w:rFonts w:ascii="宋体" w:hAnsi="宋体"/>
          <w:color w:val="auto"/>
          <w:szCs w:val="21"/>
          <w:highlight w:val="none"/>
        </w:rPr>
      </w:pPr>
      <w:bookmarkStart w:id="162" w:name="_Toc524083310"/>
      <w:bookmarkStart w:id="163" w:name="_Toc523415209"/>
      <w:bookmarkStart w:id="164" w:name="_Toc522177086"/>
      <w:r>
        <w:rPr>
          <w:rFonts w:hint="eastAsia" w:ascii="宋体" w:hAnsi="宋体"/>
          <w:color w:val="auto"/>
          <w:szCs w:val="21"/>
          <w:highlight w:val="none"/>
        </w:rPr>
        <w:t>5.1 质量要求</w:t>
      </w:r>
      <w:bookmarkEnd w:id="162"/>
      <w:bookmarkEnd w:id="163"/>
      <w:bookmarkEnd w:id="164"/>
    </w:p>
    <w:p w14:paraId="6FC8AF5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5.1.1 特殊质量标准和要求：</w:t>
      </w:r>
      <w:r>
        <w:rPr>
          <w:rFonts w:hint="eastAsia" w:ascii="宋体" w:hAnsi="宋体"/>
          <w:color w:val="auto"/>
          <w:highlight w:val="none"/>
          <w:u w:val="single"/>
        </w:rPr>
        <w:t xml:space="preserve"> 达到国家施工验收规范合格标准  </w:t>
      </w:r>
      <w:r>
        <w:rPr>
          <w:rFonts w:hint="eastAsia" w:ascii="宋体" w:hAnsi="宋体"/>
          <w:color w:val="auto"/>
          <w:highlight w:val="none"/>
        </w:rPr>
        <w:t>。</w:t>
      </w:r>
    </w:p>
    <w:p w14:paraId="71A8FD4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关于工程奖项的约定：</w:t>
      </w:r>
      <w:r>
        <w:rPr>
          <w:rFonts w:hint="eastAsia" w:ascii="宋体" w:hAnsi="宋体"/>
          <w:color w:val="auto"/>
          <w:highlight w:val="none"/>
          <w:u w:val="single"/>
        </w:rPr>
        <w:t xml:space="preserve">   无   </w:t>
      </w:r>
      <w:r>
        <w:rPr>
          <w:rFonts w:hint="eastAsia" w:ascii="宋体" w:hAnsi="宋体"/>
          <w:color w:val="auto"/>
          <w:highlight w:val="none"/>
        </w:rPr>
        <w:t>。</w:t>
      </w:r>
    </w:p>
    <w:p w14:paraId="69AF985E">
      <w:pPr>
        <w:pStyle w:val="173"/>
        <w:rPr>
          <w:rFonts w:ascii="宋体" w:hAnsi="宋体"/>
          <w:color w:val="auto"/>
          <w:szCs w:val="21"/>
          <w:highlight w:val="none"/>
        </w:rPr>
      </w:pPr>
      <w:bookmarkStart w:id="165" w:name="_Toc522177087"/>
      <w:bookmarkStart w:id="166" w:name="_Toc524083311"/>
      <w:bookmarkStart w:id="167" w:name="_Toc523415210"/>
      <w:r>
        <w:rPr>
          <w:rFonts w:hint="eastAsia" w:ascii="宋体" w:hAnsi="宋体"/>
          <w:color w:val="auto"/>
          <w:szCs w:val="21"/>
          <w:highlight w:val="none"/>
        </w:rPr>
        <w:t>5.3 隐蔽工程检查</w:t>
      </w:r>
      <w:bookmarkEnd w:id="165"/>
      <w:bookmarkEnd w:id="166"/>
      <w:bookmarkEnd w:id="167"/>
    </w:p>
    <w:p w14:paraId="04BDBC8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5.3.2承包人提前通知监理人隐蔽工程检查的期限的约定：</w:t>
      </w:r>
      <w:r>
        <w:rPr>
          <w:rFonts w:hint="eastAsia" w:ascii="宋体" w:hAnsi="宋体"/>
          <w:color w:val="auto"/>
          <w:highlight w:val="none"/>
          <w:u w:val="single"/>
        </w:rPr>
        <w:t xml:space="preserve">工程隐蔽或中间验收前12小时以书面形式通知发包人和监理工程师验收的内容、时间、地点，承包人准备验收记录单（最好是印制的表格）由双方签证。验收合格，承包人可进行隐蔽和继续施工；验收不合格，双方商订时限内修改后按上述循序重新验收 </w:t>
      </w:r>
      <w:r>
        <w:rPr>
          <w:rFonts w:hint="eastAsia" w:ascii="宋体" w:hAnsi="宋体"/>
          <w:color w:val="auto"/>
          <w:highlight w:val="none"/>
        </w:rPr>
        <w:t>。</w:t>
      </w:r>
    </w:p>
    <w:p w14:paraId="5CD08E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监理人不能按时进行检查时，应提前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750D9DE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4B412F5A">
      <w:pPr>
        <w:pStyle w:val="172"/>
        <w:spacing w:line="360" w:lineRule="auto"/>
        <w:rPr>
          <w:rFonts w:ascii="宋体" w:hAnsi="宋体"/>
          <w:color w:val="auto"/>
          <w:sz w:val="21"/>
          <w:szCs w:val="21"/>
          <w:highlight w:val="none"/>
        </w:rPr>
      </w:pPr>
      <w:bookmarkStart w:id="168" w:name="_Toc524083312"/>
      <w:bookmarkStart w:id="169" w:name="_Toc522177088"/>
      <w:bookmarkStart w:id="170" w:name="_Toc523415211"/>
      <w:r>
        <w:rPr>
          <w:rFonts w:hint="eastAsia" w:ascii="宋体" w:hAnsi="宋体"/>
          <w:color w:val="auto"/>
          <w:sz w:val="21"/>
          <w:szCs w:val="21"/>
          <w:highlight w:val="none"/>
        </w:rPr>
        <w:t>6. 安全文明施工费、农民工工资与环境保护</w:t>
      </w:r>
      <w:bookmarkEnd w:id="168"/>
      <w:bookmarkEnd w:id="169"/>
      <w:bookmarkEnd w:id="170"/>
    </w:p>
    <w:p w14:paraId="1642898F">
      <w:pPr>
        <w:pStyle w:val="173"/>
        <w:rPr>
          <w:rFonts w:ascii="宋体" w:hAnsi="宋体"/>
          <w:color w:val="auto"/>
          <w:szCs w:val="21"/>
          <w:highlight w:val="none"/>
        </w:rPr>
      </w:pPr>
      <w:bookmarkStart w:id="171" w:name="_Toc523415212"/>
      <w:bookmarkStart w:id="172" w:name="_Toc524083313"/>
      <w:bookmarkStart w:id="173" w:name="_Toc522177089"/>
      <w:r>
        <w:rPr>
          <w:rFonts w:hint="eastAsia" w:ascii="宋体" w:hAnsi="宋体"/>
          <w:color w:val="auto"/>
          <w:szCs w:val="21"/>
          <w:highlight w:val="none"/>
        </w:rPr>
        <w:t>6.1安全文明施工</w:t>
      </w:r>
      <w:bookmarkEnd w:id="171"/>
      <w:bookmarkEnd w:id="172"/>
      <w:bookmarkEnd w:id="173"/>
    </w:p>
    <w:p w14:paraId="51EACEF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6.1.1 项目安全生产的达标目标及相应事项的约定：</w:t>
      </w:r>
      <w:r>
        <w:rPr>
          <w:rFonts w:hint="eastAsia" w:ascii="宋体" w:hAnsi="宋体"/>
          <w:color w:val="auto"/>
          <w:highlight w:val="none"/>
          <w:u w:val="single"/>
        </w:rPr>
        <w:t xml:space="preserve"> 承包人应遵守安全生产法律、法规的规定及国家和工程所在地工程建设安全生产有关管理规定，严格按现行安全标准组织施工，并随时接受行业安全检查人员依法实施的监督检查，采取必要的安全防护措施，消除事故隐患。其安全施工防护费用已经含在合同价款内。本工程在整个施工期间杜绝一切人身伤亡和重大质量安全事故，如发生上述事故，则发包人视为承包人违约。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如经政府相关部门调查发现因承包人过失造成事故的发生，发包人有权解除合同，由此造成的一切经济损失和法律责任由承包人承担 </w:t>
      </w:r>
      <w:r>
        <w:rPr>
          <w:rFonts w:hint="eastAsia" w:ascii="宋体" w:hAnsi="宋体"/>
          <w:color w:val="auto"/>
          <w:highlight w:val="none"/>
        </w:rPr>
        <w:t>。</w:t>
      </w:r>
    </w:p>
    <w:p w14:paraId="1CB81BAF">
      <w:pPr>
        <w:pStyle w:val="174"/>
        <w:spacing w:line="360" w:lineRule="auto"/>
        <w:ind w:firstLine="420" w:firstLineChars="200"/>
        <w:jc w:val="left"/>
        <w:rPr>
          <w:color w:val="auto"/>
          <w:highlight w:val="none"/>
          <w:u w:val="single"/>
        </w:rPr>
      </w:pPr>
      <w:r>
        <w:rPr>
          <w:rFonts w:hint="eastAsia" w:ascii="宋体" w:hAnsi="宋体"/>
          <w:color w:val="auto"/>
          <w:highlight w:val="none"/>
        </w:rPr>
        <w:t>6.1.4 关于治安保卫的特别约定：</w:t>
      </w:r>
      <w:r>
        <w:rPr>
          <w:rFonts w:hint="eastAsia" w:ascii="宋体" w:hAnsi="宋体"/>
          <w:color w:val="auto"/>
          <w:highlight w:val="none"/>
          <w:u w:val="single"/>
        </w:rPr>
        <w:t xml:space="preserve"> </w:t>
      </w:r>
      <w:r>
        <w:rPr>
          <w:rFonts w:ascii="宋体" w:hAnsi="宋体"/>
          <w:color w:val="auto"/>
          <w:highlight w:val="none"/>
          <w:u w:val="single"/>
        </w:rPr>
        <w:t>承包人应承担施工安全保卫工作及非夜间施工照明的责任，承包人应采取一切合理的预防措施，防止人员伤亡、财产损失事故，费用由承包人承担。承包人生活设施及施工场应自费配备消防设备，防止火灾发生。</w:t>
      </w:r>
    </w:p>
    <w:p w14:paraId="2C30F2E0">
      <w:pPr>
        <w:pStyle w:val="160"/>
        <w:spacing w:line="360" w:lineRule="auto"/>
        <w:ind w:firstLine="420" w:firstLineChars="200"/>
        <w:jc w:val="left"/>
        <w:rPr>
          <w:rFonts w:ascii="宋体" w:hAnsi="宋体"/>
          <w:color w:val="auto"/>
          <w:highlight w:val="none"/>
        </w:rPr>
      </w:pPr>
      <w:r>
        <w:rPr>
          <w:rFonts w:ascii="宋体" w:hAnsi="宋体"/>
          <w:color w:val="auto"/>
          <w:highlight w:val="none"/>
        </w:rPr>
        <w:t>关于编制施工场地治安管理计划的约定：</w:t>
      </w:r>
      <w:r>
        <w:rPr>
          <w:rFonts w:hint="eastAsia" w:ascii="宋体" w:hAnsi="宋体"/>
          <w:color w:val="auto"/>
          <w:highlight w:val="none"/>
          <w:u w:val="single"/>
        </w:rPr>
        <w:t>承包人应在工程开工后7天内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r>
        <w:rPr>
          <w:rFonts w:ascii="宋体" w:hAnsi="宋体"/>
          <w:color w:val="auto"/>
          <w:highlight w:val="none"/>
        </w:rPr>
        <w:t>。</w:t>
      </w:r>
    </w:p>
    <w:p w14:paraId="7E0646D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6.1.5 文明施工</w:t>
      </w:r>
    </w:p>
    <w:p w14:paraId="2C4EF00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合同当事人对文明施工的要求：</w:t>
      </w:r>
      <w:r>
        <w:rPr>
          <w:rFonts w:hint="eastAsia" w:ascii="宋体" w:hAnsi="宋体"/>
          <w:color w:val="auto"/>
          <w:highlight w:val="none"/>
          <w:u w:val="single"/>
        </w:rPr>
        <w:t xml:space="preserve"> 按专用条款6.1.1条执行，未尽事宜按《通用合同条款》6.1.5条执行  </w:t>
      </w:r>
      <w:r>
        <w:rPr>
          <w:rFonts w:hint="eastAsia" w:ascii="宋体" w:hAnsi="宋体"/>
          <w:color w:val="auto"/>
          <w:highlight w:val="none"/>
        </w:rPr>
        <w:t>。</w:t>
      </w:r>
    </w:p>
    <w:p w14:paraId="1BEB75A3">
      <w:pPr>
        <w:pStyle w:val="160"/>
        <w:spacing w:line="360" w:lineRule="auto"/>
        <w:jc w:val="left"/>
        <w:rPr>
          <w:rFonts w:ascii="宋体" w:hAnsi="宋体"/>
          <w:color w:val="auto"/>
          <w:highlight w:val="none"/>
        </w:rPr>
      </w:pPr>
      <w:r>
        <w:rPr>
          <w:rFonts w:hint="eastAsia" w:ascii="宋体" w:hAnsi="宋体"/>
          <w:color w:val="auto"/>
          <w:highlight w:val="none"/>
        </w:rPr>
        <w:t>6.1.6 关于安全文明施工费总额、支付比例、支付期限、转入和结余收回的约定：（如有）</w:t>
      </w:r>
    </w:p>
    <w:p w14:paraId="4D8F1A1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（1）本合同价款已包含安全文明施工费</w:t>
      </w:r>
      <w:r>
        <w:rPr>
          <w:rFonts w:hint="eastAsia" w:ascii="宋体" w:hAnsi="宋体"/>
          <w:color w:val="auto"/>
          <w:highlight w:val="none"/>
          <w:u w:val="single"/>
        </w:rPr>
        <w:t xml:space="preserve">         </w:t>
      </w:r>
      <w:r>
        <w:rPr>
          <w:rFonts w:hint="eastAsia" w:ascii="宋体" w:hAnsi="宋体"/>
          <w:color w:val="auto"/>
          <w:highlight w:val="none"/>
        </w:rPr>
        <w:t>元。</w:t>
      </w:r>
    </w:p>
    <w:p w14:paraId="2E141B21">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（2）</w:t>
      </w:r>
      <w:r>
        <w:rPr>
          <w:rFonts w:hint="eastAsia" w:ascii="宋体" w:hAnsi="宋体"/>
          <w:color w:val="auto"/>
          <w:kern w:val="0"/>
          <w:highlight w:val="none"/>
        </w:rPr>
        <w:t>使用要求：专款专用，除安全生产外，不得用于其他用途。具体按《广西壮族自治区建设工程安全文明施工费使用管理细则》（桂建质[2015]16号）相关规定执行。</w:t>
      </w:r>
    </w:p>
    <w:p w14:paraId="697BE925">
      <w:pPr>
        <w:tabs>
          <w:tab w:val="left" w:pos="540"/>
          <w:tab w:val="left" w:pos="720"/>
        </w:tabs>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w:t>
      </w:r>
      <w:r>
        <w:rPr>
          <w:rFonts w:hint="eastAsia" w:ascii="宋体" w:hAnsi="宋体" w:eastAsia="宋体" w:cs="Times New Roman"/>
          <w:color w:val="auto"/>
          <w:kern w:val="0"/>
          <w:sz w:val="21"/>
          <w:szCs w:val="21"/>
          <w:highlight w:val="none"/>
          <w:lang w:val="en-US" w:eastAsia="zh-CN" w:bidi="ar-SA"/>
        </w:rPr>
        <w:t>3）支付约定：本合同签订后，招标单位施工单位进场开工后一周内，预付</w:t>
      </w:r>
      <w:r>
        <w:rPr>
          <w:rFonts w:hint="eastAsia" w:ascii="宋体" w:hAnsi="宋体"/>
          <w:color w:val="auto"/>
          <w:highlight w:val="none"/>
        </w:rPr>
        <w:t>安全文明施工费</w:t>
      </w:r>
      <w:r>
        <w:rPr>
          <w:rFonts w:hint="eastAsia" w:ascii="宋体" w:hAnsi="宋体"/>
          <w:color w:val="auto"/>
          <w:highlight w:val="none"/>
          <w:lang w:val="en-US" w:eastAsia="zh-CN"/>
        </w:rPr>
        <w:t>总额</w:t>
      </w:r>
      <w:r>
        <w:rPr>
          <w:rFonts w:hint="eastAsia" w:ascii="宋体" w:hAnsi="宋体" w:eastAsia="宋体" w:cs="Times New Roman"/>
          <w:color w:val="auto"/>
          <w:kern w:val="0"/>
          <w:sz w:val="21"/>
          <w:szCs w:val="21"/>
          <w:highlight w:val="none"/>
          <w:lang w:val="en-US" w:eastAsia="zh-CN" w:bidi="ar-SA"/>
        </w:rPr>
        <w:t>的30%，其余部分与进度款同期支付。</w:t>
      </w:r>
    </w:p>
    <w:p w14:paraId="79E26119">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（4）建设单位按规定将安全文明施工费用转入施工单位设立的安全文明施工费用专户。</w:t>
      </w:r>
    </w:p>
    <w:p w14:paraId="42D5FE53">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（5）工程施工完成后安全文明施工费用尚有结余的，结余部分由建设单位收回。</w:t>
      </w:r>
    </w:p>
    <w:p w14:paraId="3E172E70">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（6）施工单位将安全文明施工费用使用情况定期报告建设单位和监理单位，并提供相应的材料接受建设行政主管部门对此事项监管。</w:t>
      </w:r>
    </w:p>
    <w:p w14:paraId="5A3F1DE2">
      <w:pPr>
        <w:pStyle w:val="160"/>
        <w:autoSpaceDE w:val="0"/>
        <w:autoSpaceDN w:val="0"/>
        <w:adjustRightInd w:val="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（7）安全文明施工费支付专用账户：</w:t>
      </w:r>
      <w:r>
        <w:rPr>
          <w:rFonts w:hint="eastAsia" w:ascii="宋体" w:hAnsi="宋体" w:cs="Arial"/>
          <w:color w:val="auto"/>
          <w:highlight w:val="none"/>
          <w:u w:val="single"/>
        </w:rPr>
        <w:t>××××公司安全文明施工费专用账户</w:t>
      </w:r>
      <w:r>
        <w:rPr>
          <w:rFonts w:hint="eastAsia" w:ascii="宋体" w:hAnsi="宋体"/>
          <w:color w:val="auto"/>
          <w:highlight w:val="none"/>
          <w:u w:val="single"/>
        </w:rPr>
        <w:t xml:space="preserve"> </w:t>
      </w:r>
      <w:r>
        <w:rPr>
          <w:rFonts w:hint="eastAsia" w:ascii="宋体" w:hAnsi="宋体"/>
          <w:color w:val="auto"/>
          <w:highlight w:val="none"/>
        </w:rPr>
        <w:t xml:space="preserve">。          </w:t>
      </w:r>
    </w:p>
    <w:p w14:paraId="67DC1CF4">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1CC2D8">
      <w:pPr>
        <w:pStyle w:val="160"/>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6.1.7 关于农民工工资支付和使用的约定：</w:t>
      </w:r>
    </w:p>
    <w:p w14:paraId="7A781246">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（1）农民工工资（比例不低于工程进度款的20%）应与工程进度款同步拨付至农民工工资</w:t>
      </w:r>
      <w:r>
        <w:rPr>
          <w:rFonts w:ascii="宋体" w:hAnsi="宋体"/>
          <w:color w:val="auto"/>
          <w:szCs w:val="21"/>
          <w:highlight w:val="none"/>
        </w:rPr>
        <w:t>支付</w:t>
      </w:r>
      <w:r>
        <w:rPr>
          <w:rFonts w:hint="eastAsia" w:ascii="宋体" w:hAnsi="宋体"/>
          <w:color w:val="auto"/>
          <w:szCs w:val="21"/>
          <w:highlight w:val="none"/>
        </w:rPr>
        <w:t>专用账户，不得挪作他用，否则按相关规定处罚。</w:t>
      </w:r>
    </w:p>
    <w:p w14:paraId="291974FC">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农民工工资使用要求：专款专用，施工单位委托银行通过其设立的农民工工资（劳务费）专用账户直接将工资划入农民工个人工资账户。除发放工人工资外，不得用于其他用途。具体按《广西壮族自治区工程建设领域工人工资支付专用账户管理办法》（桂薪联发[2016]1号）以及《贵港市建设领域农民工工资支付管理实施细则》（贵政办通[2016]72号）相关规定执行。</w:t>
      </w:r>
    </w:p>
    <w:p w14:paraId="5B96E7C4">
      <w:pPr>
        <w:pStyle w:val="178"/>
        <w:spacing w:line="360" w:lineRule="auto"/>
        <w:ind w:firstLine="420" w:firstLineChars="200"/>
        <w:jc w:val="left"/>
        <w:rPr>
          <w:rFonts w:ascii="宋体" w:hAnsi="宋体"/>
          <w:color w:val="auto"/>
          <w:highlight w:val="none"/>
        </w:rPr>
      </w:pPr>
      <w:r>
        <w:rPr>
          <w:rFonts w:hint="eastAsia" w:ascii="宋体" w:hAnsi="宋体"/>
          <w:color w:val="auto"/>
          <w:szCs w:val="21"/>
          <w:highlight w:val="none"/>
        </w:rPr>
        <w:t>（3）施工单位将农民工工资</w:t>
      </w:r>
      <w:r>
        <w:rPr>
          <w:rFonts w:ascii="宋体" w:hAnsi="宋体"/>
          <w:color w:val="auto"/>
          <w:szCs w:val="21"/>
          <w:highlight w:val="none"/>
        </w:rPr>
        <w:t>支付</w:t>
      </w:r>
      <w:r>
        <w:rPr>
          <w:rFonts w:hint="eastAsia" w:ascii="宋体" w:hAnsi="宋体"/>
          <w:color w:val="auto"/>
          <w:szCs w:val="21"/>
          <w:highlight w:val="none"/>
        </w:rPr>
        <w:t>情况经监理单位核准后定期报告建设单位，同时报建设行政主管部门和劳动保障行政主管部门备案。</w:t>
      </w:r>
    </w:p>
    <w:p w14:paraId="4A80F6BE">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农民工工资支付专用账户：</w:t>
      </w:r>
      <w:r>
        <w:rPr>
          <w:rFonts w:hint="eastAsia" w:ascii="宋体" w:hAnsi="宋体" w:cs="Arial"/>
          <w:color w:val="auto"/>
          <w:highlight w:val="none"/>
          <w:u w:val="single"/>
        </w:rPr>
        <w:t>××××公司农民工工资支付专用账户</w:t>
      </w:r>
      <w:r>
        <w:rPr>
          <w:rFonts w:hint="eastAsia" w:ascii="宋体" w:hAnsi="宋体"/>
          <w:color w:val="auto"/>
          <w:highlight w:val="none"/>
        </w:rPr>
        <w:t xml:space="preserve"> 。       </w:t>
      </w:r>
    </w:p>
    <w:p w14:paraId="59156921">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43D1C7B">
      <w:pPr>
        <w:pStyle w:val="173"/>
        <w:rPr>
          <w:rFonts w:ascii="宋体" w:hAnsi="宋体"/>
          <w:color w:val="auto"/>
          <w:szCs w:val="21"/>
          <w:highlight w:val="none"/>
        </w:rPr>
      </w:pPr>
      <w:bookmarkStart w:id="174" w:name="_Toc524083314"/>
      <w:bookmarkStart w:id="175" w:name="_Toc523415213"/>
      <w:bookmarkStart w:id="176" w:name="_Toc522177090"/>
      <w:r>
        <w:rPr>
          <w:rFonts w:hint="eastAsia" w:ascii="宋体" w:hAnsi="宋体"/>
          <w:color w:val="auto"/>
          <w:szCs w:val="21"/>
          <w:highlight w:val="none"/>
        </w:rPr>
        <w:t>6.3 环境保护</w:t>
      </w:r>
      <w:bookmarkEnd w:id="174"/>
      <w:bookmarkEnd w:id="175"/>
      <w:bookmarkEnd w:id="176"/>
    </w:p>
    <w:p w14:paraId="1B6D18E8">
      <w:pPr>
        <w:pStyle w:val="174"/>
        <w:spacing w:line="360" w:lineRule="auto"/>
        <w:ind w:firstLine="420" w:firstLineChars="200"/>
        <w:jc w:val="left"/>
        <w:rPr>
          <w:color w:val="auto"/>
          <w:highlight w:val="none"/>
          <w:u w:val="single"/>
        </w:rPr>
      </w:pPr>
      <w:r>
        <w:rPr>
          <w:rFonts w:ascii="宋体" w:hAnsi="宋体"/>
          <w:color w:val="auto"/>
          <w:highlight w:val="none"/>
          <w:u w:val="single"/>
        </w:rPr>
        <w:t>因施工需要，经发包人批准，由承包人办理有关施工场地交通、环卫和施工噪音管理等手续，费用由承包人负责。</w:t>
      </w:r>
    </w:p>
    <w:p w14:paraId="22CBB10D">
      <w:pPr>
        <w:pStyle w:val="160"/>
        <w:spacing w:line="360" w:lineRule="auto"/>
        <w:ind w:firstLine="420" w:firstLineChars="200"/>
        <w:jc w:val="left"/>
        <w:rPr>
          <w:rFonts w:hint="eastAsia" w:ascii="宋体" w:hAnsi="宋体" w:eastAsia="宋体"/>
          <w:color w:val="auto"/>
          <w:highlight w:val="none"/>
          <w:lang w:eastAsia="zh-CN"/>
        </w:rPr>
      </w:pPr>
      <w:r>
        <w:rPr>
          <w:rFonts w:ascii="宋体" w:hAnsi="宋体"/>
          <w:color w:val="auto"/>
          <w:highlight w:val="none"/>
          <w:u w:val="single"/>
        </w:rPr>
        <w:t>经过城市道路的施工车辆，必须按交警、城管、运输等部门相关规定执行。由于施工车辆造成的道路、环境等污染，其责任和费用均由承包人承担</w:t>
      </w:r>
      <w:r>
        <w:rPr>
          <w:rFonts w:hint="eastAsia" w:ascii="宋体" w:hAnsi="宋体"/>
          <w:color w:val="auto"/>
          <w:highlight w:val="none"/>
          <w:u w:val="single"/>
          <w:lang w:eastAsia="zh-CN"/>
        </w:rPr>
        <w:t>。</w:t>
      </w:r>
    </w:p>
    <w:p w14:paraId="4900719E">
      <w:pPr>
        <w:pStyle w:val="172"/>
        <w:spacing w:line="360" w:lineRule="auto"/>
        <w:rPr>
          <w:rFonts w:ascii="宋体" w:hAnsi="宋体"/>
          <w:color w:val="auto"/>
          <w:sz w:val="21"/>
          <w:szCs w:val="21"/>
          <w:highlight w:val="none"/>
        </w:rPr>
      </w:pPr>
      <w:bookmarkStart w:id="177" w:name="_Toc522177091"/>
      <w:bookmarkStart w:id="178" w:name="_Toc524083315"/>
      <w:bookmarkStart w:id="179" w:name="_Toc523415214"/>
      <w:r>
        <w:rPr>
          <w:rFonts w:hint="eastAsia" w:ascii="宋体" w:hAnsi="宋体"/>
          <w:color w:val="auto"/>
          <w:sz w:val="21"/>
          <w:szCs w:val="21"/>
          <w:highlight w:val="none"/>
        </w:rPr>
        <w:t>7. 工期和进度</w:t>
      </w:r>
      <w:bookmarkEnd w:id="177"/>
      <w:bookmarkEnd w:id="178"/>
      <w:bookmarkEnd w:id="179"/>
    </w:p>
    <w:p w14:paraId="46DE6A33">
      <w:pPr>
        <w:pStyle w:val="173"/>
        <w:rPr>
          <w:rFonts w:ascii="宋体" w:hAnsi="宋体"/>
          <w:color w:val="auto"/>
          <w:szCs w:val="21"/>
          <w:highlight w:val="none"/>
        </w:rPr>
      </w:pPr>
      <w:bookmarkStart w:id="180" w:name="_Toc523415215"/>
      <w:bookmarkStart w:id="181" w:name="_Toc522177092"/>
      <w:bookmarkStart w:id="182" w:name="_Toc524083316"/>
      <w:r>
        <w:rPr>
          <w:rFonts w:hint="eastAsia" w:ascii="宋体" w:hAnsi="宋体"/>
          <w:color w:val="auto"/>
          <w:szCs w:val="21"/>
          <w:highlight w:val="none"/>
        </w:rPr>
        <w:t>7.1 施工组织设计</w:t>
      </w:r>
      <w:bookmarkEnd w:id="180"/>
      <w:bookmarkEnd w:id="181"/>
      <w:bookmarkEnd w:id="182"/>
    </w:p>
    <w:p w14:paraId="113112FE">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7.1.1 </w:t>
      </w:r>
      <w:r>
        <w:rPr>
          <w:rFonts w:hint="eastAsia" w:ascii="宋体" w:hAnsi="宋体"/>
          <w:color w:val="auto"/>
          <w:spacing w:val="-6"/>
          <w:sz w:val="21"/>
          <w:highlight w:val="none"/>
        </w:rPr>
        <w:t>合</w:t>
      </w:r>
      <w:r>
        <w:rPr>
          <w:rFonts w:hint="eastAsia" w:ascii="宋体" w:hAnsi="宋体"/>
          <w:color w:val="auto"/>
          <w:spacing w:val="-6"/>
          <w:kern w:val="0"/>
          <w:sz w:val="21"/>
          <w:highlight w:val="none"/>
        </w:rPr>
        <w:t>同当事人约定的施工组织设计应包括的其他内容：</w:t>
      </w:r>
      <w:r>
        <w:rPr>
          <w:rFonts w:hint="eastAsia" w:ascii="宋体" w:hAnsi="宋体"/>
          <w:color w:val="auto"/>
          <w:spacing w:val="-6"/>
          <w:sz w:val="21"/>
          <w:highlight w:val="none"/>
          <w:u w:val="single"/>
        </w:rPr>
        <w:t>按《通用合同条款》7.1.1条执行</w:t>
      </w:r>
      <w:r>
        <w:rPr>
          <w:rFonts w:hint="eastAsia" w:ascii="宋体" w:hAnsi="宋体"/>
          <w:color w:val="auto"/>
          <w:spacing w:val="-6"/>
          <w:sz w:val="21"/>
          <w:highlight w:val="none"/>
        </w:rPr>
        <w:t>。</w:t>
      </w:r>
    </w:p>
    <w:p w14:paraId="24D0B94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7.1.2 </w:t>
      </w:r>
      <w:r>
        <w:rPr>
          <w:rFonts w:hint="eastAsia" w:ascii="宋体" w:hAnsi="宋体"/>
          <w:color w:val="auto"/>
          <w:kern w:val="0"/>
          <w:highlight w:val="none"/>
        </w:rPr>
        <w:t>施工组织设计的提交和修改</w:t>
      </w:r>
    </w:p>
    <w:p w14:paraId="62B8977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承包人提交详细施工组织设计的期限的约定：</w:t>
      </w:r>
      <w:r>
        <w:rPr>
          <w:rFonts w:hint="eastAsia" w:ascii="宋体" w:hAnsi="宋体"/>
          <w:color w:val="auto"/>
          <w:highlight w:val="none"/>
          <w:u w:val="single"/>
        </w:rPr>
        <w:t xml:space="preserve"> 承包人应在合同签订后3天内</w:t>
      </w:r>
      <w:r>
        <w:rPr>
          <w:rFonts w:hint="eastAsia" w:ascii="宋体" w:hAnsi="宋体"/>
          <w:color w:val="auto"/>
          <w:highlight w:val="none"/>
        </w:rPr>
        <w:t>。</w:t>
      </w:r>
    </w:p>
    <w:p w14:paraId="2BB3064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发包人和监理人在收到详细的施工组织设计后确认或提出修改意见的期限：</w:t>
      </w:r>
      <w:r>
        <w:rPr>
          <w:rFonts w:hint="eastAsia" w:ascii="宋体" w:hAnsi="宋体"/>
          <w:color w:val="auto"/>
          <w:highlight w:val="none"/>
          <w:u w:val="single"/>
        </w:rPr>
        <w:t xml:space="preserve"> 收到施工组织设计后2天内确认或提出修改意见  </w:t>
      </w:r>
      <w:r>
        <w:rPr>
          <w:rFonts w:hint="eastAsia" w:ascii="宋体" w:hAnsi="宋体"/>
          <w:color w:val="auto"/>
          <w:highlight w:val="none"/>
        </w:rPr>
        <w:t>。</w:t>
      </w:r>
    </w:p>
    <w:p w14:paraId="6C6955EA">
      <w:pPr>
        <w:pStyle w:val="173"/>
        <w:rPr>
          <w:rFonts w:ascii="宋体" w:hAnsi="宋体"/>
          <w:color w:val="auto"/>
          <w:szCs w:val="21"/>
          <w:highlight w:val="none"/>
        </w:rPr>
      </w:pPr>
      <w:bookmarkStart w:id="183" w:name="_Toc524083317"/>
      <w:bookmarkStart w:id="184" w:name="_Toc522177093"/>
      <w:bookmarkStart w:id="185" w:name="_Toc523415216"/>
      <w:r>
        <w:rPr>
          <w:rFonts w:hint="eastAsia" w:ascii="宋体" w:hAnsi="宋体"/>
          <w:color w:val="auto"/>
          <w:szCs w:val="21"/>
          <w:highlight w:val="none"/>
        </w:rPr>
        <w:t>7.2 施工进度计划</w:t>
      </w:r>
      <w:bookmarkEnd w:id="183"/>
      <w:bookmarkEnd w:id="184"/>
      <w:bookmarkEnd w:id="185"/>
    </w:p>
    <w:p w14:paraId="70370D6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7.2.2 施工进度计划的修订</w:t>
      </w:r>
    </w:p>
    <w:p w14:paraId="4157D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发包人和监理人在收到修订的施工进度计划后确认或提出修改意见的期限：</w:t>
      </w:r>
      <w:r>
        <w:rPr>
          <w:rFonts w:hint="eastAsia" w:ascii="宋体" w:hAnsi="宋体"/>
          <w:color w:val="auto"/>
          <w:highlight w:val="none"/>
          <w:u w:val="single"/>
        </w:rPr>
        <w:t xml:space="preserve">收到修订的施工进度计划后2天内确认或提出修改意见 </w:t>
      </w:r>
      <w:r>
        <w:rPr>
          <w:rFonts w:hint="eastAsia" w:ascii="宋体" w:hAnsi="宋体"/>
          <w:color w:val="auto"/>
          <w:highlight w:val="none"/>
        </w:rPr>
        <w:t>。</w:t>
      </w:r>
    </w:p>
    <w:p w14:paraId="59B10EEA">
      <w:pPr>
        <w:pStyle w:val="173"/>
        <w:rPr>
          <w:rFonts w:ascii="宋体" w:hAnsi="宋体"/>
          <w:color w:val="auto"/>
          <w:szCs w:val="21"/>
          <w:highlight w:val="none"/>
        </w:rPr>
      </w:pPr>
      <w:bookmarkStart w:id="186" w:name="_Toc522177094"/>
      <w:bookmarkStart w:id="187" w:name="_Toc524083318"/>
      <w:bookmarkStart w:id="188" w:name="_Toc523415217"/>
      <w:r>
        <w:rPr>
          <w:rFonts w:hint="eastAsia" w:ascii="宋体" w:hAnsi="宋体"/>
          <w:color w:val="auto"/>
          <w:szCs w:val="21"/>
          <w:highlight w:val="none"/>
        </w:rPr>
        <w:t>7.3 开工</w:t>
      </w:r>
      <w:bookmarkEnd w:id="186"/>
      <w:bookmarkEnd w:id="187"/>
      <w:bookmarkEnd w:id="188"/>
    </w:p>
    <w:p w14:paraId="145207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7.3.1 开工准备</w:t>
      </w:r>
    </w:p>
    <w:p w14:paraId="322B521D">
      <w:pPr>
        <w:pStyle w:val="160"/>
        <w:spacing w:line="360" w:lineRule="auto"/>
        <w:ind w:firstLine="645"/>
        <w:jc w:val="left"/>
        <w:rPr>
          <w:rFonts w:ascii="宋体" w:hAnsi="宋体"/>
          <w:color w:val="auto"/>
          <w:highlight w:val="none"/>
          <w:u w:val="single"/>
        </w:rPr>
      </w:pPr>
      <w:r>
        <w:rPr>
          <w:rFonts w:hint="eastAsia" w:ascii="宋体" w:hAnsi="宋体"/>
          <w:color w:val="auto"/>
          <w:highlight w:val="none"/>
        </w:rPr>
        <w:t>关于承包人提交</w:t>
      </w:r>
      <w:r>
        <w:rPr>
          <w:rFonts w:hint="eastAsia" w:ascii="宋体" w:hAnsi="宋体"/>
          <w:color w:val="auto"/>
          <w:kern w:val="0"/>
          <w:highlight w:val="none"/>
        </w:rPr>
        <w:t>工程开工报审表的期限：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277E7F21">
      <w:pPr>
        <w:pStyle w:val="160"/>
        <w:spacing w:line="360" w:lineRule="auto"/>
        <w:ind w:firstLine="645"/>
        <w:jc w:val="left"/>
        <w:rPr>
          <w:rFonts w:ascii="宋体" w:hAnsi="宋体"/>
          <w:color w:val="auto"/>
          <w:highlight w:val="none"/>
        </w:rPr>
      </w:pPr>
      <w:r>
        <w:rPr>
          <w:rFonts w:hint="eastAsia" w:ascii="宋体" w:hAnsi="宋体"/>
          <w:color w:val="auto"/>
          <w:highlight w:val="none"/>
        </w:rPr>
        <w:t>关于发包人应完成的其他开工准备工作及期限：</w:t>
      </w:r>
      <w:r>
        <w:rPr>
          <w:rFonts w:hint="eastAsia" w:ascii="宋体" w:hAnsi="宋体"/>
          <w:color w:val="auto"/>
          <w:highlight w:val="none"/>
          <w:u w:val="single"/>
        </w:rPr>
        <w:t xml:space="preserve"> 按《通用合同条款》条执行 </w:t>
      </w:r>
      <w:r>
        <w:rPr>
          <w:rFonts w:hint="eastAsia" w:ascii="宋体" w:hAnsi="宋体"/>
          <w:color w:val="auto"/>
          <w:highlight w:val="none"/>
        </w:rPr>
        <w:t>。</w:t>
      </w:r>
    </w:p>
    <w:p w14:paraId="02CD8BFF">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关于承包人应完成的其他开工准备工作及期限：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54E67F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7.3.2开工通知</w:t>
      </w:r>
    </w:p>
    <w:p w14:paraId="6467CA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因发包人原因造成监理人未能在计划开工日期之日起</w:t>
      </w:r>
      <w:r>
        <w:rPr>
          <w:rFonts w:hint="eastAsia" w:ascii="宋体" w:hAnsi="宋体"/>
          <w:color w:val="auto"/>
          <w:highlight w:val="none"/>
          <w:u w:val="single"/>
        </w:rPr>
        <w:t xml:space="preserve"> 90 </w:t>
      </w:r>
      <w:r>
        <w:rPr>
          <w:rFonts w:hint="eastAsia" w:ascii="宋体" w:hAnsi="宋体"/>
          <w:color w:val="auto"/>
          <w:highlight w:val="none"/>
        </w:rPr>
        <w:t>天内发出开工通知的，承包人有权提出价格调整要求，或者解除合同。</w:t>
      </w:r>
    </w:p>
    <w:p w14:paraId="0FB86EDF">
      <w:pPr>
        <w:pStyle w:val="173"/>
        <w:rPr>
          <w:rFonts w:ascii="宋体" w:hAnsi="宋体"/>
          <w:color w:val="auto"/>
          <w:szCs w:val="21"/>
          <w:highlight w:val="none"/>
        </w:rPr>
      </w:pPr>
      <w:bookmarkStart w:id="189" w:name="_Toc524083319"/>
      <w:bookmarkStart w:id="190" w:name="_Toc523415218"/>
      <w:bookmarkStart w:id="191" w:name="_Toc522177095"/>
      <w:r>
        <w:rPr>
          <w:rFonts w:hint="eastAsia" w:ascii="宋体" w:hAnsi="宋体"/>
          <w:color w:val="auto"/>
          <w:szCs w:val="21"/>
          <w:highlight w:val="none"/>
        </w:rPr>
        <w:t>7.4 测量放线</w:t>
      </w:r>
      <w:bookmarkEnd w:id="189"/>
      <w:bookmarkEnd w:id="190"/>
      <w:bookmarkEnd w:id="191"/>
    </w:p>
    <w:p w14:paraId="168C8DF4">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7.4.1发包人通过监理人向承包人提供测量基准点、基准线和水准点及其书面资料的期限：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0240EC10">
      <w:pPr>
        <w:pStyle w:val="173"/>
        <w:rPr>
          <w:rFonts w:ascii="宋体" w:hAnsi="宋体"/>
          <w:color w:val="auto"/>
          <w:szCs w:val="21"/>
          <w:highlight w:val="none"/>
        </w:rPr>
      </w:pPr>
      <w:bookmarkStart w:id="192" w:name="_Toc522177096"/>
      <w:bookmarkStart w:id="193" w:name="_Toc523415219"/>
      <w:bookmarkStart w:id="194" w:name="_Toc524083320"/>
      <w:r>
        <w:rPr>
          <w:rFonts w:hint="eastAsia" w:ascii="宋体" w:hAnsi="宋体"/>
          <w:color w:val="auto"/>
          <w:szCs w:val="21"/>
          <w:highlight w:val="none"/>
        </w:rPr>
        <w:t>7.5 工期延误</w:t>
      </w:r>
      <w:bookmarkEnd w:id="192"/>
      <w:bookmarkEnd w:id="193"/>
      <w:bookmarkEnd w:id="194"/>
    </w:p>
    <w:p w14:paraId="01D6B03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7.5.1 因发包人原因导致工期延误</w:t>
      </w:r>
    </w:p>
    <w:p w14:paraId="7CF02E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（7）因发包人原因导致工期延误的其他情形：</w:t>
      </w:r>
      <w:r>
        <w:rPr>
          <w:rFonts w:hint="eastAsia" w:ascii="宋体" w:hAnsi="宋体"/>
          <w:color w:val="auto"/>
          <w:highlight w:val="none"/>
          <w:u w:val="single"/>
        </w:rPr>
        <w:t xml:space="preserve"> 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color w:val="auto"/>
          <w:highlight w:val="none"/>
        </w:rPr>
        <w:t>。</w:t>
      </w:r>
    </w:p>
    <w:p w14:paraId="23E878E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7.5.2 因承包人原因导致工期延误</w:t>
      </w:r>
    </w:p>
    <w:p w14:paraId="76B408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因承包人原因造成工期延误，逾期竣工违约金的计算方法为：</w:t>
      </w:r>
      <w:r>
        <w:rPr>
          <w:rFonts w:hint="eastAsia" w:ascii="宋体" w:hAnsi="宋体"/>
          <w:color w:val="auto"/>
          <w:highlight w:val="none"/>
          <w:u w:val="single"/>
        </w:rPr>
        <w:t>非上述原因，承包人不能按合同约定的时间竣工，承包人应承担违约责任。应向发包人支付误期赔偿费（每天赔偿金额为合同价款</w:t>
      </w:r>
      <w:r>
        <w:rPr>
          <w:rFonts w:ascii="宋体" w:hAnsi="宋体"/>
          <w:color w:val="auto"/>
          <w:highlight w:val="none"/>
          <w:u w:val="single"/>
        </w:rPr>
        <w:t>的万分</w:t>
      </w:r>
      <w:r>
        <w:rPr>
          <w:rFonts w:hint="eastAsia" w:ascii="宋体" w:hAnsi="宋体"/>
          <w:color w:val="auto"/>
          <w:highlight w:val="none"/>
          <w:u w:val="single"/>
        </w:rPr>
        <w:t>之二），误期时间从规定竣工日期起直到全部工程或相应部分工程竣工验收各方签章日期之间的天数（扣除发包人批准顺延的工期）。发包人可从应向承包人支付的任何金额中扣除此项赔款费或其他方式收回此款，此赔偿款的支付并不能解除承包人应完成工程的责任或合同规定的其他责任</w:t>
      </w:r>
      <w:r>
        <w:rPr>
          <w:rFonts w:hint="eastAsia" w:ascii="宋体" w:hAnsi="宋体"/>
          <w:color w:val="auto"/>
          <w:highlight w:val="none"/>
        </w:rPr>
        <w:t>。</w:t>
      </w:r>
    </w:p>
    <w:p w14:paraId="46A8665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因承包人原因造成工期延误，逾期竣工违约金的上限：</w:t>
      </w:r>
      <w:r>
        <w:rPr>
          <w:rFonts w:hint="eastAsia" w:ascii="宋体" w:hAnsi="宋体" w:eastAsia="宋体" w:cs="Times New Roman"/>
          <w:color w:val="auto"/>
          <w:highlight w:val="none"/>
          <w:u w:val="single"/>
        </w:rPr>
        <w:t>逾期竣工的单位工程结算造价扣除建安劳保费、发包人材料设备价款、暂估专业工程、暂列金额后的5%</w:t>
      </w:r>
      <w:r>
        <w:rPr>
          <w:rFonts w:hint="eastAsia" w:ascii="宋体" w:hAnsi="宋体"/>
          <w:color w:val="auto"/>
          <w:highlight w:val="none"/>
          <w:u w:val="single"/>
        </w:rPr>
        <w:t xml:space="preserve"> </w:t>
      </w:r>
      <w:r>
        <w:rPr>
          <w:rFonts w:hint="eastAsia" w:ascii="宋体" w:hAnsi="宋体"/>
          <w:color w:val="auto"/>
          <w:highlight w:val="none"/>
        </w:rPr>
        <w:t>。</w:t>
      </w:r>
    </w:p>
    <w:p w14:paraId="04F71616">
      <w:pPr>
        <w:pStyle w:val="173"/>
        <w:rPr>
          <w:rFonts w:ascii="宋体" w:hAnsi="宋体"/>
          <w:color w:val="auto"/>
          <w:szCs w:val="21"/>
          <w:highlight w:val="none"/>
        </w:rPr>
      </w:pPr>
      <w:bookmarkStart w:id="195" w:name="_Toc523415220"/>
      <w:bookmarkStart w:id="196" w:name="_Toc522177097"/>
      <w:bookmarkStart w:id="197" w:name="_Toc524083321"/>
      <w:r>
        <w:rPr>
          <w:rFonts w:hint="eastAsia" w:ascii="宋体" w:hAnsi="宋体"/>
          <w:color w:val="auto"/>
          <w:szCs w:val="21"/>
          <w:highlight w:val="none"/>
        </w:rPr>
        <w:t>7.6 不利物质条件</w:t>
      </w:r>
      <w:bookmarkEnd w:id="195"/>
      <w:bookmarkEnd w:id="196"/>
      <w:bookmarkEnd w:id="197"/>
    </w:p>
    <w:p w14:paraId="7BAFBDD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不利物质条件的其他情形和有关约定：</w:t>
      </w:r>
      <w:r>
        <w:rPr>
          <w:rFonts w:hint="eastAsia" w:ascii="宋体" w:hAnsi="宋体"/>
          <w:color w:val="auto"/>
          <w:highlight w:val="none"/>
          <w:u w:val="single"/>
        </w:rPr>
        <w:t xml:space="preserve"> 按《通用合同条款》7.6条执行  </w:t>
      </w:r>
      <w:r>
        <w:rPr>
          <w:rFonts w:hint="eastAsia" w:ascii="宋体" w:hAnsi="宋体"/>
          <w:color w:val="auto"/>
          <w:highlight w:val="none"/>
        </w:rPr>
        <w:t>。</w:t>
      </w:r>
    </w:p>
    <w:p w14:paraId="548C288C">
      <w:pPr>
        <w:pStyle w:val="173"/>
        <w:rPr>
          <w:rFonts w:ascii="宋体" w:hAnsi="宋体"/>
          <w:color w:val="auto"/>
          <w:szCs w:val="21"/>
          <w:highlight w:val="none"/>
        </w:rPr>
      </w:pPr>
      <w:bookmarkStart w:id="198" w:name="_Toc524083322"/>
      <w:bookmarkStart w:id="199" w:name="_Toc523415221"/>
      <w:bookmarkStart w:id="200" w:name="_Toc522177098"/>
      <w:r>
        <w:rPr>
          <w:rFonts w:hint="eastAsia" w:ascii="宋体" w:hAnsi="宋体"/>
          <w:color w:val="auto"/>
          <w:szCs w:val="21"/>
          <w:highlight w:val="none"/>
        </w:rPr>
        <w:t>7.7异常恶劣的气候条件</w:t>
      </w:r>
      <w:bookmarkEnd w:id="198"/>
      <w:bookmarkEnd w:id="199"/>
      <w:bookmarkEnd w:id="200"/>
    </w:p>
    <w:p w14:paraId="49C1CFB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发包人和承包人同意以下情形视为异常恶劣的气候条件：</w:t>
      </w:r>
    </w:p>
    <w:p w14:paraId="72360A04">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1</w:t>
      </w:r>
      <w:r>
        <w:rPr>
          <w:rFonts w:hint="eastAsia" w:hAnsi="宋体"/>
          <w:color w:val="auto"/>
          <w:highlight w:val="none"/>
        </w:rPr>
        <w:t>）</w:t>
      </w:r>
      <w:r>
        <w:rPr>
          <w:color w:val="auto"/>
          <w:highlight w:val="none"/>
          <w:u w:val="single"/>
        </w:rPr>
        <w:t>8</w:t>
      </w:r>
      <w:r>
        <w:rPr>
          <w:rFonts w:hint="eastAsia"/>
          <w:color w:val="auto"/>
          <w:highlight w:val="none"/>
          <w:u w:val="single"/>
        </w:rPr>
        <w:t>级以上的持续</w:t>
      </w:r>
      <w:r>
        <w:rPr>
          <w:color w:val="auto"/>
          <w:highlight w:val="none"/>
          <w:u w:val="single"/>
        </w:rPr>
        <w:t>3</w:t>
      </w:r>
      <w:r>
        <w:rPr>
          <w:rFonts w:hint="eastAsia"/>
          <w:color w:val="auto"/>
          <w:highlight w:val="none"/>
          <w:u w:val="single"/>
        </w:rPr>
        <w:t>天的大风</w:t>
      </w:r>
      <w:r>
        <w:rPr>
          <w:rFonts w:hint="eastAsia" w:hAnsi="宋体"/>
          <w:color w:val="auto"/>
          <w:highlight w:val="none"/>
        </w:rPr>
        <w:t>；</w:t>
      </w:r>
    </w:p>
    <w:p w14:paraId="18F5C359">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2</w:t>
      </w:r>
      <w:r>
        <w:rPr>
          <w:rFonts w:hint="eastAsia" w:hAnsi="宋体"/>
          <w:color w:val="auto"/>
          <w:highlight w:val="none"/>
        </w:rPr>
        <w:t>）</w:t>
      </w:r>
      <w:r>
        <w:rPr>
          <w:rFonts w:hint="eastAsia"/>
          <w:color w:val="auto"/>
          <w:highlight w:val="none"/>
          <w:u w:val="single"/>
        </w:rPr>
        <w:t>暴雨级以上的持续</w:t>
      </w:r>
      <w:r>
        <w:rPr>
          <w:color w:val="auto"/>
          <w:highlight w:val="none"/>
          <w:u w:val="single"/>
        </w:rPr>
        <w:t>3</w:t>
      </w:r>
      <w:r>
        <w:rPr>
          <w:rFonts w:hint="eastAsia"/>
          <w:color w:val="auto"/>
          <w:highlight w:val="none"/>
          <w:u w:val="single"/>
        </w:rPr>
        <w:t>天的大雨；</w:t>
      </w:r>
      <w:r>
        <w:rPr>
          <w:color w:val="auto"/>
          <w:highlight w:val="none"/>
          <w:u w:val="single"/>
        </w:rPr>
        <w:t>20</w:t>
      </w:r>
      <w:r>
        <w:rPr>
          <w:rFonts w:hint="eastAsia"/>
          <w:color w:val="auto"/>
          <w:highlight w:val="none"/>
          <w:u w:val="single"/>
        </w:rPr>
        <w:t>年以上未发生过的洪水</w:t>
      </w:r>
      <w:r>
        <w:rPr>
          <w:rFonts w:hint="eastAsia" w:hAnsi="宋体"/>
          <w:color w:val="auto"/>
          <w:highlight w:val="none"/>
        </w:rPr>
        <w:t>；</w:t>
      </w:r>
    </w:p>
    <w:p w14:paraId="3C4AE0C8">
      <w:pPr>
        <w:pStyle w:val="179"/>
        <w:spacing w:line="360" w:lineRule="auto"/>
        <w:ind w:firstLine="420" w:firstLineChars="200"/>
        <w:jc w:val="left"/>
        <w:rPr>
          <w:rFonts w:hAnsi="宋体"/>
          <w:color w:val="auto"/>
          <w:highlight w:val="none"/>
        </w:rPr>
      </w:pPr>
      <w:r>
        <w:rPr>
          <w:rFonts w:hint="eastAsia" w:hAnsi="宋体"/>
          <w:color w:val="auto"/>
          <w:highlight w:val="none"/>
        </w:rPr>
        <w:t>（</w:t>
      </w:r>
      <w:r>
        <w:rPr>
          <w:color w:val="auto"/>
          <w:highlight w:val="none"/>
        </w:rPr>
        <w:t>3</w:t>
      </w:r>
      <w:r>
        <w:rPr>
          <w:rFonts w:hint="eastAsia" w:hAnsi="宋体"/>
          <w:color w:val="auto"/>
          <w:highlight w:val="none"/>
        </w:rPr>
        <w:t>）</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天的高温天气；</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天的严寒天气</w:t>
      </w:r>
      <w:r>
        <w:rPr>
          <w:rFonts w:hint="eastAsia" w:hAnsi="宋体"/>
          <w:color w:val="auto"/>
          <w:spacing w:val="-6"/>
          <w:sz w:val="21"/>
          <w:highlight w:val="none"/>
        </w:rPr>
        <w:t>。</w:t>
      </w:r>
    </w:p>
    <w:p w14:paraId="3C5398DD">
      <w:pPr>
        <w:pStyle w:val="160"/>
        <w:spacing w:line="360" w:lineRule="auto"/>
        <w:ind w:firstLine="420" w:firstLineChars="200"/>
        <w:jc w:val="left"/>
        <w:rPr>
          <w:rFonts w:hint="eastAsia" w:ascii="宋体" w:hAnsi="宋体" w:eastAsia="宋体"/>
          <w:color w:val="auto"/>
          <w:highlight w:val="none"/>
          <w:lang w:eastAsia="zh-CN"/>
        </w:rPr>
      </w:pPr>
      <w:r>
        <w:rPr>
          <w:rFonts w:hint="eastAsia" w:hAnsi="宋体"/>
          <w:color w:val="auto"/>
          <w:highlight w:val="none"/>
          <w:u w:val="single"/>
        </w:rPr>
        <w:t>以上异常恶劣的气候的认定以当地气象部门出具的材料为准</w:t>
      </w:r>
      <w:r>
        <w:rPr>
          <w:rFonts w:hint="eastAsia" w:hAnsi="宋体"/>
          <w:color w:val="auto"/>
          <w:highlight w:val="none"/>
          <w:u w:val="single"/>
          <w:lang w:eastAsia="zh-CN"/>
        </w:rPr>
        <w:t>。</w:t>
      </w:r>
    </w:p>
    <w:p w14:paraId="47AC49DF">
      <w:pPr>
        <w:pStyle w:val="172"/>
        <w:spacing w:line="360" w:lineRule="auto"/>
        <w:rPr>
          <w:rFonts w:ascii="宋体" w:hAnsi="宋体"/>
          <w:color w:val="auto"/>
          <w:sz w:val="21"/>
          <w:szCs w:val="21"/>
          <w:highlight w:val="none"/>
        </w:rPr>
      </w:pPr>
      <w:bookmarkStart w:id="201" w:name="_Toc523415223"/>
      <w:bookmarkStart w:id="202" w:name="_Toc522177100"/>
      <w:bookmarkStart w:id="203" w:name="_Toc524083324"/>
      <w:r>
        <w:rPr>
          <w:rFonts w:hint="eastAsia" w:ascii="宋体" w:hAnsi="宋体"/>
          <w:color w:val="auto"/>
          <w:sz w:val="21"/>
          <w:szCs w:val="21"/>
          <w:highlight w:val="none"/>
        </w:rPr>
        <w:t>8. 材料与设备</w:t>
      </w:r>
      <w:bookmarkEnd w:id="201"/>
      <w:bookmarkEnd w:id="202"/>
      <w:bookmarkEnd w:id="203"/>
    </w:p>
    <w:p w14:paraId="606FB93C">
      <w:pPr>
        <w:pStyle w:val="173"/>
        <w:rPr>
          <w:rFonts w:ascii="宋体" w:hAnsi="宋体"/>
          <w:color w:val="auto"/>
          <w:szCs w:val="21"/>
          <w:highlight w:val="none"/>
        </w:rPr>
      </w:pPr>
      <w:bookmarkStart w:id="204" w:name="_Toc524083325"/>
      <w:bookmarkStart w:id="205" w:name="_Toc522177101"/>
      <w:bookmarkStart w:id="206" w:name="_Toc523415224"/>
      <w:r>
        <w:rPr>
          <w:rFonts w:hint="eastAsia" w:ascii="宋体" w:hAnsi="宋体"/>
          <w:color w:val="auto"/>
          <w:szCs w:val="21"/>
          <w:highlight w:val="none"/>
        </w:rPr>
        <w:t>8.4材料与工程设备的保管与使用</w:t>
      </w:r>
      <w:bookmarkEnd w:id="204"/>
      <w:bookmarkEnd w:id="205"/>
      <w:bookmarkEnd w:id="206"/>
    </w:p>
    <w:p w14:paraId="0D7B6B82">
      <w:pPr>
        <w:pStyle w:val="179"/>
        <w:spacing w:line="360" w:lineRule="auto"/>
        <w:ind w:firstLine="420" w:firstLineChars="200"/>
        <w:jc w:val="left"/>
        <w:rPr>
          <w:rFonts w:hint="eastAsia" w:hAnsi="宋体"/>
          <w:color w:val="auto"/>
          <w:highlight w:val="none"/>
        </w:rPr>
      </w:pPr>
      <w:r>
        <w:rPr>
          <w:rFonts w:hint="eastAsia" w:ascii="宋体" w:hAnsi="宋体"/>
          <w:color w:val="auto"/>
          <w:highlight w:val="none"/>
        </w:rPr>
        <w:t>8.4.1发包人供应的材料设备的保管费用的承担：</w:t>
      </w:r>
      <w:r>
        <w:rPr>
          <w:rFonts w:hint="eastAsia"/>
          <w:color w:val="auto"/>
          <w:highlight w:val="none"/>
          <w:u w:val="single"/>
        </w:rPr>
        <w:t>如有发包人供应的材料和工程设备，如须承包人代为保管的，承包人清点后由承包人妥善保管，保管期间产生的费用由发包人承担。监理人未通知承包人清点的，承包人不负责材料和工程设备的保管，由此导致丢失毁损的由发包人负责。发包人供应的材料和工程设备使用前，由承包人负责检验，检验费用由发包人承担，不合格的不得使用</w:t>
      </w:r>
      <w:r>
        <w:rPr>
          <w:rFonts w:hint="eastAsia" w:hAnsi="宋体"/>
          <w:color w:val="auto"/>
          <w:highlight w:val="none"/>
        </w:rPr>
        <w:t>。</w:t>
      </w:r>
    </w:p>
    <w:p w14:paraId="4371F1E2">
      <w:pPr>
        <w:pStyle w:val="173"/>
        <w:rPr>
          <w:rFonts w:ascii="宋体" w:hAnsi="宋体"/>
          <w:color w:val="auto"/>
          <w:szCs w:val="21"/>
          <w:highlight w:val="none"/>
        </w:rPr>
      </w:pPr>
      <w:bookmarkStart w:id="207" w:name="_Toc524083326"/>
      <w:bookmarkStart w:id="208" w:name="_Toc523415225"/>
      <w:bookmarkStart w:id="209" w:name="_Toc522177102"/>
      <w:r>
        <w:rPr>
          <w:rFonts w:hint="eastAsia" w:ascii="宋体" w:hAnsi="宋体"/>
          <w:color w:val="auto"/>
          <w:szCs w:val="21"/>
          <w:highlight w:val="none"/>
        </w:rPr>
        <w:t>8.6 样品</w:t>
      </w:r>
      <w:bookmarkEnd w:id="207"/>
      <w:bookmarkEnd w:id="208"/>
      <w:bookmarkEnd w:id="209"/>
    </w:p>
    <w:p w14:paraId="5F7DF775">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8.6.1</w:t>
      </w:r>
      <w:r>
        <w:rPr>
          <w:rFonts w:hint="eastAsia" w:ascii="宋体" w:hAnsi="宋体"/>
          <w:color w:val="auto"/>
          <w:kern w:val="0"/>
          <w:highlight w:val="none"/>
          <w:lang w:val="en-US" w:eastAsia="zh-CN"/>
        </w:rPr>
        <w:t xml:space="preserve"> </w:t>
      </w:r>
      <w:r>
        <w:rPr>
          <w:rFonts w:hint="eastAsia" w:ascii="宋体" w:hAnsi="宋体"/>
          <w:color w:val="auto"/>
          <w:kern w:val="0"/>
          <w:highlight w:val="none"/>
        </w:rPr>
        <w:t>样品的报送与封存</w:t>
      </w:r>
    </w:p>
    <w:p w14:paraId="79F73B07">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需要承包人报送样品的材料或工程设备，样品的种类、名称、规格、数量要求：</w:t>
      </w:r>
      <w:r>
        <w:rPr>
          <w:rFonts w:hint="eastAsia" w:ascii="宋体" w:hAnsi="宋体"/>
          <w:color w:val="auto"/>
          <w:highlight w:val="none"/>
          <w:u w:val="single"/>
        </w:rPr>
        <w:t xml:space="preserve"> </w:t>
      </w:r>
      <w:r>
        <w:rPr>
          <w:rFonts w:ascii="宋体" w:hAnsi="宋体"/>
          <w:color w:val="auto"/>
          <w:highlight w:val="none"/>
          <w:u w:val="single"/>
        </w:rPr>
        <w:t>主要材料涉及品种、款式、颜色等方面内容的，承包人应提交准备合格的材料样品送发包人选定</w:t>
      </w:r>
      <w:r>
        <w:rPr>
          <w:rFonts w:hint="eastAsia" w:ascii="宋体" w:hAnsi="宋体"/>
          <w:color w:val="auto"/>
          <w:highlight w:val="none"/>
          <w:u w:val="single"/>
        </w:rPr>
        <w:t xml:space="preserve"> </w:t>
      </w:r>
      <w:r>
        <w:rPr>
          <w:rFonts w:hint="eastAsia" w:ascii="宋体" w:hAnsi="宋体"/>
          <w:color w:val="auto"/>
          <w:highlight w:val="none"/>
        </w:rPr>
        <w:t>。</w:t>
      </w:r>
    </w:p>
    <w:p w14:paraId="188B4439">
      <w:pPr>
        <w:pStyle w:val="173"/>
        <w:rPr>
          <w:rFonts w:ascii="宋体" w:hAnsi="宋体"/>
          <w:color w:val="auto"/>
          <w:szCs w:val="21"/>
          <w:highlight w:val="none"/>
        </w:rPr>
      </w:pPr>
      <w:bookmarkStart w:id="210" w:name="_Toc523415226"/>
      <w:bookmarkStart w:id="211" w:name="_Toc522177103"/>
      <w:bookmarkStart w:id="212" w:name="_Toc524083327"/>
      <w:r>
        <w:rPr>
          <w:rFonts w:hint="eastAsia" w:ascii="宋体" w:hAnsi="宋体"/>
          <w:color w:val="auto"/>
          <w:szCs w:val="21"/>
          <w:highlight w:val="none"/>
        </w:rPr>
        <w:t>8.8 施工设备和临时设施</w:t>
      </w:r>
      <w:bookmarkEnd w:id="210"/>
      <w:bookmarkEnd w:id="211"/>
      <w:bookmarkEnd w:id="212"/>
    </w:p>
    <w:p w14:paraId="49A86ABB">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8.8.1 承包人提供的施工设备和临时设施</w:t>
      </w:r>
    </w:p>
    <w:p w14:paraId="76303CD1">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关于修建临时设施费用承担的约定：</w:t>
      </w:r>
      <w:r>
        <w:rPr>
          <w:rFonts w:hint="eastAsia" w:ascii="宋体" w:hAnsi="宋体"/>
          <w:color w:val="auto"/>
          <w:highlight w:val="none"/>
          <w:u w:val="single"/>
        </w:rPr>
        <w:t xml:space="preserve"> ①承包人的临时用地（含项目部驻地等）租用费（含拆迁补偿）、临时用地的环保、恢复、临时用地的青苗补偿及地面附着物拆除等费用均由承包人负责，以上费用在投标报价中综合考虑。</w:t>
      </w:r>
    </w:p>
    <w:p w14:paraId="781B58FD">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u w:val="single"/>
        </w:rPr>
        <w:t>②承包人负责合同实施期间其合同段内临时交通道路（含场内外连接公共交通道路）和交通设施的修建、维修、养护和交通管理工作，并承担一切费用。</w:t>
      </w:r>
    </w:p>
    <w:p w14:paraId="67A03B6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u w:val="single"/>
        </w:rPr>
        <w:t>③承包人修建的临时道路和交通设施，应免费提供给发包人、监理工程师和其他合同段的承包人使用，如共同使用的路基损坏严重，发包人或监理工程师将负责通知有关承包人共同出资修复，若使用频率相差悬殊，则按比例分摊</w:t>
      </w:r>
      <w:r>
        <w:rPr>
          <w:rFonts w:hint="eastAsia" w:ascii="宋体" w:hAnsi="宋体"/>
          <w:color w:val="auto"/>
          <w:highlight w:val="none"/>
        </w:rPr>
        <w:t>。</w:t>
      </w:r>
    </w:p>
    <w:p w14:paraId="07EA0846">
      <w:pPr>
        <w:pStyle w:val="172"/>
        <w:spacing w:line="360" w:lineRule="auto"/>
        <w:rPr>
          <w:rFonts w:ascii="宋体" w:hAnsi="宋体"/>
          <w:color w:val="auto"/>
          <w:sz w:val="21"/>
          <w:szCs w:val="21"/>
          <w:highlight w:val="none"/>
        </w:rPr>
      </w:pPr>
      <w:bookmarkStart w:id="213" w:name="_Toc522177104"/>
      <w:bookmarkStart w:id="214" w:name="_Toc524083328"/>
      <w:bookmarkStart w:id="215" w:name="_Toc523415227"/>
      <w:r>
        <w:rPr>
          <w:rFonts w:hint="eastAsia" w:ascii="宋体" w:hAnsi="宋体"/>
          <w:color w:val="auto"/>
          <w:sz w:val="21"/>
          <w:szCs w:val="21"/>
          <w:highlight w:val="none"/>
        </w:rPr>
        <w:t>9. 试验与检验</w:t>
      </w:r>
      <w:bookmarkEnd w:id="213"/>
      <w:bookmarkEnd w:id="214"/>
      <w:bookmarkEnd w:id="215"/>
    </w:p>
    <w:p w14:paraId="7FB6BCFE">
      <w:pPr>
        <w:pStyle w:val="173"/>
        <w:rPr>
          <w:rFonts w:ascii="宋体" w:hAnsi="宋体"/>
          <w:color w:val="auto"/>
          <w:szCs w:val="21"/>
          <w:highlight w:val="none"/>
        </w:rPr>
      </w:pPr>
      <w:bookmarkStart w:id="216" w:name="_Toc522177105"/>
      <w:bookmarkStart w:id="217" w:name="_Toc523415228"/>
      <w:bookmarkStart w:id="218" w:name="_Toc524083329"/>
      <w:r>
        <w:rPr>
          <w:rFonts w:hint="eastAsia" w:ascii="宋体" w:hAnsi="宋体"/>
          <w:color w:val="auto"/>
          <w:szCs w:val="21"/>
          <w:highlight w:val="none"/>
        </w:rPr>
        <w:t>9.1试验设备与试验人员</w:t>
      </w:r>
      <w:bookmarkEnd w:id="216"/>
      <w:bookmarkEnd w:id="217"/>
      <w:bookmarkEnd w:id="218"/>
    </w:p>
    <w:p w14:paraId="0D68B7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9.1.2 试验设备</w:t>
      </w:r>
    </w:p>
    <w:p w14:paraId="50C9638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施工现场需要配置的试验场所：</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 xml:space="preserve">。 </w:t>
      </w:r>
    </w:p>
    <w:p w14:paraId="184A6B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施工现场需要配备的试验设备：</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55BCC9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施工现场需要具备的其他试验条件：</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42ABC6C8">
      <w:pPr>
        <w:pStyle w:val="173"/>
        <w:pageBreakBefore w:val="0"/>
        <w:widowControl w:val="0"/>
        <w:kinsoku/>
        <w:wordWrap/>
        <w:overflowPunct/>
        <w:topLinePunct w:val="0"/>
        <w:autoSpaceDE/>
        <w:autoSpaceDN/>
        <w:bidi w:val="0"/>
        <w:adjustRightInd/>
        <w:snapToGrid/>
        <w:spacing w:line="360" w:lineRule="auto"/>
        <w:textAlignment w:val="auto"/>
        <w:rPr>
          <w:rFonts w:ascii="宋体" w:hAnsi="宋体"/>
          <w:color w:val="auto"/>
          <w:szCs w:val="21"/>
          <w:highlight w:val="none"/>
        </w:rPr>
      </w:pPr>
      <w:bookmarkStart w:id="219" w:name="_Toc522177106"/>
      <w:bookmarkStart w:id="220" w:name="_Toc523415229"/>
      <w:bookmarkStart w:id="221" w:name="_Toc524083330"/>
      <w:r>
        <w:rPr>
          <w:rFonts w:hint="eastAsia" w:ascii="宋体" w:hAnsi="宋体"/>
          <w:color w:val="auto"/>
          <w:szCs w:val="21"/>
          <w:highlight w:val="none"/>
        </w:rPr>
        <w:t>9.4 现场工艺试验</w:t>
      </w:r>
      <w:bookmarkEnd w:id="219"/>
      <w:bookmarkEnd w:id="220"/>
      <w:bookmarkEnd w:id="221"/>
      <w:r>
        <w:rPr>
          <w:rFonts w:hint="eastAsia" w:ascii="宋体" w:hAnsi="宋体"/>
          <w:color w:val="auto"/>
          <w:szCs w:val="21"/>
          <w:highlight w:val="none"/>
        </w:rPr>
        <w:t xml:space="preserve"> </w:t>
      </w:r>
    </w:p>
    <w:p w14:paraId="22F75625">
      <w:pPr>
        <w:pStyle w:val="16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ascii="宋体" w:hAnsi="宋体"/>
          <w:color w:val="auto"/>
          <w:highlight w:val="none"/>
        </w:rPr>
      </w:pPr>
      <w:r>
        <w:rPr>
          <w:rFonts w:hint="eastAsia" w:ascii="宋体" w:hAnsi="宋体"/>
          <w:color w:val="auto"/>
          <w:highlight w:val="none"/>
        </w:rPr>
        <w:t>现场工艺试验的有关约定：</w:t>
      </w:r>
      <w:r>
        <w:rPr>
          <w:rFonts w:hint="eastAsia" w:ascii="宋体" w:hAnsi="宋体"/>
          <w:color w:val="auto"/>
          <w:highlight w:val="none"/>
          <w:u w:val="single"/>
        </w:rPr>
        <w:t xml:space="preserve">    按《通用合同条款》9.4条执行     </w:t>
      </w:r>
      <w:r>
        <w:rPr>
          <w:rFonts w:hint="eastAsia" w:ascii="宋体" w:hAnsi="宋体"/>
          <w:color w:val="auto"/>
          <w:highlight w:val="none"/>
        </w:rPr>
        <w:t>。</w:t>
      </w:r>
    </w:p>
    <w:p w14:paraId="4A5FE508">
      <w:pPr>
        <w:pStyle w:val="172"/>
        <w:pageBreakBefore w:val="0"/>
        <w:widowControl w:val="0"/>
        <w:kinsoku/>
        <w:wordWrap/>
        <w:overflowPunct/>
        <w:topLinePunct w:val="0"/>
        <w:autoSpaceDE/>
        <w:autoSpaceDN/>
        <w:bidi w:val="0"/>
        <w:adjustRightInd/>
        <w:snapToGrid/>
        <w:spacing w:line="360" w:lineRule="auto"/>
        <w:textAlignment w:val="auto"/>
        <w:rPr>
          <w:rFonts w:ascii="宋体" w:hAnsi="宋体"/>
          <w:color w:val="auto"/>
          <w:sz w:val="21"/>
          <w:szCs w:val="21"/>
          <w:highlight w:val="none"/>
        </w:rPr>
      </w:pPr>
      <w:bookmarkStart w:id="222" w:name="_Toc523415230"/>
      <w:bookmarkStart w:id="223" w:name="_Toc524083331"/>
      <w:bookmarkStart w:id="224" w:name="_Toc522177107"/>
      <w:r>
        <w:rPr>
          <w:rFonts w:hint="eastAsia" w:ascii="宋体" w:hAnsi="宋体"/>
          <w:color w:val="auto"/>
          <w:sz w:val="21"/>
          <w:szCs w:val="21"/>
          <w:highlight w:val="none"/>
        </w:rPr>
        <w:t>10. 变更</w:t>
      </w:r>
      <w:bookmarkEnd w:id="222"/>
      <w:bookmarkEnd w:id="223"/>
      <w:bookmarkEnd w:id="224"/>
    </w:p>
    <w:p w14:paraId="197C45ED">
      <w:pPr>
        <w:pStyle w:val="160"/>
        <w:pageBreakBefore w:val="0"/>
        <w:widowControl w:val="0"/>
        <w:kinsoku/>
        <w:wordWrap/>
        <w:overflowPunct/>
        <w:topLinePunct w:val="0"/>
        <w:autoSpaceDE/>
        <w:autoSpaceDN/>
        <w:bidi w:val="0"/>
        <w:adjustRightInd/>
        <w:snapToGrid/>
        <w:spacing w:after="120" w:line="360" w:lineRule="auto"/>
        <w:textAlignment w:val="auto"/>
        <w:rPr>
          <w:rFonts w:ascii="Times New Roman" w:hAnsi="宋体" w:eastAsia="黑体" w:cs="Times New Roman"/>
          <w:b/>
          <w:bCs/>
          <w:color w:val="auto"/>
          <w:kern w:val="2"/>
          <w:sz w:val="21"/>
          <w:szCs w:val="32"/>
          <w:highlight w:val="none"/>
          <w:lang w:val="en-US" w:eastAsia="zh-CN" w:bidi="ar-SA"/>
        </w:rPr>
      </w:pPr>
      <w:r>
        <w:rPr>
          <w:rFonts w:hint="eastAsia" w:ascii="Times New Roman" w:hAnsi="宋体" w:eastAsia="黑体" w:cs="Times New Roman"/>
          <w:b/>
          <w:bCs/>
          <w:color w:val="auto"/>
          <w:kern w:val="2"/>
          <w:sz w:val="21"/>
          <w:szCs w:val="32"/>
          <w:highlight w:val="none"/>
          <w:lang w:val="en-US" w:eastAsia="zh-CN" w:bidi="ar-SA"/>
        </w:rPr>
        <w:t>10.1变更的范围</w:t>
      </w:r>
    </w:p>
    <w:p w14:paraId="7ECB3B36">
      <w:pPr>
        <w:pStyle w:val="160"/>
        <w:pageBreakBefore w:val="0"/>
        <w:widowControl w:val="0"/>
        <w:kinsoku/>
        <w:wordWrap/>
        <w:overflowPunct/>
        <w:topLinePunct w:val="0"/>
        <w:autoSpaceDE/>
        <w:autoSpaceDN/>
        <w:bidi w:val="0"/>
        <w:adjustRightInd/>
        <w:snapToGrid/>
        <w:spacing w:line="360" w:lineRule="auto"/>
        <w:ind w:firstLine="600"/>
        <w:jc w:val="left"/>
        <w:textAlignment w:val="auto"/>
        <w:rPr>
          <w:rFonts w:ascii="宋体" w:hAnsi="宋体"/>
          <w:color w:val="auto"/>
          <w:highlight w:val="none"/>
        </w:rPr>
      </w:pPr>
      <w:r>
        <w:rPr>
          <w:rFonts w:hint="eastAsia" w:ascii="宋体" w:hAnsi="宋体"/>
          <w:color w:val="auto"/>
          <w:highlight w:val="none"/>
        </w:rPr>
        <w:t>关于变更的范围的约定：</w:t>
      </w:r>
      <w:r>
        <w:rPr>
          <w:rFonts w:hint="eastAsia" w:ascii="宋体" w:hAnsi="宋体"/>
          <w:color w:val="auto"/>
          <w:highlight w:val="none"/>
          <w:u w:val="single"/>
        </w:rPr>
        <w:t>缺项、漏项、错项、设计变更等</w:t>
      </w:r>
      <w:r>
        <w:rPr>
          <w:rFonts w:hint="eastAsia" w:ascii="宋体" w:hAnsi="宋体"/>
          <w:color w:val="auto"/>
          <w:highlight w:val="none"/>
        </w:rPr>
        <w:t>。</w:t>
      </w:r>
    </w:p>
    <w:p w14:paraId="3B1A98C6">
      <w:pPr>
        <w:pStyle w:val="4"/>
        <w:pageBreakBefore w:val="0"/>
        <w:widowControl w:val="0"/>
        <w:kinsoku/>
        <w:wordWrap/>
        <w:overflowPunct/>
        <w:topLinePunct w:val="0"/>
        <w:autoSpaceDE/>
        <w:autoSpaceDN/>
        <w:bidi w:val="0"/>
        <w:adjustRightInd/>
        <w:snapToGrid/>
        <w:spacing w:line="360" w:lineRule="auto"/>
        <w:textAlignment w:val="auto"/>
        <w:rPr>
          <w:rFonts w:hint="eastAsia" w:ascii="Times New Roman" w:hAnsi="宋体" w:eastAsia="黑体" w:cs="Times New Roman"/>
          <w:b/>
          <w:bCs/>
          <w:color w:val="auto"/>
          <w:kern w:val="2"/>
          <w:sz w:val="21"/>
          <w:szCs w:val="32"/>
          <w:highlight w:val="none"/>
          <w:lang w:val="en-US" w:eastAsia="zh-CN" w:bidi="ar-SA"/>
        </w:rPr>
      </w:pPr>
      <w:bookmarkStart w:id="225" w:name="_Toc373478388"/>
      <w:bookmarkStart w:id="226" w:name="_Toc389065307"/>
      <w:bookmarkStart w:id="227" w:name="_Toc29293"/>
      <w:bookmarkStart w:id="228" w:name="_Toc373227741"/>
      <w:bookmarkStart w:id="229" w:name="_Toc66356453"/>
      <w:r>
        <w:rPr>
          <w:rFonts w:hint="eastAsia" w:ascii="Times New Roman" w:hAnsi="宋体" w:eastAsia="黑体" w:cs="Times New Roman"/>
          <w:b/>
          <w:bCs/>
          <w:color w:val="auto"/>
          <w:kern w:val="2"/>
          <w:sz w:val="21"/>
          <w:szCs w:val="32"/>
          <w:highlight w:val="none"/>
          <w:lang w:val="en-US" w:eastAsia="zh-CN" w:bidi="ar-SA"/>
        </w:rPr>
        <w:t>10.3 变更程序</w:t>
      </w:r>
      <w:bookmarkEnd w:id="225"/>
      <w:bookmarkEnd w:id="226"/>
      <w:bookmarkEnd w:id="227"/>
      <w:bookmarkEnd w:id="228"/>
      <w:bookmarkEnd w:id="229"/>
    </w:p>
    <w:p w14:paraId="23FCD36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10.3.1 国有投资项目：</w:t>
      </w:r>
    </w:p>
    <w:p w14:paraId="73ECF88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⑴设计变更和工程签证，按各市政府或相关部门的规定办理。属不可抗力（自然灾害、突发事件等）造成变更的，按特事特办原则予以办理。</w:t>
      </w:r>
    </w:p>
    <w:p w14:paraId="08E52F0A">
      <w:pPr>
        <w:pStyle w:val="24"/>
        <w:spacing w:line="360" w:lineRule="auto"/>
        <w:ind w:firstLine="441" w:firstLineChars="21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⑵建设单位在实施项目过程中，若发生单价变动，由建设单位、监理单位、施工单位及其他相关单位共同商定并签字确认。</w:t>
      </w:r>
    </w:p>
    <w:p w14:paraId="510543BF">
      <w:pPr>
        <w:spacing w:line="360" w:lineRule="auto"/>
        <w:ind w:firstLine="420" w:firstLineChars="200"/>
        <w:jc w:val="left"/>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⑶ 当合同规定的合同价款调整情况发生后，承包人未在规定时间内通知发包人，或者未在规定时间内提出调整报告，发包人可以根据有关资料，决定是否调整和调整的金额，并书面通知承包人。</w:t>
      </w:r>
    </w:p>
    <w:p w14:paraId="5304797C">
      <w:pPr>
        <w:spacing w:line="360" w:lineRule="auto"/>
        <w:ind w:firstLine="420" w:firstLineChars="200"/>
        <w:jc w:val="left"/>
        <w:rPr>
          <w:bCs/>
          <w:color w:val="auto"/>
          <w:szCs w:val="21"/>
          <w:highlight w:val="none"/>
        </w:rPr>
      </w:pPr>
      <w:r>
        <w:rPr>
          <w:bCs/>
          <w:color w:val="auto"/>
          <w:szCs w:val="21"/>
          <w:highlight w:val="none"/>
        </w:rPr>
        <w:t>10.3.2</w:t>
      </w:r>
      <w:r>
        <w:rPr>
          <w:rFonts w:hint="eastAsia"/>
          <w:bCs/>
          <w:color w:val="auto"/>
          <w:szCs w:val="21"/>
          <w:highlight w:val="none"/>
        </w:rPr>
        <w:t xml:space="preserve"> </w:t>
      </w:r>
      <w:r>
        <w:rPr>
          <w:bCs/>
          <w:color w:val="auto"/>
          <w:szCs w:val="21"/>
          <w:highlight w:val="none"/>
        </w:rPr>
        <w:t xml:space="preserve">非国有投资项目： </w:t>
      </w:r>
    </w:p>
    <w:p w14:paraId="541B7EE5">
      <w:pPr>
        <w:pStyle w:val="160"/>
        <w:spacing w:line="360" w:lineRule="auto"/>
        <w:rPr>
          <w:rFonts w:hint="eastAsia" w:ascii="宋体" w:hAnsi="宋体"/>
          <w:color w:val="auto"/>
          <w:highlight w:val="none"/>
        </w:rPr>
      </w:pPr>
      <w:r>
        <w:rPr>
          <w:bCs/>
          <w:color w:val="auto"/>
          <w:highlight w:val="none"/>
          <w:u w:val="single"/>
        </w:rPr>
        <w:t xml:space="preserve">                                                            </w:t>
      </w:r>
      <w:r>
        <w:rPr>
          <w:rFonts w:hAnsi="宋体"/>
          <w:bCs/>
          <w:color w:val="auto"/>
          <w:highlight w:val="none"/>
        </w:rPr>
        <w:t>。</w:t>
      </w:r>
    </w:p>
    <w:p w14:paraId="03925E6E">
      <w:pPr>
        <w:pStyle w:val="160"/>
        <w:spacing w:line="360" w:lineRule="auto"/>
        <w:rPr>
          <w:rFonts w:ascii="宋体" w:hAnsi="宋体"/>
          <w:b/>
          <w:bCs/>
          <w:color w:val="auto"/>
          <w:highlight w:val="none"/>
        </w:rPr>
      </w:pPr>
      <w:r>
        <w:rPr>
          <w:rFonts w:hint="eastAsia" w:ascii="宋体" w:hAnsi="宋体"/>
          <w:b/>
          <w:bCs/>
          <w:color w:val="auto"/>
          <w:highlight w:val="none"/>
        </w:rPr>
        <w:t>10.4 变更估价</w:t>
      </w:r>
    </w:p>
    <w:p w14:paraId="11D83C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10.4.1 变更估价原则</w:t>
      </w:r>
    </w:p>
    <w:p w14:paraId="48529551">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 xml:space="preserve">关于变更估价的约定: </w:t>
      </w:r>
      <w:r>
        <w:rPr>
          <w:rFonts w:hint="eastAsia" w:ascii="宋体" w:hAnsi="宋体"/>
          <w:color w:val="auto"/>
          <w:highlight w:val="none"/>
          <w:u w:val="single"/>
        </w:rPr>
        <w:t xml:space="preserve"> </w:t>
      </w:r>
      <w:r>
        <w:rPr>
          <w:rFonts w:hint="eastAsia" w:hAnsi="宋体"/>
          <w:bCs/>
          <w:color w:val="auto"/>
          <w:szCs w:val="21"/>
          <w:highlight w:val="none"/>
          <w:u w:val="single"/>
        </w:rPr>
        <w:t>工程</w:t>
      </w:r>
      <w:r>
        <w:rPr>
          <w:rFonts w:hAnsi="宋体"/>
          <w:bCs/>
          <w:color w:val="auto"/>
          <w:szCs w:val="21"/>
          <w:highlight w:val="none"/>
          <w:u w:val="single"/>
        </w:rPr>
        <w:t>变更合同价款按下列方法进行：（</w:t>
      </w:r>
      <w:r>
        <w:rPr>
          <w:bCs/>
          <w:color w:val="auto"/>
          <w:szCs w:val="21"/>
          <w:highlight w:val="none"/>
          <w:u w:val="single"/>
        </w:rPr>
        <w:t>1</w:t>
      </w:r>
      <w:r>
        <w:rPr>
          <w:rFonts w:hAnsi="宋体"/>
          <w:bCs/>
          <w:color w:val="auto"/>
          <w:szCs w:val="21"/>
          <w:highlight w:val="none"/>
          <w:u w:val="single"/>
        </w:rPr>
        <w:t>）合同中已有相同清单项目的，按合同该清单项目价格进行计算；（</w:t>
      </w:r>
      <w:r>
        <w:rPr>
          <w:bCs/>
          <w:color w:val="auto"/>
          <w:szCs w:val="21"/>
          <w:highlight w:val="none"/>
          <w:u w:val="single"/>
        </w:rPr>
        <w:t>2</w:t>
      </w:r>
      <w:r>
        <w:rPr>
          <w:rFonts w:hAnsi="宋体"/>
          <w:bCs/>
          <w:color w:val="auto"/>
          <w:szCs w:val="21"/>
          <w:highlight w:val="none"/>
          <w:u w:val="single"/>
        </w:rPr>
        <w:t>）合同中只有类似清单项目的，参照该类似清单项目价格进行计算；（</w:t>
      </w:r>
      <w:r>
        <w:rPr>
          <w:bCs/>
          <w:color w:val="auto"/>
          <w:szCs w:val="21"/>
          <w:highlight w:val="none"/>
          <w:u w:val="single"/>
        </w:rPr>
        <w:t>3</w:t>
      </w:r>
      <w:r>
        <w:rPr>
          <w:rFonts w:hAnsi="宋体"/>
          <w:bCs/>
          <w:color w:val="auto"/>
          <w:szCs w:val="21"/>
          <w:highlight w:val="none"/>
          <w:u w:val="single"/>
        </w:rPr>
        <w:t>）合同中没有适用或类似清单项目的价格计算方法：有定额的套定额，并乘以下浮系数</w:t>
      </w:r>
      <w:r>
        <w:rPr>
          <w:rFonts w:hint="eastAsia"/>
          <w:bCs/>
          <w:color w:val="auto"/>
          <w:szCs w:val="21"/>
          <w:highlight w:val="none"/>
          <w:u w:val="single"/>
        </w:rPr>
        <w:t>10 %</w:t>
      </w:r>
      <w:r>
        <w:rPr>
          <w:rFonts w:hAnsi="宋体"/>
          <w:bCs/>
          <w:color w:val="auto"/>
          <w:szCs w:val="21"/>
          <w:highlight w:val="none"/>
          <w:u w:val="single"/>
        </w:rPr>
        <w:t>计算，其中材料价格按施工期间的《</w:t>
      </w:r>
      <w:r>
        <w:rPr>
          <w:rFonts w:hint="eastAsia"/>
          <w:bCs/>
          <w:color w:val="auto"/>
          <w:szCs w:val="21"/>
          <w:highlight w:val="none"/>
          <w:u w:val="single"/>
        </w:rPr>
        <w:t>贵港</w:t>
      </w:r>
      <w:r>
        <w:rPr>
          <w:rFonts w:hAnsi="宋体"/>
          <w:bCs/>
          <w:color w:val="auto"/>
          <w:szCs w:val="21"/>
          <w:highlight w:val="none"/>
          <w:u w:val="single"/>
        </w:rPr>
        <w:t>市建设工程造价信息》相应价格信息进行计算；《</w:t>
      </w:r>
      <w:r>
        <w:rPr>
          <w:rFonts w:hint="eastAsia"/>
          <w:bCs/>
          <w:color w:val="auto"/>
          <w:szCs w:val="21"/>
          <w:highlight w:val="none"/>
          <w:u w:val="single"/>
        </w:rPr>
        <w:t>贵港</w:t>
      </w:r>
      <w:r>
        <w:rPr>
          <w:rFonts w:hAnsi="宋体"/>
          <w:bCs/>
          <w:color w:val="auto"/>
          <w:szCs w:val="21"/>
          <w:highlight w:val="none"/>
          <w:u w:val="single"/>
        </w:rPr>
        <w:t>市建设工程造价信息》没有相应价格信息的按市场价计算；无定额可套的，根据市场价格协商确定综合价格；对于国有资产投资的项目，新增项目的单价必须经</w:t>
      </w:r>
      <w:r>
        <w:rPr>
          <w:rFonts w:hint="eastAsia" w:hAnsi="宋体"/>
          <w:bCs/>
          <w:color w:val="auto"/>
          <w:szCs w:val="21"/>
          <w:highlight w:val="none"/>
          <w:u w:val="single"/>
          <w:lang w:eastAsia="zh-CN"/>
        </w:rPr>
        <w:t>贵港</w:t>
      </w:r>
      <w:r>
        <w:rPr>
          <w:rFonts w:hint="eastAsia" w:hAnsi="宋体"/>
          <w:bCs/>
          <w:color w:val="auto"/>
          <w:szCs w:val="21"/>
          <w:highlight w:val="none"/>
          <w:u w:val="single"/>
        </w:rPr>
        <w:t>市</w:t>
      </w:r>
      <w:r>
        <w:rPr>
          <w:rFonts w:hint="eastAsia" w:hAnsi="宋体"/>
          <w:bCs/>
          <w:color w:val="auto"/>
          <w:szCs w:val="21"/>
          <w:highlight w:val="none"/>
          <w:u w:val="single"/>
          <w:lang w:eastAsia="zh-CN"/>
        </w:rPr>
        <w:t>港北区</w:t>
      </w:r>
      <w:r>
        <w:rPr>
          <w:rFonts w:hint="eastAsia" w:hAnsi="宋体"/>
          <w:bCs/>
          <w:color w:val="auto"/>
          <w:szCs w:val="21"/>
          <w:highlight w:val="none"/>
          <w:u w:val="single"/>
        </w:rPr>
        <w:t>财政评审及审计部门</w:t>
      </w:r>
      <w:r>
        <w:rPr>
          <w:rFonts w:hAnsi="宋体"/>
          <w:bCs/>
          <w:color w:val="auto"/>
          <w:szCs w:val="21"/>
          <w:highlight w:val="none"/>
          <w:u w:val="single"/>
        </w:rPr>
        <w:t>审定</w:t>
      </w:r>
      <w:r>
        <w:rPr>
          <w:rFonts w:hint="eastAsia" w:ascii="宋体" w:hAnsi="宋体"/>
          <w:color w:val="auto"/>
          <w:highlight w:val="none"/>
        </w:rPr>
        <w:t>。</w:t>
      </w:r>
    </w:p>
    <w:p w14:paraId="7DD243EB">
      <w:pPr>
        <w:pStyle w:val="160"/>
        <w:spacing w:line="360" w:lineRule="auto"/>
        <w:ind w:firstLine="420" w:firstLineChars="200"/>
        <w:jc w:val="left"/>
        <w:rPr>
          <w:rFonts w:ascii="宋体" w:hAnsi="宋体"/>
          <w:color w:val="auto"/>
          <w:highlight w:val="none"/>
          <w:u w:val="single"/>
        </w:rPr>
      </w:pPr>
      <w:r>
        <w:rPr>
          <w:rFonts w:hint="eastAsia"/>
          <w:color w:val="auto"/>
          <w:szCs w:val="21"/>
          <w:highlight w:val="none"/>
          <w:u w:val="single"/>
        </w:rPr>
        <w:t>工程变更导致实际完成的变更工程量与已标价清单或预算书中列明的该项目工程量有偏差时，其综合单价的确定按专用条款“1.13工程量清单错误的修正”执行。</w:t>
      </w:r>
    </w:p>
    <w:p w14:paraId="27B39B91">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10.5承包人的合理化建议</w:t>
      </w:r>
    </w:p>
    <w:p w14:paraId="3F3891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监理人审查承包人合理化建议的期限：</w:t>
      </w:r>
      <w:r>
        <w:rPr>
          <w:rFonts w:hint="eastAsia" w:ascii="宋体" w:hAnsi="宋体"/>
          <w:color w:val="auto"/>
          <w:highlight w:val="none"/>
          <w:u w:val="single"/>
        </w:rPr>
        <w:t xml:space="preserve"> 3天内审查完毕并报发包人  </w:t>
      </w:r>
      <w:r>
        <w:rPr>
          <w:rFonts w:hint="eastAsia" w:ascii="宋体" w:hAnsi="宋体"/>
          <w:color w:val="auto"/>
          <w:highlight w:val="none"/>
        </w:rPr>
        <w:t>。</w:t>
      </w:r>
    </w:p>
    <w:p w14:paraId="03F84DE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发包人审批承包人合理化建议的期限：</w:t>
      </w:r>
      <w:r>
        <w:rPr>
          <w:rFonts w:hint="eastAsia" w:ascii="宋体" w:hAnsi="宋体"/>
          <w:color w:val="auto"/>
          <w:highlight w:val="none"/>
          <w:u w:val="single"/>
        </w:rPr>
        <w:t xml:space="preserve"> 收到监理人报送的合理化建议后3天内审批完毕</w:t>
      </w:r>
      <w:r>
        <w:rPr>
          <w:rFonts w:hint="eastAsia" w:ascii="宋体" w:hAnsi="宋体"/>
          <w:color w:val="auto"/>
          <w:highlight w:val="none"/>
        </w:rPr>
        <w:t>。</w:t>
      </w:r>
    </w:p>
    <w:p w14:paraId="0501F072">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承包人提出的合理化建议降低了合同价格或者提高了工程经济效益的奖励的方法和金额为：</w:t>
      </w:r>
      <w:r>
        <w:rPr>
          <w:rFonts w:hint="eastAsia" w:ascii="宋体" w:hAnsi="宋体"/>
          <w:color w:val="auto"/>
          <w:highlight w:val="none"/>
          <w:u w:val="single"/>
        </w:rPr>
        <w:t xml:space="preserve">    无     </w:t>
      </w:r>
      <w:r>
        <w:rPr>
          <w:rFonts w:hint="eastAsia" w:ascii="宋体" w:hAnsi="宋体"/>
          <w:color w:val="auto"/>
          <w:highlight w:val="none"/>
        </w:rPr>
        <w:t>。</w:t>
      </w:r>
    </w:p>
    <w:p w14:paraId="1F39355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 暂估价</w:t>
      </w:r>
    </w:p>
    <w:p w14:paraId="2563A76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暂估价材料和工程设备的明细详见附件11：《</w:t>
      </w:r>
      <w:r>
        <w:rPr>
          <w:rFonts w:hint="eastAsia" w:ascii="宋体" w:hAnsi="宋体"/>
          <w:color w:val="auto"/>
          <w:highlight w:val="none"/>
        </w:rPr>
        <w:t>暂估价一览表》</w:t>
      </w:r>
      <w:r>
        <w:rPr>
          <w:rFonts w:hint="eastAsia" w:ascii="宋体" w:hAnsi="宋体"/>
          <w:color w:val="auto"/>
          <w:kern w:val="0"/>
          <w:highlight w:val="none"/>
        </w:rPr>
        <w:t>。</w:t>
      </w:r>
    </w:p>
    <w:p w14:paraId="3A06813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10.7.1 依法必须招标的暂估价项目</w:t>
      </w:r>
    </w:p>
    <w:p w14:paraId="28AA6D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种方式确定。</w:t>
      </w:r>
    </w:p>
    <w:p w14:paraId="7CA8EABD">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第1种方式：对于依法必须招标的暂估价项目，由承包人招标，对该暂估价项目的确认和批准按照以下约定执行：</w:t>
      </w:r>
    </w:p>
    <w:p w14:paraId="298559AC">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34A2CAD1">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4D7E96E1">
      <w:pPr>
        <w:pStyle w:val="179"/>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color w:val="auto"/>
          <w:kern w:val="0"/>
          <w:highlight w:val="none"/>
        </w:rPr>
      </w:pPr>
      <w:r>
        <w:rPr>
          <w:rFonts w:ascii="宋体" w:hAnsi="宋体"/>
          <w:color w:val="auto"/>
          <w:kern w:val="0"/>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B048EA1">
      <w:pPr>
        <w:pStyle w:val="160"/>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olor w:val="auto"/>
          <w:kern w:val="0"/>
          <w:highlight w:val="none"/>
        </w:rPr>
      </w:pPr>
      <w:r>
        <w:rPr>
          <w:rFonts w:ascii="宋体" w:hAnsi="宋体"/>
          <w:color w:val="auto"/>
          <w:kern w:val="0"/>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4A3DD25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10.7.2 不属于依法必须招标的暂估价项目</w:t>
      </w:r>
    </w:p>
    <w:p w14:paraId="13AF4E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对于不属于依法必须招标的暂估价项目的确认和批准采取第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 xml:space="preserve"> 种方式确定。</w:t>
      </w:r>
    </w:p>
    <w:p w14:paraId="45898D12">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第1种方式：对于不属于依法必须招标的暂估价项目，按本项约定确认和批准：</w:t>
      </w:r>
    </w:p>
    <w:p w14:paraId="75391DBE">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80F9225">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（2）发包人认为承包人确定的供应商、分包人无法满足工程质量或合同要求的，发包人可以要求承包人重新确定暂估价项目的供应商、分包人</w:t>
      </w:r>
      <w:r>
        <w:rPr>
          <w:rFonts w:hint="eastAsia" w:ascii="宋体" w:hAnsi="宋体"/>
          <w:color w:val="auto"/>
          <w:kern w:val="0"/>
          <w:highlight w:val="none"/>
        </w:rPr>
        <w:t>；</w:t>
      </w:r>
      <w:r>
        <w:rPr>
          <w:rFonts w:ascii="宋体" w:hAnsi="宋体"/>
          <w:color w:val="auto"/>
          <w:kern w:val="0"/>
          <w:highlight w:val="none"/>
        </w:rPr>
        <w:t>（3）承包人应当在签订暂估价合同后7天内，将暂估价合同副本报送发包人留存。</w:t>
      </w:r>
    </w:p>
    <w:p w14:paraId="3876D067">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第2种方式：承包人按照第1</w:t>
      </w:r>
      <w:r>
        <w:rPr>
          <w:rFonts w:hint="eastAsia" w:ascii="宋体" w:hAnsi="宋体"/>
          <w:color w:val="auto"/>
          <w:kern w:val="0"/>
          <w:highlight w:val="none"/>
        </w:rPr>
        <w:t>5</w:t>
      </w:r>
      <w:r>
        <w:rPr>
          <w:rFonts w:ascii="宋体" w:hAnsi="宋体"/>
          <w:color w:val="auto"/>
          <w:kern w:val="0"/>
          <w:highlight w:val="none"/>
        </w:rPr>
        <w:t>.</w:t>
      </w:r>
      <w:r>
        <w:rPr>
          <w:rFonts w:hint="eastAsia" w:ascii="宋体" w:hAnsi="宋体"/>
          <w:color w:val="auto"/>
          <w:kern w:val="0"/>
          <w:highlight w:val="none"/>
        </w:rPr>
        <w:t>8</w:t>
      </w:r>
      <w:r>
        <w:rPr>
          <w:rFonts w:ascii="宋体" w:hAnsi="宋体"/>
          <w:color w:val="auto"/>
          <w:kern w:val="0"/>
          <w:highlight w:val="none"/>
        </w:rPr>
        <w:t>.1项【依法必须招标的暂估价项目】约定的第1种方式确定暂估价项目。</w:t>
      </w:r>
    </w:p>
    <w:p w14:paraId="19845EAB">
      <w:pPr>
        <w:pStyle w:val="160"/>
        <w:spacing w:line="360" w:lineRule="auto"/>
        <w:ind w:firstLine="420" w:firstLineChars="200"/>
        <w:jc w:val="left"/>
        <w:rPr>
          <w:rFonts w:ascii="宋体" w:hAnsi="宋体"/>
          <w:color w:val="auto"/>
          <w:kern w:val="0"/>
          <w:highlight w:val="none"/>
        </w:rPr>
      </w:pPr>
      <w:r>
        <w:rPr>
          <w:rFonts w:ascii="宋体" w:hAnsi="宋体"/>
          <w:color w:val="auto"/>
          <w:kern w:val="0"/>
          <w:highlight w:val="none"/>
        </w:rPr>
        <w:t>第3种方式：承包人直接实施的暂估价项目</w:t>
      </w:r>
    </w:p>
    <w:p w14:paraId="388F91F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承包人直接实施的暂估价项目的约定：</w:t>
      </w:r>
      <w:r>
        <w:rPr>
          <w:rFonts w:hint="eastAsia" w:ascii="宋体" w:hAnsi="宋体"/>
          <w:color w:val="auto"/>
          <w:highlight w:val="none"/>
          <w:u w:val="single"/>
        </w:rPr>
        <w:t>承包人具备实施暂估价项目的资格和条件的，经发包人和承包人协商一致后，可由承包人自行实施暂估价项目，合同当事人可以在合同条款约定具体事项</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DACCBD2">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10.8 暂列金额</w:t>
      </w:r>
    </w:p>
    <w:p w14:paraId="7378F562">
      <w:pPr>
        <w:pStyle w:val="174"/>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合同当事人关于暂列金额使用的约定：</w:t>
      </w:r>
      <w:r>
        <w:rPr>
          <w:rFonts w:hint="eastAsia" w:ascii="宋体" w:hAnsi="宋体"/>
          <w:color w:val="auto"/>
          <w:kern w:val="0"/>
          <w:highlight w:val="none"/>
          <w:u w:val="single"/>
        </w:rPr>
        <w:t>（1）已签约合同价中的暂列金额由发包人掌握使用。 （2）发包人按照规定所作支付后，暂列金额如有余额归发包人</w:t>
      </w:r>
      <w:r>
        <w:rPr>
          <w:rFonts w:hint="eastAsia" w:ascii="宋体" w:hAnsi="宋体"/>
          <w:color w:val="auto"/>
          <w:highlight w:val="none"/>
          <w:u w:val="single"/>
        </w:rPr>
        <w:t xml:space="preserve"> </w:t>
      </w:r>
      <w:r>
        <w:rPr>
          <w:rFonts w:hint="eastAsia" w:ascii="宋体" w:hAnsi="宋体"/>
          <w:color w:val="auto"/>
          <w:kern w:val="0"/>
          <w:highlight w:val="none"/>
        </w:rPr>
        <w:t>。</w:t>
      </w:r>
    </w:p>
    <w:p w14:paraId="57AE9C2E">
      <w:pPr>
        <w:pStyle w:val="172"/>
        <w:spacing w:line="360" w:lineRule="auto"/>
        <w:rPr>
          <w:rFonts w:ascii="宋体" w:hAnsi="宋体"/>
          <w:color w:val="auto"/>
          <w:sz w:val="21"/>
          <w:szCs w:val="21"/>
          <w:highlight w:val="none"/>
        </w:rPr>
      </w:pPr>
      <w:bookmarkStart w:id="230" w:name="_Toc524083332"/>
      <w:bookmarkStart w:id="231" w:name="_Toc523415231"/>
      <w:bookmarkStart w:id="232" w:name="_Toc522177108"/>
      <w:r>
        <w:rPr>
          <w:rFonts w:hint="eastAsia" w:ascii="宋体" w:hAnsi="宋体"/>
          <w:color w:val="auto"/>
          <w:sz w:val="21"/>
          <w:szCs w:val="21"/>
          <w:highlight w:val="none"/>
        </w:rPr>
        <w:t>11. 价格调整</w:t>
      </w:r>
      <w:bookmarkEnd w:id="230"/>
      <w:bookmarkEnd w:id="231"/>
      <w:bookmarkEnd w:id="232"/>
    </w:p>
    <w:p w14:paraId="6547A379">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11.1 市场价格波动引起的调整</w:t>
      </w:r>
    </w:p>
    <w:p w14:paraId="01F6C776">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市场价格波动是否调整合同价格的约定：</w:t>
      </w:r>
      <w:r>
        <w:rPr>
          <w:rFonts w:hint="eastAsia" w:ascii="宋体" w:hAnsi="宋体"/>
          <w:b/>
          <w:bCs/>
          <w:color w:val="auto"/>
          <w:kern w:val="0"/>
          <w:highlight w:val="none"/>
          <w:u w:val="single"/>
          <w:lang w:val="en-US" w:eastAsia="zh-CN"/>
        </w:rPr>
        <w:t xml:space="preserve"> </w:t>
      </w:r>
      <w:r>
        <w:rPr>
          <w:rFonts w:hint="eastAsia" w:ascii="宋体" w:hAnsi="宋体"/>
          <w:b/>
          <w:bCs/>
          <w:color w:val="auto"/>
          <w:highlight w:val="none"/>
          <w:u w:val="single"/>
        </w:rPr>
        <w:t>不允许调整</w:t>
      </w:r>
      <w:r>
        <w:rPr>
          <w:rFonts w:hint="eastAsia" w:ascii="宋体" w:hAnsi="宋体"/>
          <w:color w:val="auto"/>
          <w:highlight w:val="none"/>
          <w:u w:val="single"/>
        </w:rPr>
        <w:t xml:space="preserve"> </w:t>
      </w:r>
      <w:r>
        <w:rPr>
          <w:rFonts w:hint="eastAsia" w:ascii="宋体" w:hAnsi="宋体"/>
          <w:color w:val="auto"/>
          <w:highlight w:val="none"/>
        </w:rPr>
        <w:t>。</w:t>
      </w:r>
    </w:p>
    <w:p w14:paraId="5AEED93E">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因市场价格波动调整合同价格，采用以下第</w:t>
      </w:r>
      <w:r>
        <w:rPr>
          <w:rFonts w:hint="eastAsia" w:ascii="宋体" w:hAnsi="宋体"/>
          <w:color w:val="auto"/>
          <w:highlight w:val="none"/>
          <w:u w:val="single"/>
        </w:rPr>
        <w:t xml:space="preserve"> / </w:t>
      </w:r>
      <w:r>
        <w:rPr>
          <w:rFonts w:hint="eastAsia" w:ascii="宋体" w:hAnsi="宋体"/>
          <w:color w:val="auto"/>
          <w:highlight w:val="none"/>
        </w:rPr>
        <w:t>种方式对合同价格进行调整：</w:t>
      </w:r>
    </w:p>
    <w:p w14:paraId="198C09A2">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第1种方式：采用价格指数</w:t>
      </w:r>
      <w:r>
        <w:rPr>
          <w:rFonts w:hint="eastAsia" w:ascii="宋体" w:hAnsi="宋体"/>
          <w:color w:val="auto"/>
          <w:szCs w:val="21"/>
          <w:highlight w:val="none"/>
        </w:rPr>
        <w:t>进行价格</w:t>
      </w:r>
      <w:r>
        <w:rPr>
          <w:rFonts w:ascii="宋体" w:hAnsi="宋体"/>
          <w:color w:val="auto"/>
          <w:szCs w:val="21"/>
          <w:highlight w:val="none"/>
        </w:rPr>
        <w:t>调整。</w:t>
      </w:r>
    </w:p>
    <w:p w14:paraId="0600B079">
      <w:pPr>
        <w:spacing w:line="360" w:lineRule="auto"/>
        <w:ind w:firstLine="420" w:firstLineChars="200"/>
        <w:jc w:val="left"/>
        <w:rPr>
          <w:rFonts w:ascii="宋体" w:hAnsi="宋体"/>
          <w:color w:val="auto"/>
          <w:szCs w:val="21"/>
          <w:highlight w:val="none"/>
          <w:u w:val="single"/>
        </w:rPr>
      </w:pPr>
      <w:r>
        <w:rPr>
          <w:rFonts w:ascii="宋体" w:hAnsi="宋体"/>
          <w:color w:val="auto"/>
          <w:szCs w:val="21"/>
          <w:highlight w:val="none"/>
        </w:rPr>
        <w:t>关于各可调因子、定值和变值权重，以及基本价格指数及其来源的约定：</w:t>
      </w:r>
      <w:r>
        <w:rPr>
          <w:rFonts w:ascii="宋体" w:hAnsi="宋体"/>
          <w:color w:val="auto"/>
          <w:szCs w:val="21"/>
          <w:highlight w:val="none"/>
          <w:u w:val="single"/>
        </w:rPr>
        <w:t xml:space="preserve">          </w:t>
      </w:r>
      <w:r>
        <w:rPr>
          <w:rFonts w:ascii="宋体" w:hAnsi="宋体"/>
          <w:color w:val="auto"/>
          <w:szCs w:val="21"/>
          <w:highlight w:val="none"/>
        </w:rPr>
        <w:t xml:space="preserve">；  </w:t>
      </w:r>
    </w:p>
    <w:p w14:paraId="098E16EF">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第2种方式：采用造价信息</w:t>
      </w:r>
      <w:r>
        <w:rPr>
          <w:rFonts w:hint="eastAsia" w:ascii="宋体" w:hAnsi="宋体"/>
          <w:color w:val="auto"/>
          <w:szCs w:val="21"/>
          <w:highlight w:val="none"/>
        </w:rPr>
        <w:t>进行价格</w:t>
      </w:r>
      <w:r>
        <w:rPr>
          <w:rFonts w:ascii="宋体" w:hAnsi="宋体"/>
          <w:color w:val="auto"/>
          <w:szCs w:val="21"/>
          <w:highlight w:val="none"/>
        </w:rPr>
        <w:t>调整。</w:t>
      </w:r>
    </w:p>
    <w:p w14:paraId="33D05136">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（2）关于基准价格的约定：</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14:paraId="4A0B0143">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专用合同条款</w:t>
      </w:r>
      <w:r>
        <w:rPr>
          <w:rFonts w:hint="eastAsia" w:ascii="宋体" w:hAnsi="宋体" w:cs="宋体"/>
          <w:color w:val="auto"/>
          <w:szCs w:val="21"/>
          <w:highlight w:val="none"/>
        </w:rPr>
        <w:t>①</w:t>
      </w:r>
      <w:r>
        <w:rPr>
          <w:rFonts w:ascii="宋体" w:hAnsi="宋体"/>
          <w:color w:val="auto"/>
          <w:szCs w:val="21"/>
          <w:highlight w:val="none"/>
        </w:rPr>
        <w:t>承包人在已标价工程量清单或预算书中载明的材料单价低于基准价格的：专用合同条款合同履行期间材料单价涨幅以基准价格为基础超过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%时，或材料单价跌幅以已标价工程量清单或预算书中载明材料单价为基础超过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5A344054">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②</w:t>
      </w:r>
      <w:r>
        <w:rPr>
          <w:rFonts w:ascii="宋体" w:hAnsi="宋体"/>
          <w:color w:val="auto"/>
          <w:szCs w:val="21"/>
          <w:highlight w:val="none"/>
        </w:rPr>
        <w:t>承包人在已标价工程量清单或预算书中载明的材料单价高于基准价格的：专用合同条款合同履行期间材料单价跌幅以基准价格为基础超过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%时，材料单价涨幅以已标价工程量清单或预算书中载明材料单价为基础超过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19FB0DEA">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③</w:t>
      </w:r>
      <w:r>
        <w:rPr>
          <w:rFonts w:ascii="宋体" w:hAnsi="宋体"/>
          <w:color w:val="auto"/>
          <w:szCs w:val="21"/>
          <w:highlight w:val="none"/>
        </w:rPr>
        <w:t>承包人在已标价工程量清单或预算书中载明的材料单价等于基准单价的：专用合同条款合同履行期间材料单价涨跌幅以基准单价为基础超过±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644AB658">
      <w:pPr>
        <w:shd w:val="clear" w:color="auto" w:fill="auto"/>
        <w:spacing w:line="360" w:lineRule="auto"/>
        <w:ind w:firstLine="420" w:firstLineChars="200"/>
        <w:jc w:val="left"/>
        <w:rPr>
          <w:rFonts w:hAnsi="宋体"/>
          <w:color w:val="auto"/>
          <w:sz w:val="21"/>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）允许调整的主要材料、基期价格、风险系数、投标报价：</w:t>
      </w:r>
      <w:r>
        <w:rPr>
          <w:color w:val="auto"/>
          <w:sz w:val="21"/>
          <w:szCs w:val="21"/>
          <w:highlight w:val="none"/>
          <w:u w:val="single"/>
        </w:rPr>
        <w:t xml:space="preserve"> </w:t>
      </w:r>
      <w:r>
        <w:rPr>
          <w:rFonts w:hint="eastAsia"/>
          <w:color w:val="auto"/>
          <w:sz w:val="21"/>
          <w:szCs w:val="21"/>
          <w:highlight w:val="none"/>
          <w:u w:val="single"/>
          <w:lang w:val="en-US" w:eastAsia="zh-CN"/>
        </w:rPr>
        <w:t xml:space="preserve">              </w:t>
      </w:r>
      <w:r>
        <w:rPr>
          <w:rFonts w:hint="eastAsia"/>
          <w:color w:val="auto"/>
          <w:sz w:val="21"/>
          <w:szCs w:val="21"/>
          <w:highlight w:val="none"/>
          <w:u w:val="none"/>
        </w:rPr>
        <w:t>。</w:t>
      </w:r>
    </w:p>
    <w:p w14:paraId="16EDEF5E">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）主要材料确认价：</w:t>
      </w:r>
    </w:p>
    <w:p w14:paraId="0CFD0A4D">
      <w:pPr>
        <w:shd w:val="clear" w:color="auto" w:fill="auto"/>
        <w:spacing w:line="360" w:lineRule="auto"/>
        <w:ind w:firstLine="420" w:firstLineChars="200"/>
        <w:jc w:val="left"/>
        <w:rPr>
          <w:color w:val="auto"/>
          <w:szCs w:val="21"/>
          <w:highlight w:val="none"/>
        </w:rPr>
      </w:pPr>
      <w:r>
        <w:rPr>
          <w:rFonts w:hAnsi="宋体"/>
          <w:color w:val="auto"/>
          <w:szCs w:val="21"/>
          <w:highlight w:val="none"/>
        </w:rPr>
        <w:t>按施工期间《</w:t>
      </w:r>
      <w:r>
        <w:rPr>
          <w:rFonts w:hint="eastAsia"/>
          <w:color w:val="auto"/>
          <w:szCs w:val="21"/>
          <w:highlight w:val="none"/>
          <w:u w:val="single"/>
          <w:lang w:val="en-US" w:eastAsia="zh-CN"/>
        </w:rPr>
        <w:t xml:space="preserve">     </w:t>
      </w:r>
      <w:r>
        <w:rPr>
          <w:rFonts w:hAnsi="宋体"/>
          <w:color w:val="auto"/>
          <w:szCs w:val="21"/>
          <w:highlight w:val="none"/>
        </w:rPr>
        <w:t>市建设工程造价信息》</w:t>
      </w:r>
      <w:r>
        <w:rPr>
          <w:rFonts w:hint="eastAsia" w:hAnsi="宋体"/>
          <w:color w:val="auto"/>
          <w:szCs w:val="21"/>
          <w:highlight w:val="none"/>
          <w:lang w:eastAsia="zh-CN"/>
        </w:rPr>
        <w:t>贵港市</w:t>
      </w:r>
      <w:r>
        <w:rPr>
          <w:rFonts w:hAnsi="宋体"/>
          <w:color w:val="auto"/>
          <w:szCs w:val="21"/>
          <w:highlight w:val="none"/>
        </w:rPr>
        <w:t>加权平均计算，信息价没有的按通用条款规定确定。</w:t>
      </w:r>
    </w:p>
    <w:p w14:paraId="22BECF6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）价差计算方法：</w:t>
      </w:r>
    </w:p>
    <w:p w14:paraId="3037C92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①《</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》投标报价低于基准价格的：合同履行期间材料单价涨幅以基准价格为基础超过约定的风险范围时，或材料单价跌幅以投标报价为基础超过约定的风险范围时，其超过部分据实调整。</w:t>
      </w:r>
    </w:p>
    <w:p w14:paraId="50DA48E2">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②《</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》投标报价高于基准价格的：专用合同条款合同履行期间材料单价跌幅以基准价格为基础超过约定的风险范围时，材料单价涨幅以投标报价为基础超过约定的风险范围时，其超过部分据实调整。</w:t>
      </w:r>
    </w:p>
    <w:p w14:paraId="5AEBC290">
      <w:pPr>
        <w:spacing w:line="360" w:lineRule="auto"/>
        <w:ind w:firstLine="420" w:firstLineChars="200"/>
        <w:jc w:val="left"/>
        <w:rPr>
          <w:rFonts w:ascii="宋体" w:hAnsi="宋体"/>
          <w:color w:val="auto"/>
          <w:szCs w:val="21"/>
          <w:highlight w:val="none"/>
        </w:rPr>
      </w:pPr>
      <w:r>
        <w:rPr>
          <w:rFonts w:hAnsi="宋体"/>
          <w:color w:val="auto"/>
          <w:szCs w:val="21"/>
          <w:highlight w:val="none"/>
        </w:rPr>
        <w:t>③《</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》单价等于基准单价的：合同履行期间材料单价涨跌幅以基准单价为基础超过约定的风险范围时，其超过部分据实调整。</w:t>
      </w:r>
    </w:p>
    <w:p w14:paraId="2BB94170">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第3种方式：其他价格调整方式：</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w:t>
      </w:r>
      <w:r>
        <w:rPr>
          <w:rFonts w:ascii="宋体" w:hAnsi="宋体"/>
          <w:color w:val="auto"/>
          <w:szCs w:val="21"/>
          <w:highlight w:val="none"/>
        </w:rPr>
        <w:t>。</w:t>
      </w:r>
    </w:p>
    <w:p w14:paraId="5B891EF2">
      <w:pPr>
        <w:pStyle w:val="172"/>
        <w:spacing w:line="360" w:lineRule="auto"/>
        <w:rPr>
          <w:rFonts w:ascii="宋体" w:hAnsi="宋体"/>
          <w:color w:val="auto"/>
          <w:sz w:val="21"/>
          <w:szCs w:val="21"/>
          <w:highlight w:val="none"/>
        </w:rPr>
      </w:pPr>
      <w:bookmarkStart w:id="233" w:name="_Toc522177109"/>
      <w:bookmarkStart w:id="234" w:name="_Toc523415232"/>
      <w:bookmarkStart w:id="235" w:name="_Toc524083333"/>
      <w:r>
        <w:rPr>
          <w:rFonts w:hint="eastAsia" w:ascii="宋体" w:hAnsi="宋体"/>
          <w:color w:val="auto"/>
          <w:sz w:val="21"/>
          <w:szCs w:val="21"/>
          <w:highlight w:val="none"/>
        </w:rPr>
        <w:t>12. 合同价格、计量与支付</w:t>
      </w:r>
      <w:bookmarkEnd w:id="233"/>
      <w:bookmarkEnd w:id="234"/>
      <w:bookmarkEnd w:id="235"/>
    </w:p>
    <w:p w14:paraId="4F8BC18A">
      <w:pPr>
        <w:pStyle w:val="160"/>
        <w:spacing w:after="120" w:line="360" w:lineRule="auto"/>
        <w:ind w:firstLine="420" w:firstLineChars="200"/>
        <w:rPr>
          <w:rFonts w:hint="eastAsia" w:ascii="宋体" w:hAnsi="宋体"/>
          <w:color w:val="auto"/>
          <w:highlight w:val="none"/>
        </w:rPr>
      </w:pPr>
      <w:r>
        <w:rPr>
          <w:rFonts w:hint="eastAsia" w:ascii="宋体" w:hAnsi="宋体"/>
          <w:color w:val="auto"/>
          <w:highlight w:val="none"/>
        </w:rPr>
        <w:t>12.1 合同价格形式</w:t>
      </w:r>
    </w:p>
    <w:p w14:paraId="04F5AA00">
      <w:pPr>
        <w:spacing w:line="360" w:lineRule="auto"/>
        <w:ind w:firstLine="420" w:firstLineChars="200"/>
        <w:jc w:val="left"/>
        <w:rPr>
          <w:rFonts w:hint="eastAsia" w:hAnsi="宋体"/>
          <w:color w:val="auto"/>
          <w:szCs w:val="21"/>
          <w:highlight w:val="none"/>
        </w:rPr>
      </w:pPr>
      <w:r>
        <w:rPr>
          <w:rFonts w:hint="eastAsia" w:hAnsi="宋体"/>
          <w:color w:val="auto"/>
          <w:szCs w:val="21"/>
          <w:highlight w:val="none"/>
        </w:rPr>
        <w:t>本工程采用</w:t>
      </w:r>
      <w:r>
        <w:rPr>
          <w:rFonts w:hint="eastAsia" w:hAnsi="宋体"/>
          <w:color w:val="auto"/>
          <w:szCs w:val="21"/>
          <w:highlight w:val="none"/>
          <w:u w:val="single"/>
        </w:rPr>
        <w:t xml:space="preserve"> </w:t>
      </w:r>
      <w:r>
        <w:rPr>
          <w:rFonts w:hint="eastAsia" w:hAnsi="宋体"/>
          <w:b/>
          <w:bCs/>
          <w:color w:val="auto"/>
          <w:szCs w:val="21"/>
          <w:highlight w:val="none"/>
          <w:u w:val="single"/>
        </w:rPr>
        <w:t xml:space="preserve"> 总价</w:t>
      </w:r>
      <w:r>
        <w:rPr>
          <w:rFonts w:hint="eastAsia" w:hAnsi="宋体"/>
          <w:color w:val="auto"/>
          <w:szCs w:val="21"/>
          <w:highlight w:val="none"/>
          <w:u w:val="single"/>
        </w:rPr>
        <w:t xml:space="preserve">  </w:t>
      </w:r>
      <w:r>
        <w:rPr>
          <w:rFonts w:hint="eastAsia" w:hAnsi="宋体"/>
          <w:color w:val="auto"/>
          <w:szCs w:val="21"/>
          <w:highlight w:val="none"/>
        </w:rPr>
        <w:t>合同价格形式。</w:t>
      </w:r>
    </w:p>
    <w:p w14:paraId="04D762AE">
      <w:pPr>
        <w:spacing w:line="360" w:lineRule="auto"/>
        <w:ind w:firstLine="420" w:firstLineChars="200"/>
        <w:jc w:val="left"/>
        <w:rPr>
          <w:rFonts w:hAnsi="宋体"/>
          <w:color w:val="auto"/>
          <w:szCs w:val="21"/>
          <w:highlight w:val="none"/>
        </w:rPr>
      </w:pPr>
      <w:r>
        <w:rPr>
          <w:rFonts w:hint="eastAsia" w:hAnsi="宋体"/>
          <w:color w:val="auto"/>
          <w:szCs w:val="21"/>
          <w:highlight w:val="none"/>
        </w:rPr>
        <w:t>（</w:t>
      </w:r>
      <w:r>
        <w:rPr>
          <w:rFonts w:hAnsi="宋体"/>
          <w:color w:val="auto"/>
          <w:szCs w:val="21"/>
          <w:highlight w:val="none"/>
        </w:rPr>
        <w:t>2</w:t>
      </w:r>
      <w:r>
        <w:rPr>
          <w:rFonts w:hint="eastAsia" w:hAnsi="宋体"/>
          <w:color w:val="auto"/>
          <w:szCs w:val="21"/>
          <w:highlight w:val="none"/>
        </w:rPr>
        <w:t>）</w:t>
      </w:r>
      <w:r>
        <w:rPr>
          <w:rFonts w:hAnsi="宋体"/>
          <w:color w:val="auto"/>
          <w:szCs w:val="21"/>
          <w:highlight w:val="none"/>
        </w:rPr>
        <w:t>总价合同。</w:t>
      </w:r>
    </w:p>
    <w:p w14:paraId="3E897FF1">
      <w:pPr>
        <w:spacing w:line="360" w:lineRule="auto"/>
        <w:ind w:firstLine="420" w:firstLineChars="200"/>
        <w:jc w:val="left"/>
        <w:rPr>
          <w:rFonts w:hAnsi="宋体"/>
          <w:color w:val="auto"/>
          <w:szCs w:val="21"/>
          <w:highlight w:val="none"/>
        </w:rPr>
      </w:pPr>
      <w:r>
        <w:rPr>
          <w:rFonts w:hAnsi="宋体"/>
          <w:color w:val="auto"/>
          <w:szCs w:val="21"/>
          <w:highlight w:val="none"/>
        </w:rPr>
        <w:t>总价包含的风险范围：</w:t>
      </w:r>
      <w:r>
        <w:rPr>
          <w:rFonts w:hAnsi="宋体"/>
          <w:color w:val="auto"/>
          <w:szCs w:val="21"/>
          <w:highlight w:val="none"/>
          <w:u w:val="single"/>
        </w:rPr>
        <w:t xml:space="preserve">         </w:t>
      </w:r>
      <w:r>
        <w:rPr>
          <w:rFonts w:hint="eastAsia" w:ascii="宋体" w:hAnsi="宋体"/>
          <w:b/>
          <w:bCs/>
          <w:color w:val="auto"/>
          <w:highlight w:val="none"/>
          <w:u w:val="single"/>
        </w:rPr>
        <w:t>不允许调整</w:t>
      </w:r>
      <w:r>
        <w:rPr>
          <w:rFonts w:hint="eastAsia" w:hAnsi="宋体"/>
          <w:color w:val="auto"/>
          <w:szCs w:val="21"/>
          <w:highlight w:val="none"/>
          <w:u w:val="single"/>
        </w:rPr>
        <w:t xml:space="preserve">   </w:t>
      </w:r>
      <w:r>
        <w:rPr>
          <w:rFonts w:hAnsi="宋体"/>
          <w:color w:val="auto"/>
          <w:szCs w:val="21"/>
          <w:highlight w:val="none"/>
          <w:u w:val="single"/>
        </w:rPr>
        <w:t xml:space="preserve">        </w:t>
      </w:r>
      <w:r>
        <w:rPr>
          <w:rFonts w:hAnsi="宋体"/>
          <w:color w:val="auto"/>
          <w:szCs w:val="21"/>
          <w:highlight w:val="none"/>
        </w:rPr>
        <w:t>。</w:t>
      </w:r>
    </w:p>
    <w:p w14:paraId="2D37347A">
      <w:pPr>
        <w:spacing w:line="360" w:lineRule="auto"/>
        <w:ind w:firstLine="420" w:firstLineChars="200"/>
        <w:jc w:val="left"/>
        <w:rPr>
          <w:color w:val="auto"/>
          <w:highlight w:val="none"/>
        </w:rPr>
      </w:pPr>
      <w:r>
        <w:rPr>
          <w:color w:val="auto"/>
          <w:highlight w:val="none"/>
        </w:rPr>
        <w:t>风险范围以外合同价格的调整方法：</w:t>
      </w:r>
      <w:r>
        <w:rPr>
          <w:color w:val="auto"/>
          <w:highlight w:val="none"/>
          <w:u w:val="single"/>
        </w:rPr>
        <w:t xml:space="preserve">  </w:t>
      </w:r>
      <w:r>
        <w:rPr>
          <w:rFonts w:hint="eastAsia" w:ascii="宋体" w:hAnsi="宋体"/>
          <w:b/>
          <w:bCs/>
          <w:color w:val="auto"/>
          <w:highlight w:val="none"/>
          <w:u w:val="single"/>
        </w:rPr>
        <w:t>不允许调整</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w:t>
      </w:r>
    </w:p>
    <w:p w14:paraId="644C7B14">
      <w:pPr>
        <w:pStyle w:val="160"/>
        <w:spacing w:line="360" w:lineRule="auto"/>
        <w:ind w:firstLine="420" w:firstLineChars="200"/>
        <w:jc w:val="left"/>
        <w:rPr>
          <w:rFonts w:ascii="宋体" w:hAnsi="宋体"/>
          <w:color w:val="auto"/>
          <w:highlight w:val="none"/>
        </w:rPr>
      </w:pPr>
      <w:r>
        <w:rPr>
          <w:rFonts w:hint="eastAsia"/>
          <w:color w:val="auto"/>
          <w:highlight w:val="none"/>
        </w:rPr>
        <w:t>（</w:t>
      </w:r>
      <w:r>
        <w:rPr>
          <w:color w:val="auto"/>
          <w:highlight w:val="none"/>
        </w:rPr>
        <w:t>3</w:t>
      </w:r>
      <w:r>
        <w:rPr>
          <w:rFonts w:hint="eastAsia"/>
          <w:color w:val="auto"/>
          <w:highlight w:val="none"/>
        </w:rPr>
        <w:t>）</w:t>
      </w:r>
      <w:r>
        <w:rPr>
          <w:color w:val="auto"/>
          <w:highlight w:val="none"/>
        </w:rPr>
        <w:t>其他价格方式：</w:t>
      </w:r>
      <w:r>
        <w:rPr>
          <w:color w:val="auto"/>
          <w:highlight w:val="none"/>
          <w:u w:val="single"/>
        </w:rPr>
        <w:t xml:space="preserve">   </w:t>
      </w:r>
      <w:r>
        <w:rPr>
          <w:rFonts w:hint="eastAsia"/>
          <w:color w:val="auto"/>
          <w:highlight w:val="none"/>
          <w:u w:val="single"/>
        </w:rPr>
        <w:t>/</w:t>
      </w:r>
      <w:r>
        <w:rPr>
          <w:color w:val="auto"/>
          <w:highlight w:val="none"/>
          <w:u w:val="single"/>
        </w:rPr>
        <w:t xml:space="preserve">    </w:t>
      </w:r>
      <w:r>
        <w:rPr>
          <w:color w:val="auto"/>
          <w:highlight w:val="none"/>
        </w:rPr>
        <w:t>。</w:t>
      </w:r>
    </w:p>
    <w:p w14:paraId="4114FFAA">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12.2 预付款</w:t>
      </w:r>
    </w:p>
    <w:p w14:paraId="1D39E43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12.2.1 预付款的支付</w:t>
      </w:r>
    </w:p>
    <w:p w14:paraId="1791887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预付款支付比例或金额：</w:t>
      </w:r>
      <w:r>
        <w:rPr>
          <w:rFonts w:hint="eastAsia" w:ascii="宋体" w:hAnsi="宋体"/>
          <w:b w:val="0"/>
          <w:bCs w:val="0"/>
          <w:color w:val="auto"/>
          <w:highlight w:val="none"/>
          <w:u w:val="single"/>
        </w:rPr>
        <w:t xml:space="preserve"> </w:t>
      </w:r>
      <w:r>
        <w:rPr>
          <w:rFonts w:hint="eastAsia"/>
          <w:b w:val="0"/>
          <w:bCs w:val="0"/>
          <w:color w:val="auto"/>
          <w:highlight w:val="none"/>
          <w:u w:val="single"/>
        </w:rPr>
        <w:t>按合同价</w:t>
      </w:r>
      <w:r>
        <w:rPr>
          <w:rFonts w:hint="eastAsia" w:ascii="宋体" w:hAnsi="宋体" w:eastAsia="宋体" w:cs="宋体"/>
          <w:b w:val="0"/>
          <w:bCs w:val="0"/>
          <w:color w:val="auto"/>
          <w:highlight w:val="none"/>
          <w:u w:val="single"/>
        </w:rPr>
        <w:t>款的</w:t>
      </w:r>
      <w:r>
        <w:rPr>
          <w:rFonts w:hint="eastAsia" w:ascii="宋体" w:hAnsi="宋体" w:eastAsia="宋体" w:cs="宋体"/>
          <w:b w:val="0"/>
          <w:bCs w:val="0"/>
          <w:color w:val="auto"/>
          <w:highlight w:val="none"/>
          <w:u w:val="single"/>
          <w:lang w:val="en-US" w:eastAsia="zh-CN"/>
        </w:rPr>
        <w:t>30</w:t>
      </w:r>
      <w:r>
        <w:rPr>
          <w:rFonts w:hint="eastAsia" w:ascii="宋体" w:hAnsi="宋体" w:eastAsia="宋体" w:cs="宋体"/>
          <w:b w:val="0"/>
          <w:bCs w:val="0"/>
          <w:color w:val="auto"/>
          <w:highlight w:val="none"/>
          <w:u w:val="single"/>
        </w:rPr>
        <w:t>%支付(</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在签订合同时，</w:t>
      </w:r>
      <w:r>
        <w:rPr>
          <w:rFonts w:hint="eastAsia" w:ascii="宋体" w:hAnsi="宋体" w:eastAsia="宋体" w:cs="宋体"/>
          <w:b w:val="0"/>
          <w:bCs w:val="0"/>
          <w:color w:val="auto"/>
          <w:highlight w:val="none"/>
          <w:u w:val="single"/>
          <w:lang w:val="en-US" w:eastAsia="zh-CN"/>
        </w:rPr>
        <w:t>成交</w:t>
      </w:r>
      <w:r>
        <w:rPr>
          <w:rFonts w:hint="eastAsia" w:ascii="宋体" w:hAnsi="宋体" w:eastAsia="宋体" w:cs="宋体"/>
          <w:b w:val="0"/>
          <w:bCs w:val="0"/>
          <w:color w:val="auto"/>
          <w:highlight w:val="none"/>
          <w:u w:val="single"/>
        </w:rPr>
        <w:t>供应商明确表示无需预付款或者主动要求降低预付款比例的，</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可不</w:t>
      </w:r>
      <w:r>
        <w:rPr>
          <w:b w:val="0"/>
          <w:bCs w:val="0"/>
          <w:color w:val="auto"/>
          <w:highlight w:val="none"/>
          <w:u w:val="single"/>
        </w:rPr>
        <w:t>适用前述规定 </w:t>
      </w:r>
      <w:r>
        <w:rPr>
          <w:rFonts w:hint="eastAsia"/>
          <w:b w:val="0"/>
          <w:bCs w:val="0"/>
          <w:color w:val="auto"/>
          <w:highlight w:val="none"/>
          <w:u w:val="single"/>
        </w:rPr>
        <w:t xml:space="preserve">) </w:t>
      </w:r>
      <w:r>
        <w:rPr>
          <w:rFonts w:hint="eastAsia" w:ascii="宋体" w:hAnsi="宋体"/>
          <w:b w:val="0"/>
          <w:bCs w:val="0"/>
          <w:color w:val="auto"/>
          <w:highlight w:val="none"/>
          <w:u w:val="single"/>
        </w:rPr>
        <w:t xml:space="preserve"> </w:t>
      </w:r>
      <w:r>
        <w:rPr>
          <w:rFonts w:hint="eastAsia" w:ascii="宋体" w:hAnsi="宋体"/>
          <w:b w:val="0"/>
          <w:bCs w:val="0"/>
          <w:color w:val="auto"/>
          <w:highlight w:val="none"/>
        </w:rPr>
        <w:t>。</w:t>
      </w:r>
    </w:p>
    <w:p w14:paraId="2CB82857">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预付款支付期限：</w:t>
      </w:r>
      <w:r>
        <w:rPr>
          <w:rFonts w:hint="eastAsia" w:ascii="Times New Roman" w:hAnsi="Times New Roman" w:eastAsia="宋体" w:cs="Times New Roman"/>
          <w:b w:val="0"/>
          <w:bCs w:val="0"/>
          <w:color w:val="auto"/>
          <w:highlight w:val="none"/>
          <w:u w:val="single"/>
        </w:rPr>
        <w:t>合同签订后，</w:t>
      </w:r>
      <w:r>
        <w:rPr>
          <w:rFonts w:hint="eastAsia"/>
          <w:b w:val="0"/>
          <w:bCs w:val="0"/>
          <w:color w:val="auto"/>
          <w:highlight w:val="none"/>
          <w:u w:val="single"/>
          <w:lang w:val="en-US" w:eastAsia="zh-CN"/>
        </w:rPr>
        <w:t>采购人</w:t>
      </w:r>
      <w:r>
        <w:rPr>
          <w:rFonts w:hint="eastAsia" w:ascii="Times New Roman" w:hAnsi="Times New Roman" w:eastAsia="宋体" w:cs="Times New Roman"/>
          <w:b w:val="0"/>
          <w:bCs w:val="0"/>
          <w:color w:val="auto"/>
          <w:highlight w:val="none"/>
          <w:u w:val="single"/>
          <w:lang w:eastAsia="zh-CN"/>
        </w:rPr>
        <w:t>在</w:t>
      </w:r>
      <w:r>
        <w:rPr>
          <w:rFonts w:hint="eastAsia" w:ascii="Times New Roman" w:hAnsi="Times New Roman" w:eastAsia="宋体" w:cs="Times New Roman"/>
          <w:b w:val="0"/>
          <w:bCs w:val="0"/>
          <w:color w:val="auto"/>
          <w:highlight w:val="none"/>
          <w:u w:val="single"/>
          <w:lang w:val="en-US" w:eastAsia="zh-CN"/>
        </w:rPr>
        <w:t>施工单位进场开工后一周内</w:t>
      </w:r>
      <w:r>
        <w:rPr>
          <w:rFonts w:hint="eastAsia" w:ascii="Times New Roman" w:hAnsi="Times New Roman" w:eastAsia="宋体" w:cs="Times New Roman"/>
          <w:b w:val="0"/>
          <w:bCs w:val="0"/>
          <w:color w:val="auto"/>
          <w:highlight w:val="none"/>
          <w:u w:val="single"/>
          <w:lang w:eastAsia="zh-CN"/>
        </w:rPr>
        <w:t>支付</w:t>
      </w:r>
      <w:r>
        <w:rPr>
          <w:rFonts w:hint="eastAsia" w:ascii="宋体" w:hAnsi="宋体"/>
          <w:b w:val="0"/>
          <w:bCs w:val="0"/>
          <w:color w:val="auto"/>
          <w:spacing w:val="-6"/>
          <w:sz w:val="21"/>
          <w:highlight w:val="none"/>
        </w:rPr>
        <w:t>。</w:t>
      </w:r>
    </w:p>
    <w:p w14:paraId="0B6E87E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预付款扣回的方式：</w:t>
      </w:r>
      <w:r>
        <w:rPr>
          <w:rFonts w:hint="eastAsia" w:ascii="Times New Roman" w:hAnsi="Times New Roman" w:eastAsia="宋体" w:cs="Times New Roman"/>
          <w:b w:val="0"/>
          <w:bCs w:val="0"/>
          <w:color w:val="auto"/>
          <w:kern w:val="2"/>
          <w:sz w:val="21"/>
          <w:szCs w:val="24"/>
          <w:highlight w:val="none"/>
          <w:u w:val="single"/>
          <w:lang w:val="en-US" w:eastAsia="zh-CN" w:bidi="ar-SA"/>
        </w:rPr>
        <w:t xml:space="preserve">  /  </w:t>
      </w:r>
      <w:r>
        <w:rPr>
          <w:rFonts w:hint="eastAsia" w:ascii="宋体" w:hAnsi="宋体"/>
          <w:b w:val="0"/>
          <w:bCs w:val="0"/>
          <w:color w:val="auto"/>
          <w:highlight w:val="none"/>
        </w:rPr>
        <w:t>。</w:t>
      </w:r>
    </w:p>
    <w:p w14:paraId="20ECE22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12.2.2 预付款担保</w:t>
      </w:r>
    </w:p>
    <w:p w14:paraId="16EAA57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承包人提交预付款担保的期限：</w:t>
      </w:r>
      <w:r>
        <w:rPr>
          <w:rFonts w:hint="eastAsia" w:ascii="宋体" w:hAnsi="宋体"/>
          <w:color w:val="auto"/>
          <w:highlight w:val="none"/>
          <w:u w:val="single"/>
        </w:rPr>
        <w:t xml:space="preserve">    </w:t>
      </w:r>
      <w:r>
        <w:rPr>
          <w:rFonts w:hint="eastAsia" w:ascii="宋体" w:hAnsi="宋体"/>
          <w:color w:val="auto"/>
          <w:highlight w:val="none"/>
        </w:rPr>
        <w:t>。</w:t>
      </w:r>
    </w:p>
    <w:p w14:paraId="03CA2DF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预付款担保的形式为：</w:t>
      </w:r>
      <w:r>
        <w:rPr>
          <w:rFonts w:hint="eastAsia" w:ascii="宋体" w:hAnsi="宋体"/>
          <w:color w:val="auto"/>
          <w:highlight w:val="none"/>
          <w:u w:val="single"/>
        </w:rPr>
        <w:t xml:space="preserve">    </w:t>
      </w:r>
      <w:r>
        <w:rPr>
          <w:rFonts w:hint="eastAsia" w:ascii="宋体" w:hAnsi="宋体"/>
          <w:color w:val="auto"/>
          <w:highlight w:val="none"/>
        </w:rPr>
        <w:t>。</w:t>
      </w:r>
    </w:p>
    <w:p w14:paraId="3C23AA0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12.3 计量</w:t>
      </w:r>
    </w:p>
    <w:p w14:paraId="36F390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12.3.1 计量原则</w:t>
      </w:r>
    </w:p>
    <w:p w14:paraId="1DA7ED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工程量计算规则：</w:t>
      </w:r>
      <w:r>
        <w:rPr>
          <w:rFonts w:ascii="宋体" w:hAnsi="宋体"/>
          <w:color w:val="auto"/>
          <w:highlight w:val="none"/>
          <w:u w:val="single"/>
        </w:rPr>
        <w:t>工程的计量均以《建设工程工程量清单计价规范》（</w:t>
      </w:r>
      <w:r>
        <w:rPr>
          <w:color w:val="auto"/>
          <w:highlight w:val="none"/>
          <w:u w:val="single"/>
        </w:rPr>
        <w:t>GB50500</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）及其广西壮族自治区实施细则、《建设工程工程量清单计算规范》（</w:t>
      </w:r>
      <w:r>
        <w:rPr>
          <w:color w:val="auto"/>
          <w:highlight w:val="none"/>
          <w:u w:val="single"/>
        </w:rPr>
        <w:t>GB50854~50862</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）及其广西实施细则、本工程补充项目清单为准</w:t>
      </w:r>
      <w:r>
        <w:rPr>
          <w:rFonts w:hint="eastAsia" w:ascii="宋体" w:hAnsi="宋体"/>
          <w:color w:val="auto"/>
          <w:highlight w:val="none"/>
          <w:u w:val="single"/>
        </w:rPr>
        <w:t xml:space="preserve"> </w:t>
      </w:r>
      <w:r>
        <w:rPr>
          <w:rFonts w:hint="eastAsia" w:ascii="宋体" w:hAnsi="宋体"/>
          <w:color w:val="auto"/>
          <w:highlight w:val="none"/>
        </w:rPr>
        <w:t>。</w:t>
      </w:r>
    </w:p>
    <w:p w14:paraId="7F9C42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12.3.2 计量周期</w:t>
      </w:r>
    </w:p>
    <w:p w14:paraId="3D90FCE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关于计量周期的约定：</w:t>
      </w:r>
      <w:r>
        <w:rPr>
          <w:rFonts w:hint="eastAsia" w:ascii="宋体" w:hAnsi="宋体"/>
          <w:color w:val="auto"/>
          <w:highlight w:val="none"/>
          <w:u w:val="single"/>
        </w:rPr>
        <w:t xml:space="preserve"> </w:t>
      </w:r>
      <w:r>
        <w:rPr>
          <w:rFonts w:hint="eastAsia"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780800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12.3.4 总价合同的计量</w:t>
      </w:r>
    </w:p>
    <w:p w14:paraId="6804F61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关于总价合同计量的约定：</w:t>
      </w:r>
      <w:r>
        <w:rPr>
          <w:rFonts w:hint="eastAsia" w:ascii="宋体" w:hAnsi="宋体"/>
          <w:color w:val="auto"/>
          <w:highlight w:val="none"/>
          <w:u w:val="single"/>
        </w:rPr>
        <w:t xml:space="preserve"> 除工程变更外，原图纸范围内的工程量不得按实计量 </w:t>
      </w:r>
      <w:r>
        <w:rPr>
          <w:rFonts w:hint="eastAsia" w:ascii="宋体" w:hAnsi="宋体"/>
          <w:color w:val="auto"/>
          <w:highlight w:val="none"/>
        </w:rPr>
        <w:t>。</w:t>
      </w:r>
    </w:p>
    <w:p w14:paraId="66A308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12.3.5总价合同采用支付分解表计量支付的，是否适用第</w:t>
      </w:r>
      <w:r>
        <w:rPr>
          <w:rFonts w:hint="eastAsia" w:ascii="宋体" w:hAnsi="宋体"/>
          <w:color w:val="auto"/>
          <w:kern w:val="0"/>
          <w:highlight w:val="none"/>
        </w:rPr>
        <w:t xml:space="preserve">12.3.4 </w:t>
      </w:r>
      <w:r>
        <w:rPr>
          <w:rFonts w:hint="eastAsia" w:ascii="宋体" w:hAnsi="宋体"/>
          <w:color w:val="auto"/>
          <w:highlight w:val="none"/>
        </w:rPr>
        <w:t>项</w:t>
      </w:r>
      <w:r>
        <w:rPr>
          <w:rFonts w:hint="eastAsia" w:ascii="宋体" w:hAnsi="宋体"/>
          <w:color w:val="auto"/>
          <w:kern w:val="0"/>
          <w:highlight w:val="none"/>
        </w:rPr>
        <w:t>〔总价合同的计量〕</w:t>
      </w:r>
      <w:r>
        <w:rPr>
          <w:rFonts w:hint="eastAsia" w:ascii="宋体" w:hAnsi="宋体"/>
          <w:color w:val="auto"/>
          <w:highlight w:val="none"/>
        </w:rPr>
        <w:t>约定进行计量：</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single"/>
          <w:lang w:val="en-US" w:eastAsia="zh-CN"/>
        </w:rPr>
        <w:t xml:space="preserve">   </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none"/>
        </w:rPr>
        <w:t>。</w:t>
      </w:r>
    </w:p>
    <w:p w14:paraId="3E7751F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12.3.6 其他价格形式合同的计量</w:t>
      </w:r>
    </w:p>
    <w:p w14:paraId="318D717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其他价格形式的计量方式和程序：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0463046F">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12.4 工程进度款支付</w:t>
      </w:r>
    </w:p>
    <w:p w14:paraId="4669433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12.4.1 付款周期</w:t>
      </w:r>
    </w:p>
    <w:p w14:paraId="507CD01C">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关于付款周期的约定：</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w:t>
      </w:r>
      <w:r>
        <w:rPr>
          <w:rFonts w:hint="eastAsia" w:ascii="宋体" w:hAnsi="宋体" w:eastAsia="宋体" w:cs="宋体"/>
          <w:color w:val="auto"/>
          <w:highlight w:val="none"/>
          <w:u w:val="single"/>
          <w:lang w:val="en-US" w:eastAsia="zh-CN"/>
        </w:rPr>
        <w:t>乙方进场开工后一周内</w:t>
      </w:r>
      <w:r>
        <w:rPr>
          <w:rFonts w:hint="eastAsia" w:ascii="宋体" w:hAnsi="宋体" w:eastAsia="宋体" w:cs="宋体"/>
          <w:color w:val="auto"/>
          <w:highlight w:val="none"/>
          <w:u w:val="single"/>
          <w:lang w:eastAsia="zh-CN"/>
        </w:rPr>
        <w:t>预付合同</w:t>
      </w:r>
      <w:r>
        <w:rPr>
          <w:rFonts w:hint="eastAsia" w:ascii="宋体" w:hAnsi="宋体" w:eastAsia="宋体" w:cs="宋体"/>
          <w:color w:val="auto"/>
          <w:highlight w:val="none"/>
          <w:u w:val="single"/>
          <w:lang w:val="en-US" w:eastAsia="zh-CN"/>
        </w:rPr>
        <w:t>价</w:t>
      </w:r>
      <w:r>
        <w:rPr>
          <w:rFonts w:hint="eastAsia" w:ascii="宋体" w:hAnsi="宋体" w:eastAsia="宋体" w:cs="宋体"/>
          <w:color w:val="auto"/>
          <w:highlight w:val="none"/>
          <w:u w:val="single"/>
          <w:lang w:eastAsia="zh-CN"/>
        </w:rPr>
        <w:t>的</w:t>
      </w:r>
      <w:r>
        <w:rPr>
          <w:rFonts w:hint="eastAsia" w:ascii="宋体" w:hAnsi="宋体" w:eastAsia="宋体" w:cs="宋体"/>
          <w:color w:val="auto"/>
          <w:highlight w:val="none"/>
          <w:u w:val="single"/>
          <w:lang w:val="en-US" w:eastAsia="zh-CN"/>
        </w:rPr>
        <w:t>3</w:t>
      </w:r>
      <w:r>
        <w:rPr>
          <w:rFonts w:hint="eastAsia" w:ascii="宋体" w:hAnsi="宋体" w:eastAsia="宋体" w:cs="宋体"/>
          <w:color w:val="auto"/>
          <w:highlight w:val="none"/>
          <w:u w:val="single"/>
          <w:lang w:eastAsia="zh-CN"/>
        </w:rPr>
        <w:t>0%；</w:t>
      </w:r>
      <w:r>
        <w:rPr>
          <w:rFonts w:hint="eastAsia" w:ascii="宋体" w:hAnsi="宋体" w:eastAsia="宋体" w:cs="宋体"/>
          <w:color w:val="auto"/>
          <w:highlight w:val="none"/>
          <w:u w:val="single"/>
          <w:lang w:val="en-US" w:eastAsia="zh-CN"/>
        </w:rPr>
        <w:t>乙方完成工程量的100%后，支付至合同价</w:t>
      </w:r>
      <w:r>
        <w:rPr>
          <w:rFonts w:hint="eastAsia" w:ascii="宋体" w:hAnsi="宋体" w:eastAsia="宋体" w:cs="宋体"/>
          <w:color w:val="auto"/>
          <w:highlight w:val="none"/>
          <w:u w:val="single"/>
          <w:lang w:eastAsia="zh-CN"/>
        </w:rPr>
        <w:t>的80%；工程完工且验收达到质量要求，并经</w:t>
      </w:r>
      <w:r>
        <w:rPr>
          <w:rFonts w:hint="eastAsia" w:ascii="宋体" w:hAnsi="宋体" w:cs="宋体"/>
          <w:color w:val="auto"/>
          <w:highlight w:val="none"/>
          <w:u w:val="single"/>
          <w:lang w:val="en-US" w:eastAsia="zh-CN"/>
        </w:rPr>
        <w:t>审核</w:t>
      </w:r>
      <w:r>
        <w:rPr>
          <w:rFonts w:hint="eastAsia" w:ascii="宋体" w:hAnsi="宋体" w:eastAsia="宋体" w:cs="宋体"/>
          <w:color w:val="auto"/>
          <w:highlight w:val="none"/>
          <w:u w:val="single"/>
          <w:lang w:eastAsia="zh-CN"/>
        </w:rPr>
        <w:t>后，支付至结算审定价款的</w:t>
      </w:r>
      <w:r>
        <w:rPr>
          <w:rFonts w:hint="eastAsia" w:ascii="宋体" w:hAnsi="宋体" w:eastAsia="宋体" w:cs="宋体"/>
          <w:color w:val="auto"/>
          <w:highlight w:val="none"/>
          <w:u w:val="single"/>
          <w:lang w:val="en-US" w:eastAsia="zh-CN"/>
        </w:rPr>
        <w:t>97%工程款，余下结算审定价款的3%作为工程质量保修金，待工程质量保修期满，经</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val="en-US" w:eastAsia="zh-CN"/>
        </w:rPr>
        <w:t>、乙方及监理单位三方验收合格后，无息拨付给乙方。</w:t>
      </w:r>
      <w:r>
        <w:rPr>
          <w:rFonts w:hint="eastAsia" w:ascii="宋体" w:hAnsi="宋体" w:eastAsia="宋体" w:cs="宋体"/>
          <w:color w:val="auto"/>
          <w:highlight w:val="none"/>
          <w:u w:val="single"/>
          <w:lang w:eastAsia="zh-CN"/>
        </w:rPr>
        <w:t>（</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在签订合同时，</w:t>
      </w:r>
      <w:r>
        <w:rPr>
          <w:rFonts w:hint="eastAsia" w:ascii="宋体" w:hAnsi="宋体" w:eastAsia="宋体" w:cs="宋体"/>
          <w:color w:val="auto"/>
          <w:highlight w:val="none"/>
          <w:u w:val="single"/>
          <w:lang w:val="en-US" w:eastAsia="zh-CN"/>
        </w:rPr>
        <w:t>乙方</w:t>
      </w:r>
      <w:r>
        <w:rPr>
          <w:rFonts w:hint="eastAsia" w:ascii="宋体" w:hAnsi="宋体" w:eastAsia="宋体" w:cs="宋体"/>
          <w:color w:val="auto"/>
          <w:highlight w:val="none"/>
          <w:u w:val="single"/>
          <w:lang w:eastAsia="zh-CN"/>
        </w:rPr>
        <w:t>明确表示无需预付款或者主动要求降低预付款比例的，</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可不适用前述规定）。</w:t>
      </w:r>
    </w:p>
    <w:p w14:paraId="5C9273D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12.4.2 进度付款申请单的编制</w:t>
      </w:r>
    </w:p>
    <w:p w14:paraId="7127FD9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关于进度付款申请单编制的约定：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lang w:eastAsia="zh-CN"/>
        </w:rPr>
        <w:t>进度款申请须符合贵港市人民政府相关文件规定，进度付款申请单编制内容按本工程款支付管理规定执行</w:t>
      </w:r>
      <w:r>
        <w:rPr>
          <w:rFonts w:hint="eastAsia" w:ascii="宋体" w:hAnsi="宋体"/>
          <w:color w:val="auto"/>
          <w:highlight w:val="none"/>
          <w:u w:val="single"/>
        </w:rPr>
        <w:t xml:space="preserve"> </w:t>
      </w:r>
      <w:r>
        <w:rPr>
          <w:rFonts w:hint="eastAsia" w:ascii="宋体" w:hAnsi="宋体"/>
          <w:color w:val="auto"/>
          <w:highlight w:val="none"/>
        </w:rPr>
        <w:t>。</w:t>
      </w:r>
    </w:p>
    <w:p w14:paraId="0DD25A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12.4.3 进度付款申请单的提交</w:t>
      </w:r>
    </w:p>
    <w:p w14:paraId="4D97F0A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（1）单价合同进度付款申请单提交的约定：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203D79E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709FC2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（3）其他价格形式合同进度付款申请单提交的约定：</w:t>
      </w:r>
      <w:r>
        <w:rPr>
          <w:rFonts w:hint="eastAsia" w:ascii="宋体" w:hAnsi="宋体"/>
          <w:color w:val="auto"/>
          <w:highlight w:val="none"/>
          <w:u w:val="single"/>
        </w:rPr>
        <w:t xml:space="preserve">  </w:t>
      </w:r>
      <w:r>
        <w:rPr>
          <w:rFonts w:hint="eastAsia"/>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4900C6E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12.4.4 进度款审核和支付</w:t>
      </w:r>
    </w:p>
    <w:p w14:paraId="42F689E3">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（1）监理人审查并报送发包人的期限：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1BE9B7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发包人完成审批并签发进度款支付证书的期限：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671B316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（2）发包人支付进度款的期限：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D7675B1">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发包人逾期支付进度款的违约金的计算方式：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325B796F">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12.4.6 支付分解表的编制</w:t>
      </w:r>
    </w:p>
    <w:p w14:paraId="2D90DE5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2、总价合同支付分解表的编制与审批：</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33D69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3、单价合同的总价项目支付分解表的编制与审批：</w:t>
      </w:r>
      <w:r>
        <w:rPr>
          <w:rFonts w:hint="eastAsia" w:ascii="宋体"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31ECA6D">
      <w:pPr>
        <w:pStyle w:val="172"/>
        <w:spacing w:line="360" w:lineRule="auto"/>
        <w:rPr>
          <w:rFonts w:ascii="宋体" w:hAnsi="宋体"/>
          <w:color w:val="auto"/>
          <w:sz w:val="21"/>
          <w:szCs w:val="21"/>
          <w:highlight w:val="none"/>
        </w:rPr>
      </w:pPr>
      <w:bookmarkStart w:id="236" w:name="_Toc524083334"/>
      <w:bookmarkStart w:id="237" w:name="_Toc523415233"/>
      <w:bookmarkStart w:id="238" w:name="_Toc522177110"/>
      <w:r>
        <w:rPr>
          <w:rFonts w:hint="eastAsia" w:ascii="宋体" w:hAnsi="宋体"/>
          <w:color w:val="auto"/>
          <w:sz w:val="21"/>
          <w:szCs w:val="21"/>
          <w:highlight w:val="none"/>
        </w:rPr>
        <w:t>13. 验收和工程试车</w:t>
      </w:r>
      <w:bookmarkEnd w:id="236"/>
      <w:bookmarkEnd w:id="237"/>
      <w:bookmarkEnd w:id="238"/>
    </w:p>
    <w:p w14:paraId="7949A8C0">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13.1 分部分项工程验收</w:t>
      </w:r>
    </w:p>
    <w:p w14:paraId="7505921B">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color w:val="auto"/>
          <w:highlight w:val="none"/>
        </w:rPr>
      </w:pPr>
      <w:r>
        <w:rPr>
          <w:rFonts w:hint="eastAsia" w:ascii="宋体" w:hAnsi="宋体"/>
          <w:color w:val="auto"/>
          <w:highlight w:val="none"/>
        </w:rPr>
        <w:t>13.1.2监理人不能按时进行验收时，应提前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0A75192F">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b/>
          <w:bCs/>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5AC707A2">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13.2 竣工验收</w:t>
      </w:r>
    </w:p>
    <w:p w14:paraId="48F9816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color w:val="auto"/>
          <w:szCs w:val="21"/>
          <w:highlight w:val="none"/>
        </w:rPr>
      </w:pPr>
      <w:r>
        <w:rPr>
          <w:color w:val="auto"/>
          <w:szCs w:val="21"/>
          <w:highlight w:val="none"/>
        </w:rPr>
        <w:t>13.2.1</w:t>
      </w:r>
      <w:r>
        <w:rPr>
          <w:rFonts w:hAnsi="宋体"/>
          <w:color w:val="auto"/>
          <w:szCs w:val="21"/>
          <w:highlight w:val="none"/>
        </w:rPr>
        <w:t>竣工验收条件</w:t>
      </w:r>
    </w:p>
    <w:p w14:paraId="43939F6D">
      <w:pPr>
        <w:spacing w:line="360" w:lineRule="auto"/>
        <w:ind w:firstLine="420" w:firstLineChars="200"/>
        <w:rPr>
          <w:color w:val="auto"/>
          <w:szCs w:val="21"/>
          <w:highlight w:val="none"/>
          <w:u w:val="single"/>
        </w:rPr>
      </w:pPr>
      <w:r>
        <w:rPr>
          <w:rFonts w:hAnsi="宋体"/>
          <w:color w:val="auto"/>
          <w:szCs w:val="21"/>
          <w:highlight w:val="none"/>
        </w:rPr>
        <w:t>承包人负责整理和提交的竣工验收资料应当符合工程所在地建设行政主管部门和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城市建设档案管理机构有关施工资料的要求，具体内容包括：</w:t>
      </w:r>
      <w:r>
        <w:rPr>
          <w:color w:val="auto"/>
          <w:szCs w:val="21"/>
          <w:highlight w:val="none"/>
          <w:u w:val="single"/>
        </w:rPr>
        <w:t xml:space="preserve"> </w:t>
      </w:r>
      <w:r>
        <w:rPr>
          <w:rFonts w:hint="eastAsia"/>
          <w:color w:val="auto"/>
          <w:szCs w:val="21"/>
          <w:highlight w:val="none"/>
          <w:u w:val="single"/>
        </w:rPr>
        <w:t xml:space="preserve">                         </w:t>
      </w:r>
    </w:p>
    <w:p w14:paraId="60DC9EE7">
      <w:pPr>
        <w:spacing w:line="360" w:lineRule="auto"/>
        <w:ind w:firstLine="420" w:firstLineChars="200"/>
        <w:rPr>
          <w:color w:val="auto"/>
          <w:szCs w:val="21"/>
          <w:highlight w:val="none"/>
        </w:rPr>
      </w:pPr>
      <w:r>
        <w:rPr>
          <w:rFonts w:hint="eastAsia"/>
          <w:color w:val="auto"/>
          <w:szCs w:val="21"/>
          <w:highlight w:val="none"/>
          <w:u w:val="single"/>
        </w:rPr>
        <w:t>承包人还须提交发包人委托的第三方检测机构检测的水泥混凝土路面钻芯试件劈裂强度及混凝土路面厚度合格的检测报告</w:t>
      </w:r>
      <w:r>
        <w:rPr>
          <w:color w:val="auto"/>
          <w:szCs w:val="21"/>
          <w:highlight w:val="none"/>
          <w:u w:val="single"/>
        </w:rPr>
        <w:t xml:space="preserve"> </w:t>
      </w:r>
      <w:r>
        <w:rPr>
          <w:rFonts w:hAnsi="宋体"/>
          <w:color w:val="auto"/>
          <w:szCs w:val="21"/>
          <w:highlight w:val="none"/>
        </w:rPr>
        <w:t>。</w:t>
      </w:r>
    </w:p>
    <w:p w14:paraId="4437197A">
      <w:pPr>
        <w:spacing w:line="360" w:lineRule="auto"/>
        <w:ind w:firstLine="420" w:firstLineChars="200"/>
        <w:rPr>
          <w:color w:val="auto"/>
          <w:szCs w:val="21"/>
          <w:highlight w:val="none"/>
        </w:rPr>
      </w:pPr>
      <w:r>
        <w:rPr>
          <w:rFonts w:hAnsi="宋体"/>
          <w:color w:val="auto"/>
          <w:szCs w:val="21"/>
          <w:highlight w:val="none"/>
        </w:rPr>
        <w:t>竣工验收资料的份数：</w:t>
      </w:r>
      <w:r>
        <w:rPr>
          <w:color w:val="auto"/>
          <w:szCs w:val="21"/>
          <w:highlight w:val="none"/>
          <w:u w:val="single"/>
        </w:rPr>
        <w:t xml:space="preserve">        </w:t>
      </w:r>
      <w:r>
        <w:rPr>
          <w:rFonts w:hAnsi="宋体"/>
          <w:color w:val="auto"/>
          <w:szCs w:val="21"/>
          <w:highlight w:val="none"/>
        </w:rPr>
        <w:t>。</w:t>
      </w:r>
    </w:p>
    <w:p w14:paraId="4718663E">
      <w:pPr>
        <w:pStyle w:val="160"/>
        <w:spacing w:line="360" w:lineRule="auto"/>
        <w:ind w:firstLine="420" w:firstLineChars="200"/>
        <w:jc w:val="left"/>
        <w:rPr>
          <w:rFonts w:hint="eastAsia" w:ascii="宋体" w:hAnsi="宋体"/>
          <w:color w:val="auto"/>
          <w:highlight w:val="none"/>
        </w:rPr>
      </w:pPr>
      <w:r>
        <w:rPr>
          <w:rFonts w:hAnsi="宋体"/>
          <w:bCs/>
          <w:color w:val="auto"/>
          <w:highlight w:val="none"/>
        </w:rPr>
        <w:t>承包人提供竣工图的约定：</w:t>
      </w:r>
      <w:r>
        <w:rPr>
          <w:rFonts w:hint="eastAsia" w:hAnsi="宋体" w:cs="宋体"/>
          <w:color w:val="auto"/>
          <w:highlight w:val="none"/>
          <w:u w:val="single"/>
        </w:rPr>
        <w:t>竣工验收正式通过后</w:t>
      </w:r>
      <w:r>
        <w:rPr>
          <w:color w:val="auto"/>
          <w:highlight w:val="none"/>
          <w:u w:val="single"/>
        </w:rPr>
        <w:t>10</w:t>
      </w:r>
      <w:r>
        <w:rPr>
          <w:rFonts w:hint="eastAsia" w:hAnsi="宋体" w:cs="宋体"/>
          <w:color w:val="auto"/>
          <w:highlight w:val="none"/>
          <w:u w:val="single"/>
        </w:rPr>
        <w:t>天，提供竣工图的数量为</w:t>
      </w:r>
      <w:r>
        <w:rPr>
          <w:rFonts w:hint="eastAsia" w:ascii="宋体" w:hAnsi="宋体" w:eastAsia="宋体" w:cs="宋体"/>
          <w:b w:val="0"/>
          <w:bCs w:val="0"/>
          <w:color w:val="auto"/>
          <w:sz w:val="21"/>
          <w:szCs w:val="21"/>
          <w:highlight w:val="none"/>
          <w:u w:val="single"/>
          <w:lang w:val="en-US" w:eastAsia="zh-CN"/>
        </w:rPr>
        <w:t>肆</w:t>
      </w:r>
      <w:r>
        <w:rPr>
          <w:rFonts w:hint="eastAsia" w:hAnsi="宋体" w:cs="宋体"/>
          <w:color w:val="auto"/>
          <w:highlight w:val="none"/>
          <w:u w:val="single"/>
        </w:rPr>
        <w:t>套</w:t>
      </w:r>
      <w:r>
        <w:rPr>
          <w:rFonts w:hAnsi="宋体"/>
          <w:bCs/>
          <w:color w:val="auto"/>
          <w:highlight w:val="none"/>
          <w:u w:val="single"/>
        </w:rPr>
        <w:t>。</w:t>
      </w:r>
    </w:p>
    <w:p w14:paraId="09F54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13.2.2竣工验收程序</w:t>
      </w:r>
    </w:p>
    <w:p w14:paraId="4C73BDB9">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关于竣工验收程序的约定：</w:t>
      </w:r>
      <w:r>
        <w:rPr>
          <w:rFonts w:hint="eastAsia" w:ascii="宋体" w:hAnsi="宋体"/>
          <w:color w:val="auto"/>
          <w:highlight w:val="none"/>
          <w:u w:val="single"/>
        </w:rPr>
        <w:t xml:space="preserve">    按《通用合同条款》13.2.2条执行       </w:t>
      </w:r>
      <w:r>
        <w:rPr>
          <w:rFonts w:hint="eastAsia" w:ascii="宋体" w:hAnsi="宋体"/>
          <w:color w:val="auto"/>
          <w:highlight w:val="none"/>
        </w:rPr>
        <w:t>。</w:t>
      </w:r>
    </w:p>
    <w:p w14:paraId="7110534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发包人不按照本项约定组织竣工验收、颁发工程接收证书的违约金的计算方法：</w:t>
      </w:r>
      <w:r>
        <w:rPr>
          <w:rFonts w:hint="eastAsia"/>
          <w:color w:val="auto"/>
          <w:highlight w:val="none"/>
          <w:u w:val="single"/>
        </w:rPr>
        <w:t>按工程所在地建设行政主管部门和城市建设档案管理机构有关验收程序的要求进行</w:t>
      </w:r>
      <w:r>
        <w:rPr>
          <w:rFonts w:hint="eastAsia" w:ascii="宋体" w:hAnsi="宋体"/>
          <w:color w:val="auto"/>
          <w:highlight w:val="none"/>
        </w:rPr>
        <w:t>。</w:t>
      </w:r>
    </w:p>
    <w:p w14:paraId="3D310E2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13.2.5移交、接收全部与部分工程</w:t>
      </w:r>
    </w:p>
    <w:p w14:paraId="63C31E7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承包人向发包人移交工程的期限：</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rPr>
        <w:t>。</w:t>
      </w:r>
    </w:p>
    <w:p w14:paraId="075399E5">
      <w:pPr>
        <w:pStyle w:val="160"/>
        <w:spacing w:line="360" w:lineRule="auto"/>
        <w:ind w:firstLine="420" w:firstLineChars="200"/>
        <w:jc w:val="left"/>
        <w:rPr>
          <w:rFonts w:ascii="宋体" w:hAnsi="宋体"/>
          <w:color w:val="auto"/>
          <w:highlight w:val="none"/>
          <w:u w:val="single"/>
        </w:rPr>
      </w:pPr>
      <w:r>
        <w:rPr>
          <w:rFonts w:hint="eastAsia" w:ascii="宋体" w:hAnsi="宋体"/>
          <w:color w:val="auto"/>
          <w:kern w:val="0"/>
          <w:highlight w:val="none"/>
        </w:rPr>
        <w:t>发包人未按本合同约定接收全部或部分工程的，违约金的计算方法为：</w:t>
      </w:r>
      <w:r>
        <w:rPr>
          <w:rFonts w:hint="eastAsia" w:ascii="宋体" w:hAnsi="宋体"/>
          <w:color w:val="auto"/>
          <w:highlight w:val="none"/>
          <w:u w:val="single"/>
        </w:rPr>
        <w:t xml:space="preserve"> 按《通用合同条款》13.2.5条执行 </w:t>
      </w:r>
      <w:r>
        <w:rPr>
          <w:rFonts w:hint="eastAsia" w:ascii="宋体" w:hAnsi="宋体"/>
          <w:color w:val="auto"/>
          <w:highlight w:val="none"/>
        </w:rPr>
        <w:t>。</w:t>
      </w:r>
    </w:p>
    <w:p w14:paraId="5712B6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承包人未按时移交工程的，违约金的计算方法为：</w:t>
      </w:r>
      <w:r>
        <w:rPr>
          <w:rFonts w:hint="eastAsia" w:ascii="宋体" w:hAnsi="宋体"/>
          <w:color w:val="auto"/>
          <w:highlight w:val="none"/>
          <w:u w:val="single"/>
        </w:rPr>
        <w:t xml:space="preserve"> </w:t>
      </w:r>
      <w:r>
        <w:rPr>
          <w:rFonts w:hint="eastAsia" w:hAnsi="宋体"/>
          <w:color w:val="auto"/>
          <w:highlight w:val="none"/>
          <w:u w:val="single"/>
        </w:rPr>
        <w:t>因承包人原因未按时移交工程的，</w:t>
      </w:r>
      <w:r>
        <w:rPr>
          <w:rFonts w:hint="eastAsia" w:ascii="宋体" w:hAnsi="宋体"/>
          <w:color w:val="auto"/>
          <w:kern w:val="0"/>
          <w:highlight w:val="none"/>
          <w:u w:val="single"/>
        </w:rPr>
        <w:t>承包人应采取措施确保相关工程的正常使用，承包人应承担工程照管、成品保护、保管等与工程有关的各项费用，且</w:t>
      </w:r>
      <w:r>
        <w:rPr>
          <w:rFonts w:hint="eastAsia" w:hAnsi="宋体"/>
          <w:color w:val="auto"/>
          <w:highlight w:val="none"/>
          <w:u w:val="single"/>
        </w:rPr>
        <w:t>每延误一天，扣除</w:t>
      </w:r>
      <w:r>
        <w:rPr>
          <w:rFonts w:hAnsi="宋体"/>
          <w:color w:val="auto"/>
          <w:highlight w:val="none"/>
          <w:u w:val="single"/>
        </w:rPr>
        <w:t>150</w:t>
      </w:r>
      <w:r>
        <w:rPr>
          <w:rFonts w:hint="eastAsia" w:hAnsi="宋体"/>
          <w:color w:val="auto"/>
          <w:highlight w:val="none"/>
          <w:u w:val="single"/>
        </w:rPr>
        <w:t>元</w:t>
      </w:r>
      <w:r>
        <w:rPr>
          <w:rFonts w:hAnsi="宋体"/>
          <w:color w:val="auto"/>
          <w:highlight w:val="none"/>
          <w:u w:val="single"/>
        </w:rPr>
        <w:t>/</w:t>
      </w:r>
      <w:r>
        <w:rPr>
          <w:rFonts w:hint="eastAsia" w:hAnsi="宋体"/>
          <w:color w:val="auto"/>
          <w:highlight w:val="none"/>
          <w:u w:val="single"/>
        </w:rPr>
        <w:t>天的质保金</w:t>
      </w:r>
      <w:r>
        <w:rPr>
          <w:rFonts w:hint="eastAsia" w:ascii="宋体" w:hAnsi="宋体"/>
          <w:color w:val="auto"/>
          <w:highlight w:val="none"/>
          <w:u w:val="single"/>
        </w:rPr>
        <w:t>。</w:t>
      </w:r>
    </w:p>
    <w:p w14:paraId="2B65D32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13.3 工程试车</w:t>
      </w:r>
    </w:p>
    <w:p w14:paraId="01BF82A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13.3.1 试车程序</w:t>
      </w:r>
    </w:p>
    <w:p w14:paraId="7153C87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工程试车内容：</w:t>
      </w:r>
      <w:r>
        <w:rPr>
          <w:rFonts w:hint="eastAsia" w:ascii="宋体" w:hAnsi="宋体"/>
          <w:color w:val="auto"/>
          <w:highlight w:val="none"/>
          <w:u w:val="single"/>
        </w:rPr>
        <w:t xml:space="preserve"> 按《通用合同条款》13.3.1条执行</w:t>
      </w:r>
      <w:r>
        <w:rPr>
          <w:rFonts w:hint="eastAsia" w:ascii="宋体" w:hAnsi="宋体"/>
          <w:color w:val="auto"/>
          <w:highlight w:val="none"/>
        </w:rPr>
        <w:t>。</w:t>
      </w:r>
    </w:p>
    <w:p w14:paraId="44806FC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（1）单机无负荷试车费用由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180160EA">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（2）无负荷联动试车费用由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67B4612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13.3.3 投料试车</w:t>
      </w:r>
    </w:p>
    <w:p w14:paraId="29F7227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关于投料试车相关事项的约定：</w:t>
      </w:r>
      <w:r>
        <w:rPr>
          <w:rFonts w:hint="eastAsia" w:ascii="宋体" w:hAnsi="宋体"/>
          <w:color w:val="auto"/>
          <w:highlight w:val="none"/>
          <w:u w:val="single"/>
        </w:rPr>
        <w:t xml:space="preserve">  按《通用合同条款》13.3.3条执行 </w:t>
      </w:r>
      <w:r>
        <w:rPr>
          <w:rFonts w:hint="eastAsia" w:ascii="宋体" w:hAnsi="宋体"/>
          <w:color w:val="auto"/>
          <w:highlight w:val="none"/>
        </w:rPr>
        <w:t>。</w:t>
      </w:r>
    </w:p>
    <w:p w14:paraId="7C2DA58B">
      <w:pPr>
        <w:pStyle w:val="160"/>
        <w:spacing w:line="360" w:lineRule="auto"/>
        <w:rPr>
          <w:rFonts w:ascii="宋体" w:hAnsi="宋体"/>
          <w:color w:val="auto"/>
          <w:kern w:val="0"/>
          <w:highlight w:val="none"/>
        </w:rPr>
      </w:pPr>
      <w:r>
        <w:rPr>
          <w:rFonts w:hint="eastAsia" w:ascii="宋体" w:hAnsi="宋体"/>
          <w:color w:val="auto"/>
          <w:kern w:val="0"/>
          <w:highlight w:val="none"/>
        </w:rPr>
        <w:t>13.6 竣工退场</w:t>
      </w:r>
    </w:p>
    <w:p w14:paraId="6102B82B">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13.6.1 竣工退场</w:t>
      </w:r>
    </w:p>
    <w:p w14:paraId="1E33F7E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承包人完成竣工退场的期限：</w:t>
      </w:r>
      <w:r>
        <w:rPr>
          <w:rFonts w:hint="eastAsia" w:ascii="宋体" w:hAnsi="宋体"/>
          <w:color w:val="auto"/>
          <w:highlight w:val="none"/>
          <w:u w:val="single"/>
        </w:rPr>
        <w:t xml:space="preserve"> </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u w:val="single"/>
        </w:rPr>
        <w:t xml:space="preserve"> </w:t>
      </w:r>
      <w:r>
        <w:rPr>
          <w:rFonts w:hint="eastAsia" w:ascii="宋体" w:hAnsi="宋体"/>
          <w:color w:val="auto"/>
          <w:kern w:val="0"/>
          <w:highlight w:val="none"/>
        </w:rPr>
        <w:t>。</w:t>
      </w:r>
    </w:p>
    <w:p w14:paraId="747DBA4F">
      <w:pPr>
        <w:pStyle w:val="172"/>
        <w:spacing w:line="360" w:lineRule="auto"/>
        <w:rPr>
          <w:rFonts w:ascii="宋体" w:hAnsi="宋体"/>
          <w:color w:val="auto"/>
          <w:sz w:val="21"/>
          <w:szCs w:val="21"/>
          <w:highlight w:val="none"/>
        </w:rPr>
      </w:pPr>
      <w:bookmarkStart w:id="239" w:name="_Toc522177111"/>
      <w:bookmarkStart w:id="240" w:name="_Toc523415234"/>
      <w:bookmarkStart w:id="241" w:name="_Toc524083335"/>
      <w:r>
        <w:rPr>
          <w:rFonts w:hint="eastAsia" w:ascii="宋体" w:hAnsi="宋体"/>
          <w:color w:val="auto"/>
          <w:sz w:val="21"/>
          <w:szCs w:val="21"/>
          <w:highlight w:val="none"/>
        </w:rPr>
        <w:t>14. 竣工结算</w:t>
      </w:r>
      <w:bookmarkEnd w:id="239"/>
      <w:bookmarkEnd w:id="240"/>
      <w:bookmarkEnd w:id="241"/>
    </w:p>
    <w:p w14:paraId="07530C6E">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14.1 竣工结算申请</w:t>
      </w:r>
    </w:p>
    <w:p w14:paraId="54196B4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承包人提交竣工结算申请单的期限：</w:t>
      </w:r>
      <w:r>
        <w:rPr>
          <w:rFonts w:hint="eastAsia" w:ascii="宋体" w:hAnsi="宋体"/>
          <w:color w:val="auto"/>
          <w:highlight w:val="none"/>
          <w:u w:val="single"/>
        </w:rPr>
        <w:t>竣工结算按照《贵港市市本级政府投资项目管理暂行办法》贵政办（</w:t>
      </w:r>
      <w:r>
        <w:rPr>
          <w:rFonts w:ascii="宋体" w:hAnsi="宋体"/>
          <w:color w:val="auto"/>
          <w:highlight w:val="none"/>
          <w:u w:val="single"/>
        </w:rPr>
        <w:t>2014</w:t>
      </w:r>
      <w:r>
        <w:rPr>
          <w:rFonts w:hint="eastAsia" w:ascii="宋体" w:hAnsi="宋体"/>
          <w:color w:val="auto"/>
          <w:highlight w:val="none"/>
          <w:u w:val="single"/>
        </w:rPr>
        <w:t>）</w:t>
      </w:r>
      <w:r>
        <w:rPr>
          <w:rFonts w:ascii="宋体" w:hAnsi="宋体"/>
          <w:color w:val="auto"/>
          <w:highlight w:val="none"/>
          <w:u w:val="single"/>
        </w:rPr>
        <w:t>3</w:t>
      </w:r>
      <w:r>
        <w:rPr>
          <w:rFonts w:hint="eastAsia" w:ascii="宋体" w:hAnsi="宋体"/>
          <w:color w:val="auto"/>
          <w:highlight w:val="none"/>
          <w:u w:val="single"/>
        </w:rPr>
        <w:t>号文及贵政办发【</w:t>
      </w:r>
      <w:r>
        <w:rPr>
          <w:rFonts w:ascii="宋体" w:hAnsi="宋体"/>
          <w:color w:val="auto"/>
          <w:highlight w:val="none"/>
          <w:u w:val="single"/>
        </w:rPr>
        <w:t>2016</w:t>
      </w:r>
      <w:r>
        <w:rPr>
          <w:rFonts w:hint="eastAsia" w:ascii="宋体" w:hAnsi="宋体"/>
          <w:color w:val="auto"/>
          <w:highlight w:val="none"/>
          <w:u w:val="single"/>
        </w:rPr>
        <w:t>】</w:t>
      </w:r>
      <w:r>
        <w:rPr>
          <w:rFonts w:ascii="宋体" w:hAnsi="宋体"/>
          <w:color w:val="auto"/>
          <w:highlight w:val="none"/>
          <w:u w:val="single"/>
        </w:rPr>
        <w:t>32</w:t>
      </w:r>
      <w:r>
        <w:rPr>
          <w:rFonts w:hint="eastAsia" w:ascii="宋体" w:hAnsi="宋体"/>
          <w:color w:val="auto"/>
          <w:highlight w:val="none"/>
          <w:u w:val="single"/>
        </w:rPr>
        <w:t xml:space="preserve">号规定执行，在工程竣工验收合格后28天内向发包人和监理人提交竣工结算申请单。无正当理由延期或经发包人催促14日内仍未提供或明确答复的，发包人有权根据已有资料进行结算审核，责任由承包人自负。承包人应及时提供竣工结算过程中所需补充的资料 </w:t>
      </w:r>
      <w:r>
        <w:rPr>
          <w:rFonts w:hint="eastAsia" w:ascii="宋体" w:hAnsi="宋体"/>
          <w:color w:val="auto"/>
          <w:highlight w:val="none"/>
        </w:rPr>
        <w:t>。</w:t>
      </w:r>
    </w:p>
    <w:p w14:paraId="09688C9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竣工结算申请单应包括的内容：</w:t>
      </w:r>
      <w:r>
        <w:rPr>
          <w:rFonts w:hint="eastAsia" w:ascii="宋体" w:hAnsi="宋体"/>
          <w:color w:val="auto"/>
          <w:highlight w:val="none"/>
          <w:u w:val="single"/>
        </w:rPr>
        <w:t xml:space="preserve"> 按《通用合同条款》14.1条执行</w:t>
      </w:r>
      <w:r>
        <w:rPr>
          <w:rFonts w:hint="eastAsia" w:ascii="宋体" w:hAnsi="宋体"/>
          <w:color w:val="auto"/>
          <w:highlight w:val="none"/>
        </w:rPr>
        <w:t>。</w:t>
      </w:r>
    </w:p>
    <w:p w14:paraId="13D8B8F4">
      <w:pPr>
        <w:pStyle w:val="160"/>
        <w:spacing w:line="360" w:lineRule="auto"/>
        <w:rPr>
          <w:rFonts w:ascii="宋体" w:hAnsi="宋体"/>
          <w:color w:val="auto"/>
          <w:highlight w:val="none"/>
        </w:rPr>
      </w:pPr>
      <w:r>
        <w:rPr>
          <w:rFonts w:hint="eastAsia" w:ascii="宋体" w:hAnsi="宋体"/>
          <w:color w:val="auto"/>
          <w:highlight w:val="none"/>
        </w:rPr>
        <w:t>14.2 竣工结算审核</w:t>
      </w:r>
    </w:p>
    <w:p w14:paraId="71393F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发包人审批竣工付款申请单的期限：</w:t>
      </w:r>
    </w:p>
    <w:tbl>
      <w:tblPr>
        <w:tblStyle w:val="43"/>
        <w:tblW w:w="0" w:type="auto"/>
        <w:jc w:val="center"/>
        <w:tblLayout w:type="fixed"/>
        <w:tblCellMar>
          <w:top w:w="0" w:type="dxa"/>
          <w:left w:w="108" w:type="dxa"/>
          <w:bottom w:w="0" w:type="dxa"/>
          <w:right w:w="108" w:type="dxa"/>
        </w:tblCellMar>
      </w:tblPr>
      <w:tblGrid>
        <w:gridCol w:w="588"/>
        <w:gridCol w:w="2466"/>
        <w:gridCol w:w="5384"/>
      </w:tblGrid>
      <w:tr w14:paraId="24AF1293">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76FD3012">
            <w:pPr>
              <w:pStyle w:val="174"/>
              <w:spacing w:line="360" w:lineRule="auto"/>
              <w:rPr>
                <w:color w:val="auto"/>
                <w:highlight w:val="none"/>
              </w:rPr>
            </w:pPr>
          </w:p>
        </w:tc>
        <w:tc>
          <w:tcPr>
            <w:tcW w:w="2466" w:type="dxa"/>
            <w:tcBorders>
              <w:top w:val="single" w:color="auto" w:sz="4" w:space="0"/>
              <w:left w:val="nil"/>
              <w:bottom w:val="single" w:color="auto" w:sz="4" w:space="0"/>
              <w:right w:val="single" w:color="auto" w:sz="4" w:space="0"/>
            </w:tcBorders>
            <w:noWrap w:val="0"/>
            <w:vAlign w:val="center"/>
          </w:tcPr>
          <w:p w14:paraId="476ADD6B">
            <w:pPr>
              <w:pStyle w:val="174"/>
              <w:spacing w:line="360" w:lineRule="auto"/>
              <w:ind w:firstLine="27" w:firstLineChars="13"/>
              <w:jc w:val="center"/>
              <w:rPr>
                <w:color w:val="auto"/>
                <w:highlight w:val="none"/>
              </w:rPr>
            </w:pPr>
            <w:r>
              <w:rPr>
                <w:rFonts w:hAnsi="宋体"/>
                <w:color w:val="auto"/>
                <w:highlight w:val="none"/>
              </w:rPr>
              <w:t>工程竣工结算报告金额</w:t>
            </w:r>
          </w:p>
        </w:tc>
        <w:tc>
          <w:tcPr>
            <w:tcW w:w="5384" w:type="dxa"/>
            <w:tcBorders>
              <w:top w:val="single" w:color="auto" w:sz="4" w:space="0"/>
              <w:left w:val="nil"/>
              <w:bottom w:val="single" w:color="auto" w:sz="4" w:space="0"/>
              <w:right w:val="single" w:color="auto" w:sz="4" w:space="0"/>
            </w:tcBorders>
            <w:noWrap w:val="0"/>
            <w:vAlign w:val="center"/>
          </w:tcPr>
          <w:p w14:paraId="275D5046">
            <w:pPr>
              <w:pStyle w:val="174"/>
              <w:spacing w:line="360" w:lineRule="auto"/>
              <w:ind w:firstLine="441" w:firstLineChars="210"/>
              <w:jc w:val="center"/>
              <w:rPr>
                <w:color w:val="auto"/>
                <w:highlight w:val="none"/>
              </w:rPr>
            </w:pPr>
            <w:r>
              <w:rPr>
                <w:rFonts w:hAnsi="宋体"/>
                <w:color w:val="auto"/>
                <w:highlight w:val="none"/>
              </w:rPr>
              <w:t>发包人审查时间</w:t>
            </w:r>
          </w:p>
        </w:tc>
      </w:tr>
      <w:tr w14:paraId="584237D6">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40806DC1">
            <w:pPr>
              <w:pStyle w:val="174"/>
              <w:spacing w:line="360" w:lineRule="auto"/>
              <w:jc w:val="center"/>
              <w:rPr>
                <w:color w:val="auto"/>
                <w:highlight w:val="none"/>
              </w:rPr>
            </w:pPr>
            <w:r>
              <w:rPr>
                <w:color w:val="auto"/>
                <w:highlight w:val="none"/>
              </w:rPr>
              <w:t>1</w:t>
            </w:r>
          </w:p>
        </w:tc>
        <w:tc>
          <w:tcPr>
            <w:tcW w:w="2466" w:type="dxa"/>
            <w:tcBorders>
              <w:top w:val="single" w:color="auto" w:sz="4" w:space="0"/>
              <w:left w:val="nil"/>
              <w:bottom w:val="single" w:color="auto" w:sz="4" w:space="0"/>
              <w:right w:val="single" w:color="auto" w:sz="4" w:space="0"/>
            </w:tcBorders>
            <w:noWrap w:val="0"/>
            <w:vAlign w:val="center"/>
          </w:tcPr>
          <w:p w14:paraId="0C022A6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万元以下</w:t>
            </w:r>
          </w:p>
        </w:tc>
        <w:tc>
          <w:tcPr>
            <w:tcW w:w="5384" w:type="dxa"/>
            <w:tcBorders>
              <w:top w:val="single" w:color="auto" w:sz="4" w:space="0"/>
              <w:left w:val="nil"/>
              <w:bottom w:val="single" w:color="auto" w:sz="4" w:space="0"/>
              <w:right w:val="single" w:color="auto" w:sz="4" w:space="0"/>
            </w:tcBorders>
            <w:noWrap w:val="0"/>
            <w:vAlign w:val="center"/>
          </w:tcPr>
          <w:p w14:paraId="10B9E2BA">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20</w:t>
            </w:r>
            <w:r>
              <w:rPr>
                <w:rFonts w:hAnsi="宋体"/>
                <w:color w:val="auto"/>
                <w:highlight w:val="none"/>
              </w:rPr>
              <w:t>天</w:t>
            </w:r>
          </w:p>
        </w:tc>
      </w:tr>
      <w:tr w14:paraId="68B9FEC8">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8611338">
            <w:pPr>
              <w:pStyle w:val="174"/>
              <w:spacing w:line="360" w:lineRule="auto"/>
              <w:jc w:val="center"/>
              <w:rPr>
                <w:color w:val="auto"/>
                <w:highlight w:val="none"/>
              </w:rPr>
            </w:pPr>
            <w:r>
              <w:rPr>
                <w:color w:val="auto"/>
                <w:highlight w:val="none"/>
              </w:rPr>
              <w:t>2</w:t>
            </w:r>
          </w:p>
        </w:tc>
        <w:tc>
          <w:tcPr>
            <w:tcW w:w="2466" w:type="dxa"/>
            <w:tcBorders>
              <w:top w:val="single" w:color="auto" w:sz="4" w:space="0"/>
              <w:left w:val="nil"/>
              <w:bottom w:val="single" w:color="auto" w:sz="4" w:space="0"/>
              <w:right w:val="single" w:color="auto" w:sz="4" w:space="0"/>
            </w:tcBorders>
            <w:noWrap w:val="0"/>
            <w:vAlign w:val="center"/>
          </w:tcPr>
          <w:p w14:paraId="62D9083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w:t>
            </w:r>
            <w:r>
              <w:rPr>
                <w:color w:val="auto"/>
                <w:highlight w:val="none"/>
              </w:rPr>
              <w:t>-2000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21921471">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30</w:t>
            </w:r>
            <w:r>
              <w:rPr>
                <w:rFonts w:hAnsi="宋体"/>
                <w:color w:val="auto"/>
                <w:highlight w:val="none"/>
              </w:rPr>
              <w:t>天</w:t>
            </w:r>
          </w:p>
        </w:tc>
      </w:tr>
      <w:tr w14:paraId="74C87714">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1CF7614D">
            <w:pPr>
              <w:pStyle w:val="174"/>
              <w:spacing w:line="360" w:lineRule="auto"/>
              <w:jc w:val="center"/>
              <w:rPr>
                <w:color w:val="auto"/>
                <w:highlight w:val="none"/>
              </w:rPr>
            </w:pPr>
            <w:r>
              <w:rPr>
                <w:color w:val="auto"/>
                <w:highlight w:val="none"/>
              </w:rPr>
              <w:t>3</w:t>
            </w:r>
          </w:p>
        </w:tc>
        <w:tc>
          <w:tcPr>
            <w:tcW w:w="2466" w:type="dxa"/>
            <w:tcBorders>
              <w:top w:val="single" w:color="auto" w:sz="4" w:space="0"/>
              <w:left w:val="nil"/>
              <w:bottom w:val="single" w:color="auto" w:sz="4" w:space="0"/>
              <w:right w:val="single" w:color="auto" w:sz="4" w:space="0"/>
            </w:tcBorders>
            <w:noWrap w:val="0"/>
            <w:vAlign w:val="center"/>
          </w:tcPr>
          <w:p w14:paraId="6C3D65F0">
            <w:pPr>
              <w:pStyle w:val="174"/>
              <w:spacing w:line="360" w:lineRule="auto"/>
              <w:ind w:firstLine="27" w:firstLineChars="13"/>
              <w:jc w:val="center"/>
              <w:rPr>
                <w:color w:val="auto"/>
                <w:highlight w:val="none"/>
              </w:rPr>
            </w:pPr>
            <w:r>
              <w:rPr>
                <w:color w:val="auto"/>
                <w:highlight w:val="none"/>
              </w:rPr>
              <w:t>2000</w:t>
            </w:r>
            <w:r>
              <w:rPr>
                <w:rFonts w:hAnsi="宋体"/>
                <w:color w:val="auto"/>
                <w:highlight w:val="none"/>
              </w:rPr>
              <w:t>万元</w:t>
            </w:r>
            <w:r>
              <w:rPr>
                <w:color w:val="auto"/>
                <w:highlight w:val="none"/>
              </w:rPr>
              <w:t>-5000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155D12FF">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45</w:t>
            </w:r>
            <w:r>
              <w:rPr>
                <w:rFonts w:hAnsi="宋体"/>
                <w:color w:val="auto"/>
                <w:highlight w:val="none"/>
              </w:rPr>
              <w:t>天</w:t>
            </w:r>
          </w:p>
        </w:tc>
      </w:tr>
      <w:tr w14:paraId="4BA074D0">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D1F568A">
            <w:pPr>
              <w:pStyle w:val="174"/>
              <w:spacing w:line="360" w:lineRule="auto"/>
              <w:jc w:val="center"/>
              <w:rPr>
                <w:color w:val="auto"/>
                <w:highlight w:val="none"/>
              </w:rPr>
            </w:pPr>
            <w:r>
              <w:rPr>
                <w:color w:val="auto"/>
                <w:highlight w:val="none"/>
              </w:rPr>
              <w:t>4</w:t>
            </w:r>
          </w:p>
        </w:tc>
        <w:tc>
          <w:tcPr>
            <w:tcW w:w="2466" w:type="dxa"/>
            <w:tcBorders>
              <w:top w:val="single" w:color="auto" w:sz="4" w:space="0"/>
              <w:left w:val="nil"/>
              <w:bottom w:val="single" w:color="auto" w:sz="4" w:space="0"/>
              <w:right w:val="single" w:color="auto" w:sz="4" w:space="0"/>
            </w:tcBorders>
            <w:noWrap w:val="0"/>
            <w:vAlign w:val="center"/>
          </w:tcPr>
          <w:p w14:paraId="38A4E620">
            <w:pPr>
              <w:pStyle w:val="174"/>
              <w:spacing w:line="360" w:lineRule="auto"/>
              <w:ind w:firstLine="27" w:firstLineChars="13"/>
              <w:jc w:val="center"/>
              <w:rPr>
                <w:color w:val="auto"/>
                <w:highlight w:val="none"/>
              </w:rPr>
            </w:pPr>
            <w:r>
              <w:rPr>
                <w:color w:val="auto"/>
                <w:highlight w:val="none"/>
              </w:rPr>
              <w:t>5000</w:t>
            </w:r>
            <w:r>
              <w:rPr>
                <w:rFonts w:hAnsi="宋体"/>
                <w:color w:val="auto"/>
                <w:highlight w:val="none"/>
              </w:rPr>
              <w:t>万元以上</w:t>
            </w:r>
          </w:p>
        </w:tc>
        <w:tc>
          <w:tcPr>
            <w:tcW w:w="5384" w:type="dxa"/>
            <w:tcBorders>
              <w:top w:val="single" w:color="auto" w:sz="4" w:space="0"/>
              <w:left w:val="nil"/>
              <w:bottom w:val="single" w:color="auto" w:sz="4" w:space="0"/>
              <w:right w:val="single" w:color="auto" w:sz="4" w:space="0"/>
            </w:tcBorders>
            <w:noWrap w:val="0"/>
            <w:vAlign w:val="center"/>
          </w:tcPr>
          <w:p w14:paraId="47B9E580">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60</w:t>
            </w:r>
            <w:r>
              <w:rPr>
                <w:rFonts w:hAnsi="宋体"/>
                <w:color w:val="auto"/>
                <w:highlight w:val="none"/>
              </w:rPr>
              <w:t>天</w:t>
            </w:r>
          </w:p>
        </w:tc>
      </w:tr>
    </w:tbl>
    <w:p w14:paraId="14BC43E2">
      <w:pPr>
        <w:pStyle w:val="160"/>
        <w:spacing w:line="360" w:lineRule="auto"/>
        <w:ind w:firstLine="420" w:firstLineChars="200"/>
        <w:jc w:val="left"/>
        <w:rPr>
          <w:rFonts w:ascii="宋体" w:hAnsi="宋体"/>
          <w:color w:val="auto"/>
          <w:highlight w:val="none"/>
        </w:rPr>
      </w:pPr>
      <w:r>
        <w:rPr>
          <w:rFonts w:ascii="宋体" w:hAnsi="宋体"/>
          <w:color w:val="auto"/>
          <w:highlight w:val="none"/>
        </w:rPr>
        <w:t>因承包人提供的结算资料不完整而需要补充或承包人不按时对账耽误时间时，审查时间应相应顺延。</w:t>
      </w:r>
    </w:p>
    <w:p w14:paraId="11E2040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发包人完成竣工付款的期限：</w:t>
      </w:r>
      <w:r>
        <w:rPr>
          <w:rFonts w:hint="eastAsia" w:hAnsi="宋体"/>
          <w:bCs/>
          <w:color w:val="auto"/>
          <w:highlight w:val="none"/>
          <w:u w:val="single"/>
        </w:rPr>
        <w:t>发包人签发竣工付款证书后</w:t>
      </w:r>
      <w:r>
        <w:rPr>
          <w:rFonts w:hAnsi="宋体"/>
          <w:bCs/>
          <w:color w:val="auto"/>
          <w:highlight w:val="none"/>
          <w:u w:val="single"/>
        </w:rPr>
        <w:t>28</w:t>
      </w:r>
      <w:r>
        <w:rPr>
          <w:rFonts w:hint="eastAsia" w:hAnsi="宋体"/>
          <w:bCs/>
          <w:color w:val="auto"/>
          <w:highlight w:val="none"/>
          <w:u w:val="single"/>
        </w:rPr>
        <w:t>天内</w:t>
      </w:r>
      <w:r>
        <w:rPr>
          <w:rFonts w:hint="eastAsia" w:ascii="宋体" w:hAnsi="宋体"/>
          <w:color w:val="auto"/>
          <w:highlight w:val="none"/>
          <w:u w:val="single"/>
        </w:rPr>
        <w:t xml:space="preserve">  </w:t>
      </w:r>
      <w:r>
        <w:rPr>
          <w:rFonts w:hint="eastAsia" w:ascii="宋体" w:hAnsi="宋体"/>
          <w:color w:val="auto"/>
          <w:highlight w:val="none"/>
        </w:rPr>
        <w:t>。</w:t>
      </w:r>
    </w:p>
    <w:p w14:paraId="2959882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关于竣工付款证书异议部分复核的方式和程序：</w:t>
      </w:r>
      <w:r>
        <w:rPr>
          <w:rFonts w:hint="eastAsia" w:ascii="宋体" w:hAnsi="宋体"/>
          <w:color w:val="auto"/>
          <w:highlight w:val="none"/>
          <w:u w:val="single"/>
        </w:rPr>
        <w:t xml:space="preserve"> 按《通用合同条款》14.2条执行 </w:t>
      </w:r>
      <w:r>
        <w:rPr>
          <w:rFonts w:hint="eastAsia" w:ascii="宋体" w:hAnsi="宋体"/>
          <w:color w:val="auto"/>
          <w:highlight w:val="none"/>
        </w:rPr>
        <w:t>。</w:t>
      </w:r>
    </w:p>
    <w:p w14:paraId="0E5C40B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14.4 最终结清</w:t>
      </w:r>
    </w:p>
    <w:p w14:paraId="6DED18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14.4.1 最终结清申请单</w:t>
      </w:r>
    </w:p>
    <w:p w14:paraId="7F55BFC3">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承包人提交最终结清申请单的份数：</w:t>
      </w:r>
      <w:r>
        <w:rPr>
          <w:rFonts w:hint="eastAsia" w:ascii="宋体" w:hAnsi="宋体"/>
          <w:color w:val="auto"/>
          <w:highlight w:val="none"/>
          <w:u w:val="single"/>
        </w:rPr>
        <w:t xml:space="preserve">  </w:t>
      </w:r>
      <w:r>
        <w:rPr>
          <w:rFonts w:hint="eastAsia" w:hAnsi="宋体"/>
          <w:color w:val="auto"/>
          <w:kern w:val="0"/>
          <w:highlight w:val="none"/>
          <w:u w:val="single"/>
        </w:rPr>
        <w:t>最终结清申请单须符合工程所在地相关文件规定，提交份数按发包人工程款支付管理规定执行</w:t>
      </w:r>
      <w:r>
        <w:rPr>
          <w:rFonts w:hint="eastAsia" w:ascii="宋体" w:hAnsi="宋体"/>
          <w:color w:val="auto"/>
          <w:highlight w:val="none"/>
        </w:rPr>
        <w:t>。</w:t>
      </w:r>
    </w:p>
    <w:p w14:paraId="016650B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承包人提交最终结算申请单的期限：</w:t>
      </w:r>
      <w:r>
        <w:rPr>
          <w:rFonts w:hint="eastAsia" w:ascii="宋体" w:hAnsi="宋体"/>
          <w:color w:val="auto"/>
          <w:highlight w:val="none"/>
          <w:u w:val="single"/>
        </w:rPr>
        <w:t xml:space="preserve">  保修期满后7天内</w:t>
      </w:r>
      <w:r>
        <w:rPr>
          <w:rFonts w:hint="eastAsia" w:ascii="宋体" w:hAnsi="宋体"/>
          <w:color w:val="auto"/>
          <w:highlight w:val="none"/>
        </w:rPr>
        <w:t xml:space="preserve">。 </w:t>
      </w:r>
    </w:p>
    <w:p w14:paraId="28C9CFB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14.4.2 最终结清证书和支付</w:t>
      </w:r>
    </w:p>
    <w:p w14:paraId="2D4F022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（1）发包人完成最终结清申请单的审批并颁发最终结清证书的期限：</w:t>
      </w:r>
      <w:r>
        <w:rPr>
          <w:rFonts w:hint="eastAsia" w:ascii="宋体" w:hAnsi="宋体"/>
          <w:color w:val="auto"/>
          <w:highlight w:val="none"/>
          <w:u w:val="single"/>
        </w:rPr>
        <w:t>收到最终结清申请单后30天内</w:t>
      </w:r>
      <w:r>
        <w:rPr>
          <w:rFonts w:hint="eastAsia" w:ascii="宋体" w:hAnsi="宋体"/>
          <w:color w:val="auto"/>
          <w:highlight w:val="none"/>
        </w:rPr>
        <w:t>。</w:t>
      </w:r>
    </w:p>
    <w:p w14:paraId="280ADBE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（2）发包人完成支付的期限</w:t>
      </w:r>
      <w:r>
        <w:rPr>
          <w:rFonts w:ascii="宋体" w:hAnsi="宋体"/>
          <w:color w:val="auto"/>
          <w:highlight w:val="none"/>
        </w:rPr>
        <w:t>：</w:t>
      </w:r>
      <w:r>
        <w:rPr>
          <w:rFonts w:hint="eastAsia"/>
          <w:color w:val="auto"/>
          <w:highlight w:val="none"/>
          <w:u w:val="single"/>
        </w:rPr>
        <w:t>发包人签发颁发最终结清证书后</w:t>
      </w:r>
      <w:r>
        <w:rPr>
          <w:color w:val="auto"/>
          <w:highlight w:val="none"/>
          <w:u w:val="single"/>
        </w:rPr>
        <w:t>28</w:t>
      </w:r>
      <w:r>
        <w:rPr>
          <w:rFonts w:hint="eastAsia"/>
          <w:color w:val="auto"/>
          <w:highlight w:val="none"/>
          <w:u w:val="single"/>
        </w:rPr>
        <w:t>天内</w:t>
      </w:r>
      <w:r>
        <w:rPr>
          <w:rFonts w:hint="eastAsia" w:ascii="宋体" w:hAnsi="宋体"/>
          <w:color w:val="auto"/>
          <w:highlight w:val="none"/>
        </w:rPr>
        <w:t>。</w:t>
      </w:r>
    </w:p>
    <w:p w14:paraId="442DAE13">
      <w:pPr>
        <w:pStyle w:val="172"/>
        <w:spacing w:line="360" w:lineRule="auto"/>
        <w:rPr>
          <w:rFonts w:ascii="宋体" w:hAnsi="宋体"/>
          <w:color w:val="auto"/>
          <w:sz w:val="21"/>
          <w:szCs w:val="21"/>
          <w:highlight w:val="none"/>
        </w:rPr>
      </w:pPr>
      <w:bookmarkStart w:id="242" w:name="_Toc522177112"/>
      <w:bookmarkStart w:id="243" w:name="_Toc524083336"/>
      <w:bookmarkStart w:id="244" w:name="_Toc523415235"/>
      <w:r>
        <w:rPr>
          <w:rFonts w:hint="eastAsia" w:ascii="宋体" w:hAnsi="宋体"/>
          <w:color w:val="auto"/>
          <w:sz w:val="21"/>
          <w:szCs w:val="21"/>
          <w:highlight w:val="none"/>
        </w:rPr>
        <w:t>15. 缺陷责任期与保修</w:t>
      </w:r>
      <w:bookmarkEnd w:id="242"/>
      <w:bookmarkEnd w:id="243"/>
      <w:bookmarkEnd w:id="244"/>
    </w:p>
    <w:p w14:paraId="4BADAF0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15.2缺陷责任期</w:t>
      </w:r>
    </w:p>
    <w:p w14:paraId="2DEB08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缺陷责任期的具体期限：</w:t>
      </w:r>
      <w:r>
        <w:rPr>
          <w:rFonts w:hint="eastAsia" w:ascii="宋体" w:hAnsi="宋体"/>
          <w:b/>
          <w:color w:val="auto"/>
          <w:highlight w:val="none"/>
          <w:u w:val="single"/>
        </w:rPr>
        <w:t xml:space="preserve"> 12个月</w:t>
      </w:r>
      <w:r>
        <w:rPr>
          <w:rFonts w:hint="eastAsia" w:ascii="宋体" w:hAnsi="宋体"/>
          <w:color w:val="auto"/>
          <w:highlight w:val="none"/>
          <w:u w:val="single"/>
        </w:rPr>
        <w:t>，以竣工验收合格之日起计算，养护至竣工验收合格及完成接养手续为止。如工程质量不能满足竣工验收及接养要求的，整改期间承包人必须继续免费养护至竣工验收合格及完成接养手续为止</w:t>
      </w:r>
      <w:r>
        <w:rPr>
          <w:rFonts w:hint="eastAsia" w:ascii="宋体" w:hAnsi="宋体"/>
          <w:color w:val="auto"/>
          <w:highlight w:val="none"/>
        </w:rPr>
        <w:t>。</w:t>
      </w:r>
    </w:p>
    <w:p w14:paraId="1B60A00A">
      <w:pPr>
        <w:pStyle w:val="160"/>
        <w:spacing w:line="360" w:lineRule="auto"/>
        <w:rPr>
          <w:rFonts w:ascii="宋体" w:hAnsi="宋体"/>
          <w:color w:val="auto"/>
          <w:highlight w:val="none"/>
        </w:rPr>
      </w:pPr>
      <w:r>
        <w:rPr>
          <w:rFonts w:hint="eastAsia" w:ascii="宋体" w:hAnsi="宋体"/>
          <w:color w:val="auto"/>
          <w:highlight w:val="none"/>
        </w:rPr>
        <w:t>15.3 质量保证金</w:t>
      </w:r>
    </w:p>
    <w:p w14:paraId="0FFE90F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关于是否扣留质量保证金的约定：</w:t>
      </w:r>
      <w:r>
        <w:rPr>
          <w:rFonts w:hint="eastAsia" w:ascii="宋体" w:hAnsi="宋体"/>
          <w:color w:val="auto"/>
          <w:highlight w:val="none"/>
          <w:u w:val="single"/>
        </w:rPr>
        <w:t xml:space="preserve"> 是  </w:t>
      </w:r>
      <w:r>
        <w:rPr>
          <w:rFonts w:hint="eastAsia" w:ascii="宋体" w:hAnsi="宋体"/>
          <w:color w:val="auto"/>
          <w:highlight w:val="none"/>
        </w:rPr>
        <w:t>。在工程项目竣工前，承包人按专用合同条款第3.7条提供履约担保的，发包人不得同时预留工程质量保证金。</w:t>
      </w:r>
    </w:p>
    <w:p w14:paraId="229B7B0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 xml:space="preserve"> 15.3.1 承包人提供质量保证金的方式</w:t>
      </w:r>
    </w:p>
    <w:p w14:paraId="7BB36B9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质量保证金采用以下第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25B56F0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（1）质量保证金保函，保证金额为：</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 xml:space="preserve">； </w:t>
      </w:r>
    </w:p>
    <w:p w14:paraId="1545DCD4">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ascii="宋体" w:hAnsi="宋体"/>
          <w:color w:val="auto"/>
          <w:highlight w:val="none"/>
        </w:rPr>
        <w:t>发包人按工程价款结算总额的</w:t>
      </w:r>
      <w:r>
        <w:rPr>
          <w:rFonts w:hint="eastAsia" w:ascii="宋体" w:hAnsi="宋体"/>
          <w:color w:val="auto"/>
          <w:highlight w:val="none"/>
          <w:u w:val="single"/>
          <w:lang w:val="en-US" w:eastAsia="zh-CN"/>
        </w:rPr>
        <w:t xml:space="preserve"> </w:t>
      </w:r>
      <w:r>
        <w:rPr>
          <w:rFonts w:hint="eastAsia" w:hAnsi="宋体"/>
          <w:color w:val="auto"/>
          <w:highlight w:val="none"/>
          <w:u w:val="single"/>
          <w:lang w:val="en-US" w:eastAsia="zh-CN"/>
        </w:rPr>
        <w:t xml:space="preserve">3 </w:t>
      </w:r>
      <w:r>
        <w:rPr>
          <w:color w:val="auto"/>
          <w:highlight w:val="none"/>
        </w:rPr>
        <w:t>%</w:t>
      </w:r>
      <w:r>
        <w:rPr>
          <w:rFonts w:ascii="宋体" w:hAnsi="宋体"/>
          <w:color w:val="auto"/>
          <w:highlight w:val="none"/>
        </w:rPr>
        <w:t>预留工程质量保修金，待</w:t>
      </w:r>
      <w:r>
        <w:rPr>
          <w:rFonts w:hint="eastAsia" w:ascii="宋体" w:hAnsi="宋体"/>
          <w:color w:val="auto"/>
          <w:highlight w:val="none"/>
        </w:rPr>
        <w:t>缺陷责任期</w:t>
      </w:r>
      <w:r>
        <w:rPr>
          <w:rFonts w:ascii="宋体" w:hAnsi="宋体"/>
          <w:color w:val="auto"/>
          <w:highlight w:val="none"/>
        </w:rPr>
        <w:t>满后返还</w:t>
      </w:r>
      <w:r>
        <w:rPr>
          <w:rFonts w:hint="eastAsia" w:ascii="宋体" w:hAnsi="宋体"/>
          <w:color w:val="auto"/>
          <w:highlight w:val="none"/>
        </w:rPr>
        <w:t>。</w:t>
      </w:r>
    </w:p>
    <w:p w14:paraId="3307A532">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（3）其他方式:</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w:t>
      </w:r>
    </w:p>
    <w:p w14:paraId="2B8F22E7">
      <w:pPr>
        <w:pStyle w:val="160"/>
        <w:spacing w:line="360" w:lineRule="auto"/>
        <w:ind w:firstLine="420" w:firstLineChars="200"/>
        <w:rPr>
          <w:rFonts w:ascii="宋体" w:hAnsi="宋体"/>
          <w:color w:val="auto"/>
          <w:highlight w:val="none"/>
        </w:rPr>
      </w:pPr>
      <w:r>
        <w:rPr>
          <w:rFonts w:hint="eastAsia" w:ascii="宋体" w:hAnsi="宋体"/>
          <w:color w:val="auto"/>
          <w:highlight w:val="none"/>
        </w:rPr>
        <w:t xml:space="preserve">15.3.2 质量保证金的扣留 </w:t>
      </w:r>
    </w:p>
    <w:p w14:paraId="4971CFC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质量保证金的扣留采取以下第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52BF93D3">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（1）在支付工程进度款时逐次扣留，在此情形下，质量保证金的计算基数不包括预付款的支付、扣回以及价格调整的金额；</w:t>
      </w:r>
    </w:p>
    <w:p w14:paraId="339B6094">
      <w:pPr>
        <w:pStyle w:val="160"/>
        <w:spacing w:line="360" w:lineRule="auto"/>
        <w:ind w:firstLine="420" w:firstLineChars="200"/>
        <w:rPr>
          <w:rFonts w:ascii="宋体" w:hAnsi="宋体"/>
          <w:color w:val="auto"/>
          <w:highlight w:val="none"/>
        </w:rPr>
      </w:pPr>
      <w:r>
        <w:rPr>
          <w:rFonts w:hint="eastAsia" w:ascii="宋体" w:hAnsi="宋体"/>
          <w:color w:val="auto"/>
          <w:highlight w:val="none"/>
        </w:rPr>
        <w:t>（2）工程竣工结算时一次性扣留质量保证金；</w:t>
      </w:r>
    </w:p>
    <w:p w14:paraId="63AB77B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（3）其他扣留方式:</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2CBD9A6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关于质量保证金的补充约定：</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rPr>
        <w:t>。</w:t>
      </w:r>
    </w:p>
    <w:p w14:paraId="0A4FA97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15.4保修</w:t>
      </w:r>
    </w:p>
    <w:p w14:paraId="41AA4266">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15.4.1 保修责任</w:t>
      </w:r>
    </w:p>
    <w:p w14:paraId="60F00FE2">
      <w:pPr>
        <w:pStyle w:val="160"/>
        <w:spacing w:line="360" w:lineRule="auto"/>
        <w:ind w:firstLine="409" w:firstLineChars="195"/>
        <w:jc w:val="left"/>
        <w:rPr>
          <w:rFonts w:ascii="宋体" w:hAnsi="宋体"/>
          <w:color w:val="auto"/>
          <w:kern w:val="0"/>
          <w:highlight w:val="none"/>
        </w:rPr>
      </w:pPr>
      <w:r>
        <w:rPr>
          <w:rFonts w:hint="eastAsia" w:ascii="宋体" w:hAnsi="宋体"/>
          <w:color w:val="auto"/>
          <w:highlight w:val="none"/>
        </w:rPr>
        <w:t>工程保修期为：</w:t>
      </w:r>
      <w:r>
        <w:rPr>
          <w:rFonts w:hint="eastAsia" w:ascii="宋体" w:hAnsi="宋体"/>
          <w:color w:val="auto"/>
          <w:kern w:val="0"/>
          <w:highlight w:val="none"/>
          <w:u w:val="single"/>
        </w:rPr>
        <w:t xml:space="preserve"> </w:t>
      </w:r>
      <w:r>
        <w:rPr>
          <w:rFonts w:hint="eastAsia" w:ascii="宋体" w:hAnsi="宋体"/>
          <w:b/>
          <w:color w:val="auto"/>
          <w:kern w:val="0"/>
          <w:highlight w:val="none"/>
          <w:u w:val="single"/>
        </w:rPr>
        <w:t>12个月，其他保修内容按工程质量保修书</w:t>
      </w:r>
      <w:r>
        <w:rPr>
          <w:rFonts w:hint="eastAsia" w:ascii="宋体" w:hAnsi="宋体"/>
          <w:color w:val="auto"/>
          <w:kern w:val="0"/>
          <w:highlight w:val="none"/>
        </w:rPr>
        <w:t>。</w:t>
      </w:r>
    </w:p>
    <w:p w14:paraId="1AB907BC">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15.4.3 修复通知</w:t>
      </w:r>
    </w:p>
    <w:p w14:paraId="03711266">
      <w:pPr>
        <w:pStyle w:val="160"/>
        <w:spacing w:line="360" w:lineRule="auto"/>
        <w:ind w:firstLine="409" w:firstLineChars="195"/>
        <w:jc w:val="left"/>
        <w:rPr>
          <w:rFonts w:ascii="宋体" w:hAnsi="宋体"/>
          <w:color w:val="auto"/>
          <w:kern w:val="0"/>
          <w:highlight w:val="none"/>
        </w:rPr>
      </w:pPr>
      <w:r>
        <w:rPr>
          <w:rFonts w:hint="eastAsia" w:ascii="宋体" w:hAnsi="宋体"/>
          <w:color w:val="auto"/>
          <w:kern w:val="0"/>
          <w:highlight w:val="none"/>
        </w:rPr>
        <w:t>承包人收到保修通知并到达工程现场的合理时间：</w:t>
      </w:r>
      <w:r>
        <w:rPr>
          <w:rFonts w:hint="eastAsia" w:ascii="宋体" w:hAnsi="宋体"/>
          <w:color w:val="auto"/>
          <w:kern w:val="0"/>
          <w:highlight w:val="none"/>
          <w:u w:val="single"/>
        </w:rPr>
        <w:t xml:space="preserve"> 48小时内   </w:t>
      </w:r>
      <w:r>
        <w:rPr>
          <w:rFonts w:hint="eastAsia" w:ascii="宋体" w:hAnsi="宋体"/>
          <w:color w:val="auto"/>
          <w:kern w:val="0"/>
          <w:highlight w:val="none"/>
        </w:rPr>
        <w:t>。</w:t>
      </w:r>
    </w:p>
    <w:p w14:paraId="6D595A36">
      <w:pPr>
        <w:pStyle w:val="172"/>
        <w:spacing w:line="360" w:lineRule="auto"/>
        <w:rPr>
          <w:rFonts w:ascii="宋体" w:hAnsi="宋体"/>
          <w:b w:val="0"/>
          <w:bCs w:val="0"/>
          <w:color w:val="auto"/>
          <w:sz w:val="21"/>
          <w:szCs w:val="21"/>
          <w:highlight w:val="none"/>
        </w:rPr>
      </w:pPr>
      <w:bookmarkStart w:id="245" w:name="_Toc524083337"/>
      <w:bookmarkStart w:id="246" w:name="_Toc523415236"/>
      <w:bookmarkStart w:id="247" w:name="_Toc522177113"/>
      <w:r>
        <w:rPr>
          <w:rFonts w:hint="eastAsia" w:ascii="宋体" w:hAnsi="宋体"/>
          <w:b w:val="0"/>
          <w:bCs w:val="0"/>
          <w:color w:val="auto"/>
          <w:sz w:val="21"/>
          <w:szCs w:val="21"/>
          <w:highlight w:val="none"/>
        </w:rPr>
        <w:t>16. 违约</w:t>
      </w:r>
      <w:bookmarkEnd w:id="245"/>
      <w:bookmarkEnd w:id="246"/>
      <w:bookmarkEnd w:id="247"/>
    </w:p>
    <w:p w14:paraId="6DCE384A">
      <w:pPr>
        <w:pStyle w:val="173"/>
        <w:rPr>
          <w:rFonts w:ascii="宋体" w:hAnsi="宋体"/>
          <w:color w:val="auto"/>
          <w:szCs w:val="21"/>
          <w:highlight w:val="none"/>
        </w:rPr>
      </w:pPr>
      <w:bookmarkStart w:id="248" w:name="_Toc523415237"/>
      <w:bookmarkStart w:id="249" w:name="_Toc522177114"/>
      <w:bookmarkStart w:id="250" w:name="_Toc524083338"/>
      <w:r>
        <w:rPr>
          <w:rFonts w:hint="eastAsia" w:ascii="宋体" w:hAnsi="宋体"/>
          <w:color w:val="auto"/>
          <w:szCs w:val="21"/>
          <w:highlight w:val="none"/>
        </w:rPr>
        <w:t>16.1 发包人违约</w:t>
      </w:r>
      <w:bookmarkEnd w:id="248"/>
      <w:bookmarkEnd w:id="249"/>
      <w:bookmarkEnd w:id="250"/>
    </w:p>
    <w:p w14:paraId="7890130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16.1.1发包人违约的情形</w:t>
      </w:r>
    </w:p>
    <w:p w14:paraId="76B38E78">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按《通用合同条款》16.1.1条执行</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4E55861F">
      <w:pPr>
        <w:pStyle w:val="160"/>
        <w:spacing w:line="360" w:lineRule="auto"/>
        <w:ind w:left="1050" w:hanging="1050" w:hangingChars="500"/>
        <w:jc w:val="left"/>
        <w:rPr>
          <w:rFonts w:ascii="宋体" w:hAnsi="宋体"/>
          <w:color w:val="auto"/>
          <w:kern w:val="0"/>
          <w:highlight w:val="none"/>
        </w:rPr>
      </w:pPr>
      <w:r>
        <w:rPr>
          <w:rFonts w:hint="eastAsia" w:ascii="宋体" w:hAnsi="宋体"/>
          <w:color w:val="auto"/>
          <w:kern w:val="0"/>
          <w:highlight w:val="none"/>
        </w:rPr>
        <w:t xml:space="preserve">    16.1.2 发包人违约的责任</w:t>
      </w:r>
    </w:p>
    <w:p w14:paraId="6CA52E41">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发包人违约责任的承担方式和计算方法：</w:t>
      </w:r>
    </w:p>
    <w:p w14:paraId="5DB499F8">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kern w:val="0"/>
          <w:highlight w:val="none"/>
        </w:rPr>
        <w:t>（1）因发包人原因未能在计划开工日期前7天内下达开工通知的违约责任：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526CB92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（2）因发包人原因未能按合同约定支付合同价款的违约责任：</w:t>
      </w:r>
      <w:r>
        <w:rPr>
          <w:rFonts w:hint="eastAsia" w:ascii="宋体" w:hAnsi="宋体"/>
          <w:color w:val="auto"/>
          <w:kern w:val="0"/>
          <w:highlight w:val="none"/>
          <w:u w:val="single"/>
        </w:rPr>
        <w:t xml:space="preserve">承包人可以顺延工程日期，并有权要求赔偿停工、窝工等损失  </w:t>
      </w:r>
      <w:r>
        <w:rPr>
          <w:rFonts w:hint="eastAsia" w:ascii="宋体" w:hAnsi="宋体"/>
          <w:color w:val="auto"/>
          <w:kern w:val="0"/>
          <w:highlight w:val="none"/>
        </w:rPr>
        <w:t>。</w:t>
      </w:r>
    </w:p>
    <w:p w14:paraId="6BB9B61F">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（3）发包人违反第10.1款〔变更的范围〕第（2）项约定，自行实施被取消的工作或转由他人实施的违约责任：</w:t>
      </w:r>
      <w:r>
        <w:rPr>
          <w:rFonts w:hint="eastAsia" w:ascii="宋体" w:hAnsi="宋体"/>
          <w:color w:val="auto"/>
          <w:kern w:val="0"/>
          <w:highlight w:val="none"/>
          <w:u w:val="single"/>
        </w:rPr>
        <w:t xml:space="preserve">  </w:t>
      </w:r>
      <w:r>
        <w:rPr>
          <w:rFonts w:hint="eastAsia"/>
          <w:color w:val="auto"/>
          <w:kern w:val="0"/>
          <w:highlight w:val="none"/>
          <w:u w:val="single"/>
        </w:rPr>
        <w:t>发包人按变更工程造价的</w:t>
      </w:r>
      <w:r>
        <w:rPr>
          <w:color w:val="auto"/>
          <w:kern w:val="0"/>
          <w:highlight w:val="none"/>
          <w:u w:val="single"/>
        </w:rPr>
        <w:t>10%</w:t>
      </w:r>
      <w:r>
        <w:rPr>
          <w:rFonts w:hint="eastAsia"/>
          <w:color w:val="auto"/>
          <w:kern w:val="0"/>
          <w:highlight w:val="none"/>
          <w:u w:val="single"/>
        </w:rPr>
        <w:t>赔偿承包人的经济损失，发包人自行实施的工作或转由他人实施的工作不符合国家合格质量标准的，由发包人承担因此造成的经济损失</w:t>
      </w:r>
      <w:r>
        <w:rPr>
          <w:rFonts w:hint="eastAsia" w:ascii="宋体" w:hAnsi="宋体"/>
          <w:color w:val="auto"/>
          <w:kern w:val="0"/>
          <w:highlight w:val="none"/>
        </w:rPr>
        <w:t>。</w:t>
      </w:r>
    </w:p>
    <w:p w14:paraId="2DF1A15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（4）发包人提供的材料、工程设备的规格、数量或质量不符合合同约定，或因发包人原因导致交货日期延误或交货地点变更等情况的违约责任：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2944F5B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（5）因发包人违反合同约定造成暂停施工的违约责任：</w:t>
      </w:r>
      <w:r>
        <w:rPr>
          <w:rFonts w:hint="eastAsia" w:ascii="宋体" w:hAnsi="宋体"/>
          <w:color w:val="auto"/>
          <w:kern w:val="0"/>
          <w:highlight w:val="none"/>
          <w:u w:val="single"/>
        </w:rPr>
        <w:t xml:space="preserve">  发包人应当采取措施弥补或者减少损失，赔偿承包人因此造成的停工、窝工、倒运、机械设备调迁、材料和构件积压等损失和实际费用  </w:t>
      </w:r>
      <w:r>
        <w:rPr>
          <w:rFonts w:hint="eastAsia" w:ascii="宋体" w:hAnsi="宋体"/>
          <w:color w:val="auto"/>
          <w:kern w:val="0"/>
          <w:highlight w:val="none"/>
        </w:rPr>
        <w:t>。</w:t>
      </w:r>
    </w:p>
    <w:p w14:paraId="1775204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（6）发包人无正当理由没有在约定期限内发出复工指示，导致承包人无法复工的违约责任：</w:t>
      </w:r>
      <w:r>
        <w:rPr>
          <w:rFonts w:hint="eastAsia" w:ascii="宋体" w:hAnsi="宋体"/>
          <w:color w:val="auto"/>
          <w:kern w:val="0"/>
          <w:highlight w:val="none"/>
          <w:u w:val="single"/>
        </w:rPr>
        <w:t>承包人可以顺延工程日期，并有权要求赔偿停工、窝工等损失</w:t>
      </w:r>
      <w:r>
        <w:rPr>
          <w:rFonts w:hint="eastAsia" w:ascii="宋体" w:hAnsi="宋体"/>
          <w:color w:val="auto"/>
          <w:kern w:val="0"/>
          <w:highlight w:val="none"/>
        </w:rPr>
        <w:t>。</w:t>
      </w:r>
    </w:p>
    <w:p w14:paraId="7C760E6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（7）其他：</w:t>
      </w:r>
      <w:r>
        <w:rPr>
          <w:rFonts w:hint="eastAsia" w:ascii="宋体" w:hAnsi="宋体"/>
          <w:color w:val="auto"/>
          <w:highlight w:val="none"/>
          <w:u w:val="single"/>
        </w:rPr>
        <w:t>按《通用合同条款》16.1.1条执行</w:t>
      </w:r>
      <w:r>
        <w:rPr>
          <w:rFonts w:hint="eastAsia" w:ascii="宋体" w:hAnsi="宋体"/>
          <w:color w:val="auto"/>
          <w:kern w:val="0"/>
          <w:highlight w:val="none"/>
        </w:rPr>
        <w:t>。</w:t>
      </w:r>
    </w:p>
    <w:p w14:paraId="2A84E79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16.1.3 因发包人违约解除合同</w:t>
      </w:r>
    </w:p>
    <w:p w14:paraId="613C733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承包人按16.1.1项〔发包人违约的情形〕约定暂停施工满</w:t>
      </w:r>
      <w:r>
        <w:rPr>
          <w:rFonts w:hint="eastAsia" w:ascii="宋体" w:hAnsi="宋体"/>
          <w:color w:val="auto"/>
          <w:kern w:val="0"/>
          <w:highlight w:val="none"/>
          <w:u w:val="single"/>
        </w:rPr>
        <w:t xml:space="preserve">  90  </w:t>
      </w:r>
      <w:r>
        <w:rPr>
          <w:rFonts w:hint="eastAsia" w:ascii="宋体" w:hAnsi="宋体"/>
          <w:color w:val="auto"/>
          <w:kern w:val="0"/>
          <w:highlight w:val="none"/>
        </w:rPr>
        <w:t>天后发包人仍不纠正其违约行为并致使合同目的不能实现的，承包人有权解除合同。</w:t>
      </w:r>
    </w:p>
    <w:p w14:paraId="2DB4AF72">
      <w:pPr>
        <w:pStyle w:val="173"/>
        <w:rPr>
          <w:rFonts w:ascii="宋体" w:hAnsi="宋体"/>
          <w:color w:val="auto"/>
          <w:szCs w:val="21"/>
          <w:highlight w:val="none"/>
        </w:rPr>
      </w:pPr>
      <w:bookmarkStart w:id="251" w:name="_Toc522177115"/>
      <w:bookmarkStart w:id="252" w:name="_Toc523415238"/>
      <w:bookmarkStart w:id="253" w:name="_Toc524083339"/>
      <w:r>
        <w:rPr>
          <w:rFonts w:hint="eastAsia" w:ascii="宋体" w:hAnsi="宋体"/>
          <w:color w:val="auto"/>
          <w:szCs w:val="21"/>
          <w:highlight w:val="none"/>
        </w:rPr>
        <w:t>16.2 承包人违约</w:t>
      </w:r>
      <w:bookmarkEnd w:id="251"/>
      <w:bookmarkEnd w:id="252"/>
      <w:bookmarkEnd w:id="253"/>
    </w:p>
    <w:p w14:paraId="5191228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16.2.1 承包人违约的情形</w:t>
      </w:r>
    </w:p>
    <w:p w14:paraId="17DE498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按《通用合同条款》16.2.1条执行</w:t>
      </w:r>
      <w:r>
        <w:rPr>
          <w:rFonts w:hint="eastAsia" w:ascii="宋体" w:hAnsi="宋体"/>
          <w:color w:val="auto"/>
          <w:kern w:val="0"/>
          <w:highlight w:val="none"/>
        </w:rPr>
        <w:t>。</w:t>
      </w:r>
    </w:p>
    <w:p w14:paraId="22F25E1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16.2.2承包人违约的责任</w:t>
      </w:r>
    </w:p>
    <w:p w14:paraId="57A4A0E7">
      <w:pPr>
        <w:pStyle w:val="156"/>
        <w:spacing w:line="360" w:lineRule="auto"/>
        <w:ind w:firstLine="420" w:firstLineChars="200"/>
        <w:jc w:val="left"/>
        <w:rPr>
          <w:rFonts w:hint="eastAsia" w:ascii="宋体" w:hAnsi="宋体"/>
          <w:color w:val="auto"/>
          <w:kern w:val="0"/>
          <w:highlight w:val="none"/>
        </w:rPr>
      </w:pPr>
      <w:r>
        <w:rPr>
          <w:rFonts w:hint="eastAsia" w:ascii="宋体" w:hAnsi="宋体"/>
          <w:color w:val="auto"/>
          <w:kern w:val="0"/>
          <w:highlight w:val="none"/>
        </w:rPr>
        <w:t>承包人违约责任的承担方式和计算方法：</w:t>
      </w:r>
    </w:p>
    <w:p w14:paraId="655D45BE">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（1）</w:t>
      </w:r>
      <w:r>
        <w:rPr>
          <w:rFonts w:ascii="宋体" w:hAnsi="宋体"/>
          <w:color w:val="auto"/>
          <w:spacing w:val="-6"/>
          <w:kern w:val="0"/>
          <w:sz w:val="21"/>
          <w:highlight w:val="none"/>
          <w:u w:val="single"/>
        </w:rPr>
        <w:t>因发包人原因未能在计划开工日期前7天内下达开工通知的违约责任：</w:t>
      </w:r>
      <w:r>
        <w:rPr>
          <w:rFonts w:hint="eastAsia" w:ascii="宋体" w:hAnsi="宋体"/>
          <w:color w:val="auto"/>
          <w:spacing w:val="-6"/>
          <w:kern w:val="0"/>
          <w:sz w:val="21"/>
          <w:highlight w:val="none"/>
          <w:u w:val="single"/>
        </w:rPr>
        <w:t>按相关规定执行</w:t>
      </w:r>
      <w:r>
        <w:rPr>
          <w:rFonts w:ascii="宋体" w:hAnsi="宋体"/>
          <w:color w:val="auto"/>
          <w:spacing w:val="-6"/>
          <w:kern w:val="0"/>
          <w:sz w:val="21"/>
          <w:highlight w:val="none"/>
          <w:u w:val="single"/>
        </w:rPr>
        <w:t>。</w:t>
      </w:r>
    </w:p>
    <w:p w14:paraId="2818FF70">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（2）</w:t>
      </w:r>
      <w:r>
        <w:rPr>
          <w:rFonts w:ascii="宋体" w:hAnsi="宋体"/>
          <w:color w:val="auto"/>
          <w:kern w:val="0"/>
          <w:highlight w:val="none"/>
          <w:u w:val="single"/>
        </w:rPr>
        <w:t>因发包人原因未能按合同约定支付合同价款的违约责任：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559D6BBA">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（3）</w:t>
      </w:r>
      <w:r>
        <w:rPr>
          <w:rFonts w:ascii="宋体" w:hAnsi="宋体"/>
          <w:color w:val="auto"/>
          <w:kern w:val="0"/>
          <w:highlight w:val="none"/>
          <w:u w:val="single"/>
        </w:rPr>
        <w:t>发包人违反第10.1款</w:t>
      </w:r>
      <w:r>
        <w:rPr>
          <w:rFonts w:hint="eastAsia" w:ascii="宋体" w:hAnsi="宋体"/>
          <w:color w:val="auto"/>
          <w:kern w:val="0"/>
          <w:highlight w:val="none"/>
          <w:u w:val="single"/>
        </w:rPr>
        <w:t>〔</w:t>
      </w:r>
      <w:r>
        <w:rPr>
          <w:rFonts w:ascii="宋体" w:hAnsi="宋体"/>
          <w:color w:val="auto"/>
          <w:kern w:val="0"/>
          <w:highlight w:val="none"/>
          <w:u w:val="single"/>
        </w:rPr>
        <w:t>变更的范围</w:t>
      </w:r>
      <w:r>
        <w:rPr>
          <w:rFonts w:hint="eastAsia" w:ascii="宋体" w:hAnsi="宋体"/>
          <w:color w:val="auto"/>
          <w:kern w:val="0"/>
          <w:highlight w:val="none"/>
          <w:u w:val="single"/>
        </w:rPr>
        <w:t>〕</w:t>
      </w:r>
      <w:r>
        <w:rPr>
          <w:rFonts w:ascii="宋体" w:hAnsi="宋体"/>
          <w:color w:val="auto"/>
          <w:kern w:val="0"/>
          <w:highlight w:val="none"/>
          <w:u w:val="single"/>
        </w:rPr>
        <w:t>第（2）项约定，自行实施被取消的工作或转由他人实施的违约责任：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29DCB54B">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（4）</w:t>
      </w:r>
      <w:r>
        <w:rPr>
          <w:rFonts w:ascii="宋体" w:hAnsi="宋体"/>
          <w:color w:val="auto"/>
          <w:kern w:val="0"/>
          <w:highlight w:val="none"/>
          <w:u w:val="single"/>
        </w:rPr>
        <w:t>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 xml:space="preserve">   。</w:t>
      </w:r>
    </w:p>
    <w:p w14:paraId="52BD4D9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（5）</w:t>
      </w:r>
      <w:r>
        <w:rPr>
          <w:rFonts w:ascii="宋体" w:hAnsi="宋体"/>
          <w:color w:val="auto"/>
          <w:kern w:val="0"/>
          <w:highlight w:val="none"/>
          <w:u w:val="single"/>
        </w:rPr>
        <w:t>因发包人违反合同约定造成暂停施工的违约责任：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3325F53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（6）</w:t>
      </w:r>
      <w:r>
        <w:rPr>
          <w:rFonts w:ascii="宋体" w:hAnsi="宋体"/>
          <w:color w:val="auto"/>
          <w:kern w:val="0"/>
          <w:highlight w:val="none"/>
          <w:u w:val="single"/>
        </w:rPr>
        <w:t xml:space="preserve">发包人无正当理由没有在约定期限内发出复工指示，导致承包人无法复工的违约责任：     </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6B5E868B">
      <w:pPr>
        <w:pStyle w:val="160"/>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（7）</w:t>
      </w:r>
      <w:r>
        <w:rPr>
          <w:rFonts w:hint="eastAsia" w:ascii="宋体" w:hAnsi="宋体"/>
          <w:color w:val="auto"/>
          <w:kern w:val="0"/>
          <w:highlight w:val="none"/>
          <w:u w:val="single"/>
        </w:rPr>
        <w:t xml:space="preserve">其他：按《通用合同条款》执行 </w:t>
      </w:r>
      <w:r>
        <w:rPr>
          <w:rFonts w:ascii="宋体" w:hAnsi="宋体"/>
          <w:color w:val="auto"/>
          <w:kern w:val="0"/>
          <w:highlight w:val="none"/>
          <w:u w:val="single"/>
        </w:rPr>
        <w:t>。</w:t>
      </w:r>
    </w:p>
    <w:p w14:paraId="41A47E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16.2.3 因承包人违约解除合同</w:t>
      </w:r>
    </w:p>
    <w:p w14:paraId="24E51684">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关于承包人违约解除合同的特别约定：</w:t>
      </w:r>
      <w:r>
        <w:rPr>
          <w:rFonts w:ascii="宋体" w:hAnsi="宋体"/>
          <w:color w:val="auto"/>
          <w:kern w:val="0"/>
          <w:highlight w:val="none"/>
          <w:u w:val="single"/>
        </w:rPr>
        <w:t>承包人有违反以下情况之一的，发包人有权解除合同，并没收其全部履约保证金</w:t>
      </w:r>
      <w:r>
        <w:rPr>
          <w:rFonts w:hint="eastAsia" w:ascii="宋体" w:hAnsi="宋体"/>
          <w:color w:val="auto"/>
          <w:kern w:val="0"/>
          <w:highlight w:val="none"/>
        </w:rPr>
        <w:t>。</w:t>
      </w:r>
    </w:p>
    <w:p w14:paraId="2967F35B">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(1)承包人无正当理由不按开工通知的要求及时进场组织施工和不按签订协议书时商定的进度计划有效地开展施工准备，造成工期延误的；</w:t>
      </w:r>
    </w:p>
    <w:p w14:paraId="557CD8D2">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(2)承包人违反本合同通用条款第3.5条规定私自将合同或合同的任何部分或任何权利转让给其他人，或私自将工程或工程的一部分分包出去的；</w:t>
      </w:r>
    </w:p>
    <w:p w14:paraId="50C2C416">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(3)未经监理人批准，承包人私自将已按</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承诺进入工地的工程设备、施工设备、临时工程或材料撤离工地的；</w:t>
      </w:r>
    </w:p>
    <w:p w14:paraId="23FA9E13">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(4)由于承包人原因拒绝按合同进度计划及时完成合同规定的工程，而又未采取有效措施赶上进度，造成工期严重延误的；</w:t>
      </w:r>
    </w:p>
    <w:p w14:paraId="35D77CA0">
      <w:pPr>
        <w:pStyle w:val="174"/>
        <w:spacing w:line="360" w:lineRule="auto"/>
        <w:ind w:firstLine="420" w:firstLineChars="200"/>
        <w:rPr>
          <w:rFonts w:hint="eastAsia" w:ascii="宋体" w:hAnsi="宋体" w:eastAsia="宋体" w:cs="宋体"/>
          <w:color w:val="auto"/>
          <w:kern w:val="0"/>
          <w:highlight w:val="none"/>
        </w:rPr>
      </w:pPr>
      <w:r>
        <w:rPr>
          <w:rFonts w:hint="eastAsia" w:ascii="宋体" w:hAnsi="宋体" w:eastAsia="宋体" w:cs="宋体"/>
          <w:color w:val="auto"/>
          <w:kern w:val="0"/>
          <w:highlight w:val="none"/>
        </w:rPr>
        <w:t>(5)承包人否认合同有效或拒绝履行合同规定的承包人义务，或由于法律、财务等原因导致承包人无法继续履行或实质上已停止履行合同的义务的；</w:t>
      </w:r>
    </w:p>
    <w:p w14:paraId="71DC54C8">
      <w:pPr>
        <w:pStyle w:val="160"/>
        <w:spacing w:before="120" w:after="120" w:line="360" w:lineRule="auto"/>
        <w:ind w:firstLine="420" w:firstLineChars="200"/>
        <w:rPr>
          <w:rFonts w:ascii="宋体" w:hAnsi="宋体"/>
          <w:color w:val="auto"/>
          <w:kern w:val="0"/>
          <w:highlight w:val="none"/>
        </w:rPr>
      </w:pPr>
      <w:r>
        <w:rPr>
          <w:rFonts w:hint="eastAsia" w:ascii="宋体" w:hAnsi="宋体" w:eastAsia="宋体" w:cs="宋体"/>
          <w:color w:val="auto"/>
          <w:kern w:val="0"/>
          <w:highlight w:val="none"/>
        </w:rPr>
        <w:t>(6)合同签订之日起十五日内，承包人无法按合同规定及</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的承诺进场经监理工程师认可的全部人员和机</w:t>
      </w:r>
      <w:r>
        <w:rPr>
          <w:rFonts w:ascii="宋体" w:hAnsi="宋体"/>
          <w:color w:val="auto"/>
          <w:kern w:val="0"/>
          <w:highlight w:val="none"/>
        </w:rPr>
        <w:t>械的。</w:t>
      </w:r>
    </w:p>
    <w:p w14:paraId="21AFE18E">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发包人继续使用承包人在施工现场的材料、设备、临时工程、承包人文件和由承包人或以其名义编制的其他文件的费用承担方式：</w:t>
      </w:r>
      <w:r>
        <w:rPr>
          <w:rFonts w:hint="eastAsia" w:ascii="宋体" w:hAnsi="宋体"/>
          <w:color w:val="auto"/>
          <w:kern w:val="0"/>
          <w:highlight w:val="none"/>
          <w:u w:val="single"/>
        </w:rPr>
        <w:t xml:space="preserve"> 由承包人承担相应费用</w:t>
      </w:r>
      <w:r>
        <w:rPr>
          <w:rFonts w:hint="eastAsia" w:ascii="宋体" w:hAnsi="宋体"/>
          <w:color w:val="auto"/>
          <w:kern w:val="0"/>
          <w:highlight w:val="none"/>
        </w:rPr>
        <w:t>。</w:t>
      </w:r>
    </w:p>
    <w:p w14:paraId="4095FFF6">
      <w:pPr>
        <w:pStyle w:val="172"/>
        <w:spacing w:line="360" w:lineRule="auto"/>
        <w:rPr>
          <w:rFonts w:ascii="宋体" w:hAnsi="宋体"/>
          <w:b w:val="0"/>
          <w:bCs w:val="0"/>
          <w:color w:val="auto"/>
          <w:sz w:val="21"/>
          <w:szCs w:val="21"/>
          <w:highlight w:val="none"/>
        </w:rPr>
      </w:pPr>
      <w:bookmarkStart w:id="254" w:name="_Toc524083340"/>
      <w:bookmarkStart w:id="255" w:name="_Toc523415239"/>
      <w:bookmarkStart w:id="256" w:name="_Toc522177116"/>
      <w:r>
        <w:rPr>
          <w:rFonts w:hint="eastAsia" w:ascii="宋体" w:hAnsi="宋体"/>
          <w:b w:val="0"/>
          <w:bCs w:val="0"/>
          <w:color w:val="auto"/>
          <w:sz w:val="21"/>
          <w:szCs w:val="21"/>
          <w:highlight w:val="none"/>
        </w:rPr>
        <w:t>17. 不可抗力</w:t>
      </w:r>
      <w:bookmarkEnd w:id="254"/>
      <w:bookmarkEnd w:id="255"/>
      <w:bookmarkEnd w:id="256"/>
      <w:r>
        <w:rPr>
          <w:rFonts w:hint="eastAsia" w:ascii="宋体" w:hAnsi="宋体"/>
          <w:b w:val="0"/>
          <w:bCs w:val="0"/>
          <w:color w:val="auto"/>
          <w:sz w:val="21"/>
          <w:szCs w:val="21"/>
          <w:highlight w:val="none"/>
        </w:rPr>
        <w:t xml:space="preserve"> </w:t>
      </w:r>
    </w:p>
    <w:p w14:paraId="5F892793">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17.1 不可抗力的确认</w:t>
      </w:r>
    </w:p>
    <w:p w14:paraId="0FB8C105">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highlight w:val="none"/>
        </w:rPr>
        <w:t>除通用合同条款约定的不可抗力事件之外，视为不可抗力的其他情形：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按《通用合同条款》17.1条执行</w:t>
      </w:r>
      <w:r>
        <w:rPr>
          <w:rFonts w:hint="eastAsia" w:ascii="宋体" w:hAnsi="宋体"/>
          <w:color w:val="auto"/>
          <w:kern w:val="0"/>
          <w:highlight w:val="none"/>
        </w:rPr>
        <w:t>。</w:t>
      </w:r>
    </w:p>
    <w:p w14:paraId="6F72A0EB">
      <w:pPr>
        <w:pStyle w:val="160"/>
        <w:spacing w:line="360" w:lineRule="auto"/>
        <w:ind w:firstLine="420" w:firstLineChars="200"/>
        <w:rPr>
          <w:rFonts w:ascii="宋体" w:hAnsi="宋体"/>
          <w:color w:val="auto"/>
          <w:highlight w:val="none"/>
        </w:rPr>
      </w:pPr>
      <w:r>
        <w:rPr>
          <w:rFonts w:hint="eastAsia" w:ascii="宋体" w:hAnsi="宋体"/>
          <w:color w:val="auto"/>
          <w:highlight w:val="none"/>
        </w:rPr>
        <w:t>17.4 因不可抗力解除合同</w:t>
      </w:r>
    </w:p>
    <w:p w14:paraId="7FF18B3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合同解除后，发包人应在商定或确定发包人应支付款项后</w:t>
      </w:r>
      <w:r>
        <w:rPr>
          <w:rFonts w:hint="eastAsia" w:ascii="宋体" w:hAnsi="宋体"/>
          <w:color w:val="auto"/>
          <w:highlight w:val="none"/>
          <w:u w:val="single"/>
        </w:rPr>
        <w:t xml:space="preserve"> 28 </w:t>
      </w:r>
      <w:r>
        <w:rPr>
          <w:rFonts w:hint="eastAsia" w:ascii="宋体" w:hAnsi="宋体"/>
          <w:color w:val="auto"/>
          <w:highlight w:val="none"/>
        </w:rPr>
        <w:t>天内完成款项的支付。</w:t>
      </w:r>
    </w:p>
    <w:p w14:paraId="6A477314">
      <w:pPr>
        <w:pStyle w:val="172"/>
        <w:spacing w:line="360" w:lineRule="auto"/>
        <w:rPr>
          <w:rFonts w:ascii="宋体" w:hAnsi="宋体"/>
          <w:b w:val="0"/>
          <w:bCs w:val="0"/>
          <w:color w:val="auto"/>
          <w:sz w:val="21"/>
          <w:szCs w:val="21"/>
          <w:highlight w:val="none"/>
        </w:rPr>
      </w:pPr>
      <w:bookmarkStart w:id="257" w:name="_Toc523415240"/>
      <w:bookmarkStart w:id="258" w:name="_Toc522177117"/>
      <w:bookmarkStart w:id="259" w:name="_Toc524083341"/>
      <w:r>
        <w:rPr>
          <w:rFonts w:hint="eastAsia" w:ascii="宋体" w:hAnsi="宋体"/>
          <w:b w:val="0"/>
          <w:bCs w:val="0"/>
          <w:color w:val="auto"/>
          <w:sz w:val="21"/>
          <w:szCs w:val="21"/>
          <w:highlight w:val="none"/>
        </w:rPr>
        <w:t>18. 保险</w:t>
      </w:r>
      <w:bookmarkEnd w:id="257"/>
      <w:bookmarkEnd w:id="258"/>
      <w:bookmarkEnd w:id="259"/>
    </w:p>
    <w:p w14:paraId="3A8F547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18.1 工程保险</w:t>
      </w:r>
    </w:p>
    <w:p w14:paraId="74A65BD0">
      <w:pPr>
        <w:pStyle w:val="160"/>
        <w:spacing w:line="360" w:lineRule="auto"/>
        <w:ind w:firstLine="396" w:firstLineChars="200"/>
        <w:jc w:val="left"/>
        <w:rPr>
          <w:rFonts w:ascii="宋体" w:hAnsi="宋体"/>
          <w:color w:val="auto"/>
          <w:spacing w:val="-6"/>
          <w:sz w:val="21"/>
          <w:highlight w:val="none"/>
        </w:rPr>
      </w:pPr>
      <w:r>
        <w:rPr>
          <w:rFonts w:hint="eastAsia" w:ascii="宋体" w:hAnsi="宋体"/>
          <w:color w:val="auto"/>
          <w:spacing w:val="-6"/>
          <w:sz w:val="21"/>
          <w:highlight w:val="none"/>
        </w:rPr>
        <w:t>关于工程保险的特别约定：</w:t>
      </w:r>
      <w:r>
        <w:rPr>
          <w:rFonts w:hint="eastAsia" w:ascii="宋体" w:hAnsi="宋体"/>
          <w:color w:val="auto"/>
          <w:spacing w:val="-6"/>
          <w:kern w:val="0"/>
          <w:sz w:val="21"/>
          <w:highlight w:val="none"/>
          <w:u w:val="single"/>
        </w:rPr>
        <w:t xml:space="preserve"> 由承包人投保建筑工程一切险或安装工程一切险并承担相应费用</w:t>
      </w:r>
      <w:r>
        <w:rPr>
          <w:rFonts w:hint="eastAsia" w:ascii="宋体" w:hAnsi="宋体"/>
          <w:color w:val="auto"/>
          <w:spacing w:val="-6"/>
          <w:kern w:val="0"/>
          <w:sz w:val="21"/>
          <w:highlight w:val="none"/>
        </w:rPr>
        <w:t>。</w:t>
      </w:r>
    </w:p>
    <w:p w14:paraId="01AE6A1F">
      <w:pPr>
        <w:pStyle w:val="160"/>
        <w:spacing w:line="360" w:lineRule="auto"/>
        <w:ind w:firstLine="420" w:firstLineChars="200"/>
        <w:rPr>
          <w:rFonts w:ascii="宋体" w:hAnsi="宋体"/>
          <w:color w:val="auto"/>
          <w:highlight w:val="none"/>
        </w:rPr>
      </w:pPr>
      <w:r>
        <w:rPr>
          <w:rFonts w:hint="eastAsia" w:ascii="宋体" w:hAnsi="宋体"/>
          <w:color w:val="auto"/>
          <w:highlight w:val="none"/>
        </w:rPr>
        <w:t>18.3 其他保险</w:t>
      </w:r>
    </w:p>
    <w:p w14:paraId="5FE6F0B5">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关于其他保险的约定：</w:t>
      </w:r>
      <w:r>
        <w:rPr>
          <w:rFonts w:hint="eastAsia" w:ascii="宋体" w:hAnsi="宋体"/>
          <w:color w:val="auto"/>
          <w:highlight w:val="none"/>
          <w:u w:val="single"/>
          <w:lang w:val="en-US" w:eastAsia="zh-CN"/>
        </w:rPr>
        <w:t>①</w:t>
      </w:r>
      <w:r>
        <w:rPr>
          <w:rFonts w:hint="eastAsia" w:ascii="宋体" w:hAnsi="宋体"/>
          <w:color w:val="auto"/>
          <w:highlight w:val="none"/>
          <w:u w:val="single"/>
        </w:rPr>
        <w:t>发包人和承包人各自为其施工现场的全部人员办理意外伤害保险并支付保险费，包括其员工及为履行合同聘请的第三方的人员</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②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rFonts w:hint="eastAsia" w:ascii="宋体" w:hAnsi="宋体"/>
          <w:color w:val="auto"/>
          <w:kern w:val="0"/>
          <w:highlight w:val="none"/>
        </w:rPr>
        <w:t>。</w:t>
      </w:r>
    </w:p>
    <w:p w14:paraId="12BF636A">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承包人是否应为其施工设备等办理财产保险：</w:t>
      </w:r>
      <w:r>
        <w:rPr>
          <w:rFonts w:hint="eastAsia" w:ascii="宋体" w:hAnsi="宋体"/>
          <w:color w:val="auto"/>
          <w:highlight w:val="none"/>
          <w:u w:val="single"/>
        </w:rPr>
        <w:t xml:space="preserve">   是    </w:t>
      </w:r>
      <w:r>
        <w:rPr>
          <w:rFonts w:hint="eastAsia" w:ascii="宋体" w:hAnsi="宋体"/>
          <w:color w:val="auto"/>
          <w:highlight w:val="none"/>
        </w:rPr>
        <w:t>。</w:t>
      </w:r>
    </w:p>
    <w:p w14:paraId="4D6A4FE0">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18.7 通知义务</w:t>
      </w:r>
    </w:p>
    <w:p w14:paraId="256C3FD1">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关于变更保险合同时的通知义务的约定：</w:t>
      </w:r>
      <w:r>
        <w:rPr>
          <w:rFonts w:hint="eastAsia" w:ascii="宋体" w:hAnsi="宋体"/>
          <w:color w:val="auto"/>
          <w:highlight w:val="none"/>
          <w:u w:val="single"/>
        </w:rPr>
        <w:t>由承包人</w:t>
      </w:r>
      <w:r>
        <w:rPr>
          <w:rFonts w:hint="eastAsia" w:ascii="宋体" w:hAnsi="宋体"/>
          <w:color w:val="auto"/>
          <w:highlight w:val="none"/>
          <w:u w:val="single"/>
          <w:lang w:val="en-US" w:eastAsia="zh-CN"/>
        </w:rPr>
        <w:t>书面</w:t>
      </w:r>
      <w:r>
        <w:rPr>
          <w:rFonts w:hint="eastAsia" w:ascii="宋体" w:hAnsi="宋体"/>
          <w:color w:val="auto"/>
          <w:highlight w:val="none"/>
          <w:u w:val="single"/>
        </w:rPr>
        <w:t>通知发包人和监理人</w:t>
      </w:r>
      <w:r>
        <w:rPr>
          <w:rFonts w:hint="eastAsia" w:ascii="宋体" w:hAnsi="宋体"/>
          <w:color w:val="auto"/>
          <w:highlight w:val="none"/>
        </w:rPr>
        <w:t>。</w:t>
      </w:r>
    </w:p>
    <w:p w14:paraId="7BE087C6">
      <w:pPr>
        <w:pStyle w:val="172"/>
        <w:spacing w:line="360" w:lineRule="auto"/>
        <w:rPr>
          <w:rFonts w:ascii="宋体" w:hAnsi="宋体"/>
          <w:b w:val="0"/>
          <w:bCs w:val="0"/>
          <w:color w:val="auto"/>
          <w:sz w:val="21"/>
          <w:szCs w:val="21"/>
          <w:highlight w:val="none"/>
        </w:rPr>
      </w:pPr>
      <w:bookmarkStart w:id="260" w:name="_Toc523415241"/>
      <w:bookmarkStart w:id="261" w:name="_Toc522177118"/>
      <w:bookmarkStart w:id="262" w:name="_Toc524083342"/>
      <w:r>
        <w:rPr>
          <w:rFonts w:hint="eastAsia" w:ascii="宋体" w:hAnsi="宋体"/>
          <w:b w:val="0"/>
          <w:bCs w:val="0"/>
          <w:color w:val="auto"/>
          <w:sz w:val="21"/>
          <w:szCs w:val="21"/>
          <w:highlight w:val="none"/>
        </w:rPr>
        <w:t>20. 争议解决</w:t>
      </w:r>
      <w:bookmarkEnd w:id="260"/>
      <w:bookmarkEnd w:id="261"/>
      <w:bookmarkEnd w:id="262"/>
    </w:p>
    <w:p w14:paraId="3614FF13">
      <w:pPr>
        <w:pStyle w:val="160"/>
        <w:spacing w:line="360" w:lineRule="auto"/>
        <w:ind w:firstLine="210" w:firstLineChars="100"/>
        <w:rPr>
          <w:rFonts w:ascii="宋体" w:hAnsi="宋体"/>
          <w:color w:val="auto"/>
          <w:highlight w:val="none"/>
        </w:rPr>
      </w:pPr>
      <w:r>
        <w:rPr>
          <w:rFonts w:hint="eastAsia" w:ascii="宋体" w:hAnsi="宋体"/>
          <w:color w:val="auto"/>
          <w:highlight w:val="none"/>
        </w:rPr>
        <w:t>20.3 争议评审</w:t>
      </w:r>
    </w:p>
    <w:p w14:paraId="60B172CF">
      <w:pPr>
        <w:pStyle w:val="160"/>
        <w:spacing w:line="360" w:lineRule="auto"/>
        <w:ind w:left="149" w:leftChars="71" w:firstLine="315" w:firstLineChars="150"/>
        <w:jc w:val="left"/>
        <w:rPr>
          <w:rFonts w:ascii="宋体" w:hAnsi="宋体"/>
          <w:color w:val="auto"/>
          <w:highlight w:val="none"/>
        </w:rPr>
      </w:pPr>
      <w:r>
        <w:rPr>
          <w:rFonts w:hint="eastAsia" w:ascii="宋体" w:hAnsi="宋体"/>
          <w:color w:val="auto"/>
          <w:highlight w:val="none"/>
        </w:rPr>
        <w:t>合同当事人是否同意将工程争议提交争议评审小组决定：</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不</w:t>
      </w:r>
      <w:r>
        <w:rPr>
          <w:rFonts w:hint="eastAsia" w:ascii="宋体" w:hAnsi="宋体"/>
          <w:color w:val="auto"/>
          <w:highlight w:val="none"/>
          <w:u w:val="single"/>
        </w:rPr>
        <w:t xml:space="preserve">同意  </w:t>
      </w:r>
      <w:r>
        <w:rPr>
          <w:rFonts w:hint="eastAsia" w:ascii="宋体" w:hAnsi="宋体"/>
          <w:color w:val="auto"/>
          <w:highlight w:val="none"/>
        </w:rPr>
        <w:t xml:space="preserve">。  </w:t>
      </w:r>
    </w:p>
    <w:p w14:paraId="056D5A97">
      <w:pPr>
        <w:pStyle w:val="160"/>
        <w:spacing w:line="360" w:lineRule="auto"/>
        <w:ind w:firstLine="420" w:firstLineChars="200"/>
        <w:rPr>
          <w:rFonts w:ascii="宋体" w:hAnsi="宋体"/>
          <w:color w:val="auto"/>
          <w:highlight w:val="none"/>
        </w:rPr>
      </w:pPr>
      <w:r>
        <w:rPr>
          <w:rFonts w:hint="eastAsia" w:ascii="宋体" w:hAnsi="宋体"/>
          <w:color w:val="auto"/>
          <w:highlight w:val="none"/>
        </w:rPr>
        <w:t>20.3.1 争议评审小组的确定</w:t>
      </w:r>
    </w:p>
    <w:p w14:paraId="4A8A037F">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争议评审小组成员的确定：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FE9E93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选定争议评审员的期限：</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680CCE4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争议评审小组成员的报酬承担方式：</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A75BA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其他事项的约定：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eastAsia="宋体" w:cs="宋体"/>
          <w:color w:val="auto"/>
          <w:highlight w:val="none"/>
          <w:u w:val="single"/>
          <w:lang w:val="en-US" w:eastAsia="zh-CN"/>
        </w:rPr>
        <w:t xml:space="preserve"> </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D3C3AD">
      <w:pPr>
        <w:pStyle w:val="160"/>
        <w:spacing w:line="360" w:lineRule="auto"/>
        <w:ind w:firstLine="420" w:firstLineChars="200"/>
        <w:rPr>
          <w:rFonts w:ascii="宋体" w:hAnsi="宋体"/>
          <w:color w:val="auto"/>
          <w:highlight w:val="none"/>
        </w:rPr>
      </w:pPr>
      <w:r>
        <w:rPr>
          <w:rFonts w:hint="eastAsia" w:ascii="宋体" w:hAnsi="宋体"/>
          <w:color w:val="auto"/>
          <w:highlight w:val="none"/>
        </w:rPr>
        <w:t>20.3.2 争议评审小组的决定</w:t>
      </w:r>
    </w:p>
    <w:p w14:paraId="1C48FAE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合同当事人关于本项的约定：</w:t>
      </w:r>
      <w:r>
        <w:rPr>
          <w:rFonts w:hint="eastAsia" w:ascii="宋体" w:hAnsi="宋体" w:eastAsia="宋体" w:cs="宋体"/>
          <w:color w:val="auto"/>
          <w:highlight w:val="none"/>
          <w:u w:val="single"/>
        </w:rPr>
        <w:t>无</w:t>
      </w:r>
      <w:r>
        <w:rPr>
          <w:rFonts w:hint="eastAsia" w:ascii="宋体" w:hAnsi="宋体"/>
          <w:color w:val="auto"/>
          <w:highlight w:val="none"/>
        </w:rPr>
        <w:t>。</w:t>
      </w:r>
    </w:p>
    <w:p w14:paraId="0EC5F55C">
      <w:pPr>
        <w:pStyle w:val="160"/>
        <w:spacing w:line="360" w:lineRule="auto"/>
        <w:ind w:firstLine="210" w:firstLineChars="100"/>
        <w:rPr>
          <w:rFonts w:ascii="宋体" w:hAnsi="宋体"/>
          <w:color w:val="auto"/>
          <w:highlight w:val="none"/>
        </w:rPr>
      </w:pPr>
      <w:r>
        <w:rPr>
          <w:rFonts w:hint="eastAsia" w:ascii="宋体" w:hAnsi="宋体"/>
          <w:color w:val="auto"/>
          <w:highlight w:val="none"/>
        </w:rPr>
        <w:t>20.4仲裁或诉讼</w:t>
      </w:r>
    </w:p>
    <w:p w14:paraId="49F6F35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因合同及合同有关事项发生的争议，按下列第</w:t>
      </w:r>
      <w:r>
        <w:rPr>
          <w:rFonts w:hint="eastAsia" w:ascii="宋体" w:hAnsi="宋体"/>
          <w:color w:val="auto"/>
          <w:highlight w:val="none"/>
          <w:u w:val="single"/>
        </w:rPr>
        <w:t xml:space="preserve"> </w:t>
      </w:r>
      <w:r>
        <w:rPr>
          <w:rFonts w:hint="eastAsia" w:ascii="宋体" w:hAnsi="宋体"/>
          <w:b/>
          <w:color w:val="auto"/>
          <w:highlight w:val="none"/>
          <w:u w:val="single"/>
        </w:rPr>
        <w:t xml:space="preserve">2 </w:t>
      </w:r>
      <w:r>
        <w:rPr>
          <w:rFonts w:hint="eastAsia" w:ascii="宋体" w:hAnsi="宋体"/>
          <w:color w:val="auto"/>
          <w:highlight w:val="none"/>
        </w:rPr>
        <w:t>种方式解决：</w:t>
      </w:r>
    </w:p>
    <w:p w14:paraId="313CBF8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（1）向</w:t>
      </w:r>
      <w:r>
        <w:rPr>
          <w:rFonts w:hint="eastAsia" w:ascii="宋体" w:hAnsi="宋体"/>
          <w:color w:val="auto"/>
          <w:highlight w:val="none"/>
          <w:u w:val="single"/>
        </w:rPr>
        <w:t xml:space="preserve">  </w:t>
      </w:r>
      <w:r>
        <w:rPr>
          <w:color w:val="auto"/>
          <w:highlight w:val="none"/>
          <w:u w:val="single"/>
        </w:rPr>
        <w:t xml:space="preserve"> </w:t>
      </w:r>
      <w:r>
        <w:rPr>
          <w:rFonts w:hint="eastAsia"/>
          <w:color w:val="auto"/>
          <w:highlight w:val="none"/>
          <w:u w:val="single"/>
          <w:lang w:val="en-US" w:eastAsia="zh-CN"/>
        </w:rPr>
        <w:t>贵港</w:t>
      </w:r>
      <w:r>
        <w:rPr>
          <w:rFonts w:hint="eastAsia" w:ascii="宋体" w:hAnsi="宋体"/>
          <w:color w:val="auto"/>
          <w:highlight w:val="none"/>
          <w:u w:val="single"/>
        </w:rPr>
        <w:t xml:space="preserve"> </w:t>
      </w:r>
      <w:r>
        <w:rPr>
          <w:rFonts w:hint="eastAsia" w:ascii="宋体" w:hAnsi="宋体"/>
          <w:color w:val="auto"/>
          <w:highlight w:val="none"/>
        </w:rPr>
        <w:t>仲裁委员会申请仲裁；</w:t>
      </w:r>
    </w:p>
    <w:p w14:paraId="480A76A3">
      <w:pPr>
        <w:pStyle w:val="160"/>
        <w:spacing w:line="360" w:lineRule="auto"/>
        <w:ind w:firstLine="420" w:firstLineChars="200"/>
        <w:jc w:val="left"/>
        <w:rPr>
          <w:rFonts w:hint="eastAsia"/>
          <w:color w:val="auto"/>
          <w:highlight w:val="none"/>
        </w:rPr>
      </w:pPr>
      <w:r>
        <w:rPr>
          <w:rFonts w:hint="eastAsia"/>
          <w:color w:val="auto"/>
          <w:highlight w:val="none"/>
        </w:rPr>
        <w:t>（2）向</w:t>
      </w:r>
      <w:r>
        <w:rPr>
          <w:rFonts w:hint="eastAsia"/>
          <w:color w:val="auto"/>
          <w:highlight w:val="none"/>
          <w:u w:val="single"/>
        </w:rPr>
        <w:t xml:space="preserve">  </w:t>
      </w:r>
      <w:r>
        <w:rPr>
          <w:rFonts w:hint="eastAsia" w:ascii="宋体" w:hAnsi="宋体" w:eastAsia="宋体" w:cs="宋体"/>
          <w:color w:val="auto"/>
          <w:highlight w:val="none"/>
          <w:u w:val="single"/>
        </w:rPr>
        <w:t>项目所在地有管辖权的</w:t>
      </w:r>
      <w:r>
        <w:rPr>
          <w:rFonts w:hint="eastAsia"/>
          <w:color w:val="auto"/>
          <w:highlight w:val="none"/>
          <w:u w:val="single"/>
        </w:rPr>
        <w:t xml:space="preserve"> </w:t>
      </w:r>
      <w:r>
        <w:rPr>
          <w:rFonts w:hint="eastAsia"/>
          <w:color w:val="auto"/>
          <w:highlight w:val="none"/>
        </w:rPr>
        <w:t>人民法院起诉。</w:t>
      </w:r>
    </w:p>
    <w:p w14:paraId="71791EDD">
      <w:pPr>
        <w:keepNext/>
        <w:keepLines/>
        <w:spacing w:line="400" w:lineRule="exact"/>
        <w:outlineLvl w:val="0"/>
        <w:rPr>
          <w:rFonts w:hint="eastAsia" w:ascii="宋体" w:hAnsi="宋体" w:cs="宋体"/>
          <w:b/>
          <w:color w:val="auto"/>
          <w:kern w:val="44"/>
          <w:szCs w:val="21"/>
          <w:highlight w:val="none"/>
        </w:rPr>
      </w:pPr>
      <w:bookmarkStart w:id="263" w:name="_Toc256000101"/>
      <w:bookmarkStart w:id="264" w:name="_Toc14"/>
      <w:bookmarkStart w:id="265" w:name="_Toc26184"/>
      <w:r>
        <w:rPr>
          <w:rFonts w:hint="eastAsia" w:ascii="宋体" w:hAnsi="宋体" w:cs="宋体"/>
          <w:b/>
          <w:color w:val="auto"/>
          <w:kern w:val="44"/>
          <w:szCs w:val="21"/>
          <w:highlight w:val="none"/>
        </w:rPr>
        <w:t>21 补充条款</w:t>
      </w:r>
      <w:bookmarkEnd w:id="263"/>
      <w:bookmarkEnd w:id="264"/>
      <w:bookmarkEnd w:id="265"/>
    </w:p>
    <w:p w14:paraId="0BC8BDD5">
      <w:pPr>
        <w:spacing w:line="400" w:lineRule="exact"/>
        <w:rPr>
          <w:rFonts w:hint="eastAsia" w:ascii="宋体" w:hAnsi="宋体" w:cs="宋体"/>
          <w:b/>
          <w:color w:val="auto"/>
          <w:szCs w:val="21"/>
          <w:highlight w:val="none"/>
        </w:rPr>
      </w:pPr>
      <w:r>
        <w:rPr>
          <w:rFonts w:hint="eastAsia" w:ascii="宋体" w:hAnsi="宋体" w:cs="宋体"/>
          <w:color w:val="auto"/>
          <w:szCs w:val="21"/>
          <w:highlight w:val="none"/>
        </w:rPr>
        <w:t>21.1</w:t>
      </w:r>
      <w:r>
        <w:rPr>
          <w:rFonts w:hint="eastAsia" w:ascii="宋体" w:hAnsi="宋体" w:cs="宋体"/>
          <w:b/>
          <w:color w:val="auto"/>
          <w:szCs w:val="21"/>
          <w:highlight w:val="none"/>
        </w:rPr>
        <w:t>工程质量</w:t>
      </w:r>
    </w:p>
    <w:p w14:paraId="74345EEE">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21.1.1分部工程质量验收时,若工程质量不合格，发包人可视其情节轻重，每处每次处以承包人不少于</w:t>
      </w:r>
      <w:r>
        <w:rPr>
          <w:rFonts w:hint="eastAsia" w:ascii="宋体" w:hAnsi="宋体" w:cs="宋体"/>
          <w:b/>
          <w:color w:val="auto"/>
          <w:szCs w:val="21"/>
          <w:highlight w:val="none"/>
          <w:u w:val="single"/>
        </w:rPr>
        <w:t xml:space="preserve">100000 </w:t>
      </w:r>
      <w:r>
        <w:rPr>
          <w:rFonts w:hint="eastAsia" w:ascii="宋体" w:hAnsi="宋体" w:cs="宋体"/>
          <w:b/>
          <w:color w:val="auto"/>
          <w:szCs w:val="21"/>
          <w:highlight w:val="none"/>
        </w:rPr>
        <w:t>元</w:t>
      </w:r>
      <w:r>
        <w:rPr>
          <w:rFonts w:hint="eastAsia" w:ascii="宋体" w:hAnsi="宋体" w:cs="宋体"/>
          <w:color w:val="auto"/>
          <w:szCs w:val="21"/>
          <w:highlight w:val="none"/>
        </w:rPr>
        <w:t>的违约处理金，且工程质量必须无条件返工达到合格要求。对违反相关安全生产规范要求、相关建筑质量规范要求的情况，发包人及监理单位除有权要求承包人整改返工外还可以视情节严重程度，每次处50~1000元的经济处罚。</w:t>
      </w:r>
    </w:p>
    <w:p w14:paraId="1E0E8EEC">
      <w:pPr>
        <w:tabs>
          <w:tab w:val="left" w:pos="8190"/>
        </w:tabs>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21.1.2 承包人施工的工程内容全部竣工后，工程质量正式验收时,工程整体质量若达不到合格标准，发包人视其情节轻重处以承包人不低于</w:t>
      </w:r>
      <w:r>
        <w:rPr>
          <w:rFonts w:hint="eastAsia" w:ascii="宋体" w:hAnsi="宋体" w:cs="宋体"/>
          <w:b/>
          <w:color w:val="auto"/>
          <w:szCs w:val="21"/>
          <w:highlight w:val="none"/>
          <w:u w:val="single"/>
        </w:rPr>
        <w:t xml:space="preserve"> 200000元</w:t>
      </w:r>
      <w:r>
        <w:rPr>
          <w:rFonts w:hint="eastAsia" w:ascii="宋体" w:hAnsi="宋体" w:cs="宋体"/>
          <w:color w:val="auto"/>
          <w:szCs w:val="21"/>
          <w:highlight w:val="none"/>
        </w:rPr>
        <w:t>的工程质量违约处理金，同时承包人必须无条件全部返工达到合格要求。</w:t>
      </w:r>
    </w:p>
    <w:p w14:paraId="5C639F0D">
      <w:pPr>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21.1.3发包人和监理单位在工程实施过程中，可以随时对承包人已使用和未使用的工程材料进行抽检，若发现有不合符设计和规范及合同要求的不合格产品，承包人必须对不合格部分工程进行返工至合格为止，并将不合格的材料清出施工现场，否则，发包人按已使用的不合格材料价值的</w:t>
      </w:r>
      <w:r>
        <w:rPr>
          <w:rFonts w:hint="eastAsia" w:ascii="宋体" w:hAnsi="宋体" w:cs="宋体"/>
          <w:b/>
          <w:color w:val="auto"/>
          <w:szCs w:val="21"/>
          <w:highlight w:val="none"/>
          <w:u w:val="single"/>
        </w:rPr>
        <w:t xml:space="preserve">  5%  </w:t>
      </w:r>
      <w:r>
        <w:rPr>
          <w:rFonts w:hint="eastAsia" w:ascii="宋体" w:hAnsi="宋体" w:cs="宋体"/>
          <w:color w:val="auto"/>
          <w:szCs w:val="21"/>
          <w:highlight w:val="none"/>
        </w:rPr>
        <w:t>处以承包人违约处理金，承包人承担由此引起的一切经济损失（包括全部返工在内）。</w:t>
      </w:r>
    </w:p>
    <w:p w14:paraId="14480E87">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21.1.4发包人在施工过程中的日常工程质量检查，检查发现的工程质量存在不合格时，在发包人或监理发出2次整改通知书后，承包人仍未在规定的时间内整改达到合格要求，则发包人可视其情节轻重，每次处以承包人不少于</w:t>
      </w:r>
      <w:r>
        <w:rPr>
          <w:rFonts w:hint="eastAsia" w:ascii="宋体" w:hAnsi="宋体" w:cs="宋体"/>
          <w:color w:val="auto"/>
          <w:szCs w:val="21"/>
          <w:highlight w:val="none"/>
          <w:u w:val="single"/>
          <w:lang w:val="en-US" w:eastAsia="zh-CN"/>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的违约处理金，且工程质量必须无条件返工达到合格要求。</w:t>
      </w:r>
    </w:p>
    <w:p w14:paraId="1C47BD06">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21.1.5承包人若在施工过程中未严格按国家施工规范和操作规程要求进行施工，或者承包人擅自实施未经监理单位及发包人同意的施工方案, 发包人或监理单位在发出2次整改通知书后，承包人仍未整改，发包人将视其情节轻重，处以承包人每次或每处不少于</w:t>
      </w:r>
      <w:r>
        <w:rPr>
          <w:rFonts w:hint="eastAsia" w:ascii="宋体" w:hAnsi="宋体" w:cs="宋体"/>
          <w:color w:val="auto"/>
          <w:szCs w:val="21"/>
          <w:highlight w:val="none"/>
          <w:u w:val="single"/>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w:t>
      </w:r>
    </w:p>
    <w:p w14:paraId="000973D1">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21.1.6经行业主管部门及项目业主予以通报或处罚的，处以</w:t>
      </w:r>
      <w:r>
        <w:rPr>
          <w:rFonts w:hint="eastAsia" w:ascii="宋体" w:hAnsi="宋体" w:cs="宋体"/>
          <w:color w:val="auto"/>
          <w:szCs w:val="21"/>
          <w:highlight w:val="none"/>
          <w:u w:val="single"/>
        </w:rPr>
        <w:t xml:space="preserve"> 10000 </w:t>
      </w:r>
      <w:r>
        <w:rPr>
          <w:rFonts w:hint="eastAsia" w:ascii="宋体" w:hAnsi="宋体" w:cs="宋体"/>
          <w:color w:val="auto"/>
          <w:szCs w:val="21"/>
          <w:highlight w:val="none"/>
        </w:rPr>
        <w:t>元/次罚款。承包人因施工进度慢、质量管理差受到行政监管部门约谈的，发包人可处</w:t>
      </w:r>
      <w:r>
        <w:rPr>
          <w:rFonts w:hint="eastAsia" w:ascii="宋体" w:hAnsi="宋体" w:cs="宋体"/>
          <w:color w:val="auto"/>
          <w:szCs w:val="21"/>
          <w:highlight w:val="none"/>
          <w:u w:val="single"/>
        </w:rPr>
        <w:t xml:space="preserve"> 10000</w:t>
      </w:r>
      <w:r>
        <w:rPr>
          <w:rFonts w:hint="eastAsia" w:ascii="宋体" w:hAnsi="宋体" w:cs="宋体"/>
          <w:color w:val="auto"/>
          <w:szCs w:val="21"/>
          <w:highlight w:val="none"/>
        </w:rPr>
        <w:t>元/次经济处罚。</w:t>
      </w:r>
    </w:p>
    <w:p w14:paraId="39A1F6C5">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21.1.7经社会媒体曝光及市民投诉的予以证实后处以</w:t>
      </w:r>
      <w:r>
        <w:rPr>
          <w:rFonts w:hint="eastAsia" w:ascii="宋体" w:hAnsi="宋体" w:cs="宋体"/>
          <w:color w:val="auto"/>
          <w:szCs w:val="21"/>
          <w:highlight w:val="none"/>
          <w:u w:val="single"/>
        </w:rPr>
        <w:t xml:space="preserve">  30000   </w:t>
      </w:r>
      <w:r>
        <w:rPr>
          <w:rFonts w:hint="eastAsia" w:ascii="宋体" w:hAnsi="宋体" w:cs="宋体"/>
          <w:color w:val="auto"/>
          <w:szCs w:val="21"/>
          <w:highlight w:val="none"/>
        </w:rPr>
        <w:t>元/次罚款。</w:t>
      </w:r>
    </w:p>
    <w:p w14:paraId="0E1ABDB3">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21.1.8相应罚款在当期进度款中予以扣除。</w:t>
      </w:r>
    </w:p>
    <w:p w14:paraId="53100095">
      <w:pPr>
        <w:pStyle w:val="160"/>
        <w:spacing w:line="360" w:lineRule="auto"/>
        <w:ind w:firstLine="420" w:firstLineChars="200"/>
        <w:jc w:val="left"/>
        <w:rPr>
          <w:rFonts w:hint="eastAsia"/>
          <w:color w:val="auto"/>
          <w:highlight w:val="none"/>
        </w:rPr>
      </w:pPr>
      <w:bookmarkStart w:id="266" w:name="_Toc522177119"/>
      <w:bookmarkStart w:id="267" w:name="_Toc524083343"/>
      <w:bookmarkStart w:id="268" w:name="_Toc523415242"/>
      <w:bookmarkStart w:id="269" w:name="_Toc351203652"/>
    </w:p>
    <w:bookmarkEnd w:id="266"/>
    <w:bookmarkEnd w:id="267"/>
    <w:bookmarkEnd w:id="268"/>
    <w:bookmarkEnd w:id="269"/>
    <w:p w14:paraId="20587510">
      <w:pPr>
        <w:spacing w:line="360" w:lineRule="auto"/>
        <w:jc w:val="left"/>
        <w:rPr>
          <w:rFonts w:eastAsia="黑体"/>
          <w:b/>
          <w:bCs/>
          <w:color w:val="auto"/>
          <w:sz w:val="28"/>
          <w:szCs w:val="28"/>
          <w:highlight w:val="none"/>
        </w:rPr>
      </w:pPr>
      <w:r>
        <w:rPr>
          <w:rFonts w:hint="eastAsia" w:eastAsia="黑体" w:cs="黑体"/>
          <w:b/>
          <w:bCs/>
          <w:color w:val="auto"/>
          <w:sz w:val="28"/>
          <w:szCs w:val="28"/>
          <w:highlight w:val="none"/>
        </w:rPr>
        <w:t>附件</w:t>
      </w:r>
    </w:p>
    <w:p w14:paraId="67122BC8">
      <w:pPr>
        <w:spacing w:line="360" w:lineRule="auto"/>
        <w:jc w:val="left"/>
        <w:rPr>
          <w:rFonts w:hint="eastAsia" w:ascii="宋体" w:hAnsi="宋体" w:cs="宋体"/>
          <w:color w:val="auto"/>
          <w:highlight w:val="none"/>
        </w:rPr>
      </w:pPr>
      <w:r>
        <w:rPr>
          <w:rFonts w:hint="eastAsia" w:ascii="宋体" w:hAnsi="宋体" w:cs="宋体"/>
          <w:color w:val="auto"/>
          <w:highlight w:val="none"/>
        </w:rPr>
        <w:t>附件</w:t>
      </w:r>
      <w:r>
        <w:rPr>
          <w:rFonts w:ascii="宋体" w:hAnsi="宋体" w:cs="宋体"/>
          <w:color w:val="auto"/>
          <w:highlight w:val="none"/>
        </w:rPr>
        <w:t>1</w:t>
      </w:r>
      <w:r>
        <w:rPr>
          <w:rFonts w:hint="eastAsia" w:ascii="宋体" w:hAnsi="宋体" w:cs="宋体"/>
          <w:color w:val="auto"/>
          <w:highlight w:val="none"/>
        </w:rPr>
        <w:t>：承包人承揽工程项目一览表</w:t>
      </w:r>
    </w:p>
    <w:p w14:paraId="0D6F6393">
      <w:pPr>
        <w:spacing w:line="360" w:lineRule="auto"/>
        <w:jc w:val="left"/>
        <w:rPr>
          <w:rFonts w:ascii="宋体" w:hAnsi="宋体" w:cs="宋体"/>
          <w:color w:val="auto"/>
          <w:highlight w:val="none"/>
        </w:rPr>
      </w:pPr>
      <w:r>
        <w:rPr>
          <w:rFonts w:hint="eastAsia" w:ascii="宋体" w:hAnsi="宋体" w:cs="宋体"/>
          <w:color w:val="auto"/>
          <w:highlight w:val="none"/>
        </w:rPr>
        <w:t>附件2：工程质量保修书</w:t>
      </w:r>
    </w:p>
    <w:p w14:paraId="51CF55F5">
      <w:pPr>
        <w:spacing w:line="360" w:lineRule="auto"/>
        <w:jc w:val="left"/>
        <w:rPr>
          <w:rFonts w:hint="eastAsia" w:ascii="宋体" w:hAnsi="宋体" w:cs="宋体"/>
          <w:color w:val="auto"/>
          <w:highlight w:val="none"/>
        </w:rPr>
      </w:pPr>
      <w:r>
        <w:rPr>
          <w:rFonts w:ascii="宋体" w:hAnsi="宋体" w:cs="宋体"/>
          <w:color w:val="auto"/>
          <w:highlight w:val="none"/>
        </w:rPr>
        <w:t>附件</w:t>
      </w:r>
      <w:r>
        <w:rPr>
          <w:rFonts w:hint="eastAsia" w:ascii="宋体" w:hAnsi="宋体" w:cs="宋体"/>
          <w:color w:val="auto"/>
          <w:highlight w:val="none"/>
        </w:rPr>
        <w:t>3</w:t>
      </w:r>
      <w:r>
        <w:rPr>
          <w:rFonts w:ascii="宋体" w:hAnsi="宋体" w:cs="宋体"/>
          <w:color w:val="auto"/>
          <w:highlight w:val="none"/>
        </w:rPr>
        <w:t>：主要建设工程文件目录</w:t>
      </w:r>
    </w:p>
    <w:p w14:paraId="6B744939">
      <w:pPr>
        <w:spacing w:line="360" w:lineRule="auto"/>
        <w:jc w:val="left"/>
        <w:rPr>
          <w:rFonts w:ascii="宋体" w:hAnsi="宋体" w:cs="宋体"/>
          <w:color w:val="auto"/>
          <w:highlight w:val="none"/>
        </w:rPr>
      </w:pPr>
      <w:r>
        <w:rPr>
          <w:rFonts w:hint="eastAsia" w:ascii="宋体" w:hAnsi="宋体" w:cs="宋体"/>
          <w:color w:val="auto"/>
          <w:highlight w:val="none"/>
        </w:rPr>
        <w:t>附件4：承包人用于本工程施工的机械设备表</w:t>
      </w:r>
    </w:p>
    <w:p w14:paraId="72DF6474">
      <w:pPr>
        <w:spacing w:line="360" w:lineRule="auto"/>
        <w:jc w:val="left"/>
        <w:rPr>
          <w:rFonts w:ascii="宋体"/>
          <w:color w:val="auto"/>
          <w:highlight w:val="none"/>
        </w:rPr>
      </w:pPr>
      <w:r>
        <w:rPr>
          <w:rFonts w:hint="eastAsia" w:ascii="宋体" w:hAnsi="宋体" w:cs="宋体"/>
          <w:color w:val="auto"/>
          <w:highlight w:val="none"/>
        </w:rPr>
        <w:t>附件5：承包人主要施工管理人员表</w:t>
      </w:r>
    </w:p>
    <w:p w14:paraId="6518975E">
      <w:pPr>
        <w:spacing w:line="360" w:lineRule="auto"/>
        <w:jc w:val="left"/>
        <w:rPr>
          <w:rFonts w:ascii="宋体"/>
          <w:color w:val="auto"/>
          <w:highlight w:val="none"/>
        </w:rPr>
      </w:pPr>
      <w:r>
        <w:rPr>
          <w:rFonts w:hint="eastAsia" w:ascii="宋体" w:hAnsi="宋体" w:cs="宋体"/>
          <w:color w:val="auto"/>
          <w:highlight w:val="none"/>
        </w:rPr>
        <w:t>附件6：分包人主要施工管理人员表</w:t>
      </w:r>
    </w:p>
    <w:p w14:paraId="1086347F">
      <w:pPr>
        <w:spacing w:line="360" w:lineRule="auto"/>
        <w:jc w:val="left"/>
        <w:rPr>
          <w:rFonts w:ascii="宋体"/>
          <w:color w:val="auto"/>
          <w:highlight w:val="none"/>
        </w:rPr>
      </w:pPr>
      <w:r>
        <w:rPr>
          <w:rFonts w:hint="eastAsia" w:ascii="宋体" w:hAnsi="宋体" w:cs="宋体"/>
          <w:color w:val="auto"/>
          <w:highlight w:val="none"/>
        </w:rPr>
        <w:t>附件7：履约担保格式（独立保函、非独立保函）</w:t>
      </w:r>
    </w:p>
    <w:p w14:paraId="01D8519B">
      <w:pPr>
        <w:spacing w:line="360" w:lineRule="auto"/>
        <w:jc w:val="left"/>
        <w:rPr>
          <w:rFonts w:hint="eastAsia" w:ascii="宋体" w:hAnsi="宋体" w:cs="宋体"/>
          <w:color w:val="auto"/>
          <w:highlight w:val="none"/>
        </w:rPr>
      </w:pPr>
      <w:r>
        <w:rPr>
          <w:rFonts w:hint="eastAsia" w:ascii="宋体" w:hAnsi="宋体" w:cs="宋体"/>
          <w:color w:val="auto"/>
          <w:highlight w:val="none"/>
        </w:rPr>
        <w:t>附件8：预付款担保格式（独立保函、非独立保函）</w:t>
      </w:r>
    </w:p>
    <w:p w14:paraId="406F9B44">
      <w:pPr>
        <w:spacing w:line="360" w:lineRule="auto"/>
        <w:jc w:val="left"/>
        <w:rPr>
          <w:rFonts w:ascii="宋体" w:hAnsi="宋体" w:cs="宋体"/>
          <w:color w:val="auto"/>
          <w:highlight w:val="none"/>
        </w:rPr>
      </w:pPr>
      <w:r>
        <w:rPr>
          <w:rFonts w:hint="eastAsia" w:ascii="宋体" w:hAnsi="宋体" w:cs="宋体"/>
          <w:color w:val="auto"/>
          <w:highlight w:val="none"/>
        </w:rPr>
        <w:t>附件9：支付担保格式（独立保函、非独立保函）</w:t>
      </w:r>
    </w:p>
    <w:p w14:paraId="57BB12BC">
      <w:pPr>
        <w:spacing w:line="360" w:lineRule="auto"/>
        <w:jc w:val="left"/>
        <w:rPr>
          <w:rFonts w:hint="eastAsia"/>
          <w:color w:val="auto"/>
          <w:highlight w:val="none"/>
        </w:rPr>
      </w:pPr>
      <w:r>
        <w:rPr>
          <w:rFonts w:hint="eastAsia" w:ascii="宋体" w:hAnsi="宋体" w:cs="宋体"/>
          <w:color w:val="auto"/>
          <w:highlight w:val="none"/>
        </w:rPr>
        <w:t>附件10：预付款</w:t>
      </w:r>
      <w:r>
        <w:rPr>
          <w:rFonts w:hint="eastAsia"/>
          <w:color w:val="auto"/>
          <w:highlight w:val="none"/>
        </w:rPr>
        <w:t>支付申请（核准）表</w:t>
      </w:r>
    </w:p>
    <w:p w14:paraId="1E57ACCB">
      <w:pPr>
        <w:spacing w:line="360" w:lineRule="auto"/>
        <w:jc w:val="left"/>
        <w:rPr>
          <w:rFonts w:hint="eastAsia"/>
          <w:color w:val="auto"/>
          <w:highlight w:val="none"/>
        </w:rPr>
      </w:pPr>
      <w:r>
        <w:rPr>
          <w:rFonts w:hint="eastAsia" w:ascii="宋体" w:hAnsi="宋体" w:cs="宋体"/>
          <w:color w:val="auto"/>
          <w:highlight w:val="none"/>
        </w:rPr>
        <w:t>附件11：</w:t>
      </w:r>
      <w:r>
        <w:rPr>
          <w:rFonts w:hint="eastAsia"/>
          <w:color w:val="auto"/>
          <w:highlight w:val="none"/>
        </w:rPr>
        <w:t>进度款支付申请（核准）表</w:t>
      </w:r>
    </w:p>
    <w:p w14:paraId="7BFE1E12">
      <w:pPr>
        <w:spacing w:line="360" w:lineRule="auto"/>
        <w:jc w:val="left"/>
        <w:rPr>
          <w:rFonts w:hint="eastAsia"/>
          <w:color w:val="auto"/>
          <w:highlight w:val="none"/>
        </w:rPr>
      </w:pPr>
      <w:r>
        <w:rPr>
          <w:rFonts w:hint="eastAsia" w:ascii="宋体" w:hAnsi="宋体" w:cs="宋体"/>
          <w:color w:val="auto"/>
          <w:highlight w:val="none"/>
        </w:rPr>
        <w:t>附件12：竣工结算</w:t>
      </w:r>
      <w:r>
        <w:rPr>
          <w:rFonts w:hint="eastAsia"/>
          <w:color w:val="auto"/>
          <w:highlight w:val="none"/>
        </w:rPr>
        <w:t>款支付申请（核准）表</w:t>
      </w:r>
    </w:p>
    <w:p w14:paraId="025BFD1D">
      <w:pPr>
        <w:spacing w:line="360" w:lineRule="auto"/>
        <w:jc w:val="left"/>
        <w:rPr>
          <w:rFonts w:hint="eastAsia"/>
          <w:color w:val="auto"/>
          <w:highlight w:val="none"/>
        </w:rPr>
      </w:pPr>
      <w:r>
        <w:rPr>
          <w:rFonts w:hint="eastAsia" w:ascii="宋体" w:hAnsi="宋体" w:cs="宋体"/>
          <w:color w:val="auto"/>
          <w:highlight w:val="none"/>
        </w:rPr>
        <w:t>附件13：最终结算</w:t>
      </w:r>
      <w:r>
        <w:rPr>
          <w:rFonts w:hint="eastAsia"/>
          <w:color w:val="auto"/>
          <w:highlight w:val="none"/>
        </w:rPr>
        <w:t>款支付申请（核准）表</w:t>
      </w:r>
    </w:p>
    <w:p w14:paraId="6807BAB5">
      <w:pPr>
        <w:rPr>
          <w:color w:val="auto"/>
          <w:highlight w:val="none"/>
        </w:rPr>
      </w:pPr>
      <w:r>
        <w:rPr>
          <w:rFonts w:hint="eastAsia"/>
          <w:color w:val="auto"/>
          <w:highlight w:val="none"/>
        </w:rPr>
        <w:t>附件14：总价合同进度款支付分解表</w:t>
      </w:r>
    </w:p>
    <w:p w14:paraId="393E302A">
      <w:pPr>
        <w:spacing w:line="360" w:lineRule="auto"/>
        <w:jc w:val="left"/>
        <w:rPr>
          <w:rStyle w:val="45"/>
          <w:rFonts w:ascii="仿宋_GB2312" w:hAnsi="Times New Roman" w:eastAsia="仿宋_GB2312" w:cs="Times New Roman"/>
          <w:color w:val="auto"/>
          <w:sz w:val="30"/>
          <w:szCs w:val="30"/>
          <w:highlight w:val="none"/>
        </w:rPr>
      </w:pPr>
      <w:r>
        <w:rPr>
          <w:rFonts w:ascii="宋体" w:hAnsi="宋体"/>
          <w:color w:val="auto"/>
          <w:szCs w:val="21"/>
          <w:highlight w:val="none"/>
        </w:rPr>
        <w:br w:type="page"/>
      </w:r>
      <w:bookmarkStart w:id="270" w:name="_Toc10392"/>
      <w:bookmarkStart w:id="271" w:name="_Toc29593"/>
      <w:r>
        <w:rPr>
          <w:rStyle w:val="45"/>
          <w:rFonts w:hint="eastAsia" w:ascii="仿宋_GB2312" w:hAnsi="Times New Roman" w:eastAsia="仿宋_GB2312" w:cs="仿宋_GB2312"/>
          <w:color w:val="auto"/>
          <w:sz w:val="30"/>
          <w:szCs w:val="30"/>
          <w:highlight w:val="none"/>
        </w:rPr>
        <w:t>附件</w:t>
      </w:r>
      <w:r>
        <w:rPr>
          <w:rStyle w:val="45"/>
          <w:rFonts w:ascii="仿宋_GB2312" w:hAnsi="Times New Roman" w:eastAsia="仿宋_GB2312" w:cs="仿宋_GB2312"/>
          <w:color w:val="auto"/>
          <w:sz w:val="30"/>
          <w:szCs w:val="30"/>
          <w:highlight w:val="none"/>
        </w:rPr>
        <w:t>1</w:t>
      </w:r>
      <w:r>
        <w:rPr>
          <w:rStyle w:val="45"/>
          <w:rFonts w:hint="eastAsia" w:ascii="仿宋_GB2312" w:hAnsi="Times New Roman" w:eastAsia="仿宋_GB2312" w:cs="仿宋_GB2312"/>
          <w:color w:val="auto"/>
          <w:sz w:val="30"/>
          <w:szCs w:val="30"/>
          <w:highlight w:val="none"/>
        </w:rPr>
        <w:t>：</w:t>
      </w:r>
    </w:p>
    <w:p w14:paraId="2326ABA5">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承包人承揽工程项目一览表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936"/>
        <w:gridCol w:w="718"/>
        <w:gridCol w:w="1151"/>
        <w:gridCol w:w="718"/>
        <w:gridCol w:w="501"/>
        <w:gridCol w:w="718"/>
        <w:gridCol w:w="936"/>
        <w:gridCol w:w="1247"/>
        <w:gridCol w:w="718"/>
        <w:gridCol w:w="719"/>
      </w:tblGrid>
      <w:tr w14:paraId="3090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0" w:type="auto"/>
            <w:noWrap w:val="0"/>
            <w:vAlign w:val="center"/>
          </w:tcPr>
          <w:p w14:paraId="420803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单位工程名称</w:t>
            </w:r>
          </w:p>
        </w:tc>
        <w:tc>
          <w:tcPr>
            <w:tcW w:w="0" w:type="auto"/>
            <w:noWrap w:val="0"/>
            <w:vAlign w:val="center"/>
          </w:tcPr>
          <w:p w14:paraId="5CA79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建设规模</w:t>
            </w:r>
          </w:p>
        </w:tc>
        <w:tc>
          <w:tcPr>
            <w:tcW w:w="0" w:type="auto"/>
            <w:noWrap w:val="0"/>
            <w:vAlign w:val="center"/>
          </w:tcPr>
          <w:p w14:paraId="5ACD6C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建筑面积</w:t>
            </w:r>
            <w:r>
              <w:rPr>
                <w:rStyle w:val="45"/>
                <w:rFonts w:ascii="Times New Roman" w:hAnsi="Times New Roman" w:eastAsia="仿宋_GB2312" w:cs="Times New Roman"/>
                <w:color w:val="auto"/>
                <w:sz w:val="21"/>
                <w:szCs w:val="21"/>
                <w:highlight w:val="none"/>
              </w:rPr>
              <w:t>(</w:t>
            </w:r>
            <w:r>
              <w:rPr>
                <w:rStyle w:val="45"/>
                <w:rFonts w:hint="eastAsia" w:ascii="Times New Roman" w:hAnsi="Times New Roman" w:eastAsia="仿宋_GB2312" w:cs="仿宋_GB2312"/>
                <w:color w:val="auto"/>
                <w:sz w:val="21"/>
                <w:szCs w:val="21"/>
                <w:highlight w:val="none"/>
              </w:rPr>
              <w:t>平方米</w:t>
            </w:r>
            <w:r>
              <w:rPr>
                <w:rStyle w:val="45"/>
                <w:rFonts w:ascii="Times New Roman" w:hAnsi="Times New Roman" w:eastAsia="仿宋_GB2312" w:cs="Times New Roman"/>
                <w:color w:val="auto"/>
                <w:sz w:val="21"/>
                <w:szCs w:val="21"/>
                <w:highlight w:val="none"/>
              </w:rPr>
              <w:t>)</w:t>
            </w:r>
          </w:p>
        </w:tc>
        <w:tc>
          <w:tcPr>
            <w:tcW w:w="0" w:type="auto"/>
            <w:noWrap w:val="0"/>
            <w:vAlign w:val="center"/>
          </w:tcPr>
          <w:p w14:paraId="10BA01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结构形式</w:t>
            </w:r>
          </w:p>
        </w:tc>
        <w:tc>
          <w:tcPr>
            <w:tcW w:w="0" w:type="auto"/>
            <w:noWrap w:val="0"/>
            <w:vAlign w:val="center"/>
          </w:tcPr>
          <w:p w14:paraId="26C405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层数</w:t>
            </w:r>
          </w:p>
        </w:tc>
        <w:tc>
          <w:tcPr>
            <w:tcW w:w="0" w:type="auto"/>
            <w:noWrap w:val="0"/>
            <w:vAlign w:val="center"/>
          </w:tcPr>
          <w:p w14:paraId="0B179EC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生产能力</w:t>
            </w:r>
          </w:p>
        </w:tc>
        <w:tc>
          <w:tcPr>
            <w:tcW w:w="0" w:type="auto"/>
            <w:noWrap w:val="0"/>
            <w:vAlign w:val="center"/>
          </w:tcPr>
          <w:p w14:paraId="0E4679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设备安装内容</w:t>
            </w:r>
          </w:p>
        </w:tc>
        <w:tc>
          <w:tcPr>
            <w:tcW w:w="0" w:type="auto"/>
            <w:noWrap w:val="0"/>
            <w:vAlign w:val="center"/>
          </w:tcPr>
          <w:p w14:paraId="35BD2AF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合同价格（元）</w:t>
            </w:r>
          </w:p>
        </w:tc>
        <w:tc>
          <w:tcPr>
            <w:tcW w:w="0" w:type="auto"/>
            <w:noWrap w:val="0"/>
            <w:vAlign w:val="center"/>
          </w:tcPr>
          <w:p w14:paraId="19DA7C9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开工日期</w:t>
            </w:r>
          </w:p>
        </w:tc>
        <w:tc>
          <w:tcPr>
            <w:tcW w:w="0" w:type="auto"/>
            <w:noWrap w:val="0"/>
            <w:vAlign w:val="center"/>
          </w:tcPr>
          <w:p w14:paraId="3F9684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竣工日期</w:t>
            </w:r>
          </w:p>
        </w:tc>
      </w:tr>
      <w:tr w14:paraId="347A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7F5C91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18A8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1758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0879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9F21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1662A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C642E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8B12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450D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490E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53E6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6B09CCB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B2B02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EA4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51574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B05F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E8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EA0BC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96B4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BBD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4938A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305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3DE56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BAF7D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58D33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8A09B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7C5FF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959D7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6EC39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7CD0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FEF5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BFB25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60D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029E6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9C37F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D5C8AA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71900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E72D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82E12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ABB89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EF629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B1359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C4789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1A95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F4DD2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6C0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DB288E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1E6A42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28153B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113A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9D471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68158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AF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F9F4B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845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E90F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727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04CA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C298E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67E3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66FC9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DD04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D8A3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4CAE5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1932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3D8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9A587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BF8E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3B3B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D7EE6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DC53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8E422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4A30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CFA584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88270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20F23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CB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AC68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AAAC20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3032EC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9817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0F0CD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7A0DD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1F939C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5192FC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F485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E1C6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EE8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ACBC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8C8D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3A52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B79A0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3E5C7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FC70A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A4410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18362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E259A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A1A17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B61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B783B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E93EEF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D29EE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738A6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7B9D9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F1152D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3D33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642B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A5AB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0D22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bl>
    <w:p w14:paraId="4DC20D94">
      <w:pPr>
        <w:pStyle w:val="156"/>
        <w:spacing w:line="460" w:lineRule="exact"/>
        <w:ind w:firstLine="420" w:firstLineChars="200"/>
        <w:rPr>
          <w:rStyle w:val="45"/>
          <w:rFonts w:ascii="Times New Roman" w:hAnsi="Times New Roman" w:eastAsia="宋体" w:cs="Times New Roman"/>
          <w:color w:val="auto"/>
          <w:szCs w:val="21"/>
          <w:highlight w:val="none"/>
        </w:rPr>
      </w:pPr>
    </w:p>
    <w:p w14:paraId="5AB6DF2F">
      <w:pPr>
        <w:pStyle w:val="156"/>
        <w:spacing w:line="460" w:lineRule="exact"/>
        <w:ind w:firstLine="420" w:firstLineChars="200"/>
        <w:rPr>
          <w:rStyle w:val="45"/>
          <w:rFonts w:ascii="Times New Roman" w:hAnsi="Times New Roman" w:eastAsia="宋体" w:cs="Times New Roman"/>
          <w:color w:val="auto"/>
          <w:szCs w:val="21"/>
          <w:highlight w:val="none"/>
        </w:rPr>
      </w:pPr>
    </w:p>
    <w:p w14:paraId="22445CD7">
      <w:pPr>
        <w:pStyle w:val="156"/>
        <w:spacing w:line="460" w:lineRule="exact"/>
        <w:ind w:firstLine="420" w:firstLineChars="200"/>
        <w:rPr>
          <w:rStyle w:val="45"/>
          <w:rFonts w:ascii="Times New Roman" w:hAnsi="Times New Roman" w:eastAsia="宋体" w:cs="Times New Roman"/>
          <w:color w:val="auto"/>
          <w:szCs w:val="21"/>
          <w:highlight w:val="none"/>
        </w:rPr>
      </w:pPr>
    </w:p>
    <w:p w14:paraId="7EFA9AE9">
      <w:pPr>
        <w:pStyle w:val="156"/>
        <w:spacing w:line="460" w:lineRule="exact"/>
        <w:ind w:firstLine="420" w:firstLineChars="200"/>
        <w:rPr>
          <w:rStyle w:val="45"/>
          <w:rFonts w:ascii="Times New Roman" w:hAnsi="Times New Roman" w:eastAsia="宋体" w:cs="Times New Roman"/>
          <w:color w:val="auto"/>
          <w:szCs w:val="21"/>
          <w:highlight w:val="none"/>
        </w:rPr>
      </w:pPr>
    </w:p>
    <w:p w14:paraId="13D24944">
      <w:pPr>
        <w:pStyle w:val="156"/>
        <w:spacing w:line="460" w:lineRule="exact"/>
        <w:ind w:firstLine="420" w:firstLineChars="200"/>
        <w:rPr>
          <w:rStyle w:val="45"/>
          <w:rFonts w:ascii="Times New Roman" w:hAnsi="Times New Roman" w:eastAsia="宋体" w:cs="Times New Roman"/>
          <w:color w:val="auto"/>
          <w:szCs w:val="21"/>
          <w:highlight w:val="none"/>
        </w:rPr>
      </w:pPr>
    </w:p>
    <w:p w14:paraId="00D14C40">
      <w:pPr>
        <w:pStyle w:val="156"/>
        <w:spacing w:line="460" w:lineRule="exact"/>
        <w:ind w:firstLine="420" w:firstLineChars="200"/>
        <w:rPr>
          <w:rStyle w:val="45"/>
          <w:rFonts w:ascii="Times New Roman" w:hAnsi="Times New Roman" w:eastAsia="宋体" w:cs="Times New Roman"/>
          <w:color w:val="auto"/>
          <w:szCs w:val="21"/>
          <w:highlight w:val="none"/>
        </w:rPr>
      </w:pPr>
    </w:p>
    <w:p w14:paraId="010B669E">
      <w:pPr>
        <w:pStyle w:val="156"/>
        <w:spacing w:line="460" w:lineRule="exact"/>
        <w:ind w:firstLine="420" w:firstLineChars="200"/>
        <w:rPr>
          <w:rStyle w:val="45"/>
          <w:rFonts w:ascii="Times New Roman" w:hAnsi="Times New Roman" w:eastAsia="宋体" w:cs="Times New Roman"/>
          <w:color w:val="auto"/>
          <w:szCs w:val="21"/>
          <w:highlight w:val="none"/>
        </w:rPr>
      </w:pPr>
    </w:p>
    <w:p w14:paraId="5DE2326C">
      <w:pPr>
        <w:pStyle w:val="156"/>
        <w:spacing w:line="460" w:lineRule="exact"/>
        <w:ind w:firstLine="420" w:firstLineChars="200"/>
        <w:rPr>
          <w:rStyle w:val="45"/>
          <w:rFonts w:ascii="Times New Roman" w:hAnsi="Times New Roman" w:eastAsia="宋体" w:cs="Times New Roman"/>
          <w:color w:val="auto"/>
          <w:szCs w:val="21"/>
          <w:highlight w:val="none"/>
        </w:rPr>
      </w:pPr>
    </w:p>
    <w:p w14:paraId="0E799F3F">
      <w:pPr>
        <w:pStyle w:val="156"/>
        <w:spacing w:line="460" w:lineRule="exact"/>
        <w:ind w:firstLine="420" w:firstLineChars="200"/>
        <w:rPr>
          <w:rStyle w:val="45"/>
          <w:rFonts w:ascii="Times New Roman" w:hAnsi="Times New Roman" w:eastAsia="宋体" w:cs="Times New Roman"/>
          <w:color w:val="auto"/>
          <w:szCs w:val="21"/>
          <w:highlight w:val="none"/>
        </w:rPr>
      </w:pPr>
    </w:p>
    <w:p w14:paraId="7D3BDA22">
      <w:pPr>
        <w:pStyle w:val="156"/>
        <w:spacing w:line="460" w:lineRule="exact"/>
        <w:ind w:firstLine="420" w:firstLineChars="200"/>
        <w:rPr>
          <w:rStyle w:val="45"/>
          <w:rFonts w:ascii="Times New Roman" w:hAnsi="Times New Roman" w:eastAsia="宋体" w:cs="Times New Roman"/>
          <w:color w:val="auto"/>
          <w:szCs w:val="21"/>
          <w:highlight w:val="none"/>
        </w:rPr>
      </w:pPr>
    </w:p>
    <w:p w14:paraId="21664001">
      <w:pPr>
        <w:pStyle w:val="156"/>
        <w:spacing w:line="460" w:lineRule="exact"/>
        <w:ind w:firstLine="420" w:firstLineChars="200"/>
        <w:rPr>
          <w:rStyle w:val="45"/>
          <w:rFonts w:ascii="Times New Roman" w:hAnsi="Times New Roman" w:eastAsia="宋体" w:cs="Times New Roman"/>
          <w:color w:val="auto"/>
          <w:szCs w:val="21"/>
          <w:highlight w:val="none"/>
        </w:rPr>
      </w:pPr>
    </w:p>
    <w:p w14:paraId="05D86640">
      <w:pPr>
        <w:pStyle w:val="156"/>
        <w:spacing w:line="460" w:lineRule="exact"/>
        <w:ind w:firstLine="420" w:firstLineChars="200"/>
        <w:rPr>
          <w:rStyle w:val="45"/>
          <w:rFonts w:ascii="Times New Roman" w:hAnsi="Times New Roman" w:eastAsia="宋体" w:cs="Times New Roman"/>
          <w:color w:val="auto"/>
          <w:szCs w:val="21"/>
          <w:highlight w:val="none"/>
        </w:rPr>
      </w:pPr>
    </w:p>
    <w:p w14:paraId="1F894C63">
      <w:pPr>
        <w:pStyle w:val="156"/>
        <w:spacing w:line="440" w:lineRule="exact"/>
        <w:rPr>
          <w:rStyle w:val="45"/>
          <w:rFonts w:ascii="Times New Roman" w:hAnsi="Times New Roman" w:eastAsia="宋体" w:cs="Times New Roman"/>
          <w:color w:val="auto"/>
          <w:sz w:val="30"/>
          <w:szCs w:val="30"/>
          <w:highlight w:val="none"/>
        </w:rPr>
      </w:pPr>
      <w:r>
        <w:rPr>
          <w:rStyle w:val="45"/>
          <w:rFonts w:hint="eastAsia" w:ascii="Times New Roman" w:hAnsi="宋体" w:eastAsia="宋体" w:cs="宋体"/>
          <w:color w:val="auto"/>
          <w:sz w:val="30"/>
          <w:szCs w:val="30"/>
          <w:highlight w:val="none"/>
        </w:rPr>
        <w:t>附件</w:t>
      </w:r>
      <w:r>
        <w:rPr>
          <w:rStyle w:val="45"/>
          <w:rFonts w:hint="eastAsia" w:ascii="Times New Roman" w:hAnsi="Times New Roman" w:eastAsia="宋体" w:cs="Times New Roman"/>
          <w:color w:val="auto"/>
          <w:sz w:val="30"/>
          <w:szCs w:val="30"/>
          <w:highlight w:val="none"/>
        </w:rPr>
        <w:t>2</w:t>
      </w:r>
      <w:r>
        <w:rPr>
          <w:rStyle w:val="45"/>
          <w:rFonts w:hint="eastAsia" w:ascii="Times New Roman" w:hAnsi="宋体" w:eastAsia="宋体" w:cs="宋体"/>
          <w:color w:val="auto"/>
          <w:sz w:val="30"/>
          <w:szCs w:val="30"/>
          <w:highlight w:val="none"/>
        </w:rPr>
        <w:t>：</w:t>
      </w:r>
    </w:p>
    <w:p w14:paraId="7784BF77">
      <w:pPr>
        <w:spacing w:before="120" w:beforeLines="50" w:after="120" w:afterLines="50" w:line="440" w:lineRule="exact"/>
        <w:jc w:val="center"/>
        <w:rPr>
          <w:rFonts w:ascii="黑体" w:eastAsia="黑体"/>
          <w:color w:val="auto"/>
          <w:sz w:val="32"/>
          <w:szCs w:val="32"/>
          <w:highlight w:val="none"/>
        </w:rPr>
      </w:pPr>
      <w:r>
        <w:rPr>
          <w:rFonts w:hint="eastAsia" w:ascii="黑体" w:hAnsi="宋体" w:eastAsia="黑体" w:cs="黑体"/>
          <w:color w:val="auto"/>
          <w:sz w:val="32"/>
          <w:szCs w:val="32"/>
          <w:highlight w:val="none"/>
        </w:rPr>
        <w:t>工程质量保修书（房屋建筑工程）</w:t>
      </w:r>
    </w:p>
    <w:p w14:paraId="60D3FB00">
      <w:pPr>
        <w:spacing w:line="440" w:lineRule="exact"/>
        <w:ind w:firstLine="420" w:firstLineChars="200"/>
        <w:rPr>
          <w:color w:val="auto"/>
          <w:highlight w:val="none"/>
        </w:rPr>
      </w:pPr>
      <w:r>
        <w:rPr>
          <w:rFonts w:hint="eastAsia" w:hAnsi="宋体" w:cs="宋体"/>
          <w:color w:val="auto"/>
          <w:highlight w:val="none"/>
        </w:rPr>
        <w:t>发包人（全称）：</w:t>
      </w:r>
      <w:r>
        <w:rPr>
          <w:color w:val="auto"/>
          <w:highlight w:val="none"/>
          <w:u w:val="single"/>
        </w:rPr>
        <w:t xml:space="preserve">                                </w:t>
      </w:r>
      <w:r>
        <w:rPr>
          <w:color w:val="auto"/>
          <w:highlight w:val="none"/>
        </w:rPr>
        <w:t xml:space="preserve"> </w:t>
      </w:r>
    </w:p>
    <w:p w14:paraId="0408568A">
      <w:pPr>
        <w:spacing w:line="440" w:lineRule="exact"/>
        <w:ind w:firstLine="420" w:firstLineChars="200"/>
        <w:rPr>
          <w:color w:val="auto"/>
          <w:highlight w:val="none"/>
        </w:rPr>
      </w:pPr>
      <w:r>
        <w:rPr>
          <w:rFonts w:hint="eastAsia" w:hAnsi="宋体" w:cs="宋体"/>
          <w:color w:val="auto"/>
          <w:highlight w:val="none"/>
        </w:rPr>
        <w:t>承包人（全称）：</w:t>
      </w:r>
      <w:r>
        <w:rPr>
          <w:color w:val="auto"/>
          <w:highlight w:val="none"/>
          <w:u w:val="single"/>
        </w:rPr>
        <w:t xml:space="preserve">                                </w:t>
      </w:r>
      <w:r>
        <w:rPr>
          <w:color w:val="auto"/>
          <w:highlight w:val="none"/>
        </w:rPr>
        <w:t xml:space="preserve"> </w:t>
      </w:r>
    </w:p>
    <w:p w14:paraId="09526393">
      <w:pPr>
        <w:spacing w:line="440" w:lineRule="exact"/>
        <w:rPr>
          <w:color w:val="auto"/>
          <w:highlight w:val="none"/>
        </w:rPr>
      </w:pPr>
    </w:p>
    <w:p w14:paraId="6B953E43">
      <w:pPr>
        <w:spacing w:line="360" w:lineRule="auto"/>
        <w:ind w:firstLine="420" w:firstLineChars="200"/>
        <w:rPr>
          <w:rFonts w:hAnsi="宋体"/>
          <w:color w:val="auto"/>
          <w:highlight w:val="none"/>
        </w:rPr>
      </w:pPr>
      <w:r>
        <w:rPr>
          <w:rFonts w:hint="eastAsia" w:hAnsi="宋体" w:cs="宋体"/>
          <w:color w:val="auto"/>
          <w:highlight w:val="none"/>
        </w:rPr>
        <w:t>发包人和承包人根据《中华人民共和国建筑法》和《建设工程质量管理条例》，经协商一致就</w:t>
      </w:r>
      <w:r>
        <w:rPr>
          <w:color w:val="auto"/>
          <w:highlight w:val="none"/>
          <w:u w:val="single"/>
        </w:rPr>
        <w:t xml:space="preserve">                                   </w:t>
      </w:r>
      <w:r>
        <w:rPr>
          <w:rFonts w:hint="eastAsia" w:hAnsi="宋体" w:cs="宋体"/>
          <w:color w:val="auto"/>
          <w:highlight w:val="none"/>
        </w:rPr>
        <w:t>（工程全称）签订工程质量保修书。</w:t>
      </w:r>
    </w:p>
    <w:p w14:paraId="3C251717">
      <w:pPr>
        <w:spacing w:line="360" w:lineRule="auto"/>
        <w:ind w:firstLine="420" w:firstLineChars="200"/>
        <w:rPr>
          <w:rFonts w:ascii="黑体" w:hAnsi="宋体" w:eastAsia="黑体"/>
          <w:color w:val="auto"/>
          <w:highlight w:val="none"/>
        </w:rPr>
      </w:pPr>
      <w:r>
        <w:rPr>
          <w:rFonts w:hint="eastAsia" w:ascii="黑体" w:hAnsi="宋体" w:eastAsia="黑体" w:cs="黑体"/>
          <w:color w:val="auto"/>
          <w:highlight w:val="none"/>
        </w:rPr>
        <w:t>一、工程质量保修范围和内容</w:t>
      </w:r>
    </w:p>
    <w:p w14:paraId="0800D991">
      <w:pPr>
        <w:spacing w:line="360" w:lineRule="auto"/>
        <w:ind w:firstLine="420" w:firstLineChars="200"/>
        <w:rPr>
          <w:color w:val="auto"/>
          <w:highlight w:val="none"/>
        </w:rPr>
      </w:pPr>
      <w:r>
        <w:rPr>
          <w:rFonts w:hint="eastAsia" w:hAnsi="宋体" w:cs="宋体"/>
          <w:color w:val="auto"/>
          <w:highlight w:val="none"/>
        </w:rPr>
        <w:t>承包人在质量保修期内，按照有关法律规定和合同约定，承担工程质量保修责任。</w:t>
      </w:r>
    </w:p>
    <w:p w14:paraId="6CDFB52B">
      <w:pPr>
        <w:spacing w:line="360" w:lineRule="auto"/>
        <w:ind w:firstLine="420"/>
        <w:rPr>
          <w:rFonts w:hAnsi="宋体"/>
          <w:color w:val="auto"/>
          <w:highlight w:val="none"/>
        </w:rPr>
      </w:pPr>
      <w:r>
        <w:rPr>
          <w:rFonts w:hint="eastAsia" w:hAnsi="宋体" w:cs="宋体"/>
          <w:color w:val="auto"/>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41538882">
      <w:pPr>
        <w:spacing w:line="360" w:lineRule="auto"/>
        <w:ind w:firstLine="420"/>
        <w:rPr>
          <w:rFonts w:hAnsi="宋体"/>
          <w:color w:val="auto"/>
          <w:highlight w:val="none"/>
        </w:rPr>
      </w:pPr>
      <w:r>
        <w:rPr>
          <w:color w:val="auto"/>
          <w:highlight w:val="none"/>
          <w:u w:val="single"/>
        </w:rPr>
        <w:t xml:space="preserve">                                                                                                                                                         </w:t>
      </w:r>
      <w:r>
        <w:rPr>
          <w:rFonts w:hint="eastAsia" w:hAnsi="宋体" w:cs="宋体"/>
          <w:color w:val="auto"/>
          <w:highlight w:val="none"/>
        </w:rPr>
        <w:t>。</w:t>
      </w:r>
    </w:p>
    <w:p w14:paraId="7F74199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二、质量保修期</w:t>
      </w:r>
    </w:p>
    <w:p w14:paraId="0A4762A5">
      <w:pPr>
        <w:spacing w:line="360" w:lineRule="auto"/>
        <w:ind w:firstLine="420"/>
        <w:rPr>
          <w:rFonts w:hAnsi="宋体"/>
          <w:color w:val="auto"/>
          <w:highlight w:val="none"/>
        </w:rPr>
      </w:pPr>
      <w:r>
        <w:rPr>
          <w:rFonts w:hint="eastAsia" w:hAnsi="宋体" w:cs="宋体"/>
          <w:color w:val="auto"/>
          <w:highlight w:val="none"/>
        </w:rPr>
        <w:t>根据《建设工程质量管理条例》及有关规定，工程的质量保修期如下：</w:t>
      </w:r>
    </w:p>
    <w:p w14:paraId="1AB84B9B">
      <w:pPr>
        <w:spacing w:line="360" w:lineRule="auto"/>
        <w:ind w:firstLine="420"/>
        <w:rPr>
          <w:rFonts w:hAnsi="宋体"/>
          <w:color w:val="auto"/>
          <w:highlight w:val="none"/>
        </w:rPr>
      </w:pPr>
      <w:r>
        <w:rPr>
          <w:color w:val="auto"/>
          <w:highlight w:val="none"/>
        </w:rPr>
        <w:t>1</w:t>
      </w:r>
      <w:r>
        <w:rPr>
          <w:rFonts w:hint="eastAsia" w:hAnsi="宋体" w:cs="宋体"/>
          <w:color w:val="auto"/>
          <w:highlight w:val="none"/>
        </w:rPr>
        <w:t>．地基基础工程和主体结构工程为设计文件规定的工程合理使用年限；</w:t>
      </w:r>
    </w:p>
    <w:p w14:paraId="25121F5E">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．屋面防水工程、有防水要求的卫生间、房间和外墙面的防渗为</w:t>
      </w:r>
      <w:r>
        <w:rPr>
          <w:color w:val="auto"/>
          <w:highlight w:val="none"/>
          <w:u w:val="single"/>
        </w:rPr>
        <w:t xml:space="preserve">  </w:t>
      </w:r>
      <w:r>
        <w:rPr>
          <w:rFonts w:hint="eastAsia"/>
          <w:color w:val="auto"/>
          <w:highlight w:val="none"/>
          <w:u w:val="single"/>
        </w:rPr>
        <w:t>5</w:t>
      </w:r>
      <w:r>
        <w:rPr>
          <w:color w:val="auto"/>
          <w:highlight w:val="none"/>
          <w:u w:val="single"/>
        </w:rPr>
        <w:t xml:space="preserve">  </w:t>
      </w:r>
      <w:r>
        <w:rPr>
          <w:rFonts w:hint="eastAsia" w:hAnsi="宋体" w:cs="宋体"/>
          <w:color w:val="auto"/>
          <w:highlight w:val="none"/>
        </w:rPr>
        <w:t>年；</w:t>
      </w:r>
    </w:p>
    <w:p w14:paraId="27EE179B">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．装修工程为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1F71BA20">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．电气管线、给排水管道、设备安装工程为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566DC4AA">
      <w:pPr>
        <w:spacing w:line="360" w:lineRule="auto"/>
        <w:ind w:firstLine="420"/>
        <w:rPr>
          <w:rFonts w:hAnsi="宋体"/>
          <w:color w:val="auto"/>
          <w:highlight w:val="none"/>
        </w:rPr>
      </w:pPr>
      <w:r>
        <w:rPr>
          <w:color w:val="auto"/>
          <w:highlight w:val="none"/>
        </w:rPr>
        <w:t>5</w:t>
      </w:r>
      <w:r>
        <w:rPr>
          <w:rFonts w:hint="eastAsia" w:hAnsi="宋体" w:cs="宋体"/>
          <w:color w:val="auto"/>
          <w:highlight w:val="none"/>
        </w:rPr>
        <w:t>．供热与供冷系统为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个采暖期、供冷期；</w:t>
      </w:r>
    </w:p>
    <w:p w14:paraId="63A29B06">
      <w:pPr>
        <w:spacing w:line="360" w:lineRule="auto"/>
        <w:ind w:firstLine="420"/>
        <w:rPr>
          <w:rFonts w:hAnsi="宋体"/>
          <w:color w:val="auto"/>
          <w:highlight w:val="none"/>
        </w:rPr>
      </w:pPr>
      <w:r>
        <w:rPr>
          <w:color w:val="auto"/>
          <w:highlight w:val="none"/>
        </w:rPr>
        <w:t>6</w:t>
      </w:r>
      <w:r>
        <w:rPr>
          <w:rFonts w:hint="eastAsia" w:hAnsi="宋体" w:cs="宋体"/>
          <w:color w:val="auto"/>
          <w:highlight w:val="none"/>
        </w:rPr>
        <w:t>．住宅小区内的给排水设施、道路等配套工程为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76EB54C1">
      <w:pPr>
        <w:spacing w:line="360" w:lineRule="auto"/>
        <w:ind w:firstLine="420"/>
        <w:rPr>
          <w:rFonts w:hAnsi="宋体"/>
          <w:color w:val="auto"/>
          <w:highlight w:val="none"/>
        </w:rPr>
      </w:pPr>
      <w:r>
        <w:rPr>
          <w:color w:val="auto"/>
          <w:highlight w:val="none"/>
        </w:rPr>
        <w:t>7</w:t>
      </w:r>
      <w:r>
        <w:rPr>
          <w:rFonts w:hint="eastAsia" w:hAnsi="宋体" w:cs="宋体"/>
          <w:color w:val="auto"/>
          <w:highlight w:val="none"/>
        </w:rPr>
        <w:t>．其他项目保修期限约定如下：</w:t>
      </w:r>
      <w:r>
        <w:rPr>
          <w:color w:val="auto"/>
          <w:highlight w:val="none"/>
          <w:u w:val="single"/>
        </w:rPr>
        <w:t xml:space="preserve">        </w:t>
      </w:r>
      <w:r>
        <w:rPr>
          <w:rFonts w:hint="eastAsia"/>
          <w:color w:val="auto"/>
          <w:highlight w:val="none"/>
          <w:u w:val="single"/>
        </w:rPr>
        <w:t>无</w:t>
      </w:r>
      <w:r>
        <w:rPr>
          <w:color w:val="auto"/>
          <w:highlight w:val="none"/>
          <w:u w:val="single"/>
        </w:rPr>
        <w:t xml:space="preserve">        </w:t>
      </w:r>
      <w:r>
        <w:rPr>
          <w:rFonts w:hint="eastAsia" w:hAnsi="宋体" w:cs="宋体"/>
          <w:color w:val="auto"/>
          <w:highlight w:val="none"/>
        </w:rPr>
        <w:t>。</w:t>
      </w:r>
    </w:p>
    <w:p w14:paraId="6B8B9EB6">
      <w:pPr>
        <w:spacing w:line="360" w:lineRule="auto"/>
        <w:ind w:firstLine="420"/>
        <w:rPr>
          <w:rFonts w:hAnsi="宋体"/>
          <w:color w:val="auto"/>
          <w:highlight w:val="none"/>
        </w:rPr>
      </w:pPr>
      <w:r>
        <w:rPr>
          <w:rFonts w:hint="eastAsia" w:hAnsi="宋体" w:cs="宋体"/>
          <w:color w:val="auto"/>
          <w:highlight w:val="none"/>
        </w:rPr>
        <w:t>质量保修期自工程竣工验收合格之日起计算。</w:t>
      </w:r>
    </w:p>
    <w:p w14:paraId="5EA59BCE">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三、缺陷责任期</w:t>
      </w:r>
    </w:p>
    <w:p w14:paraId="3FC7708A">
      <w:pPr>
        <w:spacing w:line="360" w:lineRule="auto"/>
        <w:ind w:firstLine="420"/>
        <w:rPr>
          <w:rFonts w:hAnsi="宋体"/>
          <w:color w:val="auto"/>
          <w:highlight w:val="none"/>
        </w:rPr>
      </w:pPr>
      <w:r>
        <w:rPr>
          <w:rFonts w:hint="eastAsia" w:hAnsi="宋体" w:cs="宋体"/>
          <w:color w:val="auto"/>
          <w:highlight w:val="none"/>
        </w:rPr>
        <w:t>工程缺陷责任期为</w:t>
      </w:r>
      <w:r>
        <w:rPr>
          <w:color w:val="auto"/>
          <w:highlight w:val="none"/>
          <w:u w:val="single"/>
        </w:rPr>
        <w:t xml:space="preserve">   </w:t>
      </w:r>
      <w:r>
        <w:rPr>
          <w:rFonts w:hint="eastAsia"/>
          <w:color w:val="auto"/>
          <w:highlight w:val="none"/>
          <w:u w:val="single"/>
          <w:lang w:val="en-US" w:eastAsia="zh-CN"/>
        </w:rPr>
        <w:t>12</w:t>
      </w:r>
      <w:r>
        <w:rPr>
          <w:color w:val="auto"/>
          <w:highlight w:val="none"/>
          <w:u w:val="single"/>
        </w:rPr>
        <w:t xml:space="preserve">    </w:t>
      </w:r>
      <w:r>
        <w:rPr>
          <w:rFonts w:hint="eastAsia" w:hAnsi="宋体" w:cs="宋体"/>
          <w:color w:val="auto"/>
          <w:highlight w:val="none"/>
        </w:rPr>
        <w:t>个月（最长不超过</w:t>
      </w:r>
      <w:r>
        <w:rPr>
          <w:rFonts w:hAnsi="宋体"/>
          <w:color w:val="auto"/>
          <w:highlight w:val="none"/>
        </w:rPr>
        <w:t>24</w:t>
      </w:r>
      <w:r>
        <w:rPr>
          <w:rFonts w:hint="eastAsia" w:hAnsi="宋体" w:cs="宋体"/>
          <w:color w:val="auto"/>
          <w:highlight w:val="none"/>
        </w:rPr>
        <w:t>个月），缺陷责任期自工程竣工验收合格之日起计算。单位工程先于全部工程进行验收，单位工程缺陷责任期自单位工程验收合格之日起算。</w:t>
      </w:r>
    </w:p>
    <w:p w14:paraId="058175FF">
      <w:pPr>
        <w:spacing w:line="360" w:lineRule="auto"/>
        <w:ind w:firstLine="420"/>
        <w:rPr>
          <w:rFonts w:hAnsi="宋体"/>
          <w:color w:val="auto"/>
          <w:highlight w:val="none"/>
        </w:rPr>
      </w:pPr>
      <w:r>
        <w:rPr>
          <w:rFonts w:hint="eastAsia" w:hAnsi="宋体" w:cs="宋体"/>
          <w:color w:val="auto"/>
          <w:highlight w:val="none"/>
        </w:rPr>
        <w:t>缺陷责任期</w:t>
      </w:r>
      <w:r>
        <w:rPr>
          <w:rFonts w:hint="eastAsia" w:hAnsi="宋体" w:cs="宋体"/>
          <w:color w:val="auto"/>
          <w:highlight w:val="none"/>
          <w:u w:val="single"/>
        </w:rPr>
        <w:t>满</w:t>
      </w:r>
      <w:r>
        <w:rPr>
          <w:rFonts w:hint="eastAsia" w:ascii="仿宋_GB2312" w:hAnsi="宋体"/>
          <w:color w:val="auto"/>
          <w:highlight w:val="none"/>
        </w:rPr>
        <w:t>之日起</w:t>
      </w:r>
      <w:r>
        <w:rPr>
          <w:rFonts w:hint="eastAsia" w:ascii="仿宋_GB2312" w:hAnsi="宋体"/>
          <w:color w:val="auto"/>
          <w:highlight w:val="none"/>
          <w:u w:val="single"/>
        </w:rPr>
        <w:t xml:space="preserve"> </w:t>
      </w:r>
      <w:r>
        <w:rPr>
          <w:rFonts w:ascii="仿宋_GB2312" w:hAnsi="宋体"/>
          <w:color w:val="auto"/>
          <w:highlight w:val="none"/>
          <w:u w:val="single"/>
        </w:rPr>
        <w:t xml:space="preserve">  </w:t>
      </w:r>
      <w:r>
        <w:rPr>
          <w:rFonts w:hint="eastAsia" w:ascii="仿宋_GB2312" w:hAnsi="宋体"/>
          <w:color w:val="auto"/>
          <w:highlight w:val="none"/>
          <w:u w:val="single"/>
        </w:rPr>
        <w:t xml:space="preserve"> </w:t>
      </w:r>
      <w:r>
        <w:rPr>
          <w:rFonts w:hint="eastAsia" w:ascii="仿宋_GB2312" w:hAnsi="宋体"/>
          <w:color w:val="auto"/>
          <w:highlight w:val="none"/>
        </w:rPr>
        <w:t>天</w:t>
      </w:r>
      <w:r>
        <w:rPr>
          <w:rFonts w:hint="eastAsia" w:hAnsi="宋体" w:cs="宋体"/>
          <w:color w:val="auto"/>
          <w:highlight w:val="none"/>
          <w:u w:val="single"/>
        </w:rPr>
        <w:t>（按</w:t>
      </w:r>
      <w:r>
        <w:rPr>
          <w:rFonts w:hAnsi="宋体" w:cs="宋体"/>
          <w:color w:val="auto"/>
          <w:highlight w:val="none"/>
          <w:u w:val="single"/>
        </w:rPr>
        <w:t>合同约定期限）</w:t>
      </w:r>
      <w:r>
        <w:rPr>
          <w:rFonts w:hint="eastAsia" w:hAnsi="宋体" w:cs="宋体"/>
          <w:color w:val="auto"/>
          <w:highlight w:val="none"/>
          <w:u w:val="single"/>
        </w:rPr>
        <w:t>，</w:t>
      </w:r>
      <w:r>
        <w:rPr>
          <w:rFonts w:hint="eastAsia" w:hAnsi="宋体" w:cs="宋体"/>
          <w:color w:val="auto"/>
          <w:highlight w:val="none"/>
        </w:rPr>
        <w:t>发包人应退还剩余的质量保证金。</w:t>
      </w:r>
    </w:p>
    <w:p w14:paraId="6DE10FD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四、质量保修责任</w:t>
      </w:r>
    </w:p>
    <w:p w14:paraId="45DDD323">
      <w:pPr>
        <w:spacing w:line="360" w:lineRule="auto"/>
        <w:ind w:left="105" w:leftChars="50" w:firstLine="430" w:firstLineChars="205"/>
        <w:rPr>
          <w:rFonts w:hAnsi="宋体"/>
          <w:color w:val="auto"/>
          <w:highlight w:val="none"/>
        </w:rPr>
      </w:pPr>
      <w:r>
        <w:rPr>
          <w:color w:val="auto"/>
          <w:highlight w:val="none"/>
        </w:rPr>
        <w:t>1</w:t>
      </w:r>
      <w:r>
        <w:rPr>
          <w:rFonts w:hint="eastAsia" w:hAnsi="宋体" w:cs="宋体"/>
          <w:color w:val="auto"/>
          <w:highlight w:val="none"/>
        </w:rPr>
        <w:t>．属于保修范围、内容的项目，承包人应当在接到保修通知之日起</w:t>
      </w:r>
      <w:r>
        <w:rPr>
          <w:color w:val="auto"/>
          <w:highlight w:val="none"/>
          <w:u w:val="single"/>
        </w:rPr>
        <w:t xml:space="preserve">      </w:t>
      </w:r>
      <w:r>
        <w:rPr>
          <w:rFonts w:hint="eastAsia" w:hAnsi="宋体" w:cs="宋体"/>
          <w:color w:val="auto"/>
          <w:highlight w:val="none"/>
        </w:rPr>
        <w:t>天内派人保修。承包人不在约定期限内派人保修的，发包人可以委托他人修理，修理费用从质量保证金内扣除。</w:t>
      </w:r>
    </w:p>
    <w:p w14:paraId="28AFE909">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．发生紧急事故需抢修的，承包人在接到事故通知后，应当立即到达事故现场抢修。</w:t>
      </w:r>
    </w:p>
    <w:p w14:paraId="38B7120F">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10BDAD5">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．质量保修完成后，由发包人组织验收。</w:t>
      </w:r>
    </w:p>
    <w:p w14:paraId="5100EB8F">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五、保修费用</w:t>
      </w:r>
    </w:p>
    <w:p w14:paraId="207C1ABB">
      <w:pPr>
        <w:tabs>
          <w:tab w:val="left" w:pos="7380"/>
        </w:tabs>
        <w:spacing w:line="360" w:lineRule="auto"/>
        <w:ind w:firstLine="420"/>
        <w:rPr>
          <w:rFonts w:hAnsi="宋体"/>
          <w:color w:val="auto"/>
          <w:highlight w:val="none"/>
        </w:rPr>
      </w:pPr>
      <w:r>
        <w:rPr>
          <w:rFonts w:hint="eastAsia" w:hAnsi="宋体" w:cs="宋体"/>
          <w:color w:val="auto"/>
          <w:highlight w:val="none"/>
        </w:rPr>
        <w:t>保修费用由造成质量缺陷的责任方承担。</w:t>
      </w:r>
    </w:p>
    <w:p w14:paraId="6B6E3096">
      <w:pPr>
        <w:spacing w:line="360" w:lineRule="auto"/>
        <w:ind w:firstLine="420"/>
        <w:rPr>
          <w:rFonts w:ascii="黑体" w:hAnsi="宋体" w:eastAsia="黑体" w:cs="黑体"/>
          <w:color w:val="auto"/>
          <w:highlight w:val="none"/>
        </w:rPr>
      </w:pPr>
      <w:r>
        <w:rPr>
          <w:rFonts w:hint="eastAsia" w:ascii="黑体" w:hAnsi="宋体" w:eastAsia="黑体" w:cs="黑体"/>
          <w:color w:val="auto"/>
          <w:highlight w:val="none"/>
        </w:rPr>
        <w:t>六、双方约定的其他工程质量保修事项：</w:t>
      </w:r>
      <w:r>
        <w:rPr>
          <w:rFonts w:ascii="黑体" w:hAnsi="宋体" w:eastAsia="黑体" w:cs="黑体"/>
          <w:color w:val="auto"/>
          <w:highlight w:val="none"/>
        </w:rPr>
        <w:t xml:space="preserve"> </w:t>
      </w:r>
    </w:p>
    <w:p w14:paraId="57A649B7">
      <w:pPr>
        <w:spacing w:line="360" w:lineRule="auto"/>
        <w:ind w:firstLine="420" w:firstLineChars="200"/>
        <w:jc w:val="left"/>
        <w:rPr>
          <w:color w:val="auto"/>
          <w:highlight w:val="none"/>
        </w:rPr>
      </w:pPr>
      <w:r>
        <w:rPr>
          <w:color w:val="auto"/>
          <w:highlight w:val="none"/>
          <w:u w:val="single"/>
        </w:rPr>
        <w:t xml:space="preserve">                                                                                                                                                         </w:t>
      </w:r>
      <w:r>
        <w:rPr>
          <w:rFonts w:hint="eastAsia" w:hAnsi="宋体" w:cs="宋体"/>
          <w:color w:val="auto"/>
          <w:highlight w:val="none"/>
        </w:rPr>
        <w:t>。</w:t>
      </w:r>
    </w:p>
    <w:p w14:paraId="57A9E891">
      <w:pPr>
        <w:spacing w:line="360" w:lineRule="auto"/>
        <w:ind w:firstLine="399" w:firstLineChars="190"/>
        <w:rPr>
          <w:color w:val="auto"/>
          <w:highlight w:val="none"/>
        </w:rPr>
      </w:pPr>
      <w:r>
        <w:rPr>
          <w:rFonts w:hint="eastAsia" w:hAnsi="宋体" w:cs="宋体"/>
          <w:color w:val="auto"/>
          <w:highlight w:val="none"/>
        </w:rPr>
        <w:t>工程质量保修书由发包人、承包人在工程竣工验收前共同签署，作为施工合同附件，其有效期限至保修期满。</w:t>
      </w:r>
    </w:p>
    <w:p w14:paraId="2FF7390B">
      <w:pPr>
        <w:spacing w:line="360" w:lineRule="auto"/>
        <w:ind w:firstLine="420"/>
        <w:rPr>
          <w:color w:val="auto"/>
          <w:highlight w:val="none"/>
        </w:rPr>
      </w:pPr>
    </w:p>
    <w:p w14:paraId="3BAC9492">
      <w:pPr>
        <w:spacing w:line="360" w:lineRule="auto"/>
        <w:rPr>
          <w:color w:val="auto"/>
          <w:highlight w:val="none"/>
        </w:rPr>
      </w:pPr>
      <w:r>
        <w:rPr>
          <w:rFonts w:hAnsi="宋体"/>
          <w:color w:val="auto"/>
          <w:highlight w:val="none"/>
        </w:rPr>
        <w:t>发包人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承包人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p>
    <w:p w14:paraId="27DC6215">
      <w:pPr>
        <w:spacing w:line="360" w:lineRule="auto"/>
        <w:rPr>
          <w:color w:val="auto"/>
          <w:highlight w:val="none"/>
        </w:rPr>
      </w:pPr>
      <w:r>
        <w:rPr>
          <w:rFonts w:hAnsi="宋体"/>
          <w:color w:val="auto"/>
          <w:highlight w:val="none"/>
        </w:rPr>
        <w:t>地</w:t>
      </w:r>
      <w:r>
        <w:rPr>
          <w:color w:val="auto"/>
          <w:highlight w:val="none"/>
        </w:rPr>
        <w:t xml:space="preserve">  </w:t>
      </w:r>
      <w:r>
        <w:rPr>
          <w:rFonts w:hAnsi="宋体"/>
          <w:color w:val="auto"/>
          <w:highlight w:val="none"/>
        </w:rPr>
        <w:t>址：</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地</w:t>
      </w:r>
      <w:r>
        <w:rPr>
          <w:color w:val="auto"/>
          <w:highlight w:val="none"/>
        </w:rPr>
        <w:t xml:space="preserve">  </w:t>
      </w:r>
      <w:r>
        <w:rPr>
          <w:rFonts w:hAnsi="宋体"/>
          <w:color w:val="auto"/>
          <w:highlight w:val="none"/>
        </w:rPr>
        <w:t>址：</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rFonts w:ascii="宋体" w:hAnsi="宋体"/>
          <w:color w:val="auto"/>
          <w:highlight w:val="none"/>
          <w:u w:val="single"/>
        </w:rPr>
        <w:t></w:t>
      </w:r>
    </w:p>
    <w:p w14:paraId="278E983F">
      <w:pPr>
        <w:spacing w:line="360" w:lineRule="auto"/>
        <w:rPr>
          <w:color w:val="auto"/>
          <w:highlight w:val="none"/>
        </w:rPr>
      </w:pP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3DD76819">
      <w:pPr>
        <w:spacing w:line="360" w:lineRule="auto"/>
        <w:rPr>
          <w:color w:val="auto"/>
          <w:highlight w:val="none"/>
        </w:rPr>
      </w:pP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C9822BC">
      <w:pPr>
        <w:spacing w:line="360" w:lineRule="auto"/>
        <w:rPr>
          <w:color w:val="auto"/>
          <w:highlight w:val="none"/>
        </w:rPr>
      </w:pP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4912971">
      <w:pPr>
        <w:spacing w:line="360" w:lineRule="auto"/>
        <w:rPr>
          <w:color w:val="auto"/>
          <w:highlight w:val="none"/>
        </w:rPr>
      </w:pP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rFonts w:ascii="宋体" w:hAnsi="宋体"/>
          <w:color w:val="auto"/>
          <w:highlight w:val="none"/>
          <w:u w:val="single"/>
        </w:rPr>
        <w:t></w:t>
      </w:r>
    </w:p>
    <w:p w14:paraId="681EC9EB">
      <w:pPr>
        <w:spacing w:line="360" w:lineRule="auto"/>
        <w:rPr>
          <w:color w:val="auto"/>
          <w:highlight w:val="none"/>
        </w:rPr>
      </w:pP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72A2A07">
      <w:pPr>
        <w:tabs>
          <w:tab w:val="left" w:pos="2880"/>
          <w:tab w:val="left" w:pos="3060"/>
          <w:tab w:val="left" w:pos="4500"/>
        </w:tabs>
        <w:spacing w:line="360" w:lineRule="auto"/>
        <w:rPr>
          <w:color w:val="auto"/>
          <w:highlight w:val="none"/>
        </w:rPr>
      </w:pP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63C2130">
      <w:pPr>
        <w:tabs>
          <w:tab w:val="left" w:pos="7200"/>
          <w:tab w:val="left" w:pos="7380"/>
          <w:tab w:val="left" w:pos="7560"/>
        </w:tabs>
        <w:spacing w:line="360" w:lineRule="auto"/>
        <w:rPr>
          <w:color w:val="auto"/>
          <w:highlight w:val="none"/>
        </w:rPr>
      </w:pPr>
      <w:r>
        <w:rPr>
          <w:rFonts w:hAnsi="宋体"/>
          <w:color w:val="auto"/>
          <w:highlight w:val="none"/>
        </w:rPr>
        <w:t>邮政编码：</w:t>
      </w:r>
      <w:r>
        <w:rPr>
          <w:color w:val="auto"/>
          <w:highlight w:val="none"/>
          <w:u w:val="single"/>
        </w:rPr>
        <w:t xml:space="preserve"> </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邮政编码：</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7C576B0">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481153FA">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3F5EA624">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05332032">
      <w:pPr>
        <w:pStyle w:val="156"/>
        <w:spacing w:before="120" w:beforeLines="50" w:after="120" w:afterLines="50" w:line="440" w:lineRule="exact"/>
        <w:jc w:val="center"/>
        <w:rPr>
          <w:rStyle w:val="45"/>
          <w:rFonts w:ascii="黑体" w:hAnsi="Times New Roman" w:eastAsia="黑体" w:cs="Times New Roman"/>
          <w:color w:val="auto"/>
          <w:sz w:val="32"/>
          <w:szCs w:val="32"/>
          <w:highlight w:val="none"/>
        </w:rPr>
      </w:pPr>
      <w:r>
        <w:rPr>
          <w:rStyle w:val="45"/>
          <w:rFonts w:hint="eastAsia" w:ascii="黑体" w:hAnsi="宋体" w:eastAsia="黑体" w:cs="黑体"/>
          <w:color w:val="auto"/>
          <w:sz w:val="32"/>
          <w:szCs w:val="32"/>
          <w:highlight w:val="none"/>
        </w:rPr>
        <w:t>工程质量保修书（市政公用工程）</w:t>
      </w:r>
    </w:p>
    <w:p w14:paraId="48B956B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93893E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B501E77">
      <w:pPr>
        <w:pStyle w:val="156"/>
        <w:spacing w:line="360" w:lineRule="auto"/>
        <w:rPr>
          <w:rStyle w:val="45"/>
          <w:rFonts w:ascii="宋体" w:hAnsi="Times New Roman" w:eastAsia="宋体" w:cs="Times New Roman"/>
          <w:color w:val="auto"/>
          <w:szCs w:val="21"/>
          <w:highlight w:val="none"/>
        </w:rPr>
      </w:pPr>
    </w:p>
    <w:p w14:paraId="292D26EC">
      <w:pPr>
        <w:pStyle w:val="156"/>
        <w:spacing w:line="360" w:lineRule="auto"/>
        <w:ind w:firstLine="42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发包人和承包人根据《中华人民共和国建筑法》和《建设工程质量管理条例》，经协商一致就</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（工程全称）签订工程质量保修书。</w:t>
      </w:r>
    </w:p>
    <w:p w14:paraId="0680099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一、工程质量保修范围和内容</w:t>
      </w:r>
    </w:p>
    <w:p w14:paraId="11CC5CA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承包人在质量保修期内，按照有关法律规定和合同约定，承担工程质量保修责任。</w:t>
      </w:r>
    </w:p>
    <w:p w14:paraId="3EEA9BC8">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质量保修范围包括</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，以及双方约定的其他项目。具体保修的内容，双方约定如下：</w:t>
      </w:r>
    </w:p>
    <w:p w14:paraId="4B4A76C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52E6D23B">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二、质量保修期</w:t>
      </w:r>
    </w:p>
    <w:p w14:paraId="4691C2D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根据《建设工程质量管理条例》及有关规定，工程的质量保修期如下：</w:t>
      </w:r>
    </w:p>
    <w:p w14:paraId="43886928">
      <w:pPr>
        <w:pStyle w:val="156"/>
        <w:spacing w:line="360" w:lineRule="auto"/>
        <w:ind w:firstLine="426"/>
        <w:rPr>
          <w:rStyle w:val="45"/>
          <w:rFonts w:ascii="Times New Roman"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桥梁工程为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年（建议桥梁隧道主体结构工程为设计文件规定的合理使用年限）；</w:t>
      </w:r>
    </w:p>
    <w:p w14:paraId="42F2159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2</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道路工程为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年（建议路基、路面、桥面为</w:t>
      </w:r>
      <w:r>
        <w:rPr>
          <w:rStyle w:val="45"/>
          <w:rFonts w:ascii="Times New Roman" w:hAnsi="Times New Roman" w:eastAsia="宋体" w:cs="Times New Roman"/>
          <w:color w:val="auto"/>
          <w:szCs w:val="21"/>
          <w:highlight w:val="none"/>
        </w:rPr>
        <w:t>2</w:t>
      </w:r>
      <w:r>
        <w:rPr>
          <w:rStyle w:val="45"/>
          <w:rFonts w:hint="eastAsia" w:ascii="Times New Roman" w:hAnsi="Times New Roman" w:eastAsia="宋体" w:cs="宋体"/>
          <w:color w:val="auto"/>
          <w:szCs w:val="21"/>
          <w:highlight w:val="none"/>
        </w:rPr>
        <w:t>年）；</w:t>
      </w:r>
    </w:p>
    <w:p w14:paraId="2DB0D0DF">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3</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排水（雨水）工程为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年（建议道路工程中的排水工程为</w:t>
      </w:r>
      <w:r>
        <w:rPr>
          <w:rStyle w:val="45"/>
          <w:rFonts w:ascii="Times New Roman" w:hAnsi="Times New Roman" w:eastAsia="宋体" w:cs="Times New Roman"/>
          <w:color w:val="auto"/>
          <w:szCs w:val="21"/>
          <w:highlight w:val="none"/>
        </w:rPr>
        <w:t>3</w:t>
      </w:r>
      <w:r>
        <w:rPr>
          <w:rStyle w:val="45"/>
          <w:rFonts w:hint="eastAsia" w:ascii="Times New Roman" w:hAnsi="Times New Roman" w:eastAsia="宋体" w:cs="宋体"/>
          <w:color w:val="auto"/>
          <w:szCs w:val="21"/>
          <w:highlight w:val="none"/>
        </w:rPr>
        <w:t>年）；</w:t>
      </w:r>
    </w:p>
    <w:p w14:paraId="24EF7358">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4</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绿化工程为</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宋体"/>
          <w:color w:val="auto"/>
          <w:szCs w:val="21"/>
          <w:highlight w:val="none"/>
          <w:u w:val="single"/>
        </w:rPr>
        <w:t>单位工程竣工验收合格后</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u w:val="single"/>
        </w:rPr>
        <w:t>年</w:t>
      </w:r>
      <w:r>
        <w:rPr>
          <w:rStyle w:val="45"/>
          <w:rFonts w:hint="eastAsia" w:ascii="Times New Roman" w:hAnsi="Times New Roman" w:eastAsia="宋体" w:cs="宋体"/>
          <w:color w:val="auto"/>
          <w:szCs w:val="21"/>
          <w:highlight w:val="none"/>
        </w:rPr>
        <w:t>；</w:t>
      </w:r>
    </w:p>
    <w:p w14:paraId="5BCAE770">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 xml:space="preserve">5.  </w:t>
      </w:r>
      <w:r>
        <w:rPr>
          <w:rStyle w:val="45"/>
          <w:rFonts w:hint="eastAsia" w:ascii="Times New Roman" w:hAnsi="Times New Roman" w:eastAsia="宋体" w:cs="宋体"/>
          <w:color w:val="auto"/>
          <w:szCs w:val="21"/>
          <w:highlight w:val="none"/>
        </w:rPr>
        <w:t>地下防水工程为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年（建议为</w:t>
      </w:r>
      <w:r>
        <w:rPr>
          <w:rStyle w:val="45"/>
          <w:rFonts w:ascii="Times New Roman" w:hAnsi="Times New Roman" w:eastAsia="宋体" w:cs="Times New Roman"/>
          <w:color w:val="auto"/>
          <w:szCs w:val="21"/>
          <w:highlight w:val="none"/>
        </w:rPr>
        <w:t>5</w:t>
      </w:r>
      <w:r>
        <w:rPr>
          <w:rStyle w:val="45"/>
          <w:rFonts w:hint="eastAsia" w:ascii="Times New Roman" w:hAnsi="Times New Roman" w:eastAsia="宋体" w:cs="宋体"/>
          <w:color w:val="auto"/>
          <w:szCs w:val="21"/>
          <w:highlight w:val="none"/>
        </w:rPr>
        <w:t>年）；</w:t>
      </w:r>
    </w:p>
    <w:p w14:paraId="306950F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6</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其他附属工程为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w:t>
      </w:r>
    </w:p>
    <w:p w14:paraId="09935C4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7</w:t>
      </w:r>
      <w:r>
        <w:rPr>
          <w:rStyle w:val="45"/>
          <w:rFonts w:hint="eastAsia" w:ascii="宋体" w:hAnsi="宋体" w:eastAsia="宋体" w:cs="宋体"/>
          <w:color w:val="auto"/>
          <w:szCs w:val="21"/>
          <w:highlight w:val="none"/>
        </w:rPr>
        <w:t>．其他项目保修期限约定如下：</w:t>
      </w:r>
    </w:p>
    <w:p w14:paraId="4526566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304E0C45">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质量保修期自工程竣工验收合格之日起计算。</w:t>
      </w:r>
    </w:p>
    <w:p w14:paraId="2C077B6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三、缺陷责任期</w:t>
      </w:r>
    </w:p>
    <w:p w14:paraId="53AB7C7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工程缺陷责任期为</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个月</w:t>
      </w:r>
      <w:r>
        <w:rPr>
          <w:rStyle w:val="45"/>
          <w:rFonts w:hint="eastAsia" w:ascii="Times New Roman" w:hAnsi="宋体" w:eastAsia="宋体" w:cs="宋体"/>
          <w:color w:val="auto"/>
          <w:szCs w:val="21"/>
          <w:highlight w:val="none"/>
        </w:rPr>
        <w:t>（最长不超过</w:t>
      </w:r>
      <w:r>
        <w:rPr>
          <w:rStyle w:val="45"/>
          <w:rFonts w:ascii="Times New Roman" w:hAnsi="宋体" w:eastAsia="宋体" w:cs="Times New Roman"/>
          <w:color w:val="auto"/>
          <w:szCs w:val="21"/>
          <w:highlight w:val="none"/>
        </w:rPr>
        <w:t>24</w:t>
      </w:r>
      <w:r>
        <w:rPr>
          <w:rStyle w:val="45"/>
          <w:rFonts w:hint="eastAsia" w:ascii="Times New Roman" w:hAnsi="宋体" w:eastAsia="宋体" w:cs="宋体"/>
          <w:color w:val="auto"/>
          <w:szCs w:val="21"/>
          <w:highlight w:val="none"/>
        </w:rPr>
        <w:t>个月）</w:t>
      </w:r>
      <w:r>
        <w:rPr>
          <w:rStyle w:val="45"/>
          <w:rFonts w:hint="eastAsia" w:ascii="宋体" w:hAnsi="宋体" w:eastAsia="宋体" w:cs="宋体"/>
          <w:color w:val="auto"/>
          <w:szCs w:val="21"/>
          <w:highlight w:val="none"/>
        </w:rPr>
        <w:t>，缺陷责任期自工程竣工验收合格之日起计算。单位工程先于全部工程进行验收，单位工程缺陷责任期自单位工程验收合格之日起算。</w:t>
      </w:r>
    </w:p>
    <w:p w14:paraId="618FCC63">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缺陷责任期</w:t>
      </w:r>
      <w:r>
        <w:rPr>
          <w:rStyle w:val="45"/>
          <w:rFonts w:hint="eastAsia" w:ascii="Times New Roman" w:hAnsi="宋体" w:eastAsia="宋体" w:cs="宋体"/>
          <w:color w:val="auto"/>
          <w:szCs w:val="21"/>
          <w:highlight w:val="none"/>
          <w:u w:val="single"/>
        </w:rPr>
        <w:t>满</w:t>
      </w:r>
      <w:r>
        <w:rPr>
          <w:rStyle w:val="45"/>
          <w:rFonts w:hint="eastAsia" w:ascii="仿宋_GB2312" w:hAnsi="宋体" w:eastAsia="宋体" w:cs="Times New Roman"/>
          <w:color w:val="auto"/>
          <w:szCs w:val="21"/>
          <w:highlight w:val="none"/>
        </w:rPr>
        <w:t>之日起</w:t>
      </w:r>
      <w:r>
        <w:rPr>
          <w:rStyle w:val="45"/>
          <w:rFonts w:hint="eastAsia" w:ascii="仿宋_GB2312" w:hAnsi="宋体" w:eastAsia="宋体" w:cs="Times New Roman"/>
          <w:color w:val="auto"/>
          <w:szCs w:val="21"/>
          <w:highlight w:val="none"/>
          <w:u w:val="single"/>
        </w:rPr>
        <w:t xml:space="preserve"> </w:t>
      </w:r>
      <w:r>
        <w:rPr>
          <w:rStyle w:val="45"/>
          <w:rFonts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rPr>
        <w:t>天</w:t>
      </w:r>
      <w:r>
        <w:rPr>
          <w:rStyle w:val="45"/>
          <w:rFonts w:hint="eastAsia" w:ascii="Times New Roman" w:hAnsi="宋体" w:eastAsia="宋体" w:cs="宋体"/>
          <w:color w:val="auto"/>
          <w:szCs w:val="21"/>
          <w:highlight w:val="none"/>
          <w:u w:val="single"/>
        </w:rPr>
        <w:t>（按</w:t>
      </w:r>
      <w:r>
        <w:rPr>
          <w:rStyle w:val="45"/>
          <w:rFonts w:ascii="Times New Roman" w:hAnsi="宋体" w:eastAsia="宋体" w:cs="宋体"/>
          <w:color w:val="auto"/>
          <w:szCs w:val="21"/>
          <w:highlight w:val="none"/>
          <w:u w:val="single"/>
        </w:rPr>
        <w:t>合同约定期限）</w:t>
      </w:r>
      <w:r>
        <w:rPr>
          <w:rStyle w:val="45"/>
          <w:rFonts w:hint="eastAsia" w:ascii="Times New Roman" w:hAnsi="宋体" w:eastAsia="宋体" w:cs="宋体"/>
          <w:color w:val="auto"/>
          <w:szCs w:val="21"/>
          <w:highlight w:val="none"/>
          <w:u w:val="single"/>
        </w:rPr>
        <w:t>，</w:t>
      </w:r>
      <w:r>
        <w:rPr>
          <w:rStyle w:val="45"/>
          <w:rFonts w:hint="eastAsia" w:ascii="宋体" w:hAnsi="宋体" w:eastAsia="宋体" w:cs="宋体"/>
          <w:color w:val="auto"/>
          <w:szCs w:val="21"/>
          <w:highlight w:val="none"/>
        </w:rPr>
        <w:t>发包人应退还剩余的质量保证金。</w:t>
      </w:r>
    </w:p>
    <w:p w14:paraId="542054DD">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四、质量保修责任</w:t>
      </w:r>
    </w:p>
    <w:p w14:paraId="4D27274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．属于保修范围、内容的项目，承包人应当在接到保修通知之日起</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天内派人保修。承包人不在约定期限内派人保修的，发包人可以委托他人修理</w:t>
      </w:r>
      <w:r>
        <w:rPr>
          <w:rStyle w:val="45"/>
          <w:rFonts w:hint="eastAsia" w:ascii="Times New Roman" w:hAnsi="宋体" w:eastAsia="宋体" w:cs="宋体"/>
          <w:color w:val="auto"/>
          <w:szCs w:val="21"/>
          <w:highlight w:val="none"/>
        </w:rPr>
        <w:t>，修理费用从质量保证金内扣除。</w:t>
      </w:r>
    </w:p>
    <w:p w14:paraId="0A1CE499">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2</w:t>
      </w:r>
      <w:r>
        <w:rPr>
          <w:rStyle w:val="45"/>
          <w:rFonts w:hint="eastAsia" w:ascii="宋体" w:hAnsi="宋体" w:eastAsia="宋体" w:cs="宋体"/>
          <w:color w:val="auto"/>
          <w:szCs w:val="21"/>
          <w:highlight w:val="none"/>
        </w:rPr>
        <w:t>．发生紧急事故需抢修的，承包人在接到事故通知后，应当立即到达事故现场抢修。</w:t>
      </w:r>
    </w:p>
    <w:p w14:paraId="434AB60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3</w:t>
      </w:r>
      <w:r>
        <w:rPr>
          <w:rStyle w:val="45"/>
          <w:rFonts w:hint="eastAsia" w:ascii="宋体" w:hAnsi="宋体" w:eastAsia="宋体" w:cs="宋体"/>
          <w:color w:val="auto"/>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5EACB7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4</w:t>
      </w:r>
      <w:r>
        <w:rPr>
          <w:rStyle w:val="45"/>
          <w:rFonts w:hint="eastAsia" w:ascii="宋体" w:hAnsi="宋体" w:eastAsia="宋体" w:cs="宋体"/>
          <w:color w:val="auto"/>
          <w:szCs w:val="21"/>
          <w:highlight w:val="none"/>
        </w:rPr>
        <w:t>．质量保修完成后，由发包人组织验收。</w:t>
      </w:r>
    </w:p>
    <w:p w14:paraId="1A80E016">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五、保修费用</w:t>
      </w:r>
    </w:p>
    <w:p w14:paraId="2133073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保修费用由造成质量缺陷的责任方承担。</w:t>
      </w:r>
    </w:p>
    <w:p w14:paraId="508C8923">
      <w:pPr>
        <w:pStyle w:val="156"/>
        <w:spacing w:line="360" w:lineRule="auto"/>
        <w:ind w:firstLine="420" w:firstLineChars="200"/>
        <w:rPr>
          <w:rStyle w:val="45"/>
          <w:rFonts w:ascii="黑体" w:hAnsi="宋体" w:eastAsia="黑体" w:cs="黑体"/>
          <w:color w:val="auto"/>
          <w:szCs w:val="21"/>
          <w:highlight w:val="none"/>
          <w:u w:val="single"/>
        </w:rPr>
      </w:pPr>
      <w:r>
        <w:rPr>
          <w:rStyle w:val="45"/>
          <w:rFonts w:hint="eastAsia" w:ascii="黑体" w:hAnsi="宋体" w:eastAsia="黑体" w:cs="黑体"/>
          <w:color w:val="auto"/>
          <w:szCs w:val="21"/>
          <w:highlight w:val="none"/>
        </w:rPr>
        <w:t>六、双方约定的其他工程质量保修事项：</w:t>
      </w:r>
      <w:r>
        <w:rPr>
          <w:rStyle w:val="45"/>
          <w:rFonts w:ascii="黑体" w:hAnsi="宋体" w:eastAsia="黑体" w:cs="黑体"/>
          <w:color w:val="auto"/>
          <w:szCs w:val="21"/>
          <w:highlight w:val="none"/>
          <w:u w:val="single"/>
        </w:rPr>
        <w:t xml:space="preserve">                                          </w:t>
      </w:r>
    </w:p>
    <w:p w14:paraId="4039A865">
      <w:pPr>
        <w:pStyle w:val="156"/>
        <w:spacing w:line="360" w:lineRule="auto"/>
        <w:jc w:val="left"/>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6313F589">
      <w:pPr>
        <w:pStyle w:val="156"/>
        <w:spacing w:line="360" w:lineRule="auto"/>
        <w:ind w:firstLine="399" w:firstLineChars="19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工程质量保修书由发包人、承包人在工程竣工验收前共同签署，作为施工合同附件，其有效期限至保修期满。</w:t>
      </w:r>
    </w:p>
    <w:p w14:paraId="16202992">
      <w:pPr>
        <w:pStyle w:val="156"/>
        <w:spacing w:line="360" w:lineRule="auto"/>
        <w:ind w:firstLine="420"/>
        <w:rPr>
          <w:rStyle w:val="45"/>
          <w:rFonts w:ascii="宋体" w:hAnsi="Times New Roman" w:eastAsia="宋体" w:cs="Times New Roman"/>
          <w:color w:val="auto"/>
          <w:szCs w:val="21"/>
          <w:highlight w:val="none"/>
        </w:rPr>
      </w:pPr>
    </w:p>
    <w:p w14:paraId="18B78262">
      <w:pPr>
        <w:pStyle w:val="156"/>
        <w:spacing w:line="360" w:lineRule="auto"/>
        <w:ind w:firstLine="420"/>
        <w:rPr>
          <w:rStyle w:val="45"/>
          <w:rFonts w:ascii="宋体" w:hAnsi="Times New Roman" w:eastAsia="宋体" w:cs="Times New Roman"/>
          <w:color w:val="auto"/>
          <w:szCs w:val="21"/>
          <w:highlight w:val="none"/>
        </w:rPr>
      </w:pPr>
    </w:p>
    <w:p w14:paraId="3605081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发包人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承包人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AEEA720">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33FE6B7E">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4A189F6">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5CD9835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6122B843">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054008D5">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6A0345B">
      <w:pPr>
        <w:pStyle w:val="156"/>
        <w:tabs>
          <w:tab w:val="left" w:pos="2880"/>
          <w:tab w:val="left" w:pos="3060"/>
          <w:tab w:val="left" w:pos="4500"/>
        </w:tabs>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2FA65F2B">
      <w:pPr>
        <w:pStyle w:val="156"/>
        <w:spacing w:line="360" w:lineRule="auto"/>
        <w:rPr>
          <w:rStyle w:val="45"/>
          <w:rFonts w:ascii="宋体" w:hAnsi="Times New Roman" w:eastAsia="宋体" w:cs="Times New Roman"/>
          <w:color w:val="auto"/>
          <w:szCs w:val="21"/>
          <w:highlight w:val="none"/>
          <w:u w:val="single"/>
        </w:rPr>
      </w:pPr>
      <w:r>
        <w:rPr>
          <w:rStyle w:val="45"/>
          <w:rFonts w:ascii="Times New Roman" w:hAnsi="宋体" w:eastAsia="宋体" w:cs="Times New Roman"/>
          <w:color w:val="auto"/>
          <w:szCs w:val="21"/>
          <w:highlight w:val="none"/>
        </w:rPr>
        <w:t>邮政编码：</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邮政编码：</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p>
    <w:p w14:paraId="3DBB93F1">
      <w:pPr>
        <w:pStyle w:val="156"/>
        <w:spacing w:line="360" w:lineRule="auto"/>
        <w:rPr>
          <w:rStyle w:val="45"/>
          <w:rFonts w:ascii="宋体" w:hAnsi="Times New Roman" w:eastAsia="宋体" w:cs="Times New Roman"/>
          <w:color w:val="auto"/>
          <w:szCs w:val="21"/>
          <w:highlight w:val="none"/>
        </w:rPr>
      </w:pPr>
    </w:p>
    <w:p w14:paraId="7657EEC0">
      <w:pPr>
        <w:pStyle w:val="156"/>
        <w:spacing w:line="360" w:lineRule="auto"/>
        <w:rPr>
          <w:rStyle w:val="45"/>
          <w:rFonts w:ascii="宋体" w:hAnsi="Times New Roman" w:eastAsia="宋体" w:cs="Times New Roman"/>
          <w:color w:val="auto"/>
          <w:szCs w:val="21"/>
          <w:highlight w:val="none"/>
        </w:rPr>
      </w:pPr>
    </w:p>
    <w:p w14:paraId="41F738B4">
      <w:pPr>
        <w:pStyle w:val="156"/>
        <w:spacing w:line="360" w:lineRule="auto"/>
        <w:rPr>
          <w:rStyle w:val="45"/>
          <w:rFonts w:ascii="宋体" w:hAnsi="Times New Roman" w:eastAsia="宋体" w:cs="Times New Roman"/>
          <w:color w:val="auto"/>
          <w:szCs w:val="21"/>
          <w:highlight w:val="none"/>
        </w:rPr>
      </w:pPr>
    </w:p>
    <w:p w14:paraId="03EF9DEC">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t>附件</w:t>
      </w:r>
      <w:r>
        <w:rPr>
          <w:rStyle w:val="45"/>
          <w:rFonts w:hint="eastAsia" w:ascii="Times New Roman" w:hAnsi="Times New Roman" w:eastAsia="仿宋_GB2312" w:cs="Times New Roman"/>
          <w:color w:val="auto"/>
          <w:sz w:val="30"/>
          <w:szCs w:val="30"/>
          <w:highlight w:val="none"/>
        </w:rPr>
        <w:t>3</w:t>
      </w:r>
      <w:r>
        <w:rPr>
          <w:rStyle w:val="45"/>
          <w:rFonts w:ascii="Times New Roman" w:hAnsi="Times New Roman" w:eastAsia="仿宋_GB2312" w:cs="Times New Roman"/>
          <w:color w:val="auto"/>
          <w:sz w:val="30"/>
          <w:szCs w:val="30"/>
          <w:highlight w:val="none"/>
        </w:rPr>
        <w:t>：</w:t>
      </w:r>
    </w:p>
    <w:p w14:paraId="04BCE498">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ascii="Times New Roman" w:hAnsi="Times New Roman" w:eastAsia="黑体" w:cs="Times New Roman"/>
          <w:color w:val="auto"/>
          <w:sz w:val="30"/>
          <w:szCs w:val="30"/>
          <w:highlight w:val="none"/>
        </w:rPr>
        <w:t>主要建设工程文件目录</w:t>
      </w:r>
    </w:p>
    <w:tbl>
      <w:tblPr>
        <w:tblStyle w:val="4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7FDE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noWrap w:val="0"/>
            <w:vAlign w:val="center"/>
          </w:tcPr>
          <w:p w14:paraId="023EB9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文件名称</w:t>
            </w:r>
          </w:p>
        </w:tc>
        <w:tc>
          <w:tcPr>
            <w:tcW w:w="1276" w:type="dxa"/>
            <w:tcBorders>
              <w:top w:val="single" w:color="auto" w:sz="12" w:space="0"/>
              <w:bottom w:val="double" w:color="auto" w:sz="6" w:space="0"/>
            </w:tcBorders>
            <w:noWrap w:val="0"/>
            <w:vAlign w:val="center"/>
          </w:tcPr>
          <w:p w14:paraId="5B7A57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套数</w:t>
            </w:r>
          </w:p>
        </w:tc>
        <w:tc>
          <w:tcPr>
            <w:tcW w:w="1450" w:type="dxa"/>
            <w:tcBorders>
              <w:top w:val="single" w:color="auto" w:sz="12" w:space="0"/>
              <w:bottom w:val="double" w:color="auto" w:sz="6" w:space="0"/>
            </w:tcBorders>
            <w:noWrap w:val="0"/>
            <w:vAlign w:val="center"/>
          </w:tcPr>
          <w:p w14:paraId="5511DB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费用</w:t>
            </w:r>
            <w:r>
              <w:rPr>
                <w:rStyle w:val="45"/>
                <w:rFonts w:hint="eastAsia" w:ascii="Times New Roman" w:hAnsi="Times New Roman" w:eastAsia="仿宋_GB2312" w:cs="Times New Roman"/>
                <w:color w:val="auto"/>
                <w:sz w:val="28"/>
                <w:szCs w:val="30"/>
                <w:highlight w:val="none"/>
              </w:rPr>
              <w:t>（元）</w:t>
            </w:r>
          </w:p>
        </w:tc>
        <w:tc>
          <w:tcPr>
            <w:tcW w:w="1243" w:type="dxa"/>
            <w:tcBorders>
              <w:top w:val="single" w:color="auto" w:sz="12" w:space="0"/>
              <w:bottom w:val="double" w:color="auto" w:sz="6" w:space="0"/>
            </w:tcBorders>
            <w:noWrap w:val="0"/>
            <w:vAlign w:val="center"/>
          </w:tcPr>
          <w:p w14:paraId="1AB3453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质量</w:t>
            </w:r>
          </w:p>
        </w:tc>
        <w:tc>
          <w:tcPr>
            <w:tcW w:w="1450" w:type="dxa"/>
            <w:tcBorders>
              <w:top w:val="single" w:color="auto" w:sz="12" w:space="0"/>
              <w:bottom w:val="double" w:color="auto" w:sz="6" w:space="0"/>
            </w:tcBorders>
            <w:noWrap w:val="0"/>
            <w:vAlign w:val="top"/>
          </w:tcPr>
          <w:p w14:paraId="3648AD31">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移交时间</w:t>
            </w:r>
          </w:p>
        </w:tc>
        <w:tc>
          <w:tcPr>
            <w:tcW w:w="1667" w:type="dxa"/>
            <w:tcBorders>
              <w:top w:val="single" w:color="auto" w:sz="12" w:space="0"/>
              <w:bottom w:val="double" w:color="auto" w:sz="6" w:space="0"/>
            </w:tcBorders>
            <w:noWrap w:val="0"/>
            <w:vAlign w:val="top"/>
          </w:tcPr>
          <w:p w14:paraId="14A82003">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责任人</w:t>
            </w:r>
          </w:p>
        </w:tc>
      </w:tr>
      <w:tr w14:paraId="1A733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noWrap w:val="0"/>
            <w:vAlign w:val="center"/>
          </w:tcPr>
          <w:p w14:paraId="29412C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double" w:color="auto" w:sz="6" w:space="0"/>
              <w:bottom w:val="single" w:color="auto" w:sz="6" w:space="0"/>
            </w:tcBorders>
            <w:noWrap w:val="0"/>
            <w:vAlign w:val="center"/>
          </w:tcPr>
          <w:p w14:paraId="1ABE36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4A9E1F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double" w:color="auto" w:sz="6" w:space="0"/>
              <w:bottom w:val="single" w:color="auto" w:sz="6" w:space="0"/>
            </w:tcBorders>
            <w:noWrap w:val="0"/>
            <w:vAlign w:val="center"/>
          </w:tcPr>
          <w:p w14:paraId="1C048E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0E035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double" w:color="auto" w:sz="6" w:space="0"/>
              <w:bottom w:val="single" w:color="auto" w:sz="6" w:space="0"/>
            </w:tcBorders>
            <w:noWrap w:val="0"/>
            <w:vAlign w:val="center"/>
          </w:tcPr>
          <w:p w14:paraId="093224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B9F4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noWrap w:val="0"/>
            <w:vAlign w:val="center"/>
          </w:tcPr>
          <w:p w14:paraId="0F1D3B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nil"/>
            </w:tcBorders>
            <w:noWrap w:val="0"/>
            <w:vAlign w:val="center"/>
          </w:tcPr>
          <w:p w14:paraId="26ADBF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7D7EA5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nil"/>
            </w:tcBorders>
            <w:noWrap w:val="0"/>
            <w:vAlign w:val="center"/>
          </w:tcPr>
          <w:p w14:paraId="1E595D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59EC55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nil"/>
            </w:tcBorders>
            <w:noWrap w:val="0"/>
            <w:vAlign w:val="center"/>
          </w:tcPr>
          <w:p w14:paraId="3C0F505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5BDD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71AC86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37AC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F42A9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C8499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BC0B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5CFADB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720DA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CBC7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15E70D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57EA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4A1388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61A9F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A8CAD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1B5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42C70D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A8CCD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37E1F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1C2719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6C473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01B12E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45DCD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C8C7E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92BA33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3C07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7C60A6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9D46D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B8160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E57D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5BAA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2CC98E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F77C7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25B3C1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3D7C3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1ECC03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A0C0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55CCC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7A9BE8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D64F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36CBA1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1879F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BB3F9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0530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B87913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CB22A7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3878733">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34E4AF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E43E6A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14CB042">
            <w:pPr>
              <w:pStyle w:val="156"/>
              <w:rPr>
                <w:rStyle w:val="45"/>
                <w:rFonts w:ascii="Times New Roman" w:hAnsi="Times New Roman" w:eastAsia="仿宋_GB2312" w:cs="Times New Roman"/>
                <w:color w:val="auto"/>
                <w:sz w:val="30"/>
                <w:szCs w:val="30"/>
                <w:highlight w:val="none"/>
              </w:rPr>
            </w:pPr>
          </w:p>
        </w:tc>
      </w:tr>
      <w:tr w14:paraId="3B762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DA86F9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9C2AF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531B4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5C4445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7B9337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3D475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1DE91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20B05B">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E9898AF">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E2B698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193082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3A4B8EE">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746B1572">
            <w:pPr>
              <w:pStyle w:val="156"/>
              <w:rPr>
                <w:rStyle w:val="45"/>
                <w:rFonts w:ascii="Times New Roman" w:hAnsi="Times New Roman" w:eastAsia="仿宋_GB2312" w:cs="Times New Roman"/>
                <w:color w:val="auto"/>
                <w:sz w:val="30"/>
                <w:szCs w:val="30"/>
                <w:highlight w:val="none"/>
              </w:rPr>
            </w:pPr>
          </w:p>
        </w:tc>
      </w:tr>
      <w:tr w14:paraId="66E068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597FB59F">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722F925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EA9F0DD">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1BCFA6D6">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274E16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A71D1E4">
            <w:pPr>
              <w:pStyle w:val="156"/>
              <w:rPr>
                <w:rStyle w:val="45"/>
                <w:rFonts w:ascii="Times New Roman" w:hAnsi="Times New Roman" w:eastAsia="仿宋_GB2312" w:cs="Times New Roman"/>
                <w:color w:val="auto"/>
                <w:sz w:val="30"/>
                <w:szCs w:val="30"/>
                <w:highlight w:val="none"/>
              </w:rPr>
            </w:pPr>
          </w:p>
        </w:tc>
      </w:tr>
      <w:tr w14:paraId="1D962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592672">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0C8DE1E">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4D8CA52">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ADDD0D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6D56976">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B4A4EC1">
            <w:pPr>
              <w:pStyle w:val="156"/>
              <w:rPr>
                <w:rStyle w:val="45"/>
                <w:rFonts w:ascii="Times New Roman" w:hAnsi="Times New Roman" w:eastAsia="仿宋_GB2312" w:cs="Times New Roman"/>
                <w:color w:val="auto"/>
                <w:sz w:val="30"/>
                <w:szCs w:val="30"/>
                <w:highlight w:val="none"/>
              </w:rPr>
            </w:pPr>
          </w:p>
        </w:tc>
      </w:tr>
      <w:tr w14:paraId="5F9D48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87C2EED">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316E205">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BF628D8">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4064336C">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41FD6A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E4B08BB">
            <w:pPr>
              <w:pStyle w:val="156"/>
              <w:rPr>
                <w:rStyle w:val="45"/>
                <w:rFonts w:ascii="Times New Roman" w:hAnsi="Times New Roman" w:eastAsia="仿宋_GB2312" w:cs="Times New Roman"/>
                <w:color w:val="auto"/>
                <w:sz w:val="30"/>
                <w:szCs w:val="30"/>
                <w:highlight w:val="none"/>
              </w:rPr>
            </w:pPr>
          </w:p>
        </w:tc>
      </w:tr>
      <w:tr w14:paraId="689D2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51B775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2B25309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A0E56E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8F5CA03">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88549BC">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03DB58F2">
            <w:pPr>
              <w:pStyle w:val="156"/>
              <w:rPr>
                <w:rStyle w:val="45"/>
                <w:rFonts w:ascii="Times New Roman" w:hAnsi="Times New Roman" w:eastAsia="仿宋_GB2312" w:cs="Times New Roman"/>
                <w:color w:val="auto"/>
                <w:sz w:val="30"/>
                <w:szCs w:val="30"/>
                <w:highlight w:val="none"/>
              </w:rPr>
            </w:pPr>
          </w:p>
        </w:tc>
      </w:tr>
      <w:tr w14:paraId="336B4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AE8430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DE5877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AAF2F0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34F1A90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1CD6F2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145BB95">
            <w:pPr>
              <w:pStyle w:val="156"/>
              <w:rPr>
                <w:rStyle w:val="45"/>
                <w:rFonts w:ascii="Times New Roman" w:hAnsi="Times New Roman" w:eastAsia="仿宋_GB2312" w:cs="Times New Roman"/>
                <w:color w:val="auto"/>
                <w:sz w:val="30"/>
                <w:szCs w:val="30"/>
                <w:highlight w:val="none"/>
              </w:rPr>
            </w:pPr>
          </w:p>
        </w:tc>
      </w:tr>
      <w:tr w14:paraId="000E7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C08FA7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B29D06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7A251A9B">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70BD5A0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E51BD2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A2332BB">
            <w:pPr>
              <w:pStyle w:val="156"/>
              <w:rPr>
                <w:rStyle w:val="45"/>
                <w:rFonts w:ascii="Times New Roman" w:hAnsi="Times New Roman" w:eastAsia="仿宋_GB2312" w:cs="Times New Roman"/>
                <w:color w:val="auto"/>
                <w:sz w:val="30"/>
                <w:szCs w:val="30"/>
                <w:highlight w:val="none"/>
              </w:rPr>
            </w:pPr>
          </w:p>
        </w:tc>
      </w:tr>
      <w:tr w14:paraId="026FFD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2606DB1">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36090BBD">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541EB7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44D59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15983F3">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C5DC7A8">
            <w:pPr>
              <w:pStyle w:val="156"/>
              <w:rPr>
                <w:rStyle w:val="45"/>
                <w:rFonts w:ascii="Times New Roman" w:hAnsi="Times New Roman" w:eastAsia="仿宋_GB2312" w:cs="Times New Roman"/>
                <w:color w:val="auto"/>
                <w:sz w:val="30"/>
                <w:szCs w:val="30"/>
                <w:highlight w:val="none"/>
              </w:rPr>
            </w:pPr>
          </w:p>
        </w:tc>
      </w:tr>
      <w:tr w14:paraId="5F1B7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6BDD136">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82C45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BAB2B11">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951E920">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649F69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32F96B39">
            <w:pPr>
              <w:pStyle w:val="156"/>
              <w:rPr>
                <w:rStyle w:val="45"/>
                <w:rFonts w:ascii="Times New Roman" w:hAnsi="Times New Roman" w:eastAsia="仿宋_GB2312" w:cs="Times New Roman"/>
                <w:color w:val="auto"/>
                <w:sz w:val="30"/>
                <w:szCs w:val="30"/>
                <w:highlight w:val="none"/>
              </w:rPr>
            </w:pPr>
          </w:p>
        </w:tc>
      </w:tr>
    </w:tbl>
    <w:p w14:paraId="28DE3175">
      <w:pPr>
        <w:pStyle w:val="156"/>
        <w:spacing w:line="440" w:lineRule="exact"/>
        <w:rPr>
          <w:rStyle w:val="45"/>
          <w:rFonts w:hint="eastAsia" w:ascii="Times New Roman" w:hAnsi="Times New Roman" w:eastAsia="仿宋_GB2312" w:cs="Times New Roman"/>
          <w:color w:val="auto"/>
          <w:sz w:val="30"/>
          <w:szCs w:val="30"/>
          <w:highlight w:val="none"/>
        </w:rPr>
      </w:pPr>
    </w:p>
    <w:p w14:paraId="6FAE4758">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附件</w:t>
      </w:r>
      <w:r>
        <w:rPr>
          <w:rStyle w:val="45"/>
          <w:rFonts w:hint="eastAsia" w:ascii="Times New Roman" w:hAnsi="Times New Roman" w:eastAsia="仿宋_GB2312" w:cs="Times New Roman"/>
          <w:color w:val="auto"/>
          <w:sz w:val="30"/>
          <w:szCs w:val="30"/>
          <w:highlight w:val="none"/>
        </w:rPr>
        <w:t>4</w:t>
      </w:r>
      <w:r>
        <w:rPr>
          <w:rStyle w:val="45"/>
          <w:rFonts w:hint="eastAsia" w:ascii="Times New Roman" w:hAnsi="Times New Roman" w:eastAsia="仿宋_GB2312" w:cs="仿宋_GB2312"/>
          <w:color w:val="auto"/>
          <w:sz w:val="30"/>
          <w:szCs w:val="30"/>
          <w:highlight w:val="none"/>
        </w:rPr>
        <w:t>：</w:t>
      </w:r>
    </w:p>
    <w:p w14:paraId="583B59D3">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承包人用于本工程施工的机械设备表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3CD6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62" w:type="dxa"/>
            <w:noWrap w:val="0"/>
            <w:vAlign w:val="center"/>
          </w:tcPr>
          <w:p w14:paraId="04634D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序号</w:t>
            </w:r>
          </w:p>
        </w:tc>
        <w:tc>
          <w:tcPr>
            <w:tcW w:w="1418" w:type="dxa"/>
            <w:noWrap w:val="0"/>
            <w:vAlign w:val="center"/>
          </w:tcPr>
          <w:p w14:paraId="5D75BF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机械或设备名称</w:t>
            </w:r>
          </w:p>
        </w:tc>
        <w:tc>
          <w:tcPr>
            <w:tcW w:w="850" w:type="dxa"/>
            <w:noWrap w:val="0"/>
            <w:vAlign w:val="center"/>
          </w:tcPr>
          <w:p w14:paraId="1CBCFE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规格型号</w:t>
            </w:r>
          </w:p>
        </w:tc>
        <w:tc>
          <w:tcPr>
            <w:tcW w:w="1058" w:type="dxa"/>
            <w:noWrap w:val="0"/>
            <w:vAlign w:val="center"/>
          </w:tcPr>
          <w:p w14:paraId="2466F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数量</w:t>
            </w:r>
          </w:p>
        </w:tc>
        <w:tc>
          <w:tcPr>
            <w:tcW w:w="880" w:type="dxa"/>
            <w:noWrap w:val="0"/>
            <w:vAlign w:val="center"/>
          </w:tcPr>
          <w:p w14:paraId="374C54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产地</w:t>
            </w:r>
          </w:p>
        </w:tc>
        <w:tc>
          <w:tcPr>
            <w:tcW w:w="1020" w:type="dxa"/>
            <w:noWrap w:val="0"/>
            <w:vAlign w:val="center"/>
          </w:tcPr>
          <w:p w14:paraId="4B1711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制造年份</w:t>
            </w:r>
          </w:p>
        </w:tc>
        <w:tc>
          <w:tcPr>
            <w:tcW w:w="1480" w:type="dxa"/>
            <w:noWrap w:val="0"/>
            <w:vAlign w:val="center"/>
          </w:tcPr>
          <w:p w14:paraId="155CE0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额定功率（</w:t>
            </w:r>
            <w:r>
              <w:rPr>
                <w:rStyle w:val="45"/>
                <w:rFonts w:ascii="Times New Roman" w:hAnsi="Times New Roman" w:eastAsia="仿宋_GB2312" w:cs="Times New Roman"/>
                <w:color w:val="auto"/>
                <w:sz w:val="28"/>
                <w:szCs w:val="28"/>
                <w:highlight w:val="none"/>
              </w:rPr>
              <w:t>kW</w:t>
            </w:r>
            <w:r>
              <w:rPr>
                <w:rStyle w:val="45"/>
                <w:rFonts w:hint="eastAsia" w:ascii="Times New Roman" w:hAnsi="Times New Roman" w:eastAsia="仿宋_GB2312" w:cs="仿宋_GB2312"/>
                <w:color w:val="auto"/>
                <w:sz w:val="28"/>
                <w:szCs w:val="28"/>
                <w:highlight w:val="none"/>
              </w:rPr>
              <w:t>）</w:t>
            </w:r>
          </w:p>
        </w:tc>
        <w:tc>
          <w:tcPr>
            <w:tcW w:w="1020" w:type="dxa"/>
            <w:noWrap w:val="0"/>
            <w:vAlign w:val="center"/>
          </w:tcPr>
          <w:p w14:paraId="22692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生产能力</w:t>
            </w:r>
          </w:p>
        </w:tc>
        <w:tc>
          <w:tcPr>
            <w:tcW w:w="921" w:type="dxa"/>
            <w:noWrap w:val="0"/>
            <w:vAlign w:val="center"/>
          </w:tcPr>
          <w:p w14:paraId="49638E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备注</w:t>
            </w:r>
          </w:p>
        </w:tc>
      </w:tr>
      <w:tr w14:paraId="1AFF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3F8C15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B9CE6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E02E5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F0959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83263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3297D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4B09FA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A50FB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13F66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CEF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758FCB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F200B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1AAD0C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8DDE1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49BAFEC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B1526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4ED1D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DD2452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423C4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5B5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7C093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40046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4B267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033180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A878D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F3158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C0CE7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EDD0D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6A1890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D5B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E28CC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00D05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245E6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00E9ACE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5869A9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C7A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807E3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2E83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400209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B1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5B24067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15B07C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9004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1C49C9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793AF5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2D1B8B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4DC81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6EB573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5E13E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2EF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33175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32BD1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86D8B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5E4C4B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93C6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258A04E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BFC22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3AF73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0B07F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57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3AC12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4694B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7A3F7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DEC02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042F9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816E71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4288A5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FA7BF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92D04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14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AB37DC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2281A4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5F065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CEFD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F9DD5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E71EB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18CFB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8D22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E6F30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9AB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11430C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2BC89E2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0D4E26">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7A3CF24">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7D148A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9EAA5BD">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1E101A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CC8B729">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3852C093">
            <w:pPr>
              <w:pStyle w:val="156"/>
              <w:rPr>
                <w:rStyle w:val="45"/>
                <w:rFonts w:ascii="Times New Roman" w:hAnsi="Times New Roman" w:eastAsia="仿宋_GB2312" w:cs="Times New Roman"/>
                <w:color w:val="auto"/>
                <w:sz w:val="30"/>
                <w:szCs w:val="30"/>
                <w:highlight w:val="none"/>
              </w:rPr>
            </w:pPr>
          </w:p>
        </w:tc>
      </w:tr>
      <w:tr w14:paraId="309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259368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50A982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FF44B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EA2C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01CF5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4D158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E8BAC7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03666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CE27B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69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11025DB">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519453F">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49A236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61805BB">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54C4A2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EF7E23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369AE6C1">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79BE16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767AE345">
            <w:pPr>
              <w:pStyle w:val="156"/>
              <w:rPr>
                <w:rStyle w:val="45"/>
                <w:rFonts w:ascii="Times New Roman" w:hAnsi="Times New Roman" w:eastAsia="仿宋_GB2312" w:cs="Times New Roman"/>
                <w:color w:val="auto"/>
                <w:sz w:val="30"/>
                <w:szCs w:val="30"/>
                <w:highlight w:val="none"/>
              </w:rPr>
            </w:pPr>
          </w:p>
        </w:tc>
      </w:tr>
      <w:tr w14:paraId="27B2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5B616FF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F27A5F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D2F948E">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335D4D9">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46B885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89A15A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A57AB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3BC731F">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FD45C2C">
            <w:pPr>
              <w:pStyle w:val="156"/>
              <w:rPr>
                <w:rStyle w:val="45"/>
                <w:rFonts w:ascii="Times New Roman" w:hAnsi="Times New Roman" w:eastAsia="仿宋_GB2312" w:cs="Times New Roman"/>
                <w:color w:val="auto"/>
                <w:sz w:val="30"/>
                <w:szCs w:val="30"/>
                <w:highlight w:val="none"/>
              </w:rPr>
            </w:pPr>
          </w:p>
        </w:tc>
      </w:tr>
      <w:tr w14:paraId="0F0F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61EF0562">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B5A7531">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C821DA9">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DA6790C">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1BE0B54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0394C8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5EB97D3B">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06E071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4474ABD">
            <w:pPr>
              <w:pStyle w:val="156"/>
              <w:rPr>
                <w:rStyle w:val="45"/>
                <w:rFonts w:ascii="Times New Roman" w:hAnsi="Times New Roman" w:eastAsia="仿宋_GB2312" w:cs="Times New Roman"/>
                <w:color w:val="auto"/>
                <w:sz w:val="30"/>
                <w:szCs w:val="30"/>
                <w:highlight w:val="none"/>
              </w:rPr>
            </w:pPr>
          </w:p>
        </w:tc>
      </w:tr>
      <w:tr w14:paraId="33B3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5FC1529">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455A117D">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03BAB90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C6C3B6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FC4AD0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D01B152">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332C46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549172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8F92C1B">
            <w:pPr>
              <w:pStyle w:val="156"/>
              <w:rPr>
                <w:rStyle w:val="45"/>
                <w:rFonts w:ascii="Times New Roman" w:hAnsi="Times New Roman" w:eastAsia="仿宋_GB2312" w:cs="Times New Roman"/>
                <w:color w:val="auto"/>
                <w:sz w:val="30"/>
                <w:szCs w:val="30"/>
                <w:highlight w:val="none"/>
              </w:rPr>
            </w:pPr>
          </w:p>
        </w:tc>
      </w:tr>
      <w:tr w14:paraId="5BF6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C593F7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377BA967">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31DFDF08">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3D6073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ABF413D">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F68F39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60C1D95">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5B2AADC">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0E108AC">
            <w:pPr>
              <w:pStyle w:val="156"/>
              <w:rPr>
                <w:rStyle w:val="45"/>
                <w:rFonts w:ascii="Times New Roman" w:hAnsi="Times New Roman" w:eastAsia="仿宋_GB2312" w:cs="Times New Roman"/>
                <w:color w:val="auto"/>
                <w:sz w:val="30"/>
                <w:szCs w:val="30"/>
                <w:highlight w:val="none"/>
              </w:rPr>
            </w:pPr>
          </w:p>
        </w:tc>
      </w:tr>
      <w:tr w14:paraId="786D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FA7DD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6B996B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1905CFDB">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63032443">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240E55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45BA65C">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912F4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A2FF8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0A874E67">
            <w:pPr>
              <w:pStyle w:val="156"/>
              <w:rPr>
                <w:rStyle w:val="45"/>
                <w:rFonts w:ascii="Times New Roman" w:hAnsi="Times New Roman" w:eastAsia="仿宋_GB2312" w:cs="Times New Roman"/>
                <w:color w:val="auto"/>
                <w:sz w:val="30"/>
                <w:szCs w:val="30"/>
                <w:highlight w:val="none"/>
              </w:rPr>
            </w:pPr>
          </w:p>
        </w:tc>
      </w:tr>
      <w:tr w14:paraId="46C8B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B19A7B0">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1683F1C6">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2F7FB091">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022D92F">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EF015C0">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10AF720">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5EA858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E2B911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56C097C3">
            <w:pPr>
              <w:pStyle w:val="156"/>
              <w:rPr>
                <w:rStyle w:val="45"/>
                <w:rFonts w:ascii="Times New Roman" w:hAnsi="Times New Roman" w:eastAsia="仿宋_GB2312" w:cs="Times New Roman"/>
                <w:color w:val="auto"/>
                <w:sz w:val="30"/>
                <w:szCs w:val="30"/>
                <w:highlight w:val="none"/>
              </w:rPr>
            </w:pPr>
          </w:p>
        </w:tc>
      </w:tr>
      <w:tr w14:paraId="69E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BF2E471">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888527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118642">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153771DD">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2D83F132">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279672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DD81D87">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22A6D2">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E8EE7B6">
            <w:pPr>
              <w:pStyle w:val="156"/>
              <w:rPr>
                <w:rStyle w:val="45"/>
                <w:rFonts w:ascii="Times New Roman" w:hAnsi="Times New Roman" w:eastAsia="仿宋_GB2312" w:cs="Times New Roman"/>
                <w:color w:val="auto"/>
                <w:sz w:val="30"/>
                <w:szCs w:val="30"/>
                <w:highlight w:val="none"/>
              </w:rPr>
            </w:pPr>
          </w:p>
        </w:tc>
      </w:tr>
      <w:tr w14:paraId="1EB7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1162" w:type="dxa"/>
            <w:noWrap w:val="0"/>
            <w:vAlign w:val="top"/>
          </w:tcPr>
          <w:p w14:paraId="3F49BC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74CDDEEA">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6E303D83">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63367C7">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8B4ED3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370F8409">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A9A9CAC">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679E90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7C05EC5">
            <w:pPr>
              <w:pStyle w:val="156"/>
              <w:rPr>
                <w:rStyle w:val="45"/>
                <w:rFonts w:ascii="Times New Roman" w:hAnsi="Times New Roman" w:eastAsia="仿宋_GB2312" w:cs="Times New Roman"/>
                <w:color w:val="auto"/>
                <w:sz w:val="30"/>
                <w:szCs w:val="30"/>
                <w:highlight w:val="none"/>
              </w:rPr>
            </w:pPr>
          </w:p>
        </w:tc>
      </w:tr>
    </w:tbl>
    <w:p w14:paraId="67D3F9A5">
      <w:pPr>
        <w:pStyle w:val="156"/>
        <w:spacing w:line="440" w:lineRule="exact"/>
        <w:jc w:val="left"/>
        <w:rPr>
          <w:rStyle w:val="45"/>
          <w:rFonts w:ascii="Times New Roman" w:hAnsi="Times New Roman" w:eastAsia="黑体"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附</w:t>
      </w:r>
      <w:bookmarkStart w:id="272" w:name="_Toc296891056"/>
      <w:bookmarkStart w:id="273" w:name="_Toc296347227"/>
      <w:bookmarkStart w:id="274" w:name="_Toc296944567"/>
      <w:bookmarkStart w:id="275" w:name="_Toc296503228"/>
      <w:bookmarkStart w:id="276" w:name="_Toc267261699"/>
      <w:bookmarkStart w:id="277" w:name="_Toc296346729"/>
      <w:bookmarkStart w:id="278" w:name="_Toc296891268"/>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5</w:t>
      </w:r>
      <w:r>
        <w:rPr>
          <w:rStyle w:val="45"/>
          <w:rFonts w:hint="eastAsia" w:ascii="Times New Roman" w:hAnsi="Times New Roman" w:eastAsia="仿宋_GB2312" w:cs="仿宋_GB2312"/>
          <w:color w:val="auto"/>
          <w:sz w:val="30"/>
          <w:szCs w:val="30"/>
          <w:highlight w:val="none"/>
        </w:rPr>
        <w:t>：</w:t>
      </w:r>
    </w:p>
    <w:bookmarkEnd w:id="272"/>
    <w:bookmarkEnd w:id="273"/>
    <w:bookmarkEnd w:id="274"/>
    <w:bookmarkEnd w:id="275"/>
    <w:bookmarkEnd w:id="276"/>
    <w:bookmarkEnd w:id="277"/>
    <w:bookmarkEnd w:id="278"/>
    <w:p w14:paraId="45DDD327">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2638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757158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7E1F0C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32F44F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75DF538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39521A92">
            <w:pPr>
              <w:pStyle w:val="156"/>
              <w:keepNext/>
              <w:adjustRightInd w:val="0"/>
              <w:spacing w:line="440" w:lineRule="exact"/>
              <w:ind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计划进场时间</w:t>
            </w:r>
          </w:p>
        </w:tc>
      </w:tr>
      <w:tr w14:paraId="12BD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72F47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23E2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E7F6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6469BBF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E50F1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F4860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E7AF4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0FC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13D572A5">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FE969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614D4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A7415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24AE0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A18F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E26B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E7CD1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F86D0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C3C7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9C994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ECD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2364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2102A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4E630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F5B58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D09D4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1B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22D572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64B9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424A7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16C687D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CEE5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347F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CE517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CC37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8FFB8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F8CF1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914296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16E00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C1C861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005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D609F7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13D638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3A84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3B9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484C1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4E5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CF3B2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69A78F9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8D19E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9CB0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737B0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37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17A3F66">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124CE9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0291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82CFE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131679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3C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C5F5F93">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0DA28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C522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CD0D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B62D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1E72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6E1A0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BD8F3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75A32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711A6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0F9E9E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C35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6685D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5E54CA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AE9DB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98703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6DBD3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BDD8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858A7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09A961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2DF8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91E37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F0DE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A3D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4E14733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72AB670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ABF30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12AFC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DE7AB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65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8E69D08">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8F71B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B0DDC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8217F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68E67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4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F2BE3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A042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BC52B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6830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2FE69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4DD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EE82B2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017FB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064E6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34452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209D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B5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FA40D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7AE08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581E8A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3F593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1986A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79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E52E7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0E7A2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2057E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7F0CC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3A1BCA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3177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46E081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DCC9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73E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DC6B7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C2F8B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61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8ED50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6FC23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E249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2A834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B89B78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79D1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48AEC8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24BFC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E7D2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028F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9CDC98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603C5471">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w:t>
      </w:r>
      <w:bookmarkStart w:id="279" w:name="_Toc296346730"/>
      <w:bookmarkStart w:id="280" w:name="_Toc296891269"/>
      <w:bookmarkStart w:id="281" w:name="_Toc296503229"/>
      <w:bookmarkStart w:id="282" w:name="_Toc296944568"/>
      <w:bookmarkStart w:id="283" w:name="_Toc296891057"/>
      <w:bookmarkStart w:id="284" w:name="_Toc296347228"/>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6</w:t>
      </w:r>
      <w:r>
        <w:rPr>
          <w:rStyle w:val="45"/>
          <w:rFonts w:hint="eastAsia" w:ascii="Times New Roman" w:hAnsi="Times New Roman" w:eastAsia="仿宋_GB2312" w:cs="仿宋_GB2312"/>
          <w:color w:val="auto"/>
          <w:sz w:val="30"/>
          <w:szCs w:val="30"/>
          <w:highlight w:val="none"/>
        </w:rPr>
        <w:t>：</w:t>
      </w:r>
    </w:p>
    <w:bookmarkEnd w:id="279"/>
    <w:bookmarkEnd w:id="280"/>
    <w:bookmarkEnd w:id="281"/>
    <w:bookmarkEnd w:id="282"/>
    <w:bookmarkEnd w:id="283"/>
    <w:bookmarkEnd w:id="284"/>
    <w:p w14:paraId="226FA7DC">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分包人主要施工管理人员表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5DD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6D5B5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28E1ED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26A6A83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4878D5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6DE4D1B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主要资历、经验及承担过的项目</w:t>
            </w:r>
          </w:p>
        </w:tc>
      </w:tr>
      <w:tr w14:paraId="6B69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81BD48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15AD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2DD95A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3435474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08D168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55BC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0239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53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8EE302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4F8D8A9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1398D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BF6F3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59DCF0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FB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3BE84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4F71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8BBD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6BF8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714F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3F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34985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24AE7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9D146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5FA1D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948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FD7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3B90E1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26C5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0CA5D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577C4C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9792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0DC20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42DC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A45B9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6122F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3DCE4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FC85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7D408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92E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7D385C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30178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5ADFD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E63C2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B766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2C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DFC75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52C7A6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8B3F8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81D7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AD81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C5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95BD7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0705F4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C141B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68F45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FF347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83A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64D09A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2E1F74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53EF4D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6EF37C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739AC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E29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0A1C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59B92C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5B48B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A812E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8153EA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6D69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1605C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518442E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A07CA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A22B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C9F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0A1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258AA1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627A2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1E08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4A71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8256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BD1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30218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035B947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C553C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5A239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5F50CF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EDAF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888F9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C1F50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D12E9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D105F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6AAAD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C77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BFC0F3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CB096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08030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048ACC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89171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F5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1F08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0CCDE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4367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06DB7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0CEE8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E10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55A9B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4FC63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A1192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E8C5A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3F14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048FBC29">
      <w:pPr>
        <w:spacing w:line="360" w:lineRule="auto"/>
        <w:jc w:val="left"/>
        <w:rPr>
          <w:rFonts w:hint="eastAsia" w:ascii="黑体" w:hAnsi="黑体" w:eastAsia="黑体" w:cs="黑体"/>
          <w:color w:val="auto"/>
          <w:sz w:val="32"/>
          <w:szCs w:val="32"/>
          <w:highlight w:val="none"/>
        </w:rPr>
      </w:pPr>
      <w:r>
        <w:rPr>
          <w:rStyle w:val="45"/>
          <w:rFonts w:ascii="Times New Roman" w:hAnsi="Times New Roman" w:eastAsia="仿宋_GB2312" w:cs="Times New Roman"/>
          <w:color w:val="auto"/>
          <w:sz w:val="30"/>
          <w:szCs w:val="30"/>
          <w:highlight w:val="none"/>
        </w:rPr>
        <w:br w:type="page"/>
      </w:r>
      <w:bookmarkStart w:id="285" w:name="_Toc267261701"/>
      <w:r>
        <w:rPr>
          <w:rFonts w:hint="eastAsia" w:ascii="黑体" w:hAnsi="黑体" w:eastAsia="黑体" w:cs="黑体"/>
          <w:color w:val="auto"/>
          <w:sz w:val="32"/>
          <w:szCs w:val="32"/>
          <w:highlight w:val="none"/>
        </w:rPr>
        <w:t>附件7</w:t>
      </w:r>
    </w:p>
    <w:p w14:paraId="44BE247F">
      <w:pPr>
        <w:spacing w:line="360" w:lineRule="auto"/>
        <w:jc w:val="left"/>
        <w:rPr>
          <w:rFonts w:ascii="黑体" w:hAnsi="黑体" w:eastAsia="黑体" w:cs="黑体"/>
          <w:b/>
          <w:bCs/>
          <w:color w:val="auto"/>
          <w:sz w:val="32"/>
          <w:szCs w:val="32"/>
          <w:highlight w:val="none"/>
        </w:rPr>
      </w:pPr>
    </w:p>
    <w:p w14:paraId="13C3FD51">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6FE6C873">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69CBE7E2">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1514BBB">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5C1387D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E05379">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BCF3765">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272D83C5">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4262C87C">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3250C1D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C98871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C733EE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（以下简称“基础合同”），我方（即“开立人”）根据基础合同了解到申请人为基础合同项下之承包人，受益人为基础合同项下之发包人，基于申请人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2511BE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一、本保函担保范围：承包人未按照基础合同的约定履行义务，应当向贵方承担的违约责任和赔偿因此造成的损失、利息、律师费、诉讼费用等实现债权的费用。</w:t>
      </w:r>
    </w:p>
    <w:p w14:paraId="21EECD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9A8E5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hint="eastAsia" w:ascii="宋体" w:hAnsi="宋体"/>
          <w:color w:val="auto"/>
          <w:sz w:val="24"/>
          <w:szCs w:val="24"/>
          <w:highlight w:val="none"/>
        </w:rPr>
        <w:t>日止，最迟不超过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69785CCB">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D4CCA5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6D531D4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54630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3487E3D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DFD71A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33BA2F7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59708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F14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0B4E4BB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0586991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EC8610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0E62C9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D6686F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FBF770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53E6969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45E54D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F98061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27CCD2C4">
      <w:pPr>
        <w:spacing w:line="360" w:lineRule="auto"/>
        <w:ind w:firstLine="480" w:firstLineChars="200"/>
        <w:rPr>
          <w:color w:val="auto"/>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w:t>
      </w:r>
    </w:p>
    <w:p w14:paraId="37CF4BFB">
      <w:pPr>
        <w:spacing w:line="360" w:lineRule="auto"/>
        <w:jc w:val="left"/>
        <w:rPr>
          <w:rFonts w:eastAsia="仿宋_GB2312"/>
          <w:color w:val="auto"/>
          <w:sz w:val="30"/>
          <w:szCs w:val="30"/>
          <w:highlight w:val="none"/>
        </w:rPr>
      </w:pPr>
    </w:p>
    <w:p w14:paraId="50F70534">
      <w:pPr>
        <w:spacing w:line="360" w:lineRule="auto"/>
        <w:jc w:val="left"/>
        <w:rPr>
          <w:rFonts w:hint="eastAsia" w:eastAsia="仿宋_GB2312" w:cs="仿宋_GB2312"/>
          <w:color w:val="auto"/>
          <w:sz w:val="30"/>
          <w:szCs w:val="30"/>
          <w:highlight w:val="none"/>
        </w:rPr>
      </w:pPr>
    </w:p>
    <w:p w14:paraId="22B31C66">
      <w:pPr>
        <w:spacing w:line="360" w:lineRule="auto"/>
        <w:jc w:val="left"/>
        <w:rPr>
          <w:rFonts w:hint="eastAsia" w:eastAsia="仿宋_GB2312" w:cs="仿宋_GB2312"/>
          <w:color w:val="auto"/>
          <w:sz w:val="30"/>
          <w:szCs w:val="30"/>
          <w:highlight w:val="none"/>
        </w:rPr>
      </w:pPr>
    </w:p>
    <w:p w14:paraId="37C795A4">
      <w:pPr>
        <w:spacing w:line="360" w:lineRule="auto"/>
        <w:jc w:val="left"/>
        <w:rPr>
          <w:rFonts w:ascii="宋体" w:hAnsi="宋体"/>
          <w:color w:val="auto"/>
          <w:sz w:val="32"/>
          <w:szCs w:val="32"/>
          <w:highlight w:val="none"/>
        </w:rPr>
      </w:pPr>
      <w:r>
        <w:rPr>
          <w:rFonts w:hint="eastAsia" w:eastAsia="仿宋_GB2312" w:cs="仿宋_GB2312"/>
          <w:color w:val="auto"/>
          <w:sz w:val="30"/>
          <w:szCs w:val="30"/>
          <w:highlight w:val="none"/>
        </w:rPr>
        <w:t>附</w:t>
      </w:r>
      <w:bookmarkStart w:id="286" w:name="_Toc296503231"/>
      <w:bookmarkStart w:id="287" w:name="_Toc296346732"/>
      <w:bookmarkStart w:id="288" w:name="_Toc296891271"/>
      <w:bookmarkStart w:id="289" w:name="_Toc296347230"/>
      <w:bookmarkStart w:id="290" w:name="_Toc296944570"/>
      <w:bookmarkStart w:id="291" w:name="_Toc296891059"/>
      <w:r>
        <w:rPr>
          <w:rFonts w:hint="eastAsia" w:eastAsia="仿宋_GB2312" w:cs="仿宋_GB2312"/>
          <w:color w:val="auto"/>
          <w:sz w:val="30"/>
          <w:szCs w:val="30"/>
          <w:highlight w:val="none"/>
        </w:rPr>
        <w:t>件</w:t>
      </w:r>
      <w:r>
        <w:rPr>
          <w:rFonts w:hint="eastAsia" w:eastAsia="仿宋_GB2312"/>
          <w:color w:val="auto"/>
          <w:sz w:val="30"/>
          <w:szCs w:val="30"/>
          <w:highlight w:val="none"/>
        </w:rPr>
        <w:t>7</w:t>
      </w:r>
      <w:r>
        <w:rPr>
          <w:rFonts w:hint="eastAsia" w:eastAsia="仿宋_GB2312" w:cs="仿宋_GB2312"/>
          <w:color w:val="auto"/>
          <w:sz w:val="30"/>
          <w:szCs w:val="30"/>
          <w:highlight w:val="none"/>
        </w:rPr>
        <w:t>：</w:t>
      </w:r>
    </w:p>
    <w:p w14:paraId="18D2C662">
      <w:pPr>
        <w:spacing w:line="360" w:lineRule="auto"/>
        <w:rPr>
          <w:rFonts w:ascii="宋体" w:hAnsi="宋体"/>
          <w:b/>
          <w:bCs/>
          <w:color w:val="auto"/>
          <w:sz w:val="32"/>
          <w:szCs w:val="32"/>
          <w:highlight w:val="none"/>
        </w:rPr>
      </w:pPr>
    </w:p>
    <w:p w14:paraId="4145CCE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198DB6C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6B0754C6">
      <w:pPr>
        <w:spacing w:line="360" w:lineRule="auto"/>
        <w:jc w:val="center"/>
        <w:rPr>
          <w:rFonts w:ascii="宋体" w:hAnsi="宋体"/>
          <w:b/>
          <w:bCs/>
          <w:color w:val="auto"/>
          <w:sz w:val="32"/>
          <w:szCs w:val="32"/>
          <w:highlight w:val="none"/>
        </w:rPr>
      </w:pPr>
    </w:p>
    <w:p w14:paraId="03FD5BF5">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CFA1433">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p>
    <w:p w14:paraId="65E8129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38E4A0A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r>
        <w:rPr>
          <w:rFonts w:ascii="宋体" w:hAnsi="宋体"/>
          <w:color w:val="auto"/>
          <w:sz w:val="24"/>
          <w:szCs w:val="24"/>
          <w:highlight w:val="none"/>
        </w:rPr>
        <w:t xml:space="preserve"> </w:t>
      </w:r>
    </w:p>
    <w:p w14:paraId="160B22E4">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7AF88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2A442E5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4DC2A707">
      <w:pPr>
        <w:spacing w:line="360" w:lineRule="auto"/>
        <w:rPr>
          <w:rFonts w:ascii="宋体" w:hAnsi="宋体"/>
          <w:color w:val="auto"/>
          <w:sz w:val="24"/>
          <w:szCs w:val="24"/>
          <w:highlight w:val="none"/>
        </w:rPr>
      </w:pPr>
    </w:p>
    <w:p w14:paraId="00834999">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085A9CB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03318973">
      <w:pPr>
        <w:spacing w:line="360" w:lineRule="auto"/>
        <w:rPr>
          <w:rFonts w:ascii="宋体" w:hAnsi="宋体"/>
          <w:b/>
          <w:bCs/>
          <w:color w:val="auto"/>
          <w:sz w:val="24"/>
          <w:szCs w:val="24"/>
          <w:highlight w:val="none"/>
        </w:rPr>
      </w:pPr>
      <w:r>
        <w:rPr>
          <w:rFonts w:hint="eastAsia" w:ascii="宋体" w:hAnsi="宋体"/>
          <w:color w:val="auto"/>
          <w:sz w:val="24"/>
          <w:szCs w:val="24"/>
          <w:highlight w:val="none"/>
        </w:rPr>
        <w:t xml:space="preserve">    </w:t>
      </w:r>
      <w:r>
        <w:rPr>
          <w:rFonts w:hint="eastAsia" w:ascii="宋体" w:hAnsi="宋体"/>
          <w:b/>
          <w:bCs/>
          <w:color w:val="auto"/>
          <w:sz w:val="24"/>
          <w:szCs w:val="24"/>
          <w:highlight w:val="none"/>
        </w:rPr>
        <w:t>一、保证担保的范围及保证担保金额</w:t>
      </w:r>
    </w:p>
    <w:p w14:paraId="179DD0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保证担保范围：承包人未按照主合同的约定履行义务，应当向贵方承担的违约责任和赔偿因此造成的损失、利息、律师费、诉讼费用等实现债权的费用。</w:t>
      </w:r>
    </w:p>
    <w:p w14:paraId="56F249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E6D257C">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66411E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0D7137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87E0DCE">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2EB4FC8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我方按照贵方的要求以下列方式之一承担保证担保责任：</w:t>
      </w:r>
      <w:r>
        <w:rPr>
          <w:rFonts w:ascii="宋体" w:hAnsi="宋体"/>
          <w:color w:val="auto"/>
          <w:sz w:val="24"/>
          <w:szCs w:val="24"/>
          <w:highlight w:val="none"/>
        </w:rPr>
        <w:t xml:space="preserve"> </w:t>
      </w:r>
    </w:p>
    <w:p w14:paraId="33715C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1.向承包人资金、设备或者技术援助，使其能继续履行合同义务；</w:t>
      </w:r>
    </w:p>
    <w:p w14:paraId="48373BB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2.直接接管该项工程或者委托经贵方同意的其他承包商，继续履行合同义务；</w:t>
      </w:r>
    </w:p>
    <w:p w14:paraId="3F2020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3.在保证担保金额最高限额内，按照合同约定，向贵方承担违约责任和赔偿因此造成的损失，以及利息和律师费、诉讼费用等实现债权的费用。</w:t>
      </w:r>
    </w:p>
    <w:p w14:paraId="1B86F93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07F9033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5AD98E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2.贵方以工程质量不符合主合同约定标准为由，向我方提出违约索赔的，还需同时提供符合相应条件要求的工程质量检测部门出具的质量说明材料。</w:t>
      </w:r>
    </w:p>
    <w:p w14:paraId="4AFA52D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2ABC370F">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2F4F01E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7163D7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3121297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78EDB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718618C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264F46B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5CE134E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433DAA8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0425360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486522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EEEA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2C4BBC8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3C266D63">
      <w:pPr>
        <w:spacing w:line="360" w:lineRule="auto"/>
        <w:ind w:firstLine="480" w:firstLineChars="200"/>
        <w:rPr>
          <w:rFonts w:ascii="宋体" w:hAnsi="宋体"/>
          <w:color w:val="auto"/>
          <w:sz w:val="24"/>
          <w:szCs w:val="24"/>
          <w:highlight w:val="none"/>
        </w:rPr>
      </w:pPr>
    </w:p>
    <w:p w14:paraId="4306E81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（公</w:t>
      </w:r>
      <w:r>
        <w:rPr>
          <w:rFonts w:ascii="宋体" w:hAnsi="宋体"/>
          <w:color w:val="auto"/>
          <w:sz w:val="24"/>
          <w:szCs w:val="24"/>
          <w:highlight w:val="none"/>
        </w:rPr>
        <w:t xml:space="preserve">章） </w:t>
      </w:r>
    </w:p>
    <w:p w14:paraId="1CAD7C6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BAC00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55C93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AE9F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231AAB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768664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20AC646D">
      <w:pPr>
        <w:rPr>
          <w:color w:val="auto"/>
          <w:highlight w:val="none"/>
        </w:rPr>
      </w:pPr>
    </w:p>
    <w:p w14:paraId="30F16B24">
      <w:pPr>
        <w:rPr>
          <w:color w:val="auto"/>
          <w:highlight w:val="none"/>
        </w:rPr>
      </w:pPr>
    </w:p>
    <w:bookmarkEnd w:id="285"/>
    <w:bookmarkEnd w:id="286"/>
    <w:bookmarkEnd w:id="287"/>
    <w:bookmarkEnd w:id="288"/>
    <w:bookmarkEnd w:id="289"/>
    <w:bookmarkEnd w:id="290"/>
    <w:bookmarkEnd w:id="291"/>
    <w:p w14:paraId="7B334C22">
      <w:pPr>
        <w:spacing w:line="360" w:lineRule="auto"/>
        <w:jc w:val="left"/>
        <w:rPr>
          <w:rFonts w:hint="eastAsia" w:eastAsia="仿宋_GB2312" w:cs="仿宋_GB2312"/>
          <w:color w:val="auto"/>
          <w:sz w:val="30"/>
          <w:szCs w:val="30"/>
          <w:highlight w:val="none"/>
        </w:rPr>
      </w:pPr>
    </w:p>
    <w:p w14:paraId="56C34415">
      <w:pPr>
        <w:spacing w:line="360" w:lineRule="auto"/>
        <w:jc w:val="left"/>
        <w:rPr>
          <w:rFonts w:hint="eastAsia" w:eastAsia="仿宋_GB2312" w:cs="仿宋_GB2312"/>
          <w:color w:val="auto"/>
          <w:sz w:val="30"/>
          <w:szCs w:val="30"/>
          <w:highlight w:val="none"/>
        </w:rPr>
      </w:pPr>
    </w:p>
    <w:p w14:paraId="58E2C229">
      <w:pPr>
        <w:spacing w:line="360" w:lineRule="auto"/>
        <w:jc w:val="left"/>
        <w:rPr>
          <w:rFonts w:hint="eastAsia" w:eastAsia="仿宋_GB2312" w:cs="仿宋_GB2312"/>
          <w:color w:val="auto"/>
          <w:sz w:val="30"/>
          <w:szCs w:val="30"/>
          <w:highlight w:val="none"/>
        </w:rPr>
      </w:pPr>
    </w:p>
    <w:p w14:paraId="576E2451">
      <w:pPr>
        <w:spacing w:line="360" w:lineRule="auto"/>
        <w:jc w:val="left"/>
        <w:rPr>
          <w:rFonts w:hint="eastAsia" w:eastAsia="仿宋_GB2312" w:cs="仿宋_GB2312"/>
          <w:color w:val="auto"/>
          <w:sz w:val="30"/>
          <w:szCs w:val="30"/>
          <w:highlight w:val="none"/>
        </w:rPr>
      </w:pPr>
    </w:p>
    <w:p w14:paraId="1588D523">
      <w:pPr>
        <w:spacing w:line="360" w:lineRule="auto"/>
        <w:jc w:val="left"/>
        <w:rPr>
          <w:rFonts w:hint="eastAsia" w:eastAsia="仿宋_GB2312" w:cs="仿宋_GB2312"/>
          <w:color w:val="auto"/>
          <w:sz w:val="30"/>
          <w:szCs w:val="30"/>
          <w:highlight w:val="none"/>
        </w:rPr>
      </w:pPr>
    </w:p>
    <w:p w14:paraId="39511D7C">
      <w:pPr>
        <w:spacing w:line="360" w:lineRule="auto"/>
        <w:jc w:val="left"/>
        <w:rPr>
          <w:rFonts w:hint="eastAsia" w:eastAsia="仿宋_GB2312" w:cs="仿宋_GB2312"/>
          <w:color w:val="auto"/>
          <w:sz w:val="30"/>
          <w:szCs w:val="30"/>
          <w:highlight w:val="none"/>
        </w:rPr>
      </w:pPr>
    </w:p>
    <w:p w14:paraId="3D4D19D3">
      <w:pPr>
        <w:spacing w:line="360" w:lineRule="auto"/>
        <w:jc w:val="left"/>
        <w:rPr>
          <w:rFonts w:hint="eastAsia" w:eastAsia="仿宋_GB2312" w:cs="仿宋_GB2312"/>
          <w:color w:val="auto"/>
          <w:sz w:val="30"/>
          <w:szCs w:val="30"/>
          <w:highlight w:val="none"/>
        </w:rPr>
      </w:pPr>
    </w:p>
    <w:p w14:paraId="4497F9F3">
      <w:pPr>
        <w:spacing w:line="360" w:lineRule="auto"/>
        <w:jc w:val="left"/>
        <w:rPr>
          <w:rFonts w:hint="eastAsia" w:eastAsia="仿宋_GB2312" w:cs="仿宋_GB2312"/>
          <w:color w:val="auto"/>
          <w:sz w:val="30"/>
          <w:szCs w:val="30"/>
          <w:highlight w:val="none"/>
        </w:rPr>
      </w:pPr>
    </w:p>
    <w:p w14:paraId="42D942BA">
      <w:pPr>
        <w:spacing w:line="360" w:lineRule="auto"/>
        <w:jc w:val="left"/>
        <w:rPr>
          <w:rFonts w:ascii="黑体" w:hAnsi="黑体" w:eastAsia="黑体" w:cs="黑体"/>
          <w:color w:val="auto"/>
          <w:sz w:val="32"/>
          <w:szCs w:val="32"/>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8</w:t>
      </w:r>
      <w:r>
        <w:rPr>
          <w:rFonts w:hint="eastAsia" w:eastAsia="仿宋_GB2312" w:cs="仿宋_GB2312"/>
          <w:color w:val="auto"/>
          <w:sz w:val="30"/>
          <w:szCs w:val="30"/>
          <w:highlight w:val="none"/>
        </w:rPr>
        <w:t>：</w:t>
      </w:r>
    </w:p>
    <w:p w14:paraId="38CA13BE">
      <w:pPr>
        <w:spacing w:line="360" w:lineRule="auto"/>
        <w:jc w:val="left"/>
        <w:rPr>
          <w:rFonts w:ascii="黑体" w:hAnsi="黑体" w:eastAsia="黑体" w:cs="黑体"/>
          <w:b/>
          <w:bCs/>
          <w:color w:val="auto"/>
          <w:sz w:val="32"/>
          <w:szCs w:val="32"/>
          <w:highlight w:val="none"/>
        </w:rPr>
      </w:pPr>
    </w:p>
    <w:p w14:paraId="31330D3B">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30191CC8">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148FA08A">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3797375F">
      <w:pPr>
        <w:spacing w:line="360" w:lineRule="auto"/>
        <w:rPr>
          <w:rFonts w:ascii="宋体" w:hAnsi="宋体"/>
          <w:color w:val="auto"/>
          <w:sz w:val="24"/>
          <w:szCs w:val="24"/>
          <w:highlight w:val="none"/>
        </w:rPr>
      </w:pPr>
    </w:p>
    <w:p w14:paraId="0B9F8C38">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0542D1FD">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421B1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5455E4B1">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AAE2471">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303E983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12B76D48">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04B3E9C4">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8595B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（以下简称“基础合同”），我方（即“开立人”）根据主合同了解到申请人为主合同项下之承包人，受益人为主合同项下之发包人，基于申请人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申请人按照合同约定正确和合理地为合同目的使用预付款，</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B1D39D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一、本保函担保范围：申请人未按照合同约定正确和合理地为合同目的使用预付款，应当向贵方承担的违约责任和赔偿因此造成的损失、利息、律师费、诉讼费用等实现债权的费用。</w:t>
      </w:r>
    </w:p>
    <w:p w14:paraId="1440A8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BAA833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p>
    <w:p w14:paraId="5E2C35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BD0321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283AE8A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2A7507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0446B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4ACBF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14A033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188484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7F98B45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2B27FAB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73E33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419A34B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B67B45F">
      <w:pPr>
        <w:spacing w:line="360" w:lineRule="auto"/>
        <w:ind w:firstLine="480" w:firstLineChars="200"/>
        <w:rPr>
          <w:rFonts w:ascii="宋体" w:hAnsi="宋体"/>
          <w:color w:val="auto"/>
          <w:sz w:val="24"/>
          <w:szCs w:val="24"/>
          <w:highlight w:val="none"/>
        </w:rPr>
      </w:pPr>
    </w:p>
    <w:p w14:paraId="0164E189">
      <w:pPr>
        <w:spacing w:line="360" w:lineRule="auto"/>
        <w:ind w:firstLine="480" w:firstLineChars="200"/>
        <w:rPr>
          <w:rFonts w:ascii="宋体" w:hAnsi="宋体"/>
          <w:color w:val="auto"/>
          <w:sz w:val="24"/>
          <w:szCs w:val="24"/>
          <w:highlight w:val="none"/>
        </w:rPr>
      </w:pPr>
    </w:p>
    <w:p w14:paraId="6DBAAF5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4956F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2E407E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AE6CC1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15FD8E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6236F5A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28ECF18">
      <w:pPr>
        <w:rPr>
          <w:color w:val="auto"/>
          <w:highlight w:val="none"/>
        </w:rPr>
      </w:pPr>
      <w:r>
        <w:rPr>
          <w:rFonts w:hint="eastAsia" w:ascii="宋体" w:hAnsi="宋体"/>
          <w:color w:val="auto"/>
          <w:sz w:val="24"/>
          <w:szCs w:val="24"/>
          <w:highlight w:val="none"/>
        </w:rPr>
        <w:t xml:space="preserve">    开立时间：</w:t>
      </w:r>
      <w:r>
        <w:rPr>
          <w:rFonts w:ascii="宋体" w:hAnsi="宋体"/>
          <w:color w:val="auto"/>
          <w:sz w:val="24"/>
          <w:szCs w:val="24"/>
          <w:highlight w:val="none"/>
        </w:rPr>
        <w:t xml:space="preserve">      年      月        日</w:t>
      </w:r>
    </w:p>
    <w:p w14:paraId="2F98CF3E">
      <w:pPr>
        <w:spacing w:line="360" w:lineRule="auto"/>
        <w:jc w:val="center"/>
        <w:rPr>
          <w:rFonts w:ascii="宋体" w:hAnsi="宋体"/>
          <w:b/>
          <w:bCs/>
          <w:color w:val="auto"/>
          <w:sz w:val="32"/>
          <w:szCs w:val="32"/>
          <w:highlight w:val="none"/>
        </w:rPr>
      </w:pPr>
    </w:p>
    <w:p w14:paraId="219ACDB5">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8</w:t>
      </w:r>
    </w:p>
    <w:p w14:paraId="02E38B04">
      <w:pPr>
        <w:spacing w:line="360" w:lineRule="auto"/>
        <w:jc w:val="left"/>
        <w:rPr>
          <w:rFonts w:ascii="黑体" w:hAnsi="黑体" w:eastAsia="黑体" w:cs="黑体"/>
          <w:b/>
          <w:bCs/>
          <w:color w:val="auto"/>
          <w:sz w:val="32"/>
          <w:szCs w:val="32"/>
          <w:highlight w:val="none"/>
        </w:rPr>
      </w:pPr>
    </w:p>
    <w:p w14:paraId="123A02BA">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566873FF">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267FDCFB">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B8C1905">
      <w:pPr>
        <w:spacing w:line="360" w:lineRule="auto"/>
        <w:rPr>
          <w:rFonts w:ascii="宋体" w:hAnsi="宋体"/>
          <w:color w:val="auto"/>
          <w:sz w:val="24"/>
          <w:szCs w:val="24"/>
          <w:highlight w:val="none"/>
        </w:rPr>
      </w:pPr>
    </w:p>
    <w:p w14:paraId="3484FFA0">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p>
    <w:p w14:paraId="7978272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273C01E9">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r>
        <w:rPr>
          <w:rFonts w:ascii="宋体" w:hAnsi="宋体"/>
          <w:color w:val="auto"/>
          <w:sz w:val="24"/>
          <w:szCs w:val="24"/>
          <w:highlight w:val="none"/>
        </w:rPr>
        <w:t xml:space="preserve"> </w:t>
      </w:r>
    </w:p>
    <w:p w14:paraId="75DE44D0">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1945D3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4DB169C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05A9E5B">
      <w:pPr>
        <w:spacing w:line="360" w:lineRule="auto"/>
        <w:rPr>
          <w:rFonts w:ascii="宋体" w:hAnsi="宋体"/>
          <w:color w:val="auto"/>
          <w:sz w:val="24"/>
          <w:szCs w:val="24"/>
          <w:highlight w:val="none"/>
        </w:rPr>
      </w:pPr>
    </w:p>
    <w:p w14:paraId="3DD53297">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154F4D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承包人按照合同约定正确和合理地为合同目的使用预付款，不将预付款挪作他用，</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2D5CEB8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4CB833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保证担保范围：申请人未按照合同约定正确和合理地为合同目的使用预付款，应当向贵方承担的违约责任和赔偿因此造成的损失、利息、律师费、诉讼费用等实现债权的费用。</w:t>
      </w:r>
    </w:p>
    <w:p w14:paraId="6D0672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75B986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18899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DA648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303C237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677FF42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发生应承担保证责任情形的，我方在保证金额内向贵方支付，并赔偿因此给贵方造成的损失，以及利息和律师费、诉讼费用等实现债权的费用。</w:t>
      </w:r>
    </w:p>
    <w:p w14:paraId="1B6DA87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1D4562A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499A476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0AE72F6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1BF2112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91694F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4320B6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09B8C84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2E53160">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4BDF68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679A121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承包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0359DD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73970F23">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053EA80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187D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07DEE6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99546B9">
      <w:pPr>
        <w:spacing w:line="360" w:lineRule="auto"/>
        <w:ind w:firstLine="480" w:firstLineChars="200"/>
        <w:rPr>
          <w:rFonts w:ascii="宋体" w:hAnsi="宋体"/>
          <w:color w:val="auto"/>
          <w:sz w:val="24"/>
          <w:szCs w:val="24"/>
          <w:highlight w:val="none"/>
        </w:rPr>
      </w:pPr>
    </w:p>
    <w:p w14:paraId="1B79CCF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9A15D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66E1D56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6026E2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56C7690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7A1B915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496E293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3C5CA9D3">
      <w:pPr>
        <w:pStyle w:val="59"/>
        <w:rPr>
          <w:color w:val="auto"/>
          <w:highlight w:val="none"/>
        </w:rPr>
      </w:pPr>
    </w:p>
    <w:p w14:paraId="748644AE">
      <w:pPr>
        <w:pStyle w:val="59"/>
        <w:rPr>
          <w:color w:val="auto"/>
          <w:highlight w:val="none"/>
        </w:rPr>
      </w:pPr>
    </w:p>
    <w:p w14:paraId="37EBCF20">
      <w:pPr>
        <w:pStyle w:val="59"/>
        <w:rPr>
          <w:color w:val="auto"/>
          <w:highlight w:val="none"/>
        </w:rPr>
      </w:pPr>
    </w:p>
    <w:p w14:paraId="68209385">
      <w:pPr>
        <w:pStyle w:val="59"/>
        <w:rPr>
          <w:color w:val="auto"/>
          <w:highlight w:val="none"/>
        </w:rPr>
      </w:pPr>
    </w:p>
    <w:p w14:paraId="4DF988E6">
      <w:pPr>
        <w:pStyle w:val="59"/>
        <w:rPr>
          <w:color w:val="auto"/>
          <w:highlight w:val="none"/>
        </w:rPr>
      </w:pPr>
    </w:p>
    <w:p w14:paraId="164D5CC2">
      <w:pPr>
        <w:pStyle w:val="59"/>
        <w:rPr>
          <w:color w:val="auto"/>
          <w:highlight w:val="none"/>
        </w:rPr>
      </w:pPr>
    </w:p>
    <w:p w14:paraId="18C4C210">
      <w:pPr>
        <w:pStyle w:val="59"/>
        <w:rPr>
          <w:color w:val="auto"/>
          <w:highlight w:val="none"/>
        </w:rPr>
      </w:pPr>
    </w:p>
    <w:p w14:paraId="6B66D80B">
      <w:pPr>
        <w:pStyle w:val="59"/>
        <w:rPr>
          <w:color w:val="auto"/>
          <w:highlight w:val="none"/>
        </w:rPr>
      </w:pPr>
    </w:p>
    <w:p w14:paraId="2F04BB9E">
      <w:pPr>
        <w:pStyle w:val="59"/>
        <w:rPr>
          <w:color w:val="auto"/>
          <w:highlight w:val="none"/>
        </w:rPr>
      </w:pPr>
    </w:p>
    <w:p w14:paraId="0BCBB899">
      <w:pPr>
        <w:pStyle w:val="59"/>
        <w:rPr>
          <w:color w:val="auto"/>
          <w:highlight w:val="none"/>
        </w:rPr>
      </w:pPr>
    </w:p>
    <w:p w14:paraId="3FB16554">
      <w:pPr>
        <w:pStyle w:val="59"/>
        <w:rPr>
          <w:color w:val="auto"/>
          <w:highlight w:val="none"/>
        </w:rPr>
      </w:pPr>
    </w:p>
    <w:p w14:paraId="5E54FA0C">
      <w:pPr>
        <w:pStyle w:val="59"/>
        <w:rPr>
          <w:color w:val="auto"/>
          <w:highlight w:val="none"/>
        </w:rPr>
      </w:pPr>
    </w:p>
    <w:p w14:paraId="495605C4">
      <w:pPr>
        <w:pStyle w:val="59"/>
        <w:rPr>
          <w:color w:val="auto"/>
          <w:highlight w:val="none"/>
        </w:rPr>
      </w:pPr>
    </w:p>
    <w:p w14:paraId="1D8B00E4">
      <w:pPr>
        <w:pStyle w:val="59"/>
        <w:rPr>
          <w:rFonts w:ascii="宋体" w:hAnsi="宋体"/>
          <w:color w:val="auto"/>
          <w:sz w:val="24"/>
          <w:szCs w:val="24"/>
          <w:highlight w:val="none"/>
        </w:rPr>
      </w:pPr>
    </w:p>
    <w:p w14:paraId="6F6B9E8D">
      <w:pPr>
        <w:pStyle w:val="2"/>
        <w:numPr>
          <w:ilvl w:val="0"/>
          <w:numId w:val="0"/>
        </w:numPr>
        <w:rPr>
          <w:color w:val="auto"/>
          <w:highlight w:val="none"/>
        </w:rPr>
      </w:pPr>
    </w:p>
    <w:p w14:paraId="4DB90A46">
      <w:pPr>
        <w:rPr>
          <w:color w:val="auto"/>
          <w:highlight w:val="none"/>
        </w:rPr>
      </w:pPr>
    </w:p>
    <w:p w14:paraId="2B0311EF">
      <w:pPr>
        <w:spacing w:line="360" w:lineRule="auto"/>
        <w:jc w:val="center"/>
        <w:rPr>
          <w:rFonts w:hint="eastAsia" w:ascii="宋体" w:hAnsi="宋体"/>
          <w:b/>
          <w:bCs/>
          <w:color w:val="auto"/>
          <w:sz w:val="32"/>
          <w:szCs w:val="32"/>
          <w:highlight w:val="none"/>
        </w:rPr>
      </w:pPr>
    </w:p>
    <w:p w14:paraId="3EB207A1">
      <w:pPr>
        <w:spacing w:line="440" w:lineRule="exact"/>
        <w:rPr>
          <w:rFonts w:eastAsia="黑体"/>
          <w:color w:val="auto"/>
          <w:sz w:val="30"/>
          <w:szCs w:val="30"/>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9</w:t>
      </w:r>
      <w:r>
        <w:rPr>
          <w:rFonts w:hint="eastAsia" w:eastAsia="仿宋_GB2312" w:cs="仿宋_GB2312"/>
          <w:color w:val="auto"/>
          <w:sz w:val="30"/>
          <w:szCs w:val="30"/>
          <w:highlight w:val="none"/>
        </w:rPr>
        <w:t>：</w:t>
      </w:r>
    </w:p>
    <w:p w14:paraId="0722D881">
      <w:pPr>
        <w:spacing w:line="360" w:lineRule="auto"/>
        <w:jc w:val="left"/>
        <w:rPr>
          <w:rFonts w:ascii="黑体" w:hAnsi="黑体" w:eastAsia="黑体" w:cs="黑体"/>
          <w:b/>
          <w:bCs/>
          <w:color w:val="auto"/>
          <w:sz w:val="32"/>
          <w:szCs w:val="32"/>
          <w:highlight w:val="none"/>
        </w:rPr>
      </w:pPr>
    </w:p>
    <w:p w14:paraId="26D817B5">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39E81A5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06952767">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4D76505">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659CDAB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28289F7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031495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B939814">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1D9C00BB">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6A26E38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12582FB">
      <w:pPr>
        <w:spacing w:line="360" w:lineRule="auto"/>
        <w:rPr>
          <w:rFonts w:ascii="宋体" w:hAnsi="宋体"/>
          <w:color w:val="auto"/>
          <w:sz w:val="24"/>
          <w:szCs w:val="24"/>
          <w:highlight w:val="none"/>
        </w:rPr>
      </w:pPr>
      <w:bookmarkStart w:id="292" w:name="_Hlk40355074"/>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bookmarkEnd w:id="292"/>
    <w:p w14:paraId="6FD691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（以下简称基础合同”），我方（即“开立人”）根据基础合同了解到申请人为基础合同项下之发包人，受益人为基础合同项下之承包人，基于申请人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w:t>
      </w:r>
      <w:r>
        <w:rPr>
          <w:rFonts w:hint="eastAsia" w:ascii="宋体" w:hAnsi="宋体"/>
          <w:color w:val="auto"/>
          <w:sz w:val="24"/>
          <w:szCs w:val="24"/>
          <w:highlight w:val="none"/>
        </w:rPr>
        <w:t>工程款（指基础合同约定的除工程质量保修金以外的工程款）付款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1952AFD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一、本保函担保范围：申请人未履行基础合同约定的工程款支付义务，应当向贵方承担的违约责任和赔偿因此造成的损失、利息、律师费、诉讼费用等实现债权的费用。</w:t>
      </w:r>
    </w:p>
    <w:p w14:paraId="776700A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2D06852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基础合同约定的除工程质量保修金以外的全部工程结算款项支付之日后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C0FDF4C">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1FD99A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1B3041C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B2289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F7FCE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2AD93F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2501203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24F4F5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85656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的基础</w:t>
      </w:r>
      <w:r>
        <w:rPr>
          <w:rFonts w:hint="eastAsia" w:ascii="宋体" w:hAnsi="宋体"/>
          <w:color w:val="auto"/>
          <w:sz w:val="24"/>
          <w:szCs w:val="24"/>
          <w:highlight w:val="none"/>
        </w:rPr>
        <w:t>合同</w:t>
      </w:r>
      <w:r>
        <w:rPr>
          <w:rFonts w:ascii="宋体" w:hAnsi="宋体"/>
          <w:color w:val="auto"/>
          <w:sz w:val="24"/>
          <w:szCs w:val="24"/>
          <w:highlight w:val="none"/>
        </w:rPr>
        <w:t xml:space="preserve">不成立、不生效、无效、被撤销、被解除，不影响本保函的独立有效。 </w:t>
      </w:r>
    </w:p>
    <w:p w14:paraId="163F315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377D9E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1EA76B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bookmarkStart w:id="293" w:name="_Hlk58487855"/>
      <w:r>
        <w:rPr>
          <w:rFonts w:hint="eastAsia" w:ascii="宋体" w:hAnsi="宋体"/>
          <w:color w:val="auto"/>
          <w:sz w:val="24"/>
          <w:szCs w:val="24"/>
          <w:highlight w:val="none"/>
        </w:rPr>
        <w:t>或授权代表</w:t>
      </w:r>
      <w:bookmarkEnd w:id="293"/>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231E71FD">
      <w:pPr>
        <w:spacing w:line="360" w:lineRule="auto"/>
        <w:ind w:firstLine="480" w:firstLineChars="200"/>
        <w:rPr>
          <w:rFonts w:ascii="宋体" w:hAnsi="宋体"/>
          <w:color w:val="auto"/>
          <w:sz w:val="24"/>
          <w:szCs w:val="24"/>
          <w:highlight w:val="none"/>
        </w:rPr>
      </w:pPr>
    </w:p>
    <w:p w14:paraId="479A16C0">
      <w:pPr>
        <w:spacing w:line="360" w:lineRule="auto"/>
        <w:ind w:firstLine="480" w:firstLineChars="200"/>
        <w:rPr>
          <w:rFonts w:ascii="宋体" w:hAnsi="宋体"/>
          <w:color w:val="auto"/>
          <w:sz w:val="24"/>
          <w:szCs w:val="24"/>
          <w:highlight w:val="none"/>
        </w:rPr>
      </w:pPr>
    </w:p>
    <w:p w14:paraId="07AC780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EBF14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04DFF3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3D7473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7A74698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5765908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B8FEBE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日</w:t>
      </w:r>
    </w:p>
    <w:p w14:paraId="48A3C368">
      <w:pPr>
        <w:spacing w:line="360" w:lineRule="auto"/>
        <w:ind w:firstLine="480" w:firstLineChars="200"/>
        <w:rPr>
          <w:rFonts w:ascii="宋体" w:hAnsi="宋体"/>
          <w:color w:val="auto"/>
          <w:sz w:val="24"/>
          <w:szCs w:val="24"/>
          <w:highlight w:val="none"/>
        </w:rPr>
      </w:pPr>
    </w:p>
    <w:p w14:paraId="1830ABBC">
      <w:pPr>
        <w:spacing w:line="360" w:lineRule="auto"/>
        <w:jc w:val="left"/>
        <w:rPr>
          <w:rFonts w:hint="eastAsia" w:ascii="黑体" w:hAnsi="黑体" w:eastAsia="黑体" w:cs="黑体"/>
          <w:color w:val="auto"/>
          <w:sz w:val="32"/>
          <w:szCs w:val="32"/>
          <w:highlight w:val="none"/>
        </w:rPr>
      </w:pPr>
    </w:p>
    <w:p w14:paraId="048F4791">
      <w:pPr>
        <w:spacing w:line="360" w:lineRule="auto"/>
        <w:jc w:val="left"/>
        <w:rPr>
          <w:rFonts w:hint="eastAsia" w:ascii="黑体" w:hAnsi="黑体" w:eastAsia="黑体" w:cs="黑体"/>
          <w:color w:val="auto"/>
          <w:sz w:val="32"/>
          <w:szCs w:val="32"/>
          <w:highlight w:val="none"/>
        </w:rPr>
      </w:pPr>
    </w:p>
    <w:p w14:paraId="0F4A037A">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9</w:t>
      </w:r>
      <w:r>
        <w:rPr>
          <w:rFonts w:hint="eastAsia" w:ascii="黑体" w:hAnsi="黑体" w:eastAsia="黑体" w:cs="黑体"/>
          <w:color w:val="auto"/>
          <w:sz w:val="32"/>
          <w:szCs w:val="32"/>
          <w:highlight w:val="none"/>
        </w:rPr>
        <w:t>：</w:t>
      </w:r>
    </w:p>
    <w:p w14:paraId="73C4A96D">
      <w:pPr>
        <w:spacing w:line="360" w:lineRule="auto"/>
        <w:jc w:val="left"/>
        <w:rPr>
          <w:rFonts w:ascii="黑体" w:hAnsi="黑体" w:eastAsia="黑体" w:cs="黑体"/>
          <w:b/>
          <w:bCs/>
          <w:color w:val="auto"/>
          <w:sz w:val="32"/>
          <w:szCs w:val="32"/>
          <w:highlight w:val="none"/>
        </w:rPr>
      </w:pPr>
    </w:p>
    <w:p w14:paraId="5DE95CA6">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20F74BD0">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0F2166E6">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24E3C9C9">
      <w:pPr>
        <w:wordWrap w:val="0"/>
        <w:spacing w:line="360" w:lineRule="auto"/>
        <w:jc w:val="right"/>
        <w:rPr>
          <w:rFonts w:ascii="宋体" w:hAnsi="宋体"/>
          <w:color w:val="auto"/>
          <w:highlight w:val="none"/>
        </w:rPr>
      </w:pPr>
      <w:r>
        <w:rPr>
          <w:rFonts w:ascii="宋体" w:hAnsi="宋体"/>
          <w:color w:val="auto"/>
          <w:highlight w:val="none"/>
        </w:rPr>
        <w:t xml:space="preserve">     </w:t>
      </w:r>
    </w:p>
    <w:p w14:paraId="6C5369E9">
      <w:pPr>
        <w:spacing w:line="360" w:lineRule="auto"/>
        <w:rPr>
          <w:rFonts w:ascii="宋体" w:hAnsi="宋体"/>
          <w:color w:val="auto"/>
          <w:sz w:val="24"/>
          <w:szCs w:val="24"/>
          <w:highlight w:val="none"/>
        </w:rPr>
      </w:pPr>
      <w:r>
        <w:rPr>
          <w:rFonts w:hint="eastAsia" w:ascii="宋体" w:hAnsi="宋体"/>
          <w:color w:val="auto"/>
          <w:sz w:val="24"/>
          <w:szCs w:val="24"/>
          <w:highlight w:val="none"/>
        </w:rPr>
        <w:t>发包人：</w:t>
      </w:r>
    </w:p>
    <w:p w14:paraId="7DC299AD">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0625BAE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担保权人/承包人：</w:t>
      </w:r>
      <w:r>
        <w:rPr>
          <w:rFonts w:ascii="宋体" w:hAnsi="宋体"/>
          <w:color w:val="auto"/>
          <w:sz w:val="24"/>
          <w:szCs w:val="24"/>
          <w:highlight w:val="none"/>
        </w:rPr>
        <w:t xml:space="preserve"> </w:t>
      </w:r>
    </w:p>
    <w:p w14:paraId="01F6FA6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247A170C">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6D362C7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3C11CE27">
      <w:pPr>
        <w:spacing w:line="360" w:lineRule="auto"/>
        <w:rPr>
          <w:rFonts w:ascii="宋体" w:hAnsi="宋体"/>
          <w:color w:val="auto"/>
          <w:sz w:val="24"/>
          <w:szCs w:val="24"/>
          <w:highlight w:val="none"/>
        </w:rPr>
      </w:pPr>
    </w:p>
    <w:p w14:paraId="309AEA8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承包人</w:t>
      </w:r>
      <w:r>
        <w:rPr>
          <w:rFonts w:ascii="宋体" w:hAnsi="宋体"/>
          <w:color w:val="auto"/>
          <w:sz w:val="24"/>
          <w:szCs w:val="24"/>
          <w:highlight w:val="none"/>
        </w:rPr>
        <w:t xml:space="preserve">名称）： </w:t>
      </w:r>
    </w:p>
    <w:p w14:paraId="133C97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（以下简称“主合同”），我方即保证人基于发包人</w:t>
      </w:r>
      <w:r>
        <w:rPr>
          <w:rFonts w:ascii="宋体" w:hAnsi="宋体"/>
          <w:color w:val="auto"/>
          <w:sz w:val="24"/>
          <w:szCs w:val="24"/>
          <w:highlight w:val="none"/>
        </w:rPr>
        <w:t>的请求，同意就</w:t>
      </w:r>
      <w:r>
        <w:rPr>
          <w:rFonts w:hint="eastAsia" w:ascii="宋体" w:hAnsi="宋体"/>
          <w:color w:val="auto"/>
          <w:sz w:val="24"/>
          <w:szCs w:val="24"/>
          <w:highlight w:val="none"/>
        </w:rPr>
        <w:t>发包人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w:t>
      </w:r>
      <w:r>
        <w:rPr>
          <w:rFonts w:hint="eastAsia" w:ascii="宋体" w:hAnsi="宋体"/>
          <w:color w:val="auto"/>
          <w:sz w:val="24"/>
          <w:szCs w:val="24"/>
          <w:highlight w:val="none"/>
        </w:rPr>
        <w:t>工程款（指主合同约定的除工程质量保修金以外的全部工程结算款项）付款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7BC5C32A">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750C746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保证担保范围：申请人未履行主合同约定的工程款支付义务，应当向贵方承担的违约责任和赔偿因此造成的损失、利息、律师费、诉讼费用等实现债权的费用。</w:t>
      </w:r>
    </w:p>
    <w:p w14:paraId="587D698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11A6910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0F23F20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157BA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主合同约定的除工程质量保修金以外的工程款支付之日后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21F9715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35CCCD3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发包人未按合同约定向贵方支付主合同项下工程款的，由我方在保证金额内代为支付，并赔偿因此给贵方造成的损失，以及利息和律师费、诉讼费用等实现债权的费用。</w:t>
      </w:r>
    </w:p>
    <w:p w14:paraId="567D71F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7085A1F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1.贵方要求我方承担保证责任的，应向我方发出书面索赔通知及发包人未支付主合同约定工程款的证明材料。索赔通知应写明要求索赔的金额，支付款项应到达的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w:t>
      </w:r>
    </w:p>
    <w:p w14:paraId="0C8636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在出现贵方与发包人因工程质量发生争议，发包人拒绝向贵方支付工程款的情形时，贵方要求我方履行保证责任代为支付的，还需提供项目总监理工程师、监理单位或符合相应条件要求的工程质量检测机构出具的质量说明材料。</w:t>
      </w:r>
    </w:p>
    <w:p w14:paraId="6AFAEA9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6A6C759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4F5FB82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C5094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6150DA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597AE1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5ABB4B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1F17388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发包人未履行主合同项下工程款付款义务的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7BA93B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发包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24975BC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发包</w:t>
      </w:r>
      <w:r>
        <w:rPr>
          <w:rFonts w:ascii="宋体" w:hAnsi="宋体"/>
          <w:color w:val="auto"/>
          <w:sz w:val="24"/>
          <w:szCs w:val="24"/>
          <w:highlight w:val="none"/>
        </w:rPr>
        <w:t>人</w:t>
      </w:r>
      <w:r>
        <w:rPr>
          <w:rFonts w:hint="eastAsia" w:ascii="宋体" w:hAnsi="宋体"/>
          <w:color w:val="auto"/>
          <w:sz w:val="24"/>
          <w:szCs w:val="24"/>
          <w:highlight w:val="none"/>
        </w:rPr>
        <w:t>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15DD714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702EE03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58F2A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73BC7F3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836AB13">
      <w:pPr>
        <w:spacing w:line="360" w:lineRule="auto"/>
        <w:ind w:firstLine="480" w:firstLineChars="200"/>
        <w:rPr>
          <w:rFonts w:ascii="宋体" w:hAnsi="宋体"/>
          <w:color w:val="auto"/>
          <w:sz w:val="24"/>
          <w:szCs w:val="24"/>
          <w:highlight w:val="none"/>
        </w:rPr>
      </w:pPr>
    </w:p>
    <w:p w14:paraId="38AB705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6B28601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745664C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1C133B8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D5C4E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2ABE34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3925F54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4C0CA282">
      <w:pPr>
        <w:rPr>
          <w:color w:val="auto"/>
          <w:highlight w:val="none"/>
        </w:rPr>
      </w:pPr>
    </w:p>
    <w:p w14:paraId="511A624B">
      <w:pPr>
        <w:spacing w:line="360" w:lineRule="auto"/>
        <w:ind w:firstLine="480" w:firstLineChars="200"/>
        <w:rPr>
          <w:rFonts w:ascii="宋体" w:hAnsi="宋体"/>
          <w:color w:val="auto"/>
          <w:sz w:val="24"/>
          <w:szCs w:val="24"/>
          <w:highlight w:val="none"/>
        </w:rPr>
      </w:pPr>
    </w:p>
    <w:p w14:paraId="7D9A61B3">
      <w:pPr>
        <w:spacing w:line="360" w:lineRule="auto"/>
        <w:ind w:firstLine="420" w:firstLineChars="200"/>
        <w:rPr>
          <w:rFonts w:hint="eastAsia"/>
          <w:color w:val="auto"/>
          <w:highlight w:val="none"/>
        </w:rPr>
      </w:pPr>
    </w:p>
    <w:p w14:paraId="3C17C961">
      <w:pPr>
        <w:jc w:val="left"/>
        <w:rPr>
          <w:rFonts w:eastAsia="仿宋_GB2312"/>
          <w:color w:val="auto"/>
          <w:sz w:val="30"/>
          <w:szCs w:val="30"/>
          <w:highlight w:val="none"/>
        </w:rPr>
      </w:pPr>
      <w:r>
        <w:rPr>
          <w:rFonts w:eastAsia="仿宋_GB2312"/>
          <w:color w:val="auto"/>
          <w:sz w:val="30"/>
          <w:szCs w:val="30"/>
          <w:highlight w:val="none"/>
        </w:rPr>
        <w:t xml:space="preserve"> </w:t>
      </w:r>
    </w:p>
    <w:p w14:paraId="4B180DC1">
      <w:pPr>
        <w:jc w:val="left"/>
        <w:rPr>
          <w:rFonts w:eastAsia="仿宋_GB2312"/>
          <w:color w:val="auto"/>
          <w:sz w:val="30"/>
          <w:szCs w:val="30"/>
          <w:highlight w:val="none"/>
        </w:rPr>
      </w:pPr>
    </w:p>
    <w:p w14:paraId="28E6BF88">
      <w:pPr>
        <w:jc w:val="left"/>
        <w:rPr>
          <w:rFonts w:eastAsia="仿宋_GB2312"/>
          <w:color w:val="auto"/>
          <w:sz w:val="30"/>
          <w:szCs w:val="30"/>
          <w:highlight w:val="none"/>
        </w:rPr>
      </w:pPr>
    </w:p>
    <w:p w14:paraId="2381B96D">
      <w:pPr>
        <w:jc w:val="left"/>
        <w:rPr>
          <w:rFonts w:eastAsia="仿宋_GB2312"/>
          <w:color w:val="auto"/>
          <w:sz w:val="30"/>
          <w:szCs w:val="30"/>
          <w:highlight w:val="none"/>
        </w:rPr>
      </w:pPr>
    </w:p>
    <w:p w14:paraId="27AC0751">
      <w:pPr>
        <w:jc w:val="left"/>
        <w:rPr>
          <w:rFonts w:eastAsia="仿宋_GB2312"/>
          <w:color w:val="auto"/>
          <w:sz w:val="30"/>
          <w:szCs w:val="30"/>
          <w:highlight w:val="none"/>
        </w:rPr>
      </w:pPr>
    </w:p>
    <w:p w14:paraId="3BEECD2C">
      <w:pPr>
        <w:jc w:val="left"/>
        <w:rPr>
          <w:rFonts w:eastAsia="仿宋_GB2312"/>
          <w:color w:val="auto"/>
          <w:sz w:val="30"/>
          <w:szCs w:val="30"/>
          <w:highlight w:val="none"/>
        </w:rPr>
      </w:pPr>
    </w:p>
    <w:p w14:paraId="3578F755">
      <w:pPr>
        <w:jc w:val="left"/>
        <w:rPr>
          <w:rFonts w:eastAsia="仿宋_GB2312"/>
          <w:color w:val="auto"/>
          <w:sz w:val="30"/>
          <w:szCs w:val="30"/>
          <w:highlight w:val="none"/>
        </w:rPr>
      </w:pPr>
    </w:p>
    <w:p w14:paraId="1091547C">
      <w:pPr>
        <w:jc w:val="left"/>
        <w:rPr>
          <w:rFonts w:hint="eastAsia" w:hAnsi="宋体" w:cs="宋体"/>
          <w:color w:val="auto"/>
          <w:sz w:val="30"/>
          <w:szCs w:val="30"/>
          <w:highlight w:val="none"/>
        </w:rPr>
      </w:pPr>
      <w:r>
        <w:rPr>
          <w:rFonts w:hint="eastAsia" w:hAnsi="宋体" w:cs="宋体"/>
          <w:color w:val="auto"/>
          <w:sz w:val="30"/>
          <w:szCs w:val="30"/>
          <w:highlight w:val="none"/>
        </w:rPr>
        <w:t>附件10：</w:t>
      </w:r>
    </w:p>
    <w:p w14:paraId="1C06CCD7">
      <w:pPr>
        <w:jc w:val="center"/>
        <w:rPr>
          <w:rFonts w:hint="eastAsia"/>
          <w:b/>
          <w:color w:val="auto"/>
          <w:sz w:val="36"/>
          <w:szCs w:val="36"/>
          <w:highlight w:val="none"/>
        </w:rPr>
      </w:pPr>
      <w:r>
        <w:rPr>
          <w:rFonts w:hint="eastAsia"/>
          <w:b/>
          <w:color w:val="auto"/>
          <w:sz w:val="36"/>
          <w:szCs w:val="36"/>
          <w:highlight w:val="none"/>
        </w:rPr>
        <w:t>预付款支付申请（核准）表</w:t>
      </w:r>
    </w:p>
    <w:p w14:paraId="355E9257">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88"/>
        <w:gridCol w:w="4697"/>
      </w:tblGrid>
      <w:tr w14:paraId="53F3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219EDE96">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2F600D">
            <w:pPr>
              <w:spacing w:line="400" w:lineRule="exact"/>
              <w:ind w:left="-4" w:leftChars="-2" w:firstLine="315" w:firstLineChars="150"/>
              <w:rPr>
                <w:rFonts w:hint="eastAsia"/>
                <w:color w:val="auto"/>
                <w:highlight w:val="none"/>
              </w:rPr>
            </w:pPr>
            <w:r>
              <w:rPr>
                <w:rFonts w:hint="eastAsia"/>
                <w:color w:val="auto"/>
                <w:highlight w:val="none"/>
              </w:rPr>
              <w:t>我方根据施工合同的约定，现申请支付工程预付款额为(大写)</w:t>
            </w:r>
            <w:r>
              <w:rPr>
                <w:rFonts w:hint="eastAsia"/>
                <w:color w:val="auto"/>
                <w:highlight w:val="none"/>
                <w:u w:val="single"/>
              </w:rPr>
              <w:t xml:space="preserve">            </w:t>
            </w:r>
            <w:r>
              <w:rPr>
                <w:rFonts w:hint="eastAsia"/>
                <w:color w:val="auto"/>
                <w:highlight w:val="none"/>
              </w:rPr>
              <w:t>元，(小写)</w:t>
            </w:r>
          </w:p>
          <w:p w14:paraId="4B2CBD73">
            <w:pPr>
              <w:spacing w:line="400" w:lineRule="exact"/>
              <w:rPr>
                <w:rFonts w:hint="eastAsia"/>
                <w:color w:val="auto"/>
                <w:highlight w:val="none"/>
              </w:rPr>
            </w:pP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764"/>
              <w:gridCol w:w="2240"/>
              <w:gridCol w:w="1080"/>
            </w:tblGrid>
            <w:tr w14:paraId="391E6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6F540EC">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F48A71F">
                  <w:pPr>
                    <w:spacing w:line="280" w:lineRule="exact"/>
                    <w:jc w:val="center"/>
                    <w:rPr>
                      <w:rFonts w:hint="eastAsia"/>
                      <w:color w:val="auto"/>
                      <w:highlight w:val="none"/>
                    </w:rPr>
                  </w:pPr>
                  <w:r>
                    <w:rPr>
                      <w:rFonts w:hint="eastAsia"/>
                      <w:color w:val="auto"/>
                      <w:highlight w:val="none"/>
                    </w:rPr>
                    <w:t>名      称</w:t>
                  </w:r>
                </w:p>
              </w:tc>
              <w:tc>
                <w:tcPr>
                  <w:tcW w:w="1764" w:type="dxa"/>
                  <w:noWrap w:val="0"/>
                  <w:vAlign w:val="center"/>
                </w:tcPr>
                <w:p w14:paraId="6742D0F0">
                  <w:pPr>
                    <w:spacing w:line="280" w:lineRule="exact"/>
                    <w:jc w:val="center"/>
                    <w:rPr>
                      <w:rFonts w:hint="eastAsia"/>
                      <w:color w:val="auto"/>
                      <w:highlight w:val="none"/>
                    </w:rPr>
                  </w:pPr>
                  <w:r>
                    <w:rPr>
                      <w:rFonts w:hint="eastAsia"/>
                      <w:color w:val="auto"/>
                      <w:highlight w:val="none"/>
                    </w:rPr>
                    <w:t>申请金额（元）</w:t>
                  </w:r>
                </w:p>
              </w:tc>
              <w:tc>
                <w:tcPr>
                  <w:tcW w:w="2240" w:type="dxa"/>
                  <w:noWrap w:val="0"/>
                  <w:vAlign w:val="center"/>
                </w:tcPr>
                <w:p w14:paraId="5F624927">
                  <w:pPr>
                    <w:spacing w:line="280" w:lineRule="exact"/>
                    <w:jc w:val="center"/>
                    <w:rPr>
                      <w:rFonts w:hint="eastAsia"/>
                      <w:color w:val="auto"/>
                      <w:highlight w:val="none"/>
                    </w:rPr>
                  </w:pPr>
                  <w:r>
                    <w:rPr>
                      <w:rFonts w:hint="eastAsia"/>
                      <w:color w:val="auto"/>
                      <w:highlight w:val="none"/>
                    </w:rPr>
                    <w:t>复核金额（元）</w:t>
                  </w:r>
                </w:p>
              </w:tc>
              <w:tc>
                <w:tcPr>
                  <w:tcW w:w="1080" w:type="dxa"/>
                  <w:noWrap w:val="0"/>
                  <w:vAlign w:val="center"/>
                </w:tcPr>
                <w:p w14:paraId="0DA87AE4">
                  <w:pPr>
                    <w:spacing w:line="280" w:lineRule="exact"/>
                    <w:jc w:val="center"/>
                    <w:rPr>
                      <w:rFonts w:hint="eastAsia"/>
                      <w:color w:val="auto"/>
                      <w:highlight w:val="none"/>
                    </w:rPr>
                  </w:pPr>
                  <w:r>
                    <w:rPr>
                      <w:rFonts w:hint="eastAsia"/>
                      <w:color w:val="auto"/>
                      <w:highlight w:val="none"/>
                    </w:rPr>
                    <w:t>备注</w:t>
                  </w:r>
                </w:p>
              </w:tc>
            </w:tr>
            <w:tr w14:paraId="614B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7185569">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17A059B3">
                  <w:pPr>
                    <w:spacing w:line="280" w:lineRule="exact"/>
                    <w:rPr>
                      <w:rFonts w:hint="eastAsia"/>
                      <w:color w:val="auto"/>
                      <w:highlight w:val="none"/>
                    </w:rPr>
                  </w:pPr>
                  <w:r>
                    <w:rPr>
                      <w:rFonts w:hint="eastAsia"/>
                      <w:color w:val="auto"/>
                      <w:highlight w:val="none"/>
                    </w:rPr>
                    <w:t>已签约合同价款金额</w:t>
                  </w:r>
                </w:p>
              </w:tc>
              <w:tc>
                <w:tcPr>
                  <w:tcW w:w="1764" w:type="dxa"/>
                  <w:noWrap w:val="0"/>
                  <w:vAlign w:val="top"/>
                </w:tcPr>
                <w:p w14:paraId="4186B83E">
                  <w:pPr>
                    <w:spacing w:line="280" w:lineRule="exact"/>
                    <w:rPr>
                      <w:rFonts w:hint="eastAsia"/>
                      <w:color w:val="auto"/>
                      <w:highlight w:val="none"/>
                    </w:rPr>
                  </w:pPr>
                </w:p>
              </w:tc>
              <w:tc>
                <w:tcPr>
                  <w:tcW w:w="2240" w:type="dxa"/>
                  <w:noWrap w:val="0"/>
                  <w:vAlign w:val="top"/>
                </w:tcPr>
                <w:p w14:paraId="2FCE0C0E">
                  <w:pPr>
                    <w:spacing w:line="280" w:lineRule="exact"/>
                    <w:rPr>
                      <w:rFonts w:hint="eastAsia"/>
                      <w:color w:val="auto"/>
                      <w:highlight w:val="none"/>
                    </w:rPr>
                  </w:pPr>
                </w:p>
              </w:tc>
              <w:tc>
                <w:tcPr>
                  <w:tcW w:w="1080" w:type="dxa"/>
                  <w:noWrap w:val="0"/>
                  <w:vAlign w:val="top"/>
                </w:tcPr>
                <w:p w14:paraId="3F3238F1">
                  <w:pPr>
                    <w:spacing w:line="280" w:lineRule="exact"/>
                    <w:rPr>
                      <w:rFonts w:hint="eastAsia"/>
                      <w:color w:val="auto"/>
                      <w:highlight w:val="none"/>
                    </w:rPr>
                  </w:pPr>
                </w:p>
              </w:tc>
            </w:tr>
            <w:tr w14:paraId="6AF9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6F7956">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75D401AB">
                  <w:pPr>
                    <w:spacing w:line="280" w:lineRule="exact"/>
                    <w:rPr>
                      <w:rFonts w:hint="eastAsia"/>
                      <w:color w:val="auto"/>
                      <w:highlight w:val="none"/>
                    </w:rPr>
                  </w:pPr>
                  <w:r>
                    <w:rPr>
                      <w:rFonts w:hint="eastAsia"/>
                      <w:color w:val="auto"/>
                      <w:highlight w:val="none"/>
                    </w:rPr>
                    <w:t>其中：安全文明施工费</w:t>
                  </w:r>
                </w:p>
              </w:tc>
              <w:tc>
                <w:tcPr>
                  <w:tcW w:w="1764" w:type="dxa"/>
                  <w:noWrap w:val="0"/>
                  <w:vAlign w:val="top"/>
                </w:tcPr>
                <w:p w14:paraId="05AC7358">
                  <w:pPr>
                    <w:spacing w:line="280" w:lineRule="exact"/>
                    <w:rPr>
                      <w:rFonts w:hint="eastAsia"/>
                      <w:color w:val="auto"/>
                      <w:highlight w:val="none"/>
                    </w:rPr>
                  </w:pPr>
                </w:p>
              </w:tc>
              <w:tc>
                <w:tcPr>
                  <w:tcW w:w="2240" w:type="dxa"/>
                  <w:noWrap w:val="0"/>
                  <w:vAlign w:val="top"/>
                </w:tcPr>
                <w:p w14:paraId="35903B75">
                  <w:pPr>
                    <w:spacing w:line="280" w:lineRule="exact"/>
                    <w:rPr>
                      <w:rFonts w:hint="eastAsia"/>
                      <w:color w:val="auto"/>
                      <w:highlight w:val="none"/>
                    </w:rPr>
                  </w:pPr>
                </w:p>
              </w:tc>
              <w:tc>
                <w:tcPr>
                  <w:tcW w:w="1080" w:type="dxa"/>
                  <w:noWrap w:val="0"/>
                  <w:vAlign w:val="top"/>
                </w:tcPr>
                <w:p w14:paraId="0C6700B1">
                  <w:pPr>
                    <w:spacing w:line="280" w:lineRule="exact"/>
                    <w:rPr>
                      <w:rFonts w:hint="eastAsia"/>
                      <w:color w:val="auto"/>
                      <w:highlight w:val="none"/>
                    </w:rPr>
                  </w:pPr>
                </w:p>
              </w:tc>
            </w:tr>
            <w:tr w14:paraId="4737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356493F">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6262D6FE">
                  <w:pPr>
                    <w:spacing w:line="280" w:lineRule="exact"/>
                    <w:rPr>
                      <w:rFonts w:hint="eastAsia"/>
                      <w:color w:val="auto"/>
                      <w:highlight w:val="none"/>
                    </w:rPr>
                  </w:pPr>
                  <w:r>
                    <w:rPr>
                      <w:rFonts w:hint="eastAsia"/>
                      <w:color w:val="auto"/>
                      <w:highlight w:val="none"/>
                    </w:rPr>
                    <w:t>应支付的预付款</w:t>
                  </w:r>
                </w:p>
              </w:tc>
              <w:tc>
                <w:tcPr>
                  <w:tcW w:w="1764" w:type="dxa"/>
                  <w:noWrap w:val="0"/>
                  <w:vAlign w:val="top"/>
                </w:tcPr>
                <w:p w14:paraId="5FEB3E7A">
                  <w:pPr>
                    <w:spacing w:line="280" w:lineRule="exact"/>
                    <w:rPr>
                      <w:rFonts w:hint="eastAsia"/>
                      <w:color w:val="auto"/>
                      <w:highlight w:val="none"/>
                    </w:rPr>
                  </w:pPr>
                </w:p>
              </w:tc>
              <w:tc>
                <w:tcPr>
                  <w:tcW w:w="2240" w:type="dxa"/>
                  <w:noWrap w:val="0"/>
                  <w:vAlign w:val="top"/>
                </w:tcPr>
                <w:p w14:paraId="21F76154">
                  <w:pPr>
                    <w:spacing w:line="280" w:lineRule="exact"/>
                    <w:rPr>
                      <w:rFonts w:hint="eastAsia"/>
                      <w:color w:val="auto"/>
                      <w:highlight w:val="none"/>
                    </w:rPr>
                  </w:pPr>
                </w:p>
              </w:tc>
              <w:tc>
                <w:tcPr>
                  <w:tcW w:w="1080" w:type="dxa"/>
                  <w:noWrap w:val="0"/>
                  <w:vAlign w:val="top"/>
                </w:tcPr>
                <w:p w14:paraId="1A3EAEAE">
                  <w:pPr>
                    <w:spacing w:line="280" w:lineRule="exact"/>
                    <w:rPr>
                      <w:rFonts w:hint="eastAsia"/>
                      <w:color w:val="auto"/>
                      <w:highlight w:val="none"/>
                    </w:rPr>
                  </w:pPr>
                </w:p>
              </w:tc>
            </w:tr>
            <w:tr w14:paraId="76F2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66B67B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628F3948">
                  <w:pPr>
                    <w:spacing w:line="280" w:lineRule="exact"/>
                    <w:rPr>
                      <w:rFonts w:hint="eastAsia"/>
                      <w:color w:val="auto"/>
                      <w:highlight w:val="none"/>
                    </w:rPr>
                  </w:pPr>
                  <w:r>
                    <w:rPr>
                      <w:rFonts w:hint="eastAsia"/>
                      <w:color w:val="auto"/>
                      <w:highlight w:val="none"/>
                    </w:rPr>
                    <w:t>应支付的安全文明施工费预付款</w:t>
                  </w:r>
                </w:p>
              </w:tc>
              <w:tc>
                <w:tcPr>
                  <w:tcW w:w="1764" w:type="dxa"/>
                  <w:noWrap w:val="0"/>
                  <w:vAlign w:val="top"/>
                </w:tcPr>
                <w:p w14:paraId="748B8B01">
                  <w:pPr>
                    <w:spacing w:line="280" w:lineRule="exact"/>
                    <w:rPr>
                      <w:rFonts w:hint="eastAsia"/>
                      <w:color w:val="auto"/>
                      <w:highlight w:val="none"/>
                    </w:rPr>
                  </w:pPr>
                </w:p>
              </w:tc>
              <w:tc>
                <w:tcPr>
                  <w:tcW w:w="2240" w:type="dxa"/>
                  <w:noWrap w:val="0"/>
                  <w:vAlign w:val="top"/>
                </w:tcPr>
                <w:p w14:paraId="39AF170C">
                  <w:pPr>
                    <w:spacing w:line="280" w:lineRule="exact"/>
                    <w:rPr>
                      <w:rFonts w:hint="eastAsia"/>
                      <w:color w:val="auto"/>
                      <w:highlight w:val="none"/>
                    </w:rPr>
                  </w:pPr>
                </w:p>
              </w:tc>
              <w:tc>
                <w:tcPr>
                  <w:tcW w:w="1080" w:type="dxa"/>
                  <w:noWrap w:val="0"/>
                  <w:vAlign w:val="top"/>
                </w:tcPr>
                <w:p w14:paraId="21C9BFCE">
                  <w:pPr>
                    <w:spacing w:line="280" w:lineRule="exact"/>
                    <w:rPr>
                      <w:rFonts w:hint="eastAsia"/>
                      <w:color w:val="auto"/>
                      <w:highlight w:val="none"/>
                    </w:rPr>
                  </w:pPr>
                </w:p>
              </w:tc>
            </w:tr>
            <w:tr w14:paraId="7C02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700F3AF0">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31EF6A15">
                  <w:pPr>
                    <w:spacing w:line="280" w:lineRule="exact"/>
                    <w:rPr>
                      <w:rFonts w:hint="eastAsia"/>
                      <w:color w:val="auto"/>
                      <w:highlight w:val="none"/>
                    </w:rPr>
                  </w:pPr>
                  <w:r>
                    <w:rPr>
                      <w:rFonts w:hint="eastAsia"/>
                      <w:color w:val="auto"/>
                      <w:highlight w:val="none"/>
                    </w:rPr>
                    <w:t>合计应支付的预付款</w:t>
                  </w:r>
                </w:p>
              </w:tc>
              <w:tc>
                <w:tcPr>
                  <w:tcW w:w="1764" w:type="dxa"/>
                  <w:noWrap w:val="0"/>
                  <w:vAlign w:val="top"/>
                </w:tcPr>
                <w:p w14:paraId="25BCF8E2">
                  <w:pPr>
                    <w:spacing w:line="280" w:lineRule="exact"/>
                    <w:rPr>
                      <w:rFonts w:hint="eastAsia"/>
                      <w:color w:val="auto"/>
                      <w:highlight w:val="none"/>
                    </w:rPr>
                  </w:pPr>
                </w:p>
              </w:tc>
              <w:tc>
                <w:tcPr>
                  <w:tcW w:w="2240" w:type="dxa"/>
                  <w:noWrap w:val="0"/>
                  <w:vAlign w:val="top"/>
                </w:tcPr>
                <w:p w14:paraId="54DB9C1A">
                  <w:pPr>
                    <w:spacing w:line="280" w:lineRule="exact"/>
                    <w:rPr>
                      <w:rFonts w:hint="eastAsia"/>
                      <w:color w:val="auto"/>
                      <w:highlight w:val="none"/>
                    </w:rPr>
                  </w:pPr>
                </w:p>
              </w:tc>
              <w:tc>
                <w:tcPr>
                  <w:tcW w:w="1080" w:type="dxa"/>
                  <w:noWrap w:val="0"/>
                  <w:vAlign w:val="top"/>
                </w:tcPr>
                <w:p w14:paraId="411748C9">
                  <w:pPr>
                    <w:spacing w:line="280" w:lineRule="exact"/>
                    <w:rPr>
                      <w:rFonts w:hint="eastAsia"/>
                      <w:color w:val="auto"/>
                      <w:highlight w:val="none"/>
                    </w:rPr>
                  </w:pPr>
                </w:p>
              </w:tc>
            </w:tr>
            <w:tr w14:paraId="717F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CAB9D1">
                  <w:pPr>
                    <w:spacing w:line="280" w:lineRule="exact"/>
                    <w:jc w:val="center"/>
                    <w:rPr>
                      <w:rFonts w:hint="eastAsia"/>
                      <w:color w:val="auto"/>
                      <w:highlight w:val="none"/>
                    </w:rPr>
                  </w:pPr>
                </w:p>
              </w:tc>
              <w:tc>
                <w:tcPr>
                  <w:tcW w:w="3340" w:type="dxa"/>
                  <w:noWrap w:val="0"/>
                  <w:vAlign w:val="top"/>
                </w:tcPr>
                <w:p w14:paraId="6AF84EE0">
                  <w:pPr>
                    <w:spacing w:line="280" w:lineRule="exact"/>
                    <w:rPr>
                      <w:rFonts w:hint="eastAsia"/>
                      <w:color w:val="auto"/>
                      <w:highlight w:val="none"/>
                    </w:rPr>
                  </w:pPr>
                </w:p>
              </w:tc>
              <w:tc>
                <w:tcPr>
                  <w:tcW w:w="1764" w:type="dxa"/>
                  <w:noWrap w:val="0"/>
                  <w:vAlign w:val="top"/>
                </w:tcPr>
                <w:p w14:paraId="616ABED5">
                  <w:pPr>
                    <w:spacing w:line="280" w:lineRule="exact"/>
                    <w:rPr>
                      <w:rFonts w:hint="eastAsia"/>
                      <w:color w:val="auto"/>
                      <w:highlight w:val="none"/>
                    </w:rPr>
                  </w:pPr>
                </w:p>
              </w:tc>
              <w:tc>
                <w:tcPr>
                  <w:tcW w:w="2240" w:type="dxa"/>
                  <w:noWrap w:val="0"/>
                  <w:vAlign w:val="top"/>
                </w:tcPr>
                <w:p w14:paraId="3654A016">
                  <w:pPr>
                    <w:spacing w:line="280" w:lineRule="exact"/>
                    <w:rPr>
                      <w:rFonts w:hint="eastAsia"/>
                      <w:color w:val="auto"/>
                      <w:highlight w:val="none"/>
                    </w:rPr>
                  </w:pPr>
                </w:p>
              </w:tc>
              <w:tc>
                <w:tcPr>
                  <w:tcW w:w="1080" w:type="dxa"/>
                  <w:noWrap w:val="0"/>
                  <w:vAlign w:val="top"/>
                </w:tcPr>
                <w:p w14:paraId="345BC35D">
                  <w:pPr>
                    <w:spacing w:line="280" w:lineRule="exact"/>
                    <w:rPr>
                      <w:rFonts w:hint="eastAsia"/>
                      <w:color w:val="auto"/>
                      <w:highlight w:val="none"/>
                    </w:rPr>
                  </w:pPr>
                </w:p>
              </w:tc>
            </w:tr>
          </w:tbl>
          <w:p w14:paraId="79F41330">
            <w:pPr>
              <w:wordWrap w:val="0"/>
              <w:spacing w:line="400" w:lineRule="exact"/>
              <w:ind w:right="420"/>
              <w:rPr>
                <w:rFonts w:hint="eastAsia"/>
                <w:color w:val="auto"/>
                <w:highlight w:val="none"/>
              </w:rPr>
            </w:pPr>
          </w:p>
          <w:p w14:paraId="33DC4EDB">
            <w:pPr>
              <w:wordWrap w:val="0"/>
              <w:spacing w:line="400" w:lineRule="exact"/>
              <w:ind w:right="420"/>
              <w:rPr>
                <w:rFonts w:hint="eastAsia"/>
                <w:color w:val="auto"/>
                <w:highlight w:val="none"/>
              </w:rPr>
            </w:pPr>
            <w:r>
              <w:rPr>
                <w:rFonts w:hint="eastAsia"/>
                <w:color w:val="auto"/>
                <w:highlight w:val="none"/>
              </w:rPr>
              <w:t xml:space="preserve">                                            承包人（章）             </w:t>
            </w:r>
          </w:p>
          <w:p w14:paraId="01F85143">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65A6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730E801">
            <w:pPr>
              <w:spacing w:line="360" w:lineRule="exact"/>
              <w:rPr>
                <w:rFonts w:hint="eastAsia"/>
                <w:color w:val="auto"/>
                <w:highlight w:val="none"/>
              </w:rPr>
            </w:pPr>
            <w:r>
              <w:rPr>
                <w:rFonts w:hint="eastAsia"/>
                <w:color w:val="auto"/>
                <w:highlight w:val="none"/>
              </w:rPr>
              <w:t>复核意见：</w:t>
            </w:r>
          </w:p>
          <w:p w14:paraId="3039A648">
            <w:pPr>
              <w:spacing w:line="360" w:lineRule="exact"/>
              <w:ind w:firstLine="312"/>
              <w:rPr>
                <w:rFonts w:hint="eastAsia"/>
                <w:color w:val="auto"/>
                <w:highlight w:val="none"/>
              </w:rPr>
            </w:pPr>
            <w:r>
              <w:rPr>
                <w:rFonts w:hint="eastAsia"/>
                <w:color w:val="auto"/>
                <w:highlight w:val="none"/>
              </w:rPr>
              <w:t>□与合同约定不相符，修改意见见附件。</w:t>
            </w:r>
          </w:p>
          <w:p w14:paraId="3066EA58">
            <w:pPr>
              <w:spacing w:line="360" w:lineRule="exact"/>
              <w:ind w:firstLine="312"/>
              <w:rPr>
                <w:rFonts w:hint="eastAsia"/>
                <w:color w:val="auto"/>
                <w:highlight w:val="none"/>
              </w:rPr>
            </w:pPr>
            <w:r>
              <w:rPr>
                <w:rFonts w:hint="eastAsia"/>
                <w:color w:val="auto"/>
                <w:highlight w:val="none"/>
              </w:rPr>
              <w:t>□与合同约定相符，具体金额由造价工程师复核。</w:t>
            </w:r>
          </w:p>
          <w:p w14:paraId="75A263FD">
            <w:pPr>
              <w:spacing w:line="360" w:lineRule="exact"/>
              <w:ind w:firstLine="435"/>
              <w:jc w:val="right"/>
              <w:rPr>
                <w:rFonts w:hint="eastAsia"/>
                <w:color w:val="auto"/>
                <w:highlight w:val="none"/>
              </w:rPr>
            </w:pPr>
          </w:p>
          <w:p w14:paraId="0712A928">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41B500B">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481CF853">
            <w:pPr>
              <w:spacing w:line="360" w:lineRule="exact"/>
              <w:rPr>
                <w:rFonts w:hint="eastAsia"/>
                <w:color w:val="auto"/>
                <w:highlight w:val="none"/>
              </w:rPr>
            </w:pPr>
            <w:r>
              <w:rPr>
                <w:rFonts w:hint="eastAsia"/>
                <w:color w:val="auto"/>
                <w:highlight w:val="none"/>
              </w:rPr>
              <w:t>复核意见：</w:t>
            </w:r>
          </w:p>
          <w:p w14:paraId="086982CE">
            <w:pPr>
              <w:spacing w:line="360" w:lineRule="exact"/>
              <w:ind w:firstLine="435"/>
              <w:rPr>
                <w:rFonts w:hint="eastAsia"/>
                <w:color w:val="auto"/>
                <w:highlight w:val="none"/>
              </w:rPr>
            </w:pPr>
            <w:r>
              <w:rPr>
                <w:rFonts w:hint="eastAsia"/>
                <w:color w:val="auto"/>
                <w:highlight w:val="none"/>
              </w:rPr>
              <w:t>你方提出的支付申请经复核，应支付预付款金额为(大写)</w:t>
            </w:r>
            <w:r>
              <w:rPr>
                <w:rFonts w:hint="eastAsia"/>
                <w:color w:val="auto"/>
                <w:highlight w:val="none"/>
                <w:u w:val="single"/>
              </w:rPr>
              <w:t xml:space="preserve">                </w:t>
            </w:r>
            <w:r>
              <w:rPr>
                <w:rFonts w:hint="eastAsia"/>
                <w:color w:val="auto"/>
                <w:highlight w:val="none"/>
              </w:rPr>
              <w:t>元，（小写）</w:t>
            </w:r>
          </w:p>
          <w:p w14:paraId="750D10BD">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w:t>
            </w:r>
          </w:p>
          <w:p w14:paraId="7F54721C">
            <w:pPr>
              <w:spacing w:line="360" w:lineRule="exact"/>
              <w:rPr>
                <w:rFonts w:hint="eastAsia"/>
                <w:color w:val="auto"/>
                <w:highlight w:val="none"/>
                <w:u w:val="single"/>
              </w:rPr>
            </w:pPr>
          </w:p>
          <w:p w14:paraId="2CE69C3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19F2645C">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r w14:paraId="178A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54A27C68">
            <w:pPr>
              <w:spacing w:line="400" w:lineRule="exact"/>
              <w:rPr>
                <w:rFonts w:hint="eastAsia"/>
                <w:color w:val="auto"/>
                <w:highlight w:val="none"/>
              </w:rPr>
            </w:pPr>
            <w:r>
              <w:rPr>
                <w:rFonts w:hint="eastAsia"/>
                <w:color w:val="auto"/>
                <w:highlight w:val="none"/>
              </w:rPr>
              <w:t>审核意见：</w:t>
            </w:r>
          </w:p>
          <w:p w14:paraId="3F7D472A">
            <w:pPr>
              <w:spacing w:line="400" w:lineRule="exact"/>
              <w:ind w:firstLine="435"/>
              <w:rPr>
                <w:rFonts w:hint="eastAsia"/>
                <w:color w:val="auto"/>
                <w:highlight w:val="none"/>
              </w:rPr>
            </w:pPr>
            <w:r>
              <w:rPr>
                <w:rFonts w:hint="eastAsia"/>
                <w:color w:val="auto"/>
                <w:highlight w:val="none"/>
              </w:rPr>
              <w:t>□不同意。</w:t>
            </w:r>
          </w:p>
          <w:p w14:paraId="3A012997">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59168CF8">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339EC791">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1BAF353">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73776DE5">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4F73E9D1">
      <w:pPr>
        <w:spacing w:before="120" w:beforeLines="50"/>
        <w:ind w:left="720" w:hanging="720" w:hangingChars="400"/>
        <w:rPr>
          <w:rFonts w:hint="eastAsia" w:eastAsia="仿宋_GB2312"/>
          <w:color w:val="auto"/>
          <w:sz w:val="30"/>
          <w:szCs w:val="30"/>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9E9CE04">
      <w:pPr>
        <w:spacing w:before="120" w:beforeLines="50"/>
        <w:ind w:left="1200" w:hanging="1200" w:hangingChars="400"/>
        <w:rPr>
          <w:rFonts w:hint="eastAsia" w:eastAsia="仿宋_GB2312"/>
          <w:color w:val="auto"/>
          <w:sz w:val="30"/>
          <w:szCs w:val="30"/>
          <w:highlight w:val="none"/>
        </w:rPr>
      </w:pPr>
      <w:r>
        <w:rPr>
          <w:rFonts w:hint="eastAsia" w:eastAsia="仿宋_GB2312"/>
          <w:color w:val="auto"/>
          <w:sz w:val="30"/>
          <w:szCs w:val="30"/>
          <w:highlight w:val="none"/>
        </w:rPr>
        <w:t>附件11：</w:t>
      </w:r>
    </w:p>
    <w:p w14:paraId="13DB4D4E">
      <w:pPr>
        <w:jc w:val="center"/>
        <w:rPr>
          <w:rFonts w:hint="eastAsia"/>
          <w:b/>
          <w:color w:val="auto"/>
          <w:sz w:val="36"/>
          <w:szCs w:val="36"/>
          <w:highlight w:val="none"/>
        </w:rPr>
      </w:pPr>
      <w:r>
        <w:rPr>
          <w:rFonts w:hint="eastAsia"/>
          <w:b/>
          <w:color w:val="auto"/>
          <w:sz w:val="36"/>
          <w:szCs w:val="36"/>
          <w:highlight w:val="none"/>
        </w:rPr>
        <w:t>进度款支付申请（核准）表</w:t>
      </w:r>
    </w:p>
    <w:p w14:paraId="4A0C3282">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552"/>
      </w:tblGrid>
      <w:tr w14:paraId="1FDE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48" w:hRule="atLeast"/>
          <w:jc w:val="center"/>
        </w:trPr>
        <w:tc>
          <w:tcPr>
            <w:tcW w:w="9072" w:type="dxa"/>
            <w:gridSpan w:val="2"/>
            <w:noWrap w:val="0"/>
            <w:vAlign w:val="top"/>
          </w:tcPr>
          <w:p w14:paraId="0F04E06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0EC5D83D">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w:t>
            </w:r>
            <w:r>
              <w:rPr>
                <w:rFonts w:hint="eastAsia"/>
                <w:color w:val="auto"/>
                <w:highlight w:val="none"/>
                <w:u w:val="single"/>
              </w:rPr>
              <w:t xml:space="preserve">               </w:t>
            </w:r>
            <w:r>
              <w:rPr>
                <w:rFonts w:hint="eastAsia"/>
                <w:color w:val="auto"/>
                <w:highlight w:val="none"/>
              </w:rPr>
              <w:t>工作，根据施工合同的约定，现申请支付本期的合同款额为(大写)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340"/>
              <w:gridCol w:w="1440"/>
              <w:gridCol w:w="1260"/>
              <w:gridCol w:w="931"/>
            </w:tblGrid>
            <w:tr w14:paraId="24C3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CB180BF">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6647108">
                  <w:pPr>
                    <w:spacing w:line="280" w:lineRule="exact"/>
                    <w:jc w:val="center"/>
                    <w:rPr>
                      <w:rFonts w:hint="eastAsia"/>
                      <w:color w:val="auto"/>
                      <w:highlight w:val="none"/>
                    </w:rPr>
                  </w:pPr>
                  <w:r>
                    <w:rPr>
                      <w:rFonts w:hint="eastAsia"/>
                      <w:color w:val="auto"/>
                      <w:highlight w:val="none"/>
                    </w:rPr>
                    <w:t>名      称</w:t>
                  </w:r>
                </w:p>
              </w:tc>
              <w:tc>
                <w:tcPr>
                  <w:tcW w:w="1340" w:type="dxa"/>
                  <w:noWrap w:val="0"/>
                  <w:vAlign w:val="center"/>
                </w:tcPr>
                <w:p w14:paraId="012B15CB">
                  <w:pPr>
                    <w:spacing w:line="280" w:lineRule="exact"/>
                    <w:jc w:val="center"/>
                    <w:rPr>
                      <w:rFonts w:hint="eastAsia"/>
                      <w:color w:val="auto"/>
                      <w:highlight w:val="none"/>
                    </w:rPr>
                  </w:pPr>
                  <w:r>
                    <w:rPr>
                      <w:rFonts w:hint="eastAsia"/>
                      <w:color w:val="auto"/>
                      <w:highlight w:val="none"/>
                    </w:rPr>
                    <w:t>实际金额（元）</w:t>
                  </w:r>
                </w:p>
              </w:tc>
              <w:tc>
                <w:tcPr>
                  <w:tcW w:w="1440" w:type="dxa"/>
                  <w:noWrap w:val="0"/>
                  <w:vAlign w:val="center"/>
                </w:tcPr>
                <w:p w14:paraId="3C823340">
                  <w:pPr>
                    <w:spacing w:line="280" w:lineRule="exact"/>
                    <w:jc w:val="center"/>
                    <w:rPr>
                      <w:rFonts w:hint="eastAsia"/>
                      <w:color w:val="auto"/>
                      <w:highlight w:val="none"/>
                    </w:rPr>
                  </w:pPr>
                  <w:r>
                    <w:rPr>
                      <w:rFonts w:hint="eastAsia"/>
                      <w:color w:val="auto"/>
                      <w:highlight w:val="none"/>
                    </w:rPr>
                    <w:t>申请金额（元）</w:t>
                  </w:r>
                </w:p>
              </w:tc>
              <w:tc>
                <w:tcPr>
                  <w:tcW w:w="1260" w:type="dxa"/>
                  <w:noWrap w:val="0"/>
                  <w:vAlign w:val="center"/>
                </w:tcPr>
                <w:p w14:paraId="7DB31BAE">
                  <w:pPr>
                    <w:spacing w:line="280" w:lineRule="exact"/>
                    <w:jc w:val="center"/>
                    <w:rPr>
                      <w:rFonts w:hint="eastAsia"/>
                      <w:color w:val="auto"/>
                      <w:highlight w:val="none"/>
                    </w:rPr>
                  </w:pPr>
                  <w:r>
                    <w:rPr>
                      <w:rFonts w:hint="eastAsia"/>
                      <w:color w:val="auto"/>
                      <w:highlight w:val="none"/>
                    </w:rPr>
                    <w:t>复核金额（元）</w:t>
                  </w:r>
                </w:p>
              </w:tc>
              <w:tc>
                <w:tcPr>
                  <w:tcW w:w="931" w:type="dxa"/>
                  <w:noWrap w:val="0"/>
                  <w:vAlign w:val="center"/>
                </w:tcPr>
                <w:p w14:paraId="00945563">
                  <w:pPr>
                    <w:spacing w:line="280" w:lineRule="exact"/>
                    <w:jc w:val="center"/>
                    <w:rPr>
                      <w:rFonts w:hint="eastAsia"/>
                      <w:color w:val="auto"/>
                      <w:highlight w:val="none"/>
                    </w:rPr>
                  </w:pPr>
                  <w:r>
                    <w:rPr>
                      <w:rFonts w:hint="eastAsia"/>
                      <w:color w:val="auto"/>
                      <w:highlight w:val="none"/>
                    </w:rPr>
                    <w:t>备注</w:t>
                  </w:r>
                </w:p>
              </w:tc>
            </w:tr>
            <w:tr w14:paraId="57CFC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BCA139D">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312239DA">
                  <w:pPr>
                    <w:spacing w:line="280" w:lineRule="exact"/>
                    <w:rPr>
                      <w:rFonts w:hint="eastAsia"/>
                      <w:color w:val="auto"/>
                      <w:highlight w:val="none"/>
                    </w:rPr>
                  </w:pPr>
                  <w:r>
                    <w:rPr>
                      <w:rFonts w:hint="eastAsia"/>
                      <w:color w:val="auto"/>
                      <w:highlight w:val="none"/>
                    </w:rPr>
                    <w:t>累计已完成的工程价款</w:t>
                  </w:r>
                </w:p>
              </w:tc>
              <w:tc>
                <w:tcPr>
                  <w:tcW w:w="1340" w:type="dxa"/>
                  <w:noWrap w:val="0"/>
                  <w:vAlign w:val="top"/>
                </w:tcPr>
                <w:p w14:paraId="16D4D09D">
                  <w:pPr>
                    <w:spacing w:line="280" w:lineRule="exact"/>
                    <w:rPr>
                      <w:rFonts w:hint="eastAsia"/>
                      <w:color w:val="auto"/>
                      <w:highlight w:val="none"/>
                    </w:rPr>
                  </w:pPr>
                </w:p>
              </w:tc>
              <w:tc>
                <w:tcPr>
                  <w:tcW w:w="1440" w:type="dxa"/>
                  <w:noWrap w:val="0"/>
                  <w:vAlign w:val="top"/>
                </w:tcPr>
                <w:p w14:paraId="4FF6D4F1">
                  <w:pPr>
                    <w:spacing w:line="280" w:lineRule="exact"/>
                    <w:rPr>
                      <w:rFonts w:hint="eastAsia"/>
                      <w:color w:val="auto"/>
                      <w:highlight w:val="none"/>
                    </w:rPr>
                  </w:pPr>
                </w:p>
              </w:tc>
              <w:tc>
                <w:tcPr>
                  <w:tcW w:w="1260" w:type="dxa"/>
                  <w:noWrap w:val="0"/>
                  <w:vAlign w:val="top"/>
                </w:tcPr>
                <w:p w14:paraId="0C85C9CC">
                  <w:pPr>
                    <w:spacing w:line="280" w:lineRule="exact"/>
                    <w:rPr>
                      <w:rFonts w:hint="eastAsia"/>
                      <w:color w:val="auto"/>
                      <w:highlight w:val="none"/>
                    </w:rPr>
                  </w:pPr>
                </w:p>
              </w:tc>
              <w:tc>
                <w:tcPr>
                  <w:tcW w:w="931" w:type="dxa"/>
                  <w:noWrap w:val="0"/>
                  <w:vAlign w:val="top"/>
                </w:tcPr>
                <w:p w14:paraId="5CB71444">
                  <w:pPr>
                    <w:spacing w:line="280" w:lineRule="exact"/>
                    <w:rPr>
                      <w:rFonts w:hint="eastAsia"/>
                      <w:color w:val="auto"/>
                      <w:highlight w:val="none"/>
                    </w:rPr>
                  </w:pPr>
                </w:p>
              </w:tc>
            </w:tr>
            <w:tr w14:paraId="73B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AC53114">
                  <w:pPr>
                    <w:spacing w:line="280" w:lineRule="exact"/>
                    <w:jc w:val="center"/>
                    <w:rPr>
                      <w:rFonts w:hint="eastAsia"/>
                      <w:color w:val="auto"/>
                      <w:highlight w:val="none"/>
                    </w:rPr>
                  </w:pPr>
                </w:p>
              </w:tc>
              <w:tc>
                <w:tcPr>
                  <w:tcW w:w="3340" w:type="dxa"/>
                  <w:noWrap w:val="0"/>
                  <w:vAlign w:val="top"/>
                </w:tcPr>
                <w:p w14:paraId="3C4E0393">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6C8A9476">
                  <w:pPr>
                    <w:spacing w:line="280" w:lineRule="exact"/>
                    <w:rPr>
                      <w:rFonts w:hint="eastAsia"/>
                      <w:color w:val="auto"/>
                      <w:highlight w:val="none"/>
                    </w:rPr>
                  </w:pPr>
                </w:p>
              </w:tc>
              <w:tc>
                <w:tcPr>
                  <w:tcW w:w="1440" w:type="dxa"/>
                  <w:noWrap w:val="0"/>
                  <w:vAlign w:val="top"/>
                </w:tcPr>
                <w:p w14:paraId="0A53D4E1">
                  <w:pPr>
                    <w:spacing w:line="280" w:lineRule="exact"/>
                    <w:rPr>
                      <w:rFonts w:hint="eastAsia"/>
                      <w:color w:val="auto"/>
                      <w:highlight w:val="none"/>
                    </w:rPr>
                  </w:pPr>
                </w:p>
              </w:tc>
              <w:tc>
                <w:tcPr>
                  <w:tcW w:w="1260" w:type="dxa"/>
                  <w:noWrap w:val="0"/>
                  <w:vAlign w:val="top"/>
                </w:tcPr>
                <w:p w14:paraId="27429D44">
                  <w:pPr>
                    <w:spacing w:line="280" w:lineRule="exact"/>
                    <w:rPr>
                      <w:rFonts w:hint="eastAsia"/>
                      <w:color w:val="auto"/>
                      <w:highlight w:val="none"/>
                    </w:rPr>
                  </w:pPr>
                </w:p>
              </w:tc>
              <w:tc>
                <w:tcPr>
                  <w:tcW w:w="931" w:type="dxa"/>
                  <w:noWrap w:val="0"/>
                  <w:vAlign w:val="top"/>
                </w:tcPr>
                <w:p w14:paraId="68CC42FC">
                  <w:pPr>
                    <w:spacing w:line="280" w:lineRule="exact"/>
                    <w:rPr>
                      <w:rFonts w:hint="eastAsia"/>
                      <w:color w:val="auto"/>
                      <w:highlight w:val="none"/>
                    </w:rPr>
                  </w:pPr>
                </w:p>
              </w:tc>
            </w:tr>
            <w:tr w14:paraId="69515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AA0EA9">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54C2E41E">
                  <w:pPr>
                    <w:spacing w:line="280" w:lineRule="exact"/>
                    <w:rPr>
                      <w:rFonts w:hint="eastAsia"/>
                      <w:color w:val="auto"/>
                      <w:highlight w:val="none"/>
                    </w:rPr>
                  </w:pPr>
                  <w:r>
                    <w:rPr>
                      <w:rFonts w:hint="eastAsia"/>
                      <w:color w:val="auto"/>
                      <w:highlight w:val="none"/>
                    </w:rPr>
                    <w:t>累计已实际支付的工程价款</w:t>
                  </w:r>
                </w:p>
              </w:tc>
              <w:tc>
                <w:tcPr>
                  <w:tcW w:w="1340" w:type="dxa"/>
                  <w:noWrap w:val="0"/>
                  <w:vAlign w:val="top"/>
                </w:tcPr>
                <w:p w14:paraId="1C715B67">
                  <w:pPr>
                    <w:spacing w:line="280" w:lineRule="exact"/>
                    <w:rPr>
                      <w:rFonts w:hint="eastAsia"/>
                      <w:color w:val="auto"/>
                      <w:highlight w:val="none"/>
                    </w:rPr>
                  </w:pPr>
                </w:p>
              </w:tc>
              <w:tc>
                <w:tcPr>
                  <w:tcW w:w="1440" w:type="dxa"/>
                  <w:noWrap w:val="0"/>
                  <w:vAlign w:val="top"/>
                </w:tcPr>
                <w:p w14:paraId="1E127AA3">
                  <w:pPr>
                    <w:spacing w:line="280" w:lineRule="exact"/>
                    <w:rPr>
                      <w:rFonts w:hint="eastAsia"/>
                      <w:color w:val="auto"/>
                      <w:highlight w:val="none"/>
                    </w:rPr>
                  </w:pPr>
                </w:p>
              </w:tc>
              <w:tc>
                <w:tcPr>
                  <w:tcW w:w="1260" w:type="dxa"/>
                  <w:noWrap w:val="0"/>
                  <w:vAlign w:val="top"/>
                </w:tcPr>
                <w:p w14:paraId="37D11C6D">
                  <w:pPr>
                    <w:spacing w:line="280" w:lineRule="exact"/>
                    <w:rPr>
                      <w:rFonts w:hint="eastAsia"/>
                      <w:color w:val="auto"/>
                      <w:highlight w:val="none"/>
                    </w:rPr>
                  </w:pPr>
                </w:p>
              </w:tc>
              <w:tc>
                <w:tcPr>
                  <w:tcW w:w="931" w:type="dxa"/>
                  <w:noWrap w:val="0"/>
                  <w:vAlign w:val="top"/>
                </w:tcPr>
                <w:p w14:paraId="347DB35B">
                  <w:pPr>
                    <w:spacing w:line="280" w:lineRule="exact"/>
                    <w:rPr>
                      <w:rFonts w:hint="eastAsia"/>
                      <w:color w:val="auto"/>
                      <w:highlight w:val="none"/>
                    </w:rPr>
                  </w:pPr>
                </w:p>
              </w:tc>
            </w:tr>
            <w:tr w14:paraId="3A42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9D5C2EF">
                  <w:pPr>
                    <w:spacing w:line="280" w:lineRule="exact"/>
                    <w:jc w:val="center"/>
                    <w:rPr>
                      <w:rFonts w:hint="eastAsia"/>
                      <w:color w:val="auto"/>
                      <w:highlight w:val="none"/>
                    </w:rPr>
                  </w:pPr>
                </w:p>
              </w:tc>
              <w:tc>
                <w:tcPr>
                  <w:tcW w:w="3340" w:type="dxa"/>
                  <w:noWrap w:val="0"/>
                  <w:vAlign w:val="top"/>
                </w:tcPr>
                <w:p w14:paraId="7870B248">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1E9DA05B">
                  <w:pPr>
                    <w:spacing w:line="280" w:lineRule="exact"/>
                    <w:rPr>
                      <w:rFonts w:hint="eastAsia"/>
                      <w:color w:val="auto"/>
                      <w:highlight w:val="none"/>
                    </w:rPr>
                  </w:pPr>
                </w:p>
              </w:tc>
              <w:tc>
                <w:tcPr>
                  <w:tcW w:w="1440" w:type="dxa"/>
                  <w:noWrap w:val="0"/>
                  <w:vAlign w:val="top"/>
                </w:tcPr>
                <w:p w14:paraId="32FC808C">
                  <w:pPr>
                    <w:spacing w:line="280" w:lineRule="exact"/>
                    <w:rPr>
                      <w:rFonts w:hint="eastAsia"/>
                      <w:color w:val="auto"/>
                      <w:highlight w:val="none"/>
                    </w:rPr>
                  </w:pPr>
                </w:p>
              </w:tc>
              <w:tc>
                <w:tcPr>
                  <w:tcW w:w="1260" w:type="dxa"/>
                  <w:noWrap w:val="0"/>
                  <w:vAlign w:val="top"/>
                </w:tcPr>
                <w:p w14:paraId="2F7101B0">
                  <w:pPr>
                    <w:spacing w:line="280" w:lineRule="exact"/>
                    <w:rPr>
                      <w:rFonts w:hint="eastAsia"/>
                      <w:color w:val="auto"/>
                      <w:highlight w:val="none"/>
                    </w:rPr>
                  </w:pPr>
                </w:p>
              </w:tc>
              <w:tc>
                <w:tcPr>
                  <w:tcW w:w="931" w:type="dxa"/>
                  <w:noWrap w:val="0"/>
                  <w:vAlign w:val="top"/>
                </w:tcPr>
                <w:p w14:paraId="2F88B3A5">
                  <w:pPr>
                    <w:spacing w:line="280" w:lineRule="exact"/>
                    <w:rPr>
                      <w:rFonts w:hint="eastAsia"/>
                      <w:color w:val="auto"/>
                      <w:highlight w:val="none"/>
                    </w:rPr>
                  </w:pPr>
                </w:p>
              </w:tc>
            </w:tr>
            <w:tr w14:paraId="6C4D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7AB8BFD">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14C92A2C">
                  <w:pPr>
                    <w:spacing w:line="280" w:lineRule="exact"/>
                    <w:rPr>
                      <w:rFonts w:hint="eastAsia"/>
                      <w:color w:val="auto"/>
                      <w:highlight w:val="none"/>
                    </w:rPr>
                  </w:pPr>
                  <w:r>
                    <w:rPr>
                      <w:rFonts w:hint="eastAsia"/>
                      <w:color w:val="auto"/>
                      <w:highlight w:val="none"/>
                    </w:rPr>
                    <w:t>本周期已完成的工程价款</w:t>
                  </w:r>
                </w:p>
              </w:tc>
              <w:tc>
                <w:tcPr>
                  <w:tcW w:w="1340" w:type="dxa"/>
                  <w:noWrap w:val="0"/>
                  <w:vAlign w:val="top"/>
                </w:tcPr>
                <w:p w14:paraId="0BCB0E50">
                  <w:pPr>
                    <w:spacing w:line="280" w:lineRule="exact"/>
                    <w:rPr>
                      <w:rFonts w:hint="eastAsia"/>
                      <w:color w:val="auto"/>
                      <w:highlight w:val="none"/>
                    </w:rPr>
                  </w:pPr>
                </w:p>
              </w:tc>
              <w:tc>
                <w:tcPr>
                  <w:tcW w:w="1440" w:type="dxa"/>
                  <w:noWrap w:val="0"/>
                  <w:vAlign w:val="top"/>
                </w:tcPr>
                <w:p w14:paraId="4410CE98">
                  <w:pPr>
                    <w:spacing w:line="280" w:lineRule="exact"/>
                    <w:rPr>
                      <w:rFonts w:hint="eastAsia"/>
                      <w:color w:val="auto"/>
                      <w:highlight w:val="none"/>
                    </w:rPr>
                  </w:pPr>
                </w:p>
              </w:tc>
              <w:tc>
                <w:tcPr>
                  <w:tcW w:w="1260" w:type="dxa"/>
                  <w:noWrap w:val="0"/>
                  <w:vAlign w:val="top"/>
                </w:tcPr>
                <w:p w14:paraId="6E891154">
                  <w:pPr>
                    <w:spacing w:line="280" w:lineRule="exact"/>
                    <w:rPr>
                      <w:rFonts w:hint="eastAsia"/>
                      <w:color w:val="auto"/>
                      <w:highlight w:val="none"/>
                    </w:rPr>
                  </w:pPr>
                </w:p>
              </w:tc>
              <w:tc>
                <w:tcPr>
                  <w:tcW w:w="931" w:type="dxa"/>
                  <w:noWrap w:val="0"/>
                  <w:vAlign w:val="top"/>
                </w:tcPr>
                <w:p w14:paraId="12B474B1">
                  <w:pPr>
                    <w:spacing w:line="280" w:lineRule="exact"/>
                    <w:rPr>
                      <w:rFonts w:hint="eastAsia"/>
                      <w:color w:val="auto"/>
                      <w:highlight w:val="none"/>
                    </w:rPr>
                  </w:pPr>
                </w:p>
              </w:tc>
            </w:tr>
            <w:tr w14:paraId="5CBA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DCE0759">
                  <w:pPr>
                    <w:spacing w:line="280" w:lineRule="exact"/>
                    <w:jc w:val="center"/>
                    <w:rPr>
                      <w:rFonts w:hint="eastAsia"/>
                      <w:color w:val="auto"/>
                      <w:highlight w:val="none"/>
                    </w:rPr>
                  </w:pPr>
                </w:p>
              </w:tc>
              <w:tc>
                <w:tcPr>
                  <w:tcW w:w="3340" w:type="dxa"/>
                  <w:noWrap w:val="0"/>
                  <w:vAlign w:val="top"/>
                </w:tcPr>
                <w:p w14:paraId="17779C36">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04549138">
                  <w:pPr>
                    <w:spacing w:line="280" w:lineRule="exact"/>
                    <w:rPr>
                      <w:rFonts w:hint="eastAsia"/>
                      <w:color w:val="auto"/>
                      <w:highlight w:val="none"/>
                    </w:rPr>
                  </w:pPr>
                </w:p>
              </w:tc>
              <w:tc>
                <w:tcPr>
                  <w:tcW w:w="1440" w:type="dxa"/>
                  <w:noWrap w:val="0"/>
                  <w:vAlign w:val="top"/>
                </w:tcPr>
                <w:p w14:paraId="45C4CB0C">
                  <w:pPr>
                    <w:spacing w:line="280" w:lineRule="exact"/>
                    <w:rPr>
                      <w:rFonts w:hint="eastAsia"/>
                      <w:color w:val="auto"/>
                      <w:highlight w:val="none"/>
                    </w:rPr>
                  </w:pPr>
                </w:p>
              </w:tc>
              <w:tc>
                <w:tcPr>
                  <w:tcW w:w="1260" w:type="dxa"/>
                  <w:noWrap w:val="0"/>
                  <w:vAlign w:val="top"/>
                </w:tcPr>
                <w:p w14:paraId="005D9DD9">
                  <w:pPr>
                    <w:spacing w:line="280" w:lineRule="exact"/>
                    <w:rPr>
                      <w:rFonts w:hint="eastAsia"/>
                      <w:color w:val="auto"/>
                      <w:highlight w:val="none"/>
                    </w:rPr>
                  </w:pPr>
                </w:p>
              </w:tc>
              <w:tc>
                <w:tcPr>
                  <w:tcW w:w="931" w:type="dxa"/>
                  <w:noWrap w:val="0"/>
                  <w:vAlign w:val="top"/>
                </w:tcPr>
                <w:p w14:paraId="67C62E9C">
                  <w:pPr>
                    <w:spacing w:line="280" w:lineRule="exact"/>
                    <w:rPr>
                      <w:rFonts w:hint="eastAsia"/>
                      <w:color w:val="auto"/>
                      <w:highlight w:val="none"/>
                    </w:rPr>
                  </w:pPr>
                </w:p>
              </w:tc>
            </w:tr>
            <w:tr w14:paraId="2D75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50A675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41BB2235">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51754CBF">
                  <w:pPr>
                    <w:spacing w:line="280" w:lineRule="exact"/>
                    <w:rPr>
                      <w:rFonts w:hint="eastAsia"/>
                      <w:color w:val="auto"/>
                      <w:highlight w:val="none"/>
                    </w:rPr>
                  </w:pPr>
                </w:p>
              </w:tc>
              <w:tc>
                <w:tcPr>
                  <w:tcW w:w="1440" w:type="dxa"/>
                  <w:noWrap w:val="0"/>
                  <w:vAlign w:val="top"/>
                </w:tcPr>
                <w:p w14:paraId="6DDCB926">
                  <w:pPr>
                    <w:spacing w:line="280" w:lineRule="exact"/>
                    <w:rPr>
                      <w:rFonts w:hint="eastAsia"/>
                      <w:color w:val="auto"/>
                      <w:highlight w:val="none"/>
                    </w:rPr>
                  </w:pPr>
                </w:p>
              </w:tc>
              <w:tc>
                <w:tcPr>
                  <w:tcW w:w="1260" w:type="dxa"/>
                  <w:noWrap w:val="0"/>
                  <w:vAlign w:val="top"/>
                </w:tcPr>
                <w:p w14:paraId="46B84D69">
                  <w:pPr>
                    <w:spacing w:line="280" w:lineRule="exact"/>
                    <w:rPr>
                      <w:rFonts w:hint="eastAsia"/>
                      <w:color w:val="auto"/>
                      <w:highlight w:val="none"/>
                    </w:rPr>
                  </w:pPr>
                </w:p>
              </w:tc>
              <w:tc>
                <w:tcPr>
                  <w:tcW w:w="931" w:type="dxa"/>
                  <w:noWrap w:val="0"/>
                  <w:vAlign w:val="top"/>
                </w:tcPr>
                <w:p w14:paraId="56AC501A">
                  <w:pPr>
                    <w:spacing w:line="280" w:lineRule="exact"/>
                    <w:rPr>
                      <w:rFonts w:hint="eastAsia"/>
                      <w:color w:val="auto"/>
                      <w:highlight w:val="none"/>
                    </w:rPr>
                  </w:pPr>
                </w:p>
              </w:tc>
            </w:tr>
            <w:tr w14:paraId="4F35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BBEC3C">
                  <w:pPr>
                    <w:spacing w:line="280" w:lineRule="exact"/>
                    <w:jc w:val="center"/>
                    <w:rPr>
                      <w:rFonts w:hint="eastAsia"/>
                      <w:color w:val="auto"/>
                      <w:highlight w:val="none"/>
                    </w:rPr>
                  </w:pPr>
                  <w:r>
                    <w:rPr>
                      <w:rFonts w:hint="eastAsia"/>
                      <w:color w:val="auto"/>
                      <w:highlight w:val="none"/>
                    </w:rPr>
                    <w:t>4.1</w:t>
                  </w:r>
                </w:p>
              </w:tc>
              <w:tc>
                <w:tcPr>
                  <w:tcW w:w="3340" w:type="dxa"/>
                  <w:noWrap w:val="0"/>
                  <w:vAlign w:val="top"/>
                </w:tcPr>
                <w:p w14:paraId="7FDD0184">
                  <w:pPr>
                    <w:spacing w:line="280" w:lineRule="exact"/>
                    <w:rPr>
                      <w:rFonts w:hint="eastAsia"/>
                      <w:color w:val="auto"/>
                      <w:highlight w:val="none"/>
                    </w:rPr>
                  </w:pPr>
                  <w:r>
                    <w:rPr>
                      <w:rFonts w:hint="eastAsia"/>
                      <w:color w:val="auto"/>
                      <w:highlight w:val="none"/>
                    </w:rPr>
                    <w:t>本周期实际应抵扣的预付款</w:t>
                  </w:r>
                </w:p>
              </w:tc>
              <w:tc>
                <w:tcPr>
                  <w:tcW w:w="1340" w:type="dxa"/>
                  <w:noWrap w:val="0"/>
                  <w:vAlign w:val="top"/>
                </w:tcPr>
                <w:p w14:paraId="7114F648">
                  <w:pPr>
                    <w:spacing w:line="280" w:lineRule="exact"/>
                    <w:rPr>
                      <w:rFonts w:hint="eastAsia"/>
                      <w:color w:val="auto"/>
                      <w:highlight w:val="none"/>
                    </w:rPr>
                  </w:pPr>
                </w:p>
              </w:tc>
              <w:tc>
                <w:tcPr>
                  <w:tcW w:w="1440" w:type="dxa"/>
                  <w:noWrap w:val="0"/>
                  <w:vAlign w:val="top"/>
                </w:tcPr>
                <w:p w14:paraId="1AD165B6">
                  <w:pPr>
                    <w:spacing w:line="280" w:lineRule="exact"/>
                    <w:rPr>
                      <w:rFonts w:hint="eastAsia"/>
                      <w:color w:val="auto"/>
                      <w:highlight w:val="none"/>
                    </w:rPr>
                  </w:pPr>
                </w:p>
              </w:tc>
              <w:tc>
                <w:tcPr>
                  <w:tcW w:w="1260" w:type="dxa"/>
                  <w:noWrap w:val="0"/>
                  <w:vAlign w:val="top"/>
                </w:tcPr>
                <w:p w14:paraId="5A6833C2">
                  <w:pPr>
                    <w:spacing w:line="280" w:lineRule="exact"/>
                    <w:rPr>
                      <w:rFonts w:hint="eastAsia"/>
                      <w:color w:val="auto"/>
                      <w:highlight w:val="none"/>
                    </w:rPr>
                  </w:pPr>
                </w:p>
              </w:tc>
              <w:tc>
                <w:tcPr>
                  <w:tcW w:w="931" w:type="dxa"/>
                  <w:noWrap w:val="0"/>
                  <w:vAlign w:val="top"/>
                </w:tcPr>
                <w:p w14:paraId="06E47C71">
                  <w:pPr>
                    <w:spacing w:line="280" w:lineRule="exact"/>
                    <w:rPr>
                      <w:rFonts w:hint="eastAsia"/>
                      <w:color w:val="auto"/>
                      <w:highlight w:val="none"/>
                    </w:rPr>
                  </w:pPr>
                </w:p>
              </w:tc>
            </w:tr>
            <w:tr w14:paraId="662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A00F58D">
                  <w:pPr>
                    <w:spacing w:line="280" w:lineRule="exact"/>
                    <w:jc w:val="center"/>
                    <w:rPr>
                      <w:rFonts w:hint="eastAsia"/>
                      <w:color w:val="auto"/>
                      <w:highlight w:val="none"/>
                    </w:rPr>
                  </w:pPr>
                  <w:r>
                    <w:rPr>
                      <w:rFonts w:hint="eastAsia"/>
                      <w:color w:val="auto"/>
                      <w:highlight w:val="none"/>
                    </w:rPr>
                    <w:t>4.2</w:t>
                  </w:r>
                </w:p>
              </w:tc>
              <w:tc>
                <w:tcPr>
                  <w:tcW w:w="3340" w:type="dxa"/>
                  <w:noWrap w:val="0"/>
                  <w:vAlign w:val="top"/>
                </w:tcPr>
                <w:p w14:paraId="4BAB2C2A">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6D14EE93">
                  <w:pPr>
                    <w:spacing w:line="280" w:lineRule="exact"/>
                    <w:rPr>
                      <w:rFonts w:hint="eastAsia"/>
                      <w:color w:val="auto"/>
                      <w:highlight w:val="none"/>
                    </w:rPr>
                  </w:pPr>
                </w:p>
              </w:tc>
              <w:tc>
                <w:tcPr>
                  <w:tcW w:w="1440" w:type="dxa"/>
                  <w:noWrap w:val="0"/>
                  <w:vAlign w:val="top"/>
                </w:tcPr>
                <w:p w14:paraId="33A0DD3C">
                  <w:pPr>
                    <w:spacing w:line="280" w:lineRule="exact"/>
                    <w:rPr>
                      <w:rFonts w:hint="eastAsia"/>
                      <w:color w:val="auto"/>
                      <w:highlight w:val="none"/>
                    </w:rPr>
                  </w:pPr>
                </w:p>
              </w:tc>
              <w:tc>
                <w:tcPr>
                  <w:tcW w:w="1260" w:type="dxa"/>
                  <w:noWrap w:val="0"/>
                  <w:vAlign w:val="top"/>
                </w:tcPr>
                <w:p w14:paraId="78DAC77C">
                  <w:pPr>
                    <w:spacing w:line="280" w:lineRule="exact"/>
                    <w:rPr>
                      <w:rFonts w:hint="eastAsia"/>
                      <w:color w:val="auto"/>
                      <w:highlight w:val="none"/>
                    </w:rPr>
                  </w:pPr>
                </w:p>
              </w:tc>
              <w:tc>
                <w:tcPr>
                  <w:tcW w:w="931" w:type="dxa"/>
                  <w:noWrap w:val="0"/>
                  <w:vAlign w:val="top"/>
                </w:tcPr>
                <w:p w14:paraId="60DDD7EF">
                  <w:pPr>
                    <w:spacing w:line="280" w:lineRule="exact"/>
                    <w:rPr>
                      <w:rFonts w:hint="eastAsia"/>
                      <w:color w:val="auto"/>
                      <w:highlight w:val="none"/>
                    </w:rPr>
                  </w:pPr>
                </w:p>
              </w:tc>
            </w:tr>
            <w:tr w14:paraId="36536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C65C27F">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5975E79C">
                  <w:pPr>
                    <w:spacing w:line="280" w:lineRule="exact"/>
                    <w:rPr>
                      <w:rFonts w:hint="eastAsia"/>
                      <w:color w:val="auto"/>
                      <w:highlight w:val="none"/>
                    </w:rPr>
                  </w:pPr>
                  <w:r>
                    <w:rPr>
                      <w:rFonts w:hint="eastAsia"/>
                      <w:color w:val="auto"/>
                      <w:highlight w:val="none"/>
                    </w:rPr>
                    <w:t>本周期应支付的合同价款</w:t>
                  </w:r>
                </w:p>
              </w:tc>
              <w:tc>
                <w:tcPr>
                  <w:tcW w:w="1340" w:type="dxa"/>
                  <w:noWrap w:val="0"/>
                  <w:vAlign w:val="top"/>
                </w:tcPr>
                <w:p w14:paraId="3C2C0329">
                  <w:pPr>
                    <w:spacing w:line="280" w:lineRule="exact"/>
                    <w:rPr>
                      <w:rFonts w:hint="eastAsia"/>
                      <w:color w:val="auto"/>
                      <w:highlight w:val="none"/>
                    </w:rPr>
                  </w:pPr>
                </w:p>
              </w:tc>
              <w:tc>
                <w:tcPr>
                  <w:tcW w:w="1440" w:type="dxa"/>
                  <w:noWrap w:val="0"/>
                  <w:vAlign w:val="top"/>
                </w:tcPr>
                <w:p w14:paraId="6DC4C14F">
                  <w:pPr>
                    <w:spacing w:line="280" w:lineRule="exact"/>
                    <w:rPr>
                      <w:rFonts w:hint="eastAsia"/>
                      <w:color w:val="auto"/>
                      <w:highlight w:val="none"/>
                    </w:rPr>
                  </w:pPr>
                </w:p>
              </w:tc>
              <w:tc>
                <w:tcPr>
                  <w:tcW w:w="1260" w:type="dxa"/>
                  <w:noWrap w:val="0"/>
                  <w:vAlign w:val="top"/>
                </w:tcPr>
                <w:p w14:paraId="0CF2C81C">
                  <w:pPr>
                    <w:spacing w:line="280" w:lineRule="exact"/>
                    <w:rPr>
                      <w:rFonts w:hint="eastAsia"/>
                      <w:color w:val="auto"/>
                      <w:highlight w:val="none"/>
                    </w:rPr>
                  </w:pPr>
                </w:p>
              </w:tc>
              <w:tc>
                <w:tcPr>
                  <w:tcW w:w="931" w:type="dxa"/>
                  <w:noWrap w:val="0"/>
                  <w:vAlign w:val="top"/>
                </w:tcPr>
                <w:p w14:paraId="38C7BF57">
                  <w:pPr>
                    <w:spacing w:line="280" w:lineRule="exact"/>
                    <w:rPr>
                      <w:rFonts w:hint="eastAsia"/>
                      <w:color w:val="auto"/>
                      <w:highlight w:val="none"/>
                    </w:rPr>
                  </w:pPr>
                </w:p>
              </w:tc>
            </w:tr>
            <w:tr w14:paraId="06D3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9969DD2">
                  <w:pPr>
                    <w:spacing w:line="280" w:lineRule="exact"/>
                    <w:jc w:val="center"/>
                    <w:rPr>
                      <w:rFonts w:hint="eastAsia"/>
                      <w:color w:val="auto"/>
                      <w:highlight w:val="none"/>
                    </w:rPr>
                  </w:pPr>
                </w:p>
              </w:tc>
              <w:tc>
                <w:tcPr>
                  <w:tcW w:w="3340" w:type="dxa"/>
                  <w:noWrap w:val="0"/>
                  <w:vAlign w:val="top"/>
                </w:tcPr>
                <w:p w14:paraId="7B5AC22E">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7BE37BF9">
                  <w:pPr>
                    <w:spacing w:line="280" w:lineRule="exact"/>
                    <w:rPr>
                      <w:rFonts w:hint="eastAsia"/>
                      <w:color w:val="auto"/>
                      <w:highlight w:val="none"/>
                    </w:rPr>
                  </w:pPr>
                </w:p>
              </w:tc>
              <w:tc>
                <w:tcPr>
                  <w:tcW w:w="1440" w:type="dxa"/>
                  <w:noWrap w:val="0"/>
                  <w:vAlign w:val="top"/>
                </w:tcPr>
                <w:p w14:paraId="458E98C3">
                  <w:pPr>
                    <w:spacing w:line="280" w:lineRule="exact"/>
                    <w:rPr>
                      <w:rFonts w:hint="eastAsia"/>
                      <w:color w:val="auto"/>
                      <w:highlight w:val="none"/>
                    </w:rPr>
                  </w:pPr>
                </w:p>
              </w:tc>
              <w:tc>
                <w:tcPr>
                  <w:tcW w:w="1260" w:type="dxa"/>
                  <w:noWrap w:val="0"/>
                  <w:vAlign w:val="top"/>
                </w:tcPr>
                <w:p w14:paraId="7F7C5830">
                  <w:pPr>
                    <w:spacing w:line="280" w:lineRule="exact"/>
                    <w:rPr>
                      <w:rFonts w:hint="eastAsia"/>
                      <w:color w:val="auto"/>
                      <w:highlight w:val="none"/>
                    </w:rPr>
                  </w:pPr>
                </w:p>
              </w:tc>
              <w:tc>
                <w:tcPr>
                  <w:tcW w:w="931" w:type="dxa"/>
                  <w:noWrap w:val="0"/>
                  <w:vAlign w:val="top"/>
                </w:tcPr>
                <w:p w14:paraId="251417D1">
                  <w:pPr>
                    <w:spacing w:line="280" w:lineRule="exact"/>
                    <w:rPr>
                      <w:rFonts w:hint="eastAsia"/>
                      <w:color w:val="auto"/>
                      <w:highlight w:val="none"/>
                    </w:rPr>
                  </w:pPr>
                </w:p>
              </w:tc>
            </w:tr>
          </w:tbl>
          <w:p w14:paraId="303B6798">
            <w:pPr>
              <w:wordWrap w:val="0"/>
              <w:spacing w:line="400" w:lineRule="exact"/>
              <w:ind w:right="420"/>
              <w:rPr>
                <w:rFonts w:hint="eastAsia"/>
                <w:color w:val="auto"/>
                <w:highlight w:val="none"/>
              </w:rPr>
            </w:pPr>
            <w:r>
              <w:rPr>
                <w:rFonts w:hint="eastAsia"/>
                <w:color w:val="auto"/>
                <w:highlight w:val="none"/>
              </w:rPr>
              <w:t>附：上述3、4详见附件清单。</w:t>
            </w:r>
          </w:p>
          <w:p w14:paraId="74A9718D">
            <w:pPr>
              <w:wordWrap w:val="0"/>
              <w:spacing w:line="400" w:lineRule="exact"/>
              <w:ind w:right="420"/>
              <w:rPr>
                <w:rFonts w:hint="eastAsia"/>
                <w:color w:val="auto"/>
                <w:highlight w:val="none"/>
              </w:rPr>
            </w:pPr>
            <w:r>
              <w:rPr>
                <w:rFonts w:hint="eastAsia"/>
                <w:color w:val="auto"/>
                <w:highlight w:val="none"/>
              </w:rPr>
              <w:t xml:space="preserve">                                            承包人（章）             </w:t>
            </w:r>
          </w:p>
          <w:p w14:paraId="37334360">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6F39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CCB7C24">
            <w:pPr>
              <w:spacing w:line="360" w:lineRule="exact"/>
              <w:rPr>
                <w:rFonts w:hint="eastAsia"/>
                <w:color w:val="auto"/>
                <w:highlight w:val="none"/>
              </w:rPr>
            </w:pPr>
            <w:r>
              <w:rPr>
                <w:rFonts w:hint="eastAsia"/>
                <w:color w:val="auto"/>
                <w:highlight w:val="none"/>
              </w:rPr>
              <w:t>复核意见：</w:t>
            </w:r>
          </w:p>
          <w:p w14:paraId="25AF2FDB">
            <w:pPr>
              <w:spacing w:line="360" w:lineRule="exact"/>
              <w:ind w:firstLine="312"/>
              <w:rPr>
                <w:rFonts w:hint="eastAsia"/>
                <w:color w:val="auto"/>
                <w:highlight w:val="none"/>
              </w:rPr>
            </w:pPr>
            <w:r>
              <w:rPr>
                <w:rFonts w:hint="eastAsia"/>
                <w:color w:val="auto"/>
                <w:highlight w:val="none"/>
              </w:rPr>
              <w:t>□与实际施工情况不相符，修改意见见附件。</w:t>
            </w:r>
          </w:p>
          <w:p w14:paraId="45FDAC16">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59DDDBD">
            <w:pPr>
              <w:spacing w:line="360" w:lineRule="exact"/>
              <w:ind w:firstLine="435"/>
              <w:jc w:val="right"/>
              <w:rPr>
                <w:rFonts w:hint="eastAsia"/>
                <w:color w:val="auto"/>
                <w:highlight w:val="none"/>
              </w:rPr>
            </w:pPr>
          </w:p>
          <w:p w14:paraId="6F1558E2">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128823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09E17309">
            <w:pPr>
              <w:spacing w:line="360" w:lineRule="exact"/>
              <w:rPr>
                <w:rFonts w:hint="eastAsia"/>
                <w:color w:val="auto"/>
                <w:highlight w:val="none"/>
              </w:rPr>
            </w:pPr>
            <w:r>
              <w:rPr>
                <w:rFonts w:hint="eastAsia"/>
                <w:color w:val="auto"/>
                <w:highlight w:val="none"/>
              </w:rPr>
              <w:t>复核意见：</w:t>
            </w:r>
          </w:p>
          <w:p w14:paraId="604FD07A">
            <w:pPr>
              <w:spacing w:line="360" w:lineRule="exact"/>
              <w:ind w:firstLine="435"/>
              <w:rPr>
                <w:rFonts w:hint="eastAsia"/>
                <w:color w:val="auto"/>
                <w:highlight w:val="none"/>
              </w:rPr>
            </w:pPr>
            <w:r>
              <w:rPr>
                <w:rFonts w:hint="eastAsia"/>
                <w:color w:val="auto"/>
                <w:highlight w:val="none"/>
              </w:rPr>
              <w:t>你方提出的支付申请经复核，本周期已完成工程价款为(大写)</w:t>
            </w:r>
            <w:r>
              <w:rPr>
                <w:rFonts w:hint="eastAsia"/>
                <w:color w:val="auto"/>
                <w:highlight w:val="none"/>
                <w:u w:val="single"/>
              </w:rPr>
              <w:t xml:space="preserve">                </w:t>
            </w:r>
            <w:r>
              <w:rPr>
                <w:rFonts w:hint="eastAsia"/>
                <w:color w:val="auto"/>
                <w:highlight w:val="none"/>
              </w:rPr>
              <w:t>元，（小写）</w:t>
            </w:r>
          </w:p>
          <w:p w14:paraId="32E81ACC">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元，本期间应支付金额为（大写）</w:t>
            </w:r>
          </w:p>
          <w:p w14:paraId="765B4B6B">
            <w:pPr>
              <w:spacing w:line="360" w:lineRule="exact"/>
              <w:rPr>
                <w:rFonts w:hint="eastAsia"/>
                <w:color w:val="auto"/>
                <w:highlight w:val="none"/>
                <w:u w:val="single"/>
              </w:rPr>
            </w:pP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7F53916E">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0814609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B07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7F8C0193">
            <w:pPr>
              <w:spacing w:line="400" w:lineRule="exact"/>
              <w:rPr>
                <w:rFonts w:hint="eastAsia"/>
                <w:color w:val="auto"/>
                <w:highlight w:val="none"/>
              </w:rPr>
            </w:pPr>
            <w:r>
              <w:rPr>
                <w:rFonts w:hint="eastAsia"/>
                <w:color w:val="auto"/>
                <w:highlight w:val="none"/>
              </w:rPr>
              <w:t>审核意见：</w:t>
            </w:r>
          </w:p>
          <w:p w14:paraId="58BD0191">
            <w:pPr>
              <w:spacing w:line="400" w:lineRule="exact"/>
              <w:ind w:firstLine="435"/>
              <w:rPr>
                <w:rFonts w:hint="eastAsia"/>
                <w:color w:val="auto"/>
                <w:highlight w:val="none"/>
              </w:rPr>
            </w:pPr>
            <w:r>
              <w:rPr>
                <w:rFonts w:hint="eastAsia"/>
                <w:color w:val="auto"/>
                <w:highlight w:val="none"/>
              </w:rPr>
              <w:t>□不同意。</w:t>
            </w:r>
          </w:p>
          <w:p w14:paraId="714D76E4">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06CF4ED3">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2FEB59D6">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35064C55">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0F3CBC3F">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3FFCB80C">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6099A838">
      <w:pPr>
        <w:jc w:val="left"/>
        <w:rPr>
          <w:rFonts w:hint="eastAsia"/>
          <w:color w:val="auto"/>
          <w:sz w:val="30"/>
          <w:szCs w:val="30"/>
          <w:highlight w:val="none"/>
        </w:rPr>
      </w:pPr>
      <w:r>
        <w:rPr>
          <w:rFonts w:hint="eastAsia"/>
          <w:color w:val="auto"/>
          <w:sz w:val="30"/>
          <w:szCs w:val="30"/>
          <w:highlight w:val="none"/>
        </w:rPr>
        <w:t>附件12</w:t>
      </w:r>
    </w:p>
    <w:p w14:paraId="0D43D6AC">
      <w:pPr>
        <w:jc w:val="center"/>
        <w:rPr>
          <w:rFonts w:hint="eastAsia"/>
          <w:b/>
          <w:color w:val="auto"/>
          <w:sz w:val="36"/>
          <w:szCs w:val="36"/>
          <w:highlight w:val="none"/>
        </w:rPr>
      </w:pPr>
      <w:r>
        <w:rPr>
          <w:rFonts w:hint="eastAsia"/>
          <w:b/>
          <w:color w:val="auto"/>
          <w:sz w:val="36"/>
          <w:szCs w:val="36"/>
          <w:highlight w:val="none"/>
        </w:rPr>
        <w:t>竣工结算款支付申请（核准）表</w:t>
      </w:r>
    </w:p>
    <w:p w14:paraId="21562D6A">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12DA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0" w:hRule="atLeast"/>
          <w:jc w:val="center"/>
        </w:trPr>
        <w:tc>
          <w:tcPr>
            <w:tcW w:w="9240" w:type="dxa"/>
            <w:gridSpan w:val="2"/>
            <w:noWrap w:val="0"/>
            <w:vAlign w:val="top"/>
          </w:tcPr>
          <w:p w14:paraId="41A56F13">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4EE550">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期间已完成了合同约定的工作，根据施工合同的约定，现申请支付竣工结算的工程款额为(大写)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742F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46384C62">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7D78F2E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7ECF91A6">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7F100C29">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41FA2A9C">
                  <w:pPr>
                    <w:spacing w:line="280" w:lineRule="exact"/>
                    <w:jc w:val="center"/>
                    <w:rPr>
                      <w:rFonts w:hint="eastAsia"/>
                      <w:color w:val="auto"/>
                      <w:highlight w:val="none"/>
                    </w:rPr>
                  </w:pPr>
                  <w:r>
                    <w:rPr>
                      <w:rFonts w:hint="eastAsia"/>
                      <w:color w:val="auto"/>
                      <w:highlight w:val="none"/>
                    </w:rPr>
                    <w:t>备注</w:t>
                  </w:r>
                </w:p>
              </w:tc>
            </w:tr>
            <w:tr w14:paraId="7EB9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140DA4C">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266576E3">
                  <w:pPr>
                    <w:spacing w:line="280" w:lineRule="exact"/>
                    <w:rPr>
                      <w:rFonts w:hint="eastAsia"/>
                      <w:color w:val="auto"/>
                      <w:highlight w:val="none"/>
                    </w:rPr>
                  </w:pPr>
                  <w:r>
                    <w:rPr>
                      <w:rFonts w:hint="eastAsia"/>
                      <w:color w:val="auto"/>
                      <w:highlight w:val="none"/>
                    </w:rPr>
                    <w:t>竣工结算合同价款总额</w:t>
                  </w:r>
                </w:p>
              </w:tc>
              <w:tc>
                <w:tcPr>
                  <w:tcW w:w="1620" w:type="dxa"/>
                  <w:noWrap w:val="0"/>
                  <w:vAlign w:val="top"/>
                </w:tcPr>
                <w:p w14:paraId="4514E092">
                  <w:pPr>
                    <w:spacing w:line="280" w:lineRule="exact"/>
                    <w:rPr>
                      <w:rFonts w:hint="eastAsia"/>
                      <w:color w:val="auto"/>
                      <w:highlight w:val="none"/>
                    </w:rPr>
                  </w:pPr>
                </w:p>
              </w:tc>
              <w:tc>
                <w:tcPr>
                  <w:tcW w:w="1620" w:type="dxa"/>
                  <w:noWrap w:val="0"/>
                  <w:vAlign w:val="top"/>
                </w:tcPr>
                <w:p w14:paraId="5350C4FC">
                  <w:pPr>
                    <w:spacing w:line="280" w:lineRule="exact"/>
                    <w:rPr>
                      <w:rFonts w:hint="eastAsia"/>
                      <w:color w:val="auto"/>
                      <w:highlight w:val="none"/>
                    </w:rPr>
                  </w:pPr>
                </w:p>
              </w:tc>
              <w:tc>
                <w:tcPr>
                  <w:tcW w:w="1651" w:type="dxa"/>
                  <w:noWrap w:val="0"/>
                  <w:vAlign w:val="top"/>
                </w:tcPr>
                <w:p w14:paraId="75D32232">
                  <w:pPr>
                    <w:spacing w:line="280" w:lineRule="exact"/>
                    <w:rPr>
                      <w:rFonts w:hint="eastAsia"/>
                      <w:color w:val="auto"/>
                      <w:highlight w:val="none"/>
                    </w:rPr>
                  </w:pPr>
                </w:p>
              </w:tc>
            </w:tr>
            <w:tr w14:paraId="38B0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123339">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FE62F21">
                  <w:pPr>
                    <w:spacing w:line="280" w:lineRule="exact"/>
                    <w:rPr>
                      <w:rFonts w:hint="eastAsia"/>
                      <w:color w:val="auto"/>
                      <w:highlight w:val="none"/>
                    </w:rPr>
                  </w:pPr>
                  <w:r>
                    <w:rPr>
                      <w:rFonts w:hint="eastAsia"/>
                      <w:color w:val="auto"/>
                      <w:highlight w:val="none"/>
                    </w:rPr>
                    <w:t>累计已实际支付的合同价款</w:t>
                  </w:r>
                </w:p>
              </w:tc>
              <w:tc>
                <w:tcPr>
                  <w:tcW w:w="1620" w:type="dxa"/>
                  <w:noWrap w:val="0"/>
                  <w:vAlign w:val="top"/>
                </w:tcPr>
                <w:p w14:paraId="0697903E">
                  <w:pPr>
                    <w:spacing w:line="280" w:lineRule="exact"/>
                    <w:rPr>
                      <w:rFonts w:hint="eastAsia"/>
                      <w:color w:val="auto"/>
                      <w:highlight w:val="none"/>
                    </w:rPr>
                  </w:pPr>
                </w:p>
              </w:tc>
              <w:tc>
                <w:tcPr>
                  <w:tcW w:w="1620" w:type="dxa"/>
                  <w:noWrap w:val="0"/>
                  <w:vAlign w:val="top"/>
                </w:tcPr>
                <w:p w14:paraId="1FA6E61A">
                  <w:pPr>
                    <w:spacing w:line="280" w:lineRule="exact"/>
                    <w:rPr>
                      <w:rFonts w:hint="eastAsia"/>
                      <w:color w:val="auto"/>
                      <w:highlight w:val="none"/>
                    </w:rPr>
                  </w:pPr>
                </w:p>
              </w:tc>
              <w:tc>
                <w:tcPr>
                  <w:tcW w:w="1651" w:type="dxa"/>
                  <w:noWrap w:val="0"/>
                  <w:vAlign w:val="top"/>
                </w:tcPr>
                <w:p w14:paraId="04DF743F">
                  <w:pPr>
                    <w:spacing w:line="280" w:lineRule="exact"/>
                    <w:rPr>
                      <w:rFonts w:hint="eastAsia"/>
                      <w:color w:val="auto"/>
                      <w:highlight w:val="none"/>
                    </w:rPr>
                  </w:pPr>
                </w:p>
              </w:tc>
            </w:tr>
            <w:tr w14:paraId="3A4A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6B298CF">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3E6A324D">
                  <w:pPr>
                    <w:spacing w:line="280" w:lineRule="exact"/>
                    <w:rPr>
                      <w:rFonts w:hint="eastAsia"/>
                      <w:color w:val="auto"/>
                      <w:highlight w:val="none"/>
                    </w:rPr>
                  </w:pPr>
                  <w:r>
                    <w:rPr>
                      <w:rFonts w:hint="eastAsia"/>
                      <w:color w:val="auto"/>
                      <w:highlight w:val="none"/>
                    </w:rPr>
                    <w:t>应预留的质量保证金</w:t>
                  </w:r>
                </w:p>
              </w:tc>
              <w:tc>
                <w:tcPr>
                  <w:tcW w:w="1620" w:type="dxa"/>
                  <w:noWrap w:val="0"/>
                  <w:vAlign w:val="top"/>
                </w:tcPr>
                <w:p w14:paraId="0C763138">
                  <w:pPr>
                    <w:spacing w:line="280" w:lineRule="exact"/>
                    <w:rPr>
                      <w:rFonts w:hint="eastAsia"/>
                      <w:color w:val="auto"/>
                      <w:highlight w:val="none"/>
                    </w:rPr>
                  </w:pPr>
                </w:p>
              </w:tc>
              <w:tc>
                <w:tcPr>
                  <w:tcW w:w="1620" w:type="dxa"/>
                  <w:noWrap w:val="0"/>
                  <w:vAlign w:val="top"/>
                </w:tcPr>
                <w:p w14:paraId="7AF76548">
                  <w:pPr>
                    <w:spacing w:line="280" w:lineRule="exact"/>
                    <w:rPr>
                      <w:rFonts w:hint="eastAsia"/>
                      <w:color w:val="auto"/>
                      <w:highlight w:val="none"/>
                    </w:rPr>
                  </w:pPr>
                </w:p>
              </w:tc>
              <w:tc>
                <w:tcPr>
                  <w:tcW w:w="1651" w:type="dxa"/>
                  <w:noWrap w:val="0"/>
                  <w:vAlign w:val="top"/>
                </w:tcPr>
                <w:p w14:paraId="20206500">
                  <w:pPr>
                    <w:spacing w:line="280" w:lineRule="exact"/>
                    <w:rPr>
                      <w:rFonts w:hint="eastAsia"/>
                      <w:color w:val="auto"/>
                      <w:highlight w:val="none"/>
                    </w:rPr>
                  </w:pPr>
                </w:p>
              </w:tc>
            </w:tr>
            <w:tr w14:paraId="1DB58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838FBC5">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0966B4E">
                  <w:pPr>
                    <w:spacing w:line="280" w:lineRule="exact"/>
                    <w:rPr>
                      <w:rFonts w:hint="eastAsia"/>
                      <w:color w:val="auto"/>
                      <w:highlight w:val="none"/>
                    </w:rPr>
                  </w:pPr>
                  <w:r>
                    <w:rPr>
                      <w:rFonts w:hint="eastAsia"/>
                      <w:color w:val="auto"/>
                      <w:highlight w:val="none"/>
                    </w:rPr>
                    <w:t>应支付的竣工结算款金额</w:t>
                  </w:r>
                </w:p>
              </w:tc>
              <w:tc>
                <w:tcPr>
                  <w:tcW w:w="1620" w:type="dxa"/>
                  <w:noWrap w:val="0"/>
                  <w:vAlign w:val="top"/>
                </w:tcPr>
                <w:p w14:paraId="4F082966">
                  <w:pPr>
                    <w:spacing w:line="280" w:lineRule="exact"/>
                    <w:rPr>
                      <w:rFonts w:hint="eastAsia"/>
                      <w:color w:val="auto"/>
                      <w:highlight w:val="none"/>
                    </w:rPr>
                  </w:pPr>
                </w:p>
              </w:tc>
              <w:tc>
                <w:tcPr>
                  <w:tcW w:w="1620" w:type="dxa"/>
                  <w:noWrap w:val="0"/>
                  <w:vAlign w:val="top"/>
                </w:tcPr>
                <w:p w14:paraId="6B2FC2C7">
                  <w:pPr>
                    <w:spacing w:line="280" w:lineRule="exact"/>
                    <w:rPr>
                      <w:rFonts w:hint="eastAsia"/>
                      <w:color w:val="auto"/>
                      <w:highlight w:val="none"/>
                    </w:rPr>
                  </w:pPr>
                </w:p>
              </w:tc>
              <w:tc>
                <w:tcPr>
                  <w:tcW w:w="1651" w:type="dxa"/>
                  <w:noWrap w:val="0"/>
                  <w:vAlign w:val="top"/>
                </w:tcPr>
                <w:p w14:paraId="5EC1D262">
                  <w:pPr>
                    <w:spacing w:line="280" w:lineRule="exact"/>
                    <w:rPr>
                      <w:rFonts w:hint="eastAsia"/>
                      <w:color w:val="auto"/>
                      <w:highlight w:val="none"/>
                    </w:rPr>
                  </w:pPr>
                </w:p>
              </w:tc>
            </w:tr>
            <w:tr w14:paraId="52F8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F747790">
                  <w:pPr>
                    <w:spacing w:line="280" w:lineRule="exact"/>
                    <w:jc w:val="center"/>
                    <w:rPr>
                      <w:rFonts w:hint="eastAsia"/>
                      <w:color w:val="auto"/>
                      <w:highlight w:val="none"/>
                    </w:rPr>
                  </w:pPr>
                </w:p>
              </w:tc>
              <w:tc>
                <w:tcPr>
                  <w:tcW w:w="3420" w:type="dxa"/>
                  <w:noWrap w:val="0"/>
                  <w:vAlign w:val="top"/>
                </w:tcPr>
                <w:p w14:paraId="6D05F690">
                  <w:pPr>
                    <w:spacing w:line="280" w:lineRule="exact"/>
                    <w:rPr>
                      <w:rFonts w:hint="eastAsia"/>
                      <w:color w:val="auto"/>
                      <w:highlight w:val="none"/>
                    </w:rPr>
                  </w:pPr>
                </w:p>
              </w:tc>
              <w:tc>
                <w:tcPr>
                  <w:tcW w:w="1620" w:type="dxa"/>
                  <w:noWrap w:val="0"/>
                  <w:vAlign w:val="top"/>
                </w:tcPr>
                <w:p w14:paraId="57F743C8">
                  <w:pPr>
                    <w:spacing w:line="280" w:lineRule="exact"/>
                    <w:rPr>
                      <w:rFonts w:hint="eastAsia"/>
                      <w:color w:val="auto"/>
                      <w:highlight w:val="none"/>
                    </w:rPr>
                  </w:pPr>
                </w:p>
              </w:tc>
              <w:tc>
                <w:tcPr>
                  <w:tcW w:w="1620" w:type="dxa"/>
                  <w:noWrap w:val="0"/>
                  <w:vAlign w:val="top"/>
                </w:tcPr>
                <w:p w14:paraId="58C2E113">
                  <w:pPr>
                    <w:spacing w:line="280" w:lineRule="exact"/>
                    <w:rPr>
                      <w:rFonts w:hint="eastAsia"/>
                      <w:color w:val="auto"/>
                      <w:highlight w:val="none"/>
                    </w:rPr>
                  </w:pPr>
                </w:p>
              </w:tc>
              <w:tc>
                <w:tcPr>
                  <w:tcW w:w="1651" w:type="dxa"/>
                  <w:noWrap w:val="0"/>
                  <w:vAlign w:val="top"/>
                </w:tcPr>
                <w:p w14:paraId="084E250C">
                  <w:pPr>
                    <w:spacing w:line="280" w:lineRule="exact"/>
                    <w:rPr>
                      <w:rFonts w:hint="eastAsia"/>
                      <w:color w:val="auto"/>
                      <w:highlight w:val="none"/>
                    </w:rPr>
                  </w:pPr>
                </w:p>
              </w:tc>
            </w:tr>
            <w:tr w14:paraId="7366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55025EC">
                  <w:pPr>
                    <w:spacing w:line="280" w:lineRule="exact"/>
                    <w:jc w:val="center"/>
                    <w:rPr>
                      <w:rFonts w:hint="eastAsia"/>
                      <w:color w:val="auto"/>
                      <w:highlight w:val="none"/>
                    </w:rPr>
                  </w:pPr>
                </w:p>
              </w:tc>
              <w:tc>
                <w:tcPr>
                  <w:tcW w:w="3420" w:type="dxa"/>
                  <w:noWrap w:val="0"/>
                  <w:vAlign w:val="top"/>
                </w:tcPr>
                <w:p w14:paraId="6DD008AC">
                  <w:pPr>
                    <w:spacing w:line="280" w:lineRule="exact"/>
                    <w:rPr>
                      <w:rFonts w:hint="eastAsia"/>
                      <w:color w:val="auto"/>
                      <w:highlight w:val="none"/>
                    </w:rPr>
                  </w:pPr>
                </w:p>
              </w:tc>
              <w:tc>
                <w:tcPr>
                  <w:tcW w:w="1620" w:type="dxa"/>
                  <w:noWrap w:val="0"/>
                  <w:vAlign w:val="top"/>
                </w:tcPr>
                <w:p w14:paraId="5217CA87">
                  <w:pPr>
                    <w:spacing w:line="280" w:lineRule="exact"/>
                    <w:rPr>
                      <w:rFonts w:hint="eastAsia"/>
                      <w:color w:val="auto"/>
                      <w:highlight w:val="none"/>
                    </w:rPr>
                  </w:pPr>
                </w:p>
              </w:tc>
              <w:tc>
                <w:tcPr>
                  <w:tcW w:w="1620" w:type="dxa"/>
                  <w:noWrap w:val="0"/>
                  <w:vAlign w:val="top"/>
                </w:tcPr>
                <w:p w14:paraId="31F8D684">
                  <w:pPr>
                    <w:spacing w:line="280" w:lineRule="exact"/>
                    <w:rPr>
                      <w:rFonts w:hint="eastAsia"/>
                      <w:color w:val="auto"/>
                      <w:highlight w:val="none"/>
                    </w:rPr>
                  </w:pPr>
                </w:p>
              </w:tc>
              <w:tc>
                <w:tcPr>
                  <w:tcW w:w="1651" w:type="dxa"/>
                  <w:noWrap w:val="0"/>
                  <w:vAlign w:val="top"/>
                </w:tcPr>
                <w:p w14:paraId="3E8DC28F">
                  <w:pPr>
                    <w:spacing w:line="280" w:lineRule="exact"/>
                    <w:rPr>
                      <w:rFonts w:hint="eastAsia"/>
                      <w:color w:val="auto"/>
                      <w:highlight w:val="none"/>
                    </w:rPr>
                  </w:pPr>
                </w:p>
              </w:tc>
            </w:tr>
            <w:tr w14:paraId="4D8F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DBA429">
                  <w:pPr>
                    <w:spacing w:line="280" w:lineRule="exact"/>
                    <w:jc w:val="center"/>
                    <w:rPr>
                      <w:rFonts w:hint="eastAsia"/>
                      <w:color w:val="auto"/>
                      <w:highlight w:val="none"/>
                    </w:rPr>
                  </w:pPr>
                </w:p>
              </w:tc>
              <w:tc>
                <w:tcPr>
                  <w:tcW w:w="3420" w:type="dxa"/>
                  <w:noWrap w:val="0"/>
                  <w:vAlign w:val="top"/>
                </w:tcPr>
                <w:p w14:paraId="35FE3BCF">
                  <w:pPr>
                    <w:spacing w:line="280" w:lineRule="exact"/>
                    <w:rPr>
                      <w:rFonts w:hint="eastAsia"/>
                      <w:color w:val="auto"/>
                      <w:highlight w:val="none"/>
                    </w:rPr>
                  </w:pPr>
                </w:p>
              </w:tc>
              <w:tc>
                <w:tcPr>
                  <w:tcW w:w="1620" w:type="dxa"/>
                  <w:noWrap w:val="0"/>
                  <w:vAlign w:val="top"/>
                </w:tcPr>
                <w:p w14:paraId="33A1F7E9">
                  <w:pPr>
                    <w:spacing w:line="280" w:lineRule="exact"/>
                    <w:rPr>
                      <w:rFonts w:hint="eastAsia"/>
                      <w:color w:val="auto"/>
                      <w:highlight w:val="none"/>
                    </w:rPr>
                  </w:pPr>
                </w:p>
              </w:tc>
              <w:tc>
                <w:tcPr>
                  <w:tcW w:w="1620" w:type="dxa"/>
                  <w:noWrap w:val="0"/>
                  <w:vAlign w:val="top"/>
                </w:tcPr>
                <w:p w14:paraId="352AFD6D">
                  <w:pPr>
                    <w:spacing w:line="280" w:lineRule="exact"/>
                    <w:rPr>
                      <w:rFonts w:hint="eastAsia"/>
                      <w:color w:val="auto"/>
                      <w:highlight w:val="none"/>
                    </w:rPr>
                  </w:pPr>
                </w:p>
              </w:tc>
              <w:tc>
                <w:tcPr>
                  <w:tcW w:w="1651" w:type="dxa"/>
                  <w:noWrap w:val="0"/>
                  <w:vAlign w:val="top"/>
                </w:tcPr>
                <w:p w14:paraId="7AD3FBD8">
                  <w:pPr>
                    <w:spacing w:line="280" w:lineRule="exact"/>
                    <w:rPr>
                      <w:rFonts w:hint="eastAsia"/>
                      <w:color w:val="auto"/>
                      <w:highlight w:val="none"/>
                    </w:rPr>
                  </w:pPr>
                </w:p>
              </w:tc>
            </w:tr>
            <w:tr w14:paraId="667A1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ED597F0">
                  <w:pPr>
                    <w:spacing w:line="280" w:lineRule="exact"/>
                    <w:jc w:val="center"/>
                    <w:rPr>
                      <w:rFonts w:hint="eastAsia"/>
                      <w:color w:val="auto"/>
                      <w:highlight w:val="none"/>
                    </w:rPr>
                  </w:pPr>
                </w:p>
              </w:tc>
              <w:tc>
                <w:tcPr>
                  <w:tcW w:w="3420" w:type="dxa"/>
                  <w:noWrap w:val="0"/>
                  <w:vAlign w:val="top"/>
                </w:tcPr>
                <w:p w14:paraId="02EA4250">
                  <w:pPr>
                    <w:spacing w:line="280" w:lineRule="exact"/>
                    <w:rPr>
                      <w:rFonts w:hint="eastAsia"/>
                      <w:color w:val="auto"/>
                      <w:highlight w:val="none"/>
                    </w:rPr>
                  </w:pPr>
                </w:p>
              </w:tc>
              <w:tc>
                <w:tcPr>
                  <w:tcW w:w="1620" w:type="dxa"/>
                  <w:noWrap w:val="0"/>
                  <w:vAlign w:val="top"/>
                </w:tcPr>
                <w:p w14:paraId="33864C60">
                  <w:pPr>
                    <w:spacing w:line="280" w:lineRule="exact"/>
                    <w:rPr>
                      <w:rFonts w:hint="eastAsia"/>
                      <w:color w:val="auto"/>
                      <w:highlight w:val="none"/>
                    </w:rPr>
                  </w:pPr>
                </w:p>
              </w:tc>
              <w:tc>
                <w:tcPr>
                  <w:tcW w:w="1620" w:type="dxa"/>
                  <w:noWrap w:val="0"/>
                  <w:vAlign w:val="top"/>
                </w:tcPr>
                <w:p w14:paraId="2B4499AD">
                  <w:pPr>
                    <w:spacing w:line="280" w:lineRule="exact"/>
                    <w:rPr>
                      <w:rFonts w:hint="eastAsia"/>
                      <w:color w:val="auto"/>
                      <w:highlight w:val="none"/>
                    </w:rPr>
                  </w:pPr>
                </w:p>
              </w:tc>
              <w:tc>
                <w:tcPr>
                  <w:tcW w:w="1651" w:type="dxa"/>
                  <w:noWrap w:val="0"/>
                  <w:vAlign w:val="top"/>
                </w:tcPr>
                <w:p w14:paraId="178DA3C4">
                  <w:pPr>
                    <w:spacing w:line="280" w:lineRule="exact"/>
                    <w:rPr>
                      <w:rFonts w:hint="eastAsia"/>
                      <w:color w:val="auto"/>
                      <w:highlight w:val="none"/>
                    </w:rPr>
                  </w:pPr>
                </w:p>
              </w:tc>
            </w:tr>
            <w:tr w14:paraId="53B7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856EB23">
                  <w:pPr>
                    <w:spacing w:line="280" w:lineRule="exact"/>
                    <w:jc w:val="center"/>
                    <w:rPr>
                      <w:rFonts w:hint="eastAsia"/>
                      <w:color w:val="auto"/>
                      <w:highlight w:val="none"/>
                    </w:rPr>
                  </w:pPr>
                </w:p>
              </w:tc>
              <w:tc>
                <w:tcPr>
                  <w:tcW w:w="3420" w:type="dxa"/>
                  <w:noWrap w:val="0"/>
                  <w:vAlign w:val="top"/>
                </w:tcPr>
                <w:p w14:paraId="6C44A8F6">
                  <w:pPr>
                    <w:spacing w:line="280" w:lineRule="exact"/>
                    <w:rPr>
                      <w:rFonts w:hint="eastAsia"/>
                      <w:color w:val="auto"/>
                      <w:highlight w:val="none"/>
                    </w:rPr>
                  </w:pPr>
                </w:p>
              </w:tc>
              <w:tc>
                <w:tcPr>
                  <w:tcW w:w="1620" w:type="dxa"/>
                  <w:noWrap w:val="0"/>
                  <w:vAlign w:val="top"/>
                </w:tcPr>
                <w:p w14:paraId="37145874">
                  <w:pPr>
                    <w:spacing w:line="280" w:lineRule="exact"/>
                    <w:rPr>
                      <w:rFonts w:hint="eastAsia"/>
                      <w:color w:val="auto"/>
                      <w:highlight w:val="none"/>
                    </w:rPr>
                  </w:pPr>
                </w:p>
              </w:tc>
              <w:tc>
                <w:tcPr>
                  <w:tcW w:w="1620" w:type="dxa"/>
                  <w:noWrap w:val="0"/>
                  <w:vAlign w:val="top"/>
                </w:tcPr>
                <w:p w14:paraId="7C87EB92">
                  <w:pPr>
                    <w:spacing w:line="280" w:lineRule="exact"/>
                    <w:rPr>
                      <w:rFonts w:hint="eastAsia"/>
                      <w:color w:val="auto"/>
                      <w:highlight w:val="none"/>
                    </w:rPr>
                  </w:pPr>
                </w:p>
              </w:tc>
              <w:tc>
                <w:tcPr>
                  <w:tcW w:w="1651" w:type="dxa"/>
                  <w:noWrap w:val="0"/>
                  <w:vAlign w:val="top"/>
                </w:tcPr>
                <w:p w14:paraId="7B7FBA4B">
                  <w:pPr>
                    <w:spacing w:line="280" w:lineRule="exact"/>
                    <w:rPr>
                      <w:rFonts w:hint="eastAsia"/>
                      <w:color w:val="auto"/>
                      <w:highlight w:val="none"/>
                    </w:rPr>
                  </w:pPr>
                </w:p>
              </w:tc>
            </w:tr>
          </w:tbl>
          <w:p w14:paraId="39BD58F8">
            <w:pPr>
              <w:spacing w:line="400" w:lineRule="exact"/>
              <w:ind w:right="420" w:firstLine="435"/>
              <w:jc w:val="center"/>
              <w:rPr>
                <w:rFonts w:hint="eastAsia"/>
                <w:color w:val="auto"/>
                <w:highlight w:val="none"/>
              </w:rPr>
            </w:pPr>
          </w:p>
          <w:p w14:paraId="6BBD978C">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0731ABF8">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EFFA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4CBCC31A">
            <w:pPr>
              <w:spacing w:line="360" w:lineRule="exact"/>
              <w:rPr>
                <w:rFonts w:hint="eastAsia"/>
                <w:color w:val="auto"/>
                <w:highlight w:val="none"/>
              </w:rPr>
            </w:pPr>
            <w:r>
              <w:rPr>
                <w:rFonts w:hint="eastAsia"/>
                <w:color w:val="auto"/>
                <w:highlight w:val="none"/>
              </w:rPr>
              <w:t>复核意见：</w:t>
            </w:r>
          </w:p>
          <w:p w14:paraId="23CDD5ED">
            <w:pPr>
              <w:spacing w:line="360" w:lineRule="exact"/>
              <w:ind w:firstLine="312"/>
              <w:rPr>
                <w:rFonts w:hint="eastAsia"/>
                <w:color w:val="auto"/>
                <w:highlight w:val="none"/>
              </w:rPr>
            </w:pPr>
            <w:r>
              <w:rPr>
                <w:rFonts w:hint="eastAsia"/>
                <w:color w:val="auto"/>
                <w:highlight w:val="none"/>
              </w:rPr>
              <w:t>□与实际施工情况不相符，修改意见见附件。</w:t>
            </w:r>
          </w:p>
          <w:p w14:paraId="0EA9D594">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1BD483CA">
            <w:pPr>
              <w:spacing w:line="360" w:lineRule="exact"/>
              <w:ind w:firstLine="435"/>
              <w:jc w:val="right"/>
              <w:rPr>
                <w:rFonts w:hint="eastAsia"/>
                <w:color w:val="auto"/>
                <w:highlight w:val="none"/>
              </w:rPr>
            </w:pPr>
          </w:p>
          <w:p w14:paraId="1F5DF822">
            <w:pPr>
              <w:spacing w:line="360" w:lineRule="exact"/>
              <w:ind w:firstLine="435"/>
              <w:jc w:val="right"/>
              <w:rPr>
                <w:rFonts w:hint="eastAsia"/>
                <w:color w:val="auto"/>
                <w:highlight w:val="none"/>
              </w:rPr>
            </w:pPr>
          </w:p>
          <w:p w14:paraId="743F7436">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56BC923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5D7607F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56CB7576">
            <w:pPr>
              <w:spacing w:line="360" w:lineRule="exact"/>
              <w:rPr>
                <w:rFonts w:hint="eastAsia"/>
                <w:color w:val="auto"/>
                <w:highlight w:val="none"/>
              </w:rPr>
            </w:pPr>
            <w:r>
              <w:rPr>
                <w:rFonts w:hint="eastAsia"/>
                <w:color w:val="auto"/>
                <w:highlight w:val="none"/>
              </w:rPr>
              <w:t>复核意见：</w:t>
            </w:r>
          </w:p>
          <w:p w14:paraId="696BF268">
            <w:pPr>
              <w:spacing w:line="360" w:lineRule="exact"/>
              <w:ind w:firstLine="435"/>
              <w:rPr>
                <w:rFonts w:hint="eastAsia"/>
                <w:color w:val="auto"/>
                <w:highlight w:val="none"/>
                <w:u w:val="single"/>
              </w:rPr>
            </w:pPr>
            <w:r>
              <w:rPr>
                <w:rFonts w:hint="eastAsia"/>
                <w:color w:val="auto"/>
                <w:highlight w:val="none"/>
              </w:rPr>
              <w:t>你方提出的竣工结算支付申请经复核，竣工结算款总额为(大写)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 xml:space="preserve"> 元，扣除前期支付以及质量保证金后应支付金额为（大写）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0E36020D">
            <w:pPr>
              <w:spacing w:line="360" w:lineRule="exact"/>
              <w:ind w:firstLine="435"/>
              <w:jc w:val="center"/>
              <w:rPr>
                <w:rFonts w:hint="eastAsia"/>
                <w:color w:val="auto"/>
                <w:highlight w:val="none"/>
              </w:rPr>
            </w:pPr>
            <w:r>
              <w:rPr>
                <w:color w:val="auto"/>
                <w:highlight w:val="none"/>
              </w:rPr>
              <w:t xml:space="preserve">    </w:t>
            </w:r>
          </w:p>
          <w:p w14:paraId="6D307C3C">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35D9DB2F">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683F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10CBAAA8">
            <w:pPr>
              <w:spacing w:line="400" w:lineRule="exact"/>
              <w:rPr>
                <w:rFonts w:hint="eastAsia"/>
                <w:color w:val="auto"/>
                <w:highlight w:val="none"/>
              </w:rPr>
            </w:pPr>
            <w:r>
              <w:rPr>
                <w:rFonts w:hint="eastAsia"/>
                <w:color w:val="auto"/>
                <w:highlight w:val="none"/>
              </w:rPr>
              <w:t>审核意见：</w:t>
            </w:r>
          </w:p>
          <w:p w14:paraId="52B131B9">
            <w:pPr>
              <w:spacing w:line="400" w:lineRule="exact"/>
              <w:ind w:firstLine="435"/>
              <w:rPr>
                <w:rFonts w:hint="eastAsia"/>
                <w:color w:val="auto"/>
                <w:highlight w:val="none"/>
              </w:rPr>
            </w:pPr>
            <w:r>
              <w:rPr>
                <w:rFonts w:hint="eastAsia"/>
                <w:color w:val="auto"/>
                <w:highlight w:val="none"/>
              </w:rPr>
              <w:t>□不同意。</w:t>
            </w:r>
          </w:p>
          <w:p w14:paraId="16D14576">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20F0CB9D">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69AE73E8">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84EB9AA">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6BF63216">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55162CE0">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1BD74EF4">
      <w:pPr>
        <w:ind w:right="360"/>
        <w:rPr>
          <w:rFonts w:hint="eastAsia"/>
          <w:b/>
          <w:color w:val="auto"/>
          <w:sz w:val="30"/>
          <w:szCs w:val="30"/>
          <w:highlight w:val="none"/>
        </w:rPr>
      </w:pPr>
      <w:r>
        <w:rPr>
          <w:rFonts w:hint="eastAsia"/>
          <w:color w:val="auto"/>
          <w:sz w:val="18"/>
          <w:szCs w:val="18"/>
          <w:highlight w:val="none"/>
        </w:rPr>
        <w:t xml:space="preserve">  </w:t>
      </w:r>
      <w:r>
        <w:rPr>
          <w:rFonts w:hint="eastAsia" w:hAnsi="宋体" w:cs="宋体"/>
          <w:color w:val="auto"/>
          <w:sz w:val="30"/>
          <w:szCs w:val="30"/>
          <w:highlight w:val="none"/>
        </w:rPr>
        <w:t>附件13：</w:t>
      </w:r>
    </w:p>
    <w:p w14:paraId="6C397804">
      <w:pPr>
        <w:jc w:val="center"/>
        <w:rPr>
          <w:rFonts w:hint="eastAsia"/>
          <w:b/>
          <w:color w:val="auto"/>
          <w:sz w:val="36"/>
          <w:szCs w:val="36"/>
          <w:highlight w:val="none"/>
        </w:rPr>
      </w:pPr>
      <w:r>
        <w:rPr>
          <w:rFonts w:hint="eastAsia"/>
          <w:b/>
          <w:color w:val="auto"/>
          <w:sz w:val="36"/>
          <w:szCs w:val="36"/>
          <w:highlight w:val="none"/>
        </w:rPr>
        <w:t>最终结算款支付申请（核准）表</w:t>
      </w:r>
    </w:p>
    <w:p w14:paraId="10D5FDA8">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2959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4" w:hRule="atLeast"/>
          <w:jc w:val="center"/>
        </w:trPr>
        <w:tc>
          <w:tcPr>
            <w:tcW w:w="9240" w:type="dxa"/>
            <w:gridSpan w:val="2"/>
            <w:noWrap w:val="0"/>
            <w:vAlign w:val="top"/>
          </w:tcPr>
          <w:p w14:paraId="41C1D92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3F9952EF">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期间已完成了缺陷修复工作，根据施工合同的约定，现申请支付最终结清合同款额为(大写)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0830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658E2B19">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5F7EFC6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16E31010">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30A6E88C">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1CE08C04">
                  <w:pPr>
                    <w:spacing w:line="280" w:lineRule="exact"/>
                    <w:jc w:val="center"/>
                    <w:rPr>
                      <w:rFonts w:hint="eastAsia"/>
                      <w:color w:val="auto"/>
                      <w:highlight w:val="none"/>
                    </w:rPr>
                  </w:pPr>
                  <w:r>
                    <w:rPr>
                      <w:rFonts w:hint="eastAsia"/>
                      <w:color w:val="auto"/>
                      <w:highlight w:val="none"/>
                    </w:rPr>
                    <w:t>备注</w:t>
                  </w:r>
                </w:p>
              </w:tc>
            </w:tr>
            <w:tr w14:paraId="0A5F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E7AFB9">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30E69B85">
                  <w:pPr>
                    <w:spacing w:line="280" w:lineRule="exact"/>
                    <w:rPr>
                      <w:rFonts w:hint="eastAsia"/>
                      <w:color w:val="auto"/>
                      <w:highlight w:val="none"/>
                    </w:rPr>
                  </w:pPr>
                  <w:r>
                    <w:rPr>
                      <w:rFonts w:hint="eastAsia"/>
                      <w:color w:val="auto"/>
                      <w:highlight w:val="none"/>
                    </w:rPr>
                    <w:t>已预留的质量保证金</w:t>
                  </w:r>
                </w:p>
              </w:tc>
              <w:tc>
                <w:tcPr>
                  <w:tcW w:w="1620" w:type="dxa"/>
                  <w:noWrap w:val="0"/>
                  <w:vAlign w:val="top"/>
                </w:tcPr>
                <w:p w14:paraId="6E08C03C">
                  <w:pPr>
                    <w:spacing w:line="280" w:lineRule="exact"/>
                    <w:rPr>
                      <w:rFonts w:hint="eastAsia"/>
                      <w:color w:val="auto"/>
                      <w:highlight w:val="none"/>
                    </w:rPr>
                  </w:pPr>
                </w:p>
              </w:tc>
              <w:tc>
                <w:tcPr>
                  <w:tcW w:w="1620" w:type="dxa"/>
                  <w:noWrap w:val="0"/>
                  <w:vAlign w:val="top"/>
                </w:tcPr>
                <w:p w14:paraId="27A44400">
                  <w:pPr>
                    <w:spacing w:line="280" w:lineRule="exact"/>
                    <w:rPr>
                      <w:rFonts w:hint="eastAsia"/>
                      <w:color w:val="auto"/>
                      <w:highlight w:val="none"/>
                    </w:rPr>
                  </w:pPr>
                </w:p>
              </w:tc>
              <w:tc>
                <w:tcPr>
                  <w:tcW w:w="1651" w:type="dxa"/>
                  <w:noWrap w:val="0"/>
                  <w:vAlign w:val="top"/>
                </w:tcPr>
                <w:p w14:paraId="781F18A2">
                  <w:pPr>
                    <w:spacing w:line="280" w:lineRule="exact"/>
                    <w:rPr>
                      <w:rFonts w:hint="eastAsia"/>
                      <w:color w:val="auto"/>
                      <w:highlight w:val="none"/>
                    </w:rPr>
                  </w:pPr>
                </w:p>
              </w:tc>
            </w:tr>
            <w:tr w14:paraId="4A2D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29069CB">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31F60CB">
                  <w:pPr>
                    <w:spacing w:line="280" w:lineRule="exact"/>
                    <w:rPr>
                      <w:rFonts w:hint="eastAsia"/>
                      <w:color w:val="auto"/>
                      <w:highlight w:val="none"/>
                    </w:rPr>
                  </w:pPr>
                  <w:r>
                    <w:rPr>
                      <w:rFonts w:hint="eastAsia"/>
                      <w:color w:val="auto"/>
                      <w:highlight w:val="none"/>
                    </w:rPr>
                    <w:t>应增加因发包人原因造成缺陷的修复金额</w:t>
                  </w:r>
                </w:p>
              </w:tc>
              <w:tc>
                <w:tcPr>
                  <w:tcW w:w="1620" w:type="dxa"/>
                  <w:noWrap w:val="0"/>
                  <w:vAlign w:val="top"/>
                </w:tcPr>
                <w:p w14:paraId="5EC7073B">
                  <w:pPr>
                    <w:spacing w:line="280" w:lineRule="exact"/>
                    <w:rPr>
                      <w:rFonts w:hint="eastAsia"/>
                      <w:color w:val="auto"/>
                      <w:highlight w:val="none"/>
                    </w:rPr>
                  </w:pPr>
                </w:p>
              </w:tc>
              <w:tc>
                <w:tcPr>
                  <w:tcW w:w="1620" w:type="dxa"/>
                  <w:noWrap w:val="0"/>
                  <w:vAlign w:val="top"/>
                </w:tcPr>
                <w:p w14:paraId="01DA8321">
                  <w:pPr>
                    <w:spacing w:line="280" w:lineRule="exact"/>
                    <w:rPr>
                      <w:rFonts w:hint="eastAsia"/>
                      <w:color w:val="auto"/>
                      <w:highlight w:val="none"/>
                    </w:rPr>
                  </w:pPr>
                </w:p>
              </w:tc>
              <w:tc>
                <w:tcPr>
                  <w:tcW w:w="1651" w:type="dxa"/>
                  <w:noWrap w:val="0"/>
                  <w:vAlign w:val="top"/>
                </w:tcPr>
                <w:p w14:paraId="1B27BFAB">
                  <w:pPr>
                    <w:spacing w:line="280" w:lineRule="exact"/>
                    <w:rPr>
                      <w:rFonts w:hint="eastAsia"/>
                      <w:color w:val="auto"/>
                      <w:highlight w:val="none"/>
                    </w:rPr>
                  </w:pPr>
                </w:p>
              </w:tc>
            </w:tr>
            <w:tr w14:paraId="21700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C892AFB">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470971E1">
                  <w:pPr>
                    <w:spacing w:line="280" w:lineRule="exact"/>
                    <w:rPr>
                      <w:rFonts w:hint="eastAsia"/>
                      <w:color w:val="auto"/>
                      <w:highlight w:val="none"/>
                    </w:rPr>
                  </w:pPr>
                  <w:r>
                    <w:rPr>
                      <w:rFonts w:hint="eastAsia"/>
                      <w:color w:val="auto"/>
                      <w:highlight w:val="none"/>
                    </w:rPr>
                    <w:t>应扣减承包人不修复缺陷、发包人组织修复的金额</w:t>
                  </w:r>
                </w:p>
              </w:tc>
              <w:tc>
                <w:tcPr>
                  <w:tcW w:w="1620" w:type="dxa"/>
                  <w:noWrap w:val="0"/>
                  <w:vAlign w:val="top"/>
                </w:tcPr>
                <w:p w14:paraId="161E6C18">
                  <w:pPr>
                    <w:spacing w:line="280" w:lineRule="exact"/>
                    <w:rPr>
                      <w:rFonts w:hint="eastAsia"/>
                      <w:color w:val="auto"/>
                      <w:highlight w:val="none"/>
                    </w:rPr>
                  </w:pPr>
                </w:p>
              </w:tc>
              <w:tc>
                <w:tcPr>
                  <w:tcW w:w="1620" w:type="dxa"/>
                  <w:noWrap w:val="0"/>
                  <w:vAlign w:val="top"/>
                </w:tcPr>
                <w:p w14:paraId="1E5602F7">
                  <w:pPr>
                    <w:spacing w:line="280" w:lineRule="exact"/>
                    <w:rPr>
                      <w:rFonts w:hint="eastAsia"/>
                      <w:color w:val="auto"/>
                      <w:highlight w:val="none"/>
                    </w:rPr>
                  </w:pPr>
                </w:p>
              </w:tc>
              <w:tc>
                <w:tcPr>
                  <w:tcW w:w="1651" w:type="dxa"/>
                  <w:noWrap w:val="0"/>
                  <w:vAlign w:val="top"/>
                </w:tcPr>
                <w:p w14:paraId="097215EB">
                  <w:pPr>
                    <w:spacing w:line="280" w:lineRule="exact"/>
                    <w:rPr>
                      <w:rFonts w:hint="eastAsia"/>
                      <w:color w:val="auto"/>
                      <w:highlight w:val="none"/>
                    </w:rPr>
                  </w:pPr>
                </w:p>
              </w:tc>
            </w:tr>
            <w:tr w14:paraId="0770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58F501">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B550F40">
                  <w:pPr>
                    <w:spacing w:line="280" w:lineRule="exact"/>
                    <w:rPr>
                      <w:rFonts w:hint="eastAsia"/>
                      <w:color w:val="auto"/>
                      <w:highlight w:val="none"/>
                    </w:rPr>
                  </w:pPr>
                  <w:r>
                    <w:rPr>
                      <w:rFonts w:hint="eastAsia"/>
                      <w:color w:val="auto"/>
                      <w:highlight w:val="none"/>
                    </w:rPr>
                    <w:t>最终应支付的合同价款</w:t>
                  </w:r>
                </w:p>
              </w:tc>
              <w:tc>
                <w:tcPr>
                  <w:tcW w:w="1620" w:type="dxa"/>
                  <w:noWrap w:val="0"/>
                  <w:vAlign w:val="top"/>
                </w:tcPr>
                <w:p w14:paraId="43C5649E">
                  <w:pPr>
                    <w:spacing w:line="280" w:lineRule="exact"/>
                    <w:rPr>
                      <w:rFonts w:hint="eastAsia"/>
                      <w:color w:val="auto"/>
                      <w:highlight w:val="none"/>
                    </w:rPr>
                  </w:pPr>
                </w:p>
              </w:tc>
              <w:tc>
                <w:tcPr>
                  <w:tcW w:w="1620" w:type="dxa"/>
                  <w:noWrap w:val="0"/>
                  <w:vAlign w:val="top"/>
                </w:tcPr>
                <w:p w14:paraId="75493DE9">
                  <w:pPr>
                    <w:spacing w:line="280" w:lineRule="exact"/>
                    <w:rPr>
                      <w:rFonts w:hint="eastAsia"/>
                      <w:color w:val="auto"/>
                      <w:highlight w:val="none"/>
                    </w:rPr>
                  </w:pPr>
                </w:p>
              </w:tc>
              <w:tc>
                <w:tcPr>
                  <w:tcW w:w="1651" w:type="dxa"/>
                  <w:noWrap w:val="0"/>
                  <w:vAlign w:val="top"/>
                </w:tcPr>
                <w:p w14:paraId="4E6ABA7E">
                  <w:pPr>
                    <w:spacing w:line="280" w:lineRule="exact"/>
                    <w:rPr>
                      <w:rFonts w:hint="eastAsia"/>
                      <w:color w:val="auto"/>
                      <w:highlight w:val="none"/>
                    </w:rPr>
                  </w:pPr>
                </w:p>
              </w:tc>
            </w:tr>
            <w:tr w14:paraId="05EE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4D626DA">
                  <w:pPr>
                    <w:spacing w:line="280" w:lineRule="exact"/>
                    <w:jc w:val="center"/>
                    <w:rPr>
                      <w:rFonts w:hint="eastAsia"/>
                      <w:color w:val="auto"/>
                      <w:highlight w:val="none"/>
                    </w:rPr>
                  </w:pPr>
                </w:p>
              </w:tc>
              <w:tc>
                <w:tcPr>
                  <w:tcW w:w="3420" w:type="dxa"/>
                  <w:noWrap w:val="0"/>
                  <w:vAlign w:val="top"/>
                </w:tcPr>
                <w:p w14:paraId="17FBA488">
                  <w:pPr>
                    <w:spacing w:line="280" w:lineRule="exact"/>
                    <w:rPr>
                      <w:rFonts w:hint="eastAsia"/>
                      <w:color w:val="auto"/>
                      <w:highlight w:val="none"/>
                    </w:rPr>
                  </w:pPr>
                </w:p>
              </w:tc>
              <w:tc>
                <w:tcPr>
                  <w:tcW w:w="1620" w:type="dxa"/>
                  <w:noWrap w:val="0"/>
                  <w:vAlign w:val="top"/>
                </w:tcPr>
                <w:p w14:paraId="1047B9F9">
                  <w:pPr>
                    <w:spacing w:line="280" w:lineRule="exact"/>
                    <w:rPr>
                      <w:rFonts w:hint="eastAsia"/>
                      <w:color w:val="auto"/>
                      <w:highlight w:val="none"/>
                    </w:rPr>
                  </w:pPr>
                </w:p>
              </w:tc>
              <w:tc>
                <w:tcPr>
                  <w:tcW w:w="1620" w:type="dxa"/>
                  <w:noWrap w:val="0"/>
                  <w:vAlign w:val="top"/>
                </w:tcPr>
                <w:p w14:paraId="632CE1D5">
                  <w:pPr>
                    <w:spacing w:line="280" w:lineRule="exact"/>
                    <w:rPr>
                      <w:rFonts w:hint="eastAsia"/>
                      <w:color w:val="auto"/>
                      <w:highlight w:val="none"/>
                    </w:rPr>
                  </w:pPr>
                </w:p>
              </w:tc>
              <w:tc>
                <w:tcPr>
                  <w:tcW w:w="1651" w:type="dxa"/>
                  <w:noWrap w:val="0"/>
                  <w:vAlign w:val="top"/>
                </w:tcPr>
                <w:p w14:paraId="58B64C4B">
                  <w:pPr>
                    <w:spacing w:line="280" w:lineRule="exact"/>
                    <w:rPr>
                      <w:rFonts w:hint="eastAsia"/>
                      <w:color w:val="auto"/>
                      <w:highlight w:val="none"/>
                    </w:rPr>
                  </w:pPr>
                </w:p>
              </w:tc>
            </w:tr>
            <w:tr w14:paraId="391C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BA77EC3">
                  <w:pPr>
                    <w:spacing w:line="280" w:lineRule="exact"/>
                    <w:jc w:val="center"/>
                    <w:rPr>
                      <w:rFonts w:hint="eastAsia"/>
                      <w:color w:val="auto"/>
                      <w:highlight w:val="none"/>
                    </w:rPr>
                  </w:pPr>
                </w:p>
              </w:tc>
              <w:tc>
                <w:tcPr>
                  <w:tcW w:w="3420" w:type="dxa"/>
                  <w:noWrap w:val="0"/>
                  <w:vAlign w:val="top"/>
                </w:tcPr>
                <w:p w14:paraId="75E89003">
                  <w:pPr>
                    <w:spacing w:line="280" w:lineRule="exact"/>
                    <w:rPr>
                      <w:rFonts w:hint="eastAsia"/>
                      <w:color w:val="auto"/>
                      <w:highlight w:val="none"/>
                    </w:rPr>
                  </w:pPr>
                </w:p>
              </w:tc>
              <w:tc>
                <w:tcPr>
                  <w:tcW w:w="1620" w:type="dxa"/>
                  <w:noWrap w:val="0"/>
                  <w:vAlign w:val="top"/>
                </w:tcPr>
                <w:p w14:paraId="25C6AB0C">
                  <w:pPr>
                    <w:spacing w:line="280" w:lineRule="exact"/>
                    <w:rPr>
                      <w:rFonts w:hint="eastAsia"/>
                      <w:color w:val="auto"/>
                      <w:highlight w:val="none"/>
                    </w:rPr>
                  </w:pPr>
                </w:p>
              </w:tc>
              <w:tc>
                <w:tcPr>
                  <w:tcW w:w="1620" w:type="dxa"/>
                  <w:noWrap w:val="0"/>
                  <w:vAlign w:val="top"/>
                </w:tcPr>
                <w:p w14:paraId="6780CDDC">
                  <w:pPr>
                    <w:spacing w:line="280" w:lineRule="exact"/>
                    <w:rPr>
                      <w:rFonts w:hint="eastAsia"/>
                      <w:color w:val="auto"/>
                      <w:highlight w:val="none"/>
                    </w:rPr>
                  </w:pPr>
                </w:p>
              </w:tc>
              <w:tc>
                <w:tcPr>
                  <w:tcW w:w="1651" w:type="dxa"/>
                  <w:noWrap w:val="0"/>
                  <w:vAlign w:val="top"/>
                </w:tcPr>
                <w:p w14:paraId="1DA8DC3E">
                  <w:pPr>
                    <w:spacing w:line="280" w:lineRule="exact"/>
                    <w:rPr>
                      <w:rFonts w:hint="eastAsia"/>
                      <w:color w:val="auto"/>
                      <w:highlight w:val="none"/>
                    </w:rPr>
                  </w:pPr>
                </w:p>
              </w:tc>
            </w:tr>
            <w:tr w14:paraId="696B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FBC948">
                  <w:pPr>
                    <w:spacing w:line="280" w:lineRule="exact"/>
                    <w:jc w:val="center"/>
                    <w:rPr>
                      <w:rFonts w:hint="eastAsia"/>
                      <w:color w:val="auto"/>
                      <w:highlight w:val="none"/>
                    </w:rPr>
                  </w:pPr>
                </w:p>
              </w:tc>
              <w:tc>
                <w:tcPr>
                  <w:tcW w:w="3420" w:type="dxa"/>
                  <w:noWrap w:val="0"/>
                  <w:vAlign w:val="top"/>
                </w:tcPr>
                <w:p w14:paraId="77725B17">
                  <w:pPr>
                    <w:spacing w:line="280" w:lineRule="exact"/>
                    <w:rPr>
                      <w:rFonts w:hint="eastAsia"/>
                      <w:color w:val="auto"/>
                      <w:highlight w:val="none"/>
                    </w:rPr>
                  </w:pPr>
                </w:p>
              </w:tc>
              <w:tc>
                <w:tcPr>
                  <w:tcW w:w="1620" w:type="dxa"/>
                  <w:noWrap w:val="0"/>
                  <w:vAlign w:val="top"/>
                </w:tcPr>
                <w:p w14:paraId="39248A9D">
                  <w:pPr>
                    <w:spacing w:line="280" w:lineRule="exact"/>
                    <w:rPr>
                      <w:rFonts w:hint="eastAsia"/>
                      <w:color w:val="auto"/>
                      <w:highlight w:val="none"/>
                    </w:rPr>
                  </w:pPr>
                </w:p>
              </w:tc>
              <w:tc>
                <w:tcPr>
                  <w:tcW w:w="1620" w:type="dxa"/>
                  <w:noWrap w:val="0"/>
                  <w:vAlign w:val="top"/>
                </w:tcPr>
                <w:p w14:paraId="22C93D96">
                  <w:pPr>
                    <w:spacing w:line="280" w:lineRule="exact"/>
                    <w:rPr>
                      <w:rFonts w:hint="eastAsia"/>
                      <w:color w:val="auto"/>
                      <w:highlight w:val="none"/>
                    </w:rPr>
                  </w:pPr>
                </w:p>
              </w:tc>
              <w:tc>
                <w:tcPr>
                  <w:tcW w:w="1651" w:type="dxa"/>
                  <w:noWrap w:val="0"/>
                  <w:vAlign w:val="top"/>
                </w:tcPr>
                <w:p w14:paraId="15C1656D">
                  <w:pPr>
                    <w:spacing w:line="280" w:lineRule="exact"/>
                    <w:rPr>
                      <w:rFonts w:hint="eastAsia"/>
                      <w:color w:val="auto"/>
                      <w:highlight w:val="none"/>
                    </w:rPr>
                  </w:pPr>
                </w:p>
              </w:tc>
            </w:tr>
            <w:tr w14:paraId="59A3F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FA5BC9">
                  <w:pPr>
                    <w:spacing w:line="280" w:lineRule="exact"/>
                    <w:jc w:val="center"/>
                    <w:rPr>
                      <w:rFonts w:hint="eastAsia"/>
                      <w:color w:val="auto"/>
                      <w:highlight w:val="none"/>
                    </w:rPr>
                  </w:pPr>
                </w:p>
              </w:tc>
              <w:tc>
                <w:tcPr>
                  <w:tcW w:w="3420" w:type="dxa"/>
                  <w:noWrap w:val="0"/>
                  <w:vAlign w:val="top"/>
                </w:tcPr>
                <w:p w14:paraId="16176A1B">
                  <w:pPr>
                    <w:spacing w:line="280" w:lineRule="exact"/>
                    <w:rPr>
                      <w:rFonts w:hint="eastAsia"/>
                      <w:color w:val="auto"/>
                      <w:highlight w:val="none"/>
                    </w:rPr>
                  </w:pPr>
                </w:p>
              </w:tc>
              <w:tc>
                <w:tcPr>
                  <w:tcW w:w="1620" w:type="dxa"/>
                  <w:noWrap w:val="0"/>
                  <w:vAlign w:val="top"/>
                </w:tcPr>
                <w:p w14:paraId="4F13C89B">
                  <w:pPr>
                    <w:spacing w:line="280" w:lineRule="exact"/>
                    <w:rPr>
                      <w:rFonts w:hint="eastAsia"/>
                      <w:color w:val="auto"/>
                      <w:highlight w:val="none"/>
                    </w:rPr>
                  </w:pPr>
                </w:p>
              </w:tc>
              <w:tc>
                <w:tcPr>
                  <w:tcW w:w="1620" w:type="dxa"/>
                  <w:noWrap w:val="0"/>
                  <w:vAlign w:val="top"/>
                </w:tcPr>
                <w:p w14:paraId="3CEB5775">
                  <w:pPr>
                    <w:spacing w:line="280" w:lineRule="exact"/>
                    <w:rPr>
                      <w:rFonts w:hint="eastAsia"/>
                      <w:color w:val="auto"/>
                      <w:highlight w:val="none"/>
                    </w:rPr>
                  </w:pPr>
                </w:p>
              </w:tc>
              <w:tc>
                <w:tcPr>
                  <w:tcW w:w="1651" w:type="dxa"/>
                  <w:noWrap w:val="0"/>
                  <w:vAlign w:val="top"/>
                </w:tcPr>
                <w:p w14:paraId="061D70DB">
                  <w:pPr>
                    <w:spacing w:line="280" w:lineRule="exact"/>
                    <w:rPr>
                      <w:rFonts w:hint="eastAsia"/>
                      <w:color w:val="auto"/>
                      <w:highlight w:val="none"/>
                    </w:rPr>
                  </w:pPr>
                </w:p>
              </w:tc>
            </w:tr>
          </w:tbl>
          <w:p w14:paraId="230CE4D6">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684821A6">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50CF7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031C6A07">
            <w:pPr>
              <w:spacing w:line="360" w:lineRule="exact"/>
              <w:rPr>
                <w:rFonts w:hint="eastAsia"/>
                <w:color w:val="auto"/>
                <w:highlight w:val="none"/>
              </w:rPr>
            </w:pPr>
            <w:r>
              <w:rPr>
                <w:rFonts w:hint="eastAsia"/>
                <w:color w:val="auto"/>
                <w:highlight w:val="none"/>
              </w:rPr>
              <w:t>复核意见：</w:t>
            </w:r>
          </w:p>
          <w:p w14:paraId="70D6846B">
            <w:pPr>
              <w:spacing w:line="360" w:lineRule="exact"/>
              <w:ind w:firstLine="312"/>
              <w:rPr>
                <w:rFonts w:hint="eastAsia"/>
                <w:color w:val="auto"/>
                <w:highlight w:val="none"/>
              </w:rPr>
            </w:pPr>
            <w:r>
              <w:rPr>
                <w:rFonts w:hint="eastAsia"/>
                <w:color w:val="auto"/>
                <w:highlight w:val="none"/>
              </w:rPr>
              <w:t>□与实际施工情况不相符，修改意见见附件。</w:t>
            </w:r>
          </w:p>
          <w:p w14:paraId="19D19E00">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79BB72B">
            <w:pPr>
              <w:spacing w:line="360" w:lineRule="exact"/>
              <w:ind w:firstLine="435"/>
              <w:jc w:val="right"/>
              <w:rPr>
                <w:rFonts w:hint="eastAsia"/>
                <w:color w:val="auto"/>
                <w:highlight w:val="none"/>
              </w:rPr>
            </w:pPr>
          </w:p>
          <w:p w14:paraId="137DB05C">
            <w:pPr>
              <w:spacing w:line="360" w:lineRule="exact"/>
              <w:ind w:firstLine="435"/>
              <w:jc w:val="right"/>
              <w:rPr>
                <w:rFonts w:hint="eastAsia"/>
                <w:color w:val="auto"/>
                <w:highlight w:val="none"/>
              </w:rPr>
            </w:pPr>
          </w:p>
          <w:p w14:paraId="696FF9E9">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4A1A82B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11F6EFE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16AB8A23">
            <w:pPr>
              <w:spacing w:line="360" w:lineRule="exact"/>
              <w:rPr>
                <w:rFonts w:hint="eastAsia"/>
                <w:color w:val="auto"/>
                <w:highlight w:val="none"/>
              </w:rPr>
            </w:pPr>
            <w:r>
              <w:rPr>
                <w:rFonts w:hint="eastAsia"/>
                <w:color w:val="auto"/>
                <w:highlight w:val="none"/>
              </w:rPr>
              <w:t>复核意见：</w:t>
            </w:r>
          </w:p>
          <w:p w14:paraId="3F641780">
            <w:pPr>
              <w:spacing w:line="360" w:lineRule="exact"/>
              <w:ind w:firstLine="435"/>
              <w:rPr>
                <w:rFonts w:hint="eastAsia"/>
                <w:color w:val="auto"/>
                <w:highlight w:val="none"/>
                <w:u w:val="single"/>
              </w:rPr>
            </w:pPr>
            <w:r>
              <w:rPr>
                <w:rFonts w:hint="eastAsia"/>
                <w:color w:val="auto"/>
                <w:highlight w:val="none"/>
              </w:rPr>
              <w:t>你方提出的支付申请经复核，最终应支付金额为（大写）</w:t>
            </w:r>
            <w:r>
              <w:rPr>
                <w:rFonts w:hint="eastAsia"/>
                <w:color w:val="auto"/>
                <w:highlight w:val="none"/>
                <w:u w:val="single"/>
              </w:rPr>
              <w:t xml:space="preserve">          </w:t>
            </w:r>
            <w:r>
              <w:rPr>
                <w:rFonts w:hint="eastAsia"/>
                <w:color w:val="auto"/>
                <w:highlight w:val="none"/>
              </w:rPr>
              <w:t xml:space="preserve">元，（小写）  </w:t>
            </w:r>
            <w:r>
              <w:rPr>
                <w:rFonts w:hint="eastAsia"/>
                <w:color w:val="auto"/>
                <w:highlight w:val="none"/>
                <w:u w:val="single"/>
              </w:rPr>
              <w:t xml:space="preserve">       </w:t>
            </w:r>
            <w:r>
              <w:rPr>
                <w:rFonts w:hint="eastAsia"/>
                <w:color w:val="auto"/>
                <w:highlight w:val="none"/>
              </w:rPr>
              <w:t>元。</w:t>
            </w:r>
          </w:p>
          <w:p w14:paraId="6178C85F">
            <w:pPr>
              <w:spacing w:line="360" w:lineRule="exact"/>
              <w:ind w:firstLine="435"/>
              <w:jc w:val="center"/>
              <w:rPr>
                <w:rFonts w:hint="eastAsia"/>
                <w:color w:val="auto"/>
                <w:highlight w:val="none"/>
              </w:rPr>
            </w:pPr>
            <w:r>
              <w:rPr>
                <w:color w:val="auto"/>
                <w:highlight w:val="none"/>
              </w:rPr>
              <w:t xml:space="preserve">    </w:t>
            </w:r>
          </w:p>
          <w:p w14:paraId="0B4BE439">
            <w:pPr>
              <w:spacing w:line="360" w:lineRule="exact"/>
              <w:ind w:firstLine="435"/>
              <w:jc w:val="center"/>
              <w:rPr>
                <w:rFonts w:hint="eastAsia"/>
                <w:color w:val="auto"/>
                <w:highlight w:val="none"/>
              </w:rPr>
            </w:pPr>
          </w:p>
          <w:p w14:paraId="18E9E276">
            <w:pPr>
              <w:spacing w:line="360" w:lineRule="exact"/>
              <w:ind w:firstLine="435"/>
              <w:jc w:val="center"/>
              <w:rPr>
                <w:rFonts w:hint="eastAsia"/>
                <w:color w:val="auto"/>
                <w:highlight w:val="none"/>
              </w:rPr>
            </w:pPr>
          </w:p>
          <w:p w14:paraId="46E0FCC8">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6C40471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A328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5762002F">
            <w:pPr>
              <w:spacing w:line="400" w:lineRule="exact"/>
              <w:rPr>
                <w:rFonts w:hint="eastAsia"/>
                <w:color w:val="auto"/>
                <w:highlight w:val="none"/>
              </w:rPr>
            </w:pPr>
            <w:r>
              <w:rPr>
                <w:rFonts w:hint="eastAsia"/>
                <w:color w:val="auto"/>
                <w:highlight w:val="none"/>
              </w:rPr>
              <w:t>审核意见：</w:t>
            </w:r>
          </w:p>
          <w:p w14:paraId="71D9AA7C">
            <w:pPr>
              <w:spacing w:line="400" w:lineRule="exact"/>
              <w:ind w:firstLine="435"/>
              <w:rPr>
                <w:rFonts w:hint="eastAsia"/>
                <w:color w:val="auto"/>
                <w:highlight w:val="none"/>
              </w:rPr>
            </w:pPr>
            <w:r>
              <w:rPr>
                <w:rFonts w:hint="eastAsia"/>
                <w:color w:val="auto"/>
                <w:highlight w:val="none"/>
              </w:rPr>
              <w:t>□不同意。</w:t>
            </w:r>
          </w:p>
          <w:p w14:paraId="6F13C522">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7CAEAE9C">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79E26330">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0F96306">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1F46D7A5">
      <w:pPr>
        <w:spacing w:before="120" w:beforeLines="50"/>
        <w:ind w:firstLine="360" w:firstLineChars="200"/>
        <w:rPr>
          <w:rFonts w:hint="eastAsia"/>
          <w:color w:val="auto"/>
          <w:sz w:val="18"/>
          <w:szCs w:val="18"/>
          <w:highlight w:val="none"/>
        </w:rPr>
      </w:pPr>
      <w:r>
        <w:rPr>
          <w:rFonts w:hint="eastAsia"/>
          <w:color w:val="auto"/>
          <w:sz w:val="18"/>
          <w:szCs w:val="18"/>
          <w:highlight w:val="none"/>
        </w:rPr>
        <w:t>注：1.在选择栏中的“□”内作标识“√”。 如监理人已退场，监理工程师栏可空缺。</w:t>
      </w:r>
    </w:p>
    <w:p w14:paraId="453C123B">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0086A92">
      <w:pPr>
        <w:spacing w:line="360" w:lineRule="auto"/>
        <w:jc w:val="left"/>
        <w:rPr>
          <w:rFonts w:hint="eastAsia" w:hAnsi="宋体" w:cs="宋体"/>
          <w:color w:val="auto"/>
          <w:sz w:val="30"/>
          <w:szCs w:val="30"/>
          <w:highlight w:val="none"/>
        </w:rPr>
      </w:pPr>
      <w:r>
        <w:rPr>
          <w:rFonts w:hint="eastAsia"/>
          <w:color w:val="auto"/>
          <w:sz w:val="30"/>
          <w:szCs w:val="30"/>
          <w:highlight w:val="none"/>
        </w:rPr>
        <w:t>附件14：</w:t>
      </w:r>
    </w:p>
    <w:p w14:paraId="11FB6AD6">
      <w:pPr>
        <w:spacing w:line="360" w:lineRule="auto"/>
        <w:ind w:firstLine="720" w:firstLineChars="200"/>
        <w:jc w:val="center"/>
        <w:rPr>
          <w:rFonts w:hint="eastAsia" w:ascii="宋体" w:hAnsi="宋体" w:cs="宋体"/>
          <w:color w:val="auto"/>
          <w:kern w:val="0"/>
          <w:sz w:val="36"/>
          <w:szCs w:val="36"/>
          <w:highlight w:val="none"/>
        </w:rPr>
      </w:pPr>
      <w:r>
        <w:rPr>
          <w:rFonts w:hint="eastAsia" w:ascii="宋体" w:hAnsi="宋体" w:cs="宋体"/>
          <w:color w:val="auto"/>
          <w:kern w:val="0"/>
          <w:sz w:val="36"/>
          <w:szCs w:val="36"/>
          <w:highlight w:val="none"/>
        </w:rPr>
        <w:t>总价合同进度款支付分解表</w:t>
      </w:r>
    </w:p>
    <w:p w14:paraId="06C2330D">
      <w:pPr>
        <w:spacing w:line="360" w:lineRule="auto"/>
        <w:rPr>
          <w:rFonts w:hint="eastAsia" w:ascii="宋体" w:hAnsi="宋体" w:cs="宋体"/>
          <w:color w:val="auto"/>
          <w:kern w:val="0"/>
          <w:highlight w:val="none"/>
        </w:rPr>
      </w:pPr>
      <w:r>
        <w:rPr>
          <w:rFonts w:hint="eastAsia" w:ascii="宋体" w:hAnsi="宋体" w:cs="宋体"/>
          <w:color w:val="auto"/>
          <w:kern w:val="0"/>
          <w:highlight w:val="none"/>
        </w:rPr>
        <w:t>工程名称：</w:t>
      </w:r>
    </w:p>
    <w:tbl>
      <w:tblPr>
        <w:tblStyle w:val="43"/>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3794"/>
        <w:gridCol w:w="2268"/>
        <w:gridCol w:w="1276"/>
      </w:tblGrid>
      <w:tr w14:paraId="33C0E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054D91CB">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进度款期次</w:t>
            </w:r>
          </w:p>
        </w:tc>
        <w:tc>
          <w:tcPr>
            <w:tcW w:w="3794" w:type="dxa"/>
            <w:noWrap w:val="0"/>
            <w:vAlign w:val="top"/>
          </w:tcPr>
          <w:p w14:paraId="4C3CEF7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形象进度</w:t>
            </w:r>
          </w:p>
        </w:tc>
        <w:tc>
          <w:tcPr>
            <w:tcW w:w="2268" w:type="dxa"/>
            <w:noWrap w:val="0"/>
            <w:vAlign w:val="top"/>
          </w:tcPr>
          <w:p w14:paraId="2DB0DEEC">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进度款付款金额（元）</w:t>
            </w:r>
          </w:p>
        </w:tc>
        <w:tc>
          <w:tcPr>
            <w:tcW w:w="1276" w:type="dxa"/>
            <w:noWrap w:val="0"/>
            <w:vAlign w:val="top"/>
          </w:tcPr>
          <w:p w14:paraId="1CCADBB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备注</w:t>
            </w:r>
          </w:p>
        </w:tc>
      </w:tr>
      <w:tr w14:paraId="70C4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62D2CD0D">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第一期</w:t>
            </w:r>
          </w:p>
        </w:tc>
        <w:tc>
          <w:tcPr>
            <w:tcW w:w="3794" w:type="dxa"/>
            <w:noWrap w:val="0"/>
            <w:vAlign w:val="top"/>
          </w:tcPr>
          <w:p w14:paraId="39201A27">
            <w:pPr>
              <w:spacing w:line="360" w:lineRule="auto"/>
              <w:jc w:val="center"/>
              <w:rPr>
                <w:rFonts w:hint="eastAsia" w:ascii="宋体" w:hAnsi="宋体" w:cs="宋体"/>
                <w:color w:val="auto"/>
                <w:kern w:val="0"/>
                <w:highlight w:val="none"/>
              </w:rPr>
            </w:pPr>
          </w:p>
        </w:tc>
        <w:tc>
          <w:tcPr>
            <w:tcW w:w="2268" w:type="dxa"/>
            <w:noWrap w:val="0"/>
            <w:vAlign w:val="top"/>
          </w:tcPr>
          <w:p w14:paraId="69C75312">
            <w:pPr>
              <w:spacing w:line="360" w:lineRule="auto"/>
              <w:jc w:val="center"/>
              <w:rPr>
                <w:rFonts w:hint="eastAsia" w:ascii="宋体" w:hAnsi="宋体" w:cs="宋体"/>
                <w:color w:val="auto"/>
                <w:kern w:val="0"/>
                <w:highlight w:val="none"/>
              </w:rPr>
            </w:pPr>
          </w:p>
        </w:tc>
        <w:tc>
          <w:tcPr>
            <w:tcW w:w="1276" w:type="dxa"/>
            <w:noWrap w:val="0"/>
            <w:vAlign w:val="top"/>
          </w:tcPr>
          <w:p w14:paraId="4AA93DA2">
            <w:pPr>
              <w:spacing w:line="360" w:lineRule="auto"/>
              <w:jc w:val="center"/>
              <w:rPr>
                <w:rFonts w:hint="eastAsia" w:ascii="宋体" w:hAnsi="宋体" w:cs="宋体"/>
                <w:color w:val="auto"/>
                <w:kern w:val="0"/>
                <w:highlight w:val="none"/>
              </w:rPr>
            </w:pPr>
          </w:p>
        </w:tc>
      </w:tr>
      <w:tr w14:paraId="5B76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78F7626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第二期</w:t>
            </w:r>
          </w:p>
        </w:tc>
        <w:tc>
          <w:tcPr>
            <w:tcW w:w="3794" w:type="dxa"/>
            <w:noWrap w:val="0"/>
            <w:vAlign w:val="top"/>
          </w:tcPr>
          <w:p w14:paraId="17D1EA70">
            <w:pPr>
              <w:spacing w:line="360" w:lineRule="auto"/>
              <w:jc w:val="center"/>
              <w:rPr>
                <w:rFonts w:hint="eastAsia" w:ascii="宋体" w:hAnsi="宋体" w:cs="宋体"/>
                <w:color w:val="auto"/>
                <w:kern w:val="0"/>
                <w:highlight w:val="none"/>
              </w:rPr>
            </w:pPr>
          </w:p>
        </w:tc>
        <w:tc>
          <w:tcPr>
            <w:tcW w:w="2268" w:type="dxa"/>
            <w:noWrap w:val="0"/>
            <w:vAlign w:val="top"/>
          </w:tcPr>
          <w:p w14:paraId="7B827E31">
            <w:pPr>
              <w:spacing w:line="360" w:lineRule="auto"/>
              <w:jc w:val="center"/>
              <w:rPr>
                <w:rFonts w:hint="eastAsia" w:ascii="宋体" w:hAnsi="宋体" w:cs="宋体"/>
                <w:color w:val="auto"/>
                <w:kern w:val="0"/>
                <w:highlight w:val="none"/>
              </w:rPr>
            </w:pPr>
          </w:p>
        </w:tc>
        <w:tc>
          <w:tcPr>
            <w:tcW w:w="1276" w:type="dxa"/>
            <w:noWrap w:val="0"/>
            <w:vAlign w:val="top"/>
          </w:tcPr>
          <w:p w14:paraId="25D45DD4">
            <w:pPr>
              <w:spacing w:line="360" w:lineRule="auto"/>
              <w:jc w:val="center"/>
              <w:rPr>
                <w:rFonts w:hint="eastAsia" w:ascii="宋体" w:hAnsi="宋体" w:cs="宋体"/>
                <w:color w:val="auto"/>
                <w:kern w:val="0"/>
                <w:highlight w:val="none"/>
              </w:rPr>
            </w:pPr>
          </w:p>
        </w:tc>
      </w:tr>
      <w:tr w14:paraId="668C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18D340A9">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第三期</w:t>
            </w:r>
          </w:p>
        </w:tc>
        <w:tc>
          <w:tcPr>
            <w:tcW w:w="3794" w:type="dxa"/>
            <w:noWrap w:val="0"/>
            <w:vAlign w:val="top"/>
          </w:tcPr>
          <w:p w14:paraId="262A5253">
            <w:pPr>
              <w:spacing w:line="360" w:lineRule="auto"/>
              <w:jc w:val="center"/>
              <w:rPr>
                <w:rFonts w:hint="eastAsia" w:ascii="宋体" w:hAnsi="宋体" w:cs="宋体"/>
                <w:color w:val="auto"/>
                <w:kern w:val="0"/>
                <w:highlight w:val="none"/>
              </w:rPr>
            </w:pPr>
          </w:p>
        </w:tc>
        <w:tc>
          <w:tcPr>
            <w:tcW w:w="2268" w:type="dxa"/>
            <w:noWrap w:val="0"/>
            <w:vAlign w:val="top"/>
          </w:tcPr>
          <w:p w14:paraId="04462A03">
            <w:pPr>
              <w:spacing w:line="360" w:lineRule="auto"/>
              <w:jc w:val="center"/>
              <w:rPr>
                <w:rFonts w:hint="eastAsia" w:ascii="宋体" w:hAnsi="宋体" w:cs="宋体"/>
                <w:color w:val="auto"/>
                <w:kern w:val="0"/>
                <w:highlight w:val="none"/>
              </w:rPr>
            </w:pPr>
          </w:p>
        </w:tc>
        <w:tc>
          <w:tcPr>
            <w:tcW w:w="1276" w:type="dxa"/>
            <w:noWrap w:val="0"/>
            <w:vAlign w:val="top"/>
          </w:tcPr>
          <w:p w14:paraId="3DEFF0E4">
            <w:pPr>
              <w:spacing w:line="360" w:lineRule="auto"/>
              <w:jc w:val="center"/>
              <w:rPr>
                <w:rFonts w:hint="eastAsia" w:ascii="宋体" w:hAnsi="宋体" w:cs="宋体"/>
                <w:color w:val="auto"/>
                <w:kern w:val="0"/>
                <w:highlight w:val="none"/>
              </w:rPr>
            </w:pPr>
          </w:p>
        </w:tc>
      </w:tr>
      <w:tr w14:paraId="479D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56F9ADC4">
            <w:pPr>
              <w:spacing w:line="360" w:lineRule="auto"/>
              <w:jc w:val="center"/>
              <w:rPr>
                <w:rFonts w:hint="eastAsia" w:ascii="宋体" w:hAnsi="宋体" w:cs="宋体"/>
                <w:color w:val="auto"/>
                <w:kern w:val="0"/>
                <w:highlight w:val="none"/>
              </w:rPr>
            </w:pPr>
            <w:r>
              <w:rPr>
                <w:rFonts w:ascii="宋体" w:hAnsi="宋体" w:cs="宋体"/>
                <w:color w:val="auto"/>
                <w:kern w:val="0"/>
                <w:highlight w:val="none"/>
              </w:rPr>
              <w:t>……</w:t>
            </w:r>
          </w:p>
        </w:tc>
        <w:tc>
          <w:tcPr>
            <w:tcW w:w="3794" w:type="dxa"/>
            <w:noWrap w:val="0"/>
            <w:vAlign w:val="top"/>
          </w:tcPr>
          <w:p w14:paraId="505294D4">
            <w:pPr>
              <w:spacing w:line="360" w:lineRule="auto"/>
              <w:jc w:val="center"/>
              <w:rPr>
                <w:rFonts w:hint="eastAsia" w:ascii="宋体" w:hAnsi="宋体" w:cs="宋体"/>
                <w:color w:val="auto"/>
                <w:kern w:val="0"/>
                <w:highlight w:val="none"/>
              </w:rPr>
            </w:pPr>
          </w:p>
        </w:tc>
        <w:tc>
          <w:tcPr>
            <w:tcW w:w="2268" w:type="dxa"/>
            <w:noWrap w:val="0"/>
            <w:vAlign w:val="top"/>
          </w:tcPr>
          <w:p w14:paraId="632B0675">
            <w:pPr>
              <w:spacing w:line="360" w:lineRule="auto"/>
              <w:jc w:val="center"/>
              <w:rPr>
                <w:rFonts w:hint="eastAsia" w:ascii="宋体" w:hAnsi="宋体" w:cs="宋体"/>
                <w:color w:val="auto"/>
                <w:kern w:val="0"/>
                <w:highlight w:val="none"/>
              </w:rPr>
            </w:pPr>
          </w:p>
        </w:tc>
        <w:tc>
          <w:tcPr>
            <w:tcW w:w="1276" w:type="dxa"/>
            <w:noWrap w:val="0"/>
            <w:vAlign w:val="top"/>
          </w:tcPr>
          <w:p w14:paraId="2F21716E">
            <w:pPr>
              <w:spacing w:line="360" w:lineRule="auto"/>
              <w:jc w:val="center"/>
              <w:rPr>
                <w:rFonts w:hint="eastAsia" w:ascii="宋体" w:hAnsi="宋体" w:cs="宋体"/>
                <w:color w:val="auto"/>
                <w:kern w:val="0"/>
                <w:highlight w:val="none"/>
              </w:rPr>
            </w:pPr>
          </w:p>
        </w:tc>
      </w:tr>
      <w:tr w14:paraId="5642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trPr>
        <w:tc>
          <w:tcPr>
            <w:tcW w:w="5211" w:type="dxa"/>
            <w:gridSpan w:val="2"/>
            <w:noWrap w:val="0"/>
            <w:vAlign w:val="top"/>
          </w:tcPr>
          <w:p w14:paraId="3990FEA3">
            <w:pPr>
              <w:spacing w:line="360" w:lineRule="exact"/>
              <w:ind w:firstLine="435"/>
              <w:jc w:val="right"/>
              <w:rPr>
                <w:rFonts w:hint="eastAsia"/>
                <w:color w:val="auto"/>
                <w:highlight w:val="none"/>
              </w:rPr>
            </w:pPr>
          </w:p>
          <w:p w14:paraId="67F142C9">
            <w:pPr>
              <w:spacing w:line="360" w:lineRule="exact"/>
              <w:ind w:firstLine="435"/>
              <w:jc w:val="center"/>
              <w:rPr>
                <w:rFonts w:hint="eastAsia"/>
                <w:color w:val="auto"/>
                <w:highlight w:val="none"/>
              </w:rPr>
            </w:pPr>
          </w:p>
          <w:p w14:paraId="0FA974DE">
            <w:pPr>
              <w:spacing w:line="360" w:lineRule="exact"/>
              <w:ind w:firstLine="435"/>
              <w:jc w:val="center"/>
              <w:rPr>
                <w:rFonts w:hint="eastAsia"/>
                <w:color w:val="auto"/>
                <w:highlight w:val="none"/>
              </w:rPr>
            </w:pPr>
            <w:r>
              <w:rPr>
                <w:rFonts w:hint="eastAsia"/>
                <w:color w:val="auto"/>
                <w:highlight w:val="none"/>
              </w:rPr>
              <w:t>发包人代表签字：</w:t>
            </w:r>
          </w:p>
          <w:p w14:paraId="76B38D4C">
            <w:pPr>
              <w:spacing w:line="360" w:lineRule="exact"/>
              <w:ind w:firstLine="435"/>
              <w:jc w:val="center"/>
              <w:rPr>
                <w:rFonts w:hint="eastAsia"/>
                <w:color w:val="auto"/>
                <w:highlight w:val="none"/>
              </w:rPr>
            </w:pPr>
          </w:p>
          <w:p w14:paraId="1131B059">
            <w:pPr>
              <w:spacing w:line="360" w:lineRule="exact"/>
              <w:ind w:firstLine="435"/>
              <w:jc w:val="center"/>
              <w:rPr>
                <w:rFonts w:hint="eastAsia"/>
                <w:color w:val="auto"/>
                <w:highlight w:val="none"/>
              </w:rPr>
            </w:pPr>
            <w:r>
              <w:rPr>
                <w:rFonts w:hint="eastAsia"/>
                <w:color w:val="auto"/>
                <w:highlight w:val="none"/>
              </w:rPr>
              <w:t>发包人（盖公章）</w:t>
            </w:r>
          </w:p>
          <w:p w14:paraId="13B029BE">
            <w:pPr>
              <w:spacing w:line="360" w:lineRule="exact"/>
              <w:ind w:firstLine="435"/>
              <w:jc w:val="center"/>
              <w:rPr>
                <w:rFonts w:hint="eastAsia"/>
                <w:color w:val="auto"/>
                <w:highlight w:val="none"/>
              </w:rPr>
            </w:pPr>
          </w:p>
          <w:p w14:paraId="06713CD7">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        </w:t>
            </w:r>
            <w:r>
              <w:rPr>
                <w:rFonts w:hint="eastAsia"/>
                <w:color w:val="auto"/>
                <w:highlight w:val="none"/>
                <w:u w:val="single"/>
              </w:rPr>
              <w:t xml:space="preserve">   </w:t>
            </w:r>
          </w:p>
        </w:tc>
        <w:tc>
          <w:tcPr>
            <w:tcW w:w="3544" w:type="dxa"/>
            <w:gridSpan w:val="2"/>
            <w:noWrap w:val="0"/>
            <w:vAlign w:val="top"/>
          </w:tcPr>
          <w:p w14:paraId="737FC807">
            <w:pPr>
              <w:spacing w:line="360" w:lineRule="exact"/>
              <w:ind w:firstLine="435"/>
              <w:jc w:val="center"/>
              <w:rPr>
                <w:rFonts w:hint="eastAsia"/>
                <w:color w:val="auto"/>
                <w:highlight w:val="none"/>
              </w:rPr>
            </w:pPr>
          </w:p>
          <w:p w14:paraId="58C3FA0A">
            <w:pPr>
              <w:spacing w:line="360" w:lineRule="exact"/>
              <w:ind w:firstLine="435"/>
              <w:jc w:val="center"/>
              <w:rPr>
                <w:rFonts w:hint="eastAsia"/>
                <w:color w:val="auto"/>
                <w:highlight w:val="none"/>
                <w:u w:val="single"/>
              </w:rPr>
            </w:pPr>
          </w:p>
          <w:p w14:paraId="04DEBA4B">
            <w:pPr>
              <w:spacing w:line="360" w:lineRule="exact"/>
              <w:ind w:firstLine="435"/>
              <w:jc w:val="center"/>
              <w:rPr>
                <w:rFonts w:hint="eastAsia"/>
                <w:color w:val="auto"/>
                <w:highlight w:val="none"/>
              </w:rPr>
            </w:pPr>
            <w:r>
              <w:rPr>
                <w:rFonts w:hint="eastAsia"/>
                <w:color w:val="auto"/>
                <w:highlight w:val="none"/>
              </w:rPr>
              <w:t>承包人代表签字：</w:t>
            </w:r>
          </w:p>
          <w:p w14:paraId="75075E64">
            <w:pPr>
              <w:spacing w:line="360" w:lineRule="exact"/>
              <w:ind w:firstLine="435"/>
              <w:jc w:val="center"/>
              <w:rPr>
                <w:rFonts w:hint="eastAsia"/>
                <w:color w:val="auto"/>
                <w:highlight w:val="none"/>
              </w:rPr>
            </w:pPr>
          </w:p>
          <w:p w14:paraId="26B5C7EB">
            <w:pPr>
              <w:spacing w:line="360" w:lineRule="exact"/>
              <w:ind w:firstLine="435"/>
              <w:jc w:val="center"/>
              <w:rPr>
                <w:rFonts w:hint="eastAsia"/>
                <w:color w:val="auto"/>
                <w:highlight w:val="none"/>
              </w:rPr>
            </w:pPr>
            <w:r>
              <w:rPr>
                <w:rFonts w:hint="eastAsia"/>
                <w:color w:val="auto"/>
                <w:highlight w:val="none"/>
              </w:rPr>
              <w:t>承包人（盖公章）</w:t>
            </w:r>
          </w:p>
          <w:p w14:paraId="3EC75366">
            <w:pPr>
              <w:spacing w:line="360" w:lineRule="exact"/>
              <w:ind w:firstLine="435"/>
              <w:jc w:val="center"/>
              <w:rPr>
                <w:rFonts w:hint="eastAsia"/>
                <w:color w:val="auto"/>
                <w:highlight w:val="none"/>
              </w:rPr>
            </w:pPr>
          </w:p>
          <w:p w14:paraId="400B1CBD">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bl>
    <w:p w14:paraId="0B0483AD">
      <w:pPr>
        <w:pStyle w:val="2"/>
        <w:numPr>
          <w:ilvl w:val="0"/>
          <w:numId w:val="0"/>
        </w:numPr>
        <w:shd w:val="clear"/>
        <w:jc w:val="center"/>
        <w:rPr>
          <w:rFonts w:hint="eastAsia" w:ascii="Arial" w:hAnsi="Arial" w:eastAsia="黑体"/>
          <w:b/>
          <w:bCs/>
          <w:color w:val="auto"/>
          <w:sz w:val="32"/>
          <w:szCs w:val="32"/>
          <w:highlight w:val="none"/>
        </w:rPr>
      </w:pPr>
    </w:p>
    <w:p w14:paraId="52E7DAE6">
      <w:pPr>
        <w:pStyle w:val="2"/>
        <w:numPr>
          <w:ilvl w:val="0"/>
          <w:numId w:val="0"/>
        </w:numPr>
        <w:shd w:val="clear"/>
        <w:jc w:val="center"/>
        <w:rPr>
          <w:rFonts w:hint="eastAsia" w:ascii="Arial" w:hAnsi="Arial" w:eastAsia="黑体"/>
          <w:b/>
          <w:bCs/>
          <w:color w:val="auto"/>
          <w:sz w:val="32"/>
          <w:szCs w:val="32"/>
          <w:highlight w:val="none"/>
        </w:rPr>
      </w:pPr>
    </w:p>
    <w:p w14:paraId="74750CFF">
      <w:pPr>
        <w:pStyle w:val="2"/>
        <w:numPr>
          <w:ilvl w:val="0"/>
          <w:numId w:val="0"/>
        </w:numPr>
        <w:shd w:val="clear"/>
        <w:jc w:val="center"/>
        <w:rPr>
          <w:rFonts w:hint="eastAsia" w:ascii="Arial" w:hAnsi="Arial" w:eastAsia="黑体"/>
          <w:b/>
          <w:bCs/>
          <w:color w:val="auto"/>
          <w:sz w:val="32"/>
          <w:szCs w:val="32"/>
          <w:highlight w:val="none"/>
        </w:rPr>
      </w:pPr>
    </w:p>
    <w:p w14:paraId="1DA94B4E">
      <w:pPr>
        <w:pStyle w:val="2"/>
        <w:numPr>
          <w:ilvl w:val="0"/>
          <w:numId w:val="0"/>
        </w:numPr>
        <w:shd w:val="clear"/>
        <w:jc w:val="center"/>
        <w:rPr>
          <w:rFonts w:hint="eastAsia" w:ascii="Arial" w:hAnsi="Arial" w:eastAsia="黑体"/>
          <w:b/>
          <w:bCs/>
          <w:color w:val="auto"/>
          <w:sz w:val="32"/>
          <w:szCs w:val="32"/>
          <w:highlight w:val="none"/>
        </w:rPr>
      </w:pPr>
    </w:p>
    <w:p w14:paraId="4C67B814">
      <w:pPr>
        <w:pStyle w:val="2"/>
        <w:numPr>
          <w:ilvl w:val="0"/>
          <w:numId w:val="0"/>
        </w:numPr>
        <w:shd w:val="clear"/>
        <w:jc w:val="center"/>
        <w:rPr>
          <w:rFonts w:hint="eastAsia" w:ascii="Arial" w:hAnsi="Arial" w:eastAsia="黑体"/>
          <w:b/>
          <w:bCs/>
          <w:color w:val="auto"/>
          <w:sz w:val="32"/>
          <w:szCs w:val="32"/>
          <w:highlight w:val="none"/>
        </w:rPr>
      </w:pPr>
    </w:p>
    <w:p w14:paraId="33B021C0">
      <w:pPr>
        <w:pStyle w:val="2"/>
        <w:numPr>
          <w:ilvl w:val="0"/>
          <w:numId w:val="0"/>
        </w:numPr>
        <w:shd w:val="clear"/>
        <w:jc w:val="center"/>
        <w:rPr>
          <w:rFonts w:hint="eastAsia" w:ascii="Arial" w:hAnsi="Arial" w:eastAsia="黑体"/>
          <w:b/>
          <w:bCs/>
          <w:color w:val="auto"/>
          <w:sz w:val="32"/>
          <w:szCs w:val="32"/>
          <w:highlight w:val="none"/>
        </w:rPr>
      </w:pPr>
    </w:p>
    <w:p w14:paraId="24087F79">
      <w:pPr>
        <w:pStyle w:val="2"/>
        <w:numPr>
          <w:ilvl w:val="0"/>
          <w:numId w:val="0"/>
        </w:numPr>
        <w:shd w:val="clear"/>
        <w:jc w:val="center"/>
        <w:rPr>
          <w:rFonts w:hint="eastAsia" w:ascii="Arial" w:hAnsi="Arial" w:eastAsia="黑体"/>
          <w:b/>
          <w:bCs/>
          <w:color w:val="auto"/>
          <w:sz w:val="32"/>
          <w:szCs w:val="32"/>
          <w:highlight w:val="none"/>
        </w:rPr>
      </w:pPr>
    </w:p>
    <w:p w14:paraId="25D7194B">
      <w:pPr>
        <w:pStyle w:val="2"/>
        <w:numPr>
          <w:ilvl w:val="0"/>
          <w:numId w:val="0"/>
        </w:numPr>
        <w:shd w:val="clear"/>
        <w:jc w:val="center"/>
        <w:rPr>
          <w:rFonts w:hint="eastAsia" w:ascii="Arial" w:hAnsi="Arial" w:eastAsia="黑体"/>
          <w:b/>
          <w:bCs/>
          <w:color w:val="auto"/>
          <w:sz w:val="32"/>
          <w:szCs w:val="32"/>
          <w:highlight w:val="none"/>
        </w:rPr>
      </w:pPr>
    </w:p>
    <w:p w14:paraId="2D99ADFC">
      <w:pPr>
        <w:pStyle w:val="2"/>
        <w:numPr>
          <w:ilvl w:val="0"/>
          <w:numId w:val="0"/>
        </w:numPr>
        <w:shd w:val="clear"/>
        <w:jc w:val="center"/>
        <w:rPr>
          <w:rFonts w:hint="eastAsia" w:ascii="Arial" w:hAnsi="Arial" w:eastAsia="黑体"/>
          <w:b/>
          <w:bCs/>
          <w:color w:val="auto"/>
          <w:sz w:val="32"/>
          <w:szCs w:val="32"/>
          <w:highlight w:val="none"/>
        </w:rPr>
      </w:pPr>
    </w:p>
    <w:p w14:paraId="01B82620">
      <w:pPr>
        <w:pStyle w:val="2"/>
        <w:numPr>
          <w:ilvl w:val="0"/>
          <w:numId w:val="0"/>
        </w:numPr>
        <w:shd w:val="clear"/>
        <w:jc w:val="center"/>
        <w:rPr>
          <w:rFonts w:hint="eastAsia" w:ascii="Arial" w:hAnsi="Arial" w:eastAsia="黑体"/>
          <w:b/>
          <w:bCs/>
          <w:color w:val="auto"/>
          <w:sz w:val="32"/>
          <w:szCs w:val="32"/>
          <w:highlight w:val="none"/>
        </w:rPr>
      </w:pPr>
    </w:p>
    <w:p w14:paraId="641ED443">
      <w:pPr>
        <w:pStyle w:val="2"/>
        <w:numPr>
          <w:ilvl w:val="0"/>
          <w:numId w:val="0"/>
        </w:numPr>
        <w:shd w:val="clear"/>
        <w:jc w:val="center"/>
        <w:rPr>
          <w:rFonts w:asciiTheme="minorEastAsia" w:hAnsiTheme="minorEastAsia" w:eastAsiaTheme="minorEastAsia" w:cstheme="minorEastAsia"/>
          <w:color w:val="auto"/>
          <w:highlight w:val="none"/>
        </w:rPr>
      </w:pPr>
      <w:r>
        <w:rPr>
          <w:rFonts w:hint="eastAsia" w:ascii="Arial" w:hAnsi="Arial" w:eastAsia="黑体"/>
          <w:b/>
          <w:bCs/>
          <w:color w:val="auto"/>
          <w:sz w:val="32"/>
          <w:szCs w:val="32"/>
          <w:highlight w:val="none"/>
        </w:rPr>
        <w:t>第</w:t>
      </w:r>
      <w:r>
        <w:rPr>
          <w:rFonts w:hint="eastAsia" w:ascii="Arial" w:hAnsi="Arial" w:eastAsia="黑体"/>
          <w:b/>
          <w:bCs/>
          <w:color w:val="auto"/>
          <w:sz w:val="32"/>
          <w:szCs w:val="32"/>
          <w:highlight w:val="none"/>
          <w:lang w:eastAsia="zh-CN"/>
        </w:rPr>
        <w:t>三</w:t>
      </w:r>
      <w:r>
        <w:rPr>
          <w:rFonts w:hint="eastAsia" w:ascii="Arial" w:hAnsi="Arial" w:eastAsia="黑体"/>
          <w:b/>
          <w:bCs/>
          <w:color w:val="auto"/>
          <w:sz w:val="32"/>
          <w:szCs w:val="32"/>
          <w:highlight w:val="none"/>
        </w:rPr>
        <w:t>部分 廉政合同（格式）</w:t>
      </w:r>
      <w:bookmarkEnd w:id="270"/>
      <w:bookmarkEnd w:id="271"/>
    </w:p>
    <w:p w14:paraId="08E71F8C">
      <w:pPr>
        <w:shd w:val="clear"/>
        <w:spacing w:line="360" w:lineRule="auto"/>
        <w:ind w:firstLine="420" w:firstLineChars="200"/>
        <w:rPr>
          <w:rFonts w:asciiTheme="minorEastAsia" w:hAnsiTheme="minorEastAsia" w:eastAsiaTheme="minorEastAsia" w:cstheme="minorEastAsia"/>
          <w:color w:val="auto"/>
          <w:kern w:val="0"/>
          <w:highlight w:val="none"/>
        </w:rPr>
      </w:pPr>
    </w:p>
    <w:p w14:paraId="249A64CD">
      <w:pPr>
        <w:shd w:val="clear"/>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关于在交通基础设施建设中加强廉政建设的若干意见》以及有关工程建设、廉政建设的规定，为做好工程建设中的党风廉政建设，保证工程建设高效优质，保证建设资金的安全和有效使用以及投资效益，建设工程的项目法人（全称）（以下简称“甲方”）与施工单位（全称）（以下简称“乙方”），特订立如下合同。</w:t>
      </w:r>
    </w:p>
    <w:p w14:paraId="015D92A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１.甲乙双方的权利和义务</w:t>
      </w:r>
    </w:p>
    <w:p w14:paraId="4191244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严格遵守党的政策规定和国家有关法律法规及</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的有关规定。</w:t>
      </w:r>
    </w:p>
    <w:p w14:paraId="587C469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严格执行（项目名称）工程的合同文件，自觉按合同办事。</w:t>
      </w:r>
    </w:p>
    <w:p w14:paraId="3628C8C7">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双方的业务活动坚持公开、公正、诚信、透明的原则（法律认定的商业秘密和合同文件另有规定除外），不得损害国家和集体利益，违反工程建设管理规章制度。</w:t>
      </w:r>
    </w:p>
    <w:p w14:paraId="1CE43A0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建立健全廉政制度，开展廉政教育，设立廉政告示牌，公布举报电话，监督并认真查处违法违纪行为。</w:t>
      </w:r>
    </w:p>
    <w:p w14:paraId="1E68EB1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发现对方在业务活动中有违反廉政规定的行为，有及时提醒对方纠正的权利和义务。</w:t>
      </w:r>
    </w:p>
    <w:p w14:paraId="09AD6BF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发现对方严重违反本合同义务条款的行为，有向其上级有关部门举报，建议给予处理并要求告知处理结果的权利。</w:t>
      </w:r>
    </w:p>
    <w:p w14:paraId="327CCB8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２.甲方的义务</w:t>
      </w:r>
    </w:p>
    <w:p w14:paraId="1ECA2666">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甲方及其工作人员不得索要或接受乙方的礼金、有价证券和贵重物品，不得在乙方报销任何应由甲方或甲方工作人员个人支付的费用等。</w:t>
      </w:r>
    </w:p>
    <w:p w14:paraId="3B03F3B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甲方工作人员不得参加乙方安排的超标准宴请和娱乐活动；不得接受乙方提供的通讯工具、交通工具和高档办公用品等。</w:t>
      </w:r>
    </w:p>
    <w:p w14:paraId="552EE4D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甲方及其工作人员不得要求或者接受乙方为其住房装修、婚丧嫁娶活动、配偶子女的工作安排以及出国出境、旅游等提供方便等。</w:t>
      </w:r>
    </w:p>
    <w:p w14:paraId="6F3CDDE0">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甲方工作人员及其配偶、子女不得从事与甲方工程有关的材料设备供应、工程分包、劳务等经济活动等。</w:t>
      </w:r>
    </w:p>
    <w:p w14:paraId="309FC24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甲方及其工作人员不得以任何理由向乙方推荐分包单位或推销材料，不得要求乙方购买合同规定外的材料和设备。</w:t>
      </w:r>
    </w:p>
    <w:p w14:paraId="4524B8ED">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甲方工作人员要秉公办事，不准营私舞弊，不准利用职权从事各种个人有偿中介活动和安排个人施工队伍。</w:t>
      </w:r>
    </w:p>
    <w:p w14:paraId="4742C9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３.乙方义务</w:t>
      </w:r>
    </w:p>
    <w:p w14:paraId="3F32CE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乙方不得以任何理由向甲方及其工作人员行贿或馈赠礼金、有价证券、贵重礼品。</w:t>
      </w:r>
    </w:p>
    <w:p w14:paraId="3FFFCF5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pacing w:val="-6"/>
          <w:highlight w:val="none"/>
        </w:rPr>
        <w:t>2） 乙方不得以任何名义为甲方及其工作人员报销应由甲方单位或个人支付的任何费用。</w:t>
      </w:r>
    </w:p>
    <w:p w14:paraId="7EE0406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乙方不得以任何理由安排甲方工作人员参加超标准宴请及娱乐活动。</w:t>
      </w:r>
    </w:p>
    <w:p w14:paraId="7B311F19">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（4） 乙方不得为甲方单位和个人购置或提供通讯工作、交通工具和高档办公用品等。</w:t>
      </w:r>
    </w:p>
    <w:p w14:paraId="4B0ABCAD">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４.违约责任</w:t>
      </w:r>
    </w:p>
    <w:p w14:paraId="5081AB83">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（1） 甲方及其工作人员违反本合同第一、二条，按管理权限，依据有关规定给予党纪、政纪或组织处理；涉嫌犯罪的，移交司法机关追究刑事责任；给乙方单位造成经济损失的，应予以赔偿。</w:t>
      </w:r>
    </w:p>
    <w:p w14:paraId="7EF7D64F">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（2） 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14:paraId="34ED7FE7">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５.双方约定：本合同由双方或双方上级单位的纪检监察机关负责监督执行。由甲方或甲方上级单位的纪检监察机关约请乙方或乙方上级单位纪检监察机关对本合同执行情况进行检查，提出在本合同规定范围内的裁定意见。</w:t>
      </w:r>
    </w:p>
    <w:p w14:paraId="52284B6A">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６.本合同有效期为甲乙双方签署之日起至该工程项目竣工验收后止。</w:t>
      </w:r>
    </w:p>
    <w:p w14:paraId="3A34F561">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７.本合同作为（项目名称）工程施工合同的附件，与工程施工合同具有同等的法律效力，经合同双方签署立即生效。</w:t>
      </w:r>
    </w:p>
    <w:p w14:paraId="2F71F175">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８.本合同一式四份，由甲乙双方各执一份，送交甲乙双方的监督单位各一份。</w:t>
      </w:r>
    </w:p>
    <w:p w14:paraId="59F4326B">
      <w:pPr>
        <w:shd w:val="clear"/>
        <w:spacing w:line="360" w:lineRule="auto"/>
        <w:rPr>
          <w:rFonts w:asciiTheme="minorEastAsia" w:hAnsiTheme="minorEastAsia" w:eastAsiaTheme="minorEastAsia" w:cstheme="minorEastAsia"/>
          <w:color w:val="auto"/>
          <w:highlight w:val="none"/>
        </w:rPr>
      </w:pPr>
    </w:p>
    <w:p w14:paraId="6EFEE5B2">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甲 方：（单位全称）（盖章）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乙 方：（单位全称）（盖章）</w:t>
      </w:r>
    </w:p>
    <w:p w14:paraId="7C1945D6">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法 定 代 表 人：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法 定 代 表 人：</w:t>
      </w:r>
    </w:p>
    <w:p w14:paraId="182658BA">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或其授权的代表人： （职务）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或其授权的代表人： （职务）</w:t>
      </w:r>
    </w:p>
    <w:p w14:paraId="2E0554A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（姓名）</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（姓名）</w:t>
      </w:r>
    </w:p>
    <w:p w14:paraId="705D63D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（签字）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（签字）</w:t>
      </w:r>
    </w:p>
    <w:p w14:paraId="105F7D5F">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地 址：</w:t>
      </w:r>
    </w:p>
    <w:p w14:paraId="033426B1">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电 话：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电 话：</w:t>
      </w:r>
    </w:p>
    <w:p w14:paraId="7402C357">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日 期：</w:t>
      </w:r>
    </w:p>
    <w:p w14:paraId="1C67804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甲方监督单位： （全称）（盖章）</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甲方监督单位：（全称）（盖章）</w:t>
      </w:r>
    </w:p>
    <w:p w14:paraId="4E382BCB">
      <w:pPr>
        <w:pStyle w:val="24"/>
        <w:shd w:val="clear"/>
        <w:spacing w:line="360" w:lineRule="auto"/>
        <w:jc w:val="center"/>
        <w:outlineLvl w:val="0"/>
        <w:rPr>
          <w:rFonts w:hint="default" w:asciiTheme="minorEastAsia" w:hAnsiTheme="minorEastAsia" w:eastAsiaTheme="minorEastAsia" w:cstheme="minorEastAsia"/>
          <w:b/>
          <w:bCs/>
          <w:color w:val="auto"/>
          <w:kern w:val="0"/>
          <w:sz w:val="44"/>
          <w:szCs w:val="44"/>
          <w:highlight w:val="none"/>
          <w:lang w:val="en-US" w:eastAsia="zh-CN" w:bidi="ar-SA"/>
        </w:rPr>
      </w:pPr>
      <w:bookmarkStart w:id="294" w:name="_Toc3161"/>
      <w:r>
        <w:rPr>
          <w:rFonts w:hint="eastAsia" w:asciiTheme="minorEastAsia" w:hAnsiTheme="minorEastAsia" w:eastAsiaTheme="minorEastAsia" w:cstheme="minorEastAsia"/>
          <w:b/>
          <w:bCs/>
          <w:color w:val="auto"/>
          <w:kern w:val="0"/>
          <w:sz w:val="44"/>
          <w:szCs w:val="44"/>
          <w:highlight w:val="none"/>
          <w:lang w:val="en-US" w:eastAsia="zh-CN" w:bidi="ar-SA"/>
        </w:rPr>
        <w:t>第八章    质疑、投诉材料格式</w:t>
      </w:r>
      <w:bookmarkEnd w:id="294"/>
    </w:p>
    <w:p w14:paraId="23563B38">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质疑函（格式）</w:t>
      </w:r>
    </w:p>
    <w:p w14:paraId="37F42B03">
      <w:pPr>
        <w:pStyle w:val="24"/>
        <w:spacing w:line="360" w:lineRule="auto"/>
        <w:ind w:firstLine="482" w:firstLineChars="200"/>
        <w:contextualSpacing/>
        <w:rPr>
          <w:rFonts w:hAnsi="宋体"/>
          <w:b/>
          <w:bCs/>
          <w:color w:val="auto"/>
          <w:sz w:val="24"/>
          <w:szCs w:val="24"/>
          <w:highlight w:val="none"/>
        </w:rPr>
      </w:pPr>
      <w:r>
        <w:rPr>
          <w:rFonts w:hint="eastAsia" w:hAnsi="宋体"/>
          <w:b/>
          <w:bCs/>
          <w:color w:val="auto"/>
          <w:sz w:val="24"/>
          <w:szCs w:val="24"/>
          <w:highlight w:val="none"/>
        </w:rPr>
        <w:t>一、质疑供应商基本信息：</w:t>
      </w:r>
    </w:p>
    <w:p w14:paraId="7B9F64C7">
      <w:pPr>
        <w:pStyle w:val="24"/>
        <w:spacing w:line="360" w:lineRule="auto"/>
        <w:ind w:firstLine="480" w:firstLineChars="200"/>
        <w:contextualSpacing/>
        <w:rPr>
          <w:rFonts w:hint="eastAsia" w:hAnsi="宋体"/>
          <w:bCs/>
          <w:color w:val="auto"/>
          <w:sz w:val="24"/>
          <w:szCs w:val="24"/>
          <w:highlight w:val="none"/>
          <w:u w:val="single"/>
        </w:rPr>
      </w:pPr>
      <w:r>
        <w:rPr>
          <w:rFonts w:hint="eastAsia" w:hAnsi="宋体"/>
          <w:bCs/>
          <w:color w:val="auto"/>
          <w:sz w:val="24"/>
          <w:szCs w:val="24"/>
          <w:highlight w:val="none"/>
        </w:rPr>
        <w:t>质疑供应商：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E2B6FBE">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F60F3A6">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联系人</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F9E8139">
      <w:pPr>
        <w:pStyle w:val="24"/>
        <w:spacing w:line="360" w:lineRule="auto"/>
        <w:ind w:firstLine="480" w:firstLineChars="200"/>
        <w:contextualSpacing/>
        <w:rPr>
          <w:rFonts w:hint="eastAsia" w:hAnsi="宋体"/>
          <w:bCs/>
          <w:color w:val="auto"/>
          <w:sz w:val="24"/>
          <w:szCs w:val="24"/>
          <w:highlight w:val="non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p>
    <w:p w14:paraId="7C03ED5E">
      <w:pPr>
        <w:pStyle w:val="24"/>
        <w:spacing w:line="360" w:lineRule="auto"/>
        <w:ind w:firstLine="480" w:firstLineChars="200"/>
        <w:contextualSpacing/>
        <w:rPr>
          <w:rFonts w:hint="eastAsia" w:hAnsi="宋体"/>
          <w:bCs/>
          <w:color w:val="auto"/>
          <w:sz w:val="24"/>
          <w:szCs w:val="24"/>
          <w:highlight w:val="none"/>
          <w:u w:val="single"/>
        </w:rPr>
      </w:pP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A9DB981">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3493F89">
      <w:pPr>
        <w:pStyle w:val="24"/>
        <w:spacing w:line="360" w:lineRule="auto"/>
        <w:ind w:firstLine="482" w:firstLineChars="200"/>
        <w:contextualSpacing/>
        <w:rPr>
          <w:rFonts w:hint="eastAsia" w:hAnsi="宋体"/>
          <w:b/>
          <w:bCs/>
          <w:color w:val="auto"/>
          <w:sz w:val="24"/>
          <w:szCs w:val="24"/>
          <w:highlight w:val="none"/>
        </w:rPr>
      </w:pPr>
      <w:r>
        <w:rPr>
          <w:rFonts w:hint="eastAsia" w:hAnsi="宋体"/>
          <w:b/>
          <w:bCs/>
          <w:color w:val="auto"/>
          <w:sz w:val="24"/>
          <w:szCs w:val="24"/>
          <w:highlight w:val="none"/>
        </w:rPr>
        <w:t>二、质疑项目基本情况：</w:t>
      </w:r>
    </w:p>
    <w:p w14:paraId="57D3BC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3C7FD3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3914BF4F">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2D2B242A">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w:t>
      </w:r>
    </w:p>
    <w:p w14:paraId="480A5E61">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□采购文件   采购文件获取日期：</w:t>
      </w:r>
      <w:r>
        <w:rPr>
          <w:rFonts w:hint="eastAsia" w:hAnsi="宋体"/>
          <w:bCs/>
          <w:color w:val="auto"/>
          <w:sz w:val="24"/>
          <w:szCs w:val="24"/>
          <w:highlight w:val="none"/>
          <w:u w:val="single"/>
        </w:rPr>
        <w:t xml:space="preserve">                                   </w:t>
      </w:r>
    </w:p>
    <w:p w14:paraId="58B7BAB5">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 xml:space="preserve">□采购过程   </w:t>
      </w:r>
    </w:p>
    <w:p w14:paraId="517C88D3">
      <w:pPr>
        <w:pStyle w:val="24"/>
        <w:spacing w:line="360" w:lineRule="auto"/>
        <w:ind w:left="25" w:leftChars="12" w:firstLine="352" w:firstLineChars="147"/>
        <w:contextualSpacing/>
        <w:rPr>
          <w:rFonts w:hint="eastAsia" w:hAnsi="宋体"/>
          <w:bCs/>
          <w:color w:val="auto"/>
          <w:sz w:val="24"/>
          <w:szCs w:val="24"/>
          <w:highlight w:val="none"/>
          <w:u w:val="single"/>
        </w:rPr>
      </w:pPr>
      <w:r>
        <w:rPr>
          <w:rFonts w:hint="eastAsia" w:hAnsi="宋体"/>
          <w:color w:val="auto"/>
          <w:sz w:val="24"/>
          <w:szCs w:val="24"/>
          <w:highlight w:val="none"/>
        </w:rPr>
        <w:t xml:space="preserve">□成交结果   </w:t>
      </w:r>
    </w:p>
    <w:p w14:paraId="0503EEF8">
      <w:pPr>
        <w:pStyle w:val="24"/>
        <w:spacing w:line="360" w:lineRule="auto"/>
        <w:ind w:left="25" w:leftChars="12" w:firstLine="472" w:firstLineChars="196"/>
        <w:contextualSpacing/>
        <w:rPr>
          <w:rFonts w:hint="eastAsia" w:hAnsi="宋体"/>
          <w:b/>
          <w:color w:val="auto"/>
          <w:sz w:val="24"/>
          <w:szCs w:val="24"/>
          <w:highlight w:val="none"/>
        </w:rPr>
      </w:pPr>
      <w:r>
        <w:rPr>
          <w:rFonts w:hint="eastAsia" w:hAnsi="宋体"/>
          <w:b/>
          <w:color w:val="auto"/>
          <w:sz w:val="24"/>
          <w:szCs w:val="24"/>
          <w:highlight w:val="none"/>
        </w:rPr>
        <w:t>三、质疑事项具体内容</w:t>
      </w:r>
    </w:p>
    <w:p w14:paraId="56266F5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质疑事项1：</w:t>
      </w:r>
      <w:r>
        <w:rPr>
          <w:rFonts w:hint="eastAsia" w:hAnsi="宋体"/>
          <w:bCs/>
          <w:color w:val="auto"/>
          <w:sz w:val="24"/>
          <w:szCs w:val="24"/>
          <w:highlight w:val="none"/>
          <w:u w:val="single"/>
        </w:rPr>
        <w:t xml:space="preserve">                                                                    </w:t>
      </w:r>
    </w:p>
    <w:p w14:paraId="21B6EFF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事实依据：</w:t>
      </w:r>
      <w:r>
        <w:rPr>
          <w:rFonts w:hint="eastAsia" w:hAnsi="宋体"/>
          <w:bCs/>
          <w:color w:val="auto"/>
          <w:sz w:val="24"/>
          <w:szCs w:val="24"/>
          <w:highlight w:val="none"/>
          <w:u w:val="single"/>
        </w:rPr>
        <w:t xml:space="preserve">                                                                      </w:t>
      </w:r>
    </w:p>
    <w:p w14:paraId="3BAC13F2">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法律依据：</w:t>
      </w:r>
      <w:r>
        <w:rPr>
          <w:rFonts w:hint="eastAsia" w:hAnsi="宋体"/>
          <w:color w:val="auto"/>
          <w:sz w:val="24"/>
          <w:szCs w:val="24"/>
          <w:highlight w:val="none"/>
          <w:u w:val="single"/>
        </w:rPr>
        <w:t xml:space="preserve">                                                        </w:t>
      </w:r>
      <w:r>
        <w:rPr>
          <w:rFonts w:hint="eastAsia" w:hAnsi="宋体"/>
          <w:bCs/>
          <w:color w:val="auto"/>
          <w:sz w:val="24"/>
          <w:szCs w:val="24"/>
          <w:highlight w:val="none"/>
          <w:u w:val="single"/>
        </w:rPr>
        <w:t xml:space="preserve">               </w:t>
      </w:r>
    </w:p>
    <w:p w14:paraId="5AA95073">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质疑事项2</w:t>
      </w:r>
    </w:p>
    <w:p w14:paraId="0A365FE8">
      <w:pPr>
        <w:pStyle w:val="24"/>
        <w:spacing w:line="360" w:lineRule="auto"/>
        <w:ind w:left="25" w:leftChars="12" w:firstLine="472" w:firstLineChars="197"/>
        <w:contextualSpacing/>
        <w:rPr>
          <w:rFonts w:hint="eastAsia" w:hAnsi="宋体"/>
          <w:color w:val="auto"/>
          <w:sz w:val="24"/>
          <w:szCs w:val="24"/>
          <w:highlight w:val="none"/>
        </w:rPr>
      </w:pPr>
      <w:r>
        <w:rPr>
          <w:rFonts w:hAnsi="宋体"/>
          <w:color w:val="auto"/>
          <w:sz w:val="24"/>
          <w:szCs w:val="24"/>
          <w:highlight w:val="none"/>
        </w:rPr>
        <w:t>……</w:t>
      </w:r>
    </w:p>
    <w:p w14:paraId="07003DCC">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四、与质疑事项相关的质疑请求：</w:t>
      </w:r>
    </w:p>
    <w:p w14:paraId="6974A389">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2C5CE970">
      <w:pPr>
        <w:pStyle w:val="24"/>
        <w:spacing w:line="360" w:lineRule="auto"/>
        <w:ind w:left="25" w:leftChars="12" w:firstLine="352" w:firstLineChars="147"/>
        <w:contextualSpacing/>
        <w:rPr>
          <w:rFonts w:hint="eastAsia" w:hAnsi="宋体"/>
          <w:color w:val="auto"/>
          <w:sz w:val="24"/>
          <w:szCs w:val="24"/>
          <w:highlight w:val="none"/>
        </w:rPr>
      </w:pPr>
    </w:p>
    <w:p w14:paraId="3B3E4D5D">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签字（签章）：                                       公章：</w:t>
      </w:r>
    </w:p>
    <w:p w14:paraId="3255019A">
      <w:pPr>
        <w:pStyle w:val="24"/>
        <w:spacing w:line="360" w:lineRule="auto"/>
        <w:ind w:left="25" w:leftChars="12" w:firstLine="352" w:firstLineChars="147"/>
        <w:contextualSpacing/>
        <w:rPr>
          <w:rFonts w:hint="eastAsia" w:hAnsi="宋体"/>
          <w:color w:val="auto"/>
          <w:sz w:val="24"/>
          <w:szCs w:val="24"/>
          <w:highlight w:val="none"/>
        </w:rPr>
      </w:pPr>
    </w:p>
    <w:p w14:paraId="177F1A61">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日期：</w:t>
      </w:r>
    </w:p>
    <w:p w14:paraId="64962B75">
      <w:pPr>
        <w:pStyle w:val="24"/>
        <w:spacing w:line="360" w:lineRule="auto"/>
        <w:contextualSpacing/>
        <w:rPr>
          <w:rFonts w:hint="eastAsia" w:hAnsi="宋体"/>
          <w:b/>
          <w:color w:val="auto"/>
          <w:sz w:val="24"/>
          <w:szCs w:val="24"/>
          <w:highlight w:val="none"/>
        </w:rPr>
      </w:pPr>
      <w:r>
        <w:rPr>
          <w:rFonts w:hint="eastAsia" w:hAnsi="宋体"/>
          <w:b/>
          <w:color w:val="auto"/>
          <w:sz w:val="24"/>
          <w:szCs w:val="24"/>
          <w:highlight w:val="none"/>
        </w:rPr>
        <w:t>说明：</w:t>
      </w:r>
    </w:p>
    <w:p w14:paraId="2FE01BDF">
      <w:pPr>
        <w:pStyle w:val="24"/>
        <w:spacing w:line="360" w:lineRule="auto"/>
        <w:ind w:left="25" w:leftChars="12" w:firstLine="354" w:firstLineChars="147"/>
        <w:contextualSpacing/>
        <w:rPr>
          <w:rFonts w:hint="eastAsia" w:hAnsi="宋体"/>
          <w:b/>
          <w:bCs/>
          <w:color w:val="auto"/>
          <w:sz w:val="24"/>
          <w:szCs w:val="24"/>
          <w:highlight w:val="none"/>
        </w:rPr>
      </w:pPr>
      <w:r>
        <w:rPr>
          <w:rFonts w:hint="eastAsia" w:hAnsi="宋体"/>
          <w:b/>
          <w:color w:val="auto"/>
          <w:sz w:val="24"/>
          <w:szCs w:val="24"/>
          <w:highlight w:val="none"/>
        </w:rPr>
        <w:t>1.供应商提出质疑时，应提交质疑函和必要的证明材料</w:t>
      </w:r>
      <w:r>
        <w:rPr>
          <w:rFonts w:hint="eastAsia" w:hAnsi="宋体"/>
          <w:b/>
          <w:bCs/>
          <w:color w:val="auto"/>
          <w:sz w:val="24"/>
          <w:szCs w:val="24"/>
          <w:highlight w:val="none"/>
        </w:rPr>
        <w:t>。</w:t>
      </w:r>
    </w:p>
    <w:p w14:paraId="2BA6711A">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13BFCCF">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3.质疑函的质疑事项应具体、明确，并有必要的事实依据和法律依据。</w:t>
      </w:r>
    </w:p>
    <w:p w14:paraId="438B7844">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4.质疑函的质疑请求应与质疑事项相关。</w:t>
      </w:r>
    </w:p>
    <w:p w14:paraId="287DC8B8">
      <w:pPr>
        <w:pStyle w:val="24"/>
        <w:spacing w:line="360" w:lineRule="auto"/>
        <w:ind w:left="25" w:leftChars="12" w:firstLine="354" w:firstLineChars="147"/>
        <w:contextualSpacing/>
        <w:rPr>
          <w:rFonts w:hint="eastAsia" w:hAnsi="宋体"/>
          <w:b/>
          <w:color w:val="auto"/>
          <w:highlight w:val="none"/>
        </w:rPr>
      </w:pPr>
      <w:r>
        <w:rPr>
          <w:rFonts w:hint="eastAsia" w:hAnsi="宋体"/>
          <w:b/>
          <w:color w:val="auto"/>
          <w:sz w:val="24"/>
          <w:szCs w:val="24"/>
          <w:highlight w:val="none"/>
        </w:rPr>
        <w:t>5.质疑供应商为法人或者其他组织的，质疑函应由法定代表人、主要负责人，或者其授权代表签字或者盖章，并加盖公章。</w:t>
      </w:r>
    </w:p>
    <w:p w14:paraId="1E04F5E7">
      <w:pPr>
        <w:pStyle w:val="24"/>
        <w:snapToGrid w:val="0"/>
        <w:rPr>
          <w:rFonts w:hint="eastAsia"/>
          <w:b/>
          <w:color w:val="auto"/>
          <w:sz w:val="24"/>
          <w:szCs w:val="24"/>
          <w:highlight w:val="none"/>
        </w:rPr>
      </w:pPr>
    </w:p>
    <w:p w14:paraId="303B163F">
      <w:pPr>
        <w:spacing w:line="460" w:lineRule="exact"/>
        <w:jc w:val="center"/>
        <w:rPr>
          <w:rFonts w:hint="eastAsia" w:eastAsia="隶书"/>
          <w:color w:val="auto"/>
          <w:sz w:val="44"/>
          <w:highlight w:val="none"/>
        </w:rPr>
      </w:pPr>
      <w:r>
        <w:rPr>
          <w:rFonts w:eastAsia="隶书"/>
          <w:color w:val="auto"/>
          <w:sz w:val="44"/>
          <w:highlight w:val="none"/>
        </w:rPr>
        <w:br w:type="page"/>
      </w:r>
    </w:p>
    <w:p w14:paraId="7373B933">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投诉书（格式）</w:t>
      </w:r>
    </w:p>
    <w:p w14:paraId="5F7F3B36">
      <w:pPr>
        <w:pStyle w:val="24"/>
        <w:snapToGrid w:val="0"/>
        <w:spacing w:line="360" w:lineRule="auto"/>
        <w:ind w:firstLine="482" w:firstLineChars="200"/>
        <w:rPr>
          <w:rFonts w:hAnsi="宋体"/>
          <w:b/>
          <w:bCs/>
          <w:color w:val="auto"/>
          <w:sz w:val="24"/>
          <w:szCs w:val="24"/>
          <w:highlight w:val="none"/>
        </w:rPr>
      </w:pPr>
      <w:r>
        <w:rPr>
          <w:rFonts w:hint="eastAsia" w:hAnsi="宋体"/>
          <w:b/>
          <w:bCs/>
          <w:color w:val="auto"/>
          <w:sz w:val="24"/>
          <w:szCs w:val="24"/>
          <w:highlight w:val="none"/>
        </w:rPr>
        <w:t>一、投诉相关主体基本情况：</w:t>
      </w:r>
    </w:p>
    <w:p w14:paraId="4BF09C4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9ABB37E">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7B26F25">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法定代表人/主要负责人：</w:t>
      </w:r>
      <w:r>
        <w:rPr>
          <w:rFonts w:hint="eastAsia" w:hAnsi="宋体"/>
          <w:bCs/>
          <w:color w:val="auto"/>
          <w:sz w:val="24"/>
          <w:szCs w:val="24"/>
          <w:highlight w:val="none"/>
          <w:u w:val="single"/>
        </w:rPr>
        <w:t xml:space="preserve">                                                         </w:t>
      </w:r>
    </w:p>
    <w:p w14:paraId="2D3C1DD7">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D47EB8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BE13343">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260857D2">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D0D9CCE">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被投诉人1：</w:t>
      </w:r>
    </w:p>
    <w:p w14:paraId="34946BB3">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地址：</w:t>
      </w:r>
      <w:r>
        <w:rPr>
          <w:rFonts w:hint="eastAsia" w:hAnsi="宋体"/>
          <w:bCs/>
          <w:color w:val="auto"/>
          <w:sz w:val="24"/>
          <w:szCs w:val="24"/>
          <w:highlight w:val="none"/>
          <w:u w:val="single"/>
        </w:rPr>
        <w:t xml:space="preserve">                                                            </w:t>
      </w:r>
    </w:p>
    <w:p w14:paraId="36FD31E0">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22F98FD1">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5561FEF1">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被投诉人2：</w:t>
      </w:r>
    </w:p>
    <w:p w14:paraId="768553AF">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w:t>
      </w:r>
    </w:p>
    <w:p w14:paraId="47EA2EB4">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相关供应商：</w:t>
      </w:r>
      <w:r>
        <w:rPr>
          <w:rFonts w:hint="eastAsia" w:hAnsi="宋体"/>
          <w:bCs/>
          <w:color w:val="auto"/>
          <w:sz w:val="24"/>
          <w:szCs w:val="24"/>
          <w:highlight w:val="none"/>
          <w:u w:val="single"/>
        </w:rPr>
        <w:t xml:space="preserve">                                                                       </w:t>
      </w:r>
    </w:p>
    <w:p w14:paraId="3BDB7C42">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551465AF">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673B9BAA">
      <w:pPr>
        <w:pStyle w:val="24"/>
        <w:snapToGrid w:val="0"/>
        <w:spacing w:line="360" w:lineRule="auto"/>
        <w:ind w:firstLine="482" w:firstLineChars="200"/>
        <w:rPr>
          <w:rFonts w:hint="eastAsia" w:hAnsi="宋体"/>
          <w:b/>
          <w:bCs/>
          <w:color w:val="auto"/>
          <w:sz w:val="24"/>
          <w:szCs w:val="24"/>
          <w:highlight w:val="none"/>
        </w:rPr>
      </w:pPr>
      <w:r>
        <w:rPr>
          <w:rFonts w:hint="eastAsia" w:hAnsi="宋体"/>
          <w:b/>
          <w:bCs/>
          <w:color w:val="auto"/>
          <w:sz w:val="24"/>
          <w:szCs w:val="24"/>
          <w:highlight w:val="none"/>
        </w:rPr>
        <w:t>二、投诉项目基本情况：</w:t>
      </w:r>
    </w:p>
    <w:p w14:paraId="2A5F4082">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2BA7EFB4">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02167A72">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63D03B5C">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代理机构名称：</w:t>
      </w:r>
      <w:r>
        <w:rPr>
          <w:rFonts w:hint="eastAsia" w:hAnsi="宋体"/>
          <w:bCs/>
          <w:color w:val="auto"/>
          <w:sz w:val="24"/>
          <w:szCs w:val="24"/>
          <w:highlight w:val="none"/>
          <w:u w:val="single"/>
        </w:rPr>
        <w:t xml:space="preserve">                                                                      </w:t>
      </w:r>
    </w:p>
    <w:p w14:paraId="33DF5255">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bCs/>
          <w:color w:val="auto"/>
          <w:sz w:val="24"/>
          <w:szCs w:val="24"/>
          <w:highlight w:val="none"/>
        </w:rPr>
        <w:t>招标文件公告：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567D9797">
      <w:pPr>
        <w:pStyle w:val="24"/>
        <w:spacing w:line="360" w:lineRule="auto"/>
        <w:ind w:left="25" w:leftChars="12" w:firstLine="472" w:firstLineChars="197"/>
        <w:rPr>
          <w:rFonts w:hint="eastAsia" w:hAnsi="宋体"/>
          <w:b/>
          <w:color w:val="auto"/>
          <w:sz w:val="24"/>
          <w:szCs w:val="24"/>
          <w:highlight w:val="none"/>
        </w:rPr>
      </w:pPr>
      <w:r>
        <w:rPr>
          <w:rFonts w:hint="eastAsia" w:hAnsi="宋体"/>
          <w:bCs/>
          <w:color w:val="auto"/>
          <w:sz w:val="24"/>
          <w:szCs w:val="24"/>
          <w:highlight w:val="none"/>
        </w:rPr>
        <w:t>采购结果公告：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0E90F7C7">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三、质疑基本情况</w:t>
      </w:r>
    </w:p>
    <w:p w14:paraId="534B7EEB">
      <w:pPr>
        <w:pStyle w:val="24"/>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投诉人于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日，向</w:t>
      </w:r>
      <w:r>
        <w:rPr>
          <w:rFonts w:hint="eastAsia" w:hAnsi="宋体"/>
          <w:color w:val="auto"/>
          <w:sz w:val="24"/>
          <w:szCs w:val="24"/>
          <w:highlight w:val="none"/>
          <w:u w:val="single"/>
        </w:rPr>
        <w:t xml:space="preserve">                                </w:t>
      </w:r>
      <w:r>
        <w:rPr>
          <w:rFonts w:hint="eastAsia" w:hAnsi="宋体"/>
          <w:color w:val="auto"/>
          <w:sz w:val="24"/>
          <w:szCs w:val="24"/>
          <w:highlight w:val="none"/>
        </w:rPr>
        <w:t>提出质疑，质疑事项为：</w:t>
      </w:r>
    </w:p>
    <w:p w14:paraId="79FB44B9">
      <w:pPr>
        <w:pStyle w:val="24"/>
        <w:spacing w:line="360" w:lineRule="auto"/>
        <w:ind w:firstLine="241"/>
        <w:rPr>
          <w:rFonts w:hint="eastAsia" w:hAnsi="宋体"/>
          <w:bCs/>
          <w:color w:val="auto"/>
          <w:sz w:val="24"/>
          <w:szCs w:val="24"/>
          <w:highlight w:val="none"/>
          <w:u w:val="single"/>
        </w:rPr>
      </w:pP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0E7A5ADE">
      <w:pPr>
        <w:pStyle w:val="24"/>
        <w:spacing w:line="360" w:lineRule="auto"/>
        <w:ind w:firstLine="241"/>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74517F8">
      <w:pPr>
        <w:pStyle w:val="24"/>
        <w:spacing w:line="360" w:lineRule="auto"/>
        <w:ind w:firstLine="480" w:firstLineChars="200"/>
        <w:rPr>
          <w:rFonts w:hint="eastAsia" w:hAnsi="宋体"/>
          <w:color w:val="auto"/>
          <w:sz w:val="24"/>
          <w:szCs w:val="24"/>
          <w:highlight w:val="none"/>
        </w:rPr>
      </w:pPr>
      <w:r>
        <w:rPr>
          <w:rFonts w:hint="eastAsia" w:hAnsi="宋体"/>
          <w:bCs/>
          <w:color w:val="auto"/>
          <w:sz w:val="24"/>
          <w:szCs w:val="24"/>
          <w:highlight w:val="none"/>
          <w:u w:val="single"/>
        </w:rPr>
        <w:t>采购人/代理机构</w:t>
      </w:r>
      <w:r>
        <w:rPr>
          <w:rFonts w:hint="eastAsia" w:hAnsi="宋体"/>
          <w:bCs/>
          <w:color w:val="auto"/>
          <w:sz w:val="24"/>
          <w:szCs w:val="24"/>
          <w:highlight w:val="none"/>
        </w:rPr>
        <w:t>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w:t>
      </w:r>
      <w:r>
        <w:rPr>
          <w:rFonts w:hint="eastAsia" w:hAnsi="宋体"/>
          <w:bCs/>
          <w:color w:val="auto"/>
          <w:sz w:val="24"/>
          <w:szCs w:val="24"/>
          <w:highlight w:val="none"/>
        </w:rPr>
        <w:t xml:space="preserve">就质疑事项作出了答复/没有在法定期限内作出答复。                                                                                             </w:t>
      </w:r>
    </w:p>
    <w:p w14:paraId="22ED581E">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四、投诉事项具体内容</w:t>
      </w:r>
    </w:p>
    <w:p w14:paraId="5BA12220">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投诉事项1：</w:t>
      </w:r>
      <w:r>
        <w:rPr>
          <w:rFonts w:hint="eastAsia" w:hAnsi="宋体"/>
          <w:bCs/>
          <w:color w:val="auto"/>
          <w:sz w:val="24"/>
          <w:szCs w:val="24"/>
          <w:highlight w:val="none"/>
          <w:u w:val="single"/>
        </w:rPr>
        <w:t xml:space="preserve">                                                                           </w:t>
      </w:r>
    </w:p>
    <w:p w14:paraId="7DDF7DD7">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事实依据：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4DCAE251">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u w:val="single"/>
        </w:rPr>
        <w:t xml:space="preserve">                                                                                        </w:t>
      </w:r>
    </w:p>
    <w:p w14:paraId="3670C7DB">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法律依据：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501B7534">
      <w:pPr>
        <w:pStyle w:val="24"/>
        <w:spacing w:line="360" w:lineRule="auto"/>
        <w:ind w:left="25" w:leftChars="12" w:firstLine="352" w:firstLineChars="147"/>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67F0908">
      <w:pPr>
        <w:pStyle w:val="24"/>
        <w:spacing w:line="360" w:lineRule="auto"/>
        <w:ind w:left="25" w:leftChars="12" w:firstLine="472" w:firstLineChars="197"/>
        <w:rPr>
          <w:rFonts w:hint="eastAsia" w:hAnsi="宋体"/>
          <w:bCs/>
          <w:color w:val="auto"/>
          <w:sz w:val="24"/>
          <w:szCs w:val="24"/>
          <w:highlight w:val="none"/>
        </w:rPr>
      </w:pPr>
      <w:r>
        <w:rPr>
          <w:rFonts w:hint="eastAsia" w:hAnsi="宋体"/>
          <w:color w:val="auto"/>
          <w:sz w:val="24"/>
          <w:szCs w:val="24"/>
          <w:highlight w:val="none"/>
        </w:rPr>
        <w:t xml:space="preserve">投诉事项2  </w:t>
      </w:r>
      <w:r>
        <w:rPr>
          <w:rFonts w:hint="eastAsia" w:hAnsi="宋体"/>
          <w:bCs/>
          <w:color w:val="auto"/>
          <w:sz w:val="24"/>
          <w:szCs w:val="24"/>
          <w:highlight w:val="none"/>
        </w:rPr>
        <w:t xml:space="preserve">   </w:t>
      </w:r>
    </w:p>
    <w:p w14:paraId="11726C95">
      <w:pPr>
        <w:pStyle w:val="24"/>
        <w:spacing w:line="360" w:lineRule="auto"/>
        <w:ind w:left="25" w:leftChars="12" w:firstLine="472" w:firstLineChars="197"/>
        <w:rPr>
          <w:rFonts w:hint="eastAsia" w:hAnsi="宋体"/>
          <w:bCs/>
          <w:color w:val="auto"/>
          <w:sz w:val="24"/>
          <w:szCs w:val="24"/>
          <w:highlight w:val="none"/>
        </w:rPr>
      </w:pPr>
      <w:r>
        <w:rPr>
          <w:rFonts w:hAnsi="宋体"/>
          <w:bCs/>
          <w:color w:val="auto"/>
          <w:sz w:val="24"/>
          <w:szCs w:val="24"/>
          <w:highlight w:val="none"/>
        </w:rPr>
        <w:t>……</w:t>
      </w:r>
    </w:p>
    <w:p w14:paraId="3F236986">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五、与投诉事项相关的投诉请求：</w:t>
      </w:r>
    </w:p>
    <w:p w14:paraId="74897C04">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19850ADB">
      <w:pPr>
        <w:pStyle w:val="24"/>
        <w:spacing w:line="360" w:lineRule="auto"/>
        <w:ind w:left="25" w:leftChars="12" w:firstLine="352" w:firstLineChars="147"/>
        <w:rPr>
          <w:rFonts w:hint="eastAsia" w:hAnsi="宋体"/>
          <w:color w:val="auto"/>
          <w:sz w:val="24"/>
          <w:szCs w:val="24"/>
          <w:highlight w:val="none"/>
        </w:rPr>
      </w:pPr>
    </w:p>
    <w:p w14:paraId="4F641B0E">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签字（签章）：                                       公章：</w:t>
      </w:r>
    </w:p>
    <w:p w14:paraId="190B386D">
      <w:pPr>
        <w:pStyle w:val="24"/>
        <w:spacing w:line="360" w:lineRule="auto"/>
        <w:ind w:left="25" w:leftChars="12" w:firstLine="352" w:firstLineChars="147"/>
        <w:rPr>
          <w:rFonts w:hint="eastAsia" w:hAnsi="宋体"/>
          <w:color w:val="auto"/>
          <w:sz w:val="24"/>
          <w:szCs w:val="24"/>
          <w:highlight w:val="none"/>
        </w:rPr>
      </w:pPr>
    </w:p>
    <w:p w14:paraId="6CC6475C">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日期：</w:t>
      </w:r>
    </w:p>
    <w:p w14:paraId="727C6CF7">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 xml:space="preserve">                                                                                 </w:t>
      </w:r>
    </w:p>
    <w:p w14:paraId="1A087981">
      <w:pPr>
        <w:pStyle w:val="24"/>
        <w:snapToGrid w:val="0"/>
        <w:spacing w:line="360" w:lineRule="auto"/>
        <w:rPr>
          <w:rFonts w:hint="eastAsia" w:hAnsi="宋体"/>
          <w:b/>
          <w:color w:val="auto"/>
          <w:sz w:val="24"/>
          <w:szCs w:val="24"/>
          <w:highlight w:val="none"/>
        </w:rPr>
      </w:pPr>
    </w:p>
    <w:p w14:paraId="1DA8B226">
      <w:pPr>
        <w:pStyle w:val="24"/>
        <w:snapToGrid w:val="0"/>
        <w:spacing w:line="360" w:lineRule="auto"/>
        <w:rPr>
          <w:rFonts w:hint="eastAsia" w:hAnsi="宋体"/>
          <w:b/>
          <w:color w:val="auto"/>
          <w:sz w:val="24"/>
          <w:szCs w:val="24"/>
          <w:highlight w:val="none"/>
        </w:rPr>
      </w:pPr>
      <w:r>
        <w:rPr>
          <w:rFonts w:hint="eastAsia" w:hAnsi="宋体"/>
          <w:b/>
          <w:color w:val="auto"/>
          <w:sz w:val="24"/>
          <w:szCs w:val="24"/>
          <w:highlight w:val="none"/>
        </w:rPr>
        <w:t>说明：</w:t>
      </w:r>
    </w:p>
    <w:p w14:paraId="7A8942ED">
      <w:pPr>
        <w:pStyle w:val="24"/>
        <w:spacing w:line="360" w:lineRule="auto"/>
        <w:ind w:left="25" w:leftChars="12" w:firstLine="354" w:firstLineChars="147"/>
        <w:rPr>
          <w:rFonts w:hint="eastAsia" w:hAnsi="宋体"/>
          <w:b/>
          <w:bCs/>
          <w:color w:val="auto"/>
          <w:sz w:val="24"/>
          <w:szCs w:val="24"/>
          <w:highlight w:val="none"/>
        </w:rPr>
      </w:pPr>
      <w:r>
        <w:rPr>
          <w:rFonts w:hint="eastAsia" w:hAnsi="宋体"/>
          <w:b/>
          <w:color w:val="auto"/>
          <w:sz w:val="24"/>
          <w:szCs w:val="24"/>
          <w:highlight w:val="none"/>
        </w:rPr>
        <w:t>1.投诉人提起投诉时，应当提交投诉书和必要的证明材料，并按照被投诉人和与投诉事项有关的供应商数量提供投诉书副本</w:t>
      </w:r>
      <w:r>
        <w:rPr>
          <w:rFonts w:hint="eastAsia" w:hAnsi="宋体"/>
          <w:b/>
          <w:bCs/>
          <w:color w:val="auto"/>
          <w:sz w:val="24"/>
          <w:szCs w:val="24"/>
          <w:highlight w:val="none"/>
        </w:rPr>
        <w:t>。</w:t>
      </w:r>
    </w:p>
    <w:p w14:paraId="36C69F46">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556D6494">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3.投诉书应简要列明质疑事项，质疑函、质疑答复等作为附件材料提供。</w:t>
      </w:r>
    </w:p>
    <w:p w14:paraId="612DF2F1">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4.投诉书的投诉事项应具体、明确，并有必要的事实依据和法律依据。</w:t>
      </w:r>
    </w:p>
    <w:p w14:paraId="346D25EB">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5.投诉书的投诉请求应与投诉事项相关。</w:t>
      </w:r>
    </w:p>
    <w:p w14:paraId="0AA134E4">
      <w:pPr>
        <w:rPr>
          <w:color w:val="auto"/>
          <w:highlight w:val="none"/>
        </w:rPr>
      </w:pPr>
      <w:r>
        <w:rPr>
          <w:rFonts w:hint="eastAsia" w:hAnsi="宋体"/>
          <w:b/>
          <w:color w:val="auto"/>
          <w:sz w:val="24"/>
          <w:szCs w:val="24"/>
          <w:highlight w:val="none"/>
        </w:rPr>
        <w:t>6.投诉人为法人或者其他组织的，投诉书应由法定代表人、主要负责人，或者其授权代表签字或者盖章，并加盖公章</w:t>
      </w:r>
      <w:r>
        <w:rPr>
          <w:rFonts w:hint="eastAsia" w:hAnsi="宋体"/>
          <w:b/>
          <w:color w:val="auto"/>
          <w:sz w:val="24"/>
          <w:szCs w:val="24"/>
          <w:highlight w:val="none"/>
          <w:lang w:eastAsia="zh-CN"/>
        </w:rPr>
        <w:t>。</w:t>
      </w:r>
      <w:bookmarkEnd w:id="18"/>
      <w:bookmarkEnd w:id="42"/>
    </w:p>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30DAAA8-9711-4500-A01B-2E31CFA46814}"/>
  </w:font>
  <w:font w:name="Arial">
    <w:panose1 w:val="020B0604020202020204"/>
    <w:charset w:val="01"/>
    <w:family w:val="swiss"/>
    <w:pitch w:val="default"/>
    <w:sig w:usb0="E0002EFF" w:usb1="C000785B" w:usb2="00000009" w:usb3="00000000" w:csb0="400001FF" w:csb1="FFFF0000"/>
    <w:embedRegular r:id="rId2" w:fontKey="{BF557099-EEE5-46E8-A62E-AD1732EFA43E}"/>
  </w:font>
  <w:font w:name="黑体">
    <w:panose1 w:val="02010609060101010101"/>
    <w:charset w:val="86"/>
    <w:family w:val="auto"/>
    <w:pitch w:val="default"/>
    <w:sig w:usb0="800002BF" w:usb1="38CF7CFA" w:usb2="00000016" w:usb3="00000000" w:csb0="00040001" w:csb1="00000000"/>
    <w:embedRegular r:id="rId3" w:fontKey="{5AE1A507-547B-4EF1-8DC3-458D53D87129}"/>
  </w:font>
  <w:font w:name="Courier New">
    <w:panose1 w:val="02070309020205020404"/>
    <w:charset w:val="01"/>
    <w:family w:val="modern"/>
    <w:pitch w:val="default"/>
    <w:sig w:usb0="E0002EFF" w:usb1="C0007843" w:usb2="00000009" w:usb3="00000000" w:csb0="400001FF" w:csb1="FFFF0000"/>
    <w:embedRegular r:id="rId4" w:fontKey="{7414C847-E425-4B40-B498-BFF1C6618082}"/>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131A57B5-B394-47AD-9296-AA57C4C3B434}"/>
  </w:font>
  <w:font w:name="理德小标宋简">
    <w:altName w:val="宋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6" w:fontKey="{65CF13F5-D0F5-4FDF-9613-D168206B7ED6}"/>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embedRegular r:id="rId7" w:fontKey="{25D3519F-A86B-4688-9AD1-C4059D761114}"/>
  </w:font>
  <w:font w:name="方正美黑简体">
    <w:altName w:val="黑体"/>
    <w:panose1 w:val="00000000000000000000"/>
    <w:charset w:val="86"/>
    <w:family w:val="script"/>
    <w:pitch w:val="default"/>
    <w:sig w:usb0="00000000" w:usb1="00000000" w:usb2="00000000" w:usb3="00000000" w:csb0="00040000" w:csb1="00000000"/>
    <w:embedRegular r:id="rId8" w:fontKey="{A6203373-CBDB-4268-A9C9-5D1EA9FD421B}"/>
  </w:font>
  <w:font w:name="汉仪魏碑简">
    <w:altName w:val="宋体"/>
    <w:panose1 w:val="00000000000000000000"/>
    <w:charset w:val="86"/>
    <w:family w:val="modern"/>
    <w:pitch w:val="default"/>
    <w:sig w:usb0="00000000" w:usb1="00000000" w:usb2="00000012" w:usb3="00000000" w:csb0="00040000" w:csb1="00000000"/>
    <w:embedRegular r:id="rId9" w:fontKey="{AF2DFD06-DFE3-4E11-9928-4B20366FDF30}"/>
  </w:font>
  <w:font w:name="幼圆">
    <w:panose1 w:val="02010509060101010101"/>
    <w:charset w:val="86"/>
    <w:family w:val="modern"/>
    <w:pitch w:val="default"/>
    <w:sig w:usb0="00000001" w:usb1="080E0000" w:usb2="00000000" w:usb3="00000000" w:csb0="00040000" w:csb1="00000000"/>
    <w:embedRegular r:id="rId10" w:fontKey="{7B1A658D-6D66-47E7-A018-A25DC3A87357}"/>
  </w:font>
  <w:font w:name="微软雅黑">
    <w:panose1 w:val="020B0503020204020204"/>
    <w:charset w:val="86"/>
    <w:family w:val="auto"/>
    <w:pitch w:val="default"/>
    <w:sig w:usb0="80000287" w:usb1="2ACF3C50" w:usb2="00000016" w:usb3="00000000" w:csb0="0004001F" w:csb1="00000000"/>
    <w:embedRegular r:id="rId11" w:fontKey="{EEDE229A-D5A8-4413-BBEB-FFEF8A3C0537}"/>
  </w:font>
  <w:font w:name="仿宋">
    <w:panose1 w:val="02010609060101010101"/>
    <w:charset w:val="86"/>
    <w:family w:val="auto"/>
    <w:pitch w:val="default"/>
    <w:sig w:usb0="800002BF" w:usb1="38CF7CFA" w:usb2="00000016" w:usb3="00000000" w:csb0="00040001" w:csb1="00000000"/>
    <w:embedRegular r:id="rId12" w:fontKey="{665873F6-9F0C-4FF6-9E79-29508222E4E0}"/>
  </w:font>
  <w:font w:name="Helvetica">
    <w:panose1 w:val="020B0504020202030204"/>
    <w:charset w:val="00"/>
    <w:family w:val="swiss"/>
    <w:pitch w:val="default"/>
    <w:sig w:usb0="00000007" w:usb1="00000000" w:usb2="00000000" w:usb3="00000000" w:csb0="00000093" w:csb1="00000000"/>
    <w:embedRegular r:id="rId13" w:fontKey="{C89D49D5-FF2D-4470-8792-8409CAB62A69}"/>
  </w:font>
  <w:font w:name="方正小标宋简体">
    <w:panose1 w:val="02000000000000000000"/>
    <w:charset w:val="86"/>
    <w:family w:val="script"/>
    <w:pitch w:val="default"/>
    <w:sig w:usb0="00000001" w:usb1="08000000" w:usb2="00000000" w:usb3="00000000" w:csb0="00040000" w:csb1="00000000"/>
    <w:embedRegular r:id="rId14" w:fontKey="{08BC4734-F903-4D95-B265-56568195BFF2}"/>
  </w:font>
  <w:font w:name="MingLiU_HKSCS">
    <w:altName w:val="PMingLiU-ExtB"/>
    <w:panose1 w:val="02020500000000000000"/>
    <w:charset w:val="88"/>
    <w:family w:val="roman"/>
    <w:pitch w:val="default"/>
    <w:sig w:usb0="00000000" w:usb1="00000000" w:usb2="00000016" w:usb3="00000000" w:csb0="00100001" w:csb1="00000000"/>
    <w:embedRegular r:id="rId15" w:fontKey="{3B46AB8D-2902-4D7D-B7D1-BB14149F4FB3}"/>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embedRegular r:id="rId16" w:fontKey="{CE933111-ADB5-462C-A519-47167FBCFF2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4039">
    <w:pPr>
      <w:pStyle w:val="29"/>
      <w:jc w:val="center"/>
      <w:rPr>
        <w:rFonts w:cs="Times New Roman"/>
      </w:rPr>
    </w:pPr>
    <w:r>
      <w:fldChar w:fldCharType="begin"/>
    </w:r>
    <w:r>
      <w:instrText xml:space="preserve"> PAGE   \* MERGEFORMAT </w:instrText>
    </w:r>
    <w:r>
      <w:fldChar w:fldCharType="separate"/>
    </w:r>
    <w:r>
      <w:rPr>
        <w:lang w:val="zh-CN"/>
      </w:rPr>
      <w:t>18</w:t>
    </w:r>
    <w:r>
      <w:rPr>
        <w:lang w:val="zh-CN"/>
      </w:rPr>
      <w:fldChar w:fldCharType="end"/>
    </w:r>
  </w:p>
  <w:p w14:paraId="5572DD31">
    <w:pPr>
      <w:pStyle w:val="29"/>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1760">
    <w:pPr>
      <w:pStyle w:val="29"/>
      <w:jc w:val="center"/>
      <w:rPr>
        <w:rFonts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UQeDckBAACZAwAADgAAAGRycy9lMm9Eb2MueG1srVPNjtMwEL4j8Q6W&#10;79Rph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cNfUmJ4xYHfvn+7fLj1+XnV/I6&#10;t6cPUGPWXcC8NLz1Ay7N7Ad0ZtWDijZ/UQ/BODb3fG2uHBIR+dF6tV5XGBIYmy+Izx6ehwjpnfSW&#10;ZKOhEadXmspPHyCNqXNKrub8rTamTNC4vxyImT0scx85ZisN+2EStPftGfX0OPiGOtxzSsx7h33N&#10;OzIbcTb2s3EMUR86pLYsvCC8OSYkUbjlCiPsVBgnVtRN25VX4s97yXr4o7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pRB4NyQEAAJkDAAAOAAAAAAAAAAEAIAAAAB4BAABkcnMvZTJvRG9j&#10;LnhtbFBLBQYAAAAABgAGAFkBAABZBQAAAAA=&#10;">
              <v:fill on="f" focussize="0,0"/>
              <v:stroke on="f"/>
              <v:imagedata o:title=""/>
              <o:lock v:ext="edit" aspectratio="f"/>
              <v:textbox inset="0mm,0mm,0mm,0mm" style="mso-fit-shape-to-text:t;">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v:textbox>
            </v:shape>
          </w:pict>
        </mc:Fallback>
      </mc:AlternateContent>
    </w:r>
  </w:p>
  <w:p w14:paraId="14233C10">
    <w:pPr>
      <w:pStyle w:val="29"/>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8E2F">
    <w:pPr>
      <w:pStyle w:val="30"/>
      <w:jc w:val="left"/>
      <w:rPr>
        <w:rFonts w:cs="Times New Roman"/>
      </w:rPr>
    </w:pPr>
    <w:r>
      <w:rPr>
        <w:rFonts w:hint="eastAsia" w:ascii="宋体" w:hAnsi="宋体" w:cs="宋体"/>
      </w:rPr>
      <w:t>广西</w:t>
    </w:r>
    <w:r>
      <w:rPr>
        <w:rFonts w:hint="eastAsia" w:ascii="宋体" w:hAnsi="宋体" w:cs="宋体"/>
        <w:lang w:eastAsia="zh-CN"/>
      </w:rPr>
      <w:t>建设工程机电设备招标中心</w:t>
    </w:r>
    <w:r>
      <w:rPr>
        <w:rFonts w:hint="eastAsia" w:ascii="宋体" w:hAnsi="宋体" w:cs="宋体"/>
      </w:rPr>
      <w:t>有限公司</w:t>
    </w:r>
    <w:r>
      <w:rPr>
        <w:rFonts w:ascii="宋体" w:hAnsi="宋体" w:cs="宋体"/>
      </w:rPr>
      <w:t xml:space="preserve">                                       </w:t>
    </w:r>
    <w:r>
      <w:rPr>
        <w:rFonts w:hint="eastAsia" w:ascii="宋体" w:hAnsi="宋体" w:cs="宋体"/>
      </w:rPr>
      <w:t>竞争性磋商采购文件</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82F99">
    <w:pPr>
      <w:pStyle w:val="30"/>
    </w:pPr>
    <w:r>
      <w:rPr>
        <w:rFonts w:hint="eastAsia"/>
      </w:rPr>
      <w:t>广西建设工程机电设备招标中心有限公司                                         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EE9FF1"/>
    <w:multiLevelType w:val="singleLevel"/>
    <w:tmpl w:val="8EEE9FF1"/>
    <w:lvl w:ilvl="0" w:tentative="0">
      <w:start w:val="2"/>
      <w:numFmt w:val="chineseCounting"/>
      <w:suff w:val="nothing"/>
      <w:lvlText w:val="%1、"/>
      <w:lvlJc w:val="left"/>
      <w:pPr>
        <w:ind w:left="451" w:leftChars="0" w:firstLine="0" w:firstLineChars="0"/>
      </w:pPr>
      <w:rPr>
        <w:rFonts w:hint="eastAsia"/>
      </w:rPr>
    </w:lvl>
  </w:abstractNum>
  <w:abstractNum w:abstractNumId="1">
    <w:nsid w:val="96720439"/>
    <w:multiLevelType w:val="singleLevel"/>
    <w:tmpl w:val="96720439"/>
    <w:lvl w:ilvl="0" w:tentative="0">
      <w:start w:val="1"/>
      <w:numFmt w:val="decimal"/>
      <w:suff w:val="nothing"/>
      <w:lvlText w:val="%1、"/>
      <w:lvlJc w:val="left"/>
    </w:lvl>
  </w:abstractNum>
  <w:abstractNum w:abstractNumId="2">
    <w:nsid w:val="A9B50640"/>
    <w:multiLevelType w:val="singleLevel"/>
    <w:tmpl w:val="A9B50640"/>
    <w:lvl w:ilvl="0" w:tentative="0">
      <w:start w:val="2"/>
      <w:numFmt w:val="decimal"/>
      <w:suff w:val="space"/>
      <w:lvlText w:val="%1."/>
      <w:lvlJc w:val="left"/>
    </w:lvl>
  </w:abstractNum>
  <w:abstractNum w:abstractNumId="3">
    <w:nsid w:val="CC594CB6"/>
    <w:multiLevelType w:val="singleLevel"/>
    <w:tmpl w:val="CC594CB6"/>
    <w:lvl w:ilvl="0" w:tentative="0">
      <w:start w:val="1"/>
      <w:numFmt w:val="decimal"/>
      <w:suff w:val="nothing"/>
      <w:lvlText w:val="%1、"/>
      <w:lvlJc w:val="left"/>
    </w:lvl>
  </w:abstractNum>
  <w:abstractNum w:abstractNumId="4">
    <w:nsid w:val="EB8CEB78"/>
    <w:multiLevelType w:val="singleLevel"/>
    <w:tmpl w:val="EB8CEB78"/>
    <w:lvl w:ilvl="0" w:tentative="0">
      <w:start w:val="3"/>
      <w:numFmt w:val="chineseCounting"/>
      <w:suff w:val="space"/>
      <w:lvlText w:val="第%1章"/>
      <w:lvlJc w:val="left"/>
      <w:rPr>
        <w:rFonts w:hint="eastAsia"/>
      </w:rPr>
    </w:lvl>
  </w:abstractNum>
  <w:abstractNum w:abstractNumId="5">
    <w:nsid w:val="049E55D1"/>
    <w:multiLevelType w:val="multilevel"/>
    <w:tmpl w:val="049E55D1"/>
    <w:lvl w:ilvl="0" w:tentative="0">
      <w:start w:val="1"/>
      <w:numFmt w:val="decimal"/>
      <w:pStyle w:val="125"/>
      <w:lvlText w:val="%1."/>
      <w:lvlJc w:val="left"/>
      <w:pPr>
        <w:tabs>
          <w:tab w:val="left" w:pos="624"/>
        </w:tabs>
        <w:ind w:left="624" w:hanging="624"/>
      </w:pPr>
      <w:rPr>
        <w:rFonts w:hint="default" w:ascii="Arial" w:hAnsi="Arial" w:cs="Arial"/>
        <w:b/>
        <w:bCs/>
        <w:i w:val="0"/>
        <w:iCs w:val="0"/>
        <w:sz w:val="24"/>
        <w:szCs w:val="24"/>
      </w:rPr>
    </w:lvl>
    <w:lvl w:ilvl="1" w:tentative="0">
      <w:start w:val="1"/>
      <w:numFmt w:val="decimal"/>
      <w:pStyle w:val="146"/>
      <w:lvlText w:val="%1.%2"/>
      <w:lvlJc w:val="left"/>
      <w:pPr>
        <w:tabs>
          <w:tab w:val="left" w:pos="624"/>
        </w:tabs>
        <w:ind w:left="624" w:hanging="624"/>
      </w:pPr>
      <w:rPr>
        <w:rFonts w:hint="default" w:ascii="Arial" w:hAnsi="Arial" w:cs="Arial"/>
        <w:b w:val="0"/>
        <w:bCs w:val="0"/>
        <w:i w:val="0"/>
        <w:iCs w:val="0"/>
        <w:sz w:val="24"/>
        <w:szCs w:val="24"/>
      </w:rPr>
    </w:lvl>
    <w:lvl w:ilvl="2" w:tentative="0">
      <w:start w:val="1"/>
      <w:numFmt w:val="decimal"/>
      <w:pStyle w:val="143"/>
      <w:lvlText w:val="(%3)"/>
      <w:lvlJc w:val="left"/>
      <w:pPr>
        <w:tabs>
          <w:tab w:val="left" w:pos="624"/>
        </w:tabs>
        <w:ind w:left="624" w:hanging="624"/>
      </w:pPr>
      <w:rPr>
        <w:rFonts w:hint="default" w:ascii="Arial" w:hAnsi="Arial" w:cs="Arial"/>
        <w:b w:val="0"/>
        <w:bCs w:val="0"/>
        <w:i w:val="0"/>
        <w:iCs w:val="0"/>
        <w:sz w:val="24"/>
        <w:szCs w:val="24"/>
      </w:rPr>
    </w:lvl>
    <w:lvl w:ilvl="3" w:tentative="0">
      <w:start w:val="1"/>
      <w:numFmt w:val="decimal"/>
      <w:pStyle w:val="130"/>
      <w:lvlText w:val="%1.%2.%4"/>
      <w:lvlJc w:val="left"/>
      <w:pPr>
        <w:tabs>
          <w:tab w:val="left" w:pos="1361"/>
        </w:tabs>
        <w:ind w:left="1361" w:hanging="737"/>
      </w:pPr>
      <w:rPr>
        <w:rFonts w:hint="default" w:ascii="Arial" w:hAnsi="Arial" w:cs="Arial"/>
        <w:b w:val="0"/>
        <w:bCs w:val="0"/>
        <w:i w:val="0"/>
        <w:iCs w:val="0"/>
        <w:sz w:val="24"/>
        <w:szCs w:val="24"/>
      </w:rPr>
    </w:lvl>
    <w:lvl w:ilvl="4" w:tentative="0">
      <w:start w:val="1"/>
      <w:numFmt w:val="lowerLetter"/>
      <w:pStyle w:val="129"/>
      <w:lvlText w:val="(%5)"/>
      <w:lvlJc w:val="left"/>
      <w:pPr>
        <w:tabs>
          <w:tab w:val="left" w:pos="1361"/>
        </w:tabs>
        <w:ind w:left="1361" w:hanging="737"/>
      </w:pPr>
      <w:rPr>
        <w:rFonts w:hint="default" w:ascii="Arial" w:hAnsi="Arial" w:cs="Arial"/>
        <w:b w:val="0"/>
        <w:bCs w:val="0"/>
        <w:i w:val="0"/>
        <w:iCs w:val="0"/>
        <w:sz w:val="20"/>
        <w:szCs w:val="20"/>
      </w:rPr>
    </w:lvl>
    <w:lvl w:ilvl="5" w:tentative="0">
      <w:start w:val="1"/>
      <w:numFmt w:val="lowerRoman"/>
      <w:pStyle w:val="135"/>
      <w:lvlText w:val="(%6)"/>
      <w:lvlJc w:val="left"/>
      <w:pPr>
        <w:tabs>
          <w:tab w:val="left" w:pos="2041"/>
        </w:tabs>
        <w:ind w:left="2041" w:hanging="680"/>
      </w:pPr>
      <w:rPr>
        <w:rFonts w:hint="default" w:ascii="Arial" w:hAnsi="Arial" w:cs="Arial"/>
        <w:b w:val="0"/>
        <w:bCs w:val="0"/>
        <w:i w:val="0"/>
        <w:iCs w:val="0"/>
        <w:sz w:val="20"/>
        <w:szCs w:val="20"/>
      </w:rPr>
    </w:lvl>
    <w:lvl w:ilvl="6" w:tentative="0">
      <w:start w:val="1"/>
      <w:numFmt w:val="upperLetter"/>
      <w:pStyle w:val="136"/>
      <w:lvlText w:val="(%7)"/>
      <w:lvlJc w:val="left"/>
      <w:pPr>
        <w:tabs>
          <w:tab w:val="left" w:pos="2041"/>
        </w:tabs>
        <w:ind w:left="2041" w:hanging="680"/>
      </w:pPr>
      <w:rPr>
        <w:rFonts w:hint="default" w:ascii="Arial" w:hAnsi="Arial" w:cs="Arial"/>
        <w:b w:val="0"/>
        <w:bCs w:val="0"/>
        <w:i w:val="0"/>
        <w:iCs w:val="0"/>
        <w:sz w:val="20"/>
        <w:szCs w:val="20"/>
      </w:rPr>
    </w:lvl>
    <w:lvl w:ilvl="7" w:tentative="0">
      <w:start w:val="1"/>
      <w:numFmt w:val="upperLetter"/>
      <w:pStyle w:val="126"/>
      <w:lvlText w:val="(%8)"/>
      <w:lvlJc w:val="left"/>
      <w:pPr>
        <w:tabs>
          <w:tab w:val="left" w:pos="2722"/>
        </w:tabs>
        <w:ind w:left="2722" w:hanging="681"/>
      </w:pPr>
      <w:rPr>
        <w:rFonts w:hint="default" w:ascii="Arial" w:hAnsi="Arial" w:cs="Arial"/>
        <w:b w:val="0"/>
        <w:bCs w:val="0"/>
        <w:i w:val="0"/>
        <w:iCs w:val="0"/>
        <w:sz w:val="20"/>
        <w:szCs w:val="20"/>
      </w:rPr>
    </w:lvl>
    <w:lvl w:ilvl="8" w:tentative="0">
      <w:start w:val="1"/>
      <w:numFmt w:val="none"/>
      <w:lvlText w:val=""/>
      <w:lvlJc w:val="left"/>
      <w:pPr>
        <w:tabs>
          <w:tab w:val="left" w:pos="4320"/>
        </w:tabs>
        <w:ind w:left="4320" w:hanging="1440"/>
      </w:pPr>
      <w:rPr>
        <w:rFonts w:hint="eastAsia"/>
      </w:rPr>
    </w:lvl>
  </w:abstractNum>
  <w:abstractNum w:abstractNumId="6">
    <w:nsid w:val="0C48645C"/>
    <w:multiLevelType w:val="multilevel"/>
    <w:tmpl w:val="0C48645C"/>
    <w:lvl w:ilvl="0" w:tentative="0">
      <w:start w:val="1"/>
      <w:numFmt w:val="decimal"/>
      <w:pStyle w:val="128"/>
      <w:lvlText w:val="(%1)"/>
      <w:lvlJc w:val="left"/>
      <w:pPr>
        <w:tabs>
          <w:tab w:val="left" w:pos="680"/>
        </w:tabs>
        <w:ind w:left="680" w:hanging="680"/>
      </w:pPr>
      <w:rPr>
        <w:rFonts w:hint="default"/>
        <w:b/>
        <w:bCs/>
        <w:i w:val="0"/>
        <w:iCs w:val="0"/>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0F44714D"/>
    <w:multiLevelType w:val="singleLevel"/>
    <w:tmpl w:val="0F44714D"/>
    <w:lvl w:ilvl="0" w:tentative="0">
      <w:start w:val="1"/>
      <w:numFmt w:val="chineseCounting"/>
      <w:suff w:val="nothing"/>
      <w:lvlText w:val="%1、"/>
      <w:lvlJc w:val="left"/>
      <w:rPr>
        <w:rFonts w:hint="eastAsia"/>
      </w:rPr>
    </w:lvl>
  </w:abstractNum>
  <w:abstractNum w:abstractNumId="8">
    <w:nsid w:val="14EF5680"/>
    <w:multiLevelType w:val="singleLevel"/>
    <w:tmpl w:val="14EF5680"/>
    <w:lvl w:ilvl="0" w:tentative="0">
      <w:start w:val="1"/>
      <w:numFmt w:val="decimal"/>
      <w:pStyle w:val="138"/>
      <w:lvlText w:val="%1."/>
      <w:lvlJc w:val="left"/>
      <w:pPr>
        <w:tabs>
          <w:tab w:val="left" w:pos="480"/>
        </w:tabs>
        <w:ind w:left="480" w:hanging="480"/>
      </w:pPr>
      <w:rPr>
        <w:rFonts w:hint="default"/>
        <w:sz w:val="23"/>
        <w:szCs w:val="23"/>
      </w:rPr>
    </w:lvl>
  </w:abstractNum>
  <w:abstractNum w:abstractNumId="9">
    <w:nsid w:val="17C1A060"/>
    <w:multiLevelType w:val="singleLevel"/>
    <w:tmpl w:val="17C1A060"/>
    <w:lvl w:ilvl="0" w:tentative="0">
      <w:start w:val="7"/>
      <w:numFmt w:val="chineseCounting"/>
      <w:suff w:val="nothing"/>
      <w:lvlText w:val="%1、"/>
      <w:lvlJc w:val="left"/>
      <w:rPr>
        <w:rFonts w:hint="eastAsia"/>
      </w:rPr>
    </w:lvl>
  </w:abstractNum>
  <w:abstractNum w:abstractNumId="10">
    <w:nsid w:val="2ECA584C"/>
    <w:multiLevelType w:val="singleLevel"/>
    <w:tmpl w:val="2ECA584C"/>
    <w:lvl w:ilvl="0" w:tentative="0">
      <w:start w:val="1"/>
      <w:numFmt w:val="decimal"/>
      <w:lvlText w:val="%1."/>
      <w:lvlJc w:val="left"/>
      <w:pPr>
        <w:tabs>
          <w:tab w:val="left" w:pos="312"/>
        </w:tabs>
      </w:pPr>
      <w:rPr>
        <w:rFonts w:hint="default"/>
        <w:b/>
        <w:bCs/>
      </w:rPr>
    </w:lvl>
  </w:abstractNum>
  <w:abstractNum w:abstractNumId="11">
    <w:nsid w:val="447EFA92"/>
    <w:multiLevelType w:val="singleLevel"/>
    <w:tmpl w:val="447EFA92"/>
    <w:lvl w:ilvl="0" w:tentative="0">
      <w:start w:val="1"/>
      <w:numFmt w:val="decimal"/>
      <w:suff w:val="space"/>
      <w:lvlText w:val="(%1)"/>
      <w:lvlJc w:val="left"/>
    </w:lvl>
  </w:abstractNum>
  <w:abstractNum w:abstractNumId="12">
    <w:nsid w:val="57EC4BDC"/>
    <w:multiLevelType w:val="multilevel"/>
    <w:tmpl w:val="57EC4BDC"/>
    <w:lvl w:ilvl="0" w:tentative="0">
      <w:start w:val="1"/>
      <w:numFmt w:val="chineseCountingThousand"/>
      <w:pStyle w:val="2"/>
      <w:lvlText w:val="第%1条."/>
      <w:lvlJc w:val="left"/>
      <w:pPr>
        <w:tabs>
          <w:tab w:val="left" w:pos="1080"/>
        </w:tabs>
        <w:ind w:left="1260"/>
      </w:pPr>
    </w:lvl>
    <w:lvl w:ilvl="1" w:tentative="0">
      <w:start w:val="1"/>
      <w:numFmt w:val="decimal"/>
      <w:lvlText w:val="3.%2."/>
      <w:lvlJc w:val="left"/>
      <w:pPr>
        <w:tabs>
          <w:tab w:val="left" w:pos="1140"/>
        </w:tabs>
        <w:ind w:left="1680"/>
      </w:pPr>
      <w:rPr>
        <w:rFonts w:hint="eastAsia"/>
        <w:b/>
        <w:bCs/>
        <w:i w:val="0"/>
        <w:iCs w:val="0"/>
        <w:caps w:val="0"/>
        <w:strike w:val="0"/>
        <w:dstrike w:val="0"/>
        <w:vanish w:val="0"/>
        <w:sz w:val="24"/>
        <w:szCs w:val="24"/>
        <w:vertAlign w:val="baseline"/>
        <w14:shadow w14:blurRad="0" w14:dist="0" w14:dir="0" w14:sx="0" w14:sy="0" w14:kx="0" w14:ky="0" w14:algn="none">
          <w14:srgbClr w14:val="000000"/>
        </w14:shadow>
      </w:rPr>
    </w:lvl>
    <w:lvl w:ilvl="2" w:tentative="0">
      <w:start w:val="1"/>
      <w:numFmt w:val="decimal"/>
      <w:lvlText w:val="4.%3."/>
      <w:lvlJc w:val="left"/>
      <w:pPr>
        <w:tabs>
          <w:tab w:val="left" w:pos="1560"/>
        </w:tabs>
        <w:ind w:left="210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3" w:tentative="0">
      <w:start w:val="1"/>
      <w:numFmt w:val="decimal"/>
      <w:lvlText w:val="6.%4."/>
      <w:lvlJc w:val="left"/>
      <w:pPr>
        <w:tabs>
          <w:tab w:val="left" w:pos="1980"/>
        </w:tabs>
        <w:ind w:left="252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4" w:tentative="0">
      <w:start w:val="1"/>
      <w:numFmt w:val="decimal"/>
      <w:lvlText w:val="12.%5."/>
      <w:lvlJc w:val="left"/>
      <w:pPr>
        <w:tabs>
          <w:tab w:val="left" w:pos="2400"/>
        </w:tabs>
        <w:ind w:left="294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0"/>
      <w:numFmt w:val="decimal"/>
      <w:lvlText w:val="%6．"/>
      <w:lvlJc w:val="left"/>
      <w:pPr>
        <w:tabs>
          <w:tab w:val="left" w:pos="2820"/>
        </w:tabs>
        <w:ind w:left="4080" w:hanging="720"/>
      </w:pPr>
      <w:rPr>
        <w:rFonts w:hint="default"/>
      </w:rPr>
    </w:lvl>
    <w:lvl w:ilvl="6" w:tentative="0">
      <w:start w:val="1"/>
      <w:numFmt w:val="decimal"/>
      <w:lvlText w:val="%7."/>
      <w:lvlJc w:val="left"/>
      <w:pPr>
        <w:tabs>
          <w:tab w:val="left" w:pos="2940"/>
        </w:tabs>
        <w:ind w:left="4200" w:hanging="420"/>
      </w:pPr>
    </w:lvl>
    <w:lvl w:ilvl="7" w:tentative="0">
      <w:start w:val="1"/>
      <w:numFmt w:val="lowerLetter"/>
      <w:lvlText w:val="%8)"/>
      <w:lvlJc w:val="left"/>
      <w:pPr>
        <w:tabs>
          <w:tab w:val="left" w:pos="3360"/>
        </w:tabs>
        <w:ind w:left="4620" w:hanging="420"/>
      </w:pPr>
    </w:lvl>
    <w:lvl w:ilvl="8" w:tentative="0">
      <w:start w:val="1"/>
      <w:numFmt w:val="lowerRoman"/>
      <w:lvlText w:val="%9."/>
      <w:lvlJc w:val="right"/>
      <w:pPr>
        <w:tabs>
          <w:tab w:val="left" w:pos="3780"/>
        </w:tabs>
        <w:ind w:left="5040" w:hanging="420"/>
      </w:pPr>
    </w:lvl>
  </w:abstractNum>
  <w:abstractNum w:abstractNumId="13">
    <w:nsid w:val="6B5030ED"/>
    <w:multiLevelType w:val="singleLevel"/>
    <w:tmpl w:val="6B5030ED"/>
    <w:lvl w:ilvl="0" w:tentative="0">
      <w:start w:val="1"/>
      <w:numFmt w:val="decimal"/>
      <w:pStyle w:val="140"/>
      <w:lvlText w:val="(%1)"/>
      <w:lvlJc w:val="left"/>
      <w:pPr>
        <w:tabs>
          <w:tab w:val="left" w:pos="567"/>
        </w:tabs>
        <w:ind w:left="567" w:hanging="567"/>
      </w:pPr>
      <w:rPr>
        <w:rFonts w:hint="eastAsia"/>
        <w:b/>
        <w:bCs/>
        <w:i w:val="0"/>
        <w:iCs w:val="0"/>
        <w:sz w:val="23"/>
        <w:szCs w:val="23"/>
      </w:rPr>
    </w:lvl>
  </w:abstractNum>
  <w:num w:numId="1">
    <w:abstractNumId w:val="12"/>
  </w:num>
  <w:num w:numId="2">
    <w:abstractNumId w:val="5"/>
  </w:num>
  <w:num w:numId="3">
    <w:abstractNumId w:val="6"/>
  </w:num>
  <w:num w:numId="4">
    <w:abstractNumId w:val="8"/>
  </w:num>
  <w:num w:numId="5">
    <w:abstractNumId w:val="13"/>
  </w:num>
  <w:num w:numId="6">
    <w:abstractNumId w:val="9"/>
  </w:num>
  <w:num w:numId="7">
    <w:abstractNumId w:val="10"/>
  </w:num>
  <w:num w:numId="8">
    <w:abstractNumId w:val="11"/>
  </w:num>
  <w:num w:numId="9">
    <w:abstractNumId w:val="4"/>
  </w:num>
  <w:num w:numId="10">
    <w:abstractNumId w:val="0"/>
  </w:num>
  <w:num w:numId="11">
    <w:abstractNumId w:val="3"/>
  </w:num>
  <w:num w:numId="12">
    <w:abstractNumId w:val="1"/>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hMDIyNmU4ZTg3YTRlNjI0YTAzNjQwYjBlMDVmMzkifQ=="/>
  </w:docVars>
  <w:rsids>
    <w:rsidRoot w:val="002418ED"/>
    <w:rsid w:val="00023AB5"/>
    <w:rsid w:val="00024C49"/>
    <w:rsid w:val="00065D5A"/>
    <w:rsid w:val="0007799F"/>
    <w:rsid w:val="000D0C9B"/>
    <w:rsid w:val="000E54DB"/>
    <w:rsid w:val="001104B7"/>
    <w:rsid w:val="00136896"/>
    <w:rsid w:val="00137881"/>
    <w:rsid w:val="001820E4"/>
    <w:rsid w:val="001A10A0"/>
    <w:rsid w:val="001C30E0"/>
    <w:rsid w:val="001C315D"/>
    <w:rsid w:val="001D4F53"/>
    <w:rsid w:val="001F238E"/>
    <w:rsid w:val="002418ED"/>
    <w:rsid w:val="002472F6"/>
    <w:rsid w:val="002476EC"/>
    <w:rsid w:val="00250BF0"/>
    <w:rsid w:val="00256659"/>
    <w:rsid w:val="00273957"/>
    <w:rsid w:val="002A4CB1"/>
    <w:rsid w:val="002B2944"/>
    <w:rsid w:val="002D5F2A"/>
    <w:rsid w:val="00346547"/>
    <w:rsid w:val="00376C37"/>
    <w:rsid w:val="00395214"/>
    <w:rsid w:val="003B3FC0"/>
    <w:rsid w:val="003B7696"/>
    <w:rsid w:val="003C4C7D"/>
    <w:rsid w:val="003D6A75"/>
    <w:rsid w:val="003E7C9C"/>
    <w:rsid w:val="00407E53"/>
    <w:rsid w:val="00412721"/>
    <w:rsid w:val="004277C9"/>
    <w:rsid w:val="00460FCD"/>
    <w:rsid w:val="004B604B"/>
    <w:rsid w:val="004E49D5"/>
    <w:rsid w:val="005228CA"/>
    <w:rsid w:val="0052705D"/>
    <w:rsid w:val="00543553"/>
    <w:rsid w:val="005518BE"/>
    <w:rsid w:val="00560684"/>
    <w:rsid w:val="005B1167"/>
    <w:rsid w:val="005C115F"/>
    <w:rsid w:val="005F1F68"/>
    <w:rsid w:val="005F5881"/>
    <w:rsid w:val="006058D3"/>
    <w:rsid w:val="00652ABA"/>
    <w:rsid w:val="00652F80"/>
    <w:rsid w:val="006635C9"/>
    <w:rsid w:val="006A436E"/>
    <w:rsid w:val="006B03BA"/>
    <w:rsid w:val="006F1267"/>
    <w:rsid w:val="006F5836"/>
    <w:rsid w:val="0072738E"/>
    <w:rsid w:val="00743C85"/>
    <w:rsid w:val="0075003A"/>
    <w:rsid w:val="00751256"/>
    <w:rsid w:val="00753809"/>
    <w:rsid w:val="007615EE"/>
    <w:rsid w:val="007A140A"/>
    <w:rsid w:val="007D4296"/>
    <w:rsid w:val="007E64F6"/>
    <w:rsid w:val="0080091A"/>
    <w:rsid w:val="00820E2E"/>
    <w:rsid w:val="00834A26"/>
    <w:rsid w:val="008431F4"/>
    <w:rsid w:val="00860D24"/>
    <w:rsid w:val="0086353C"/>
    <w:rsid w:val="008716B9"/>
    <w:rsid w:val="00876637"/>
    <w:rsid w:val="0088518E"/>
    <w:rsid w:val="0089756E"/>
    <w:rsid w:val="008B261F"/>
    <w:rsid w:val="008B349F"/>
    <w:rsid w:val="008D0BA6"/>
    <w:rsid w:val="008E7C49"/>
    <w:rsid w:val="009029B3"/>
    <w:rsid w:val="0091575E"/>
    <w:rsid w:val="009335C6"/>
    <w:rsid w:val="00935851"/>
    <w:rsid w:val="0095169E"/>
    <w:rsid w:val="00966C54"/>
    <w:rsid w:val="009737F6"/>
    <w:rsid w:val="009A149D"/>
    <w:rsid w:val="009B0695"/>
    <w:rsid w:val="009E2495"/>
    <w:rsid w:val="009F6ACD"/>
    <w:rsid w:val="00A70478"/>
    <w:rsid w:val="00A85F5F"/>
    <w:rsid w:val="00A868C8"/>
    <w:rsid w:val="00A97810"/>
    <w:rsid w:val="00AB474E"/>
    <w:rsid w:val="00AB5084"/>
    <w:rsid w:val="00AD42E3"/>
    <w:rsid w:val="00AD484B"/>
    <w:rsid w:val="00AD5794"/>
    <w:rsid w:val="00AF2A5F"/>
    <w:rsid w:val="00B56EC4"/>
    <w:rsid w:val="00B87D3E"/>
    <w:rsid w:val="00BB57D2"/>
    <w:rsid w:val="00BC2F68"/>
    <w:rsid w:val="00BE7250"/>
    <w:rsid w:val="00C27508"/>
    <w:rsid w:val="00C36B54"/>
    <w:rsid w:val="00C373E9"/>
    <w:rsid w:val="00C4570F"/>
    <w:rsid w:val="00C5149B"/>
    <w:rsid w:val="00C53BA4"/>
    <w:rsid w:val="00C637D5"/>
    <w:rsid w:val="00C679A7"/>
    <w:rsid w:val="00C82081"/>
    <w:rsid w:val="00C84926"/>
    <w:rsid w:val="00CB3531"/>
    <w:rsid w:val="00D02750"/>
    <w:rsid w:val="00D201D6"/>
    <w:rsid w:val="00D4142A"/>
    <w:rsid w:val="00D4339C"/>
    <w:rsid w:val="00D56432"/>
    <w:rsid w:val="00D865C8"/>
    <w:rsid w:val="00D977C1"/>
    <w:rsid w:val="00DB7935"/>
    <w:rsid w:val="00DD2337"/>
    <w:rsid w:val="00DE0F24"/>
    <w:rsid w:val="00DF2D8B"/>
    <w:rsid w:val="00DF6FDB"/>
    <w:rsid w:val="00E0024B"/>
    <w:rsid w:val="00E23A8D"/>
    <w:rsid w:val="00E501BB"/>
    <w:rsid w:val="00E56710"/>
    <w:rsid w:val="00E66BAF"/>
    <w:rsid w:val="00EE2B69"/>
    <w:rsid w:val="00EE7999"/>
    <w:rsid w:val="00EF0908"/>
    <w:rsid w:val="00EF3F80"/>
    <w:rsid w:val="00F16F62"/>
    <w:rsid w:val="00F24E46"/>
    <w:rsid w:val="00F30444"/>
    <w:rsid w:val="00F409AE"/>
    <w:rsid w:val="00F52AEE"/>
    <w:rsid w:val="00F85C8C"/>
    <w:rsid w:val="00FB07AC"/>
    <w:rsid w:val="00FD283A"/>
    <w:rsid w:val="00FE0856"/>
    <w:rsid w:val="01175BCB"/>
    <w:rsid w:val="01200F7F"/>
    <w:rsid w:val="012704DB"/>
    <w:rsid w:val="01382BBC"/>
    <w:rsid w:val="014E272B"/>
    <w:rsid w:val="015F2C67"/>
    <w:rsid w:val="01912C7E"/>
    <w:rsid w:val="01B662AB"/>
    <w:rsid w:val="01C64722"/>
    <w:rsid w:val="01D87538"/>
    <w:rsid w:val="02111B48"/>
    <w:rsid w:val="02116542"/>
    <w:rsid w:val="027B5769"/>
    <w:rsid w:val="02942239"/>
    <w:rsid w:val="035C50E4"/>
    <w:rsid w:val="036A1B82"/>
    <w:rsid w:val="036D2F67"/>
    <w:rsid w:val="03A23D72"/>
    <w:rsid w:val="04136495"/>
    <w:rsid w:val="048E3326"/>
    <w:rsid w:val="04AB2F69"/>
    <w:rsid w:val="04C11DAF"/>
    <w:rsid w:val="04EA1B96"/>
    <w:rsid w:val="050722F0"/>
    <w:rsid w:val="053077A7"/>
    <w:rsid w:val="05582DEA"/>
    <w:rsid w:val="06092301"/>
    <w:rsid w:val="06286C23"/>
    <w:rsid w:val="063F6AB5"/>
    <w:rsid w:val="066E56DC"/>
    <w:rsid w:val="06712922"/>
    <w:rsid w:val="067773D8"/>
    <w:rsid w:val="068E3E51"/>
    <w:rsid w:val="06931366"/>
    <w:rsid w:val="06A33F12"/>
    <w:rsid w:val="06A660EC"/>
    <w:rsid w:val="06C75D86"/>
    <w:rsid w:val="06ED33FD"/>
    <w:rsid w:val="06F56226"/>
    <w:rsid w:val="06FF48E3"/>
    <w:rsid w:val="07147872"/>
    <w:rsid w:val="07311744"/>
    <w:rsid w:val="073B11D3"/>
    <w:rsid w:val="073D2D23"/>
    <w:rsid w:val="07547C1F"/>
    <w:rsid w:val="07691A5B"/>
    <w:rsid w:val="07757DDA"/>
    <w:rsid w:val="0778310F"/>
    <w:rsid w:val="078B414B"/>
    <w:rsid w:val="0790322D"/>
    <w:rsid w:val="07F20CD1"/>
    <w:rsid w:val="082E72A2"/>
    <w:rsid w:val="083422A4"/>
    <w:rsid w:val="08513BC1"/>
    <w:rsid w:val="08946407"/>
    <w:rsid w:val="089A2898"/>
    <w:rsid w:val="08A15A7D"/>
    <w:rsid w:val="08AB6853"/>
    <w:rsid w:val="08C66D55"/>
    <w:rsid w:val="08D86398"/>
    <w:rsid w:val="090C2FAE"/>
    <w:rsid w:val="091F15F9"/>
    <w:rsid w:val="0920008D"/>
    <w:rsid w:val="09223B32"/>
    <w:rsid w:val="096A33EB"/>
    <w:rsid w:val="096F6C03"/>
    <w:rsid w:val="097F19A1"/>
    <w:rsid w:val="098707BD"/>
    <w:rsid w:val="098B07D2"/>
    <w:rsid w:val="09A456FA"/>
    <w:rsid w:val="09E0573E"/>
    <w:rsid w:val="0A11609A"/>
    <w:rsid w:val="0A552A4D"/>
    <w:rsid w:val="0ACD22CC"/>
    <w:rsid w:val="0AE7615F"/>
    <w:rsid w:val="0B163D2C"/>
    <w:rsid w:val="0B517A40"/>
    <w:rsid w:val="0B9E5A4D"/>
    <w:rsid w:val="0C2A23F3"/>
    <w:rsid w:val="0C342609"/>
    <w:rsid w:val="0C44289D"/>
    <w:rsid w:val="0C640755"/>
    <w:rsid w:val="0C72180E"/>
    <w:rsid w:val="0CCC31A1"/>
    <w:rsid w:val="0CEA6115"/>
    <w:rsid w:val="0CFD1BFF"/>
    <w:rsid w:val="0D614418"/>
    <w:rsid w:val="0D8D4779"/>
    <w:rsid w:val="0D9A669A"/>
    <w:rsid w:val="0DB05F76"/>
    <w:rsid w:val="0DE63B13"/>
    <w:rsid w:val="0DF50BDD"/>
    <w:rsid w:val="0E2A64E5"/>
    <w:rsid w:val="0E38608B"/>
    <w:rsid w:val="0E6179B4"/>
    <w:rsid w:val="0EAF6A38"/>
    <w:rsid w:val="0EC042B5"/>
    <w:rsid w:val="0F276495"/>
    <w:rsid w:val="0F3D0F1E"/>
    <w:rsid w:val="0F4E5716"/>
    <w:rsid w:val="0F661772"/>
    <w:rsid w:val="0F66581A"/>
    <w:rsid w:val="0F820C13"/>
    <w:rsid w:val="0F995C92"/>
    <w:rsid w:val="0FC213B9"/>
    <w:rsid w:val="10017E03"/>
    <w:rsid w:val="100E0B87"/>
    <w:rsid w:val="1055197E"/>
    <w:rsid w:val="106107D3"/>
    <w:rsid w:val="10923E54"/>
    <w:rsid w:val="10977040"/>
    <w:rsid w:val="10EB09A2"/>
    <w:rsid w:val="111660D6"/>
    <w:rsid w:val="111862C5"/>
    <w:rsid w:val="11273C7A"/>
    <w:rsid w:val="1186305E"/>
    <w:rsid w:val="11C526FC"/>
    <w:rsid w:val="120342EE"/>
    <w:rsid w:val="12321836"/>
    <w:rsid w:val="12396C23"/>
    <w:rsid w:val="123E5E9E"/>
    <w:rsid w:val="124E7809"/>
    <w:rsid w:val="12522A20"/>
    <w:rsid w:val="127B3BFD"/>
    <w:rsid w:val="12AF277F"/>
    <w:rsid w:val="131613DB"/>
    <w:rsid w:val="13301C4B"/>
    <w:rsid w:val="134B6BA7"/>
    <w:rsid w:val="137E0131"/>
    <w:rsid w:val="13E40610"/>
    <w:rsid w:val="13EA0D88"/>
    <w:rsid w:val="14007EBA"/>
    <w:rsid w:val="14727F73"/>
    <w:rsid w:val="149D3865"/>
    <w:rsid w:val="149F13F6"/>
    <w:rsid w:val="14D61ED0"/>
    <w:rsid w:val="153D1748"/>
    <w:rsid w:val="15665530"/>
    <w:rsid w:val="156A5EA6"/>
    <w:rsid w:val="156B5174"/>
    <w:rsid w:val="15715F80"/>
    <w:rsid w:val="15AD2CD0"/>
    <w:rsid w:val="162B0E36"/>
    <w:rsid w:val="16372183"/>
    <w:rsid w:val="165F4D94"/>
    <w:rsid w:val="167232D9"/>
    <w:rsid w:val="16AC3528"/>
    <w:rsid w:val="16C32FBA"/>
    <w:rsid w:val="16C7506F"/>
    <w:rsid w:val="16DB614A"/>
    <w:rsid w:val="173C240D"/>
    <w:rsid w:val="17577EAA"/>
    <w:rsid w:val="177314DB"/>
    <w:rsid w:val="177939B3"/>
    <w:rsid w:val="17BD2942"/>
    <w:rsid w:val="17F10E40"/>
    <w:rsid w:val="17FC48F2"/>
    <w:rsid w:val="180A7481"/>
    <w:rsid w:val="1838591D"/>
    <w:rsid w:val="1874237E"/>
    <w:rsid w:val="18C515BD"/>
    <w:rsid w:val="195474DB"/>
    <w:rsid w:val="198C11E1"/>
    <w:rsid w:val="199018BB"/>
    <w:rsid w:val="19A9778D"/>
    <w:rsid w:val="19C544DB"/>
    <w:rsid w:val="1A0A31F6"/>
    <w:rsid w:val="1A60344F"/>
    <w:rsid w:val="1A6077B4"/>
    <w:rsid w:val="1A72516B"/>
    <w:rsid w:val="1A925EF4"/>
    <w:rsid w:val="1A947E2C"/>
    <w:rsid w:val="1AFA1194"/>
    <w:rsid w:val="1AFF6991"/>
    <w:rsid w:val="1B0B1AAD"/>
    <w:rsid w:val="1B2F02E3"/>
    <w:rsid w:val="1B334CA0"/>
    <w:rsid w:val="1B644941"/>
    <w:rsid w:val="1B8608C6"/>
    <w:rsid w:val="1B883914"/>
    <w:rsid w:val="1B9054B2"/>
    <w:rsid w:val="1BB83E58"/>
    <w:rsid w:val="1BB90B51"/>
    <w:rsid w:val="1BC1303B"/>
    <w:rsid w:val="1BCA00BC"/>
    <w:rsid w:val="1BD109CD"/>
    <w:rsid w:val="1C092D31"/>
    <w:rsid w:val="1C1339FE"/>
    <w:rsid w:val="1C220782"/>
    <w:rsid w:val="1C5D337B"/>
    <w:rsid w:val="1CA170E3"/>
    <w:rsid w:val="1D012F61"/>
    <w:rsid w:val="1D370BBE"/>
    <w:rsid w:val="1D994B9E"/>
    <w:rsid w:val="1DB624A7"/>
    <w:rsid w:val="1DBC657F"/>
    <w:rsid w:val="1DD677BD"/>
    <w:rsid w:val="1DF23CCF"/>
    <w:rsid w:val="1E0A3655"/>
    <w:rsid w:val="1E320A08"/>
    <w:rsid w:val="1E3A0907"/>
    <w:rsid w:val="1E46352B"/>
    <w:rsid w:val="1E6C79D2"/>
    <w:rsid w:val="1E975487"/>
    <w:rsid w:val="1EC820C5"/>
    <w:rsid w:val="1F0D7C36"/>
    <w:rsid w:val="1F142B6A"/>
    <w:rsid w:val="1FB92215"/>
    <w:rsid w:val="1FC00772"/>
    <w:rsid w:val="1FC078D5"/>
    <w:rsid w:val="20061553"/>
    <w:rsid w:val="200A1243"/>
    <w:rsid w:val="20481362"/>
    <w:rsid w:val="206D1FC6"/>
    <w:rsid w:val="207D33CF"/>
    <w:rsid w:val="20C42A93"/>
    <w:rsid w:val="20CF15F8"/>
    <w:rsid w:val="21194C9A"/>
    <w:rsid w:val="21357D6F"/>
    <w:rsid w:val="214A249A"/>
    <w:rsid w:val="21694EC3"/>
    <w:rsid w:val="216C663D"/>
    <w:rsid w:val="217726A5"/>
    <w:rsid w:val="21C21C74"/>
    <w:rsid w:val="21D32A70"/>
    <w:rsid w:val="21D7200F"/>
    <w:rsid w:val="21E62BCC"/>
    <w:rsid w:val="21F92A28"/>
    <w:rsid w:val="22332171"/>
    <w:rsid w:val="22436A29"/>
    <w:rsid w:val="226545FA"/>
    <w:rsid w:val="226E3D8A"/>
    <w:rsid w:val="229C7A75"/>
    <w:rsid w:val="22D015F2"/>
    <w:rsid w:val="22E93444"/>
    <w:rsid w:val="23545B67"/>
    <w:rsid w:val="2387666F"/>
    <w:rsid w:val="238D6ED9"/>
    <w:rsid w:val="23D1545F"/>
    <w:rsid w:val="23DE19FA"/>
    <w:rsid w:val="240726EA"/>
    <w:rsid w:val="241237D2"/>
    <w:rsid w:val="24267B5E"/>
    <w:rsid w:val="24423C1E"/>
    <w:rsid w:val="24500F4B"/>
    <w:rsid w:val="247A3560"/>
    <w:rsid w:val="24FE2F03"/>
    <w:rsid w:val="250273A3"/>
    <w:rsid w:val="25095948"/>
    <w:rsid w:val="250A4587"/>
    <w:rsid w:val="254C35EC"/>
    <w:rsid w:val="25A51464"/>
    <w:rsid w:val="25B047EA"/>
    <w:rsid w:val="25E55ADC"/>
    <w:rsid w:val="266B0F78"/>
    <w:rsid w:val="267D63AF"/>
    <w:rsid w:val="267F4E5D"/>
    <w:rsid w:val="2680332A"/>
    <w:rsid w:val="26A96F57"/>
    <w:rsid w:val="26AF08B4"/>
    <w:rsid w:val="270921CC"/>
    <w:rsid w:val="270F1EFD"/>
    <w:rsid w:val="27483067"/>
    <w:rsid w:val="274A3287"/>
    <w:rsid w:val="276C38CE"/>
    <w:rsid w:val="276D2F7B"/>
    <w:rsid w:val="28116D6C"/>
    <w:rsid w:val="2832268C"/>
    <w:rsid w:val="28357391"/>
    <w:rsid w:val="28612632"/>
    <w:rsid w:val="28833F3B"/>
    <w:rsid w:val="288528F2"/>
    <w:rsid w:val="28932FED"/>
    <w:rsid w:val="28B3117F"/>
    <w:rsid w:val="28DA4003"/>
    <w:rsid w:val="28E0470F"/>
    <w:rsid w:val="28F62B07"/>
    <w:rsid w:val="28FB65E3"/>
    <w:rsid w:val="292D6C55"/>
    <w:rsid w:val="2930367A"/>
    <w:rsid w:val="293161DA"/>
    <w:rsid w:val="295F6257"/>
    <w:rsid w:val="29D7610E"/>
    <w:rsid w:val="29E52707"/>
    <w:rsid w:val="29EB62D0"/>
    <w:rsid w:val="29F23B96"/>
    <w:rsid w:val="29F536D8"/>
    <w:rsid w:val="2A062FE4"/>
    <w:rsid w:val="2A093583"/>
    <w:rsid w:val="2A0E5216"/>
    <w:rsid w:val="2AA2141C"/>
    <w:rsid w:val="2B257C36"/>
    <w:rsid w:val="2B2F29A0"/>
    <w:rsid w:val="2B9355EC"/>
    <w:rsid w:val="2BA8115C"/>
    <w:rsid w:val="2C0B3750"/>
    <w:rsid w:val="2C187CC6"/>
    <w:rsid w:val="2C4E1D94"/>
    <w:rsid w:val="2C7E5774"/>
    <w:rsid w:val="2C8F222E"/>
    <w:rsid w:val="2CD754DE"/>
    <w:rsid w:val="2CED089D"/>
    <w:rsid w:val="2D09034B"/>
    <w:rsid w:val="2D4C61E9"/>
    <w:rsid w:val="2D931E76"/>
    <w:rsid w:val="2DA26DDD"/>
    <w:rsid w:val="2DB74F53"/>
    <w:rsid w:val="2DF93A69"/>
    <w:rsid w:val="2E077529"/>
    <w:rsid w:val="2E0D3E8E"/>
    <w:rsid w:val="2E5D30E7"/>
    <w:rsid w:val="2E9469D9"/>
    <w:rsid w:val="2E9E3053"/>
    <w:rsid w:val="2F0D723B"/>
    <w:rsid w:val="2F0E72A2"/>
    <w:rsid w:val="2F1A43C9"/>
    <w:rsid w:val="2F1C0570"/>
    <w:rsid w:val="2F3E6FC0"/>
    <w:rsid w:val="2F4475BF"/>
    <w:rsid w:val="2F543264"/>
    <w:rsid w:val="2FA200F5"/>
    <w:rsid w:val="2FAB6C88"/>
    <w:rsid w:val="2FCA6D0F"/>
    <w:rsid w:val="2FF762B7"/>
    <w:rsid w:val="3023482F"/>
    <w:rsid w:val="303845C1"/>
    <w:rsid w:val="303E047C"/>
    <w:rsid w:val="306A2A2E"/>
    <w:rsid w:val="306D5A0D"/>
    <w:rsid w:val="30BD5A4F"/>
    <w:rsid w:val="30C47229"/>
    <w:rsid w:val="30E066B8"/>
    <w:rsid w:val="30EE2B85"/>
    <w:rsid w:val="30F37830"/>
    <w:rsid w:val="310846E5"/>
    <w:rsid w:val="312E32CE"/>
    <w:rsid w:val="31451072"/>
    <w:rsid w:val="31623972"/>
    <w:rsid w:val="31885096"/>
    <w:rsid w:val="318B18EE"/>
    <w:rsid w:val="31E37053"/>
    <w:rsid w:val="32011C0F"/>
    <w:rsid w:val="321E3175"/>
    <w:rsid w:val="3271444E"/>
    <w:rsid w:val="328738CD"/>
    <w:rsid w:val="32B34592"/>
    <w:rsid w:val="32CD524A"/>
    <w:rsid w:val="32D7238D"/>
    <w:rsid w:val="32E744DB"/>
    <w:rsid w:val="333A4A31"/>
    <w:rsid w:val="334B2ECA"/>
    <w:rsid w:val="338E34A8"/>
    <w:rsid w:val="33DE475E"/>
    <w:rsid w:val="33EC7B9C"/>
    <w:rsid w:val="33F8693E"/>
    <w:rsid w:val="34135560"/>
    <w:rsid w:val="34512615"/>
    <w:rsid w:val="348A76E8"/>
    <w:rsid w:val="34BB4D2A"/>
    <w:rsid w:val="35194817"/>
    <w:rsid w:val="35202BA4"/>
    <w:rsid w:val="352525E4"/>
    <w:rsid w:val="358E6188"/>
    <w:rsid w:val="35987D28"/>
    <w:rsid w:val="35C847FA"/>
    <w:rsid w:val="35DE0EDE"/>
    <w:rsid w:val="35F53705"/>
    <w:rsid w:val="36063E9A"/>
    <w:rsid w:val="36203281"/>
    <w:rsid w:val="36211EDA"/>
    <w:rsid w:val="36233036"/>
    <w:rsid w:val="362753B4"/>
    <w:rsid w:val="368B3B0A"/>
    <w:rsid w:val="370807A8"/>
    <w:rsid w:val="37443FF0"/>
    <w:rsid w:val="377A5D71"/>
    <w:rsid w:val="37826A6B"/>
    <w:rsid w:val="378E64BD"/>
    <w:rsid w:val="37B655F7"/>
    <w:rsid w:val="37FA2D45"/>
    <w:rsid w:val="380610A9"/>
    <w:rsid w:val="38224922"/>
    <w:rsid w:val="386F62B8"/>
    <w:rsid w:val="3882414D"/>
    <w:rsid w:val="38A4662A"/>
    <w:rsid w:val="38AF2BBC"/>
    <w:rsid w:val="391D7E0B"/>
    <w:rsid w:val="39361971"/>
    <w:rsid w:val="39460A64"/>
    <w:rsid w:val="39660497"/>
    <w:rsid w:val="396A2165"/>
    <w:rsid w:val="39BB5D97"/>
    <w:rsid w:val="39C711D1"/>
    <w:rsid w:val="39F12797"/>
    <w:rsid w:val="3A1738C4"/>
    <w:rsid w:val="3A207290"/>
    <w:rsid w:val="3A742699"/>
    <w:rsid w:val="3ACA7B97"/>
    <w:rsid w:val="3ACC10C7"/>
    <w:rsid w:val="3AEC683B"/>
    <w:rsid w:val="3B085709"/>
    <w:rsid w:val="3B1D47DF"/>
    <w:rsid w:val="3B4516B4"/>
    <w:rsid w:val="3B7E5B2B"/>
    <w:rsid w:val="3B895BC8"/>
    <w:rsid w:val="3BA76847"/>
    <w:rsid w:val="3BAF0F71"/>
    <w:rsid w:val="3BCB7EAF"/>
    <w:rsid w:val="3BE53167"/>
    <w:rsid w:val="3C20271F"/>
    <w:rsid w:val="3C3263F5"/>
    <w:rsid w:val="3C4D3B52"/>
    <w:rsid w:val="3C6D639F"/>
    <w:rsid w:val="3D4071C1"/>
    <w:rsid w:val="3D6B74AF"/>
    <w:rsid w:val="3D716F95"/>
    <w:rsid w:val="3D841FF4"/>
    <w:rsid w:val="3DF75341"/>
    <w:rsid w:val="3E885FA9"/>
    <w:rsid w:val="3E944B39"/>
    <w:rsid w:val="3EBE6EF2"/>
    <w:rsid w:val="3ECD2927"/>
    <w:rsid w:val="3F0C02D1"/>
    <w:rsid w:val="3F131C8D"/>
    <w:rsid w:val="3F164A3D"/>
    <w:rsid w:val="3F194038"/>
    <w:rsid w:val="3F261A88"/>
    <w:rsid w:val="3F5D102F"/>
    <w:rsid w:val="3F6A5356"/>
    <w:rsid w:val="3FBB5466"/>
    <w:rsid w:val="3FC24DBD"/>
    <w:rsid w:val="3FFE5A34"/>
    <w:rsid w:val="40157C88"/>
    <w:rsid w:val="402A2267"/>
    <w:rsid w:val="40437CFC"/>
    <w:rsid w:val="408714A5"/>
    <w:rsid w:val="408A49C4"/>
    <w:rsid w:val="408D1A72"/>
    <w:rsid w:val="40B322D7"/>
    <w:rsid w:val="40BF3481"/>
    <w:rsid w:val="40C43710"/>
    <w:rsid w:val="40E93F24"/>
    <w:rsid w:val="41430FC9"/>
    <w:rsid w:val="416E1291"/>
    <w:rsid w:val="419D2D01"/>
    <w:rsid w:val="41BA1BF0"/>
    <w:rsid w:val="41E77E27"/>
    <w:rsid w:val="42116F51"/>
    <w:rsid w:val="42335445"/>
    <w:rsid w:val="423558AD"/>
    <w:rsid w:val="42AB020C"/>
    <w:rsid w:val="42CD50FE"/>
    <w:rsid w:val="42D04EB0"/>
    <w:rsid w:val="42FA1CF4"/>
    <w:rsid w:val="430E77E0"/>
    <w:rsid w:val="43320581"/>
    <w:rsid w:val="434404B8"/>
    <w:rsid w:val="435A0D78"/>
    <w:rsid w:val="43673AC6"/>
    <w:rsid w:val="43AC70E5"/>
    <w:rsid w:val="43AD7D73"/>
    <w:rsid w:val="43D85CBC"/>
    <w:rsid w:val="43F63E43"/>
    <w:rsid w:val="4406358E"/>
    <w:rsid w:val="4411751E"/>
    <w:rsid w:val="44304265"/>
    <w:rsid w:val="443C3C76"/>
    <w:rsid w:val="449C3E2A"/>
    <w:rsid w:val="44DD08CC"/>
    <w:rsid w:val="44ED72D0"/>
    <w:rsid w:val="44F7735C"/>
    <w:rsid w:val="45434DFE"/>
    <w:rsid w:val="45582CE4"/>
    <w:rsid w:val="458D76F7"/>
    <w:rsid w:val="45EE72E3"/>
    <w:rsid w:val="45FC78B1"/>
    <w:rsid w:val="46187956"/>
    <w:rsid w:val="46502178"/>
    <w:rsid w:val="465075EA"/>
    <w:rsid w:val="466047EF"/>
    <w:rsid w:val="468334EF"/>
    <w:rsid w:val="46EC3CCB"/>
    <w:rsid w:val="46EF6A83"/>
    <w:rsid w:val="46F727B9"/>
    <w:rsid w:val="47103E84"/>
    <w:rsid w:val="47147CE5"/>
    <w:rsid w:val="47162F74"/>
    <w:rsid w:val="471D2D20"/>
    <w:rsid w:val="474C0240"/>
    <w:rsid w:val="47894112"/>
    <w:rsid w:val="47B9016C"/>
    <w:rsid w:val="47BA5346"/>
    <w:rsid w:val="47CC1EE8"/>
    <w:rsid w:val="47D76015"/>
    <w:rsid w:val="47F74E44"/>
    <w:rsid w:val="47FD2A3E"/>
    <w:rsid w:val="47FD4A05"/>
    <w:rsid w:val="481257DB"/>
    <w:rsid w:val="48402A51"/>
    <w:rsid w:val="48551578"/>
    <w:rsid w:val="486F2108"/>
    <w:rsid w:val="487123E0"/>
    <w:rsid w:val="48CB6925"/>
    <w:rsid w:val="48DC67EF"/>
    <w:rsid w:val="48E254E3"/>
    <w:rsid w:val="48FC4944"/>
    <w:rsid w:val="492055D0"/>
    <w:rsid w:val="49405B43"/>
    <w:rsid w:val="495719EC"/>
    <w:rsid w:val="49656870"/>
    <w:rsid w:val="498A34DB"/>
    <w:rsid w:val="49A10856"/>
    <w:rsid w:val="4A210409"/>
    <w:rsid w:val="4A37498A"/>
    <w:rsid w:val="4A736BF8"/>
    <w:rsid w:val="4A8218F9"/>
    <w:rsid w:val="4AB54369"/>
    <w:rsid w:val="4B1352A9"/>
    <w:rsid w:val="4B201F64"/>
    <w:rsid w:val="4B31495A"/>
    <w:rsid w:val="4B3D74C1"/>
    <w:rsid w:val="4B9B1400"/>
    <w:rsid w:val="4BE9028E"/>
    <w:rsid w:val="4BE94B06"/>
    <w:rsid w:val="4BEF4827"/>
    <w:rsid w:val="4C357668"/>
    <w:rsid w:val="4C457B74"/>
    <w:rsid w:val="4C503513"/>
    <w:rsid w:val="4C596654"/>
    <w:rsid w:val="4C9B62BB"/>
    <w:rsid w:val="4D02062E"/>
    <w:rsid w:val="4D1678EF"/>
    <w:rsid w:val="4DB637EB"/>
    <w:rsid w:val="4DCF5796"/>
    <w:rsid w:val="4E46382D"/>
    <w:rsid w:val="4EA7301B"/>
    <w:rsid w:val="4EB257AD"/>
    <w:rsid w:val="4EBC3EF5"/>
    <w:rsid w:val="4EEC68B2"/>
    <w:rsid w:val="4F247D92"/>
    <w:rsid w:val="4F392B9B"/>
    <w:rsid w:val="4F994A0F"/>
    <w:rsid w:val="4FEC1056"/>
    <w:rsid w:val="4FF03193"/>
    <w:rsid w:val="4FF97D5B"/>
    <w:rsid w:val="500F77C7"/>
    <w:rsid w:val="50AC6291"/>
    <w:rsid w:val="50B10D36"/>
    <w:rsid w:val="50F14B6C"/>
    <w:rsid w:val="510F6FF3"/>
    <w:rsid w:val="511B0BB5"/>
    <w:rsid w:val="51417324"/>
    <w:rsid w:val="514E3444"/>
    <w:rsid w:val="515B2D5B"/>
    <w:rsid w:val="521468B3"/>
    <w:rsid w:val="521C3F67"/>
    <w:rsid w:val="52962737"/>
    <w:rsid w:val="529A52D7"/>
    <w:rsid w:val="52C72EFE"/>
    <w:rsid w:val="52D723B2"/>
    <w:rsid w:val="52E6502D"/>
    <w:rsid w:val="53612DE6"/>
    <w:rsid w:val="53971D3B"/>
    <w:rsid w:val="53E23C48"/>
    <w:rsid w:val="54153B2A"/>
    <w:rsid w:val="541D77BD"/>
    <w:rsid w:val="54434E54"/>
    <w:rsid w:val="54444C5E"/>
    <w:rsid w:val="54B71354"/>
    <w:rsid w:val="54BD2153"/>
    <w:rsid w:val="54CC0835"/>
    <w:rsid w:val="54E447C7"/>
    <w:rsid w:val="54EE6E71"/>
    <w:rsid w:val="55025FEA"/>
    <w:rsid w:val="55701C2A"/>
    <w:rsid w:val="55724C5B"/>
    <w:rsid w:val="559D2D4D"/>
    <w:rsid w:val="559D44BF"/>
    <w:rsid w:val="55A51501"/>
    <w:rsid w:val="55AB4717"/>
    <w:rsid w:val="55B913DC"/>
    <w:rsid w:val="55F360C9"/>
    <w:rsid w:val="56256AF2"/>
    <w:rsid w:val="56312035"/>
    <w:rsid w:val="566A4013"/>
    <w:rsid w:val="566C593F"/>
    <w:rsid w:val="567E7EB5"/>
    <w:rsid w:val="56897873"/>
    <w:rsid w:val="56D653C3"/>
    <w:rsid w:val="56E52322"/>
    <w:rsid w:val="57276637"/>
    <w:rsid w:val="57AA2216"/>
    <w:rsid w:val="57D84F42"/>
    <w:rsid w:val="57F47EB1"/>
    <w:rsid w:val="57F56196"/>
    <w:rsid w:val="581E0235"/>
    <w:rsid w:val="5832626C"/>
    <w:rsid w:val="583D784D"/>
    <w:rsid w:val="58430452"/>
    <w:rsid w:val="589B1FA6"/>
    <w:rsid w:val="58A67938"/>
    <w:rsid w:val="58CA48C1"/>
    <w:rsid w:val="58DA1FEF"/>
    <w:rsid w:val="5913345A"/>
    <w:rsid w:val="59204367"/>
    <w:rsid w:val="59254E33"/>
    <w:rsid w:val="593F72E6"/>
    <w:rsid w:val="597D4ECB"/>
    <w:rsid w:val="598B16FF"/>
    <w:rsid w:val="59CE0147"/>
    <w:rsid w:val="5A076430"/>
    <w:rsid w:val="5A373B7A"/>
    <w:rsid w:val="5A406ED7"/>
    <w:rsid w:val="5A407735"/>
    <w:rsid w:val="5A425CB4"/>
    <w:rsid w:val="5A4420E9"/>
    <w:rsid w:val="5A7E375D"/>
    <w:rsid w:val="5A8D6BFD"/>
    <w:rsid w:val="5A8D7133"/>
    <w:rsid w:val="5A9970A6"/>
    <w:rsid w:val="5AEA6513"/>
    <w:rsid w:val="5B1669C9"/>
    <w:rsid w:val="5B754EAE"/>
    <w:rsid w:val="5BA16C1F"/>
    <w:rsid w:val="5BC07095"/>
    <w:rsid w:val="5BC92FE2"/>
    <w:rsid w:val="5BE03C01"/>
    <w:rsid w:val="5BEF6D29"/>
    <w:rsid w:val="5C1325F5"/>
    <w:rsid w:val="5C187F3C"/>
    <w:rsid w:val="5C1B12E8"/>
    <w:rsid w:val="5CE820E5"/>
    <w:rsid w:val="5D6A14D2"/>
    <w:rsid w:val="5D772B57"/>
    <w:rsid w:val="5DAF3045"/>
    <w:rsid w:val="5DB864EC"/>
    <w:rsid w:val="5E033A59"/>
    <w:rsid w:val="5E2B4D2B"/>
    <w:rsid w:val="5E413D91"/>
    <w:rsid w:val="5E7005D8"/>
    <w:rsid w:val="5E994F2F"/>
    <w:rsid w:val="5EB272D1"/>
    <w:rsid w:val="5F4C4D8C"/>
    <w:rsid w:val="5F656BBE"/>
    <w:rsid w:val="5F8A08C7"/>
    <w:rsid w:val="5F9C44BD"/>
    <w:rsid w:val="5FF81911"/>
    <w:rsid w:val="603622AE"/>
    <w:rsid w:val="605A3842"/>
    <w:rsid w:val="609965FC"/>
    <w:rsid w:val="60AE3960"/>
    <w:rsid w:val="60C11ADB"/>
    <w:rsid w:val="60DC0432"/>
    <w:rsid w:val="60F26278"/>
    <w:rsid w:val="60FA77A8"/>
    <w:rsid w:val="611F2AAF"/>
    <w:rsid w:val="616425BD"/>
    <w:rsid w:val="617E5D5F"/>
    <w:rsid w:val="61815B25"/>
    <w:rsid w:val="619607DF"/>
    <w:rsid w:val="61BB4A60"/>
    <w:rsid w:val="61CE3B8D"/>
    <w:rsid w:val="61D4758A"/>
    <w:rsid w:val="61E514C9"/>
    <w:rsid w:val="6205214A"/>
    <w:rsid w:val="622D64F2"/>
    <w:rsid w:val="625B0771"/>
    <w:rsid w:val="62A268BB"/>
    <w:rsid w:val="62B675D2"/>
    <w:rsid w:val="62C70F10"/>
    <w:rsid w:val="62D91D86"/>
    <w:rsid w:val="631D12A7"/>
    <w:rsid w:val="632E4F8D"/>
    <w:rsid w:val="633E564D"/>
    <w:rsid w:val="634C1E06"/>
    <w:rsid w:val="63A46D27"/>
    <w:rsid w:val="63CE7363"/>
    <w:rsid w:val="63F16FB9"/>
    <w:rsid w:val="640706A3"/>
    <w:rsid w:val="64295DC1"/>
    <w:rsid w:val="6442442C"/>
    <w:rsid w:val="6451160C"/>
    <w:rsid w:val="64682377"/>
    <w:rsid w:val="646B5C3B"/>
    <w:rsid w:val="6470257C"/>
    <w:rsid w:val="64A5151D"/>
    <w:rsid w:val="64B04982"/>
    <w:rsid w:val="64C00328"/>
    <w:rsid w:val="64C02546"/>
    <w:rsid w:val="64C8752F"/>
    <w:rsid w:val="64E268AD"/>
    <w:rsid w:val="64E70B16"/>
    <w:rsid w:val="64EA3DF2"/>
    <w:rsid w:val="65194AE2"/>
    <w:rsid w:val="6577337E"/>
    <w:rsid w:val="65914422"/>
    <w:rsid w:val="659E7E60"/>
    <w:rsid w:val="65E15826"/>
    <w:rsid w:val="65FF6A10"/>
    <w:rsid w:val="66020763"/>
    <w:rsid w:val="666C7DEF"/>
    <w:rsid w:val="667F69B7"/>
    <w:rsid w:val="66A22473"/>
    <w:rsid w:val="66A42511"/>
    <w:rsid w:val="66D93A20"/>
    <w:rsid w:val="670A3D2E"/>
    <w:rsid w:val="67152740"/>
    <w:rsid w:val="67550DBE"/>
    <w:rsid w:val="676236F6"/>
    <w:rsid w:val="67900263"/>
    <w:rsid w:val="6824083C"/>
    <w:rsid w:val="68241258"/>
    <w:rsid w:val="68654188"/>
    <w:rsid w:val="686D231A"/>
    <w:rsid w:val="688F42E7"/>
    <w:rsid w:val="68BA4779"/>
    <w:rsid w:val="690430FB"/>
    <w:rsid w:val="69277E48"/>
    <w:rsid w:val="69490C6B"/>
    <w:rsid w:val="695B05B8"/>
    <w:rsid w:val="695E1B81"/>
    <w:rsid w:val="697241B5"/>
    <w:rsid w:val="69AB140F"/>
    <w:rsid w:val="69B411FD"/>
    <w:rsid w:val="69B961FD"/>
    <w:rsid w:val="6A764D12"/>
    <w:rsid w:val="6A905372"/>
    <w:rsid w:val="6A9A1FF3"/>
    <w:rsid w:val="6A9E29F4"/>
    <w:rsid w:val="6AAA66BD"/>
    <w:rsid w:val="6ACE1FD7"/>
    <w:rsid w:val="6AEA47AB"/>
    <w:rsid w:val="6B227368"/>
    <w:rsid w:val="6B454EC0"/>
    <w:rsid w:val="6B561170"/>
    <w:rsid w:val="6B80566A"/>
    <w:rsid w:val="6B883508"/>
    <w:rsid w:val="6BFA2EE6"/>
    <w:rsid w:val="6C2D5C19"/>
    <w:rsid w:val="6C5B408D"/>
    <w:rsid w:val="6C915E88"/>
    <w:rsid w:val="6C930236"/>
    <w:rsid w:val="6CC36E85"/>
    <w:rsid w:val="6CC77E3B"/>
    <w:rsid w:val="6CF34041"/>
    <w:rsid w:val="6D243A13"/>
    <w:rsid w:val="6D293AB8"/>
    <w:rsid w:val="6D29652B"/>
    <w:rsid w:val="6D323E92"/>
    <w:rsid w:val="6D604217"/>
    <w:rsid w:val="6D732E5A"/>
    <w:rsid w:val="6D8C36B9"/>
    <w:rsid w:val="6D921676"/>
    <w:rsid w:val="6D95176A"/>
    <w:rsid w:val="6D9B441B"/>
    <w:rsid w:val="6DBE538E"/>
    <w:rsid w:val="6DCF1E00"/>
    <w:rsid w:val="6E553249"/>
    <w:rsid w:val="6E7D2BC3"/>
    <w:rsid w:val="6E81700F"/>
    <w:rsid w:val="6EAC575D"/>
    <w:rsid w:val="6ECD076F"/>
    <w:rsid w:val="6EE97134"/>
    <w:rsid w:val="6F0324B8"/>
    <w:rsid w:val="6F2D032F"/>
    <w:rsid w:val="6F3B2C38"/>
    <w:rsid w:val="6F690A79"/>
    <w:rsid w:val="6FDC2C0C"/>
    <w:rsid w:val="6FED062B"/>
    <w:rsid w:val="6FF04672"/>
    <w:rsid w:val="6FFF58CF"/>
    <w:rsid w:val="70027824"/>
    <w:rsid w:val="701B3AAA"/>
    <w:rsid w:val="705D7638"/>
    <w:rsid w:val="706F2B70"/>
    <w:rsid w:val="70721AAB"/>
    <w:rsid w:val="707A7ECE"/>
    <w:rsid w:val="70837300"/>
    <w:rsid w:val="708A63FB"/>
    <w:rsid w:val="70B83C40"/>
    <w:rsid w:val="714802B0"/>
    <w:rsid w:val="71583C9A"/>
    <w:rsid w:val="71876B0B"/>
    <w:rsid w:val="71A4258C"/>
    <w:rsid w:val="71BF2BF1"/>
    <w:rsid w:val="71C00BCE"/>
    <w:rsid w:val="71C5500F"/>
    <w:rsid w:val="71F33A73"/>
    <w:rsid w:val="720D0273"/>
    <w:rsid w:val="722166C3"/>
    <w:rsid w:val="723A2BE4"/>
    <w:rsid w:val="723D5363"/>
    <w:rsid w:val="723E400B"/>
    <w:rsid w:val="72580F09"/>
    <w:rsid w:val="7276287E"/>
    <w:rsid w:val="72A14B92"/>
    <w:rsid w:val="72AE160F"/>
    <w:rsid w:val="72B5273C"/>
    <w:rsid w:val="72B56DCF"/>
    <w:rsid w:val="72D75E82"/>
    <w:rsid w:val="735E58C0"/>
    <w:rsid w:val="73610D33"/>
    <w:rsid w:val="73695E9E"/>
    <w:rsid w:val="73AF6C60"/>
    <w:rsid w:val="73F71F01"/>
    <w:rsid w:val="741A2936"/>
    <w:rsid w:val="74221C9A"/>
    <w:rsid w:val="74314DD6"/>
    <w:rsid w:val="744045FF"/>
    <w:rsid w:val="74604020"/>
    <w:rsid w:val="74846C36"/>
    <w:rsid w:val="74A673D4"/>
    <w:rsid w:val="7542223F"/>
    <w:rsid w:val="758B3078"/>
    <w:rsid w:val="75AF6F84"/>
    <w:rsid w:val="75EB4BA5"/>
    <w:rsid w:val="760463E6"/>
    <w:rsid w:val="762E4504"/>
    <w:rsid w:val="76316D8C"/>
    <w:rsid w:val="76346CF4"/>
    <w:rsid w:val="764E542E"/>
    <w:rsid w:val="76627321"/>
    <w:rsid w:val="76A12B58"/>
    <w:rsid w:val="76A376B3"/>
    <w:rsid w:val="76C17980"/>
    <w:rsid w:val="76C700A5"/>
    <w:rsid w:val="76CB0669"/>
    <w:rsid w:val="76F41609"/>
    <w:rsid w:val="772179A2"/>
    <w:rsid w:val="776C5A44"/>
    <w:rsid w:val="779B402E"/>
    <w:rsid w:val="77A16947"/>
    <w:rsid w:val="77D724A8"/>
    <w:rsid w:val="77E61423"/>
    <w:rsid w:val="780B1F70"/>
    <w:rsid w:val="783D490B"/>
    <w:rsid w:val="78644BC3"/>
    <w:rsid w:val="7885526B"/>
    <w:rsid w:val="78C50B82"/>
    <w:rsid w:val="790A5BC1"/>
    <w:rsid w:val="792D15E4"/>
    <w:rsid w:val="79491CC5"/>
    <w:rsid w:val="79645594"/>
    <w:rsid w:val="7972250A"/>
    <w:rsid w:val="797B18FD"/>
    <w:rsid w:val="79A63514"/>
    <w:rsid w:val="79CF60CB"/>
    <w:rsid w:val="79D0612F"/>
    <w:rsid w:val="79F701DE"/>
    <w:rsid w:val="7A1140B3"/>
    <w:rsid w:val="7A1C7560"/>
    <w:rsid w:val="7A3A17F7"/>
    <w:rsid w:val="7A6C46FD"/>
    <w:rsid w:val="7A784FAA"/>
    <w:rsid w:val="7A7D5F38"/>
    <w:rsid w:val="7AB777C7"/>
    <w:rsid w:val="7ABC0EF6"/>
    <w:rsid w:val="7AE75F94"/>
    <w:rsid w:val="7B032E6F"/>
    <w:rsid w:val="7B287973"/>
    <w:rsid w:val="7B296605"/>
    <w:rsid w:val="7B3A2533"/>
    <w:rsid w:val="7B745BE2"/>
    <w:rsid w:val="7B7C688E"/>
    <w:rsid w:val="7B8066DB"/>
    <w:rsid w:val="7BC50A86"/>
    <w:rsid w:val="7BC614A9"/>
    <w:rsid w:val="7C325C3F"/>
    <w:rsid w:val="7C5F0142"/>
    <w:rsid w:val="7C981F95"/>
    <w:rsid w:val="7CBD2A6C"/>
    <w:rsid w:val="7CC7057A"/>
    <w:rsid w:val="7D094D05"/>
    <w:rsid w:val="7D291FA0"/>
    <w:rsid w:val="7D334242"/>
    <w:rsid w:val="7D40058A"/>
    <w:rsid w:val="7DBF6D54"/>
    <w:rsid w:val="7DC60192"/>
    <w:rsid w:val="7DEB340E"/>
    <w:rsid w:val="7E700686"/>
    <w:rsid w:val="7E9F72B9"/>
    <w:rsid w:val="7EAE7190"/>
    <w:rsid w:val="7EB03566"/>
    <w:rsid w:val="7EE21C55"/>
    <w:rsid w:val="7EE3162A"/>
    <w:rsid w:val="7F1A56DC"/>
    <w:rsid w:val="7F273959"/>
    <w:rsid w:val="7F4D71F3"/>
    <w:rsid w:val="7F625014"/>
    <w:rsid w:val="7F85704F"/>
    <w:rsid w:val="7F8855EB"/>
    <w:rsid w:val="7FAA399B"/>
    <w:rsid w:val="7FE03D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qFormat="1" w:unhideWhenUsed="0" w:uiPriority="99" w:name="index 4"/>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0" w:semiHidden="0" w:name="Body Text First Indent" w:locked="1"/>
    <w:lsdException w:qFormat="1" w:unhideWhenUsed="0" w:uiPriority="0" w:semiHidden="0" w:name="Body Text First Indent 2" w:locked="1"/>
    <w:lsdException w:qFormat="1" w:unhideWhenUsed="0" w:uiPriority="99" w:name="Note Heading"/>
    <w:lsdException w:uiPriority="99" w:name="Body Text 2" w:locked="1"/>
    <w:lsdException w:uiPriority="99" w:name="Body Text 3" w:locked="1"/>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name="Document Map"/>
    <w:lsdException w:qFormat="1"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uiPriority="99" w:name="HTML Preformatted" w:locked="1"/>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60"/>
    <w:qFormat/>
    <w:uiPriority w:val="99"/>
    <w:pPr>
      <w:numPr>
        <w:ilvl w:val="0"/>
        <w:numId w:val="1"/>
      </w:numPr>
      <w:overflowPunct w:val="0"/>
      <w:autoSpaceDE w:val="0"/>
      <w:autoSpaceDN w:val="0"/>
      <w:adjustRightInd w:val="0"/>
      <w:snapToGrid w:val="0"/>
      <w:spacing w:before="120" w:line="360" w:lineRule="auto"/>
      <w:textAlignment w:val="baseline"/>
      <w:outlineLvl w:val="0"/>
    </w:pPr>
    <w:rPr>
      <w:rFonts w:eastAsia="理德小标宋简"/>
      <w:b/>
      <w:bCs/>
      <w:kern w:val="44"/>
      <w:sz w:val="28"/>
      <w:szCs w:val="28"/>
    </w:rPr>
  </w:style>
  <w:style w:type="paragraph" w:styleId="3">
    <w:name w:val="heading 2"/>
    <w:basedOn w:val="1"/>
    <w:next w:val="1"/>
    <w:link w:val="61"/>
    <w:qFormat/>
    <w:uiPriority w:val="99"/>
    <w:pPr>
      <w:keepNext/>
      <w:keepLines/>
      <w:spacing w:before="260" w:after="260" w:line="416" w:lineRule="auto"/>
      <w:outlineLvl w:val="1"/>
    </w:pPr>
    <w:rPr>
      <w:rFonts w:ascii="Cambria" w:hAnsi="Cambria" w:cs="Cambria"/>
      <w:b/>
      <w:bCs/>
      <w:sz w:val="32"/>
      <w:szCs w:val="32"/>
    </w:rPr>
  </w:style>
  <w:style w:type="paragraph" w:styleId="4">
    <w:name w:val="heading 3"/>
    <w:basedOn w:val="1"/>
    <w:next w:val="1"/>
    <w:link w:val="62"/>
    <w:qFormat/>
    <w:uiPriority w:val="99"/>
    <w:pPr>
      <w:keepNext/>
      <w:keepLines/>
      <w:spacing w:before="260" w:after="260" w:line="416" w:lineRule="auto"/>
      <w:outlineLvl w:val="2"/>
    </w:pPr>
    <w:rPr>
      <w:b/>
      <w:bCs/>
      <w:sz w:val="32"/>
      <w:szCs w:val="32"/>
    </w:rPr>
  </w:style>
  <w:style w:type="paragraph" w:styleId="5">
    <w:name w:val="heading 4"/>
    <w:basedOn w:val="1"/>
    <w:next w:val="1"/>
    <w:link w:val="63"/>
    <w:qFormat/>
    <w:uiPriority w:val="99"/>
    <w:pPr>
      <w:keepNext/>
      <w:keepLines/>
      <w:spacing w:line="360" w:lineRule="auto"/>
      <w:jc w:val="center"/>
      <w:outlineLvl w:val="3"/>
    </w:pPr>
    <w:rPr>
      <w:rFonts w:ascii="Cambria" w:hAnsi="Cambria" w:cs="Cambria"/>
      <w:b/>
      <w:bCs/>
      <w:sz w:val="28"/>
      <w:szCs w:val="28"/>
    </w:rPr>
  </w:style>
  <w:style w:type="paragraph" w:styleId="6">
    <w:name w:val="heading 5"/>
    <w:basedOn w:val="1"/>
    <w:next w:val="7"/>
    <w:link w:val="64"/>
    <w:qFormat/>
    <w:uiPriority w:val="99"/>
    <w:pPr>
      <w:keepNext/>
      <w:keepLines/>
      <w:spacing w:before="280" w:after="290" w:line="376" w:lineRule="auto"/>
      <w:outlineLvl w:val="4"/>
    </w:pPr>
    <w:rPr>
      <w:b/>
      <w:bCs/>
      <w:sz w:val="28"/>
      <w:szCs w:val="28"/>
    </w:rPr>
  </w:style>
  <w:style w:type="paragraph" w:styleId="8">
    <w:name w:val="heading 6"/>
    <w:basedOn w:val="1"/>
    <w:next w:val="1"/>
    <w:link w:val="65"/>
    <w:qFormat/>
    <w:uiPriority w:val="99"/>
    <w:pPr>
      <w:keepNext/>
      <w:keepLines/>
      <w:spacing w:before="240" w:after="64" w:line="316" w:lineRule="auto"/>
      <w:outlineLvl w:val="5"/>
    </w:pPr>
    <w:rPr>
      <w:rFonts w:ascii="Cambria" w:hAnsi="Cambria" w:cs="Cambria"/>
      <w:b/>
      <w:bCs/>
      <w:sz w:val="24"/>
      <w:szCs w:val="24"/>
    </w:rPr>
  </w:style>
  <w:style w:type="paragraph" w:styleId="9">
    <w:name w:val="heading 7"/>
    <w:basedOn w:val="1"/>
    <w:next w:val="1"/>
    <w:link w:val="66"/>
    <w:qFormat/>
    <w:uiPriority w:val="99"/>
    <w:pPr>
      <w:keepNext/>
      <w:keepLines/>
      <w:spacing w:before="240" w:after="64" w:line="316" w:lineRule="auto"/>
      <w:outlineLvl w:val="6"/>
    </w:pPr>
    <w:rPr>
      <w:rFonts w:ascii="Calibri" w:hAnsi="Calibri" w:cs="Calibri"/>
      <w:b/>
      <w:bCs/>
      <w:sz w:val="24"/>
      <w:szCs w:val="24"/>
    </w:rPr>
  </w:style>
  <w:style w:type="paragraph" w:styleId="10">
    <w:name w:val="heading 8"/>
    <w:basedOn w:val="1"/>
    <w:next w:val="1"/>
    <w:link w:val="67"/>
    <w:qFormat/>
    <w:uiPriority w:val="99"/>
    <w:pPr>
      <w:keepNext/>
      <w:keepLines/>
      <w:spacing w:before="240" w:after="64" w:line="316" w:lineRule="auto"/>
      <w:outlineLvl w:val="7"/>
    </w:pPr>
    <w:rPr>
      <w:rFonts w:ascii="Cambria" w:hAnsi="Cambria" w:cs="Cambria"/>
      <w:sz w:val="24"/>
      <w:szCs w:val="24"/>
    </w:rPr>
  </w:style>
  <w:style w:type="paragraph" w:styleId="11">
    <w:name w:val="heading 9"/>
    <w:basedOn w:val="1"/>
    <w:next w:val="1"/>
    <w:link w:val="68"/>
    <w:qFormat/>
    <w:uiPriority w:val="99"/>
    <w:pPr>
      <w:keepNext/>
      <w:keepLines/>
      <w:spacing w:before="240" w:after="64" w:line="316" w:lineRule="auto"/>
      <w:outlineLvl w:val="8"/>
    </w:pPr>
    <w:rPr>
      <w:rFonts w:ascii="Cambria" w:hAnsi="Cambria" w:cs="Cambria"/>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99"/>
    <w:pPr>
      <w:widowControl/>
      <w:ind w:firstLine="420"/>
      <w:jc w:val="left"/>
    </w:pPr>
    <w:rPr>
      <w:sz w:val="20"/>
      <w:szCs w:val="20"/>
    </w:rPr>
  </w:style>
  <w:style w:type="paragraph" w:styleId="12">
    <w:name w:val="toc 7"/>
    <w:basedOn w:val="1"/>
    <w:next w:val="1"/>
    <w:semiHidden/>
    <w:qFormat/>
    <w:uiPriority w:val="99"/>
    <w:pPr>
      <w:adjustRightInd w:val="0"/>
      <w:spacing w:line="312" w:lineRule="atLeast"/>
      <w:ind w:left="1260"/>
      <w:jc w:val="left"/>
      <w:textAlignment w:val="baseline"/>
    </w:pPr>
    <w:rPr>
      <w:kern w:val="0"/>
      <w:sz w:val="18"/>
      <w:szCs w:val="18"/>
    </w:rPr>
  </w:style>
  <w:style w:type="paragraph" w:styleId="13">
    <w:name w:val="Note Heading"/>
    <w:basedOn w:val="1"/>
    <w:next w:val="1"/>
    <w:link w:val="69"/>
    <w:semiHidden/>
    <w:qFormat/>
    <w:uiPriority w:val="99"/>
    <w:pPr>
      <w:spacing w:beforeLines="20" w:afterLines="50"/>
      <w:jc w:val="center"/>
    </w:pPr>
    <w:rPr>
      <w:rFonts w:ascii="Calibri" w:hAnsi="Calibri" w:cs="Calibri"/>
      <w:kern w:val="0"/>
      <w:sz w:val="24"/>
      <w:szCs w:val="24"/>
    </w:rPr>
  </w:style>
  <w:style w:type="paragraph" w:styleId="14">
    <w:name w:val="caption"/>
    <w:basedOn w:val="1"/>
    <w:next w:val="1"/>
    <w:qFormat/>
    <w:uiPriority w:val="99"/>
    <w:pPr>
      <w:spacing w:before="152" w:after="160"/>
    </w:pPr>
    <w:rPr>
      <w:rFonts w:ascii="Arial" w:hAnsi="Arial" w:eastAsia="黑体" w:cs="Arial"/>
      <w:sz w:val="20"/>
      <w:szCs w:val="20"/>
    </w:rPr>
  </w:style>
  <w:style w:type="paragraph" w:styleId="15">
    <w:name w:val="Document Map"/>
    <w:basedOn w:val="1"/>
    <w:link w:val="70"/>
    <w:semiHidden/>
    <w:qFormat/>
    <w:uiPriority w:val="99"/>
    <w:pPr>
      <w:adjustRightInd w:val="0"/>
      <w:spacing w:line="312" w:lineRule="atLeast"/>
      <w:textAlignment w:val="baseline"/>
    </w:pPr>
    <w:rPr>
      <w:rFonts w:ascii="宋体" w:hAnsi="Calibri" w:cs="宋体"/>
      <w:kern w:val="0"/>
      <w:sz w:val="18"/>
      <w:szCs w:val="18"/>
    </w:rPr>
  </w:style>
  <w:style w:type="paragraph" w:styleId="16">
    <w:name w:val="annotation text"/>
    <w:basedOn w:val="1"/>
    <w:link w:val="71"/>
    <w:semiHidden/>
    <w:qFormat/>
    <w:uiPriority w:val="99"/>
    <w:pPr>
      <w:adjustRightInd w:val="0"/>
      <w:spacing w:line="312" w:lineRule="atLeast"/>
      <w:jc w:val="left"/>
      <w:textAlignment w:val="baseline"/>
    </w:pPr>
    <w:rPr>
      <w:rFonts w:ascii="Calibri" w:hAnsi="Calibri" w:cs="Calibri"/>
    </w:rPr>
  </w:style>
  <w:style w:type="paragraph" w:styleId="17">
    <w:name w:val="Salutation"/>
    <w:basedOn w:val="1"/>
    <w:next w:val="1"/>
    <w:link w:val="72"/>
    <w:semiHidden/>
    <w:qFormat/>
    <w:uiPriority w:val="99"/>
    <w:rPr>
      <w:rFonts w:ascii="Calibri" w:hAnsi="Calibri" w:cs="Calibri"/>
      <w:kern w:val="0"/>
      <w:sz w:val="24"/>
      <w:szCs w:val="24"/>
    </w:rPr>
  </w:style>
  <w:style w:type="paragraph" w:styleId="18">
    <w:name w:val="Body Text"/>
    <w:basedOn w:val="1"/>
    <w:next w:val="19"/>
    <w:link w:val="73"/>
    <w:qFormat/>
    <w:uiPriority w:val="99"/>
    <w:pPr>
      <w:adjustRightInd w:val="0"/>
      <w:spacing w:line="312" w:lineRule="atLeast"/>
      <w:jc w:val="center"/>
      <w:textAlignment w:val="baseline"/>
    </w:pPr>
    <w:rPr>
      <w:rFonts w:ascii="楷体_GB2312" w:hAnsi="Calibri" w:eastAsia="楷体_GB2312" w:cs="楷体_GB2312"/>
      <w:b/>
      <w:bCs/>
      <w:kern w:val="0"/>
      <w:sz w:val="48"/>
      <w:szCs w:val="48"/>
    </w:rPr>
  </w:style>
  <w:style w:type="paragraph" w:styleId="19">
    <w:name w:val="Body Text First Indent 2"/>
    <w:basedOn w:val="1"/>
    <w:qFormat/>
    <w:locked/>
    <w:uiPriority w:val="0"/>
    <w:pPr>
      <w:autoSpaceDE w:val="0"/>
      <w:autoSpaceDN w:val="0"/>
      <w:spacing w:line="360" w:lineRule="auto"/>
      <w:ind w:left="420" w:leftChars="200" w:firstLine="420" w:firstLineChars="200"/>
    </w:pPr>
  </w:style>
  <w:style w:type="paragraph" w:styleId="20">
    <w:name w:val="Body Text Indent"/>
    <w:basedOn w:val="1"/>
    <w:link w:val="74"/>
    <w:qFormat/>
    <w:uiPriority w:val="99"/>
    <w:pPr>
      <w:ind w:left="420" w:leftChars="200"/>
      <w:jc w:val="left"/>
    </w:pPr>
    <w:rPr>
      <w:rFonts w:ascii="Calibri" w:hAnsi="Calibri" w:cs="Calibri"/>
      <w:kern w:val="0"/>
      <w:sz w:val="24"/>
      <w:szCs w:val="24"/>
    </w:rPr>
  </w:style>
  <w:style w:type="paragraph" w:styleId="21">
    <w:name w:val="index 4"/>
    <w:basedOn w:val="1"/>
    <w:next w:val="1"/>
    <w:semiHidden/>
    <w:qFormat/>
    <w:uiPriority w:val="99"/>
    <w:pPr>
      <w:ind w:left="600" w:leftChars="600"/>
    </w:pPr>
  </w:style>
  <w:style w:type="paragraph" w:styleId="22">
    <w:name w:val="toc 5"/>
    <w:basedOn w:val="1"/>
    <w:next w:val="1"/>
    <w:semiHidden/>
    <w:qFormat/>
    <w:uiPriority w:val="99"/>
    <w:pPr>
      <w:adjustRightInd w:val="0"/>
      <w:spacing w:line="312" w:lineRule="atLeast"/>
      <w:ind w:left="840"/>
      <w:jc w:val="left"/>
      <w:textAlignment w:val="baseline"/>
    </w:pPr>
    <w:rPr>
      <w:kern w:val="0"/>
      <w:sz w:val="18"/>
      <w:szCs w:val="18"/>
    </w:rPr>
  </w:style>
  <w:style w:type="paragraph" w:styleId="23">
    <w:name w:val="toc 3"/>
    <w:basedOn w:val="1"/>
    <w:next w:val="1"/>
    <w:semiHidden/>
    <w:qFormat/>
    <w:uiPriority w:val="99"/>
    <w:pPr>
      <w:adjustRightInd w:val="0"/>
      <w:spacing w:line="312" w:lineRule="atLeast"/>
      <w:ind w:left="420"/>
      <w:jc w:val="left"/>
      <w:textAlignment w:val="baseline"/>
    </w:pPr>
    <w:rPr>
      <w:i/>
      <w:iCs/>
      <w:kern w:val="0"/>
      <w:sz w:val="20"/>
      <w:szCs w:val="20"/>
    </w:rPr>
  </w:style>
  <w:style w:type="paragraph" w:styleId="24">
    <w:name w:val="Plain Text"/>
    <w:basedOn w:val="1"/>
    <w:next w:val="2"/>
    <w:link w:val="75"/>
    <w:qFormat/>
    <w:uiPriority w:val="99"/>
    <w:rPr>
      <w:rFonts w:ascii="宋体" w:hAnsi="Courier New" w:cs="宋体"/>
      <w:kern w:val="0"/>
      <w:sz w:val="20"/>
      <w:szCs w:val="20"/>
    </w:rPr>
  </w:style>
  <w:style w:type="paragraph" w:styleId="25">
    <w:name w:val="toc 8"/>
    <w:basedOn w:val="1"/>
    <w:next w:val="1"/>
    <w:semiHidden/>
    <w:qFormat/>
    <w:uiPriority w:val="99"/>
    <w:pPr>
      <w:adjustRightInd w:val="0"/>
      <w:spacing w:line="312" w:lineRule="atLeast"/>
      <w:ind w:left="1470"/>
      <w:jc w:val="left"/>
      <w:textAlignment w:val="baseline"/>
    </w:pPr>
    <w:rPr>
      <w:kern w:val="0"/>
      <w:sz w:val="18"/>
      <w:szCs w:val="18"/>
    </w:rPr>
  </w:style>
  <w:style w:type="paragraph" w:styleId="26">
    <w:name w:val="Date"/>
    <w:basedOn w:val="1"/>
    <w:next w:val="1"/>
    <w:link w:val="102"/>
    <w:qFormat/>
    <w:uiPriority w:val="99"/>
    <w:pPr>
      <w:ind w:left="100" w:leftChars="2500"/>
    </w:pPr>
    <w:rPr>
      <w:rFonts w:ascii="Calibri" w:hAnsi="Calibri" w:cs="Calibri"/>
    </w:rPr>
  </w:style>
  <w:style w:type="paragraph" w:styleId="27">
    <w:name w:val="Body Text Indent 2"/>
    <w:basedOn w:val="1"/>
    <w:link w:val="96"/>
    <w:qFormat/>
    <w:uiPriority w:val="99"/>
    <w:pPr>
      <w:spacing w:after="120" w:line="480" w:lineRule="auto"/>
      <w:ind w:left="420" w:leftChars="200"/>
    </w:pPr>
    <w:rPr>
      <w:rFonts w:ascii="Calibri" w:hAnsi="Calibri" w:cs="Calibri"/>
    </w:rPr>
  </w:style>
  <w:style w:type="paragraph" w:styleId="28">
    <w:name w:val="Balloon Text"/>
    <w:basedOn w:val="1"/>
    <w:link w:val="78"/>
    <w:semiHidden/>
    <w:qFormat/>
    <w:uiPriority w:val="99"/>
    <w:rPr>
      <w:rFonts w:ascii="Calibri" w:hAnsi="Calibri" w:cs="Calibri"/>
      <w:kern w:val="0"/>
      <w:sz w:val="18"/>
      <w:szCs w:val="18"/>
    </w:rPr>
  </w:style>
  <w:style w:type="paragraph" w:styleId="29">
    <w:name w:val="footer"/>
    <w:basedOn w:val="1"/>
    <w:link w:val="79"/>
    <w:qFormat/>
    <w:uiPriority w:val="99"/>
    <w:pPr>
      <w:tabs>
        <w:tab w:val="center" w:pos="4153"/>
        <w:tab w:val="right" w:pos="8306"/>
      </w:tabs>
      <w:snapToGrid w:val="0"/>
      <w:jc w:val="left"/>
    </w:pPr>
    <w:rPr>
      <w:rFonts w:ascii="Calibri" w:hAnsi="Calibri" w:cs="Calibri"/>
      <w:kern w:val="0"/>
      <w:sz w:val="18"/>
      <w:szCs w:val="18"/>
    </w:rPr>
  </w:style>
  <w:style w:type="paragraph" w:styleId="30">
    <w:name w:val="header"/>
    <w:basedOn w:val="1"/>
    <w:link w:val="80"/>
    <w:qFormat/>
    <w:uiPriority w:val="99"/>
    <w:pPr>
      <w:pBdr>
        <w:bottom w:val="single" w:color="auto" w:sz="6" w:space="1"/>
      </w:pBdr>
      <w:tabs>
        <w:tab w:val="center" w:pos="4153"/>
        <w:tab w:val="right" w:pos="8306"/>
      </w:tabs>
      <w:snapToGrid w:val="0"/>
      <w:jc w:val="center"/>
    </w:pPr>
    <w:rPr>
      <w:rFonts w:ascii="Calibri" w:hAnsi="Calibri" w:cs="Calibri"/>
      <w:kern w:val="0"/>
      <w:sz w:val="18"/>
      <w:szCs w:val="18"/>
    </w:rPr>
  </w:style>
  <w:style w:type="paragraph" w:styleId="31">
    <w:name w:val="toc 1"/>
    <w:basedOn w:val="1"/>
    <w:next w:val="1"/>
    <w:semiHidden/>
    <w:qFormat/>
    <w:uiPriority w:val="99"/>
    <w:pPr>
      <w:adjustRightInd w:val="0"/>
      <w:spacing w:before="120" w:after="120" w:line="312" w:lineRule="atLeast"/>
      <w:jc w:val="left"/>
      <w:textAlignment w:val="baseline"/>
    </w:pPr>
    <w:rPr>
      <w:b/>
      <w:bCs/>
      <w:caps/>
      <w:kern w:val="0"/>
      <w:sz w:val="20"/>
      <w:szCs w:val="20"/>
    </w:rPr>
  </w:style>
  <w:style w:type="paragraph" w:styleId="32">
    <w:name w:val="toc 4"/>
    <w:basedOn w:val="1"/>
    <w:next w:val="1"/>
    <w:semiHidden/>
    <w:qFormat/>
    <w:uiPriority w:val="99"/>
    <w:pPr>
      <w:adjustRightInd w:val="0"/>
      <w:spacing w:line="312" w:lineRule="atLeast"/>
      <w:ind w:left="630"/>
      <w:jc w:val="left"/>
      <w:textAlignment w:val="baseline"/>
    </w:pPr>
    <w:rPr>
      <w:kern w:val="0"/>
      <w:sz w:val="18"/>
      <w:szCs w:val="18"/>
    </w:rPr>
  </w:style>
  <w:style w:type="paragraph" w:styleId="33">
    <w:name w:val="Subtitle"/>
    <w:basedOn w:val="1"/>
    <w:next w:val="1"/>
    <w:link w:val="108"/>
    <w:qFormat/>
    <w:uiPriority w:val="99"/>
    <w:pPr>
      <w:spacing w:before="240" w:after="60" w:line="312" w:lineRule="auto"/>
      <w:jc w:val="center"/>
      <w:outlineLvl w:val="1"/>
    </w:pPr>
    <w:rPr>
      <w:rFonts w:ascii="Cambria" w:hAnsi="Cambria" w:cs="Cambria"/>
      <w:b/>
      <w:bCs/>
      <w:kern w:val="28"/>
      <w:sz w:val="32"/>
      <w:szCs w:val="32"/>
    </w:rPr>
  </w:style>
  <w:style w:type="paragraph" w:styleId="34">
    <w:name w:val="footnote text"/>
    <w:basedOn w:val="1"/>
    <w:link w:val="87"/>
    <w:semiHidden/>
    <w:qFormat/>
    <w:uiPriority w:val="99"/>
    <w:pPr>
      <w:adjustRightInd w:val="0"/>
      <w:spacing w:line="312" w:lineRule="atLeast"/>
      <w:jc w:val="left"/>
    </w:pPr>
    <w:rPr>
      <w:rFonts w:ascii="Calibri" w:hAnsi="Calibri" w:cs="Calibri"/>
      <w:sz w:val="18"/>
      <w:szCs w:val="18"/>
    </w:rPr>
  </w:style>
  <w:style w:type="paragraph" w:styleId="35">
    <w:name w:val="toc 6"/>
    <w:basedOn w:val="1"/>
    <w:next w:val="1"/>
    <w:semiHidden/>
    <w:qFormat/>
    <w:uiPriority w:val="99"/>
    <w:pPr>
      <w:adjustRightInd w:val="0"/>
      <w:spacing w:line="312" w:lineRule="atLeast"/>
      <w:ind w:left="1050"/>
      <w:jc w:val="left"/>
      <w:textAlignment w:val="baseline"/>
    </w:pPr>
    <w:rPr>
      <w:kern w:val="0"/>
      <w:sz w:val="18"/>
      <w:szCs w:val="18"/>
    </w:rPr>
  </w:style>
  <w:style w:type="paragraph" w:styleId="36">
    <w:name w:val="Body Text Indent 3"/>
    <w:basedOn w:val="1"/>
    <w:link w:val="83"/>
    <w:qFormat/>
    <w:uiPriority w:val="99"/>
    <w:pPr>
      <w:adjustRightInd w:val="0"/>
      <w:spacing w:line="360" w:lineRule="auto"/>
      <w:ind w:firstLine="480"/>
      <w:textAlignment w:val="baseline"/>
    </w:pPr>
    <w:rPr>
      <w:rFonts w:ascii="宋体" w:hAnsi="Calibri" w:cs="宋体"/>
      <w:kern w:val="0"/>
      <w:sz w:val="28"/>
      <w:szCs w:val="28"/>
    </w:rPr>
  </w:style>
  <w:style w:type="paragraph" w:styleId="37">
    <w:name w:val="toc 2"/>
    <w:basedOn w:val="1"/>
    <w:next w:val="1"/>
    <w:semiHidden/>
    <w:qFormat/>
    <w:uiPriority w:val="99"/>
    <w:pPr>
      <w:adjustRightInd w:val="0"/>
      <w:spacing w:line="312" w:lineRule="atLeast"/>
      <w:ind w:left="210"/>
      <w:jc w:val="left"/>
      <w:textAlignment w:val="baseline"/>
    </w:pPr>
    <w:rPr>
      <w:smallCaps/>
      <w:kern w:val="0"/>
      <w:sz w:val="20"/>
      <w:szCs w:val="20"/>
    </w:rPr>
  </w:style>
  <w:style w:type="paragraph" w:styleId="38">
    <w:name w:val="toc 9"/>
    <w:basedOn w:val="1"/>
    <w:next w:val="1"/>
    <w:semiHidden/>
    <w:qFormat/>
    <w:uiPriority w:val="99"/>
    <w:pPr>
      <w:adjustRightInd w:val="0"/>
      <w:spacing w:line="312" w:lineRule="atLeast"/>
      <w:ind w:left="1680"/>
      <w:jc w:val="left"/>
      <w:textAlignment w:val="baseline"/>
    </w:pPr>
    <w:rPr>
      <w:kern w:val="0"/>
      <w:sz w:val="18"/>
      <w:szCs w:val="18"/>
    </w:rPr>
  </w:style>
  <w:style w:type="paragraph" w:styleId="3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40">
    <w:name w:val="Title"/>
    <w:basedOn w:val="1"/>
    <w:next w:val="1"/>
    <w:link w:val="84"/>
    <w:qFormat/>
    <w:uiPriority w:val="99"/>
    <w:pPr>
      <w:spacing w:before="240" w:after="60"/>
      <w:jc w:val="center"/>
      <w:outlineLvl w:val="0"/>
    </w:pPr>
    <w:rPr>
      <w:rFonts w:ascii="Arial" w:hAnsi="Arial" w:cs="Arial"/>
      <w:b/>
      <w:bCs/>
      <w:kern w:val="0"/>
      <w:sz w:val="44"/>
      <w:szCs w:val="44"/>
    </w:rPr>
  </w:style>
  <w:style w:type="paragraph" w:styleId="41">
    <w:name w:val="annotation subject"/>
    <w:basedOn w:val="16"/>
    <w:next w:val="16"/>
    <w:link w:val="85"/>
    <w:semiHidden/>
    <w:qFormat/>
    <w:uiPriority w:val="99"/>
    <w:rPr>
      <w:b/>
      <w:bCs/>
      <w:kern w:val="0"/>
      <w:sz w:val="20"/>
      <w:szCs w:val="20"/>
    </w:rPr>
  </w:style>
  <w:style w:type="paragraph" w:styleId="42">
    <w:name w:val="Body Text First Indent"/>
    <w:basedOn w:val="18"/>
    <w:qFormat/>
    <w:locked/>
    <w:uiPriority w:val="0"/>
    <w:pPr>
      <w:adjustRightInd/>
      <w:spacing w:after="120" w:line="240" w:lineRule="auto"/>
      <w:ind w:firstLine="420" w:firstLineChars="100"/>
      <w:jc w:val="both"/>
    </w:pPr>
    <w:rPr>
      <w:rFonts w:ascii="Times New Roman"/>
      <w:szCs w:val="24"/>
    </w:rPr>
  </w:style>
  <w:style w:type="table" w:styleId="44">
    <w:name w:val="Table Grid"/>
    <w:basedOn w:val="43"/>
    <w:qFormat/>
    <w:uiPriority w:val="99"/>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99"/>
    <w:rPr>
      <w:b/>
      <w:bCs/>
    </w:rPr>
  </w:style>
  <w:style w:type="character" w:styleId="47">
    <w:name w:val="page number"/>
    <w:basedOn w:val="45"/>
    <w:qFormat/>
    <w:uiPriority w:val="99"/>
  </w:style>
  <w:style w:type="character" w:styleId="48">
    <w:name w:val="FollowedHyperlink"/>
    <w:basedOn w:val="45"/>
    <w:qFormat/>
    <w:uiPriority w:val="99"/>
    <w:rPr>
      <w:color w:val="auto"/>
      <w:u w:val="none"/>
    </w:rPr>
  </w:style>
  <w:style w:type="character" w:styleId="49">
    <w:name w:val="HTML Definition"/>
    <w:basedOn w:val="45"/>
    <w:qFormat/>
    <w:uiPriority w:val="99"/>
  </w:style>
  <w:style w:type="character" w:styleId="50">
    <w:name w:val="HTML Typewriter"/>
    <w:basedOn w:val="45"/>
    <w:qFormat/>
    <w:uiPriority w:val="99"/>
    <w:rPr>
      <w:rFonts w:ascii="monospace" w:hAnsi="monospace" w:eastAsia="Times New Roman" w:cs="monospace"/>
      <w:sz w:val="20"/>
      <w:szCs w:val="20"/>
    </w:rPr>
  </w:style>
  <w:style w:type="character" w:styleId="51">
    <w:name w:val="HTML Acronym"/>
    <w:basedOn w:val="45"/>
    <w:qFormat/>
    <w:uiPriority w:val="99"/>
  </w:style>
  <w:style w:type="character" w:styleId="52">
    <w:name w:val="HTML Variable"/>
    <w:basedOn w:val="45"/>
    <w:qFormat/>
    <w:uiPriority w:val="99"/>
  </w:style>
  <w:style w:type="character" w:styleId="53">
    <w:name w:val="Hyperlink"/>
    <w:basedOn w:val="45"/>
    <w:qFormat/>
    <w:uiPriority w:val="99"/>
    <w:rPr>
      <w:color w:val="auto"/>
      <w:u w:val="none"/>
    </w:rPr>
  </w:style>
  <w:style w:type="character" w:styleId="54">
    <w:name w:val="HTML Code"/>
    <w:basedOn w:val="45"/>
    <w:qFormat/>
    <w:uiPriority w:val="99"/>
    <w:rPr>
      <w:rFonts w:ascii="monospace" w:hAnsi="monospace" w:eastAsia="Times New Roman" w:cs="monospace"/>
      <w:sz w:val="20"/>
      <w:szCs w:val="20"/>
    </w:rPr>
  </w:style>
  <w:style w:type="character" w:styleId="55">
    <w:name w:val="annotation reference"/>
    <w:basedOn w:val="45"/>
    <w:semiHidden/>
    <w:qFormat/>
    <w:uiPriority w:val="99"/>
    <w:rPr>
      <w:sz w:val="21"/>
      <w:szCs w:val="21"/>
    </w:rPr>
  </w:style>
  <w:style w:type="character" w:styleId="56">
    <w:name w:val="HTML Cite"/>
    <w:basedOn w:val="45"/>
    <w:qFormat/>
    <w:uiPriority w:val="99"/>
  </w:style>
  <w:style w:type="character" w:styleId="57">
    <w:name w:val="HTML Keyboard"/>
    <w:basedOn w:val="45"/>
    <w:qFormat/>
    <w:uiPriority w:val="99"/>
    <w:rPr>
      <w:rFonts w:ascii="monospace" w:hAnsi="monospace" w:eastAsia="Times New Roman" w:cs="monospace"/>
      <w:sz w:val="20"/>
      <w:szCs w:val="20"/>
    </w:rPr>
  </w:style>
  <w:style w:type="character" w:styleId="58">
    <w:name w:val="HTML Sample"/>
    <w:basedOn w:val="45"/>
    <w:qFormat/>
    <w:uiPriority w:val="99"/>
    <w:rPr>
      <w:rFonts w:ascii="monospace" w:hAnsi="monospace" w:eastAsia="Times New Roman" w:cs="monospace"/>
    </w:rPr>
  </w:style>
  <w:style w:type="paragraph" w:customStyle="1" w:styleId="59">
    <w:name w:val="Default"/>
    <w:basedOn w:val="40"/>
    <w:next w:val="2"/>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60">
    <w:name w:val="标题 1 字符"/>
    <w:basedOn w:val="45"/>
    <w:link w:val="2"/>
    <w:qFormat/>
    <w:locked/>
    <w:uiPriority w:val="99"/>
    <w:rPr>
      <w:rFonts w:ascii="Times New Roman" w:hAnsi="Times New Roman" w:eastAsia="理德小标宋简" w:cs="Times New Roman"/>
      <w:b/>
      <w:bCs/>
      <w:kern w:val="44"/>
      <w:sz w:val="44"/>
      <w:szCs w:val="44"/>
    </w:rPr>
  </w:style>
  <w:style w:type="character" w:customStyle="1" w:styleId="61">
    <w:name w:val="标题 2 字符"/>
    <w:basedOn w:val="45"/>
    <w:link w:val="3"/>
    <w:qFormat/>
    <w:locked/>
    <w:uiPriority w:val="99"/>
    <w:rPr>
      <w:rFonts w:ascii="Cambria" w:hAnsi="Cambria" w:eastAsia="宋体" w:cs="Cambria"/>
      <w:b/>
      <w:bCs/>
      <w:sz w:val="32"/>
      <w:szCs w:val="32"/>
    </w:rPr>
  </w:style>
  <w:style w:type="character" w:customStyle="1" w:styleId="62">
    <w:name w:val="标题 3 字符"/>
    <w:basedOn w:val="45"/>
    <w:link w:val="4"/>
    <w:qFormat/>
    <w:locked/>
    <w:uiPriority w:val="99"/>
    <w:rPr>
      <w:rFonts w:ascii="Times New Roman" w:hAnsi="Times New Roman" w:eastAsia="宋体" w:cs="Times New Roman"/>
      <w:b/>
      <w:bCs/>
      <w:sz w:val="32"/>
      <w:szCs w:val="32"/>
    </w:rPr>
  </w:style>
  <w:style w:type="character" w:customStyle="1" w:styleId="63">
    <w:name w:val="标题 4 字符"/>
    <w:basedOn w:val="45"/>
    <w:link w:val="5"/>
    <w:qFormat/>
    <w:locked/>
    <w:uiPriority w:val="99"/>
    <w:rPr>
      <w:rFonts w:ascii="Cambria" w:hAnsi="Cambria" w:eastAsia="宋体" w:cs="Cambria"/>
      <w:b/>
      <w:bCs/>
      <w:sz w:val="36"/>
      <w:szCs w:val="36"/>
    </w:rPr>
  </w:style>
  <w:style w:type="character" w:customStyle="1" w:styleId="64">
    <w:name w:val="标题 5 字符"/>
    <w:basedOn w:val="45"/>
    <w:link w:val="6"/>
    <w:qFormat/>
    <w:locked/>
    <w:uiPriority w:val="99"/>
    <w:rPr>
      <w:rFonts w:ascii="Times New Roman" w:hAnsi="Times New Roman" w:eastAsia="宋体" w:cs="Times New Roman"/>
      <w:b/>
      <w:bCs/>
      <w:sz w:val="28"/>
      <w:szCs w:val="28"/>
    </w:rPr>
  </w:style>
  <w:style w:type="character" w:customStyle="1" w:styleId="65">
    <w:name w:val="标题 6 字符"/>
    <w:basedOn w:val="45"/>
    <w:link w:val="8"/>
    <w:qFormat/>
    <w:locked/>
    <w:uiPriority w:val="99"/>
    <w:rPr>
      <w:rFonts w:ascii="Cambria" w:hAnsi="Cambria" w:eastAsia="宋体" w:cs="Cambria"/>
      <w:b/>
      <w:bCs/>
      <w:sz w:val="24"/>
      <w:szCs w:val="24"/>
    </w:rPr>
  </w:style>
  <w:style w:type="character" w:customStyle="1" w:styleId="66">
    <w:name w:val="标题 7 字符"/>
    <w:basedOn w:val="45"/>
    <w:link w:val="9"/>
    <w:qFormat/>
    <w:locked/>
    <w:uiPriority w:val="99"/>
    <w:rPr>
      <w:rFonts w:ascii="Calibri" w:hAnsi="Calibri" w:eastAsia="宋体" w:cs="Calibri"/>
      <w:b/>
      <w:bCs/>
      <w:sz w:val="24"/>
      <w:szCs w:val="24"/>
    </w:rPr>
  </w:style>
  <w:style w:type="character" w:customStyle="1" w:styleId="67">
    <w:name w:val="标题 8 字符"/>
    <w:basedOn w:val="45"/>
    <w:link w:val="10"/>
    <w:qFormat/>
    <w:locked/>
    <w:uiPriority w:val="99"/>
    <w:rPr>
      <w:rFonts w:ascii="Cambria" w:hAnsi="Cambria" w:eastAsia="宋体" w:cs="Cambria"/>
      <w:sz w:val="24"/>
      <w:szCs w:val="24"/>
    </w:rPr>
  </w:style>
  <w:style w:type="character" w:customStyle="1" w:styleId="68">
    <w:name w:val="标题 9 字符"/>
    <w:basedOn w:val="45"/>
    <w:link w:val="11"/>
    <w:qFormat/>
    <w:locked/>
    <w:uiPriority w:val="99"/>
    <w:rPr>
      <w:rFonts w:ascii="Cambria" w:hAnsi="Cambria" w:eastAsia="宋体" w:cs="Cambria"/>
      <w:sz w:val="21"/>
      <w:szCs w:val="21"/>
    </w:rPr>
  </w:style>
  <w:style w:type="character" w:customStyle="1" w:styleId="69">
    <w:name w:val="注释标题 字符"/>
    <w:basedOn w:val="45"/>
    <w:link w:val="13"/>
    <w:semiHidden/>
    <w:qFormat/>
    <w:locked/>
    <w:uiPriority w:val="99"/>
    <w:rPr>
      <w:rFonts w:ascii="Times New Roman" w:hAnsi="Times New Roman" w:eastAsia="宋体" w:cs="Times New Roman"/>
    </w:rPr>
  </w:style>
  <w:style w:type="character" w:customStyle="1" w:styleId="70">
    <w:name w:val="文档结构图 字符"/>
    <w:basedOn w:val="45"/>
    <w:link w:val="15"/>
    <w:semiHidden/>
    <w:qFormat/>
    <w:locked/>
    <w:uiPriority w:val="99"/>
    <w:rPr>
      <w:rFonts w:ascii="宋体" w:hAnsi="Times New Roman" w:eastAsia="宋体" w:cs="宋体"/>
      <w:sz w:val="18"/>
      <w:szCs w:val="18"/>
    </w:rPr>
  </w:style>
  <w:style w:type="character" w:customStyle="1" w:styleId="71">
    <w:name w:val="批注文字 字符"/>
    <w:basedOn w:val="45"/>
    <w:link w:val="16"/>
    <w:semiHidden/>
    <w:qFormat/>
    <w:locked/>
    <w:uiPriority w:val="99"/>
    <w:rPr>
      <w:rFonts w:ascii="Times New Roman" w:hAnsi="Times New Roman" w:eastAsia="宋体" w:cs="Times New Roman"/>
    </w:rPr>
  </w:style>
  <w:style w:type="character" w:customStyle="1" w:styleId="72">
    <w:name w:val="称呼 字符"/>
    <w:basedOn w:val="45"/>
    <w:link w:val="17"/>
    <w:semiHidden/>
    <w:qFormat/>
    <w:locked/>
    <w:uiPriority w:val="99"/>
    <w:rPr>
      <w:rFonts w:ascii="Times New Roman" w:hAnsi="Times New Roman" w:eastAsia="宋体" w:cs="Times New Roman"/>
    </w:rPr>
  </w:style>
  <w:style w:type="character" w:customStyle="1" w:styleId="73">
    <w:name w:val="正文文本 字符"/>
    <w:basedOn w:val="45"/>
    <w:link w:val="18"/>
    <w:semiHidden/>
    <w:qFormat/>
    <w:locked/>
    <w:uiPriority w:val="99"/>
    <w:rPr>
      <w:rFonts w:ascii="Times New Roman" w:hAnsi="Times New Roman" w:eastAsia="宋体" w:cs="Times New Roman"/>
    </w:rPr>
  </w:style>
  <w:style w:type="character" w:customStyle="1" w:styleId="74">
    <w:name w:val="正文文本缩进 字符"/>
    <w:basedOn w:val="45"/>
    <w:link w:val="20"/>
    <w:semiHidden/>
    <w:qFormat/>
    <w:locked/>
    <w:uiPriority w:val="99"/>
    <w:rPr>
      <w:rFonts w:ascii="Times New Roman" w:hAnsi="Times New Roman" w:eastAsia="宋体" w:cs="Times New Roman"/>
    </w:rPr>
  </w:style>
  <w:style w:type="character" w:customStyle="1" w:styleId="75">
    <w:name w:val="纯文本 字符"/>
    <w:basedOn w:val="45"/>
    <w:link w:val="24"/>
    <w:semiHidden/>
    <w:qFormat/>
    <w:locked/>
    <w:uiPriority w:val="99"/>
    <w:rPr>
      <w:rFonts w:ascii="宋体" w:hAnsi="Courier New" w:eastAsia="宋体" w:cs="宋体"/>
      <w:sz w:val="21"/>
      <w:szCs w:val="21"/>
    </w:rPr>
  </w:style>
  <w:style w:type="character" w:customStyle="1" w:styleId="76">
    <w:name w:val="Date Char"/>
    <w:basedOn w:val="45"/>
    <w:semiHidden/>
    <w:qFormat/>
    <w:locked/>
    <w:uiPriority w:val="99"/>
    <w:rPr>
      <w:rFonts w:ascii="Times New Roman" w:hAnsi="Times New Roman" w:eastAsia="宋体" w:cs="Times New Roman"/>
    </w:rPr>
  </w:style>
  <w:style w:type="character" w:customStyle="1" w:styleId="77">
    <w:name w:val="Body Text Indent 2 Char"/>
    <w:basedOn w:val="45"/>
    <w:semiHidden/>
    <w:qFormat/>
    <w:locked/>
    <w:uiPriority w:val="99"/>
    <w:rPr>
      <w:rFonts w:ascii="Times New Roman" w:hAnsi="Times New Roman" w:eastAsia="宋体" w:cs="Times New Roman"/>
    </w:rPr>
  </w:style>
  <w:style w:type="character" w:customStyle="1" w:styleId="78">
    <w:name w:val="批注框文本 字符"/>
    <w:basedOn w:val="45"/>
    <w:link w:val="28"/>
    <w:semiHidden/>
    <w:qFormat/>
    <w:locked/>
    <w:uiPriority w:val="99"/>
    <w:rPr>
      <w:rFonts w:ascii="Times New Roman" w:hAnsi="Times New Roman" w:eastAsia="宋体" w:cs="Times New Roman"/>
      <w:sz w:val="18"/>
      <w:szCs w:val="18"/>
    </w:rPr>
  </w:style>
  <w:style w:type="character" w:customStyle="1" w:styleId="79">
    <w:name w:val="页脚 字符"/>
    <w:basedOn w:val="45"/>
    <w:link w:val="29"/>
    <w:semiHidden/>
    <w:qFormat/>
    <w:locked/>
    <w:uiPriority w:val="99"/>
    <w:rPr>
      <w:rFonts w:ascii="Times New Roman" w:hAnsi="Times New Roman" w:eastAsia="宋体" w:cs="Times New Roman"/>
      <w:sz w:val="18"/>
      <w:szCs w:val="18"/>
    </w:rPr>
  </w:style>
  <w:style w:type="character" w:customStyle="1" w:styleId="80">
    <w:name w:val="页眉 字符"/>
    <w:basedOn w:val="45"/>
    <w:link w:val="30"/>
    <w:semiHidden/>
    <w:qFormat/>
    <w:locked/>
    <w:uiPriority w:val="99"/>
    <w:rPr>
      <w:rFonts w:ascii="Times New Roman" w:hAnsi="Times New Roman" w:eastAsia="宋体" w:cs="Times New Roman"/>
      <w:sz w:val="18"/>
      <w:szCs w:val="18"/>
    </w:rPr>
  </w:style>
  <w:style w:type="character" w:customStyle="1" w:styleId="81">
    <w:name w:val="Subtitle Char"/>
    <w:basedOn w:val="45"/>
    <w:qFormat/>
    <w:locked/>
    <w:uiPriority w:val="99"/>
    <w:rPr>
      <w:rFonts w:ascii="Cambria" w:hAnsi="Cambria" w:eastAsia="宋体" w:cs="Cambria"/>
      <w:b/>
      <w:bCs/>
      <w:kern w:val="28"/>
      <w:sz w:val="32"/>
      <w:szCs w:val="32"/>
    </w:rPr>
  </w:style>
  <w:style w:type="character" w:customStyle="1" w:styleId="82">
    <w:name w:val="Footnote Text Char"/>
    <w:basedOn w:val="45"/>
    <w:semiHidden/>
    <w:qFormat/>
    <w:locked/>
    <w:uiPriority w:val="99"/>
    <w:rPr>
      <w:rFonts w:ascii="Times New Roman" w:hAnsi="Times New Roman" w:eastAsia="宋体" w:cs="Times New Roman"/>
      <w:sz w:val="18"/>
      <w:szCs w:val="18"/>
    </w:rPr>
  </w:style>
  <w:style w:type="character" w:customStyle="1" w:styleId="83">
    <w:name w:val="正文文本缩进 3 字符"/>
    <w:basedOn w:val="45"/>
    <w:link w:val="36"/>
    <w:semiHidden/>
    <w:qFormat/>
    <w:locked/>
    <w:uiPriority w:val="99"/>
    <w:rPr>
      <w:rFonts w:ascii="Times New Roman" w:hAnsi="Times New Roman" w:eastAsia="宋体" w:cs="Times New Roman"/>
      <w:sz w:val="16"/>
      <w:szCs w:val="16"/>
    </w:rPr>
  </w:style>
  <w:style w:type="character" w:customStyle="1" w:styleId="84">
    <w:name w:val="标题 字符"/>
    <w:basedOn w:val="45"/>
    <w:link w:val="40"/>
    <w:qFormat/>
    <w:locked/>
    <w:uiPriority w:val="99"/>
    <w:rPr>
      <w:rFonts w:ascii="Cambria" w:hAnsi="Cambria" w:eastAsia="宋体" w:cs="Cambria"/>
      <w:b/>
      <w:bCs/>
      <w:sz w:val="32"/>
      <w:szCs w:val="32"/>
    </w:rPr>
  </w:style>
  <w:style w:type="character" w:customStyle="1" w:styleId="85">
    <w:name w:val="批注主题 字符"/>
    <w:basedOn w:val="71"/>
    <w:link w:val="41"/>
    <w:semiHidden/>
    <w:qFormat/>
    <w:locked/>
    <w:uiPriority w:val="99"/>
    <w:rPr>
      <w:rFonts w:ascii="Times New Roman" w:hAnsi="Times New Roman" w:eastAsia="宋体" w:cs="Times New Roman"/>
      <w:b/>
      <w:bCs/>
    </w:rPr>
  </w:style>
  <w:style w:type="character" w:customStyle="1" w:styleId="86">
    <w:name w:val="正文文本 Char"/>
    <w:qFormat/>
    <w:uiPriority w:val="99"/>
    <w:rPr>
      <w:rFonts w:ascii="楷体_GB2312" w:eastAsia="楷体_GB2312" w:cs="楷体_GB2312"/>
      <w:b/>
      <w:bCs/>
      <w:sz w:val="48"/>
      <w:szCs w:val="48"/>
    </w:rPr>
  </w:style>
  <w:style w:type="character" w:customStyle="1" w:styleId="87">
    <w:name w:val="脚注文本 字符"/>
    <w:basedOn w:val="45"/>
    <w:link w:val="34"/>
    <w:qFormat/>
    <w:locked/>
    <w:uiPriority w:val="99"/>
    <w:rPr>
      <w:sz w:val="18"/>
      <w:szCs w:val="18"/>
    </w:rPr>
  </w:style>
  <w:style w:type="character" w:customStyle="1" w:styleId="88">
    <w:name w:val="明显引用 Char1"/>
    <w:basedOn w:val="45"/>
    <w:qFormat/>
    <w:locked/>
    <w:uiPriority w:val="99"/>
    <w:rPr>
      <w:b/>
      <w:bCs/>
      <w:i/>
      <w:iCs/>
      <w:color w:val="4F81BD"/>
    </w:rPr>
  </w:style>
  <w:style w:type="paragraph" w:styleId="89">
    <w:name w:val="Intense Quote"/>
    <w:basedOn w:val="1"/>
    <w:next w:val="1"/>
    <w:link w:val="90"/>
    <w:qFormat/>
    <w:uiPriority w:val="99"/>
    <w:pPr>
      <w:pBdr>
        <w:bottom w:val="single" w:color="4F81BD" w:sz="4" w:space="4"/>
      </w:pBdr>
      <w:spacing w:before="200" w:after="280"/>
      <w:ind w:left="936" w:right="936"/>
    </w:pPr>
    <w:rPr>
      <w:rFonts w:ascii="Calibri" w:hAnsi="Calibri" w:cs="Calibri"/>
      <w:b/>
      <w:bCs/>
      <w:i/>
      <w:iCs/>
      <w:color w:val="4F81BD"/>
    </w:rPr>
  </w:style>
  <w:style w:type="character" w:customStyle="1" w:styleId="90">
    <w:name w:val="明显引用 字符"/>
    <w:basedOn w:val="45"/>
    <w:link w:val="89"/>
    <w:qFormat/>
    <w:locked/>
    <w:uiPriority w:val="99"/>
    <w:rPr>
      <w:rFonts w:ascii="Times New Roman" w:hAnsi="Times New Roman" w:eastAsia="宋体" w:cs="Times New Roman"/>
      <w:b/>
      <w:bCs/>
      <w:i/>
      <w:iCs/>
      <w:color w:val="4F81BD"/>
    </w:rPr>
  </w:style>
  <w:style w:type="character" w:customStyle="1" w:styleId="91">
    <w:name w:val="页眉 Char"/>
    <w:qFormat/>
    <w:uiPriority w:val="99"/>
    <w:rPr>
      <w:sz w:val="18"/>
      <w:szCs w:val="18"/>
    </w:rPr>
  </w:style>
  <w:style w:type="character" w:customStyle="1" w:styleId="92">
    <w:name w:val="批注框文本 Char"/>
    <w:qFormat/>
    <w:uiPriority w:val="99"/>
    <w:rPr>
      <w:sz w:val="18"/>
      <w:szCs w:val="18"/>
    </w:rPr>
  </w:style>
  <w:style w:type="character" w:customStyle="1" w:styleId="93">
    <w:name w:val="l2"/>
    <w:basedOn w:val="45"/>
    <w:qFormat/>
    <w:uiPriority w:val="99"/>
  </w:style>
  <w:style w:type="character" w:customStyle="1" w:styleId="94">
    <w:name w:val="文档结构图 Char"/>
    <w:qFormat/>
    <w:uiPriority w:val="99"/>
    <w:rPr>
      <w:rFonts w:ascii="宋体" w:cs="宋体"/>
      <w:sz w:val="18"/>
      <w:szCs w:val="18"/>
    </w:rPr>
  </w:style>
  <w:style w:type="character" w:customStyle="1" w:styleId="95">
    <w:name w:val="正文文本 Char1"/>
    <w:basedOn w:val="45"/>
    <w:qFormat/>
    <w:locked/>
    <w:uiPriority w:val="99"/>
    <w:rPr>
      <w:kern w:val="2"/>
      <w:sz w:val="22"/>
      <w:szCs w:val="22"/>
    </w:rPr>
  </w:style>
  <w:style w:type="character" w:customStyle="1" w:styleId="96">
    <w:name w:val="正文文本缩进 2 字符"/>
    <w:basedOn w:val="45"/>
    <w:link w:val="27"/>
    <w:qFormat/>
    <w:locked/>
    <w:uiPriority w:val="99"/>
    <w:rPr>
      <w:sz w:val="24"/>
      <w:szCs w:val="24"/>
    </w:rPr>
  </w:style>
  <w:style w:type="character" w:customStyle="1" w:styleId="97">
    <w:name w:val="正文文本缩进 2 Char"/>
    <w:basedOn w:val="45"/>
    <w:semiHidden/>
    <w:qFormat/>
    <w:uiPriority w:val="99"/>
    <w:rPr>
      <w:kern w:val="2"/>
      <w:sz w:val="22"/>
      <w:szCs w:val="22"/>
    </w:rPr>
  </w:style>
  <w:style w:type="character" w:customStyle="1" w:styleId="98">
    <w:name w:val="r2"/>
    <w:basedOn w:val="45"/>
    <w:qFormat/>
    <w:uiPriority w:val="99"/>
  </w:style>
  <w:style w:type="character" w:customStyle="1" w:styleId="99">
    <w:name w:val="批注主题 Char"/>
    <w:qFormat/>
    <w:uiPriority w:val="99"/>
    <w:rPr>
      <w:b/>
      <w:bCs/>
    </w:rPr>
  </w:style>
  <w:style w:type="character" w:customStyle="1" w:styleId="100">
    <w:name w:val="副标题 Char"/>
    <w:basedOn w:val="45"/>
    <w:qFormat/>
    <w:uiPriority w:val="99"/>
    <w:rPr>
      <w:rFonts w:ascii="Cambria" w:hAnsi="Cambria" w:cs="Cambria"/>
      <w:b/>
      <w:bCs/>
      <w:kern w:val="28"/>
      <w:sz w:val="32"/>
      <w:szCs w:val="32"/>
    </w:rPr>
  </w:style>
  <w:style w:type="character" w:customStyle="1" w:styleId="101">
    <w:name w:val="明显引用 Char"/>
    <w:basedOn w:val="45"/>
    <w:qFormat/>
    <w:uiPriority w:val="99"/>
    <w:rPr>
      <w:b/>
      <w:bCs/>
      <w:i/>
      <w:iCs/>
      <w:color w:val="4F81BD"/>
      <w:kern w:val="2"/>
      <w:sz w:val="22"/>
      <w:szCs w:val="22"/>
    </w:rPr>
  </w:style>
  <w:style w:type="character" w:customStyle="1" w:styleId="102">
    <w:name w:val="日期 字符"/>
    <w:basedOn w:val="45"/>
    <w:link w:val="26"/>
    <w:qFormat/>
    <w:locked/>
    <w:uiPriority w:val="99"/>
  </w:style>
  <w:style w:type="character" w:customStyle="1" w:styleId="103">
    <w:name w:val="引用 Char1"/>
    <w:basedOn w:val="45"/>
    <w:qFormat/>
    <w:locked/>
    <w:uiPriority w:val="99"/>
    <w:rPr>
      <w:i/>
      <w:iCs/>
      <w:color w:val="000000"/>
    </w:rPr>
  </w:style>
  <w:style w:type="paragraph" w:styleId="104">
    <w:name w:val="Quote"/>
    <w:basedOn w:val="1"/>
    <w:next w:val="1"/>
    <w:link w:val="105"/>
    <w:qFormat/>
    <w:uiPriority w:val="99"/>
    <w:rPr>
      <w:rFonts w:ascii="Calibri" w:hAnsi="Calibri" w:cs="Calibri"/>
      <w:i/>
      <w:iCs/>
      <w:color w:val="000000"/>
    </w:rPr>
  </w:style>
  <w:style w:type="character" w:customStyle="1" w:styleId="105">
    <w:name w:val="引用 字符"/>
    <w:basedOn w:val="45"/>
    <w:link w:val="104"/>
    <w:qFormat/>
    <w:locked/>
    <w:uiPriority w:val="99"/>
    <w:rPr>
      <w:rFonts w:ascii="Times New Roman" w:hAnsi="Times New Roman" w:eastAsia="宋体" w:cs="Times New Roman"/>
      <w:i/>
      <w:iCs/>
      <w:color w:val="000000"/>
    </w:rPr>
  </w:style>
  <w:style w:type="character" w:customStyle="1" w:styleId="106">
    <w:name w:val="注释标题 Char"/>
    <w:semiHidden/>
    <w:qFormat/>
    <w:uiPriority w:val="99"/>
    <w:rPr>
      <w:sz w:val="24"/>
      <w:szCs w:val="24"/>
    </w:rPr>
  </w:style>
  <w:style w:type="character" w:customStyle="1" w:styleId="107">
    <w:name w:val="正文文本缩进 3 Char"/>
    <w:qFormat/>
    <w:uiPriority w:val="99"/>
    <w:rPr>
      <w:rFonts w:ascii="宋体" w:cs="宋体"/>
      <w:sz w:val="28"/>
      <w:szCs w:val="28"/>
    </w:rPr>
  </w:style>
  <w:style w:type="character" w:customStyle="1" w:styleId="108">
    <w:name w:val="副标题 字符"/>
    <w:basedOn w:val="45"/>
    <w:link w:val="33"/>
    <w:qFormat/>
    <w:locked/>
    <w:uiPriority w:val="99"/>
    <w:rPr>
      <w:rFonts w:ascii="Cambria" w:hAnsi="Cambria" w:cs="Cambria"/>
      <w:b/>
      <w:bCs/>
      <w:kern w:val="28"/>
      <w:sz w:val="32"/>
      <w:szCs w:val="32"/>
    </w:rPr>
  </w:style>
  <w:style w:type="character" w:customStyle="1" w:styleId="109">
    <w:name w:val="称呼 Char"/>
    <w:semiHidden/>
    <w:qFormat/>
    <w:uiPriority w:val="99"/>
    <w:rPr>
      <w:sz w:val="24"/>
      <w:szCs w:val="24"/>
    </w:rPr>
  </w:style>
  <w:style w:type="character" w:customStyle="1" w:styleId="110">
    <w:name w:val="批注文字 Char"/>
    <w:qFormat/>
    <w:uiPriority w:val="99"/>
  </w:style>
  <w:style w:type="character" w:customStyle="1" w:styleId="111">
    <w:name w:val="纯文本 Char2"/>
    <w:qFormat/>
    <w:uiPriority w:val="99"/>
    <w:rPr>
      <w:rFonts w:ascii="宋体" w:hAnsi="Courier New" w:cs="宋体"/>
      <w:kern w:val="2"/>
      <w:sz w:val="21"/>
      <w:szCs w:val="21"/>
    </w:rPr>
  </w:style>
  <w:style w:type="character" w:customStyle="1" w:styleId="112">
    <w:name w:val="标题4 Char Char"/>
    <w:link w:val="113"/>
    <w:qFormat/>
    <w:locked/>
    <w:uiPriority w:val="99"/>
    <w:rPr>
      <w:rFonts w:ascii="Arial" w:hAnsi="Arial" w:cs="Arial"/>
      <w:b/>
      <w:bCs/>
      <w:sz w:val="32"/>
      <w:szCs w:val="32"/>
    </w:rPr>
  </w:style>
  <w:style w:type="paragraph" w:customStyle="1" w:styleId="113">
    <w:name w:val="标题4"/>
    <w:basedOn w:val="3"/>
    <w:next w:val="21"/>
    <w:link w:val="112"/>
    <w:qFormat/>
    <w:uiPriority w:val="99"/>
    <w:pPr>
      <w:spacing w:before="60" w:after="60" w:line="412" w:lineRule="auto"/>
    </w:pPr>
    <w:rPr>
      <w:rFonts w:ascii="Arial" w:hAnsi="Arial" w:cs="Arial"/>
      <w:kern w:val="0"/>
      <w:sz w:val="24"/>
      <w:szCs w:val="24"/>
    </w:rPr>
  </w:style>
  <w:style w:type="character" w:customStyle="1" w:styleId="114">
    <w:name w:val="标题5 Char Char"/>
    <w:link w:val="115"/>
    <w:qFormat/>
    <w:locked/>
    <w:uiPriority w:val="99"/>
    <w:rPr>
      <w:rFonts w:ascii="Arial" w:hAnsi="Arial" w:cs="Arial"/>
      <w:b/>
      <w:bCs/>
      <w:sz w:val="32"/>
      <w:szCs w:val="32"/>
    </w:rPr>
  </w:style>
  <w:style w:type="paragraph" w:customStyle="1" w:styleId="115">
    <w:name w:val="标题5"/>
    <w:basedOn w:val="4"/>
    <w:link w:val="114"/>
    <w:qFormat/>
    <w:uiPriority w:val="99"/>
    <w:pPr>
      <w:spacing w:line="412" w:lineRule="auto"/>
    </w:pPr>
    <w:rPr>
      <w:rFonts w:ascii="Arial" w:hAnsi="Arial" w:cs="Arial"/>
      <w:kern w:val="0"/>
      <w:sz w:val="24"/>
      <w:szCs w:val="24"/>
    </w:rPr>
  </w:style>
  <w:style w:type="character" w:customStyle="1" w:styleId="116">
    <w:name w:val="纯文本 Char"/>
    <w:qFormat/>
    <w:uiPriority w:val="99"/>
    <w:rPr>
      <w:rFonts w:ascii="宋体" w:hAnsi="Courier New" w:cs="宋体"/>
      <w:sz w:val="21"/>
      <w:szCs w:val="21"/>
    </w:rPr>
  </w:style>
  <w:style w:type="character" w:customStyle="1" w:styleId="117">
    <w:name w:val="页脚 Char"/>
    <w:qFormat/>
    <w:uiPriority w:val="99"/>
    <w:rPr>
      <w:sz w:val="18"/>
      <w:szCs w:val="18"/>
    </w:rPr>
  </w:style>
  <w:style w:type="character" w:customStyle="1" w:styleId="118">
    <w:name w:val="标题 Char"/>
    <w:qFormat/>
    <w:uiPriority w:val="99"/>
    <w:rPr>
      <w:rFonts w:ascii="Arial" w:hAnsi="Arial" w:cs="Arial"/>
      <w:b/>
      <w:bCs/>
      <w:sz w:val="32"/>
      <w:szCs w:val="32"/>
    </w:rPr>
  </w:style>
  <w:style w:type="character" w:customStyle="1" w:styleId="119">
    <w:name w:val="脚注文本 Char"/>
    <w:basedOn w:val="45"/>
    <w:semiHidden/>
    <w:qFormat/>
    <w:uiPriority w:val="99"/>
    <w:rPr>
      <w:kern w:val="2"/>
      <w:sz w:val="18"/>
      <w:szCs w:val="18"/>
    </w:rPr>
  </w:style>
  <w:style w:type="character" w:customStyle="1" w:styleId="120">
    <w:name w:val="正文文本缩进 Char"/>
    <w:qFormat/>
    <w:uiPriority w:val="99"/>
    <w:rPr>
      <w:sz w:val="24"/>
      <w:szCs w:val="24"/>
    </w:rPr>
  </w:style>
  <w:style w:type="character" w:customStyle="1" w:styleId="121">
    <w:name w:val="纯文本 Char1"/>
    <w:qFormat/>
    <w:uiPriority w:val="99"/>
    <w:rPr>
      <w:rFonts w:ascii="宋体" w:hAnsi="Courier New" w:eastAsia="宋体" w:cs="宋体"/>
      <w:sz w:val="20"/>
      <w:szCs w:val="20"/>
    </w:rPr>
  </w:style>
  <w:style w:type="character" w:customStyle="1" w:styleId="122">
    <w:name w:val="引用 Char"/>
    <w:basedOn w:val="45"/>
    <w:qFormat/>
    <w:uiPriority w:val="99"/>
    <w:rPr>
      <w:i/>
      <w:iCs/>
      <w:color w:val="000000"/>
      <w:kern w:val="2"/>
      <w:sz w:val="22"/>
      <w:szCs w:val="22"/>
    </w:rPr>
  </w:style>
  <w:style w:type="character" w:customStyle="1" w:styleId="123">
    <w:name w:val="普通文字 Char Char2"/>
    <w:qFormat/>
    <w:uiPriority w:val="99"/>
    <w:rPr>
      <w:rFonts w:ascii="宋体" w:hAnsi="Courier New" w:eastAsia="宋体" w:cs="宋体"/>
      <w:kern w:val="2"/>
      <w:sz w:val="21"/>
      <w:szCs w:val="21"/>
      <w:lang w:val="en-US" w:eastAsia="zh-CN"/>
    </w:rPr>
  </w:style>
  <w:style w:type="paragraph" w:customStyle="1" w:styleId="124">
    <w:name w:val="Table Paragraph"/>
    <w:basedOn w:val="1"/>
    <w:qFormat/>
    <w:uiPriority w:val="99"/>
    <w:pPr>
      <w:autoSpaceDE w:val="0"/>
      <w:autoSpaceDN w:val="0"/>
      <w:adjustRightInd w:val="0"/>
      <w:jc w:val="left"/>
    </w:pPr>
    <w:rPr>
      <w:rFonts w:ascii="黑体" w:eastAsia="黑体" w:cs="黑体"/>
      <w:kern w:val="0"/>
      <w:sz w:val="24"/>
      <w:szCs w:val="24"/>
    </w:rPr>
  </w:style>
  <w:style w:type="paragraph" w:customStyle="1" w:styleId="125">
    <w:name w:val="Level 1"/>
    <w:basedOn w:val="1"/>
    <w:next w:val="1"/>
    <w:qFormat/>
    <w:uiPriority w:val="99"/>
    <w:pPr>
      <w:keepNext/>
      <w:widowControl/>
      <w:numPr>
        <w:ilvl w:val="0"/>
        <w:numId w:val="2"/>
      </w:numPr>
      <w:spacing w:line="360" w:lineRule="auto"/>
      <w:outlineLvl w:val="0"/>
    </w:pPr>
    <w:rPr>
      <w:rFonts w:ascii="Arial" w:hAnsi="Arial" w:eastAsia="黑体" w:cs="Arial"/>
      <w:b/>
      <w:bCs/>
      <w:caps/>
      <w:w w:val="105"/>
      <w:kern w:val="20"/>
      <w:sz w:val="24"/>
      <w:szCs w:val="24"/>
      <w:lang w:val="en-GB" w:eastAsia="en-US"/>
    </w:rPr>
  </w:style>
  <w:style w:type="paragraph" w:customStyle="1" w:styleId="126">
    <w:name w:val="Level 8"/>
    <w:basedOn w:val="1"/>
    <w:qFormat/>
    <w:uiPriority w:val="99"/>
    <w:pPr>
      <w:widowControl/>
      <w:numPr>
        <w:ilvl w:val="7"/>
        <w:numId w:val="2"/>
      </w:numPr>
      <w:spacing w:after="120" w:line="336" w:lineRule="auto"/>
      <w:outlineLvl w:val="7"/>
    </w:pPr>
    <w:rPr>
      <w:rFonts w:ascii="Arial" w:hAnsi="Arial" w:cs="Arial"/>
      <w:w w:val="105"/>
      <w:kern w:val="20"/>
      <w:sz w:val="24"/>
      <w:szCs w:val="24"/>
      <w:lang w:val="en-GB" w:eastAsia="en-US"/>
    </w:rPr>
  </w:style>
  <w:style w:type="paragraph" w:customStyle="1" w:styleId="127">
    <w:name w:val="05 Body"/>
    <w:basedOn w:val="1"/>
    <w:qFormat/>
    <w:uiPriority w:val="99"/>
    <w:pPr>
      <w:widowControl/>
      <w:spacing w:line="290" w:lineRule="auto"/>
    </w:pPr>
    <w:rPr>
      <w:rFonts w:ascii="Arial" w:hAnsi="Arial" w:cs="Arial"/>
      <w:kern w:val="20"/>
      <w:sz w:val="24"/>
      <w:szCs w:val="24"/>
      <w:lang w:val="en-GB" w:eastAsia="en-US"/>
    </w:rPr>
  </w:style>
  <w:style w:type="paragraph" w:customStyle="1" w:styleId="128">
    <w:name w:val="Parties"/>
    <w:basedOn w:val="1"/>
    <w:qFormat/>
    <w:uiPriority w:val="99"/>
    <w:pPr>
      <w:widowControl/>
      <w:numPr>
        <w:ilvl w:val="0"/>
        <w:numId w:val="3"/>
      </w:numPr>
      <w:spacing w:after="140" w:line="290" w:lineRule="auto"/>
    </w:pPr>
    <w:rPr>
      <w:rFonts w:ascii="Arial" w:hAnsi="Arial" w:cs="Arial"/>
      <w:kern w:val="20"/>
      <w:sz w:val="20"/>
      <w:szCs w:val="20"/>
      <w:lang w:val="en-GB" w:eastAsia="en-US"/>
    </w:rPr>
  </w:style>
  <w:style w:type="paragraph" w:customStyle="1" w:styleId="129">
    <w:name w:val="Level 5"/>
    <w:basedOn w:val="130"/>
    <w:qFormat/>
    <w:uiPriority w:val="99"/>
    <w:pPr>
      <w:numPr>
        <w:ilvl w:val="4"/>
      </w:numPr>
      <w:tabs>
        <w:tab w:val="left" w:pos="1361"/>
      </w:tabs>
      <w:outlineLvl w:val="4"/>
    </w:pPr>
  </w:style>
  <w:style w:type="paragraph" w:customStyle="1" w:styleId="130">
    <w:name w:val="Level 4"/>
    <w:basedOn w:val="1"/>
    <w:qFormat/>
    <w:uiPriority w:val="99"/>
    <w:pPr>
      <w:numPr>
        <w:ilvl w:val="3"/>
        <w:numId w:val="2"/>
      </w:numPr>
      <w:spacing w:after="120" w:line="336" w:lineRule="auto"/>
      <w:outlineLvl w:val="3"/>
    </w:pPr>
    <w:rPr>
      <w:rFonts w:ascii="Arial" w:hAnsi="Arial" w:cs="Arial"/>
      <w:w w:val="105"/>
      <w:kern w:val="20"/>
      <w:sz w:val="24"/>
      <w:szCs w:val="24"/>
      <w:lang w:val="en-GB" w:eastAsia="en-US"/>
    </w:rPr>
  </w:style>
  <w:style w:type="paragraph" w:customStyle="1" w:styleId="131">
    <w:name w:val="Body"/>
    <w:basedOn w:val="1"/>
    <w:qFormat/>
    <w:uiPriority w:val="99"/>
    <w:pPr>
      <w:widowControl/>
      <w:spacing w:after="140" w:line="290" w:lineRule="auto"/>
    </w:pPr>
    <w:rPr>
      <w:rFonts w:ascii="Arial" w:hAnsi="Arial" w:cs="Arial"/>
      <w:kern w:val="20"/>
      <w:sz w:val="20"/>
      <w:szCs w:val="20"/>
      <w:lang w:val="en-GB" w:eastAsia="en-US"/>
    </w:rPr>
  </w:style>
  <w:style w:type="paragraph" w:customStyle="1" w:styleId="132">
    <w:name w:val="Char"/>
    <w:basedOn w:val="1"/>
    <w:qFormat/>
    <w:uiPriority w:val="99"/>
    <w:pPr>
      <w:snapToGrid w:val="0"/>
      <w:spacing w:line="440" w:lineRule="atLeast"/>
    </w:pPr>
    <w:rPr>
      <w:rFonts w:ascii="宋体" w:cs="宋体"/>
      <w:sz w:val="24"/>
      <w:szCs w:val="24"/>
    </w:rPr>
  </w:style>
  <w:style w:type="paragraph" w:customStyle="1" w:styleId="133">
    <w:name w:val="样式 标题 2 + Times New Roman 四号 非加粗 段前: 5 磅 段后: 0 磅 行距: 固定值 20..."/>
    <w:basedOn w:val="3"/>
    <w:next w:val="1"/>
    <w:qFormat/>
    <w:uiPriority w:val="99"/>
    <w:pPr>
      <w:spacing w:before="100" w:after="0" w:line="400" w:lineRule="exact"/>
    </w:pPr>
    <w:rPr>
      <w:rFonts w:ascii="Times New Roman" w:hAnsi="Times New Roman" w:eastAsia="黑体" w:cs="Times New Roman"/>
      <w:b w:val="0"/>
      <w:bCs w:val="0"/>
      <w:sz w:val="28"/>
      <w:szCs w:val="28"/>
    </w:rPr>
  </w:style>
  <w:style w:type="paragraph" w:customStyle="1" w:styleId="134">
    <w:name w:val="03 Wheras"/>
    <w:basedOn w:val="1"/>
    <w:qFormat/>
    <w:uiPriority w:val="99"/>
    <w:pPr>
      <w:widowControl/>
      <w:spacing w:line="290" w:lineRule="auto"/>
    </w:pPr>
    <w:rPr>
      <w:rFonts w:ascii="Arial" w:hAnsi="Arial" w:eastAsia="黑体" w:cs="Arial"/>
      <w:b/>
      <w:bCs/>
      <w:kern w:val="20"/>
      <w:sz w:val="24"/>
      <w:szCs w:val="24"/>
      <w:lang w:val="en-GB" w:eastAsia="en-US"/>
    </w:rPr>
  </w:style>
  <w:style w:type="paragraph" w:customStyle="1" w:styleId="135">
    <w:name w:val="Level 6"/>
    <w:basedOn w:val="129"/>
    <w:qFormat/>
    <w:uiPriority w:val="99"/>
    <w:pPr>
      <w:numPr>
        <w:ilvl w:val="5"/>
      </w:numPr>
      <w:outlineLvl w:val="5"/>
    </w:pPr>
  </w:style>
  <w:style w:type="paragraph" w:customStyle="1" w:styleId="136">
    <w:name w:val="Level 7"/>
    <w:basedOn w:val="1"/>
    <w:qFormat/>
    <w:uiPriority w:val="99"/>
    <w:pPr>
      <w:widowControl/>
      <w:numPr>
        <w:ilvl w:val="6"/>
        <w:numId w:val="2"/>
      </w:numPr>
      <w:spacing w:after="120" w:line="336" w:lineRule="auto"/>
      <w:outlineLvl w:val="6"/>
    </w:pPr>
    <w:rPr>
      <w:rFonts w:ascii="Arial" w:hAnsi="Arial" w:cs="Arial"/>
      <w:w w:val="105"/>
      <w:kern w:val="20"/>
      <w:sz w:val="24"/>
      <w:szCs w:val="24"/>
      <w:lang w:val="en-GB" w:eastAsia="en-US"/>
    </w:rPr>
  </w:style>
  <w:style w:type="paragraph" w:customStyle="1" w:styleId="137">
    <w:name w:val="WPSOffice手动目录 1"/>
    <w:qFormat/>
    <w:uiPriority w:val="99"/>
    <w:rPr>
      <w:rFonts w:ascii="Times New Roman" w:hAnsi="Times New Roman" w:eastAsia="宋体" w:cs="Times New Roman"/>
      <w:lang w:val="en-US" w:eastAsia="zh-CN" w:bidi="ar-SA"/>
    </w:rPr>
  </w:style>
  <w:style w:type="paragraph" w:customStyle="1" w:styleId="138">
    <w:name w:val="04 Recitals"/>
    <w:basedOn w:val="127"/>
    <w:qFormat/>
    <w:uiPriority w:val="99"/>
    <w:pPr>
      <w:numPr>
        <w:ilvl w:val="0"/>
        <w:numId w:val="4"/>
      </w:numPr>
    </w:pPr>
  </w:style>
  <w:style w:type="paragraph" w:customStyle="1" w:styleId="139">
    <w:name w:val="zFSNarrative"/>
    <w:basedOn w:val="1"/>
    <w:qFormat/>
    <w:uiPriority w:val="99"/>
    <w:pPr>
      <w:widowControl/>
      <w:spacing w:before="120" w:after="120" w:line="290" w:lineRule="auto"/>
      <w:jc w:val="center"/>
    </w:pPr>
    <w:rPr>
      <w:rFonts w:ascii="Arial" w:hAnsi="Arial" w:cs="Arial"/>
      <w:kern w:val="20"/>
      <w:sz w:val="20"/>
      <w:szCs w:val="20"/>
      <w:lang w:val="en-GB" w:eastAsia="en-US"/>
    </w:rPr>
  </w:style>
  <w:style w:type="paragraph" w:customStyle="1" w:styleId="140">
    <w:name w:val="02 Parties"/>
    <w:basedOn w:val="1"/>
    <w:qFormat/>
    <w:uiPriority w:val="99"/>
    <w:pPr>
      <w:widowControl/>
      <w:numPr>
        <w:ilvl w:val="0"/>
        <w:numId w:val="5"/>
      </w:numPr>
      <w:spacing w:line="290" w:lineRule="auto"/>
    </w:pPr>
    <w:rPr>
      <w:rFonts w:ascii="Arial" w:hAnsi="Arial" w:cs="Arial"/>
      <w:kern w:val="20"/>
      <w:sz w:val="24"/>
      <w:szCs w:val="24"/>
      <w:lang w:val="en-GB" w:eastAsia="en-US"/>
    </w:rPr>
  </w:style>
  <w:style w:type="paragraph" w:customStyle="1" w:styleId="141">
    <w:name w:val="修订1"/>
    <w:qFormat/>
    <w:uiPriority w:val="99"/>
    <w:rPr>
      <w:rFonts w:ascii="Times New Roman" w:hAnsi="Times New Roman" w:eastAsia="宋体" w:cs="Times New Roman"/>
      <w:kern w:val="2"/>
      <w:sz w:val="21"/>
      <w:szCs w:val="21"/>
      <w:lang w:val="en-US" w:eastAsia="zh-CN" w:bidi="ar-SA"/>
    </w:rPr>
  </w:style>
  <w:style w:type="paragraph" w:customStyle="1" w:styleId="142">
    <w:name w:val="Char Char Char Char Char Char Char"/>
    <w:basedOn w:val="1"/>
    <w:qFormat/>
    <w:uiPriority w:val="99"/>
    <w:rPr>
      <w:rFonts w:ascii="仿宋_GB2312" w:eastAsia="仿宋_GB2312" w:cs="仿宋_GB2312"/>
      <w:spacing w:val="-4"/>
      <w:sz w:val="32"/>
      <w:szCs w:val="32"/>
    </w:rPr>
  </w:style>
  <w:style w:type="paragraph" w:customStyle="1" w:styleId="143">
    <w:name w:val="Level 3"/>
    <w:basedOn w:val="1"/>
    <w:qFormat/>
    <w:uiPriority w:val="99"/>
    <w:pPr>
      <w:numPr>
        <w:ilvl w:val="2"/>
        <w:numId w:val="2"/>
      </w:numPr>
      <w:spacing w:after="120" w:line="336" w:lineRule="auto"/>
      <w:outlineLvl w:val="2"/>
    </w:pPr>
    <w:rPr>
      <w:rFonts w:ascii="Arial" w:hAnsi="Arial" w:cs="Arial"/>
      <w:w w:val="105"/>
      <w:kern w:val="20"/>
      <w:sz w:val="24"/>
      <w:szCs w:val="24"/>
      <w:lang w:val="en-GB" w:eastAsia="en-US"/>
    </w:rPr>
  </w:style>
  <w:style w:type="paragraph" w:styleId="144">
    <w:name w:val="List Paragraph"/>
    <w:basedOn w:val="1"/>
    <w:qFormat/>
    <w:uiPriority w:val="99"/>
    <w:pPr>
      <w:ind w:firstLine="420" w:firstLineChars="200"/>
    </w:pPr>
  </w:style>
  <w:style w:type="paragraph" w:customStyle="1" w:styleId="145">
    <w:name w:val="zFSco-names"/>
    <w:basedOn w:val="1"/>
    <w:next w:val="1"/>
    <w:qFormat/>
    <w:uiPriority w:val="99"/>
    <w:pPr>
      <w:widowControl/>
      <w:spacing w:before="120" w:after="120" w:line="290" w:lineRule="auto"/>
      <w:jc w:val="center"/>
    </w:pPr>
    <w:rPr>
      <w:rFonts w:ascii="Arial" w:hAnsi="Arial" w:cs="Arial"/>
      <w:kern w:val="24"/>
      <w:sz w:val="24"/>
      <w:szCs w:val="24"/>
      <w:lang w:val="en-GB" w:eastAsia="en-US"/>
    </w:rPr>
  </w:style>
  <w:style w:type="paragraph" w:customStyle="1" w:styleId="146">
    <w:name w:val="Level 2"/>
    <w:basedOn w:val="1"/>
    <w:next w:val="1"/>
    <w:qFormat/>
    <w:uiPriority w:val="99"/>
    <w:pPr>
      <w:numPr>
        <w:ilvl w:val="1"/>
        <w:numId w:val="2"/>
      </w:numPr>
      <w:spacing w:line="360" w:lineRule="auto"/>
      <w:outlineLvl w:val="1"/>
    </w:pPr>
    <w:rPr>
      <w:rFonts w:ascii="Arial" w:hAnsi="Arial" w:cs="Arial"/>
      <w:w w:val="105"/>
      <w:kern w:val="20"/>
      <w:sz w:val="24"/>
      <w:szCs w:val="24"/>
      <w:lang w:val="en-GB" w:eastAsia="en-US"/>
    </w:rPr>
  </w:style>
  <w:style w:type="paragraph" w:customStyle="1" w:styleId="147">
    <w:name w:val="PT-WZ"/>
    <w:qFormat/>
    <w:uiPriority w:val="99"/>
    <w:pPr>
      <w:widowControl w:val="0"/>
      <w:adjustRightInd w:val="0"/>
      <w:snapToGrid w:val="0"/>
      <w:spacing w:line="500" w:lineRule="exact"/>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48">
    <w:name w:val="Heading 81"/>
    <w:basedOn w:val="1"/>
    <w:qFormat/>
    <w:uiPriority w:val="99"/>
    <w:pPr>
      <w:autoSpaceDE w:val="0"/>
      <w:autoSpaceDN w:val="0"/>
      <w:ind w:left="765"/>
      <w:jc w:val="left"/>
      <w:outlineLvl w:val="8"/>
    </w:pPr>
    <w:rPr>
      <w:rFonts w:ascii="宋体" w:hAnsi="宋体" w:cs="宋体"/>
      <w:b/>
      <w:bCs/>
      <w:kern w:val="0"/>
      <w:lang w:val="zh-CN"/>
    </w:rPr>
  </w:style>
  <w:style w:type="paragraph" w:customStyle="1" w:styleId="149">
    <w:name w:val="标题 81"/>
    <w:basedOn w:val="1"/>
    <w:qFormat/>
    <w:uiPriority w:val="1"/>
    <w:pPr>
      <w:autoSpaceDE w:val="0"/>
      <w:autoSpaceDN w:val="0"/>
      <w:ind w:left="765"/>
      <w:jc w:val="left"/>
      <w:outlineLvl w:val="8"/>
    </w:pPr>
    <w:rPr>
      <w:rFonts w:ascii="宋体" w:hAnsi="宋体" w:cs="宋体"/>
      <w:b/>
      <w:bCs/>
      <w:kern w:val="0"/>
      <w:lang w:val="zh-CN" w:bidi="zh-CN"/>
    </w:rPr>
  </w:style>
  <w:style w:type="character" w:customStyle="1" w:styleId="150">
    <w:name w:val="fontstyle01"/>
    <w:qFormat/>
    <w:uiPriority w:val="0"/>
    <w:rPr>
      <w:rFonts w:hint="default" w:ascii="Times New Roman" w:hAnsi="Times New Roman" w:eastAsia="宋体" w:cs="Times New Roman"/>
      <w:color w:val="000000"/>
      <w:sz w:val="22"/>
      <w:szCs w:val="22"/>
    </w:rPr>
  </w:style>
  <w:style w:type="paragraph" w:customStyle="1" w:styleId="151">
    <w:name w:val="_Style 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2">
    <w:name w:val="1"/>
    <w:basedOn w:val="1"/>
    <w:next w:val="24"/>
    <w:qFormat/>
    <w:uiPriority w:val="0"/>
    <w:rPr>
      <w:rFonts w:ascii="宋体" w:hAnsi="Courier New"/>
      <w:szCs w:val="20"/>
    </w:rPr>
  </w:style>
  <w:style w:type="paragraph" w:customStyle="1" w:styleId="153">
    <w:name w:val="2"/>
    <w:basedOn w:val="1"/>
    <w:next w:val="24"/>
    <w:qFormat/>
    <w:uiPriority w:val="0"/>
    <w:rPr>
      <w:rFonts w:ascii="宋体" w:hAnsi="Courier New"/>
      <w:szCs w:val="20"/>
    </w:rPr>
  </w:style>
  <w:style w:type="paragraph" w:customStyle="1" w:styleId="154">
    <w:name w:val="标题 1_0"/>
    <w:basedOn w:val="155"/>
    <w:next w:val="155"/>
    <w:qFormat/>
    <w:uiPriority w:val="0"/>
    <w:pPr>
      <w:keepNext/>
      <w:keepLines/>
      <w:spacing w:line="360" w:lineRule="auto"/>
      <w:outlineLvl w:val="0"/>
    </w:pPr>
    <w:rPr>
      <w:rFonts w:ascii="Times New Roman" w:hAnsi="Times New Roman" w:eastAsia="黑体" w:cs="Times New Roman"/>
      <w:b/>
      <w:bCs/>
      <w:kern w:val="44"/>
      <w:sz w:val="32"/>
      <w:szCs w:val="32"/>
    </w:rPr>
  </w:style>
  <w:style w:type="paragraph" w:customStyle="1" w:styleId="155">
    <w:name w:val="正文_2"/>
    <w:basedOn w:val="156"/>
    <w:next w:val="158"/>
    <w:qFormat/>
    <w:uiPriority w:val="0"/>
    <w:rPr>
      <w:szCs w:val="22"/>
    </w:rPr>
  </w:style>
  <w:style w:type="paragraph" w:customStyle="1" w:styleId="156">
    <w:name w:val="正文_3"/>
    <w:basedOn w:val="157"/>
    <w:qFormat/>
    <w:uiPriority w:val="0"/>
    <w:rPr>
      <w:rFonts w:cs="宋体"/>
      <w:szCs w:val="21"/>
    </w:rPr>
  </w:style>
  <w:style w:type="paragraph" w:customStyle="1" w:styleId="157">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8">
    <w:name w:val="标题 4_0"/>
    <w:basedOn w:val="159"/>
    <w:next w:val="155"/>
    <w:qFormat/>
    <w:uiPriority w:val="0"/>
    <w:pPr>
      <w:keepNext/>
      <w:keepLines/>
      <w:spacing w:line="360" w:lineRule="auto"/>
      <w:outlineLvl w:val="3"/>
    </w:pPr>
    <w:rPr>
      <w:rFonts w:ascii="Arial" w:hAnsi="Arial"/>
      <w:b/>
      <w:bCs/>
      <w:szCs w:val="28"/>
    </w:rPr>
  </w:style>
  <w:style w:type="paragraph" w:customStyle="1" w:styleId="159">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0">
    <w:name w:val="正文_2_0"/>
    <w:basedOn w:val="156"/>
    <w:qFormat/>
    <w:uiPriority w:val="0"/>
  </w:style>
  <w:style w:type="paragraph" w:customStyle="1" w:styleId="161">
    <w:name w:val="正文_1"/>
    <w:qFormat/>
    <w:uiPriority w:val="99"/>
    <w:pPr>
      <w:widowControl w:val="0"/>
      <w:jc w:val="both"/>
    </w:pPr>
    <w:rPr>
      <w:rFonts w:ascii="Times New Roman" w:hAnsi="Times New Roman" w:eastAsia="宋体" w:cs="Times New Roman"/>
      <w:kern w:val="2"/>
      <w:sz w:val="21"/>
      <w:szCs w:val="21"/>
      <w:lang w:val="en-US" w:eastAsia="zh-CN" w:bidi="ar-SA"/>
    </w:rPr>
  </w:style>
  <w:style w:type="paragraph" w:styleId="162">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3">
    <w:name w:val="无间隔1"/>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164">
    <w:name w:val="List Paragraph1"/>
    <w:basedOn w:val="1"/>
    <w:qFormat/>
    <w:uiPriority w:val="0"/>
    <w:pPr>
      <w:widowControl/>
      <w:spacing w:after="200" w:line="276" w:lineRule="auto"/>
      <w:ind w:left="720"/>
      <w:jc w:val="left"/>
    </w:pPr>
    <w:rPr>
      <w:rFonts w:ascii="Calibri" w:hAnsi="Calibri"/>
      <w:kern w:val="0"/>
      <w:sz w:val="22"/>
      <w:szCs w:val="22"/>
    </w:rPr>
  </w:style>
  <w:style w:type="character" w:customStyle="1" w:styleId="165">
    <w:name w:val="NormalCharacter"/>
    <w:qFormat/>
    <w:uiPriority w:val="0"/>
  </w:style>
  <w:style w:type="paragraph" w:customStyle="1" w:styleId="166">
    <w:name w:val="正文1"/>
    <w:basedOn w:val="1"/>
    <w:qFormat/>
    <w:uiPriority w:val="0"/>
    <w:pPr>
      <w:adjustRightInd w:val="0"/>
      <w:spacing w:line="318" w:lineRule="atLeast"/>
      <w:ind w:left="369" w:firstLine="369"/>
      <w:textAlignment w:val="baseline"/>
    </w:pPr>
    <w:rPr>
      <w:rFonts w:ascii="Times New Roman" w:hAnsi="Times New Roman" w:eastAsia="宋体" w:cs="Times New Roman"/>
      <w:szCs w:val="20"/>
    </w:rPr>
  </w:style>
  <w:style w:type="paragraph" w:customStyle="1" w:styleId="167">
    <w:name w:val="p0"/>
    <w:basedOn w:val="1"/>
    <w:qFormat/>
    <w:uiPriority w:val="0"/>
    <w:pPr>
      <w:widowControl/>
    </w:pPr>
    <w:rPr>
      <w:kern w:val="0"/>
      <w:szCs w:val="21"/>
    </w:rPr>
  </w:style>
  <w:style w:type="paragraph" w:customStyle="1" w:styleId="168">
    <w:name w:val="正文2"/>
    <w:basedOn w:val="1"/>
    <w:qFormat/>
    <w:uiPriority w:val="0"/>
    <w:pPr>
      <w:adjustRightInd w:val="0"/>
      <w:spacing w:before="156" w:line="360" w:lineRule="auto"/>
      <w:ind w:firstLine="510" w:firstLineChars="200"/>
    </w:pPr>
    <w:rPr>
      <w:kern w:val="0"/>
      <w:sz w:val="24"/>
      <w:szCs w:val="20"/>
    </w:rPr>
  </w:style>
  <w:style w:type="paragraph" w:customStyle="1" w:styleId="169">
    <w:name w:val="正文文本_0"/>
    <w:basedOn w:val="155"/>
    <w:qFormat/>
    <w:uiPriority w:val="99"/>
    <w:pPr>
      <w:adjustRightInd w:val="0"/>
      <w:spacing w:after="60" w:line="360" w:lineRule="atLeast"/>
      <w:ind w:left="72" w:leftChars="30" w:right="30" w:rightChars="30"/>
      <w:jc w:val="center"/>
      <w:textAlignment w:val="baseline"/>
    </w:pPr>
    <w:rPr>
      <w:szCs w:val="22"/>
    </w:rPr>
  </w:style>
  <w:style w:type="paragraph" w:customStyle="1" w:styleId="170">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1">
    <w:name w:val="UserStyle_106"/>
    <w:qFormat/>
    <w:uiPriority w:val="0"/>
    <w:pPr>
      <w:spacing w:line="240" w:lineRule="auto"/>
      <w:jc w:val="both"/>
      <w:textAlignment w:val="baseline"/>
    </w:pPr>
    <w:rPr>
      <w:rFonts w:ascii="Times New Roman" w:hAnsi="Times New Roman" w:eastAsia="宋体" w:cs="Times New Roman"/>
      <w:kern w:val="2"/>
      <w:sz w:val="21"/>
      <w:szCs w:val="24"/>
      <w:lang w:val="en-US" w:eastAsia="zh-CN" w:bidi="ar-SA"/>
    </w:rPr>
  </w:style>
  <w:style w:type="paragraph" w:customStyle="1" w:styleId="172">
    <w:name w:val="标题 2_1"/>
    <w:basedOn w:val="160"/>
    <w:next w:val="160"/>
    <w:semiHidden/>
    <w:qFormat/>
    <w:uiPriority w:val="0"/>
    <w:pPr>
      <w:keepNext/>
      <w:keepLines/>
      <w:spacing w:before="260" w:after="260" w:line="415" w:lineRule="auto"/>
      <w:outlineLvl w:val="1"/>
    </w:pPr>
    <w:rPr>
      <w:rFonts w:ascii="Cambria" w:hAnsi="Cambria"/>
      <w:b/>
      <w:bCs/>
      <w:sz w:val="32"/>
      <w:szCs w:val="32"/>
    </w:rPr>
  </w:style>
  <w:style w:type="paragraph" w:customStyle="1" w:styleId="173">
    <w:name w:val="标题 3_0"/>
    <w:basedOn w:val="155"/>
    <w:next w:val="160"/>
    <w:qFormat/>
    <w:uiPriority w:val="99"/>
    <w:pPr>
      <w:keepNext/>
      <w:keepLines/>
      <w:spacing w:line="360" w:lineRule="auto"/>
      <w:outlineLvl w:val="2"/>
    </w:pPr>
    <w:rPr>
      <w:rFonts w:eastAsia="黑体"/>
      <w:b/>
      <w:bCs/>
      <w:szCs w:val="32"/>
    </w:rPr>
  </w:style>
  <w:style w:type="paragraph" w:customStyle="1" w:styleId="174">
    <w:name w:val="正文_2_0_0"/>
    <w:basedOn w:val="175"/>
    <w:qFormat/>
    <w:uiPriority w:val="0"/>
  </w:style>
  <w:style w:type="paragraph" w:customStyle="1" w:styleId="175">
    <w:name w:val="正文_2_1"/>
    <w:basedOn w:val="176"/>
    <w:qFormat/>
    <w:uiPriority w:val="0"/>
  </w:style>
  <w:style w:type="paragraph" w:customStyle="1" w:styleId="176">
    <w:name w:val="正文_2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7">
    <w:name w:val="批注文字_0"/>
    <w:basedOn w:val="156"/>
    <w:unhideWhenUsed/>
    <w:qFormat/>
    <w:uiPriority w:val="0"/>
    <w:pPr>
      <w:jc w:val="left"/>
    </w:pPr>
    <w:rPr>
      <w:rFonts w:ascii="Times New Roman" w:hAnsi="Times New Roman"/>
    </w:rPr>
  </w:style>
  <w:style w:type="paragraph" w:customStyle="1" w:styleId="178">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9">
    <w:name w:val="正文_1_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80">
    <w:name w:val="标题 2 Char_1"/>
    <w:link w:val="181"/>
    <w:qFormat/>
    <w:uiPriority w:val="0"/>
    <w:rPr>
      <w:rFonts w:ascii="Cambria" w:hAnsi="Cambria"/>
      <w:b/>
      <w:bCs/>
      <w:kern w:val="0"/>
      <w:sz w:val="32"/>
      <w:szCs w:val="32"/>
    </w:rPr>
  </w:style>
  <w:style w:type="paragraph" w:customStyle="1" w:styleId="181">
    <w:name w:val="标题 2_2"/>
    <w:basedOn w:val="155"/>
    <w:next w:val="155"/>
    <w:link w:val="180"/>
    <w:qFormat/>
    <w:uiPriority w:val="0"/>
    <w:pPr>
      <w:keepNext/>
      <w:keepLines/>
      <w:spacing w:before="260" w:after="260" w:line="416" w:lineRule="auto"/>
      <w:outlineLvl w:val="1"/>
    </w:pPr>
    <w:rPr>
      <w:rFonts w:ascii="Cambria" w:hAnsi="Cambria"/>
      <w:b/>
      <w:bCs/>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139</Pages>
  <Words>11995</Words>
  <Characters>13353</Characters>
  <Lines>501</Lines>
  <Paragraphs>141</Paragraphs>
  <TotalTime>2</TotalTime>
  <ScaleCrop>false</ScaleCrop>
  <LinksUpToDate>false</LinksUpToDate>
  <CharactersWithSpaces>13920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2020-12-01T08:04:00Z</dcterms:created>
  <dc:creator>NTKO</dc:creator>
  <cp:lastModifiedBy>/</cp:lastModifiedBy>
  <cp:lastPrinted>2022-12-28T03:21:00Z</cp:lastPrinted>
  <dcterms:modified xsi:type="dcterms:W3CDTF">2025-08-14T02:54:36Z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4DFCA7C9B55046DBB0344FD282B34D46_13</vt:lpwstr>
  </property>
  <property fmtid="{D5CDD505-2E9C-101B-9397-08002B2CF9AE}" pid="4" name="KSOTemplateDocerSaveRecord">
    <vt:lpwstr>eyJoZGlkIjoiNDZhMDIyNmU4ZTg3YTRlNjI0YTAzNjQwYjBlMDVmMzkiLCJ1c2VySWQiOiIyOTc2OTEyMjcifQ==</vt:lpwstr>
  </property>
</Properties>
</file>