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00664">
      <w:pPr>
        <w:widowControl/>
        <w:spacing w:line="360" w:lineRule="auto"/>
        <w:rPr>
          <w:rFonts w:hAnsi="宋体"/>
          <w:color w:val="auto"/>
          <w:kern w:val="0"/>
          <w:szCs w:val="21"/>
          <w:highlight w:val="none"/>
        </w:rPr>
      </w:pPr>
    </w:p>
    <w:p w14:paraId="68E4F64F">
      <w:pPr>
        <w:widowControl/>
        <w:spacing w:line="360" w:lineRule="auto"/>
        <w:jc w:val="center"/>
        <w:rPr>
          <w:rFonts w:hAnsi="宋体"/>
          <w:color w:val="auto"/>
          <w:kern w:val="0"/>
          <w:szCs w:val="21"/>
          <w:highlight w:val="none"/>
        </w:rPr>
      </w:pPr>
      <w:r>
        <w:rPr>
          <w:rFonts w:hAnsi="宋体"/>
          <w:color w:val="auto"/>
          <w:kern w:val="0"/>
          <w:szCs w:val="21"/>
          <w:highlight w:val="none"/>
        </w:rPr>
        <w:drawing>
          <wp:anchor distT="0" distB="0" distL="0" distR="0" simplePos="0" relativeHeight="251659264" behindDoc="0" locked="0" layoutInCell="1" allowOverlap="1">
            <wp:simplePos x="0" y="0"/>
            <wp:positionH relativeFrom="column">
              <wp:posOffset>109855</wp:posOffset>
            </wp:positionH>
            <wp:positionV relativeFrom="paragraph">
              <wp:posOffset>151765</wp:posOffset>
            </wp:positionV>
            <wp:extent cx="5419725" cy="1200150"/>
            <wp:effectExtent l="0" t="0" r="0" b="0"/>
            <wp:wrapNone/>
            <wp:docPr id="1026" name="图片 2" descr="I:\03★工作★（硬盘）\2018年项目-2022年项目-招标\5、2022年项目\（2.28投标入库）南宁轨道地产集团有限责任公司2022-2025年招标代理服务\招标公司-名称.png"/>
            <wp:cNvGraphicFramePr/>
            <a:graphic xmlns:a="http://schemas.openxmlformats.org/drawingml/2006/main">
              <a:graphicData uri="http://schemas.openxmlformats.org/drawingml/2006/picture">
                <pic:pic xmlns:pic="http://schemas.openxmlformats.org/drawingml/2006/picture">
                  <pic:nvPicPr>
                    <pic:cNvPr id="1026" name="图片 2" descr="I:\03★工作★（硬盘）\2018年项目-2022年项目-招标\5、2022年项目\（2.28投标入库）南宁轨道地产集团有限责任公司2022-2025年招标代理服务\招标公司-名称.png"/>
                    <pic:cNvPicPr/>
                  </pic:nvPicPr>
                  <pic:blipFill>
                    <a:blip r:embed="rId12" cstate="print"/>
                    <a:srcRect r="6452"/>
                    <a:stretch>
                      <a:fillRect/>
                    </a:stretch>
                  </pic:blipFill>
                  <pic:spPr>
                    <a:xfrm>
                      <a:off x="0" y="0"/>
                      <a:ext cx="5419725" cy="1200150"/>
                    </a:xfrm>
                    <a:prstGeom prst="rect">
                      <a:avLst/>
                    </a:prstGeom>
                    <a:ln>
                      <a:noFill/>
                    </a:ln>
                  </pic:spPr>
                </pic:pic>
              </a:graphicData>
            </a:graphic>
          </wp:anchor>
        </w:drawing>
      </w:r>
    </w:p>
    <w:p w14:paraId="47144A71">
      <w:pPr>
        <w:widowControl/>
        <w:spacing w:line="360" w:lineRule="auto"/>
        <w:jc w:val="center"/>
        <w:rPr>
          <w:rFonts w:hAnsi="宋体"/>
          <w:color w:val="auto"/>
          <w:kern w:val="0"/>
          <w:szCs w:val="21"/>
          <w:highlight w:val="none"/>
        </w:rPr>
      </w:pPr>
    </w:p>
    <w:p w14:paraId="7B70F0F5">
      <w:pPr>
        <w:spacing w:line="360" w:lineRule="auto"/>
        <w:jc w:val="center"/>
        <w:rPr>
          <w:rFonts w:ascii="宋体" w:hAnsi="宋体"/>
          <w:b/>
          <w:color w:val="auto"/>
          <w:kern w:val="0"/>
          <w:sz w:val="44"/>
          <w:szCs w:val="44"/>
          <w:highlight w:val="none"/>
        </w:rPr>
      </w:pPr>
    </w:p>
    <w:p w14:paraId="050B64E0">
      <w:pPr>
        <w:spacing w:line="360" w:lineRule="auto"/>
        <w:jc w:val="center"/>
        <w:rPr>
          <w:rFonts w:ascii="宋体" w:hAnsi="宋体"/>
          <w:b/>
          <w:color w:val="auto"/>
          <w:kern w:val="0"/>
          <w:sz w:val="44"/>
          <w:szCs w:val="44"/>
          <w:highlight w:val="none"/>
        </w:rPr>
      </w:pPr>
    </w:p>
    <w:p w14:paraId="286A0E34">
      <w:pPr>
        <w:spacing w:after="156" w:afterLines="50" w:line="360" w:lineRule="auto"/>
        <w:jc w:val="center"/>
        <w:outlineLvl w:val="0"/>
        <w:rPr>
          <w:rFonts w:ascii="宋体" w:hAnsi="宋体"/>
          <w:b/>
          <w:color w:val="auto"/>
          <w:kern w:val="0"/>
          <w:sz w:val="44"/>
          <w:szCs w:val="44"/>
          <w:highlight w:val="none"/>
        </w:rPr>
      </w:pPr>
      <w:r>
        <w:rPr>
          <w:rFonts w:hint="eastAsia" w:ascii="宋体" w:hAnsi="宋体"/>
          <w:b/>
          <w:color w:val="auto"/>
          <w:kern w:val="0"/>
          <w:sz w:val="44"/>
          <w:szCs w:val="44"/>
          <w:highlight w:val="none"/>
        </w:rPr>
        <w:t>广西壮族自治区政府采购</w:t>
      </w:r>
    </w:p>
    <w:p w14:paraId="51398133">
      <w:pPr>
        <w:snapToGrid w:val="0"/>
        <w:spacing w:before="156" w:beforeLines="50" w:line="360" w:lineRule="auto"/>
        <w:jc w:val="center"/>
        <w:outlineLvl w:val="0"/>
        <w:rPr>
          <w:rFonts w:ascii="宋体" w:hAnsi="宋体" w:cs="宋体"/>
          <w:b/>
          <w:bCs/>
          <w:color w:val="auto"/>
          <w:sz w:val="72"/>
          <w:szCs w:val="72"/>
          <w:highlight w:val="none"/>
        </w:rPr>
      </w:pPr>
      <w:r>
        <w:rPr>
          <w:rFonts w:hint="eastAsia" w:ascii="宋体" w:hAnsi="宋体" w:cs="宋体"/>
          <w:b/>
          <w:bCs/>
          <w:color w:val="auto"/>
          <w:sz w:val="72"/>
          <w:szCs w:val="72"/>
          <w:highlight w:val="none"/>
        </w:rPr>
        <w:t>竞争性磋商文件</w:t>
      </w:r>
    </w:p>
    <w:p w14:paraId="3D65CBF2">
      <w:pPr>
        <w:snapToGrid w:val="0"/>
        <w:spacing w:before="156" w:beforeLines="50" w:line="360" w:lineRule="auto"/>
        <w:jc w:val="center"/>
        <w:outlineLvl w:val="0"/>
        <w:rPr>
          <w:rFonts w:ascii="宋体" w:hAnsi="宋体"/>
          <w:color w:val="auto"/>
          <w:sz w:val="40"/>
          <w:szCs w:val="40"/>
          <w:highlight w:val="none"/>
        </w:rPr>
      </w:pPr>
      <w:r>
        <w:rPr>
          <w:rFonts w:hint="eastAsia" w:ascii="宋体" w:hAnsi="宋体"/>
          <w:color w:val="auto"/>
          <w:sz w:val="40"/>
          <w:szCs w:val="40"/>
          <w:highlight w:val="none"/>
        </w:rPr>
        <w:t>（全流程电子化采购）</w:t>
      </w:r>
    </w:p>
    <w:p w14:paraId="466DF796">
      <w:pPr>
        <w:snapToGrid w:val="0"/>
        <w:spacing w:line="360" w:lineRule="auto"/>
        <w:rPr>
          <w:rFonts w:ascii="宋体" w:hAnsi="宋体" w:cs="宋体"/>
          <w:b/>
          <w:color w:val="auto"/>
          <w:sz w:val="48"/>
          <w:szCs w:val="48"/>
          <w:highlight w:val="none"/>
        </w:rPr>
      </w:pPr>
    </w:p>
    <w:p w14:paraId="042ADEA3">
      <w:pPr>
        <w:pStyle w:val="19"/>
        <w:snapToGrid w:val="0"/>
        <w:spacing w:line="360" w:lineRule="auto"/>
        <w:jc w:val="center"/>
        <w:rPr>
          <w:rFonts w:hAnsi="宋体" w:cs="宋体"/>
          <w:b/>
          <w:bCs/>
          <w:color w:val="auto"/>
          <w:sz w:val="30"/>
          <w:szCs w:val="30"/>
          <w:highlight w:val="none"/>
        </w:rPr>
      </w:pPr>
    </w:p>
    <w:p w14:paraId="4BDEB351">
      <w:pPr>
        <w:pStyle w:val="19"/>
        <w:snapToGrid w:val="0"/>
        <w:spacing w:line="360" w:lineRule="auto"/>
        <w:ind w:firstLine="643" w:firstLineChars="200"/>
        <w:jc w:val="left"/>
        <w:outlineLvl w:val="0"/>
        <w:rPr>
          <w:rFonts w:hint="eastAsia" w:hAnsi="宋体" w:eastAsia="宋体" w:cs="宋体"/>
          <w:b/>
          <w:bCs/>
          <w:color w:val="auto"/>
          <w:kern w:val="44"/>
          <w:sz w:val="32"/>
          <w:szCs w:val="32"/>
          <w:highlight w:val="none"/>
          <w:lang w:eastAsia="zh-CN"/>
        </w:rPr>
      </w:pPr>
      <w:r>
        <w:rPr>
          <w:rFonts w:hint="eastAsia" w:hAnsi="宋体" w:cs="宋体"/>
          <w:b/>
          <w:bCs/>
          <w:color w:val="auto"/>
          <w:kern w:val="44"/>
          <w:sz w:val="32"/>
          <w:szCs w:val="32"/>
          <w:highlight w:val="none"/>
        </w:rPr>
        <w:t>项目名称：</w:t>
      </w:r>
      <w:r>
        <w:rPr>
          <w:rFonts w:hint="eastAsia" w:hAnsi="宋体" w:cs="宋体"/>
          <w:b/>
          <w:bCs/>
          <w:color w:val="auto"/>
          <w:kern w:val="44"/>
          <w:sz w:val="32"/>
          <w:szCs w:val="32"/>
          <w:highlight w:val="none"/>
          <w:lang w:eastAsia="zh-CN"/>
        </w:rPr>
        <w:t>智慧文旅虚拟仿真实训基地二期建设项目</w:t>
      </w:r>
    </w:p>
    <w:p w14:paraId="27BC0B1C">
      <w:pPr>
        <w:pStyle w:val="19"/>
        <w:snapToGrid w:val="0"/>
        <w:spacing w:line="360" w:lineRule="auto"/>
        <w:ind w:firstLine="643" w:firstLineChars="200"/>
        <w:rPr>
          <w:rFonts w:hint="eastAsia" w:hAnsi="宋体" w:eastAsia="宋体" w:cs="宋体"/>
          <w:b/>
          <w:bCs/>
          <w:color w:val="auto"/>
          <w:kern w:val="44"/>
          <w:sz w:val="36"/>
          <w:szCs w:val="36"/>
          <w:highlight w:val="none"/>
          <w:lang w:eastAsia="zh-CN"/>
        </w:rPr>
      </w:pPr>
      <w:r>
        <w:rPr>
          <w:rFonts w:hint="eastAsia" w:hAnsi="宋体" w:cs="宋体"/>
          <w:b/>
          <w:bCs/>
          <w:color w:val="auto"/>
          <w:kern w:val="44"/>
          <w:sz w:val="32"/>
          <w:szCs w:val="32"/>
          <w:highlight w:val="none"/>
        </w:rPr>
        <w:t>项目编号：</w:t>
      </w:r>
      <w:r>
        <w:rPr>
          <w:rFonts w:hint="eastAsia" w:hAnsi="宋体"/>
          <w:b/>
          <w:color w:val="auto"/>
          <w:sz w:val="32"/>
          <w:szCs w:val="32"/>
          <w:highlight w:val="none"/>
          <w:lang w:eastAsia="zh-CN"/>
        </w:rPr>
        <w:t>GXZC2025-C3-003041-JGJD</w:t>
      </w:r>
    </w:p>
    <w:p w14:paraId="48E82152">
      <w:pPr>
        <w:pStyle w:val="19"/>
        <w:snapToGrid w:val="0"/>
        <w:spacing w:line="360" w:lineRule="auto"/>
        <w:ind w:firstLine="1205" w:firstLineChars="400"/>
        <w:rPr>
          <w:rFonts w:hAnsi="宋体" w:cs="宋体"/>
          <w:b/>
          <w:bCs/>
          <w:color w:val="auto"/>
          <w:sz w:val="30"/>
          <w:szCs w:val="30"/>
          <w:highlight w:val="none"/>
        </w:rPr>
      </w:pPr>
    </w:p>
    <w:p w14:paraId="10022386">
      <w:pPr>
        <w:snapToGrid w:val="0"/>
        <w:spacing w:line="360" w:lineRule="auto"/>
        <w:ind w:firstLine="1145" w:firstLineChars="400"/>
        <w:rPr>
          <w:rFonts w:ascii="宋体" w:hAnsi="宋体" w:cs="宋体"/>
          <w:b/>
          <w:bCs/>
          <w:color w:val="auto"/>
          <w:w w:val="95"/>
          <w:sz w:val="30"/>
          <w:szCs w:val="30"/>
          <w:highlight w:val="none"/>
        </w:rPr>
      </w:pPr>
    </w:p>
    <w:p w14:paraId="21FE802F">
      <w:pPr>
        <w:snapToGrid w:val="0"/>
        <w:spacing w:line="360" w:lineRule="auto"/>
        <w:rPr>
          <w:rFonts w:ascii="宋体" w:hAnsi="宋体" w:cs="宋体"/>
          <w:color w:val="auto"/>
          <w:sz w:val="30"/>
          <w:szCs w:val="72"/>
          <w:highlight w:val="none"/>
        </w:rPr>
      </w:pPr>
    </w:p>
    <w:p w14:paraId="73349495">
      <w:pPr>
        <w:pStyle w:val="19"/>
        <w:snapToGrid w:val="0"/>
        <w:spacing w:line="360" w:lineRule="auto"/>
        <w:ind w:firstLine="572" w:firstLineChars="200"/>
        <w:rPr>
          <w:rFonts w:hint="eastAsia" w:hAnsi="宋体" w:eastAsia="宋体" w:cs="宋体"/>
          <w:b/>
          <w:bCs/>
          <w:color w:val="auto"/>
          <w:w w:val="95"/>
          <w:sz w:val="30"/>
          <w:szCs w:val="30"/>
          <w:highlight w:val="none"/>
          <w:lang w:eastAsia="zh-CN"/>
        </w:rPr>
      </w:pPr>
      <w:r>
        <w:rPr>
          <w:rFonts w:hint="eastAsia" w:hAnsi="宋体" w:cs="宋体"/>
          <w:b/>
          <w:bCs/>
          <w:color w:val="auto"/>
          <w:w w:val="95"/>
          <w:sz w:val="30"/>
          <w:szCs w:val="30"/>
          <w:highlight w:val="none"/>
        </w:rPr>
        <w:t>采 购 人：</w:t>
      </w:r>
      <w:r>
        <w:rPr>
          <w:rFonts w:hint="eastAsia" w:hAnsi="宋体" w:cs="宋体"/>
          <w:b/>
          <w:color w:val="auto"/>
          <w:sz w:val="32"/>
          <w:szCs w:val="32"/>
          <w:highlight w:val="none"/>
          <w:lang w:eastAsia="zh-CN"/>
        </w:rPr>
        <w:t>广西国际商务职业技术学院</w:t>
      </w:r>
    </w:p>
    <w:p w14:paraId="738961F7">
      <w:pPr>
        <w:pStyle w:val="19"/>
        <w:snapToGrid w:val="0"/>
        <w:spacing w:line="360" w:lineRule="auto"/>
        <w:ind w:firstLine="572" w:firstLineChars="200"/>
        <w:rPr>
          <w:rFonts w:hAnsi="宋体" w:cs="宋体"/>
          <w:b/>
          <w:bCs/>
          <w:color w:val="auto"/>
          <w:w w:val="95"/>
          <w:sz w:val="30"/>
          <w:szCs w:val="30"/>
          <w:highlight w:val="none"/>
        </w:rPr>
      </w:pPr>
      <w:r>
        <w:rPr>
          <w:rFonts w:hint="eastAsia" w:hAnsi="宋体" w:cs="宋体"/>
          <w:b/>
          <w:bCs/>
          <w:color w:val="auto"/>
          <w:w w:val="95"/>
          <w:sz w:val="30"/>
          <w:szCs w:val="30"/>
          <w:highlight w:val="none"/>
        </w:rPr>
        <w:t>采购代理机构：</w:t>
      </w:r>
      <w:r>
        <w:rPr>
          <w:rFonts w:hint="eastAsia" w:hAnsi="宋体"/>
          <w:b/>
          <w:color w:val="auto"/>
          <w:sz w:val="32"/>
          <w:szCs w:val="32"/>
          <w:highlight w:val="none"/>
        </w:rPr>
        <w:t>广西建设工程机电设备招标中心有限公司</w:t>
      </w:r>
    </w:p>
    <w:p w14:paraId="202C24BD">
      <w:pPr>
        <w:pStyle w:val="19"/>
        <w:snapToGrid w:val="0"/>
        <w:spacing w:line="360" w:lineRule="auto"/>
        <w:ind w:left="420" w:firstLine="841" w:firstLineChars="294"/>
        <w:jc w:val="center"/>
        <w:rPr>
          <w:rFonts w:hAnsi="宋体" w:cs="宋体"/>
          <w:b/>
          <w:bCs/>
          <w:color w:val="auto"/>
          <w:w w:val="95"/>
          <w:sz w:val="30"/>
          <w:szCs w:val="30"/>
          <w:highlight w:val="none"/>
        </w:rPr>
      </w:pPr>
    </w:p>
    <w:p w14:paraId="5C40D2C2">
      <w:pPr>
        <w:pStyle w:val="19"/>
        <w:snapToGrid w:val="0"/>
        <w:spacing w:line="360" w:lineRule="auto"/>
        <w:ind w:left="420"/>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14</w:t>
      </w:r>
      <w:r>
        <w:rPr>
          <w:rFonts w:hint="eastAsia" w:hAnsi="宋体" w:cs="宋体"/>
          <w:b/>
          <w:bCs/>
          <w:color w:val="auto"/>
          <w:w w:val="95"/>
          <w:sz w:val="30"/>
          <w:szCs w:val="30"/>
          <w:highlight w:val="none"/>
        </w:rPr>
        <w:t>日</w:t>
      </w:r>
    </w:p>
    <w:p w14:paraId="7E156615">
      <w:pPr>
        <w:spacing w:line="360" w:lineRule="auto"/>
        <w:jc w:val="center"/>
        <w:rPr>
          <w:rFonts w:ascii="宋体" w:hAnsi="宋体" w:cs="宋体"/>
          <w:b/>
          <w:bCs/>
          <w:color w:val="auto"/>
          <w:kern w:val="0"/>
          <w:sz w:val="32"/>
          <w:szCs w:val="32"/>
          <w:highlight w:val="none"/>
        </w:rPr>
      </w:pPr>
    </w:p>
    <w:p w14:paraId="12ECDED3">
      <w:pPr>
        <w:widowControl/>
        <w:jc w:val="left"/>
        <w:rPr>
          <w:rFonts w:ascii="宋体" w:hAnsi="宋体" w:cs="宋体"/>
          <w:b/>
          <w:color w:val="auto"/>
          <w:sz w:val="44"/>
          <w:szCs w:val="44"/>
          <w:highlight w:val="none"/>
        </w:rPr>
      </w:pPr>
      <w:r>
        <w:rPr>
          <w:rFonts w:ascii="宋体" w:hAnsi="宋体" w:cs="宋体"/>
          <w:b/>
          <w:color w:val="auto"/>
          <w:sz w:val="44"/>
          <w:szCs w:val="44"/>
          <w:highlight w:val="none"/>
        </w:rPr>
        <w:br w:type="page"/>
      </w:r>
    </w:p>
    <w:p w14:paraId="1304D265">
      <w:pPr>
        <w:spacing w:line="360" w:lineRule="auto"/>
        <w:jc w:val="center"/>
        <w:rPr>
          <w:rFonts w:ascii="宋体" w:hAnsi="宋体" w:cs="宋体"/>
          <w:b/>
          <w:color w:val="auto"/>
          <w:sz w:val="44"/>
          <w:szCs w:val="44"/>
          <w:highlight w:val="none"/>
        </w:rPr>
      </w:pPr>
    </w:p>
    <w:p w14:paraId="11E579A2">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218DE16A">
      <w:pPr>
        <w:spacing w:line="400" w:lineRule="exact"/>
        <w:jc w:val="center"/>
        <w:rPr>
          <w:rFonts w:ascii="宋体" w:hAnsi="宋体" w:cs="宋体"/>
          <w:b/>
          <w:color w:val="auto"/>
          <w:sz w:val="44"/>
          <w:szCs w:val="44"/>
          <w:highlight w:val="none"/>
        </w:rPr>
      </w:pPr>
    </w:p>
    <w:p w14:paraId="018BDCF3">
      <w:pPr>
        <w:pStyle w:val="25"/>
        <w:tabs>
          <w:tab w:val="right" w:leader="dot" w:pos="9072"/>
        </w:tabs>
        <w:rPr>
          <w:rFonts w:ascii="宋体" w:hAnsi="宋体" w:cs="宋体"/>
          <w:b/>
          <w:bCs/>
          <w:color w:val="auto"/>
          <w:sz w:val="28"/>
          <w:szCs w:val="28"/>
          <w:highlight w:val="none"/>
        </w:rPr>
      </w:pPr>
      <w:r>
        <w:rPr>
          <w:rFonts w:hint="eastAsia" w:ascii="宋体" w:hAnsi="宋体" w:cs="宋体"/>
          <w:b/>
          <w:bCs/>
          <w:caps/>
          <w:color w:val="auto"/>
          <w:sz w:val="28"/>
          <w:szCs w:val="28"/>
          <w:highlight w:val="none"/>
        </w:rPr>
        <w:fldChar w:fldCharType="begin"/>
      </w:r>
      <w:r>
        <w:rPr>
          <w:rFonts w:hint="eastAsia" w:ascii="宋体" w:hAnsi="宋体" w:cs="宋体"/>
          <w:b/>
          <w:bCs/>
          <w:caps/>
          <w:color w:val="auto"/>
          <w:sz w:val="28"/>
          <w:szCs w:val="28"/>
          <w:highlight w:val="none"/>
        </w:rPr>
        <w:instrText xml:space="preserve"> TOC \o "1-3" \h \z \u </w:instrText>
      </w:r>
      <w:r>
        <w:rPr>
          <w:rFonts w:hint="eastAsia" w:ascii="宋体" w:hAnsi="宋体" w:cs="宋体"/>
          <w:b/>
          <w:bCs/>
          <w:caps/>
          <w:color w:val="auto"/>
          <w:sz w:val="28"/>
          <w:szCs w:val="28"/>
          <w:highlight w:val="none"/>
        </w:rPr>
        <w:fldChar w:fldCharType="separate"/>
      </w:r>
      <w:r>
        <w:rPr>
          <w:color w:val="auto"/>
          <w:highlight w:val="none"/>
        </w:rPr>
        <w:fldChar w:fldCharType="begin"/>
      </w:r>
      <w:r>
        <w:rPr>
          <w:color w:val="auto"/>
          <w:highlight w:val="none"/>
        </w:rPr>
        <w:instrText xml:space="preserve"> HYPERLINK \l "_Toc12078" </w:instrText>
      </w:r>
      <w:r>
        <w:rPr>
          <w:color w:val="auto"/>
          <w:highlight w:val="none"/>
        </w:rPr>
        <w:fldChar w:fldCharType="separate"/>
      </w:r>
      <w:r>
        <w:rPr>
          <w:rFonts w:hint="eastAsia" w:ascii="宋体" w:hAnsi="宋体" w:cs="宋体"/>
          <w:b/>
          <w:bCs/>
          <w:color w:val="auto"/>
          <w:sz w:val="28"/>
          <w:szCs w:val="28"/>
          <w:highlight w:val="none"/>
        </w:rPr>
        <w:t>第一章 竞争性磋商公告</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_Toc12078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06BF9843">
      <w:pPr>
        <w:pStyle w:val="25"/>
        <w:tabs>
          <w:tab w:val="right" w:leader="dot" w:pos="9072"/>
        </w:tabs>
        <w:rPr>
          <w:rFonts w:ascii="宋体" w:hAnsi="宋体" w:cs="宋体"/>
          <w:b/>
          <w:bCs/>
          <w:color w:val="auto"/>
          <w:sz w:val="28"/>
          <w:szCs w:val="28"/>
          <w:highlight w:val="none"/>
        </w:rPr>
      </w:pPr>
      <w:r>
        <w:rPr>
          <w:color w:val="auto"/>
          <w:highlight w:val="none"/>
        </w:rPr>
        <w:fldChar w:fldCharType="begin"/>
      </w:r>
      <w:r>
        <w:rPr>
          <w:color w:val="auto"/>
          <w:highlight w:val="none"/>
        </w:rPr>
        <w:instrText xml:space="preserve"> HYPERLINK \l "_Toc26779" </w:instrText>
      </w:r>
      <w:r>
        <w:rPr>
          <w:color w:val="auto"/>
          <w:highlight w:val="none"/>
        </w:rPr>
        <w:fldChar w:fldCharType="separate"/>
      </w:r>
      <w:r>
        <w:rPr>
          <w:rFonts w:hint="eastAsia" w:ascii="宋体" w:hAnsi="宋体" w:cs="宋体"/>
          <w:b/>
          <w:bCs/>
          <w:color w:val="auto"/>
          <w:sz w:val="28"/>
          <w:szCs w:val="28"/>
          <w:highlight w:val="none"/>
        </w:rPr>
        <w:t>第二章 供应商须知</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_Toc26779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7</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52045ECD">
      <w:pPr>
        <w:pStyle w:val="25"/>
        <w:tabs>
          <w:tab w:val="right" w:leader="dot" w:pos="9072"/>
        </w:tabs>
        <w:rPr>
          <w:rFonts w:ascii="宋体" w:hAnsi="宋体" w:cs="宋体"/>
          <w:b/>
          <w:bCs/>
          <w:color w:val="auto"/>
          <w:sz w:val="28"/>
          <w:szCs w:val="28"/>
          <w:highlight w:val="none"/>
        </w:rPr>
      </w:pPr>
      <w:r>
        <w:rPr>
          <w:color w:val="auto"/>
          <w:highlight w:val="none"/>
        </w:rPr>
        <w:fldChar w:fldCharType="begin"/>
      </w:r>
      <w:r>
        <w:rPr>
          <w:color w:val="auto"/>
          <w:highlight w:val="none"/>
        </w:rPr>
        <w:instrText xml:space="preserve"> HYPERLINK \l "_Toc10746" </w:instrText>
      </w:r>
      <w:r>
        <w:rPr>
          <w:color w:val="auto"/>
          <w:highlight w:val="none"/>
        </w:rPr>
        <w:fldChar w:fldCharType="separate"/>
      </w:r>
      <w:r>
        <w:rPr>
          <w:rFonts w:hint="eastAsia" w:ascii="宋体" w:hAnsi="宋体" w:cs="宋体"/>
          <w:b/>
          <w:bCs/>
          <w:color w:val="auto"/>
          <w:sz w:val="28"/>
          <w:szCs w:val="28"/>
          <w:highlight w:val="none"/>
        </w:rPr>
        <w:t>第三章 采购需求</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_Toc10746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29</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5DEC3338">
      <w:pPr>
        <w:pStyle w:val="25"/>
        <w:tabs>
          <w:tab w:val="right" w:leader="dot" w:pos="9072"/>
        </w:tabs>
        <w:rPr>
          <w:rFonts w:ascii="宋体" w:hAnsi="宋体" w:cs="宋体"/>
          <w:b/>
          <w:bCs/>
          <w:color w:val="auto"/>
          <w:sz w:val="28"/>
          <w:szCs w:val="28"/>
          <w:highlight w:val="none"/>
        </w:rPr>
      </w:pPr>
      <w:r>
        <w:rPr>
          <w:color w:val="auto"/>
          <w:highlight w:val="none"/>
        </w:rPr>
        <w:fldChar w:fldCharType="begin"/>
      </w:r>
      <w:r>
        <w:rPr>
          <w:color w:val="auto"/>
          <w:highlight w:val="none"/>
        </w:rPr>
        <w:instrText xml:space="preserve"> HYPERLINK \l "_Toc10847" </w:instrText>
      </w:r>
      <w:r>
        <w:rPr>
          <w:color w:val="auto"/>
          <w:highlight w:val="none"/>
        </w:rPr>
        <w:fldChar w:fldCharType="separate"/>
      </w:r>
      <w:r>
        <w:rPr>
          <w:rFonts w:hint="eastAsia" w:ascii="宋体" w:hAnsi="宋体" w:cs="宋体"/>
          <w:b/>
          <w:bCs/>
          <w:color w:val="auto"/>
          <w:sz w:val="28"/>
          <w:szCs w:val="28"/>
          <w:highlight w:val="none"/>
        </w:rPr>
        <w:t>第四章 评审程序、评审方法和评审标准</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_Toc10847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79</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2D8BB616">
      <w:pPr>
        <w:pStyle w:val="25"/>
        <w:tabs>
          <w:tab w:val="right" w:leader="dot" w:pos="9072"/>
        </w:tabs>
        <w:rPr>
          <w:rFonts w:ascii="宋体" w:hAnsi="宋体" w:cs="宋体"/>
          <w:b/>
          <w:bCs/>
          <w:color w:val="auto"/>
          <w:sz w:val="28"/>
          <w:szCs w:val="28"/>
          <w:highlight w:val="none"/>
        </w:rPr>
      </w:pPr>
      <w:r>
        <w:rPr>
          <w:color w:val="auto"/>
          <w:highlight w:val="none"/>
        </w:rPr>
        <w:fldChar w:fldCharType="begin"/>
      </w:r>
      <w:r>
        <w:rPr>
          <w:color w:val="auto"/>
          <w:highlight w:val="none"/>
        </w:rPr>
        <w:instrText xml:space="preserve"> HYPERLINK \l "_Toc29529" </w:instrText>
      </w:r>
      <w:r>
        <w:rPr>
          <w:color w:val="auto"/>
          <w:highlight w:val="none"/>
        </w:rPr>
        <w:fldChar w:fldCharType="separate"/>
      </w:r>
      <w:r>
        <w:rPr>
          <w:rFonts w:hint="eastAsia" w:ascii="宋体" w:hAnsi="宋体" w:cs="宋体"/>
          <w:b/>
          <w:bCs/>
          <w:color w:val="auto"/>
          <w:sz w:val="28"/>
          <w:szCs w:val="28"/>
          <w:highlight w:val="none"/>
        </w:rPr>
        <w:t>第五章 响应文件格式</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_Toc29529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94</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671E355E">
      <w:pPr>
        <w:pStyle w:val="25"/>
        <w:tabs>
          <w:tab w:val="right" w:leader="dot" w:pos="9072"/>
        </w:tabs>
        <w:rPr>
          <w:rFonts w:ascii="宋体" w:hAnsi="宋体" w:cs="宋体"/>
          <w:b/>
          <w:bCs/>
          <w:color w:val="auto"/>
          <w:sz w:val="28"/>
          <w:szCs w:val="28"/>
          <w:highlight w:val="none"/>
        </w:rPr>
      </w:pPr>
      <w:r>
        <w:rPr>
          <w:color w:val="auto"/>
          <w:highlight w:val="none"/>
        </w:rPr>
        <w:fldChar w:fldCharType="begin"/>
      </w:r>
      <w:r>
        <w:rPr>
          <w:color w:val="auto"/>
          <w:highlight w:val="none"/>
        </w:rPr>
        <w:instrText xml:space="preserve"> HYPERLINK \l "_Toc13022" </w:instrText>
      </w:r>
      <w:r>
        <w:rPr>
          <w:color w:val="auto"/>
          <w:highlight w:val="none"/>
        </w:rPr>
        <w:fldChar w:fldCharType="separate"/>
      </w:r>
      <w:r>
        <w:rPr>
          <w:rFonts w:hint="eastAsia" w:ascii="宋体" w:hAnsi="宋体" w:cs="宋体"/>
          <w:b/>
          <w:bCs/>
          <w:color w:val="auto"/>
          <w:sz w:val="28"/>
          <w:szCs w:val="28"/>
          <w:highlight w:val="none"/>
        </w:rPr>
        <w:t>第六章 拟签订的合同文本</w:t>
      </w:r>
      <w:r>
        <w:rPr>
          <w:rFonts w:hint="eastAsia" w:ascii="宋体" w:hAnsi="宋体" w:cs="宋体"/>
          <w:b/>
          <w:bCs/>
          <w:color w:val="auto"/>
          <w:sz w:val="28"/>
          <w:szCs w:val="28"/>
          <w:highlight w:val="none"/>
        </w:rPr>
        <w:tab/>
      </w:r>
      <w:r>
        <w:rPr>
          <w:rFonts w:hint="eastAsia" w:ascii="宋体" w:hAnsi="宋体" w:cs="宋体"/>
          <w:b/>
          <w:bCs/>
          <w:color w:val="auto"/>
          <w:sz w:val="28"/>
          <w:szCs w:val="28"/>
          <w:highlight w:val="none"/>
        </w:rPr>
        <w:fldChar w:fldCharType="begin"/>
      </w:r>
      <w:r>
        <w:rPr>
          <w:rFonts w:hint="eastAsia" w:ascii="宋体" w:hAnsi="宋体" w:cs="宋体"/>
          <w:b/>
          <w:bCs/>
          <w:color w:val="auto"/>
          <w:sz w:val="28"/>
          <w:szCs w:val="28"/>
          <w:highlight w:val="none"/>
        </w:rPr>
        <w:instrText xml:space="preserve"> PAGEREF _Toc13022 \h </w:instrText>
      </w:r>
      <w:r>
        <w:rPr>
          <w:rFonts w:hint="eastAsia" w:ascii="宋体" w:hAnsi="宋体" w:cs="宋体"/>
          <w:b/>
          <w:bCs/>
          <w:color w:val="auto"/>
          <w:sz w:val="28"/>
          <w:szCs w:val="28"/>
          <w:highlight w:val="none"/>
        </w:rPr>
        <w:fldChar w:fldCharType="separate"/>
      </w:r>
      <w:r>
        <w:rPr>
          <w:rFonts w:hint="eastAsia" w:ascii="宋体" w:hAnsi="宋体" w:cs="宋体"/>
          <w:b/>
          <w:bCs/>
          <w:color w:val="auto"/>
          <w:sz w:val="28"/>
          <w:szCs w:val="28"/>
          <w:highlight w:val="none"/>
        </w:rPr>
        <w:t>117</w:t>
      </w:r>
      <w:r>
        <w:rPr>
          <w:rFonts w:hint="eastAsia" w:ascii="宋体" w:hAnsi="宋体" w:cs="宋体"/>
          <w:b/>
          <w:bCs/>
          <w:color w:val="auto"/>
          <w:sz w:val="28"/>
          <w:szCs w:val="28"/>
          <w:highlight w:val="none"/>
        </w:rPr>
        <w:fldChar w:fldCharType="end"/>
      </w:r>
      <w:r>
        <w:rPr>
          <w:rFonts w:hint="eastAsia" w:ascii="宋体" w:hAnsi="宋体" w:cs="宋体"/>
          <w:b/>
          <w:bCs/>
          <w:color w:val="auto"/>
          <w:sz w:val="28"/>
          <w:szCs w:val="28"/>
          <w:highlight w:val="none"/>
        </w:rPr>
        <w:fldChar w:fldCharType="end"/>
      </w:r>
    </w:p>
    <w:p w14:paraId="4D664202">
      <w:pPr>
        <w:pStyle w:val="25"/>
        <w:tabs>
          <w:tab w:val="right" w:leader="dot" w:pos="8730"/>
        </w:tabs>
        <w:spacing w:before="120" w:after="120"/>
        <w:ind w:firstLine="281" w:firstLineChars="100"/>
        <w:jc w:val="left"/>
        <w:rPr>
          <w:rFonts w:ascii="宋体" w:hAnsi="宋体" w:cs="宋体"/>
          <w:b/>
          <w:color w:val="auto"/>
          <w:sz w:val="24"/>
          <w:highlight w:val="none"/>
        </w:rPr>
      </w:pPr>
      <w:r>
        <w:rPr>
          <w:rFonts w:hint="eastAsia" w:ascii="宋体" w:hAnsi="宋体" w:cs="宋体"/>
          <w:b/>
          <w:bCs/>
          <w:caps/>
          <w:color w:val="auto"/>
          <w:sz w:val="28"/>
          <w:szCs w:val="28"/>
          <w:highlight w:val="none"/>
        </w:rPr>
        <w:fldChar w:fldCharType="end"/>
      </w:r>
    </w:p>
    <w:p w14:paraId="13A6182C">
      <w:pPr>
        <w:spacing w:line="400" w:lineRule="exact"/>
        <w:jc w:val="left"/>
        <w:rPr>
          <w:rFonts w:ascii="宋体" w:hAnsi="宋体" w:cs="宋体"/>
          <w:b/>
          <w:color w:val="auto"/>
          <w:sz w:val="32"/>
          <w:szCs w:val="32"/>
          <w:highlight w:val="none"/>
        </w:rPr>
      </w:pPr>
    </w:p>
    <w:p w14:paraId="3373FE71">
      <w:pPr>
        <w:spacing w:line="400" w:lineRule="exact"/>
        <w:jc w:val="center"/>
        <w:rPr>
          <w:rFonts w:ascii="宋体" w:hAnsi="宋体" w:cs="宋体"/>
          <w:b/>
          <w:color w:val="auto"/>
          <w:sz w:val="32"/>
          <w:szCs w:val="32"/>
          <w:highlight w:val="none"/>
        </w:rPr>
      </w:pPr>
    </w:p>
    <w:p w14:paraId="1DC70557">
      <w:pPr>
        <w:spacing w:line="400" w:lineRule="exact"/>
        <w:jc w:val="center"/>
        <w:rPr>
          <w:rFonts w:ascii="宋体" w:hAnsi="宋体" w:cs="宋体"/>
          <w:b/>
          <w:color w:val="auto"/>
          <w:sz w:val="32"/>
          <w:szCs w:val="32"/>
          <w:highlight w:val="none"/>
        </w:rPr>
      </w:pPr>
    </w:p>
    <w:p w14:paraId="0A481510">
      <w:pPr>
        <w:spacing w:line="400" w:lineRule="exact"/>
        <w:jc w:val="center"/>
        <w:rPr>
          <w:rFonts w:ascii="宋体" w:hAnsi="宋体" w:cs="宋体"/>
          <w:b/>
          <w:color w:val="auto"/>
          <w:sz w:val="32"/>
          <w:szCs w:val="32"/>
          <w:highlight w:val="none"/>
        </w:rPr>
      </w:pPr>
    </w:p>
    <w:p w14:paraId="591F38A2">
      <w:pPr>
        <w:pStyle w:val="27"/>
        <w:tabs>
          <w:tab w:val="clear" w:pos="8296"/>
        </w:tabs>
        <w:snapToGrid w:val="0"/>
        <w:spacing w:line="500" w:lineRule="atLeast"/>
        <w:ind w:left="0" w:leftChars="0"/>
        <w:rPr>
          <w:rFonts w:ascii="宋体" w:hAnsi="宋体" w:cs="宋体"/>
          <w:b/>
          <w:color w:val="auto"/>
          <w:sz w:val="24"/>
          <w:highlight w:val="none"/>
        </w:rPr>
      </w:pPr>
    </w:p>
    <w:p w14:paraId="57D3DDCB">
      <w:pPr>
        <w:spacing w:line="400" w:lineRule="exact"/>
        <w:jc w:val="left"/>
        <w:rPr>
          <w:rFonts w:ascii="宋体" w:hAnsi="宋体" w:cs="宋体"/>
          <w:b/>
          <w:color w:val="auto"/>
          <w:sz w:val="32"/>
          <w:szCs w:val="32"/>
          <w:highlight w:val="none"/>
        </w:rPr>
      </w:pPr>
    </w:p>
    <w:p w14:paraId="313B4783">
      <w:pPr>
        <w:spacing w:line="400" w:lineRule="exact"/>
        <w:jc w:val="center"/>
        <w:rPr>
          <w:rFonts w:ascii="宋体" w:hAnsi="宋体" w:cs="宋体"/>
          <w:b/>
          <w:color w:val="auto"/>
          <w:sz w:val="32"/>
          <w:szCs w:val="32"/>
          <w:highlight w:val="none"/>
        </w:rPr>
      </w:pPr>
    </w:p>
    <w:p w14:paraId="6CEAF793">
      <w:pPr>
        <w:spacing w:line="400" w:lineRule="exact"/>
        <w:jc w:val="center"/>
        <w:rPr>
          <w:rFonts w:ascii="宋体" w:hAnsi="宋体" w:cs="宋体"/>
          <w:b/>
          <w:color w:val="auto"/>
          <w:sz w:val="32"/>
          <w:szCs w:val="32"/>
          <w:highlight w:val="none"/>
        </w:rPr>
      </w:pPr>
    </w:p>
    <w:p w14:paraId="0C1BA135">
      <w:pPr>
        <w:spacing w:line="400" w:lineRule="exact"/>
        <w:jc w:val="center"/>
        <w:rPr>
          <w:rFonts w:ascii="宋体" w:hAnsi="宋体" w:cs="宋体"/>
          <w:b/>
          <w:color w:val="auto"/>
          <w:sz w:val="32"/>
          <w:szCs w:val="32"/>
          <w:highlight w:val="none"/>
        </w:rPr>
      </w:pPr>
    </w:p>
    <w:p w14:paraId="3D8CBFC4">
      <w:pPr>
        <w:spacing w:line="400" w:lineRule="exact"/>
        <w:jc w:val="center"/>
        <w:rPr>
          <w:rFonts w:ascii="宋体" w:hAnsi="宋体" w:cs="宋体"/>
          <w:b/>
          <w:color w:val="auto"/>
          <w:sz w:val="32"/>
          <w:szCs w:val="32"/>
          <w:highlight w:val="none"/>
        </w:rPr>
      </w:pPr>
    </w:p>
    <w:p w14:paraId="74918D91">
      <w:pPr>
        <w:spacing w:line="400" w:lineRule="exact"/>
        <w:rPr>
          <w:rFonts w:ascii="宋体" w:hAnsi="宋体" w:cs="宋体"/>
          <w:b/>
          <w:color w:val="auto"/>
          <w:sz w:val="32"/>
          <w:szCs w:val="32"/>
          <w:highlight w:val="none"/>
        </w:rPr>
        <w:sectPr>
          <w:headerReference r:id="rId4" w:type="first"/>
          <w:footerReference r:id="rId6" w:type="first"/>
          <w:headerReference r:id="rId3" w:type="default"/>
          <w:footerReference r:id="rId5" w:type="default"/>
          <w:pgSz w:w="11906" w:h="16838"/>
          <w:pgMar w:top="1417" w:right="1417" w:bottom="1417" w:left="1417" w:header="851" w:footer="567" w:gutter="0"/>
          <w:pgNumType w:start="0"/>
          <w:cols w:space="720" w:num="1"/>
          <w:titlePg/>
          <w:docGrid w:type="lines" w:linePitch="312" w:charSpace="0"/>
        </w:sectPr>
      </w:pPr>
    </w:p>
    <w:p w14:paraId="5531A79F">
      <w:pPr>
        <w:pStyle w:val="2"/>
        <w:spacing w:line="360" w:lineRule="auto"/>
        <w:jc w:val="center"/>
        <w:rPr>
          <w:rFonts w:ascii="宋体" w:hAnsi="宋体" w:cs="宋体"/>
          <w:color w:val="auto"/>
          <w:sz w:val="32"/>
          <w:szCs w:val="32"/>
          <w:highlight w:val="none"/>
        </w:rPr>
      </w:pPr>
      <w:bookmarkStart w:id="0" w:name="_Toc12078"/>
      <w:r>
        <w:rPr>
          <w:rFonts w:hint="eastAsia" w:ascii="宋体" w:hAnsi="宋体" w:cs="宋体"/>
          <w:color w:val="auto"/>
          <w:sz w:val="32"/>
          <w:szCs w:val="32"/>
          <w:highlight w:val="none"/>
        </w:rPr>
        <w:t>第一章 竞争性磋商公告</w:t>
      </w:r>
      <w:bookmarkEnd w:id="0"/>
    </w:p>
    <w:p w14:paraId="7B8B7167">
      <w:pPr>
        <w:spacing w:line="360" w:lineRule="auto"/>
        <w:jc w:val="center"/>
        <w:outlineLvl w:val="1"/>
        <w:rPr>
          <w:rFonts w:hint="eastAsia" w:ascii="宋体" w:hAnsi="宋体" w:eastAsia="宋体" w:cs="宋体"/>
          <w:b/>
          <w:bCs/>
          <w:color w:val="auto"/>
          <w:kern w:val="44"/>
          <w:sz w:val="24"/>
          <w:highlight w:val="none"/>
          <w:lang w:val="en-US" w:eastAsia="zh-CN"/>
        </w:rPr>
      </w:pPr>
      <w:r>
        <w:rPr>
          <w:rFonts w:hint="eastAsia" w:ascii="宋体" w:hAnsi="宋体" w:cs="宋体"/>
          <w:b/>
          <w:bCs/>
          <w:color w:val="auto"/>
          <w:kern w:val="44"/>
          <w:sz w:val="24"/>
          <w:highlight w:val="none"/>
        </w:rPr>
        <w:t>广西建设工程机电设备招标中心有限公司</w:t>
      </w:r>
      <w:r>
        <w:rPr>
          <w:rFonts w:hint="eastAsia" w:ascii="宋体" w:hAnsi="宋体" w:cs="宋体"/>
          <w:b/>
          <w:bCs/>
          <w:color w:val="auto"/>
          <w:kern w:val="44"/>
          <w:sz w:val="24"/>
          <w:highlight w:val="none"/>
          <w:lang w:val="en-US" w:eastAsia="zh-CN"/>
        </w:rPr>
        <w:t>关于</w:t>
      </w:r>
    </w:p>
    <w:p w14:paraId="602A56F5">
      <w:pPr>
        <w:spacing w:line="360" w:lineRule="auto"/>
        <w:jc w:val="center"/>
        <w:rPr>
          <w:rFonts w:hint="eastAsia" w:ascii="宋体" w:hAnsi="宋体" w:eastAsia="宋体" w:cs="宋体"/>
          <w:b/>
          <w:bCs/>
          <w:color w:val="auto"/>
          <w:kern w:val="44"/>
          <w:sz w:val="24"/>
          <w:highlight w:val="none"/>
          <w:lang w:eastAsia="zh-CN"/>
        </w:rPr>
      </w:pPr>
      <w:r>
        <w:rPr>
          <w:rFonts w:hint="eastAsia" w:ascii="宋体" w:hAnsi="宋体" w:cs="宋体"/>
          <w:b/>
          <w:bCs/>
          <w:color w:val="auto"/>
          <w:kern w:val="44"/>
          <w:sz w:val="24"/>
          <w:highlight w:val="none"/>
          <w:lang w:eastAsia="zh-CN"/>
        </w:rPr>
        <w:t>智慧文旅虚拟仿真实训基地二期建设项目</w:t>
      </w:r>
    </w:p>
    <w:p w14:paraId="7D5D7DA5">
      <w:pPr>
        <w:spacing w:line="360" w:lineRule="auto"/>
        <w:jc w:val="center"/>
        <w:rPr>
          <w:rFonts w:ascii="宋体" w:hAnsi="宋体" w:cs="宋体"/>
          <w:b/>
          <w:bCs/>
          <w:color w:val="auto"/>
          <w:kern w:val="44"/>
          <w:sz w:val="24"/>
          <w:highlight w:val="none"/>
        </w:rPr>
      </w:pPr>
      <w:r>
        <w:rPr>
          <w:rFonts w:hint="eastAsia" w:ascii="宋体" w:hAnsi="宋体" w:cs="宋体"/>
          <w:b/>
          <w:bCs/>
          <w:color w:val="auto"/>
          <w:kern w:val="44"/>
          <w:sz w:val="24"/>
          <w:highlight w:val="none"/>
        </w:rPr>
        <w:t>（项目编号：</w:t>
      </w:r>
      <w:r>
        <w:rPr>
          <w:rFonts w:hint="eastAsia" w:ascii="宋体" w:hAnsi="宋体" w:cs="宋体"/>
          <w:b/>
          <w:bCs/>
          <w:color w:val="auto"/>
          <w:kern w:val="44"/>
          <w:sz w:val="24"/>
          <w:highlight w:val="none"/>
          <w:lang w:eastAsia="zh-CN"/>
        </w:rPr>
        <w:t>GXZC2025-C3-003041-JGJD</w:t>
      </w:r>
      <w:r>
        <w:rPr>
          <w:rFonts w:hint="eastAsia" w:ascii="宋体" w:hAnsi="宋体" w:cs="宋体"/>
          <w:b/>
          <w:bCs/>
          <w:color w:val="auto"/>
          <w:kern w:val="44"/>
          <w:sz w:val="24"/>
          <w:highlight w:val="none"/>
        </w:rPr>
        <w:t>）</w:t>
      </w:r>
    </w:p>
    <w:p w14:paraId="160CE0B3">
      <w:pPr>
        <w:spacing w:line="360" w:lineRule="auto"/>
        <w:jc w:val="center"/>
        <w:rPr>
          <w:rFonts w:ascii="宋体" w:hAnsi="宋体" w:cs="宋体"/>
          <w:color w:val="auto"/>
          <w:sz w:val="24"/>
          <w:highlight w:val="none"/>
        </w:rPr>
      </w:pPr>
      <w:r>
        <w:rPr>
          <w:rFonts w:hint="eastAsia" w:ascii="宋体" w:hAnsi="宋体" w:cs="宋体"/>
          <w:b/>
          <w:bCs/>
          <w:color w:val="auto"/>
          <w:kern w:val="44"/>
          <w:sz w:val="24"/>
          <w:highlight w:val="none"/>
        </w:rPr>
        <w:t>竞争性磋商公告</w:t>
      </w:r>
    </w:p>
    <w:p w14:paraId="1179B34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bookmarkStart w:id="1" w:name="_Hlk37430271"/>
      <w:r>
        <w:rPr>
          <w:rFonts w:hint="eastAsia" w:ascii="宋体" w:hAnsi="宋体" w:cs="宋体"/>
          <w:color w:val="auto"/>
          <w:sz w:val="24"/>
          <w:highlight w:val="none"/>
        </w:rPr>
        <w:t>项目概况</w:t>
      </w:r>
    </w:p>
    <w:p w14:paraId="7F7D085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olor w:val="auto"/>
          <w:sz w:val="24"/>
          <w:highlight w:val="none"/>
          <w:u w:val="single"/>
          <w:lang w:eastAsia="zh-CN"/>
        </w:rPr>
        <w:t>智慧文旅虚拟仿真实训基地二期建设项目</w:t>
      </w:r>
      <w:r>
        <w:rPr>
          <w:rFonts w:hint="eastAsia" w:ascii="宋体" w:hAnsi="宋体" w:cs="宋体"/>
          <w:color w:val="auto"/>
          <w:sz w:val="24"/>
          <w:highlight w:val="none"/>
        </w:rPr>
        <w:t>项目的潜在供应商应在广西政府采购云平台（https://www.gcy.zfcg.gxzf.gov.cn/）获取（下载）竞争性磋商文件，并于2025年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日09时00分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759D8FA3">
      <w:pPr>
        <w:widowControl/>
        <w:spacing w:line="360" w:lineRule="auto"/>
        <w:ind w:firstLine="482" w:firstLineChars="200"/>
        <w:outlineLvl w:val="1"/>
        <w:rPr>
          <w:rFonts w:ascii="宋体" w:hAnsi="宋体" w:cs="宋体"/>
          <w:b/>
          <w:color w:val="auto"/>
          <w:sz w:val="24"/>
          <w:highlight w:val="none"/>
        </w:rPr>
      </w:pPr>
      <w:bookmarkStart w:id="2" w:name="_Hlk37429674"/>
      <w:bookmarkStart w:id="3" w:name="_Toc35393636"/>
      <w:bookmarkStart w:id="4" w:name="_Toc35393805"/>
      <w:bookmarkStart w:id="5" w:name="_Toc28359018"/>
      <w:bookmarkStart w:id="6" w:name="_Toc28359095"/>
      <w:bookmarkStart w:id="7" w:name="_Toc44229885"/>
      <w:r>
        <w:rPr>
          <w:rFonts w:hint="eastAsia" w:ascii="宋体" w:hAnsi="宋体" w:cs="宋体"/>
          <w:b/>
          <w:color w:val="auto"/>
          <w:sz w:val="24"/>
          <w:highlight w:val="none"/>
        </w:rPr>
        <w:t>一、项目基本情况</w:t>
      </w:r>
    </w:p>
    <w:p w14:paraId="3AD1359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智慧文旅虚拟仿真实训基地二期建设项目</w:t>
      </w:r>
    </w:p>
    <w:p w14:paraId="124738B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GXZC2025-C3-003041-JGJD</w:t>
      </w:r>
    </w:p>
    <w:p w14:paraId="0369C2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预算金额（人民币）：</w:t>
      </w:r>
      <w:r>
        <w:rPr>
          <w:rFonts w:hint="eastAsia" w:ascii="宋体" w:hAnsi="宋体" w:cs="宋体"/>
          <w:color w:val="auto"/>
          <w:sz w:val="24"/>
          <w:highlight w:val="none"/>
          <w:lang w:eastAsia="zh-CN"/>
        </w:rPr>
        <w:t>壹佰贰拾捌万陆仟元整</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lang w:eastAsia="zh-CN"/>
        </w:rPr>
        <w:t>1286000.00</w:t>
      </w:r>
      <w:r>
        <w:rPr>
          <w:rFonts w:hint="eastAsia" w:ascii="宋体" w:hAnsi="宋体" w:cs="宋体"/>
          <w:color w:val="auto"/>
          <w:sz w:val="24"/>
          <w:highlight w:val="none"/>
        </w:rPr>
        <w:t>）</w:t>
      </w:r>
    </w:p>
    <w:p w14:paraId="2AC388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最高限价（如有/人民币）：</w:t>
      </w:r>
      <w:r>
        <w:rPr>
          <w:rFonts w:hint="eastAsia" w:ascii="宋体" w:hAnsi="宋体" w:cs="宋体"/>
          <w:color w:val="auto"/>
          <w:sz w:val="24"/>
          <w:highlight w:val="none"/>
          <w:lang w:eastAsia="zh-CN"/>
        </w:rPr>
        <w:t>壹佰贰拾捌万陆仟元整</w:t>
      </w:r>
      <w:r>
        <w:rPr>
          <w:rFonts w:hint="eastAsia" w:ascii="宋体" w:hAnsi="宋体" w:cs="宋体"/>
          <w:color w:val="auto"/>
          <w:sz w:val="24"/>
          <w:highlight w:val="none"/>
        </w:rPr>
        <w:t>（</w:t>
      </w:r>
      <w:r>
        <w:rPr>
          <w:rFonts w:ascii="宋体" w:hAnsi="宋体" w:cs="宋体"/>
          <w:color w:val="auto"/>
          <w:sz w:val="24"/>
          <w:highlight w:val="none"/>
        </w:rPr>
        <w:t>¥</w:t>
      </w:r>
      <w:r>
        <w:rPr>
          <w:rFonts w:hint="eastAsia" w:ascii="宋体" w:hAnsi="宋体" w:cs="宋体"/>
          <w:color w:val="auto"/>
          <w:sz w:val="24"/>
          <w:highlight w:val="none"/>
          <w:lang w:eastAsia="zh-CN"/>
        </w:rPr>
        <w:t>1286000.00</w:t>
      </w:r>
      <w:r>
        <w:rPr>
          <w:rFonts w:hint="eastAsia" w:ascii="宋体" w:hAnsi="宋体" w:cs="宋体"/>
          <w:color w:val="auto"/>
          <w:sz w:val="24"/>
          <w:highlight w:val="none"/>
        </w:rPr>
        <w:t>）</w:t>
      </w:r>
    </w:p>
    <w:p w14:paraId="5D8A69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采购需求：</w:t>
      </w:r>
    </w:p>
    <w:p w14:paraId="6A2B11B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标项一 </w:t>
      </w:r>
    </w:p>
    <w:p w14:paraId="56E720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标项名称:智慧文旅虚拟仿真实训基地二期建设项目分标1</w:t>
      </w:r>
    </w:p>
    <w:p w14:paraId="1D59E1A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数量:不限</w:t>
      </w:r>
    </w:p>
    <w:p w14:paraId="0357079B">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506000</w:t>
      </w:r>
    </w:p>
    <w:p w14:paraId="3E2EF2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简要规格描述或项目基本概况介绍、用途：VR虚拟互动内容制作</w:t>
      </w:r>
      <w:r>
        <w:rPr>
          <w:rFonts w:hint="eastAsia" w:ascii="宋体" w:hAnsi="宋体" w:cs="宋体"/>
          <w:color w:val="auto"/>
          <w:sz w:val="24"/>
          <w:highlight w:val="none"/>
          <w:lang w:val="en-US" w:eastAsia="zh-CN"/>
        </w:rPr>
        <w:t>3个、工作手册式数字化教材出版服务1项、非遗环幕视频与动画制作1个</w:t>
      </w:r>
      <w:r>
        <w:rPr>
          <w:rFonts w:hint="eastAsia" w:ascii="宋体" w:hAnsi="宋体" w:cs="宋体"/>
          <w:color w:val="auto"/>
          <w:sz w:val="24"/>
          <w:highlight w:val="none"/>
        </w:rPr>
        <w:t>；详细内容详见磋商文件。</w:t>
      </w:r>
    </w:p>
    <w:p w14:paraId="0A03676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r>
        <w:rPr>
          <w:rFonts w:hint="eastAsia" w:ascii="宋体" w:hAnsi="宋体" w:cs="宋体"/>
          <w:color w:val="auto"/>
          <w:sz w:val="24"/>
          <w:highlight w:val="none"/>
          <w:lang w:val="en-US" w:eastAsia="zh-CN"/>
        </w:rPr>
        <w:t>506000</w:t>
      </w:r>
    </w:p>
    <w:p w14:paraId="5297EA9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合同履约期限：详见竞争性磋商文件。</w:t>
      </w:r>
    </w:p>
    <w:p w14:paraId="6775CA0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412DB60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备注：</w:t>
      </w:r>
      <w:r>
        <w:rPr>
          <w:rFonts w:hint="eastAsia" w:ascii="宋体" w:hAnsi="宋体" w:cs="宋体"/>
          <w:color w:val="auto"/>
          <w:sz w:val="24"/>
          <w:highlight w:val="none"/>
          <w:lang w:val="en-US" w:eastAsia="zh-CN"/>
        </w:rPr>
        <w:t>/</w:t>
      </w:r>
    </w:p>
    <w:p w14:paraId="0B7EBAEB">
      <w:pPr>
        <w:spacing w:line="360" w:lineRule="auto"/>
        <w:ind w:firstLine="480" w:firstLineChars="200"/>
        <w:rPr>
          <w:rFonts w:hint="eastAsia" w:ascii="宋体" w:hAnsi="宋体" w:cs="宋体"/>
          <w:color w:val="auto"/>
          <w:sz w:val="24"/>
          <w:highlight w:val="none"/>
        </w:rPr>
      </w:pPr>
    </w:p>
    <w:p w14:paraId="7FB90D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标项二 </w:t>
      </w:r>
    </w:p>
    <w:p w14:paraId="0D52E8C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标项名称:智慧文旅虚拟仿真实训基地二期建设项目分标</w:t>
      </w:r>
      <w:r>
        <w:rPr>
          <w:rFonts w:hint="eastAsia" w:ascii="宋体" w:hAnsi="宋体" w:cs="宋体"/>
          <w:color w:val="auto"/>
          <w:sz w:val="24"/>
          <w:highlight w:val="none"/>
          <w:lang w:val="en-US" w:eastAsia="zh-CN"/>
        </w:rPr>
        <w:t>2</w:t>
      </w:r>
    </w:p>
    <w:p w14:paraId="7891B093">
      <w:pPr>
        <w:spacing w:line="360" w:lineRule="auto"/>
        <w:ind w:firstLine="480" w:firstLineChars="200"/>
        <w:rPr>
          <w:rFonts w:hint="eastAsia" w:ascii="宋体" w:hAnsi="宋体" w:cs="宋体"/>
          <w:color w:val="auto"/>
          <w:sz w:val="24"/>
          <w:highlight w:val="none"/>
        </w:rPr>
      </w:pPr>
    </w:p>
    <w:p w14:paraId="54ED6A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数量:不限</w:t>
      </w:r>
    </w:p>
    <w:p w14:paraId="74C9501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预算金额（元）:</w:t>
      </w:r>
      <w:r>
        <w:rPr>
          <w:rFonts w:hint="eastAsia" w:ascii="宋体" w:hAnsi="宋体" w:cs="宋体"/>
          <w:color w:val="auto"/>
          <w:sz w:val="24"/>
          <w:highlight w:val="none"/>
          <w:lang w:val="en-US" w:eastAsia="zh-CN"/>
        </w:rPr>
        <w:t>78</w:t>
      </w:r>
      <w:r>
        <w:rPr>
          <w:rFonts w:hint="eastAsia" w:ascii="宋体" w:hAnsi="宋体" w:cs="宋体"/>
          <w:color w:val="auto"/>
          <w:sz w:val="24"/>
          <w:highlight w:val="none"/>
        </w:rPr>
        <w:t>0000</w:t>
      </w:r>
    </w:p>
    <w:p w14:paraId="6DF26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简要规格描述或项目基本概况介绍、用途：虚拟仿真综合管理实训和展示平台</w:t>
      </w:r>
      <w:r>
        <w:rPr>
          <w:rFonts w:hint="eastAsia" w:ascii="宋体" w:hAnsi="宋体" w:cs="宋体"/>
          <w:color w:val="auto"/>
          <w:sz w:val="24"/>
          <w:highlight w:val="none"/>
          <w:lang w:val="en-US" w:eastAsia="zh-CN"/>
        </w:rPr>
        <w:t>1套</w:t>
      </w:r>
      <w:r>
        <w:rPr>
          <w:rFonts w:hint="eastAsia" w:ascii="宋体" w:hAnsi="宋体" w:cs="宋体"/>
          <w:color w:val="auto"/>
          <w:sz w:val="24"/>
          <w:highlight w:val="none"/>
          <w:lang w:eastAsia="zh-CN"/>
        </w:rPr>
        <w:t>、虚拟仿真资源库</w:t>
      </w:r>
      <w:r>
        <w:rPr>
          <w:rFonts w:hint="eastAsia" w:ascii="宋体" w:hAnsi="宋体" w:cs="宋体"/>
          <w:color w:val="auto"/>
          <w:sz w:val="24"/>
          <w:highlight w:val="none"/>
          <w:lang w:val="en-US" w:eastAsia="zh-CN"/>
        </w:rPr>
        <w:t>1套</w:t>
      </w:r>
      <w:r>
        <w:rPr>
          <w:rFonts w:hint="eastAsia" w:ascii="宋体" w:hAnsi="宋体" w:cs="宋体"/>
          <w:color w:val="auto"/>
          <w:sz w:val="24"/>
          <w:highlight w:val="none"/>
        </w:rPr>
        <w:t>；详细内容详见磋商文件。</w:t>
      </w:r>
    </w:p>
    <w:p w14:paraId="5B67C1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最高限价（如有）：</w:t>
      </w:r>
      <w:r>
        <w:rPr>
          <w:rFonts w:hint="eastAsia" w:ascii="宋体" w:hAnsi="宋体" w:cs="宋体"/>
          <w:color w:val="auto"/>
          <w:sz w:val="24"/>
          <w:highlight w:val="none"/>
          <w:lang w:val="en-US" w:eastAsia="zh-CN"/>
        </w:rPr>
        <w:t>78</w:t>
      </w:r>
      <w:r>
        <w:rPr>
          <w:rFonts w:hint="eastAsia" w:ascii="宋体" w:hAnsi="宋体" w:cs="宋体"/>
          <w:color w:val="auto"/>
          <w:sz w:val="24"/>
          <w:highlight w:val="none"/>
        </w:rPr>
        <w:t>0000</w:t>
      </w:r>
    </w:p>
    <w:p w14:paraId="3FC9C4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合同履约期限：详见竞争性磋商文件。</w:t>
      </w:r>
    </w:p>
    <w:p w14:paraId="1F90CBB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本标项（否）接受联合体投标</w:t>
      </w:r>
    </w:p>
    <w:p w14:paraId="7D4D7D2D">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备注：</w:t>
      </w:r>
      <w:r>
        <w:rPr>
          <w:rFonts w:hint="eastAsia" w:ascii="宋体" w:hAnsi="宋体" w:cs="宋体"/>
          <w:color w:val="auto"/>
          <w:sz w:val="24"/>
          <w:highlight w:val="none"/>
          <w:lang w:val="en-US" w:eastAsia="zh-CN"/>
        </w:rPr>
        <w:t>/</w:t>
      </w:r>
    </w:p>
    <w:p w14:paraId="4669DFC8">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二、申请人的资格条件：</w:t>
      </w:r>
    </w:p>
    <w:p w14:paraId="03DED2B6">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88B72C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color w:val="auto"/>
          <w:sz w:val="24"/>
          <w:highlight w:val="none"/>
          <w:lang w:val="en-US" w:eastAsia="zh-CN"/>
        </w:rPr>
        <w:t>非</w:t>
      </w:r>
      <w:r>
        <w:rPr>
          <w:rFonts w:hint="eastAsia" w:ascii="宋体" w:hAnsi="宋体"/>
          <w:color w:val="auto"/>
          <w:sz w:val="24"/>
          <w:highlight w:val="none"/>
          <w:u w:val="none"/>
        </w:rPr>
        <w:t>专门面向中小企业采购；</w:t>
      </w:r>
    </w:p>
    <w:p w14:paraId="1A4AB860">
      <w:pPr>
        <w:spacing w:line="360" w:lineRule="auto"/>
        <w:ind w:firstLine="480" w:firstLineChars="200"/>
        <w:outlineLvl w:val="2"/>
        <w:rPr>
          <w:rFonts w:hint="eastAsia" w:ascii="宋体" w:hAnsi="宋体" w:eastAsia="宋体" w:cs="宋体"/>
          <w:color w:val="auto"/>
          <w:sz w:val="24"/>
          <w:highlight w:val="none"/>
          <w:lang w:eastAsia="zh-CN"/>
        </w:rPr>
      </w:pPr>
      <w:r>
        <w:rPr>
          <w:rFonts w:hint="eastAsia" w:ascii="宋体" w:hAnsi="宋体" w:cs="宋体"/>
          <w:color w:val="auto"/>
          <w:sz w:val="24"/>
          <w:highlight w:val="none"/>
        </w:rPr>
        <w:t>3.本项目的特定资格要求：无</w:t>
      </w:r>
      <w:r>
        <w:rPr>
          <w:rFonts w:hint="eastAsia" w:ascii="宋体" w:hAnsi="宋体" w:cs="宋体"/>
          <w:color w:val="auto"/>
          <w:sz w:val="24"/>
          <w:highlight w:val="none"/>
          <w:lang w:eastAsia="zh-CN"/>
        </w:rPr>
        <w:t>。</w:t>
      </w:r>
    </w:p>
    <w:p w14:paraId="64D08090">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三、获取竞争性磋商文件</w:t>
      </w:r>
    </w:p>
    <w:p w14:paraId="0DD69921">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时间：</w:t>
      </w:r>
      <w:r>
        <w:rPr>
          <w:rFonts w:hint="eastAsia" w:ascii="宋体" w:hAnsi="宋体" w:cs="宋体"/>
          <w:color w:val="auto"/>
          <w:sz w:val="24"/>
          <w:highlight w:val="none"/>
        </w:rPr>
        <w:t>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日至2025年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日，每天上午00:00-12:00，下午12:00-23:59（北京时间，法定节假日除外）</w:t>
      </w:r>
      <w:r>
        <w:rPr>
          <w:rFonts w:hint="eastAsia" w:ascii="宋体" w:hAnsi="宋体" w:cs="宋体"/>
          <w:bCs/>
          <w:color w:val="auto"/>
          <w:kern w:val="0"/>
          <w:sz w:val="24"/>
          <w:highlight w:val="none"/>
        </w:rPr>
        <w:t>。</w:t>
      </w:r>
    </w:p>
    <w:p w14:paraId="68480E00">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地点：广西政府采购云平台（https://www.gcy.zfcg.gxzf.gov.cn/）</w:t>
      </w:r>
    </w:p>
    <w:p w14:paraId="272C19C5">
      <w:pPr>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方式：网上下载。本项目不发放纸质文件，供应商应自行在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bCs/>
          <w:color w:val="auto"/>
          <w:kern w:val="0"/>
          <w:sz w:val="24"/>
          <w:highlight w:val="none"/>
        </w:rPr>
        <w:t>广西政府采购云平台（https://www.gcy.zfcg.gxzf.gov.cn/）下载竞争性磋商文件（操作路径：登录广西政府采购云平台-项目采购-获取采购文件-找到本项目-点击“申请获取采购文件”），电子响应文件制作需要基于广西政府采购云平台获取的竞争性磋商文件编制，通过其他方式获取竞争性磋商文件的，将有可能导致供应商无法在广西政府采购云平台编制及上传响应文件。</w:t>
      </w:r>
    </w:p>
    <w:p w14:paraId="075B6E6C">
      <w:pPr>
        <w:spacing w:line="360" w:lineRule="auto"/>
        <w:ind w:firstLine="480" w:firstLineChars="200"/>
        <w:rPr>
          <w:rFonts w:ascii="宋体" w:hAnsi="宋体" w:cs="宋体"/>
          <w:color w:val="auto"/>
          <w:sz w:val="24"/>
          <w:highlight w:val="none"/>
        </w:rPr>
      </w:pPr>
      <w:r>
        <w:rPr>
          <w:rFonts w:hint="eastAsia" w:ascii="宋体" w:hAnsi="宋体" w:cs="宋体"/>
          <w:bCs/>
          <w:color w:val="auto"/>
          <w:kern w:val="0"/>
          <w:sz w:val="24"/>
          <w:highlight w:val="none"/>
        </w:rPr>
        <w:t>售价：0元人民币。</w:t>
      </w:r>
    </w:p>
    <w:p w14:paraId="61F6524B">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四、响应文件提交</w:t>
      </w:r>
    </w:p>
    <w:p w14:paraId="29C4718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1.首次响应文件提交截止时间：</w:t>
      </w:r>
      <w:r>
        <w:rPr>
          <w:rFonts w:hint="eastAsia" w:ascii="宋体" w:hAnsi="宋体" w:cs="宋体"/>
          <w:bCs/>
          <w:color w:val="auto"/>
          <w:kern w:val="0"/>
          <w:sz w:val="24"/>
          <w:highlight w:val="none"/>
        </w:rPr>
        <w:t>2025年</w:t>
      </w:r>
      <w:r>
        <w:rPr>
          <w:rFonts w:hint="eastAsia" w:ascii="宋体" w:hAnsi="宋体" w:cs="宋体"/>
          <w:bCs/>
          <w:color w:val="auto"/>
          <w:kern w:val="0"/>
          <w:sz w:val="24"/>
          <w:highlight w:val="none"/>
          <w:lang w:val="en-US" w:eastAsia="zh-CN"/>
        </w:rPr>
        <w:t>10</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27</w:t>
      </w:r>
      <w:r>
        <w:rPr>
          <w:rFonts w:hint="eastAsia" w:ascii="宋体" w:hAnsi="宋体" w:cs="宋体"/>
          <w:bCs/>
          <w:color w:val="auto"/>
          <w:kern w:val="0"/>
          <w:sz w:val="24"/>
          <w:highlight w:val="none"/>
        </w:rPr>
        <w:t>日09时00分（北京时间）</w:t>
      </w:r>
    </w:p>
    <w:p w14:paraId="5A7E4D89">
      <w:pPr>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2.地点：通过广西政府采购云平台在线提交。</w:t>
      </w:r>
    </w:p>
    <w:p w14:paraId="30F36265">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五、开启</w:t>
      </w:r>
    </w:p>
    <w:p w14:paraId="7F1C25CB">
      <w:pPr>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1.首次响应文件开启时间：</w:t>
      </w:r>
      <w:r>
        <w:rPr>
          <w:rFonts w:hint="eastAsia" w:ascii="宋体" w:hAnsi="宋体" w:cs="宋体"/>
          <w:bCs/>
          <w:color w:val="auto"/>
          <w:kern w:val="0"/>
          <w:sz w:val="24"/>
          <w:highlight w:val="none"/>
        </w:rPr>
        <w:t>2025年</w:t>
      </w:r>
      <w:r>
        <w:rPr>
          <w:rFonts w:hint="eastAsia" w:ascii="宋体" w:hAnsi="宋体" w:cs="宋体"/>
          <w:bCs/>
          <w:color w:val="auto"/>
          <w:kern w:val="0"/>
          <w:sz w:val="24"/>
          <w:highlight w:val="none"/>
          <w:lang w:val="en-US" w:eastAsia="zh-CN"/>
        </w:rPr>
        <w:t>10</w:t>
      </w:r>
      <w:r>
        <w:rPr>
          <w:rFonts w:hint="eastAsia" w:ascii="宋体" w:hAnsi="宋体" w:cs="宋体"/>
          <w:bCs/>
          <w:color w:val="auto"/>
          <w:kern w:val="0"/>
          <w:sz w:val="24"/>
          <w:highlight w:val="none"/>
        </w:rPr>
        <w:t>月</w:t>
      </w:r>
      <w:r>
        <w:rPr>
          <w:rFonts w:hint="eastAsia" w:ascii="宋体" w:hAnsi="宋体" w:cs="宋体"/>
          <w:bCs/>
          <w:color w:val="auto"/>
          <w:kern w:val="0"/>
          <w:sz w:val="24"/>
          <w:highlight w:val="none"/>
          <w:lang w:val="en-US" w:eastAsia="zh-CN"/>
        </w:rPr>
        <w:t>27</w:t>
      </w:r>
      <w:r>
        <w:rPr>
          <w:rFonts w:hint="eastAsia" w:ascii="宋体" w:hAnsi="宋体" w:cs="宋体"/>
          <w:bCs/>
          <w:color w:val="auto"/>
          <w:kern w:val="0"/>
          <w:sz w:val="24"/>
          <w:highlight w:val="none"/>
        </w:rPr>
        <w:t>日09时00分（北京时间）</w:t>
      </w:r>
    </w:p>
    <w:p w14:paraId="6770BBD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2.地点：本项目将在广西政府采购云平台电子开标大厅解密、开启。</w:t>
      </w:r>
    </w:p>
    <w:p w14:paraId="17153019">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六、公告期限</w:t>
      </w:r>
    </w:p>
    <w:p w14:paraId="2D33A13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19B547BA">
      <w:pPr>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b/>
          <w:color w:val="auto"/>
          <w:sz w:val="24"/>
          <w:highlight w:val="none"/>
        </w:rPr>
        <w:t>其他补充事宜</w:t>
      </w:r>
      <w:r>
        <w:rPr>
          <w:rFonts w:hint="eastAsia" w:ascii="宋体" w:hAnsi="宋体" w:cs="宋体"/>
          <w:color w:val="auto"/>
          <w:sz w:val="24"/>
          <w:highlight w:val="none"/>
        </w:rPr>
        <w:t>：</w:t>
      </w:r>
    </w:p>
    <w:p w14:paraId="73904BC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1.磋商保证金（须足额交纳）：</w:t>
      </w:r>
    </w:p>
    <w:p w14:paraId="1A6517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分标1：伍仟元整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000.00）</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分标2：柒仟元整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7000</w:t>
      </w:r>
      <w:r>
        <w:rPr>
          <w:rFonts w:hint="eastAsia" w:ascii="宋体" w:hAnsi="宋体" w:cs="宋体"/>
          <w:color w:val="auto"/>
          <w:sz w:val="24"/>
          <w:highlight w:val="none"/>
        </w:rPr>
        <w:t>.00）</w:t>
      </w:r>
      <w:r>
        <w:rPr>
          <w:rFonts w:hint="eastAsia" w:ascii="宋体" w:hAnsi="宋体" w:cs="宋体"/>
          <w:color w:val="auto"/>
          <w:sz w:val="24"/>
          <w:highlight w:val="none"/>
          <w:lang w:eastAsia="zh-CN"/>
        </w:rPr>
        <w:t>。</w:t>
      </w:r>
      <w:r>
        <w:rPr>
          <w:rFonts w:hint="eastAsia" w:ascii="宋体" w:hAnsi="宋体" w:cs="宋体"/>
          <w:color w:val="auto"/>
          <w:sz w:val="24"/>
          <w:highlight w:val="none"/>
        </w:rPr>
        <w:t>（交纳注意事项详见供应商须知前附表）。</w:t>
      </w:r>
    </w:p>
    <w:p w14:paraId="5EB5C871">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1FD8F72">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75F97A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4.网上查询地址：中国政府采购网（www.ccgp.gov.cn）、广西政府采购网（zfcg.gxzf.gov.cn）、广西招标网（http://www.guangxibid.com.cn/）。</w:t>
      </w:r>
    </w:p>
    <w:p w14:paraId="17EA666D">
      <w:pPr>
        <w:widowControl/>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5.本项目需要落实的政府采购政策：</w:t>
      </w:r>
    </w:p>
    <w:p w14:paraId="1DB39FCC">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（1）政府采购促进中小企业发展。</w:t>
      </w:r>
    </w:p>
    <w:p w14:paraId="51C8BBFD">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（2）政府采购支持采用本国产品的政策。</w:t>
      </w:r>
    </w:p>
    <w:p w14:paraId="1655A161">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（3）强制采购节能产品；优先采购节能产品、环境标志产品。</w:t>
      </w:r>
    </w:p>
    <w:p w14:paraId="642D0E4B">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（4）政府采购促进残疾人就业政策。</w:t>
      </w:r>
    </w:p>
    <w:p w14:paraId="65FBA8B4">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（5）政府采购支持监狱企业发展。</w:t>
      </w:r>
    </w:p>
    <w:p w14:paraId="172043AC">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（6）扶持不发达地区和少数民族地区政策</w:t>
      </w:r>
    </w:p>
    <w:p w14:paraId="1FC91768">
      <w:pPr>
        <w:widowControl/>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6.磋商注意事项：</w:t>
      </w:r>
    </w:p>
    <w:p w14:paraId="0DDAD6A1">
      <w:pPr>
        <w:widowControl/>
        <w:spacing w:line="360" w:lineRule="auto"/>
        <w:ind w:firstLine="480" w:firstLineChars="200"/>
        <w:rPr>
          <w:rFonts w:ascii="宋体" w:hAnsi="宋体" w:cs="宋体"/>
          <w:bCs/>
          <w:color w:val="auto"/>
          <w:sz w:val="24"/>
          <w:highlight w:val="none"/>
        </w:rPr>
      </w:pPr>
      <w:r>
        <w:rPr>
          <w:rFonts w:hint="eastAsia" w:ascii="宋体" w:hAnsi="宋体" w:cs="宋体"/>
          <w:color w:val="auto"/>
          <w:sz w:val="24"/>
          <w:highlight w:val="none"/>
        </w:rPr>
        <w:t>（1）响应文件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rPr>
        <w:t>供应商在广西政府采购云平台提交电子版响应文件时，请填写参加远程开标活动经办人联系方式。</w:t>
      </w:r>
    </w:p>
    <w:p w14:paraId="56D4F0A7">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（2）供应商应及时熟悉掌握电子标系统操作指南（见广西政府采购云平台电子卖场首页右上角—服务中心—帮助文档—项目采购）：</w:t>
      </w:r>
      <w:r>
        <w:rPr>
          <w:rFonts w:ascii="宋体" w:hAnsi="宋体" w:cs="宋体"/>
          <w:color w:val="auto"/>
          <w:sz w:val="24"/>
          <w:highlight w:val="none"/>
        </w:rPr>
        <w:t>https://helpcenter.zcygov.cn/document/#/document/dashboard?siteCode=gx</w:t>
      </w:r>
      <w:r>
        <w:rPr>
          <w:rFonts w:hint="eastAsia" w:ascii="宋体" w:hAnsi="宋体" w:cs="宋体"/>
          <w:color w:val="auto"/>
          <w:sz w:val="24"/>
          <w:highlight w:val="none"/>
        </w:rPr>
        <w:t>；及时完成CA申领和绑定（见广西壮族自治区政府采购网—办事服务—下载专区-广西政府采购云平台CA证书办理操作指南）。</w:t>
      </w:r>
    </w:p>
    <w:p w14:paraId="52FF9F83">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084C07D1">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（4）为确保网上操作合法、有效和安全，请供应商确保在电子竞争性磋商过程中能够对相关数据电文进行加密和使用电子签章，妥善保管CA数字证书并使用有效的CA数字证书参与整个采购活动。</w:t>
      </w:r>
    </w:p>
    <w:p w14:paraId="38D38ABB">
      <w:pPr>
        <w:spacing w:line="360" w:lineRule="auto"/>
        <w:ind w:firstLine="482" w:firstLineChars="200"/>
        <w:rPr>
          <w:rFonts w:ascii="楷体" w:hAnsi="楷体" w:eastAsia="楷体" w:cs="宋体"/>
          <w:b/>
          <w:bCs/>
          <w:color w:val="auto"/>
          <w:sz w:val="24"/>
          <w:highlight w:val="none"/>
        </w:rPr>
      </w:pPr>
      <w:r>
        <w:rPr>
          <w:rFonts w:hint="eastAsia" w:ascii="楷体" w:hAnsi="楷体" w:eastAsia="楷体" w:cs="宋体"/>
          <w:b/>
          <w:bCs/>
          <w:color w:val="auto"/>
          <w:sz w:val="24"/>
          <w:highlight w:val="none"/>
        </w:rPr>
        <w:t>注：供应商应当在首次响应文件提交截止时间前完成电子响应文件的上传、提交，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rPr>
        <w:t>前可以补充、修改或者撤回响应文件。补充或者修改响应文件的，应当先行撤回原文件，补充、修改后重新上传、提交。</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rPr>
        <w:t>前未完成上传、提交的，视为撤回响应文件。</w:t>
      </w:r>
      <w:r>
        <w:rPr>
          <w:rFonts w:hint="eastAsia" w:ascii="楷体" w:hAnsi="楷体" w:eastAsia="楷体" w:cs="宋体"/>
          <w:b/>
          <w:color w:val="auto"/>
          <w:sz w:val="24"/>
          <w:highlight w:val="none"/>
        </w:rPr>
        <w:t>首次响应文件提交截止时间</w:t>
      </w:r>
      <w:r>
        <w:rPr>
          <w:rFonts w:hint="eastAsia" w:ascii="楷体" w:hAnsi="楷体" w:eastAsia="楷体" w:cs="宋体"/>
          <w:b/>
          <w:bCs/>
          <w:color w:val="auto"/>
          <w:sz w:val="24"/>
          <w:highlight w:val="none"/>
        </w:rPr>
        <w:t>以后上传递交的响应文件，广西政府采购云平台将予以拒收。</w:t>
      </w:r>
    </w:p>
    <w:p w14:paraId="54EC650F">
      <w:pPr>
        <w:widowControl/>
        <w:spacing w:line="360" w:lineRule="auto"/>
        <w:ind w:firstLine="480" w:firstLineChars="200"/>
        <w:rPr>
          <w:rFonts w:ascii="宋体" w:hAnsi="宋体" w:cs="宋体"/>
          <w:b/>
          <w:bCs/>
          <w:color w:val="auto"/>
          <w:sz w:val="24"/>
          <w:highlight w:val="none"/>
        </w:rPr>
      </w:pPr>
      <w:r>
        <w:rPr>
          <w:rFonts w:hint="eastAsia" w:ascii="宋体" w:hAnsi="宋体" w:cs="宋体"/>
          <w:color w:val="auto"/>
          <w:kern w:val="0"/>
          <w:sz w:val="24"/>
          <w:highlight w:val="none"/>
        </w:rPr>
        <w:t>7.</w:t>
      </w:r>
      <w:r>
        <w:rPr>
          <w:rFonts w:hint="eastAsia" w:ascii="宋体" w:hAnsi="宋体" w:cs="宋体"/>
          <w:color w:val="auto"/>
          <w:sz w:val="24"/>
          <w:highlight w:val="none"/>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59B549AE">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8.供应商需要在具备有摄像头及语音功能且互联网网络状况良好的电脑登录广西政府采购云平台远程开标大厅参与本次磋商，否则后果自负。</w:t>
      </w:r>
    </w:p>
    <w:p w14:paraId="5476E2D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9.若对项目采购电子交易系统操作有疑问，可登录广西政府采购云平台（https://www.gcy.zfcg.gxzf.gov.cn/），点击右侧咨询小采，获取采小蜜智能服务管家帮助，或拨打广西政府采购云平台服务热线</w:t>
      </w:r>
      <w:r>
        <w:rPr>
          <w:rFonts w:ascii="宋体" w:hAnsi="宋体" w:cs="宋体"/>
          <w:color w:val="auto"/>
          <w:sz w:val="24"/>
          <w:highlight w:val="none"/>
        </w:rPr>
        <w:t>95763</w:t>
      </w:r>
      <w:r>
        <w:rPr>
          <w:rFonts w:hint="eastAsia" w:ascii="宋体" w:hAnsi="宋体" w:cs="宋体"/>
          <w:color w:val="auto"/>
          <w:sz w:val="24"/>
          <w:highlight w:val="none"/>
        </w:rPr>
        <w:t>获取热线服务帮助。</w:t>
      </w:r>
    </w:p>
    <w:bookmarkEnd w:id="2"/>
    <w:p w14:paraId="09611810">
      <w:pPr>
        <w:widowControl/>
        <w:spacing w:line="360" w:lineRule="auto"/>
        <w:ind w:firstLine="482" w:firstLineChars="200"/>
        <w:outlineLvl w:val="1"/>
        <w:rPr>
          <w:rFonts w:ascii="宋体" w:hAnsi="宋体" w:cs="宋体"/>
          <w:b/>
          <w:color w:val="auto"/>
          <w:sz w:val="24"/>
          <w:highlight w:val="none"/>
        </w:rPr>
      </w:pPr>
      <w:r>
        <w:rPr>
          <w:rFonts w:hint="eastAsia" w:ascii="宋体" w:hAnsi="宋体" w:cs="宋体"/>
          <w:b/>
          <w:color w:val="auto"/>
          <w:sz w:val="24"/>
          <w:highlight w:val="none"/>
        </w:rPr>
        <w:t>八、凡对本次采购提出询问，请按以下方式联系。</w:t>
      </w:r>
      <w:bookmarkEnd w:id="3"/>
      <w:bookmarkEnd w:id="4"/>
      <w:bookmarkEnd w:id="5"/>
      <w:bookmarkEnd w:id="6"/>
      <w:bookmarkEnd w:id="7"/>
    </w:p>
    <w:p w14:paraId="69A1D0B5">
      <w:pPr>
        <w:spacing w:line="360" w:lineRule="auto"/>
        <w:ind w:firstLine="648" w:firstLineChars="270"/>
        <w:jc w:val="left"/>
        <w:outlineLvl w:val="2"/>
        <w:rPr>
          <w:rFonts w:ascii="宋体" w:hAnsi="宋体" w:cs="宋体"/>
          <w:color w:val="auto"/>
          <w:sz w:val="24"/>
          <w:highlight w:val="none"/>
        </w:rPr>
      </w:pPr>
      <w:bookmarkStart w:id="8" w:name="_Toc35393806"/>
      <w:bookmarkStart w:id="9" w:name="_Toc35393637"/>
      <w:bookmarkStart w:id="10" w:name="_Toc28359096"/>
      <w:bookmarkStart w:id="11" w:name="_Toc28359019"/>
      <w:r>
        <w:rPr>
          <w:rFonts w:hint="eastAsia" w:ascii="宋体" w:hAnsi="宋体" w:cs="宋体"/>
          <w:color w:val="auto"/>
          <w:sz w:val="24"/>
          <w:highlight w:val="none"/>
        </w:rPr>
        <w:t>1.采购人信息</w:t>
      </w:r>
    </w:p>
    <w:p w14:paraId="4DB90FAD">
      <w:pPr>
        <w:spacing w:line="360" w:lineRule="auto"/>
        <w:ind w:firstLine="648" w:firstLineChars="27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广西国际商务职业技术学院</w:t>
      </w:r>
    </w:p>
    <w:p w14:paraId="2269ED1F">
      <w:pPr>
        <w:spacing w:line="360" w:lineRule="auto"/>
        <w:ind w:firstLine="648" w:firstLineChars="270"/>
        <w:jc w:val="left"/>
        <w:rPr>
          <w:rFonts w:ascii="宋体" w:hAnsi="宋体" w:cs="宋体"/>
          <w:color w:val="auto"/>
          <w:sz w:val="24"/>
          <w:highlight w:val="none"/>
        </w:rPr>
      </w:pPr>
      <w:bookmarkStart w:id="12" w:name="_Toc28359086"/>
      <w:bookmarkStart w:id="13" w:name="_Toc28359009"/>
      <w:r>
        <w:rPr>
          <w:rFonts w:hint="eastAsia" w:ascii="宋体" w:hAnsi="宋体" w:cs="宋体"/>
          <w:color w:val="auto"/>
          <w:sz w:val="24"/>
          <w:highlight w:val="none"/>
        </w:rPr>
        <w:t>地址：广西南宁市大学东路168号</w:t>
      </w:r>
    </w:p>
    <w:p w14:paraId="08DB72F7">
      <w:pPr>
        <w:spacing w:line="360" w:lineRule="auto"/>
        <w:ind w:firstLine="648" w:firstLineChars="270"/>
        <w:jc w:val="left"/>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覃</w:t>
      </w:r>
      <w:r>
        <w:rPr>
          <w:rFonts w:hint="eastAsia" w:ascii="宋体" w:hAnsi="宋体" w:cs="宋体"/>
          <w:color w:val="auto"/>
          <w:sz w:val="24"/>
          <w:highlight w:val="none"/>
        </w:rPr>
        <w:t>老师</w:t>
      </w:r>
      <w:r>
        <w:rPr>
          <w:rFonts w:hint="eastAsia" w:ascii="宋体" w:hAnsi="宋体" w:cs="宋体"/>
          <w:color w:val="auto"/>
          <w:sz w:val="24"/>
          <w:highlight w:val="none"/>
          <w:lang w:eastAsia="zh-CN"/>
        </w:rPr>
        <w:t>，</w:t>
      </w:r>
      <w:r>
        <w:rPr>
          <w:rFonts w:hint="eastAsia" w:ascii="宋体" w:hAnsi="宋体" w:cs="宋体"/>
          <w:color w:val="auto"/>
          <w:sz w:val="24"/>
          <w:highlight w:val="none"/>
        </w:rPr>
        <w:t>联系方式：0771-3224391</w:t>
      </w:r>
    </w:p>
    <w:p w14:paraId="192E0E3F">
      <w:pPr>
        <w:spacing w:line="360" w:lineRule="auto"/>
        <w:ind w:firstLine="648" w:firstLineChars="270"/>
        <w:jc w:val="left"/>
        <w:outlineLvl w:val="2"/>
        <w:rPr>
          <w:rFonts w:ascii="宋体" w:hAnsi="宋体" w:cs="宋体"/>
          <w:color w:val="auto"/>
          <w:sz w:val="24"/>
          <w:highlight w:val="none"/>
        </w:rPr>
      </w:pPr>
      <w:r>
        <w:rPr>
          <w:rFonts w:hint="eastAsia" w:ascii="宋体" w:hAnsi="宋体" w:cs="宋体"/>
          <w:color w:val="auto"/>
          <w:sz w:val="24"/>
          <w:highlight w:val="none"/>
        </w:rPr>
        <w:t>2.采购代理机构信息</w:t>
      </w:r>
      <w:bookmarkEnd w:id="12"/>
      <w:bookmarkEnd w:id="13"/>
    </w:p>
    <w:p w14:paraId="4869D356">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名 称：广西建设工程机电设备招标中心有限公司</w:t>
      </w:r>
    </w:p>
    <w:p w14:paraId="0BF75469">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地 址：广西壮族自治区南宁市青秀区枫林路18号广西国控大厦裙楼三层</w:t>
      </w:r>
    </w:p>
    <w:p w14:paraId="0A1FD243">
      <w:pPr>
        <w:spacing w:line="360" w:lineRule="auto"/>
        <w:ind w:firstLine="648" w:firstLineChars="270"/>
        <w:rPr>
          <w:rFonts w:ascii="宋体" w:hAnsi="宋体" w:cs="宋体"/>
          <w:color w:val="auto"/>
          <w:sz w:val="24"/>
          <w:highlight w:val="none"/>
        </w:rPr>
      </w:pPr>
      <w:r>
        <w:rPr>
          <w:rFonts w:hint="eastAsia" w:ascii="宋体" w:hAnsi="宋体" w:cs="宋体"/>
          <w:color w:val="auto"/>
          <w:sz w:val="24"/>
          <w:highlight w:val="none"/>
        </w:rPr>
        <w:t>联系方式：</w:t>
      </w:r>
      <w:bookmarkStart w:id="14" w:name="_Toc28359087"/>
      <w:bookmarkStart w:id="15" w:name="_Toc28359010"/>
      <w:r>
        <w:rPr>
          <w:rFonts w:hint="eastAsia" w:ascii="宋体" w:hAnsi="宋体" w:cs="宋体"/>
          <w:color w:val="auto"/>
          <w:sz w:val="24"/>
          <w:highlight w:val="none"/>
        </w:rPr>
        <w:t>0771-2821389</w:t>
      </w:r>
    </w:p>
    <w:p w14:paraId="307BA4CD">
      <w:pPr>
        <w:spacing w:line="360" w:lineRule="auto"/>
        <w:ind w:firstLine="648" w:firstLineChars="270"/>
        <w:outlineLvl w:val="2"/>
        <w:rPr>
          <w:rFonts w:ascii="宋体" w:hAnsi="宋体" w:cs="宋体"/>
          <w:color w:val="auto"/>
          <w:sz w:val="24"/>
          <w:highlight w:val="none"/>
          <w:u w:val="single"/>
        </w:rPr>
      </w:pPr>
      <w:r>
        <w:rPr>
          <w:rFonts w:hint="eastAsia" w:ascii="宋体" w:hAnsi="宋体" w:cs="宋体"/>
          <w:color w:val="auto"/>
          <w:sz w:val="24"/>
          <w:highlight w:val="none"/>
        </w:rPr>
        <w:t>3.项目联系方式</w:t>
      </w:r>
      <w:bookmarkEnd w:id="14"/>
      <w:bookmarkEnd w:id="15"/>
    </w:p>
    <w:p w14:paraId="344B0ED8">
      <w:pPr>
        <w:spacing w:line="360" w:lineRule="auto"/>
        <w:ind w:firstLine="648" w:firstLineChars="270"/>
        <w:jc w:val="left"/>
        <w:rPr>
          <w:rFonts w:ascii="宋体" w:hAnsi="宋体" w:cs="宋体"/>
          <w:color w:val="auto"/>
          <w:sz w:val="24"/>
          <w:highlight w:val="none"/>
        </w:rPr>
      </w:pPr>
      <w:r>
        <w:rPr>
          <w:rFonts w:hint="eastAsia" w:hAnsi="宋体" w:cs="宋体"/>
          <w:color w:val="auto"/>
          <w:sz w:val="24"/>
          <w:highlight w:val="none"/>
        </w:rPr>
        <w:t>项目联系人：</w:t>
      </w:r>
      <w:r>
        <w:rPr>
          <w:rFonts w:hint="eastAsia" w:ascii="宋体" w:hAnsi="宋体" w:cs="宋体"/>
          <w:color w:val="auto"/>
          <w:sz w:val="24"/>
          <w:highlight w:val="none"/>
        </w:rPr>
        <w:t>谭琦辉、刘雅婷  电 话：0771-2821389</w:t>
      </w:r>
    </w:p>
    <w:bookmarkEnd w:id="1"/>
    <w:bookmarkEnd w:id="8"/>
    <w:bookmarkEnd w:id="9"/>
    <w:bookmarkEnd w:id="10"/>
    <w:bookmarkEnd w:id="11"/>
    <w:p w14:paraId="4BFF81B7">
      <w:pPr>
        <w:spacing w:line="360" w:lineRule="auto"/>
        <w:ind w:firstLine="648" w:firstLineChars="270"/>
        <w:jc w:val="right"/>
        <w:rPr>
          <w:rFonts w:ascii="宋体" w:hAnsi="宋体" w:cs="宋体"/>
          <w:color w:val="auto"/>
          <w:sz w:val="24"/>
          <w:highlight w:val="none"/>
        </w:rPr>
      </w:pPr>
      <w:r>
        <w:rPr>
          <w:rFonts w:hint="eastAsia" w:ascii="宋体" w:hAnsi="宋体" w:cs="宋体"/>
          <w:color w:val="auto"/>
          <w:sz w:val="24"/>
          <w:highlight w:val="none"/>
        </w:rPr>
        <w:t>采购代理机构：广西建设工程机电设备招标中心有限公司</w:t>
      </w:r>
    </w:p>
    <w:p w14:paraId="665FD2F2">
      <w:pPr>
        <w:spacing w:line="360" w:lineRule="auto"/>
        <w:ind w:firstLine="648" w:firstLineChars="270"/>
        <w:jc w:val="right"/>
        <w:rPr>
          <w:rFonts w:ascii="宋体" w:hAnsi="宋体" w:cs="宋体"/>
          <w:color w:val="auto"/>
          <w:sz w:val="24"/>
          <w:highlight w:val="none"/>
        </w:rPr>
      </w:pPr>
      <w:r>
        <w:rPr>
          <w:rFonts w:hint="eastAsia" w:ascii="宋体" w:hAnsi="宋体" w:cs="宋体"/>
          <w:bCs/>
          <w:color w:val="auto"/>
          <w:kern w:val="0"/>
          <w:sz w:val="24"/>
          <w:highlight w:val="none"/>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日</w:t>
      </w:r>
    </w:p>
    <w:p w14:paraId="70E4923C">
      <w:pPr>
        <w:pStyle w:val="2"/>
        <w:jc w:val="center"/>
        <w:rPr>
          <w:rFonts w:ascii="宋体" w:hAnsi="宋体" w:cs="宋体"/>
          <w:color w:val="auto"/>
          <w:highlight w:val="none"/>
        </w:rPr>
      </w:pPr>
      <w:r>
        <w:rPr>
          <w:rFonts w:hint="eastAsia" w:ascii="宋体" w:hAnsi="宋体" w:cs="宋体"/>
          <w:color w:val="auto"/>
          <w:sz w:val="24"/>
          <w:highlight w:val="none"/>
        </w:rPr>
        <w:br w:type="page"/>
      </w:r>
      <w:bookmarkStart w:id="16" w:name="_Toc26779"/>
      <w:r>
        <w:rPr>
          <w:rFonts w:hint="eastAsia" w:ascii="宋体" w:hAnsi="宋体" w:cs="宋体"/>
          <w:color w:val="auto"/>
          <w:highlight w:val="none"/>
        </w:rPr>
        <w:t>第二章 供应商须知</w:t>
      </w:r>
      <w:bookmarkEnd w:id="16"/>
    </w:p>
    <w:p w14:paraId="4A979845">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4A0DCC8">
      <w:pPr>
        <w:spacing w:line="400" w:lineRule="exact"/>
        <w:jc w:val="center"/>
        <w:rPr>
          <w:rFonts w:ascii="宋体" w:hAnsi="宋体" w:cs="宋体"/>
          <w:b/>
          <w:color w:val="auto"/>
          <w:sz w:val="32"/>
          <w:szCs w:val="32"/>
          <w:highlight w:val="none"/>
        </w:rPr>
      </w:pPr>
    </w:p>
    <w:tbl>
      <w:tblPr>
        <w:tblStyle w:val="31"/>
        <w:tblW w:w="9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7"/>
      </w:tblGrid>
      <w:tr w14:paraId="228F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120F99D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697" w:type="dxa"/>
          </w:tcPr>
          <w:p w14:paraId="29EEA87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内    容</w:t>
            </w:r>
          </w:p>
        </w:tc>
      </w:tr>
      <w:tr w14:paraId="40513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487A4A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8697" w:type="dxa"/>
            <w:vAlign w:val="center"/>
          </w:tcPr>
          <w:p w14:paraId="2EE25F67">
            <w:pPr>
              <w:spacing w:line="360" w:lineRule="auto"/>
              <w:rPr>
                <w:rFonts w:ascii="宋体" w:hAnsi="宋体" w:cs="宋体"/>
                <w:color w:val="auto"/>
                <w:sz w:val="24"/>
                <w:highlight w:val="none"/>
              </w:rPr>
            </w:pPr>
            <w:r>
              <w:rPr>
                <w:rFonts w:hint="eastAsia" w:ascii="宋体" w:hAnsi="宋体" w:cs="宋体"/>
                <w:bCs/>
                <w:color w:val="auto"/>
                <w:sz w:val="24"/>
                <w:highlight w:val="none"/>
              </w:rPr>
              <w:t>供应商的资格条件</w:t>
            </w:r>
            <w:r>
              <w:rPr>
                <w:rFonts w:hint="eastAsia" w:ascii="宋体" w:hAnsi="宋体" w:cs="宋体"/>
                <w:color w:val="auto"/>
                <w:sz w:val="24"/>
                <w:highlight w:val="none"/>
              </w:rPr>
              <w:t>：详见竞争性磋商公告</w:t>
            </w:r>
          </w:p>
        </w:tc>
      </w:tr>
      <w:tr w14:paraId="43558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3E102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5.1</w:t>
            </w:r>
          </w:p>
        </w:tc>
        <w:tc>
          <w:tcPr>
            <w:tcW w:w="8697" w:type="dxa"/>
            <w:vAlign w:val="center"/>
          </w:tcPr>
          <w:p w14:paraId="16306F49">
            <w:pPr>
              <w:spacing w:line="360" w:lineRule="auto"/>
              <w:rPr>
                <w:rFonts w:ascii="宋体" w:hAnsi="宋体" w:cs="宋体"/>
                <w:color w:val="auto"/>
                <w:sz w:val="24"/>
                <w:highlight w:val="none"/>
              </w:rPr>
            </w:pPr>
            <w:r>
              <w:rPr>
                <w:rFonts w:hint="eastAsia" w:ascii="宋体" w:hAnsi="宋体" w:cs="宋体"/>
                <w:color w:val="auto"/>
                <w:sz w:val="24"/>
                <w:highlight w:val="none"/>
              </w:rPr>
              <w:t>是否接受联合体参加竞争性磋商：详见竞争性磋商公告</w:t>
            </w:r>
          </w:p>
        </w:tc>
      </w:tr>
      <w:tr w14:paraId="6434F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D139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5.2</w:t>
            </w:r>
          </w:p>
        </w:tc>
        <w:tc>
          <w:tcPr>
            <w:tcW w:w="8697" w:type="dxa"/>
            <w:vAlign w:val="center"/>
          </w:tcPr>
          <w:p w14:paraId="3C484A9E">
            <w:pPr>
              <w:spacing w:line="360" w:lineRule="auto"/>
              <w:rPr>
                <w:rFonts w:ascii="宋体" w:hAnsi="宋体" w:cs="宋体"/>
                <w:color w:val="auto"/>
                <w:sz w:val="24"/>
                <w:highlight w:val="none"/>
              </w:rPr>
            </w:pPr>
            <w:r>
              <w:rPr>
                <w:rFonts w:hint="eastAsia" w:ascii="宋体" w:hAnsi="宋体" w:cs="宋体"/>
                <w:color w:val="auto"/>
                <w:sz w:val="24"/>
                <w:highlight w:val="none"/>
              </w:rPr>
              <w:t>如接受联合体参加竞争性磋商，要求如下：</w:t>
            </w:r>
          </w:p>
          <w:p w14:paraId="7EFD44F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1.两个以上供应商可以组成一个竞争性磋商联合体，以一个供应商的身份共同参加竞争性磋商，联合体供应商的名称应统一按“XXX 公司与 XXX 公司的联合体”的规则填写。</w:t>
            </w:r>
            <w:r>
              <w:rPr>
                <w:rFonts w:hint="eastAsia" w:ascii="宋体" w:hAnsi="宋体" w:cs="宋体"/>
                <w:color w:val="auto"/>
                <w:sz w:val="24"/>
                <w:highlight w:val="none"/>
              </w:rPr>
              <w:tab/>
            </w:r>
          </w:p>
          <w:p w14:paraId="5189AD8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2.以联合体形式参加竞争性磋商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磋商公告“申请人的资格条件”第3点 “3、本项目的特定资格要求”的要求。</w:t>
            </w:r>
          </w:p>
          <w:p w14:paraId="4D926EF7">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3.联合体参加竞争性磋商的，须提供《联合体参加竞争性磋商协议书》（格式后附），协议书必须明确主体方（或者牵头方）并明确约定联合体各方承担的工作和相应的责任（各方承担责任与义务的分工必须符合采购需求，否则，联合体响应无效），并将联合参加竞争性磋商协议放入响应文件。联合体各方必须共同与采购人签订采购合同，就采购合同约定的事项对采购人承担连带责任。</w:t>
            </w:r>
            <w:r>
              <w:rPr>
                <w:rFonts w:hint="eastAsia" w:ascii="宋体" w:hAnsi="宋体" w:cs="宋体"/>
                <w:color w:val="auto"/>
                <w:sz w:val="24"/>
                <w:highlight w:val="none"/>
              </w:rPr>
              <w:tab/>
            </w:r>
          </w:p>
          <w:p w14:paraId="71C1734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 w:val="24"/>
                <w:highlight w:val="none"/>
              </w:rPr>
              <w:tab/>
            </w:r>
            <w:r>
              <w:rPr>
                <w:rFonts w:hint="eastAsia" w:ascii="宋体" w:hAnsi="宋体" w:cs="宋体"/>
                <w:color w:val="auto"/>
                <w:sz w:val="24"/>
                <w:highlight w:val="none"/>
              </w:rPr>
              <w:tab/>
            </w:r>
          </w:p>
          <w:p w14:paraId="5FF8405F">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5.联合体中有同类资质的供应商按照联合体分工承担相同工作的，应当按照资质等级较低的供应商确定资质等级。</w:t>
            </w:r>
            <w:r>
              <w:rPr>
                <w:rFonts w:hint="eastAsia" w:ascii="宋体" w:hAnsi="宋体" w:cs="宋体"/>
                <w:color w:val="auto"/>
                <w:sz w:val="24"/>
                <w:highlight w:val="none"/>
              </w:rPr>
              <w:tab/>
            </w:r>
            <w:r>
              <w:rPr>
                <w:rFonts w:hint="eastAsia" w:ascii="宋体" w:hAnsi="宋体" w:cs="宋体"/>
                <w:color w:val="auto"/>
                <w:sz w:val="24"/>
                <w:highlight w:val="none"/>
              </w:rPr>
              <w:tab/>
            </w:r>
          </w:p>
          <w:p w14:paraId="1EF6A923">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6.联合体参加竞争性磋商的业绩、履约能力按照联合体各方其中较高的一方认定并计算（竞争性磋商文件另有规定的除外）。</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p>
          <w:p w14:paraId="5C218E05">
            <w:pPr>
              <w:spacing w:line="360" w:lineRule="auto"/>
              <w:rPr>
                <w:rFonts w:ascii="宋体" w:hAnsi="宋体" w:cs="宋体"/>
                <w:color w:val="auto"/>
                <w:sz w:val="24"/>
                <w:highlight w:val="none"/>
              </w:rPr>
            </w:pPr>
            <w:r>
              <w:rPr>
                <w:rFonts w:hint="eastAsia" w:ascii="宋体" w:hAnsi="宋体" w:cs="宋体"/>
                <w:color w:val="auto"/>
                <w:sz w:val="24"/>
                <w:highlight w:val="none"/>
              </w:rPr>
              <w:t>7.联合体各方均应按照竞争性磋商文件的规定提交资格证明文件。</w:t>
            </w:r>
          </w:p>
        </w:tc>
      </w:tr>
      <w:tr w14:paraId="0D3F7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04E87D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6.2</w:t>
            </w:r>
          </w:p>
        </w:tc>
        <w:tc>
          <w:tcPr>
            <w:tcW w:w="8697" w:type="dxa"/>
            <w:vAlign w:val="center"/>
          </w:tcPr>
          <w:p w14:paraId="54A8B62E">
            <w:pPr>
              <w:pStyle w:val="11"/>
              <w:spacing w:line="360" w:lineRule="auto"/>
              <w:rPr>
                <w:rFonts w:ascii="宋体" w:hAnsi="宋体" w:cs="宋体"/>
                <w:b/>
                <w:color w:val="auto"/>
                <w:sz w:val="24"/>
                <w:highlight w:val="none"/>
              </w:rPr>
            </w:pPr>
            <w:r>
              <w:rPr>
                <w:rFonts w:ascii="宋体" w:hAnsi="宋体" w:cs="宋体"/>
                <w:b/>
                <w:color w:val="auto"/>
                <w:sz w:val="24"/>
                <w:highlight w:val="none"/>
              </w:rPr>
              <w:sym w:font="Wingdings" w:char="00FE"/>
            </w:r>
            <w:r>
              <w:rPr>
                <w:rFonts w:hint="eastAsia" w:ascii="宋体" w:hAnsi="宋体" w:cs="宋体"/>
                <w:b/>
                <w:color w:val="auto"/>
                <w:sz w:val="24"/>
                <w:highlight w:val="none"/>
              </w:rPr>
              <w:t>本项目不允许分包。</w:t>
            </w:r>
          </w:p>
          <w:p w14:paraId="5A83E540">
            <w:pPr>
              <w:pStyle w:val="11"/>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本项目允许分包：</w:t>
            </w:r>
          </w:p>
          <w:p w14:paraId="115D6EC5">
            <w:pPr>
              <w:pStyle w:val="11"/>
              <w:spacing w:line="360" w:lineRule="auto"/>
              <w:rPr>
                <w:rFonts w:ascii="宋体" w:hAnsi="宋体" w:cs="宋体"/>
                <w:color w:val="auto"/>
                <w:sz w:val="24"/>
                <w:highlight w:val="none"/>
                <w:u w:val="single"/>
              </w:rPr>
            </w:pPr>
            <w:r>
              <w:rPr>
                <w:rFonts w:hint="eastAsia" w:ascii="宋体" w:hAnsi="宋体" w:cs="宋体"/>
                <w:color w:val="auto"/>
                <w:sz w:val="24"/>
                <w:highlight w:val="none"/>
              </w:rPr>
              <w:t>分包内容：</w:t>
            </w:r>
            <w:r>
              <w:rPr>
                <w:rFonts w:hint="eastAsia" w:ascii="宋体" w:hAnsi="宋体" w:cs="宋体"/>
                <w:color w:val="auto"/>
                <w:sz w:val="24"/>
                <w:highlight w:val="none"/>
                <w:u w:val="single"/>
              </w:rPr>
              <w:t xml:space="preserve">                                     。</w:t>
            </w:r>
          </w:p>
          <w:p w14:paraId="6E6621E3">
            <w:pPr>
              <w:pStyle w:val="11"/>
              <w:spacing w:line="360" w:lineRule="auto"/>
              <w:rPr>
                <w:rFonts w:ascii="宋体" w:hAnsi="宋体" w:cs="宋体"/>
                <w:color w:val="auto"/>
                <w:sz w:val="24"/>
                <w:highlight w:val="none"/>
              </w:rPr>
            </w:pPr>
            <w:r>
              <w:rPr>
                <w:rFonts w:hint="eastAsia" w:ascii="宋体" w:hAnsi="宋体" w:cs="宋体"/>
                <w:color w:val="auto"/>
                <w:sz w:val="24"/>
                <w:highlight w:val="none"/>
              </w:rPr>
              <w:t>分包金额或者比例：</w:t>
            </w:r>
            <w:r>
              <w:rPr>
                <w:rFonts w:hint="eastAsia" w:ascii="宋体" w:hAnsi="宋体" w:cs="宋体"/>
                <w:color w:val="auto"/>
                <w:sz w:val="24"/>
                <w:highlight w:val="none"/>
                <w:u w:val="single"/>
              </w:rPr>
              <w:t xml:space="preserve">                                     。</w:t>
            </w:r>
          </w:p>
        </w:tc>
      </w:tr>
      <w:tr w14:paraId="1933D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0EAE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12.1.1</w:t>
            </w:r>
          </w:p>
        </w:tc>
        <w:tc>
          <w:tcPr>
            <w:tcW w:w="8697" w:type="dxa"/>
            <w:vAlign w:val="center"/>
          </w:tcPr>
          <w:p w14:paraId="036DACCD">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资格证明文件</w:t>
            </w:r>
          </w:p>
          <w:p w14:paraId="78F12BA6">
            <w:pPr>
              <w:pStyle w:val="11"/>
              <w:spacing w:line="360" w:lineRule="auto"/>
              <w:rPr>
                <w:rFonts w:ascii="宋体" w:hAnsi="宋体" w:cs="宋体"/>
                <w:color w:val="auto"/>
                <w:sz w:val="24"/>
                <w:highlight w:val="none"/>
              </w:rPr>
            </w:pPr>
            <w:r>
              <w:rPr>
                <w:rFonts w:hint="eastAsia" w:ascii="宋体" w:hAnsi="宋体" w:cs="宋体"/>
                <w:color w:val="auto"/>
                <w:sz w:val="24"/>
                <w:highlight w:val="none"/>
              </w:rPr>
              <w:t>1.供应商为法人或者其他组织的，证明文件为其营业执照复印件（如营业执照或者事业单位法人证书或者执业许可证等）；供应商为自然人的，证明文件为其身份证复印件；（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25299526">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2.供应商依法缴纳税收的相关材料（截至</w:t>
            </w:r>
            <w:r>
              <w:rPr>
                <w:rFonts w:hint="eastAsia" w:ascii="宋体" w:hAnsi="宋体" w:cs="宋体"/>
                <w:color w:val="auto"/>
                <w:sz w:val="24"/>
                <w:highlight w:val="none"/>
                <w:u w:val="single"/>
              </w:rPr>
              <w:t>首次响应文件提交截止之日半年内</w:t>
            </w:r>
            <w:r>
              <w:rPr>
                <w:rFonts w:hint="eastAsia" w:ascii="宋体" w:hAnsi="宋体" w:cs="宋体"/>
                <w:color w:val="auto"/>
                <w:sz w:val="24"/>
                <w:highlight w:val="none"/>
                <w:u w:val="single"/>
                <w:lang w:val="en-US" w:eastAsia="zh-CN"/>
              </w:rPr>
              <w:t>任意</w:t>
            </w:r>
            <w:r>
              <w:rPr>
                <w:rFonts w:hint="eastAsia" w:ascii="宋体" w:hAnsi="宋体" w:cs="宋体"/>
                <w:color w:val="auto"/>
                <w:sz w:val="24"/>
                <w:highlight w:val="none"/>
                <w:u w:val="single"/>
              </w:rPr>
              <w:t>连续三个月</w:t>
            </w:r>
            <w:r>
              <w:rPr>
                <w:rFonts w:hint="eastAsia" w:ascii="宋体" w:hAnsi="宋体" w:cs="宋体"/>
                <w:color w:val="auto"/>
                <w:sz w:val="24"/>
                <w:highlight w:val="none"/>
              </w:rPr>
              <w:t>的依法缴纳税收的凭据复印件；依法免税的，必须提供相应文件证明。从成立之日起到首次响应文件提交截止之日不足要求月数的，只需提供从成立之日起的依法缴纳税收相应证明文件）；（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7E7063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3.供应商依法缴纳社会保障资金的相关材料</w:t>
            </w:r>
            <w:r>
              <w:rPr>
                <w:rFonts w:ascii="宋体" w:hAnsi="宋体" w:cs="宋体"/>
                <w:color w:val="auto"/>
                <w:sz w:val="24"/>
                <w:highlight w:val="none"/>
              </w:rPr>
              <w:t>[</w:t>
            </w:r>
            <w:r>
              <w:rPr>
                <w:rFonts w:hint="eastAsia" w:ascii="宋体" w:hAnsi="宋体" w:cs="宋体"/>
                <w:color w:val="auto"/>
                <w:sz w:val="24"/>
                <w:highlight w:val="none"/>
              </w:rPr>
              <w:t>截至</w:t>
            </w:r>
            <w:r>
              <w:rPr>
                <w:rFonts w:hint="eastAsia" w:ascii="宋体" w:hAnsi="宋体" w:cs="宋体"/>
                <w:color w:val="auto"/>
                <w:sz w:val="24"/>
                <w:highlight w:val="none"/>
                <w:u w:val="single"/>
              </w:rPr>
              <w:t>首次响应文件提交截止之日半年内</w:t>
            </w:r>
            <w:r>
              <w:rPr>
                <w:rFonts w:hint="eastAsia" w:ascii="宋体" w:hAnsi="宋体" w:cs="宋体"/>
                <w:color w:val="auto"/>
                <w:sz w:val="24"/>
                <w:highlight w:val="none"/>
                <w:u w:val="single"/>
                <w:lang w:val="en-US" w:eastAsia="zh-CN"/>
              </w:rPr>
              <w:t>任意</w:t>
            </w:r>
            <w:r>
              <w:rPr>
                <w:rFonts w:hint="eastAsia" w:ascii="宋体" w:hAnsi="宋体" w:cs="宋体"/>
                <w:color w:val="auto"/>
                <w:sz w:val="24"/>
                <w:highlight w:val="none"/>
                <w:u w:val="single"/>
              </w:rPr>
              <w:t>连续三个月</w:t>
            </w:r>
            <w:r>
              <w:rPr>
                <w:rFonts w:hint="eastAsia" w:ascii="宋体" w:hAnsi="宋体" w:cs="宋体"/>
                <w:color w:val="auto"/>
                <w:sz w:val="24"/>
                <w:highlight w:val="none"/>
              </w:rPr>
              <w:t>的依法缴纳社会保障资金的缴费凭证（专用收据或者社会保险缴纳清单）复印件；依法不需要缴纳社会保障资金的，必须提供相应文件证明。从成立之日起到首次响应文件提交截止之日不足要求月数的只需提供从成立之日起一个月的依法缴纳社会保障资金的相应证明文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0F4BC2C2">
            <w:pPr>
              <w:spacing w:line="360" w:lineRule="auto"/>
              <w:contextualSpacing/>
              <w:jc w:val="left"/>
              <w:rPr>
                <w:rFonts w:ascii="宋体" w:hAnsi="宋体" w:cs="宋体"/>
                <w:b/>
                <w:color w:val="auto"/>
                <w:sz w:val="24"/>
                <w:highlight w:val="none"/>
              </w:rPr>
            </w:pPr>
            <w:r>
              <w:rPr>
                <w:rFonts w:hint="eastAsia" w:ascii="宋体" w:hAnsi="宋体" w:cs="宋体"/>
                <w:color w:val="auto"/>
                <w:sz w:val="24"/>
                <w:highlight w:val="none"/>
              </w:rPr>
              <w:t>4.供应商财务状况报告（提供2024年财务状况报告复印件，或者银行出具的资信证明（资信证明应在有效期内，未注明有效期的，银行出具时间至首次响应文件提交截止之日不超过一年）；供应商成立不满一年的应按首次响应文件提交截止之日上一个月的财务状况报告复印件）；</w:t>
            </w:r>
            <w:r>
              <w:rPr>
                <w:rFonts w:hint="eastAsia" w:ascii="宋体" w:hAnsi="宋体" w:cs="宋体"/>
                <w:bCs/>
                <w:color w:val="auto"/>
                <w:sz w:val="24"/>
                <w:highlight w:val="none"/>
              </w:rPr>
              <w:t>（</w:t>
            </w:r>
            <w:r>
              <w:rPr>
                <w:rFonts w:hint="eastAsia" w:ascii="宋体" w:hAnsi="宋体" w:cs="宋体"/>
                <w:b/>
                <w:color w:val="auto"/>
                <w:sz w:val="24"/>
                <w:highlight w:val="none"/>
              </w:rPr>
              <w:t>除自然人外必须提供，否则响应文件按无效响应处理</w:t>
            </w:r>
            <w:r>
              <w:rPr>
                <w:rFonts w:hint="eastAsia" w:ascii="宋体" w:hAnsi="宋体" w:cs="宋体"/>
                <w:bCs/>
                <w:color w:val="auto"/>
                <w:sz w:val="24"/>
                <w:highlight w:val="none"/>
              </w:rPr>
              <w:t>）</w:t>
            </w:r>
          </w:p>
          <w:p w14:paraId="5AA516E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5.供应商直接控股、管理关系信息表（格式后附）；（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49B1755D">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6.参与竞争性磋商声明（格式后附）；（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5F27C66">
            <w:pPr>
              <w:snapToGrid w:val="0"/>
              <w:spacing w:line="360" w:lineRule="auto"/>
              <w:jc w:val="left"/>
              <w:rPr>
                <w:rFonts w:ascii="宋体" w:hAnsi="宋体" w:cs="宋体"/>
                <w:b/>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.除磋商文件规定必须提供以外，供应商认为需要提供的其他证明材料；</w:t>
            </w:r>
          </w:p>
          <w:p w14:paraId="76FB5F77">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bCs/>
                <w:color w:val="auto"/>
                <w:sz w:val="24"/>
                <w:highlight w:val="none"/>
              </w:rPr>
              <w:t>【注】</w:t>
            </w:r>
            <w:r>
              <w:rPr>
                <w:rFonts w:ascii="楷体" w:hAnsi="楷体" w:eastAsia="楷体" w:cs="宋体"/>
                <w:b/>
                <w:color w:val="auto"/>
                <w:sz w:val="24"/>
                <w:highlight w:val="none"/>
              </w:rPr>
              <w:t>1.</w:t>
            </w:r>
            <w:r>
              <w:rPr>
                <w:rFonts w:hint="eastAsia" w:ascii="楷体" w:hAnsi="楷体" w:eastAsia="楷体" w:cs="宋体"/>
                <w:b/>
                <w:color w:val="auto"/>
                <w:sz w:val="24"/>
                <w:highlight w:val="none"/>
              </w:rPr>
              <w:t>以上标明“必须提供”的材料属于复印件的，必须加盖供应商公章，否则响应文件按无效响应处理。</w:t>
            </w:r>
          </w:p>
          <w:p w14:paraId="3764F634">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参与竞争性磋商声明必须由法定代表人在规定签章处签字并加盖供应商公章，否则响应文件按无效响应处理。</w:t>
            </w:r>
          </w:p>
          <w:p w14:paraId="7DE288AF">
            <w:pPr>
              <w:snapToGrid w:val="0"/>
              <w:spacing w:line="360" w:lineRule="auto"/>
              <w:jc w:val="left"/>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供应商直接控股、管理关系信息表必须由法定代表人或者委托代理人在规定签章处签字并加盖供应商公章，否则响应文件按无效响应处理。</w:t>
            </w:r>
          </w:p>
          <w:p w14:paraId="03030873">
            <w:pPr>
              <w:pStyle w:val="11"/>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联合体参加竞争性磋商时，第</w:t>
            </w:r>
            <w:r>
              <w:rPr>
                <w:rFonts w:ascii="楷体" w:hAnsi="楷体" w:eastAsia="楷体" w:cs="宋体"/>
                <w:b/>
                <w:color w:val="auto"/>
                <w:sz w:val="24"/>
                <w:highlight w:val="none"/>
              </w:rPr>
              <w:t>1-5项和第8项资格证明文件联合体各方均必须分别提供，联合体各方分别盖章，否则响应文件按无效响应处理。</w:t>
            </w:r>
          </w:p>
          <w:p w14:paraId="58D3AFAA">
            <w:pPr>
              <w:pStyle w:val="11"/>
              <w:spacing w:line="360" w:lineRule="auto"/>
              <w:rPr>
                <w:rFonts w:ascii="宋体" w:hAnsi="宋体" w:cs="宋体"/>
                <w:b/>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分公司参加竞争性磋商</w:t>
            </w:r>
            <w:r>
              <w:rPr>
                <w:rFonts w:hint="eastAsia" w:ascii="楷体" w:hAnsi="楷体" w:eastAsia="楷体" w:cs="宋体"/>
                <w:b/>
                <w:bCs/>
                <w:color w:val="auto"/>
                <w:sz w:val="24"/>
                <w:highlight w:val="none"/>
              </w:rPr>
              <w:t>的，应当取得总公司授权</w:t>
            </w:r>
            <w:r>
              <w:rPr>
                <w:rFonts w:hint="eastAsia" w:ascii="楷体" w:hAnsi="楷体" w:eastAsia="楷体" w:cs="宋体"/>
                <w:b/>
                <w:color w:val="auto"/>
                <w:sz w:val="24"/>
                <w:highlight w:val="none"/>
              </w:rPr>
              <w:t>，否则响应文件按无效响应处理。</w:t>
            </w:r>
          </w:p>
        </w:tc>
      </w:tr>
      <w:tr w14:paraId="34E88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19BF9A2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12.1.2</w:t>
            </w:r>
          </w:p>
          <w:p w14:paraId="5D4592F5">
            <w:pPr>
              <w:spacing w:line="360" w:lineRule="auto"/>
              <w:jc w:val="center"/>
              <w:rPr>
                <w:rFonts w:ascii="宋体" w:hAnsi="宋体" w:cs="宋体"/>
                <w:color w:val="auto"/>
                <w:sz w:val="24"/>
                <w:highlight w:val="none"/>
              </w:rPr>
            </w:pPr>
          </w:p>
        </w:tc>
        <w:tc>
          <w:tcPr>
            <w:tcW w:w="8697" w:type="dxa"/>
            <w:vAlign w:val="center"/>
          </w:tcPr>
          <w:p w14:paraId="651C7FD8">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报价文件</w:t>
            </w:r>
          </w:p>
          <w:p w14:paraId="04EE4908">
            <w:pPr>
              <w:spacing w:line="360" w:lineRule="auto"/>
              <w:rPr>
                <w:rFonts w:ascii="宋体" w:hAnsi="宋体" w:cs="宋体"/>
                <w:color w:val="auto"/>
                <w:sz w:val="24"/>
                <w:highlight w:val="none"/>
              </w:rPr>
            </w:pPr>
            <w:r>
              <w:rPr>
                <w:rFonts w:hint="eastAsia" w:ascii="宋体" w:hAnsi="宋体" w:cs="宋体"/>
                <w:color w:val="auto"/>
                <w:sz w:val="24"/>
                <w:highlight w:val="none"/>
              </w:rPr>
              <w:t>1.无串通参与竞争性磋商行为的承诺函（格式后附）；（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01A5DAA">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2.竞争性磋商报价表（格式后附）；（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C63DB88">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3.《中小企业声明函》或省级以上监狱管理局、戒毒管理局等（含新疆生产建设兵团）出具的属于监狱企业的证明文件或《残疾人福利性单位声明函》。（格式后附，如有请提供）</w:t>
            </w:r>
          </w:p>
          <w:p w14:paraId="3237384E">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.供应商认为需要提供的其他有关资料</w:t>
            </w:r>
            <w:r>
              <w:rPr>
                <w:rFonts w:hint="eastAsia" w:ascii="宋体" w:hAnsi="宋体"/>
                <w:color w:val="auto"/>
                <w:sz w:val="24"/>
                <w:highlight w:val="none"/>
              </w:rPr>
              <w:t>；</w:t>
            </w:r>
          </w:p>
          <w:p w14:paraId="2631A5C0">
            <w:pPr>
              <w:spacing w:line="360" w:lineRule="auto"/>
              <w:rPr>
                <w:rFonts w:ascii="楷体" w:hAnsi="楷体" w:eastAsia="楷体" w:cs="宋体"/>
                <w:b/>
                <w:bCs/>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3452C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61F775A5">
            <w:pPr>
              <w:spacing w:line="360" w:lineRule="auto"/>
              <w:jc w:val="center"/>
              <w:rPr>
                <w:rFonts w:ascii="宋体" w:hAnsi="宋体" w:cs="宋体"/>
                <w:color w:val="auto"/>
                <w:sz w:val="24"/>
                <w:highlight w:val="none"/>
              </w:rPr>
            </w:pPr>
          </w:p>
        </w:tc>
        <w:tc>
          <w:tcPr>
            <w:tcW w:w="8697" w:type="dxa"/>
            <w:vAlign w:val="center"/>
          </w:tcPr>
          <w:p w14:paraId="0A160EC7">
            <w:pPr>
              <w:spacing w:line="360" w:lineRule="auto"/>
              <w:rPr>
                <w:rFonts w:ascii="宋体" w:hAnsi="宋体" w:cs="宋体"/>
                <w:color w:val="auto"/>
                <w:sz w:val="24"/>
                <w:highlight w:val="none"/>
              </w:rPr>
            </w:pPr>
            <w:r>
              <w:rPr>
                <w:rFonts w:hint="eastAsia" w:ascii="宋体" w:hAnsi="宋体" w:cs="宋体"/>
                <w:b/>
                <w:bCs/>
                <w:color w:val="auto"/>
                <w:sz w:val="24"/>
                <w:highlight w:val="none"/>
              </w:rPr>
              <w:t>商务、服务文件</w:t>
            </w:r>
          </w:p>
          <w:p w14:paraId="0C28B8B4">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1.法定代表人身份证明及法定代表人有效身份证正反面复印件（格式后附）；（</w:t>
            </w:r>
            <w:r>
              <w:rPr>
                <w:rFonts w:hint="eastAsia" w:ascii="宋体" w:hAnsi="宋体" w:cs="宋体"/>
                <w:b/>
                <w:bCs/>
                <w:color w:val="auto"/>
                <w:sz w:val="24"/>
                <w:highlight w:val="none"/>
              </w:rPr>
              <w:t>除自然人</w:t>
            </w:r>
            <w:r>
              <w:rPr>
                <w:rFonts w:hint="eastAsia" w:ascii="宋体" w:hAnsi="宋体" w:cs="宋体"/>
                <w:color w:val="auto"/>
                <w:sz w:val="24"/>
                <w:highlight w:val="none"/>
              </w:rPr>
              <w:t>参加竞争性磋商</w:t>
            </w:r>
            <w:r>
              <w:rPr>
                <w:rFonts w:hint="eastAsia" w:ascii="宋体" w:hAnsi="宋体" w:cs="宋体"/>
                <w:b/>
                <w:bCs/>
                <w:color w:val="auto"/>
                <w:sz w:val="24"/>
                <w:highlight w:val="none"/>
              </w:rPr>
              <w:t>外</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698A28D3">
            <w:pPr>
              <w:spacing w:line="360" w:lineRule="auto"/>
              <w:rPr>
                <w:rFonts w:ascii="宋体" w:hAnsi="宋体" w:cs="宋体"/>
                <w:b/>
                <w:color w:val="auto"/>
                <w:sz w:val="24"/>
                <w:highlight w:val="none"/>
              </w:rPr>
            </w:pPr>
            <w:r>
              <w:rPr>
                <w:rFonts w:hint="eastAsia" w:ascii="宋体" w:hAnsi="宋体" w:cs="宋体"/>
                <w:color w:val="auto"/>
                <w:sz w:val="24"/>
                <w:highlight w:val="none"/>
              </w:rPr>
              <w:t>2.授权委托书及委托代理人有效身份证正反面复印件（格式后附）；（</w:t>
            </w:r>
            <w:r>
              <w:rPr>
                <w:rFonts w:hint="eastAsia" w:ascii="宋体" w:hAnsi="宋体" w:cs="宋体"/>
                <w:b/>
                <w:color w:val="auto"/>
                <w:sz w:val="24"/>
                <w:highlight w:val="none"/>
              </w:rPr>
              <w:t>委托时必须提供，否则响应文件按无效响应处理</w:t>
            </w:r>
            <w:r>
              <w:rPr>
                <w:rFonts w:hint="eastAsia" w:ascii="宋体" w:hAnsi="宋体" w:cs="宋体"/>
                <w:color w:val="auto"/>
                <w:sz w:val="24"/>
                <w:highlight w:val="none"/>
              </w:rPr>
              <w:t>）</w:t>
            </w:r>
          </w:p>
          <w:p w14:paraId="3DB7D437">
            <w:pPr>
              <w:spacing w:line="360" w:lineRule="auto"/>
              <w:rPr>
                <w:rFonts w:ascii="宋体" w:hAnsi="宋体" w:cs="宋体"/>
                <w:color w:val="auto"/>
                <w:sz w:val="24"/>
                <w:highlight w:val="none"/>
              </w:rPr>
            </w:pPr>
            <w:r>
              <w:rPr>
                <w:rFonts w:hint="eastAsia" w:ascii="宋体" w:hAnsi="宋体" w:cs="宋体"/>
                <w:color w:val="auto"/>
                <w:sz w:val="24"/>
                <w:highlight w:val="none"/>
              </w:rPr>
              <w:t>3.磋商保证金提交凭证复印件；（</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741DDAD">
            <w:pPr>
              <w:spacing w:line="360" w:lineRule="auto"/>
              <w:rPr>
                <w:rFonts w:ascii="宋体" w:hAnsi="宋体" w:cs="宋体"/>
                <w:color w:val="auto"/>
                <w:sz w:val="24"/>
                <w:highlight w:val="none"/>
              </w:rPr>
            </w:pPr>
            <w:r>
              <w:rPr>
                <w:rFonts w:hint="eastAsia" w:ascii="宋体" w:hAnsi="宋体" w:cs="宋体"/>
                <w:color w:val="auto"/>
                <w:sz w:val="24"/>
                <w:highlight w:val="none"/>
              </w:rPr>
              <w:t>4.商务要求偏离表（格式后附）；（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302074FA">
            <w:pPr>
              <w:spacing w:line="360" w:lineRule="auto"/>
              <w:rPr>
                <w:rFonts w:ascii="宋体" w:hAnsi="宋体" w:cs="宋体"/>
                <w:color w:val="auto"/>
                <w:sz w:val="24"/>
                <w:highlight w:val="none"/>
              </w:rPr>
            </w:pPr>
            <w:r>
              <w:rPr>
                <w:rFonts w:hint="eastAsia" w:ascii="宋体" w:hAnsi="宋体" w:cs="宋体"/>
                <w:color w:val="auto"/>
                <w:sz w:val="24"/>
                <w:highlight w:val="none"/>
              </w:rPr>
              <w:t>5.服务要求偏离表（格式后附）；（</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7017F76D">
            <w:pPr>
              <w:spacing w:line="360" w:lineRule="auto"/>
              <w:rPr>
                <w:rFonts w:ascii="宋体" w:hAnsi="宋体" w:cs="宋体"/>
                <w:color w:val="auto"/>
                <w:sz w:val="24"/>
                <w:highlight w:val="none"/>
              </w:rPr>
            </w:pPr>
            <w:r>
              <w:rPr>
                <w:rFonts w:hint="eastAsia" w:ascii="宋体" w:hAnsi="宋体" w:cs="宋体"/>
                <w:color w:val="auto"/>
                <w:sz w:val="24"/>
                <w:highlight w:val="none"/>
              </w:rPr>
              <w:t>6.服务方案（格式自拟）；（</w:t>
            </w:r>
            <w:r>
              <w:rPr>
                <w:rFonts w:hint="eastAsia" w:ascii="宋体" w:hAnsi="宋体" w:cs="宋体"/>
                <w:b/>
                <w:color w:val="auto"/>
                <w:sz w:val="24"/>
                <w:highlight w:val="none"/>
              </w:rPr>
              <w:t>必须提供，否则响应文件按无效响应处理</w:t>
            </w:r>
            <w:r>
              <w:rPr>
                <w:rFonts w:hint="eastAsia" w:ascii="宋体" w:hAnsi="宋体" w:cs="宋体"/>
                <w:color w:val="auto"/>
                <w:sz w:val="24"/>
                <w:highlight w:val="none"/>
              </w:rPr>
              <w:t>）</w:t>
            </w:r>
          </w:p>
          <w:p w14:paraId="50C0D8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7.项目实施人员一览表（格式自拟）； </w:t>
            </w:r>
          </w:p>
          <w:p w14:paraId="0ACF2C22">
            <w:pPr>
              <w:spacing w:line="360" w:lineRule="auto"/>
              <w:rPr>
                <w:rFonts w:ascii="宋体" w:hAnsi="宋体" w:cs="宋体"/>
                <w:color w:val="auto"/>
                <w:sz w:val="24"/>
                <w:highlight w:val="none"/>
              </w:rPr>
            </w:pPr>
            <w:r>
              <w:rPr>
                <w:rFonts w:hint="eastAsia" w:ascii="宋体" w:hAnsi="宋体" w:cs="宋体"/>
                <w:color w:val="auto"/>
                <w:sz w:val="24"/>
                <w:highlight w:val="none"/>
              </w:rPr>
              <w:t>8.对应采购需求的技术要求、商务要求提供的其他文件资料（格式自拟）；</w:t>
            </w:r>
          </w:p>
          <w:p w14:paraId="3EC40324">
            <w:pPr>
              <w:spacing w:line="360" w:lineRule="auto"/>
              <w:rPr>
                <w:rFonts w:ascii="宋体" w:hAnsi="宋体" w:cs="宋体"/>
                <w:color w:val="auto"/>
                <w:sz w:val="24"/>
                <w:highlight w:val="none"/>
              </w:rPr>
            </w:pPr>
            <w:r>
              <w:rPr>
                <w:rFonts w:hint="eastAsia" w:ascii="宋体" w:hAnsi="宋体" w:cs="宋体"/>
                <w:color w:val="auto"/>
                <w:sz w:val="24"/>
                <w:highlight w:val="none"/>
              </w:rPr>
              <w:t>9.供应商认为需要提供的其他有关资料。</w:t>
            </w:r>
          </w:p>
          <w:p w14:paraId="679D0F5D">
            <w:pPr>
              <w:snapToGrid w:val="0"/>
              <w:spacing w:line="360" w:lineRule="auto"/>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注：以上标明“必须提供”的材料属于复印件的，必须加盖供应商公章，否则响应文件按无效响应处理。</w:t>
            </w:r>
          </w:p>
        </w:tc>
      </w:tr>
      <w:tr w14:paraId="1B8B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56304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15.2</w:t>
            </w:r>
          </w:p>
        </w:tc>
        <w:tc>
          <w:tcPr>
            <w:tcW w:w="8697" w:type="dxa"/>
            <w:vAlign w:val="center"/>
          </w:tcPr>
          <w:p w14:paraId="2F86AC77">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竞争性磋商报价是完成项目所有服务所需的费用，包括但不限于劳务费、软硬件设备、机具材料费、交通费等、数据处理、成果文件编制印刷、质量检查、培训等各种费用和售后服务、税金及其它所有成本费用的总和。合同履行过程中，采购人不再支付合同以外的其他费用。（采购需求另有约定的，从其约定）</w:t>
            </w:r>
          </w:p>
        </w:tc>
      </w:tr>
      <w:tr w14:paraId="76F4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3D67D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16.2</w:t>
            </w:r>
          </w:p>
        </w:tc>
        <w:tc>
          <w:tcPr>
            <w:tcW w:w="8697" w:type="dxa"/>
            <w:vAlign w:val="center"/>
          </w:tcPr>
          <w:p w14:paraId="3C1E5736">
            <w:pPr>
              <w:spacing w:line="360" w:lineRule="auto"/>
              <w:rPr>
                <w:rFonts w:ascii="宋体" w:hAnsi="宋体" w:cs="宋体"/>
                <w:color w:val="auto"/>
                <w:sz w:val="24"/>
                <w:highlight w:val="none"/>
              </w:rPr>
            </w:pPr>
            <w:r>
              <w:rPr>
                <w:rFonts w:hint="eastAsia" w:ascii="宋体" w:hAnsi="宋体" w:cs="宋体"/>
                <w:color w:val="auto"/>
                <w:sz w:val="24"/>
                <w:highlight w:val="none"/>
              </w:rPr>
              <w:t>竞争性磋商有效期：首次响应文件提交截止之日起60天内。</w:t>
            </w:r>
          </w:p>
        </w:tc>
      </w:tr>
      <w:tr w14:paraId="39FF1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D335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17.1</w:t>
            </w:r>
          </w:p>
        </w:tc>
        <w:tc>
          <w:tcPr>
            <w:tcW w:w="8697" w:type="dxa"/>
            <w:vAlign w:val="center"/>
          </w:tcPr>
          <w:p w14:paraId="08A943DA">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本项目不收取磋商保证金。</w:t>
            </w:r>
          </w:p>
          <w:p w14:paraId="325918C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本项目收取磋商保证金。</w:t>
            </w:r>
          </w:p>
          <w:p w14:paraId="676F5C1F">
            <w:pPr>
              <w:pStyle w:val="13"/>
              <w:rPr>
                <w:rFonts w:ascii="宋体" w:hAnsi="宋体" w:cs="宋体"/>
                <w:color w:val="auto"/>
                <w:kern w:val="0"/>
                <w:sz w:val="24"/>
                <w:highlight w:val="none"/>
              </w:rPr>
            </w:pPr>
            <w:r>
              <w:rPr>
                <w:rFonts w:hint="eastAsia" w:ascii="宋体" w:hAnsi="宋体" w:cs="宋体"/>
                <w:color w:val="auto"/>
                <w:kern w:val="0"/>
                <w:sz w:val="24"/>
                <w:highlight w:val="none"/>
              </w:rPr>
              <w:t>磋商保证金：</w:t>
            </w:r>
            <w:r>
              <w:rPr>
                <w:rFonts w:hint="eastAsia" w:ascii="宋体" w:hAnsi="宋体" w:cs="宋体"/>
                <w:color w:val="auto"/>
                <w:sz w:val="24"/>
                <w:highlight w:val="none"/>
              </w:rPr>
              <w:t>分标1：伍仟元整（¥5000.00）、分标2：</w:t>
            </w:r>
            <w:r>
              <w:rPr>
                <w:rFonts w:hint="eastAsia" w:ascii="宋体" w:hAnsi="宋体" w:cs="宋体"/>
                <w:color w:val="auto"/>
                <w:sz w:val="24"/>
                <w:highlight w:val="none"/>
                <w:lang w:val="en-US" w:eastAsia="zh-CN"/>
              </w:rPr>
              <w:t>柒仟元整</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7000</w:t>
            </w:r>
            <w:r>
              <w:rPr>
                <w:rFonts w:hint="eastAsia" w:ascii="宋体" w:hAnsi="宋体" w:cs="宋体"/>
                <w:color w:val="auto"/>
                <w:sz w:val="24"/>
                <w:highlight w:val="none"/>
              </w:rPr>
              <w:t>.00）。</w:t>
            </w:r>
          </w:p>
          <w:p w14:paraId="7AC7657E">
            <w:pPr>
              <w:pStyle w:val="13"/>
              <w:rPr>
                <w:rFonts w:ascii="宋体" w:hAnsi="宋体" w:cs="宋体"/>
                <w:color w:val="auto"/>
                <w:kern w:val="0"/>
                <w:sz w:val="24"/>
                <w:highlight w:val="none"/>
              </w:rPr>
            </w:pPr>
            <w:r>
              <w:rPr>
                <w:rFonts w:hint="eastAsia" w:ascii="宋体" w:hAnsi="宋体" w:cs="宋体"/>
                <w:color w:val="auto"/>
                <w:kern w:val="0"/>
                <w:sz w:val="24"/>
                <w:highlight w:val="none"/>
              </w:rPr>
              <w:t>保证金专用银行账号：</w:t>
            </w:r>
          </w:p>
          <w:p w14:paraId="17048CA0">
            <w:pPr>
              <w:pStyle w:val="13"/>
              <w:rPr>
                <w:rFonts w:ascii="宋体" w:hAnsi="宋体" w:cs="宋体"/>
                <w:color w:val="auto"/>
                <w:kern w:val="0"/>
                <w:sz w:val="24"/>
                <w:highlight w:val="none"/>
              </w:rPr>
            </w:pPr>
            <w:r>
              <w:rPr>
                <w:rFonts w:hint="eastAsia" w:ascii="宋体" w:hAnsi="宋体" w:cs="宋体"/>
                <w:color w:val="auto"/>
                <w:kern w:val="0"/>
                <w:sz w:val="24"/>
                <w:highlight w:val="none"/>
              </w:rPr>
              <w:t xml:space="preserve">开户名称：广西建设工程机电设备招标中心有限公司 </w:t>
            </w:r>
          </w:p>
          <w:p w14:paraId="0019DA5D">
            <w:pPr>
              <w:pStyle w:val="13"/>
              <w:rPr>
                <w:rFonts w:ascii="宋体" w:hAnsi="宋体" w:cs="宋体"/>
                <w:color w:val="auto"/>
                <w:kern w:val="0"/>
                <w:sz w:val="24"/>
                <w:highlight w:val="none"/>
              </w:rPr>
            </w:pPr>
            <w:r>
              <w:rPr>
                <w:rFonts w:hint="eastAsia" w:ascii="宋体" w:hAnsi="宋体" w:cs="宋体"/>
                <w:color w:val="auto"/>
                <w:kern w:val="0"/>
                <w:sz w:val="24"/>
                <w:highlight w:val="none"/>
              </w:rPr>
              <w:t>开户银行：招商银行南宁分行营业部</w:t>
            </w:r>
          </w:p>
          <w:p w14:paraId="30B11E04">
            <w:pPr>
              <w:pStyle w:val="13"/>
              <w:rPr>
                <w:rFonts w:ascii="宋体" w:hAnsi="宋体" w:cs="宋体"/>
                <w:color w:val="auto"/>
                <w:kern w:val="0"/>
                <w:sz w:val="24"/>
                <w:highlight w:val="none"/>
              </w:rPr>
            </w:pPr>
            <w:r>
              <w:rPr>
                <w:rFonts w:hint="eastAsia" w:ascii="宋体" w:hAnsi="宋体" w:cs="宋体"/>
                <w:color w:val="auto"/>
                <w:kern w:val="0"/>
                <w:sz w:val="24"/>
                <w:highlight w:val="none"/>
              </w:rPr>
              <w:t>银行账号：7719 0142 3310 201</w:t>
            </w:r>
          </w:p>
          <w:p w14:paraId="73D0DB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磋商保证金的交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w:t>
            </w:r>
            <w:r>
              <w:rPr>
                <w:rFonts w:hint="eastAsia" w:ascii="宋体" w:hAnsi="宋体" w:cs="宋体"/>
                <w:color w:val="auto"/>
                <w:kern w:val="0"/>
                <w:sz w:val="24"/>
                <w:highlight w:val="none"/>
                <w:lang w:eastAsia="zh-CN"/>
              </w:rPr>
              <w:t>（邮寄地址：广西南宁市青秀区枫林路18号</w:t>
            </w:r>
            <w:r>
              <w:rPr>
                <w:rFonts w:hint="eastAsia" w:hAnsi="宋体" w:cs="宋体"/>
                <w:color w:val="auto"/>
                <w:sz w:val="24"/>
                <w:szCs w:val="24"/>
                <w:highlight w:val="none"/>
              </w:rPr>
              <w:t>广西</w:t>
            </w:r>
            <w:r>
              <w:rPr>
                <w:rFonts w:hint="eastAsia" w:ascii="宋体" w:hAnsi="宋体" w:cs="宋体"/>
                <w:color w:val="auto"/>
                <w:kern w:val="0"/>
                <w:sz w:val="24"/>
                <w:highlight w:val="none"/>
                <w:lang w:val="en-US" w:eastAsia="zh-CN"/>
              </w:rPr>
              <w:t>国控</w:t>
            </w:r>
            <w:r>
              <w:rPr>
                <w:rFonts w:hint="eastAsia" w:ascii="宋体" w:hAnsi="宋体" w:cs="宋体"/>
                <w:color w:val="auto"/>
                <w:kern w:val="0"/>
                <w:sz w:val="24"/>
                <w:highlight w:val="none"/>
                <w:lang w:eastAsia="zh-CN"/>
              </w:rPr>
              <w:t>大厦裙楼三层；收件人：谭琦辉；联系电话：0771-2821389）</w:t>
            </w:r>
            <w:r>
              <w:rPr>
                <w:rFonts w:hint="eastAsia" w:ascii="宋体" w:hAnsi="宋体" w:cs="宋体"/>
                <w:color w:val="auto"/>
                <w:kern w:val="0"/>
                <w:sz w:val="24"/>
                <w:highlight w:val="none"/>
              </w:rPr>
              <w:t>。否则视为无效磋商保证金。</w:t>
            </w:r>
          </w:p>
          <w:p w14:paraId="12EC581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相关要求：</w:t>
            </w:r>
          </w:p>
          <w:p w14:paraId="215135B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1.磋商保证金采用银行转账交纳方式的，在响应文件提交截止时间前交至指定账户并且到账，供应商应将银行转账底单的复印件作为磋商保证金提交凭证，放置于报价商务技术文件中，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p>
          <w:p w14:paraId="1F55B7EE">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2.磋商保证金采用支票、汇票、本票或者金融、担保机构出具的保函交纳方式的，供应商应将支票、汇票、本票或者金融、担保机构出具的保函的复印件作为磋商保证金提交凭证，放置于报价商务技术文件中，</w:t>
            </w:r>
            <w:r>
              <w:rPr>
                <w:rFonts w:hint="eastAsia" w:ascii="宋体" w:hAnsi="宋体" w:cs="宋体"/>
                <w:b/>
                <w:color w:val="auto"/>
                <w:sz w:val="24"/>
                <w:highlight w:val="none"/>
              </w:rPr>
              <w:t>否则响应文件按无效响应处理</w:t>
            </w:r>
            <w:r>
              <w:rPr>
                <w:rFonts w:hint="eastAsia" w:ascii="宋体" w:hAnsi="宋体" w:cs="宋体"/>
                <w:color w:val="auto"/>
                <w:sz w:val="24"/>
                <w:highlight w:val="none"/>
              </w:rPr>
              <w:t>。</w:t>
            </w:r>
            <w:r>
              <w:rPr>
                <w:rFonts w:hint="eastAsia" w:ascii="宋体" w:hAnsi="宋体" w:cs="宋体"/>
                <w:b/>
                <w:color w:val="auto"/>
                <w:sz w:val="24"/>
                <w:highlight w:val="none"/>
              </w:rPr>
              <w:t>供应商必须在首次响应文件提交截止时间前将支票、汇票、本票或者金融、担保机构出具的保函原件提交给采购代理机构，由采购代理机构向供应商出具回执，并妥善保管。</w:t>
            </w:r>
          </w:p>
          <w:p w14:paraId="0D8661B5">
            <w:pPr>
              <w:snapToGrid w:val="0"/>
              <w:spacing w:line="360" w:lineRule="auto"/>
              <w:rPr>
                <w:rFonts w:ascii="宋体" w:hAnsi="宋体" w:cs="宋体"/>
                <w:b/>
                <w:color w:val="auto"/>
                <w:sz w:val="24"/>
                <w:highlight w:val="none"/>
              </w:rPr>
            </w:pPr>
            <w:r>
              <w:rPr>
                <w:rFonts w:hint="eastAsia" w:ascii="宋体" w:hAnsi="宋体" w:cs="宋体"/>
                <w:color w:val="auto"/>
                <w:sz w:val="24"/>
                <w:highlight w:val="none"/>
              </w:rPr>
              <w:t>3.供应商为联合体的，可以由联合体中的一方或者多方共同交纳磋商保证金，其交纳的保证金对联合体各方均具有约束力。</w:t>
            </w:r>
          </w:p>
          <w:p w14:paraId="682DD42C">
            <w:pPr>
              <w:snapToGrid w:val="0"/>
              <w:spacing w:line="360" w:lineRule="auto"/>
              <w:rPr>
                <w:rFonts w:ascii="楷体" w:hAnsi="楷体" w:eastAsia="楷体" w:cs="宋体"/>
                <w:b/>
                <w:color w:val="auto"/>
                <w:sz w:val="24"/>
                <w:highlight w:val="none"/>
              </w:rPr>
            </w:pPr>
            <w:r>
              <w:rPr>
                <w:rFonts w:hint="eastAsia" w:ascii="楷体" w:hAnsi="楷体" w:eastAsia="楷体" w:cs="宋体"/>
                <w:b/>
                <w:color w:val="auto"/>
                <w:sz w:val="24"/>
                <w:highlight w:val="none"/>
              </w:rPr>
              <w:t>【备注】</w:t>
            </w:r>
            <w:r>
              <w:rPr>
                <w:rFonts w:ascii="楷体" w:hAnsi="楷体" w:eastAsia="楷体" w:cs="宋体"/>
                <w:b/>
                <w:color w:val="auto"/>
                <w:sz w:val="24"/>
                <w:highlight w:val="none"/>
              </w:rPr>
              <w:t xml:space="preserve"> </w:t>
            </w:r>
          </w:p>
          <w:p w14:paraId="1EAEB3A1">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磋商保证金在响应文件提交截止时间后提交的，或者不按规定交纳方式交纳的，或者未足额交纳的（包含保函额度不足的），视为无效磋商保证金。</w:t>
            </w:r>
          </w:p>
          <w:p w14:paraId="31BB6DE8">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ascii="楷体" w:hAnsi="楷体" w:eastAsia="楷体" w:cs="宋体"/>
                <w:b/>
                <w:color w:val="auto"/>
                <w:sz w:val="24"/>
                <w:highlight w:val="none"/>
              </w:rPr>
              <w:t>供应商采用现钞方式或者从个人账户（自然人参加竞争性磋商除外）转出的磋商保证金，视为无效磋商保证金。</w:t>
            </w:r>
          </w:p>
          <w:p w14:paraId="638B07B8">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3.</w:t>
            </w:r>
            <w:r>
              <w:rPr>
                <w:rFonts w:hint="eastAsia" w:ascii="楷体" w:hAnsi="楷体" w:eastAsia="楷体" w:cs="宋体"/>
                <w:b/>
                <w:color w:val="auto"/>
                <w:sz w:val="24"/>
                <w:highlight w:val="none"/>
              </w:rPr>
              <w:t>支票、汇票或者本票出现无效或者背书情形的，视为无效磋商保证金。</w:t>
            </w:r>
          </w:p>
          <w:p w14:paraId="4254D7CA">
            <w:pPr>
              <w:snapToGrid w:val="0"/>
              <w:spacing w:line="360" w:lineRule="auto"/>
              <w:rPr>
                <w:rFonts w:ascii="楷体" w:hAnsi="楷体" w:eastAsia="楷体" w:cs="宋体"/>
                <w:b/>
                <w:color w:val="auto"/>
                <w:sz w:val="24"/>
                <w:highlight w:val="none"/>
              </w:rPr>
            </w:pPr>
            <w:r>
              <w:rPr>
                <w:rFonts w:ascii="楷体" w:hAnsi="楷体" w:eastAsia="楷体" w:cs="宋体"/>
                <w:b/>
                <w:color w:val="auto"/>
                <w:sz w:val="24"/>
                <w:highlight w:val="none"/>
              </w:rPr>
              <w:t>4.</w:t>
            </w:r>
            <w:r>
              <w:rPr>
                <w:rFonts w:hint="eastAsia" w:ascii="楷体" w:hAnsi="楷体" w:eastAsia="楷体" w:cs="宋体"/>
                <w:b/>
                <w:color w:val="auto"/>
                <w:sz w:val="24"/>
                <w:highlight w:val="none"/>
              </w:rPr>
              <w:t>保函有效期短于竞争性磋商有效期的，视为无效磋商保证金。</w:t>
            </w:r>
          </w:p>
          <w:p w14:paraId="001A73CF">
            <w:pPr>
              <w:snapToGrid w:val="0"/>
              <w:spacing w:line="360" w:lineRule="auto"/>
              <w:rPr>
                <w:rFonts w:ascii="宋体" w:hAnsi="宋体" w:cs="宋体"/>
                <w:color w:val="auto"/>
                <w:sz w:val="24"/>
                <w:highlight w:val="none"/>
              </w:rPr>
            </w:pPr>
            <w:r>
              <w:rPr>
                <w:rFonts w:ascii="楷体" w:hAnsi="楷体" w:eastAsia="楷体" w:cs="宋体"/>
                <w:b/>
                <w:color w:val="auto"/>
                <w:sz w:val="24"/>
                <w:highlight w:val="none"/>
              </w:rPr>
              <w:t>5.</w:t>
            </w:r>
            <w:r>
              <w:rPr>
                <w:rFonts w:hint="eastAsia" w:ascii="楷体" w:hAnsi="楷体" w:eastAsia="楷体" w:cs="宋体"/>
                <w:b/>
                <w:color w:val="auto"/>
                <w:sz w:val="24"/>
                <w:highlight w:val="none"/>
              </w:rPr>
              <w:t>采用保函的，必须为无条件保函，否则视为无效磋商保证金。</w:t>
            </w:r>
          </w:p>
        </w:tc>
      </w:tr>
      <w:tr w14:paraId="66E52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2881356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18.2</w:t>
            </w:r>
          </w:p>
        </w:tc>
        <w:tc>
          <w:tcPr>
            <w:tcW w:w="8697" w:type="dxa"/>
            <w:vAlign w:val="center"/>
          </w:tcPr>
          <w:p w14:paraId="79DB2B3E">
            <w:pPr>
              <w:spacing w:line="360" w:lineRule="auto"/>
              <w:rPr>
                <w:rFonts w:ascii="宋体" w:hAnsi="宋体" w:cs="宋体"/>
                <w:color w:val="auto"/>
                <w:sz w:val="24"/>
                <w:highlight w:val="none"/>
              </w:rPr>
            </w:pPr>
            <w:r>
              <w:rPr>
                <w:rFonts w:hint="eastAsia" w:ascii="宋体" w:hAnsi="宋体" w:cs="宋体"/>
                <w:color w:val="auto"/>
                <w:sz w:val="24"/>
                <w:highlight w:val="none"/>
              </w:rPr>
              <w:t>响应文件应按资格证明文件、报价文件、商务技术文件分别编制，并按广西政府采购云平台的要求编制、加密、上传。</w:t>
            </w:r>
          </w:p>
        </w:tc>
      </w:tr>
      <w:tr w14:paraId="2FB37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992" w:type="dxa"/>
            <w:vAlign w:val="center"/>
          </w:tcPr>
          <w:p w14:paraId="5CA63F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19</w:t>
            </w:r>
            <w:r>
              <w:rPr>
                <w:rFonts w:ascii="宋体" w:hAnsi="宋体" w:cs="宋体"/>
                <w:color w:val="auto"/>
                <w:sz w:val="24"/>
                <w:highlight w:val="none"/>
              </w:rPr>
              <w:t>.2</w:t>
            </w:r>
          </w:p>
        </w:tc>
        <w:tc>
          <w:tcPr>
            <w:tcW w:w="8697" w:type="dxa"/>
            <w:vAlign w:val="center"/>
          </w:tcPr>
          <w:p w14:paraId="3EEA9A3A">
            <w:pPr>
              <w:spacing w:line="360" w:lineRule="auto"/>
              <w:rPr>
                <w:rFonts w:ascii="宋体" w:hAnsi="宋体" w:cs="宋体"/>
                <w:color w:val="auto"/>
                <w:sz w:val="24"/>
                <w:highlight w:val="none"/>
              </w:rPr>
            </w:pPr>
            <w:r>
              <w:rPr>
                <w:rFonts w:hint="eastAsia" w:ascii="宋体" w:hAnsi="宋体" w:cs="宋体"/>
                <w:color w:val="auto"/>
                <w:sz w:val="24"/>
                <w:highlight w:val="none"/>
              </w:rPr>
              <w:t>本项目不接受电子备份响应文件</w:t>
            </w:r>
          </w:p>
        </w:tc>
      </w:tr>
      <w:tr w14:paraId="102AA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B1B79B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20.1</w:t>
            </w:r>
          </w:p>
        </w:tc>
        <w:tc>
          <w:tcPr>
            <w:tcW w:w="8697" w:type="dxa"/>
            <w:vAlign w:val="center"/>
          </w:tcPr>
          <w:p w14:paraId="6531BB17">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首次响应文件提交截止时间：详见竞争性磋商公告。</w:t>
            </w:r>
          </w:p>
          <w:p w14:paraId="664817E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首次响应文件提交地点：详见竞争性磋商公告。</w:t>
            </w:r>
          </w:p>
        </w:tc>
      </w:tr>
      <w:tr w14:paraId="76A3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8734C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24.1</w:t>
            </w:r>
          </w:p>
        </w:tc>
        <w:tc>
          <w:tcPr>
            <w:tcW w:w="8697" w:type="dxa"/>
            <w:vAlign w:val="center"/>
          </w:tcPr>
          <w:p w14:paraId="79BEED60">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磋商小组的人数：3人或以上单数。</w:t>
            </w:r>
          </w:p>
        </w:tc>
      </w:tr>
      <w:tr w14:paraId="4CC9D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291E42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25.2</w:t>
            </w:r>
          </w:p>
        </w:tc>
        <w:tc>
          <w:tcPr>
            <w:tcW w:w="8697" w:type="dxa"/>
            <w:vAlign w:val="center"/>
          </w:tcPr>
          <w:p w14:paraId="0FE2273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p>
        </w:tc>
      </w:tr>
      <w:tr w14:paraId="1881F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7F22CBD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26</w:t>
            </w:r>
          </w:p>
        </w:tc>
        <w:tc>
          <w:tcPr>
            <w:tcW w:w="8697" w:type="dxa"/>
            <w:vAlign w:val="center"/>
          </w:tcPr>
          <w:p w14:paraId="11E65702">
            <w:pPr>
              <w:pStyle w:val="11"/>
              <w:spacing w:line="360" w:lineRule="auto"/>
              <w:jc w:val="both"/>
              <w:rPr>
                <w:rFonts w:ascii="宋体" w:hAnsi="宋体" w:cs="宋体"/>
                <w:color w:val="auto"/>
                <w:sz w:val="24"/>
                <w:highlight w:val="none"/>
              </w:rPr>
            </w:pPr>
            <w:r>
              <w:rPr>
                <w:rFonts w:hint="eastAsia" w:ascii="宋体" w:hAnsi="宋体" w:cs="宋体"/>
                <w:color w:val="auto"/>
                <w:sz w:val="24"/>
                <w:highlight w:val="none"/>
              </w:rPr>
              <w:t>磋商的顺序：按“广西政府采购云平台”系统的编号顺序。</w:t>
            </w:r>
          </w:p>
          <w:p w14:paraId="534ED03A">
            <w:pPr>
              <w:pStyle w:val="11"/>
              <w:spacing w:line="360" w:lineRule="auto"/>
              <w:jc w:val="both"/>
              <w:rPr>
                <w:rFonts w:ascii="宋体" w:hAnsi="宋体" w:cs="宋体"/>
                <w:b/>
                <w:color w:val="auto"/>
                <w:sz w:val="24"/>
                <w:highlight w:val="none"/>
              </w:rPr>
            </w:pPr>
            <w:r>
              <w:rPr>
                <w:rFonts w:hint="eastAsia" w:ascii="宋体" w:hAnsi="宋体" w:cs="宋体"/>
                <w:b/>
                <w:color w:val="auto"/>
                <w:sz w:val="24"/>
                <w:highlight w:val="none"/>
              </w:rPr>
              <w:t>符合磋商资格的供应商必须在接到磋商通知后规定时间内参加磋商，未在规定时间内参加磋商的视同放弃参加磋商权利，其响应文件按无效响应处理。</w:t>
            </w:r>
          </w:p>
          <w:p w14:paraId="266CAB30">
            <w:pPr>
              <w:snapToGrid w:val="0"/>
              <w:spacing w:line="360" w:lineRule="auto"/>
              <w:rPr>
                <w:rFonts w:ascii="宋体" w:hAnsi="宋体" w:cs="宋体"/>
                <w:color w:val="auto"/>
                <w:sz w:val="24"/>
                <w:highlight w:val="none"/>
              </w:rPr>
            </w:pPr>
            <w:r>
              <w:rPr>
                <w:rFonts w:hint="eastAsia" w:ascii="宋体" w:hAnsi="宋体" w:cs="宋体"/>
                <w:b/>
                <w:color w:val="auto"/>
                <w:sz w:val="24"/>
                <w:highlight w:val="none"/>
              </w:rPr>
              <w:t>注：参与磋商前，供应商法定代表人或者委托代理人向磋商小组出示本人有效证件原件（有效证件可以是身份证（含临时身份证明）或者护照的其中一项）。</w:t>
            </w:r>
          </w:p>
        </w:tc>
      </w:tr>
      <w:tr w14:paraId="32D6E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Merge w:val="continue"/>
            <w:vAlign w:val="center"/>
          </w:tcPr>
          <w:p w14:paraId="5E482BFF">
            <w:pPr>
              <w:spacing w:line="360" w:lineRule="auto"/>
              <w:jc w:val="center"/>
              <w:rPr>
                <w:rFonts w:ascii="宋体" w:hAnsi="宋体" w:cs="宋体"/>
                <w:color w:val="auto"/>
                <w:sz w:val="24"/>
                <w:highlight w:val="none"/>
              </w:rPr>
            </w:pPr>
          </w:p>
        </w:tc>
        <w:tc>
          <w:tcPr>
            <w:tcW w:w="8697" w:type="dxa"/>
            <w:vAlign w:val="center"/>
          </w:tcPr>
          <w:p w14:paraId="4A7B600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商务要求评审中允许负偏离的条款数为: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 xml:space="preserve"> 项</w:t>
            </w:r>
          </w:p>
          <w:p w14:paraId="5F506EC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服务要求评审中允许负偏离的条款数为: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w:t>
            </w:r>
          </w:p>
        </w:tc>
      </w:tr>
      <w:tr w14:paraId="33EDB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10AC7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28.1</w:t>
            </w:r>
          </w:p>
        </w:tc>
        <w:tc>
          <w:tcPr>
            <w:tcW w:w="8697" w:type="dxa"/>
            <w:vAlign w:val="center"/>
          </w:tcPr>
          <w:p w14:paraId="0DA44CA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本项目不收取履约保证金。</w:t>
            </w:r>
          </w:p>
          <w:p w14:paraId="507D3EE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本项目收取履约保证金：详见商务条款。</w:t>
            </w:r>
          </w:p>
          <w:p w14:paraId="343627C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履约保证金递交方式：详见商务条款</w:t>
            </w:r>
          </w:p>
          <w:p w14:paraId="07869B8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履约保证金退付方式、时间及条件详见商务条款。</w:t>
            </w:r>
          </w:p>
          <w:p w14:paraId="57FCB7E0">
            <w:pPr>
              <w:spacing w:line="360" w:lineRule="auto"/>
              <w:contextualSpacing/>
              <w:rPr>
                <w:rFonts w:ascii="楷体" w:hAnsi="楷体" w:eastAsia="楷体" w:cs="宋体"/>
                <w:b/>
                <w:color w:val="auto"/>
                <w:sz w:val="24"/>
                <w:highlight w:val="none"/>
              </w:rPr>
            </w:pPr>
            <w:r>
              <w:rPr>
                <w:rFonts w:hint="eastAsia" w:ascii="楷体" w:hAnsi="楷体" w:eastAsia="楷体" w:cs="宋体"/>
                <w:b/>
                <w:color w:val="auto"/>
                <w:sz w:val="24"/>
                <w:highlight w:val="none"/>
              </w:rPr>
              <w:t>【备注】</w:t>
            </w:r>
          </w:p>
          <w:p w14:paraId="39921757">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1.</w:t>
            </w:r>
            <w:r>
              <w:rPr>
                <w:rFonts w:hint="eastAsia" w:ascii="楷体" w:hAnsi="楷体" w:eastAsia="楷体" w:cs="宋体"/>
                <w:b/>
                <w:color w:val="auto"/>
                <w:sz w:val="24"/>
                <w:highlight w:val="none"/>
              </w:rPr>
              <w:t>根据《广西壮族自治区财政厅关于持续优化政府采购营商环境推动高质量发展的通知》（桂财采〔2024〕55号），采购文件要求中标或者成交供应商提交履约保证金的，履约保证金数额不得超过政府采购合同金额的5%，对中小企业收取的履约保证金数额不得超过政府采购合同金额的2%。</w:t>
            </w:r>
          </w:p>
          <w:p w14:paraId="246FA0EF">
            <w:pPr>
              <w:spacing w:line="360" w:lineRule="auto"/>
              <w:contextualSpacing/>
              <w:rPr>
                <w:rFonts w:ascii="楷体" w:hAnsi="楷体" w:eastAsia="楷体" w:cs="宋体"/>
                <w:b/>
                <w:color w:val="auto"/>
                <w:sz w:val="24"/>
                <w:highlight w:val="none"/>
              </w:rPr>
            </w:pPr>
            <w:r>
              <w:rPr>
                <w:rFonts w:ascii="楷体" w:hAnsi="楷体" w:eastAsia="楷体" w:cs="宋体"/>
                <w:b/>
                <w:color w:val="auto"/>
                <w:sz w:val="24"/>
                <w:highlight w:val="none"/>
              </w:rPr>
              <w:t>2.</w:t>
            </w:r>
            <w:r>
              <w:rPr>
                <w:rFonts w:hint="eastAsia"/>
                <w:color w:val="auto"/>
                <w:highlight w:val="none"/>
              </w:rPr>
              <w:t xml:space="preserve"> </w:t>
            </w:r>
            <w:r>
              <w:rPr>
                <w:rFonts w:hint="eastAsia" w:ascii="楷体" w:hAnsi="楷体" w:eastAsia="楷体" w:cs="宋体"/>
                <w:b/>
                <w:color w:val="auto"/>
                <w:sz w:val="24"/>
                <w:highlight w:val="none"/>
              </w:rPr>
              <w:t>履约保证金必须足额缴纳，或出具的保函额度必须足额且保函有效期不能低于合同履行期限（即签订采购合同之日起至履行完合同约定的权利及义务之日止），否则视为无效履约保证金。</w:t>
            </w:r>
          </w:p>
          <w:p w14:paraId="0F2E7C8D">
            <w:pPr>
              <w:autoSpaceDE w:val="0"/>
              <w:autoSpaceDN w:val="0"/>
              <w:snapToGrid w:val="0"/>
              <w:spacing w:line="360" w:lineRule="auto"/>
              <w:textAlignment w:val="bottom"/>
              <w:rPr>
                <w:rFonts w:ascii="楷体" w:hAnsi="楷体" w:eastAsia="楷体" w:cs="宋体"/>
                <w:b/>
                <w:color w:val="auto"/>
                <w:sz w:val="24"/>
                <w:highlight w:val="none"/>
              </w:rPr>
            </w:pPr>
            <w:r>
              <w:rPr>
                <w:rFonts w:ascii="楷体" w:hAnsi="楷体" w:eastAsia="楷体" w:cs="宋体"/>
                <w:b/>
                <w:color w:val="auto"/>
                <w:sz w:val="24"/>
                <w:highlight w:val="none"/>
              </w:rPr>
              <w:t>3.采用保函的，必须为无条件保函</w:t>
            </w:r>
            <w:r>
              <w:rPr>
                <w:rFonts w:hint="eastAsia" w:ascii="楷体" w:hAnsi="楷体" w:eastAsia="楷体" w:cs="宋体"/>
                <w:b/>
                <w:color w:val="auto"/>
                <w:sz w:val="24"/>
                <w:highlight w:val="none"/>
              </w:rPr>
              <w:t>，否则视为无效履约保证金。</w:t>
            </w:r>
          </w:p>
          <w:p w14:paraId="16245893">
            <w:pPr>
              <w:autoSpaceDE w:val="0"/>
              <w:autoSpaceDN w:val="0"/>
              <w:snapToGrid w:val="0"/>
              <w:spacing w:line="360" w:lineRule="auto"/>
              <w:textAlignment w:val="bottom"/>
              <w:rPr>
                <w:rFonts w:ascii="宋体" w:hAnsi="宋体" w:cs="宋体"/>
                <w:color w:val="auto"/>
                <w:sz w:val="24"/>
                <w:highlight w:val="none"/>
              </w:rPr>
            </w:pPr>
            <w:r>
              <w:rPr>
                <w:rFonts w:ascii="楷体" w:hAnsi="楷体" w:eastAsia="楷体" w:cs="宋体"/>
                <w:b/>
                <w:color w:val="auto"/>
                <w:sz w:val="24"/>
                <w:highlight w:val="none"/>
              </w:rPr>
              <w:t>4.投标人为联合体的，由联合体其中一方按规定提交的履约保证金，视为有效履约保证金。</w:t>
            </w:r>
          </w:p>
        </w:tc>
      </w:tr>
      <w:tr w14:paraId="5340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03C9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29.1</w:t>
            </w:r>
          </w:p>
        </w:tc>
        <w:tc>
          <w:tcPr>
            <w:tcW w:w="8697" w:type="dxa"/>
            <w:vAlign w:val="center"/>
          </w:tcPr>
          <w:p w14:paraId="019ABA7D">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 xml:space="preserve">签订合同携带的证明材料： </w:t>
            </w:r>
          </w:p>
          <w:p w14:paraId="389CD1D5">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1.委托代理人负责签订合同的，须携带授权委托书及委托代理人身份证原件等其他资格证件。</w:t>
            </w:r>
          </w:p>
          <w:p w14:paraId="5701DFB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2.法定代表人负责签订合同的，须携带法定代表人身份证明原件及身份证原件等其他证明材料。</w:t>
            </w:r>
          </w:p>
        </w:tc>
      </w:tr>
      <w:tr w14:paraId="5FD8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B9227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31.2</w:t>
            </w:r>
          </w:p>
        </w:tc>
        <w:tc>
          <w:tcPr>
            <w:tcW w:w="8697" w:type="dxa"/>
            <w:vAlign w:val="center"/>
          </w:tcPr>
          <w:p w14:paraId="70F014D4">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接收质疑函方式：以纸质书面形式。</w:t>
            </w:r>
          </w:p>
          <w:p w14:paraId="5A6ECA71">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质疑联系部门及联系方式：广西建设工程机电设备招标中心有限公司</w:t>
            </w:r>
          </w:p>
          <w:p w14:paraId="762F0796">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质疑联系人：</w:t>
            </w:r>
            <w:r>
              <w:rPr>
                <w:rFonts w:hint="eastAsia" w:hAnsi="宋体" w:cs="宋体"/>
                <w:color w:val="auto"/>
                <w:sz w:val="24"/>
                <w:szCs w:val="24"/>
                <w:highlight w:val="none"/>
                <w:lang w:val="en-US" w:eastAsia="zh-CN"/>
              </w:rPr>
              <w:t>谭琦辉</w:t>
            </w:r>
            <w:r>
              <w:rPr>
                <w:rFonts w:hAnsi="宋体" w:cs="宋体"/>
                <w:color w:val="auto"/>
                <w:sz w:val="24"/>
                <w:szCs w:val="24"/>
                <w:highlight w:val="none"/>
              </w:rPr>
              <w:t xml:space="preserve">  </w:t>
            </w:r>
            <w:r>
              <w:rPr>
                <w:rFonts w:hint="eastAsia" w:hAnsi="宋体" w:cs="宋体"/>
                <w:color w:val="auto"/>
                <w:sz w:val="24"/>
                <w:szCs w:val="24"/>
                <w:highlight w:val="none"/>
              </w:rPr>
              <w:t>联系电话：0771-2821389</w:t>
            </w:r>
          </w:p>
          <w:p w14:paraId="74357EBC">
            <w:pPr>
              <w:pStyle w:val="19"/>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通讯地址：广西壮族自治区南宁市青秀区枫林路18号广西国控大厦裙楼三层</w:t>
            </w:r>
          </w:p>
          <w:p w14:paraId="773BC831">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业务时间：工作日，上午8:00-12:00；下午15:00-18:00（北京时间）</w:t>
            </w:r>
          </w:p>
        </w:tc>
      </w:tr>
      <w:tr w14:paraId="5A038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92" w:type="dxa"/>
            <w:vAlign w:val="center"/>
          </w:tcPr>
          <w:p w14:paraId="602413E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32.1</w:t>
            </w:r>
          </w:p>
        </w:tc>
        <w:tc>
          <w:tcPr>
            <w:tcW w:w="8697" w:type="dxa"/>
            <w:vAlign w:val="center"/>
          </w:tcPr>
          <w:p w14:paraId="4783DD3A">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1</w:t>
            </w:r>
            <w:r>
              <w:rPr>
                <w:rFonts w:hint="eastAsia" w:hAnsi="宋体" w:cs="宋体"/>
                <w:color w:val="auto"/>
                <w:sz w:val="24"/>
                <w:highlight w:val="none"/>
              </w:rPr>
              <w:t>.</w:t>
            </w:r>
            <w:r>
              <w:rPr>
                <w:rFonts w:hint="eastAsia" w:hAnsi="宋体" w:cs="宋体"/>
                <w:color w:val="auto"/>
                <w:sz w:val="24"/>
                <w:szCs w:val="24"/>
                <w:highlight w:val="none"/>
              </w:rPr>
              <w:t>采购代理服务费支付方式：本项目的招标代理服务费按以下收费标准向成交供应商收取，领取成交通知书前，成交供应商应向采购代理机构一次付清招标代理服务费，否则采购代理机构有权不予以办理。</w:t>
            </w:r>
          </w:p>
          <w:p w14:paraId="3D52E8E5">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2</w:t>
            </w:r>
            <w:r>
              <w:rPr>
                <w:rFonts w:hint="eastAsia" w:hAnsi="宋体" w:cs="宋体"/>
                <w:color w:val="auto"/>
                <w:sz w:val="24"/>
                <w:highlight w:val="none"/>
              </w:rPr>
              <w:t>.</w:t>
            </w:r>
            <w:r>
              <w:rPr>
                <w:rFonts w:hint="eastAsia" w:hAnsi="宋体" w:cs="宋体"/>
                <w:color w:val="auto"/>
                <w:sz w:val="24"/>
                <w:szCs w:val="24"/>
                <w:highlight w:val="none"/>
              </w:rPr>
              <w:t>采购代理服务费收取标准：</w:t>
            </w:r>
          </w:p>
          <w:p w14:paraId="67F9F809">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以</w:t>
            </w:r>
            <w:r>
              <w:rPr>
                <w:rFonts w:hint="eastAsia" w:hAnsi="宋体" w:cs="宋体"/>
                <w:color w:val="auto"/>
                <w:sz w:val="24"/>
                <w:szCs w:val="24"/>
                <w:highlight w:val="none"/>
                <w:lang w:val="en-US" w:eastAsia="zh-CN"/>
              </w:rPr>
              <w:t>各分标</w:t>
            </w:r>
            <w:r>
              <w:rPr>
                <w:rFonts w:hint="eastAsia" w:hAnsi="宋体" w:cs="宋体"/>
                <w:color w:val="auto"/>
                <w:sz w:val="24"/>
                <w:szCs w:val="24"/>
                <w:highlight w:val="none"/>
              </w:rPr>
              <w:t>成交金额为计费额，按本磋商文件之《供应商须知正文》第32.2条规定的收费计算标准服务类采用差额定率累进法计算出收费基准价格，采购代理服务费收费</w:t>
            </w:r>
            <w:r>
              <w:rPr>
                <w:rFonts w:hint="eastAsia" w:hAnsi="宋体" w:cs="宋体"/>
                <w:color w:val="auto"/>
                <w:sz w:val="24"/>
                <w:szCs w:val="24"/>
                <w:highlight w:val="none"/>
                <w:lang w:val="en-US" w:eastAsia="zh-CN"/>
              </w:rPr>
              <w:t>按分标</w:t>
            </w:r>
            <w:r>
              <w:rPr>
                <w:rFonts w:hint="eastAsia" w:hAnsi="宋体" w:cs="宋体"/>
                <w:color w:val="auto"/>
                <w:sz w:val="24"/>
                <w:szCs w:val="24"/>
                <w:highlight w:val="none"/>
              </w:rPr>
              <w:t>以收费基准价格收取。</w:t>
            </w:r>
            <w:r>
              <w:rPr>
                <w:rFonts w:hint="eastAsia" w:hAnsi="宋体" w:cs="宋体"/>
                <w:color w:val="auto"/>
                <w:sz w:val="24"/>
                <w:szCs w:val="24"/>
                <w:highlight w:val="none"/>
                <w:lang w:val="en-US" w:eastAsia="zh-CN"/>
              </w:rPr>
              <w:t>本项目</w:t>
            </w:r>
            <w:r>
              <w:rPr>
                <w:rFonts w:hint="eastAsia" w:hAnsi="宋体" w:cs="宋体"/>
                <w:color w:val="auto"/>
                <w:sz w:val="24"/>
                <w:szCs w:val="24"/>
                <w:highlight w:val="none"/>
              </w:rPr>
              <w:t>招标代理服务费不达陆仟元整（¥6000.00元）的，按陆仟元整（¥6000.00元）计算。</w:t>
            </w:r>
          </w:p>
          <w:p w14:paraId="54C6714A">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rPr>
              <w:t>.</w:t>
            </w:r>
            <w:r>
              <w:rPr>
                <w:rFonts w:hint="eastAsia" w:hAnsi="宋体" w:cs="宋体"/>
                <w:color w:val="auto"/>
                <w:sz w:val="24"/>
                <w:szCs w:val="24"/>
                <w:highlight w:val="none"/>
              </w:rPr>
              <w:t>采购代理服务费收取银行账号：</w:t>
            </w:r>
          </w:p>
          <w:p w14:paraId="6F459BB5">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开户名称：广西建设工程机电设备招标中心有限公司</w:t>
            </w:r>
          </w:p>
          <w:p w14:paraId="33625C92">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开户银行：招商银行南宁分行营业部</w:t>
            </w:r>
          </w:p>
          <w:p w14:paraId="2DFF3014">
            <w:pPr>
              <w:pStyle w:val="19"/>
              <w:snapToGrid w:val="0"/>
              <w:spacing w:line="360" w:lineRule="auto"/>
              <w:rPr>
                <w:rFonts w:hAnsi="宋体" w:cs="宋体"/>
                <w:color w:val="auto"/>
                <w:sz w:val="24"/>
                <w:szCs w:val="24"/>
                <w:highlight w:val="none"/>
              </w:rPr>
            </w:pPr>
            <w:r>
              <w:rPr>
                <w:rFonts w:hint="eastAsia" w:hAnsi="宋体" w:cs="宋体"/>
                <w:color w:val="auto"/>
                <w:sz w:val="24"/>
                <w:szCs w:val="24"/>
                <w:highlight w:val="none"/>
              </w:rPr>
              <w:t>银行账号：7719 0142 3310 201</w:t>
            </w:r>
          </w:p>
        </w:tc>
      </w:tr>
      <w:tr w14:paraId="4893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5A089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33.1</w:t>
            </w:r>
          </w:p>
        </w:tc>
        <w:tc>
          <w:tcPr>
            <w:tcW w:w="8697" w:type="dxa"/>
            <w:vAlign w:val="center"/>
          </w:tcPr>
          <w:p w14:paraId="45DB4B59">
            <w:pPr>
              <w:pStyle w:val="19"/>
              <w:snapToGrid w:val="0"/>
              <w:spacing w:line="360" w:lineRule="auto"/>
              <w:rPr>
                <w:rFonts w:hAnsi="宋体" w:cs="宋体"/>
                <w:color w:val="auto"/>
                <w:kern w:val="2"/>
                <w:sz w:val="24"/>
                <w:szCs w:val="24"/>
                <w:highlight w:val="none"/>
              </w:rPr>
            </w:pPr>
            <w:r>
              <w:rPr>
                <w:rFonts w:hint="eastAsia" w:hAnsi="宋体" w:cs="宋体"/>
                <w:color w:val="auto"/>
                <w:sz w:val="24"/>
                <w:szCs w:val="24"/>
                <w:highlight w:val="none"/>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1D65A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54C604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33.2</w:t>
            </w:r>
          </w:p>
        </w:tc>
        <w:tc>
          <w:tcPr>
            <w:tcW w:w="8697" w:type="dxa"/>
            <w:vAlign w:val="center"/>
          </w:tcPr>
          <w:p w14:paraId="45227378">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1.本磋商文件中描述投标人的“公章”是指根据我国对公章的管理规定，用供应商法定主体名称制作的印章</w:t>
            </w:r>
            <w:r>
              <w:rPr>
                <w:rFonts w:hint="eastAsia" w:hAnsi="宋体" w:cs="宋体"/>
                <w:color w:val="auto"/>
                <w:sz w:val="24"/>
                <w:szCs w:val="24"/>
                <w:highlight w:val="none"/>
              </w:rPr>
              <w:t>或供应商通过指定电子化政府采购平台办理数字证书（CA认证）获得的以法定主体名称制作的电子印章。</w:t>
            </w:r>
            <w:r>
              <w:rPr>
                <w:rFonts w:hint="eastAsia" w:hAnsi="宋体" w:cs="宋体"/>
                <w:bCs/>
                <w:color w:val="auto"/>
                <w:sz w:val="24"/>
                <w:szCs w:val="24"/>
                <w:highlight w:val="none"/>
              </w:rPr>
              <w:t>除本磋商文件有特殊规定外，供应商的财务章、部门章、分公司章、工会章、合同章、投标专用章、业务专用章及银行的转账章、现金收讫章、现金付讫章等其他形式印章均不能代替公章。</w:t>
            </w:r>
          </w:p>
          <w:p w14:paraId="6E20A210">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2.供应商为其他组织或者自然人时，本磋商文件规定的法定代表人指负责人或者自然人。本磋商文件所称负责人是指参加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的其他组织营业执照或者执业许可证等证照上的负责人，本磋商文件所称自然人指参与</w:t>
            </w:r>
            <w:r>
              <w:rPr>
                <w:rFonts w:hint="eastAsia" w:hAnsi="宋体" w:cs="宋体"/>
                <w:color w:val="auto"/>
                <w:sz w:val="24"/>
                <w:szCs w:val="24"/>
                <w:highlight w:val="none"/>
              </w:rPr>
              <w:t>竞争性磋商</w:t>
            </w:r>
            <w:r>
              <w:rPr>
                <w:rFonts w:hint="eastAsia" w:hAnsi="宋体" w:cs="宋体"/>
                <w:bCs/>
                <w:color w:val="auto"/>
                <w:sz w:val="24"/>
                <w:szCs w:val="24"/>
                <w:highlight w:val="none"/>
              </w:rPr>
              <w:t>的自然人本人，且应具备独立承担民事责任能力，自然人应当为年满18岁以上成年人（十六周岁以上的未成年人，以自己的劳动收入为主要生活来源的，视为完全民事行为能力人）。</w:t>
            </w:r>
          </w:p>
          <w:p w14:paraId="3F942B00">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3.本磋商文件中描述投标人的“签字”是指供应商的法定代表人或者委托代理人</w:t>
            </w:r>
            <w:r>
              <w:rPr>
                <w:rFonts w:hint="eastAsia" w:hAnsi="宋体" w:cs="宋体"/>
                <w:color w:val="auto"/>
                <w:sz w:val="24"/>
                <w:szCs w:val="24"/>
                <w:highlight w:val="none"/>
              </w:rPr>
              <w:t>在文件规定签署处签名或者指供应商通过指定电子化政府采购平台办理数字证书（CA认证）获得的以供应商法定代表人或者委托代理人姓名制作的电子印章签名的行为，私章、印鉴等其他形式均不能代替签字</w:t>
            </w:r>
            <w:r>
              <w:rPr>
                <w:rFonts w:hint="eastAsia" w:hAnsi="宋体" w:cs="宋体"/>
                <w:bCs/>
                <w:color w:val="auto"/>
                <w:sz w:val="24"/>
                <w:szCs w:val="24"/>
                <w:highlight w:val="none"/>
              </w:rPr>
              <w:t>。</w:t>
            </w:r>
          </w:p>
          <w:p w14:paraId="57210028">
            <w:pPr>
              <w:pStyle w:val="19"/>
              <w:snapToGrid w:val="0"/>
              <w:spacing w:line="360" w:lineRule="auto"/>
              <w:rPr>
                <w:rFonts w:hAnsi="宋体" w:cs="宋体"/>
                <w:bCs/>
                <w:color w:val="auto"/>
                <w:sz w:val="24"/>
                <w:szCs w:val="24"/>
                <w:highlight w:val="none"/>
              </w:rPr>
            </w:pPr>
            <w:r>
              <w:rPr>
                <w:rFonts w:hint="eastAsia" w:hAnsi="宋体" w:cs="宋体"/>
                <w:bCs/>
                <w:color w:val="auto"/>
                <w:sz w:val="24"/>
                <w:szCs w:val="24"/>
                <w:highlight w:val="none"/>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47D30E3">
            <w:pPr>
              <w:pStyle w:val="19"/>
              <w:snapToGrid w:val="0"/>
              <w:spacing w:line="360" w:lineRule="auto"/>
              <w:rPr>
                <w:rFonts w:hAnsi="宋体" w:cs="宋体"/>
                <w:bCs/>
                <w:color w:val="auto"/>
                <w:sz w:val="24"/>
                <w:szCs w:val="24"/>
                <w:highlight w:val="none"/>
              </w:rPr>
            </w:pPr>
            <w:r>
              <w:rPr>
                <w:rFonts w:hAnsi="宋体" w:cs="宋体"/>
                <w:bCs/>
                <w:color w:val="auto"/>
                <w:sz w:val="24"/>
                <w:szCs w:val="24"/>
                <w:highlight w:val="none"/>
              </w:rPr>
              <w:t>5</w:t>
            </w:r>
            <w:r>
              <w:rPr>
                <w:rFonts w:hint="eastAsia" w:hAnsi="宋体" w:cs="宋体"/>
                <w:bCs/>
                <w:color w:val="auto"/>
                <w:sz w:val="24"/>
                <w:szCs w:val="24"/>
                <w:highlight w:val="none"/>
              </w:rPr>
              <w:t>.自然人参加</w:t>
            </w:r>
            <w:r>
              <w:rPr>
                <w:rFonts w:hint="eastAsia" w:hAnsi="宋体" w:cs="宋体"/>
                <w:color w:val="auto"/>
                <w:sz w:val="24"/>
                <w:szCs w:val="24"/>
                <w:highlight w:val="none"/>
              </w:rPr>
              <w:t>竞争性磋商</w:t>
            </w:r>
            <w:r>
              <w:rPr>
                <w:rFonts w:hint="eastAsia" w:hAnsi="宋体" w:cs="宋体"/>
                <w:bCs/>
                <w:color w:val="auto"/>
                <w:sz w:val="24"/>
                <w:szCs w:val="24"/>
                <w:highlight w:val="none"/>
              </w:rPr>
              <w:t>的，磋商文件规定盖公章处由自然人摁手指指印。</w:t>
            </w:r>
          </w:p>
          <w:p w14:paraId="1B558C20">
            <w:pPr>
              <w:pStyle w:val="19"/>
              <w:snapToGrid w:val="0"/>
              <w:spacing w:line="360" w:lineRule="auto"/>
              <w:rPr>
                <w:rFonts w:hAnsi="宋体" w:cs="宋体"/>
                <w:color w:val="auto"/>
                <w:sz w:val="24"/>
                <w:szCs w:val="24"/>
                <w:highlight w:val="none"/>
              </w:rPr>
            </w:pPr>
            <w:r>
              <w:rPr>
                <w:rFonts w:hAnsi="宋体" w:cs="宋体"/>
                <w:bCs/>
                <w:color w:val="auto"/>
                <w:sz w:val="24"/>
                <w:highlight w:val="none"/>
              </w:rPr>
              <w:t>6</w:t>
            </w:r>
            <w:r>
              <w:rPr>
                <w:rFonts w:hint="eastAsia" w:hAnsi="宋体" w:cs="宋体"/>
                <w:bCs/>
                <w:color w:val="auto"/>
                <w:sz w:val="24"/>
                <w:highlight w:val="none"/>
              </w:rPr>
              <w:t>.本磋商文件所称的“以上”“以下”“以内”“届满”，包括本数；所称的“不满”“超过”“以外”，不包括本数。</w:t>
            </w:r>
          </w:p>
        </w:tc>
      </w:tr>
    </w:tbl>
    <w:p w14:paraId="6F86DFFB">
      <w:pPr>
        <w:spacing w:line="400" w:lineRule="exact"/>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7922C298">
      <w:pPr>
        <w:spacing w:line="400" w:lineRule="exact"/>
        <w:jc w:val="center"/>
        <w:rPr>
          <w:rFonts w:ascii="宋体" w:hAnsi="宋体" w:cs="宋体"/>
          <w:b/>
          <w:color w:val="auto"/>
          <w:sz w:val="32"/>
          <w:szCs w:val="32"/>
          <w:highlight w:val="none"/>
        </w:rPr>
      </w:pPr>
    </w:p>
    <w:p w14:paraId="27D3B54F">
      <w:pPr>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一、总则</w:t>
      </w:r>
    </w:p>
    <w:p w14:paraId="6DD19D30">
      <w:pPr>
        <w:spacing w:line="400" w:lineRule="exact"/>
        <w:rPr>
          <w:rFonts w:ascii="宋体" w:hAnsi="宋体" w:cs="宋体"/>
          <w:color w:val="auto"/>
          <w:szCs w:val="21"/>
          <w:highlight w:val="none"/>
        </w:rPr>
      </w:pPr>
    </w:p>
    <w:p w14:paraId="40088D85">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1.适用范围</w:t>
      </w:r>
    </w:p>
    <w:p w14:paraId="583316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关于政府采购有关规定的约束和保护。</w:t>
      </w:r>
    </w:p>
    <w:p w14:paraId="07F681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w:t>
      </w:r>
      <w:r>
        <w:rPr>
          <w:rFonts w:hint="eastAsia" w:ascii="宋体" w:hAnsi="宋体" w:cs="宋体"/>
          <w:color w:val="auto"/>
          <w:spacing w:val="-6"/>
          <w:sz w:val="24"/>
          <w:highlight w:val="none"/>
        </w:rPr>
        <w:t>本竞争性磋商文件（以下简称磋商文件）适用于本项目的所有采购程序和环节（法律、法规另有规定的，从其规定）。</w:t>
      </w:r>
    </w:p>
    <w:p w14:paraId="113EDE25">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2.定义</w:t>
      </w:r>
    </w:p>
    <w:p w14:paraId="5DFEB8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2.1“采购人”是指依法进行政府采购的国家机关、事业单位、团体组织。</w:t>
      </w:r>
    </w:p>
    <w:p w14:paraId="6C8E73C0">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2.2“采购代理机构”是指政府采购集中采购机构和集中采购机构以外的采购代理机构。</w:t>
      </w:r>
    </w:p>
    <w:p w14:paraId="49CE58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2.3“供应商”是指向采购人提供货物、工程或者服务的法人、其他组织或者自然人。</w:t>
      </w:r>
    </w:p>
    <w:p w14:paraId="50E68FAD">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2.4“服务”是指除货物和工程以外的其他政府采购对象。</w:t>
      </w:r>
    </w:p>
    <w:p w14:paraId="197125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hAnsi="宋体" w:cs="宋体"/>
          <w:color w:val="auto"/>
          <w:sz w:val="24"/>
          <w:highlight w:val="none"/>
        </w:rPr>
        <w:t>竞争性磋商</w:t>
      </w:r>
      <w:r>
        <w:rPr>
          <w:rFonts w:hint="eastAsia" w:ascii="宋体" w:hAnsi="宋体" w:cs="宋体"/>
          <w:color w:val="auto"/>
          <w:sz w:val="24"/>
          <w:highlight w:val="none"/>
        </w:rPr>
        <w:t>”是指供应商按照本项目竞争性磋商公告或者邀请函规定的方式获取磋商文件、提交响应文件并希望获得标的的行为。</w:t>
      </w:r>
    </w:p>
    <w:p w14:paraId="29AA7FB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2.6“书面形式”是指合同书、信件和数据电文（包括电报、电传、传真、电子数据交换和电子邮件）等可以有形地表现所载内容的形式。</w:t>
      </w:r>
    </w:p>
    <w:p w14:paraId="7AED74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2.7“响应文件”</w:t>
      </w:r>
      <w:r>
        <w:rPr>
          <w:rFonts w:hint="eastAsia" w:ascii="宋体" w:hAnsi="宋体" w:cs="宋体"/>
          <w:color w:val="auto"/>
          <w:spacing w:val="-6"/>
          <w:sz w:val="24"/>
          <w:highlight w:val="none"/>
        </w:rPr>
        <w:t>是指：供应商根据本磋商文件要求，编制包含资格证明、报价商务技术等所有内容的文件。</w:t>
      </w:r>
    </w:p>
    <w:p w14:paraId="36D03F6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2.8“实质性要求”是指磋商文件中已经指明不满足则响应文件按无效响应处理的条款，或者不能负偏离的条款，或者采购需求中带“▲”的条款。</w:t>
      </w:r>
    </w:p>
    <w:p w14:paraId="2EE4DCD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2.9“正偏离”，是指响应文件对磋商文件“采购需求”中有关条款作出的响应优于条款要求并有利于采购人的情形。</w:t>
      </w:r>
    </w:p>
    <w:p w14:paraId="78DC1F8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2.10“负偏离”，是指响应文件对磋商文件“采购需求”中有关条款作出的响应不满足条款要求，导致采购人要求不能得到满足的情形。</w:t>
      </w:r>
    </w:p>
    <w:p w14:paraId="273214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2.11“允许负偏离的条款”是指采购需求中的不属于“实质性要求”的条款。</w:t>
      </w:r>
    </w:p>
    <w:p w14:paraId="024EE41D">
      <w:pPr>
        <w:spacing w:line="360" w:lineRule="auto"/>
        <w:ind w:firstLine="480" w:firstLineChars="200"/>
        <w:contextualSpacing/>
        <w:outlineLvl w:val="3"/>
        <w:rPr>
          <w:rFonts w:ascii="宋体" w:hAnsi="宋体" w:cs="宋体"/>
          <w:color w:val="auto"/>
          <w:sz w:val="24"/>
          <w:highlight w:val="none"/>
        </w:rPr>
      </w:pPr>
      <w:r>
        <w:rPr>
          <w:rFonts w:hint="eastAsia" w:ascii="宋体" w:hAnsi="宋体" w:cs="宋体"/>
          <w:color w:val="auto"/>
          <w:sz w:val="24"/>
          <w:highlight w:val="none"/>
        </w:rPr>
        <w:t>2.12“首次报价”是指供应商提交的首次响应文件中的报价。</w:t>
      </w:r>
    </w:p>
    <w:p w14:paraId="6EF661D8">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760A4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供应商的资格条件详见“供应商须知前附表”。</w:t>
      </w:r>
    </w:p>
    <w:p w14:paraId="09F4C9A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4.</w:t>
      </w:r>
      <w:r>
        <w:rPr>
          <w:rFonts w:hint="eastAsia" w:hAnsi="宋体" w:cs="宋体"/>
          <w:b/>
          <w:color w:val="auto"/>
          <w:sz w:val="24"/>
          <w:highlight w:val="none"/>
        </w:rPr>
        <w:t>竞争性磋商</w:t>
      </w:r>
      <w:r>
        <w:rPr>
          <w:rFonts w:hint="eastAsia" w:ascii="宋体" w:hAnsi="宋体" w:cs="宋体"/>
          <w:b/>
          <w:bCs/>
          <w:color w:val="auto"/>
          <w:sz w:val="24"/>
          <w:highlight w:val="none"/>
        </w:rPr>
        <w:t>费用</w:t>
      </w:r>
    </w:p>
    <w:p w14:paraId="7067E1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供应商应承担参与本次采购活动有关的所有费用，包括但不限于获取磋商文件、勘查现场、编制和提交响应文件、参加磋商与应答、签订合同等，不论</w:t>
      </w:r>
      <w:r>
        <w:rPr>
          <w:rFonts w:hint="eastAsia" w:hAnsi="宋体" w:cs="宋体"/>
          <w:color w:val="auto"/>
          <w:sz w:val="24"/>
          <w:highlight w:val="none"/>
        </w:rPr>
        <w:t>竞争性磋商</w:t>
      </w:r>
      <w:r>
        <w:rPr>
          <w:rFonts w:hint="eastAsia" w:ascii="宋体" w:hAnsi="宋体" w:cs="宋体"/>
          <w:color w:val="auto"/>
          <w:sz w:val="24"/>
          <w:highlight w:val="none"/>
        </w:rPr>
        <w:t>结果如何，均应自行承担。</w:t>
      </w:r>
    </w:p>
    <w:p w14:paraId="61A688D4">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5.联合体参加竞争性磋商</w:t>
      </w:r>
    </w:p>
    <w:p w14:paraId="1824F9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5.1本项目是否接受联合体参加竞争性磋商，详见“供应商须知前附表”。</w:t>
      </w:r>
    </w:p>
    <w:p w14:paraId="0D495E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5.2如接受联合体参加</w:t>
      </w:r>
      <w:r>
        <w:rPr>
          <w:rFonts w:hint="eastAsia" w:hAnsi="宋体" w:cs="宋体"/>
          <w:color w:val="auto"/>
          <w:sz w:val="24"/>
          <w:highlight w:val="none"/>
        </w:rPr>
        <w:t>竞争性磋商</w:t>
      </w:r>
      <w:r>
        <w:rPr>
          <w:rFonts w:hint="eastAsia" w:ascii="宋体" w:hAnsi="宋体" w:cs="宋体"/>
          <w:color w:val="auto"/>
          <w:sz w:val="24"/>
          <w:highlight w:val="none"/>
        </w:rPr>
        <w:t>，相关要求详见“供应商须知前附表”。</w:t>
      </w:r>
    </w:p>
    <w:p w14:paraId="058DB66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w:t>
      </w:r>
      <w:bookmarkStart w:id="17" w:name="_Hlk66782192"/>
      <w:r>
        <w:rPr>
          <w:rFonts w:hint="eastAsia" w:ascii="宋体" w:hAnsi="宋体" w:cs="宋体"/>
          <w:color w:val="auto"/>
          <w:sz w:val="24"/>
          <w:highlight w:val="none"/>
        </w:rPr>
        <w:t>根据《政府采购促进中小企业发展管理办法》（财库〔2020〕46号）及《关于进一步加大政府采购支持中小企业力度的通知》（财库〔2022〕19号 ）调整对小微企业的价格评审优惠幅度。货物服务采购项目给予小微企业的价格扣除优惠</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0%。大中型企业与小微企业组成联合体或者大中型企业向小微企业分包的，对于联合协议约定小微企业的合同份额占到合同总金额 30%以上的，评审优惠</w:t>
      </w:r>
      <w:r>
        <w:rPr>
          <w:rFonts w:hint="eastAsia" w:ascii="宋体" w:hAnsi="宋体" w:cs="宋体"/>
          <w:color w:val="auto"/>
          <w:sz w:val="24"/>
          <w:highlight w:val="none"/>
          <w:lang w:val="en-US" w:eastAsia="zh-CN"/>
        </w:rPr>
        <w:t>4</w:t>
      </w:r>
      <w:r>
        <w:rPr>
          <w:rFonts w:ascii="宋体" w:hAnsi="宋体" w:cs="宋体"/>
          <w:color w:val="auto"/>
          <w:sz w:val="24"/>
          <w:highlight w:val="none"/>
        </w:rPr>
        <w:t>%</w:t>
      </w:r>
      <w:r>
        <w:rPr>
          <w:rFonts w:hint="eastAsia" w:ascii="宋体" w:hAnsi="宋体" w:cs="宋体"/>
          <w:color w:val="auto"/>
          <w:sz w:val="24"/>
          <w:highlight w:val="none"/>
        </w:rPr>
        <w:t>，用扣除后的价格参加评审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专门面向中小企业采购项目除外</w:t>
      </w:r>
      <w:r>
        <w:rPr>
          <w:rFonts w:hint="eastAsia" w:ascii="宋体" w:hAnsi="宋体" w:cs="宋体"/>
          <w:color w:val="auto"/>
          <w:sz w:val="24"/>
          <w:highlight w:val="none"/>
          <w:lang w:eastAsia="zh-CN"/>
        </w:rPr>
        <w:t>）</w:t>
      </w:r>
      <w:r>
        <w:rPr>
          <w:rFonts w:hint="eastAsia" w:ascii="宋体" w:hAnsi="宋体" w:cs="宋体"/>
          <w:color w:val="auto"/>
          <w:sz w:val="24"/>
          <w:highlight w:val="none"/>
        </w:rPr>
        <w:t>。</w:t>
      </w:r>
      <w:bookmarkEnd w:id="17"/>
    </w:p>
    <w:p w14:paraId="131D393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5C73C9A7">
      <w:pPr>
        <w:pStyle w:val="5"/>
        <w:keepNext w:val="0"/>
        <w:keepLines w:val="0"/>
        <w:spacing w:before="0" w:after="0" w:line="360" w:lineRule="auto"/>
        <w:ind w:left="420" w:leftChars="200"/>
        <w:rPr>
          <w:rFonts w:ascii="宋体" w:hAnsi="宋体" w:cs="宋体"/>
          <w:b w:val="0"/>
          <w:color w:val="auto"/>
          <w:sz w:val="24"/>
          <w:szCs w:val="24"/>
          <w:highlight w:val="none"/>
        </w:rPr>
      </w:pPr>
      <w:bookmarkStart w:id="18" w:name="_Toc254970673"/>
      <w:bookmarkStart w:id="19" w:name="_Toc254970532"/>
      <w:r>
        <w:rPr>
          <w:rFonts w:hint="eastAsia" w:ascii="宋体" w:hAnsi="宋体" w:cs="宋体"/>
          <w:b w:val="0"/>
          <w:color w:val="auto"/>
          <w:sz w:val="24"/>
          <w:szCs w:val="24"/>
          <w:highlight w:val="none"/>
        </w:rPr>
        <w:t>6.1本项目不允许转包。</w:t>
      </w:r>
    </w:p>
    <w:p w14:paraId="2F48007B">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7CF0FE78">
      <w:pPr>
        <w:pStyle w:val="5"/>
        <w:keepNext w:val="0"/>
        <w:keepLines w:val="0"/>
        <w:spacing w:before="0" w:after="0" w:line="360" w:lineRule="auto"/>
        <w:ind w:firstLine="360" w:firstLineChars="150"/>
        <w:rPr>
          <w:rFonts w:ascii="宋体" w:hAnsi="宋体" w:cs="宋体"/>
          <w:b w:val="0"/>
          <w:color w:val="auto"/>
          <w:sz w:val="24"/>
          <w:szCs w:val="24"/>
          <w:highlight w:val="none"/>
        </w:rPr>
      </w:pPr>
      <w:r>
        <w:rPr>
          <w:rFonts w:hint="eastAsia" w:ascii="宋体" w:hAnsi="宋体" w:cs="宋体"/>
          <w:b w:val="0"/>
          <w:color w:val="auto"/>
          <w:sz w:val="24"/>
          <w:szCs w:val="24"/>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5235D677">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7.特别说明</w:t>
      </w:r>
      <w:bookmarkEnd w:id="18"/>
      <w:bookmarkEnd w:id="19"/>
    </w:p>
    <w:p w14:paraId="1651D4DF">
      <w:pPr>
        <w:spacing w:line="360" w:lineRule="auto"/>
        <w:ind w:firstLine="480" w:firstLineChars="200"/>
        <w:rPr>
          <w:rFonts w:ascii="宋体" w:hAnsi="宋体" w:cs="宋体"/>
          <w:color w:val="auto"/>
          <w:sz w:val="24"/>
          <w:highlight w:val="none"/>
        </w:rPr>
      </w:pPr>
      <w:bookmarkStart w:id="20" w:name="_8.1提供相同品牌产品且通过资格审查、符合性审查的不同投标人参加同一合"/>
      <w:bookmarkEnd w:id="20"/>
      <w:r>
        <w:rPr>
          <w:rFonts w:hint="eastAsia" w:ascii="宋体" w:hAnsi="宋体" w:cs="宋体"/>
          <w:color w:val="auto"/>
          <w:sz w:val="24"/>
          <w:highlight w:val="none"/>
        </w:rPr>
        <w:t>7.1</w:t>
      </w:r>
      <w:bookmarkStart w:id="21" w:name="_Hlk65832145"/>
      <w:r>
        <w:rPr>
          <w:rFonts w:hint="eastAsia" w:ascii="宋体" w:hAnsi="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21"/>
    <w:p w14:paraId="47CA3E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7.2供应商应仔细阅读磋商文件的所有内容，按照磋商文件的要求提交响应文件，并对所提供的全部资料的真实性承担法律责任。</w:t>
      </w:r>
    </w:p>
    <w:p w14:paraId="7A4DE34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7.3供应商在参与</w:t>
      </w:r>
      <w:r>
        <w:rPr>
          <w:rFonts w:hint="eastAsia" w:hAnsi="宋体" w:cs="宋体"/>
          <w:color w:val="auto"/>
          <w:sz w:val="24"/>
          <w:highlight w:val="none"/>
        </w:rPr>
        <w:t>竞争性磋商</w:t>
      </w:r>
      <w:r>
        <w:rPr>
          <w:rFonts w:hint="eastAsia" w:ascii="宋体" w:hAnsi="宋体" w:cs="宋体"/>
          <w:color w:val="auto"/>
          <w:sz w:val="24"/>
          <w:highlight w:val="none"/>
        </w:rPr>
        <w:t>活动中提供任何疑似虚假材料，将报监管部门查处；签订合同后发现的，成交供应商须依法赔偿采购人，且民事赔偿并不免除违法供应商的行政与刑事责任。</w:t>
      </w:r>
    </w:p>
    <w:p w14:paraId="0B9FDE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7.4在政府采购活动中，采购人员及相关人员与供应商有下列利害关系之一的，应当回避：</w:t>
      </w:r>
    </w:p>
    <w:p w14:paraId="64736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（1）参加采购活动前3年内与供应商存在劳动关系；</w:t>
      </w:r>
    </w:p>
    <w:p w14:paraId="4D4972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（2）参加采购活动前3年内担任供应商的董事、监事；</w:t>
      </w:r>
    </w:p>
    <w:p w14:paraId="381F04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（3）参加采购活动前3年内是供应商的控股股东或者实际控制人；</w:t>
      </w:r>
    </w:p>
    <w:p w14:paraId="1C9F11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（4）与供应商的法定代表人或者负责人有夫妻、直系血亲、三代以内旁系血亲或者近姻亲关系；</w:t>
      </w:r>
    </w:p>
    <w:p w14:paraId="73E5C0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（5）与供应商有其他可能影响政府采购活动公平、公正进行的关系。</w:t>
      </w:r>
    </w:p>
    <w:p w14:paraId="1D4A6B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B8C7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7.5有下列情形之一的视为供应商相互串通参与</w:t>
      </w:r>
      <w:r>
        <w:rPr>
          <w:rFonts w:hint="eastAsia" w:hAnsi="宋体" w:cs="宋体"/>
          <w:color w:val="auto"/>
          <w:sz w:val="24"/>
          <w:highlight w:val="none"/>
        </w:rPr>
        <w:t>竞争性磋商</w:t>
      </w:r>
      <w:r>
        <w:rPr>
          <w:rFonts w:hint="eastAsia" w:ascii="宋体" w:hAnsi="宋体" w:cs="宋体"/>
          <w:color w:val="auto"/>
          <w:sz w:val="24"/>
          <w:highlight w:val="none"/>
        </w:rPr>
        <w:t>，响应文件将被视为无效：</w:t>
      </w:r>
    </w:p>
    <w:p w14:paraId="2506A211">
      <w:pPr>
        <w:spacing w:line="360" w:lineRule="auto"/>
        <w:ind w:firstLine="480" w:firstLineChars="200"/>
        <w:rPr>
          <w:rFonts w:ascii="宋体" w:hAnsi="宋体" w:cs="宋体"/>
          <w:b w:val="0"/>
          <w:bCs/>
          <w:color w:val="auto"/>
          <w:sz w:val="24"/>
          <w:highlight w:val="none"/>
        </w:rPr>
      </w:pPr>
      <w:r>
        <w:rPr>
          <w:rFonts w:hint="eastAsia" w:ascii="宋体" w:hAnsi="宋体" w:cs="宋体"/>
          <w:color w:val="auto"/>
          <w:sz w:val="24"/>
          <w:highlight w:val="none"/>
        </w:rPr>
        <w:t>（1）不同供应商的响应文件由同一单位或者个人编</w:t>
      </w:r>
      <w:r>
        <w:rPr>
          <w:rFonts w:hint="eastAsia" w:ascii="宋体" w:hAnsi="宋体" w:cs="宋体"/>
          <w:color w:val="auto"/>
          <w:sz w:val="24"/>
          <w:highlight w:val="none"/>
        </w:rPr>
        <w:t>制</w:t>
      </w:r>
      <w:r>
        <w:rPr>
          <w:rFonts w:hint="eastAsia" w:hAnsi="宋体" w:cs="宋体"/>
          <w:b w:val="0"/>
          <w:bCs/>
          <w:color w:val="auto"/>
          <w:kern w:val="2"/>
          <w:sz w:val="24"/>
          <w:szCs w:val="24"/>
          <w:highlight w:val="none"/>
        </w:rPr>
        <w:t>或者不同</w:t>
      </w:r>
      <w:r>
        <w:rPr>
          <w:rFonts w:hint="eastAsia" w:ascii="宋体" w:hAnsi="宋体" w:cs="宋体"/>
          <w:b w:val="0"/>
          <w:bCs/>
          <w:color w:val="auto"/>
          <w:sz w:val="24"/>
          <w:highlight w:val="none"/>
        </w:rPr>
        <w:t>供应商</w:t>
      </w:r>
      <w:r>
        <w:rPr>
          <w:rFonts w:hint="eastAsia" w:hAnsi="宋体" w:cs="宋体"/>
          <w:b w:val="0"/>
          <w:bCs/>
          <w:color w:val="auto"/>
          <w:kern w:val="2"/>
          <w:sz w:val="24"/>
          <w:szCs w:val="24"/>
          <w:highlight w:val="none"/>
        </w:rPr>
        <w:t>报名的IP地址一致的；或者编制标书硬件设备CPU编号、硬盘编号、网卡地址一致的情况</w:t>
      </w:r>
      <w:r>
        <w:rPr>
          <w:rFonts w:hint="eastAsia" w:ascii="宋体" w:hAnsi="宋体" w:cs="宋体"/>
          <w:b w:val="0"/>
          <w:bCs/>
          <w:color w:val="auto"/>
          <w:sz w:val="24"/>
          <w:highlight w:val="none"/>
        </w:rPr>
        <w:t xml:space="preserve">； </w:t>
      </w:r>
    </w:p>
    <w:p w14:paraId="22A7C4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w:t>
      </w:r>
      <w:r>
        <w:rPr>
          <w:rFonts w:hint="eastAsia" w:hAnsi="宋体" w:cs="宋体"/>
          <w:color w:val="auto"/>
          <w:sz w:val="24"/>
          <w:highlight w:val="none"/>
        </w:rPr>
        <w:t>竞争性磋商</w:t>
      </w:r>
      <w:r>
        <w:rPr>
          <w:rFonts w:hint="eastAsia" w:ascii="宋体" w:hAnsi="宋体" w:cs="宋体"/>
          <w:color w:val="auto"/>
          <w:sz w:val="24"/>
          <w:highlight w:val="none"/>
        </w:rPr>
        <w:t>事宜；</w:t>
      </w:r>
    </w:p>
    <w:p w14:paraId="09FBDB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4A0B6F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（4）不同供应商的响应文件异常一致或者报价呈规律性差异；</w:t>
      </w:r>
    </w:p>
    <w:p w14:paraId="530772D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3E889612">
      <w:pPr>
        <w:tabs>
          <w:tab w:val="left" w:pos="6931"/>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r>
        <w:rPr>
          <w:rFonts w:hint="eastAsia" w:ascii="宋体" w:hAnsi="宋体" w:cs="宋体"/>
          <w:color w:val="auto"/>
          <w:sz w:val="24"/>
          <w:highlight w:val="none"/>
        </w:rPr>
        <w:tab/>
      </w:r>
    </w:p>
    <w:p w14:paraId="6B9369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（7）供应商之间协商报价等响应文件的实质性内容；</w:t>
      </w:r>
    </w:p>
    <w:p w14:paraId="378469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（8）供应商之间约定成交供应商；</w:t>
      </w:r>
    </w:p>
    <w:p w14:paraId="67DBCB3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（9）供应商之间约定部分供应商放弃参与竞争性磋商或者成交；</w:t>
      </w:r>
    </w:p>
    <w:p w14:paraId="61F3D5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（10）属于同一集团、协会、商会等组织成员的供应商按照该组织要求协同参与竞争性磋商；</w:t>
      </w:r>
    </w:p>
    <w:p w14:paraId="731DF28F">
      <w:pPr>
        <w:pStyle w:val="13"/>
        <w:ind w:firstLine="480" w:firstLineChars="200"/>
        <w:rPr>
          <w:color w:val="auto"/>
          <w:highlight w:val="none"/>
        </w:rPr>
      </w:pPr>
      <w:r>
        <w:rPr>
          <w:rFonts w:hint="eastAsia" w:ascii="宋体" w:hAnsi="宋体" w:cs="宋体"/>
          <w:color w:val="auto"/>
          <w:sz w:val="24"/>
          <w:highlight w:val="none"/>
        </w:rPr>
        <w:t>（11）供应商之间为谋取成交或者排斥特定供应商而采取的其他联合行动。</w:t>
      </w:r>
    </w:p>
    <w:p w14:paraId="5CD242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7.6供应商有下列情形之一的，属于恶意串通行为，将报同级监督管理部门：</w:t>
      </w:r>
    </w:p>
    <w:p w14:paraId="37511B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4BD0A0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75CA4E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（3）供应商之间协商报价、技术方案等响应文件或者响应文件的实质性内容；</w:t>
      </w:r>
    </w:p>
    <w:p w14:paraId="47F6EB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63A6B6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（5）供应商之间事先约定一致抬高或者压低报价，或者在政府采购活动中事先约定轮流以高价位或者低价位成交，或者事先约定由某一特定供应商成交，然后再参加竞争性磋商；</w:t>
      </w:r>
    </w:p>
    <w:p w14:paraId="1EDD6E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AB11B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（7）供应商与采购人或者采购代理机构之间、供应商相互之间，为谋求特定供应商成交或者排斥其他供应商的其他串通行为。</w:t>
      </w:r>
    </w:p>
    <w:p w14:paraId="3CED9550">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7.7竞争性磋商委托</w:t>
      </w:r>
    </w:p>
    <w:p w14:paraId="3323E0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供应商代表参加竞争性磋商活动过程中必须携带个人有效身份证件。如供应商代表不是法定代表人，须持有授权委托书（按第五章要求格式填写）。</w:t>
      </w:r>
    </w:p>
    <w:p w14:paraId="073873A1">
      <w:pPr>
        <w:pStyle w:val="13"/>
        <w:ind w:firstLine="420"/>
        <w:rPr>
          <w:color w:val="auto"/>
          <w:highlight w:val="none"/>
        </w:rPr>
      </w:pPr>
    </w:p>
    <w:p w14:paraId="7E77D5FC">
      <w:pPr>
        <w:spacing w:line="360" w:lineRule="auto"/>
        <w:jc w:val="center"/>
        <w:outlineLvl w:val="1"/>
        <w:rPr>
          <w:rFonts w:ascii="宋体" w:hAnsi="宋体" w:cs="宋体"/>
          <w:b/>
          <w:bCs/>
          <w:color w:val="auto"/>
          <w:sz w:val="24"/>
          <w:highlight w:val="none"/>
        </w:rPr>
      </w:pPr>
      <w:bookmarkStart w:id="22" w:name="_Toc254970534"/>
      <w:bookmarkStart w:id="23" w:name="_Toc254970675"/>
      <w:r>
        <w:rPr>
          <w:rFonts w:hint="eastAsia" w:ascii="宋体" w:hAnsi="宋体" w:cs="宋体"/>
          <w:b/>
          <w:bCs/>
          <w:color w:val="auto"/>
          <w:sz w:val="24"/>
          <w:highlight w:val="none"/>
        </w:rPr>
        <w:t>二、磋商文件</w:t>
      </w:r>
      <w:bookmarkEnd w:id="22"/>
      <w:bookmarkEnd w:id="23"/>
    </w:p>
    <w:p w14:paraId="20FFF5C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A1E06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（1）竞争性磋商公告；</w:t>
      </w:r>
    </w:p>
    <w:p w14:paraId="466E008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（2）供应商须知； </w:t>
      </w:r>
    </w:p>
    <w:p w14:paraId="333AFE2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（3）采购需求；</w:t>
      </w:r>
    </w:p>
    <w:p w14:paraId="3975CCD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（4）评审程序、评审方法和评审标准；</w:t>
      </w:r>
    </w:p>
    <w:p w14:paraId="6D1064D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（5）响应文件格式；</w:t>
      </w:r>
    </w:p>
    <w:p w14:paraId="7A8523F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olor w:val="auto"/>
          <w:sz w:val="24"/>
          <w:highlight w:val="none"/>
        </w:rPr>
        <w:t>拟签订的</w:t>
      </w:r>
      <w:r>
        <w:rPr>
          <w:rFonts w:hint="eastAsia" w:ascii="宋体" w:hAnsi="宋体" w:cs="宋体"/>
          <w:color w:val="auto"/>
          <w:sz w:val="24"/>
          <w:highlight w:val="none"/>
        </w:rPr>
        <w:t>合同文本。</w:t>
      </w:r>
    </w:p>
    <w:p w14:paraId="4DC49FD6">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3F6233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应认真阅读磋商文件的采购需求，如供应商对磋商文件有疑问的，如要求采购人做出澄清或者修改的，供应商尽可能在提交首次响应文件截止之日前，以纸质书面形式向采购人、采购代理机构提出，否则，由此产生的后果由供应商自行负责。</w:t>
      </w:r>
    </w:p>
    <w:p w14:paraId="6D82740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683C53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10.1提交首次响应文件截止之日前，采购人或者采购代理机构可以对已发出的磋商文件进行必要的澄清或者修改，澄清或者修改的内容作为磋商文件的组成部分。澄清或者修改将在原公告发布媒体上发布更正公告。澄清或者修改的内容可能影响响应文件编制的，采购人、采购代理机构应当在提交首次响应文件截止之日至少5日前，在原公告发布媒体上发布更正公告；不足5日的，采购人、采购代理机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0908B5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10.2采购人和采购代理机构可以视采购具体情况，变更首次响应文件提交截止时间和开启时间，并在原公告发布媒体上发布更正公告。</w:t>
      </w:r>
    </w:p>
    <w:p w14:paraId="5F4D42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10.3磋商文件澄清、答复、修改、补充的内容为磋商文件的组成部分。</w:t>
      </w:r>
      <w:r>
        <w:rPr>
          <w:rFonts w:hint="eastAsia" w:ascii="宋体" w:hAnsi="宋体" w:cs="宋体"/>
          <w:b/>
          <w:color w:val="auto"/>
          <w:sz w:val="24"/>
          <w:highlight w:val="none"/>
        </w:rPr>
        <w:t>当磋商文件与磋商文件的澄清、答复、修改、补充通知就同一内容的表述不一致时，以最后发出的文件为准。</w:t>
      </w:r>
    </w:p>
    <w:p w14:paraId="16EDE524">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10.4响应文件未按磋商文件的澄清、修改后的内容编制的，其响应文件作无效响应处理。</w:t>
      </w:r>
    </w:p>
    <w:p w14:paraId="6C967CF4">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三、响应文件的编制</w:t>
      </w:r>
    </w:p>
    <w:p w14:paraId="7C28558E">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7B30A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供应商必须按照磋商文件的要求编制响应文件，并对其提交的响应文件的真实性、合法性承担法律责任。响应文件必须对磋商文件做出实质性响应。</w:t>
      </w:r>
    </w:p>
    <w:p w14:paraId="64491E02">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4612ED4E">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12.1响应文件由资格证明文件、报价商务服务文件两部分组成。</w:t>
      </w:r>
    </w:p>
    <w:p w14:paraId="32209CE2">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12.1.1资格证明文件：详见须知前附表</w:t>
      </w:r>
    </w:p>
    <w:p w14:paraId="2EC79972">
      <w:pPr>
        <w:spacing w:line="360" w:lineRule="auto"/>
        <w:ind w:left="900" w:leftChars="200" w:hanging="480" w:hangingChars="200"/>
        <w:rPr>
          <w:rFonts w:ascii="宋体" w:hAnsi="宋体" w:cs="宋体"/>
          <w:color w:val="auto"/>
          <w:sz w:val="24"/>
          <w:highlight w:val="none"/>
        </w:rPr>
      </w:pPr>
      <w:r>
        <w:rPr>
          <w:rFonts w:hint="eastAsia" w:ascii="宋体" w:hAnsi="宋体" w:cs="宋体"/>
          <w:color w:val="auto"/>
          <w:sz w:val="24"/>
          <w:highlight w:val="none"/>
        </w:rPr>
        <w:t>12.1.2报价商务服务文件：详见须知前附表</w:t>
      </w:r>
    </w:p>
    <w:p w14:paraId="60E9C4E8">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13.计量单位</w:t>
      </w:r>
    </w:p>
    <w:p w14:paraId="47B75A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737D793F">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14.竞争性磋商的风险</w:t>
      </w:r>
    </w:p>
    <w:p w14:paraId="5FFA8C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供应商没有按照磋商文件要求提供全部资料，或者供应商没有对磋商文件在各方面做出实质性响应可能导致其响应无效，是供应商应当考虑的风险。</w:t>
      </w:r>
    </w:p>
    <w:p w14:paraId="61DDA1A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15.竞争性磋商报价</w:t>
      </w:r>
    </w:p>
    <w:p w14:paraId="2F3A005F">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15.1竞争性磋商报价应按磋商文件中“竞争性磋商报价表”格式填写。</w:t>
      </w:r>
    </w:p>
    <w:p w14:paraId="2098F4D1">
      <w:pPr>
        <w:tabs>
          <w:tab w:val="left" w:pos="2492"/>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15.2竞争性磋商报价的内容见“供应商须知前附表”。</w:t>
      </w:r>
    </w:p>
    <w:p w14:paraId="31593C5F">
      <w:pPr>
        <w:spacing w:line="360" w:lineRule="auto"/>
        <w:ind w:left="426" w:leftChars="203"/>
        <w:rPr>
          <w:rFonts w:ascii="宋体" w:hAnsi="宋体" w:cs="宋体"/>
          <w:color w:val="auto"/>
          <w:sz w:val="24"/>
          <w:highlight w:val="none"/>
        </w:rPr>
      </w:pPr>
      <w:r>
        <w:rPr>
          <w:rFonts w:hint="eastAsia" w:ascii="宋体" w:hAnsi="宋体" w:cs="宋体"/>
          <w:color w:val="auto"/>
          <w:sz w:val="24"/>
          <w:highlight w:val="none"/>
        </w:rPr>
        <w:t>15.3竞争性磋商报价要求</w:t>
      </w:r>
    </w:p>
    <w:p w14:paraId="186E355D">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15.3.1供应商的竞争性磋商报价应符合以下要求，否则响应文件按无效响应处理：</w:t>
      </w:r>
    </w:p>
    <w:p w14:paraId="1A0932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（1）供应商必须就“采购需求”中所竞标的每个分标的全部内容分别作完整唯一总价报价，不得存在漏项报价；</w:t>
      </w:r>
    </w:p>
    <w:p w14:paraId="0E985983">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（2）供应商必须就所竞标的分标的单项内容作唯一报价。</w:t>
      </w:r>
    </w:p>
    <w:p w14:paraId="5412176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15.3.2</w:t>
      </w:r>
      <w:r>
        <w:rPr>
          <w:rFonts w:hint="eastAsia" w:ascii="宋体" w:hAnsi="宋体" w:cs="宋体"/>
          <w:color w:val="auto"/>
          <w:sz w:val="24"/>
          <w:highlight w:val="none"/>
        </w:rPr>
        <w:t>竞争性磋商报价（包含首次报价、最后报价）超过所开展竞争性磋商分标规定的采购预算金额或者最高限价的，其响应文件将按无效响应处理。</w:t>
      </w:r>
      <w:bookmarkStart w:id="24" w:name="_Hlk42592874"/>
    </w:p>
    <w:p w14:paraId="580BB067">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15.3.3</w:t>
      </w:r>
      <w:r>
        <w:rPr>
          <w:rFonts w:hint="eastAsia" w:ascii="宋体" w:hAnsi="宋体" w:cs="宋体"/>
          <w:color w:val="auto"/>
          <w:sz w:val="24"/>
          <w:highlight w:val="none"/>
        </w:rPr>
        <w:t>竞争性磋商报价（包含首次报价、最后报价）超过分项采购预算金额或者最高限价的，其响应文件将按无效处理。</w:t>
      </w:r>
    </w:p>
    <w:bookmarkEnd w:id="24"/>
    <w:p w14:paraId="2E5F2579">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16.竞争性磋商有效期</w:t>
      </w:r>
    </w:p>
    <w:p w14:paraId="7F556D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16.1竞争性磋商有效期是指为保证采购人有足够的时间在提交响应文件后完成评审、确定成交供应商、合同签订等工作而要求供应商提交的响应文件在一定时间内保持有效的期限。</w:t>
      </w:r>
    </w:p>
    <w:p w14:paraId="433BADB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竞争性磋商有效期应由供应商按“供应商须知前附表”规定的期限作出响应。</w:t>
      </w:r>
    </w:p>
    <w:p w14:paraId="07BBC0AD">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16.3供应商的响应文件在竞争性磋商有效期内均保持有效。</w:t>
      </w:r>
    </w:p>
    <w:p w14:paraId="699874C2">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2D891D89">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17.1供应商须按“供应商须知前附表”的规定提交磋商保证金。</w:t>
      </w:r>
    </w:p>
    <w:p w14:paraId="1D52183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17.2磋商保证金的退还</w:t>
      </w:r>
    </w:p>
    <w:p w14:paraId="639458E8">
      <w:pPr>
        <w:spacing w:line="360" w:lineRule="auto"/>
        <w:ind w:firstLine="480" w:firstLineChars="200"/>
        <w:rPr>
          <w:rFonts w:ascii="宋体" w:hAnsi="宋体" w:cs="宋体"/>
          <w:color w:val="auto"/>
          <w:sz w:val="24"/>
          <w:highlight w:val="none"/>
        </w:rPr>
      </w:pPr>
      <w:bookmarkStart w:id="25" w:name="_Hlk66782243"/>
      <w:r>
        <w:rPr>
          <w:rFonts w:hint="eastAsia" w:ascii="宋体" w:hAnsi="宋体" w:cs="宋体"/>
          <w:color w:val="auto"/>
          <w:sz w:val="24"/>
          <w:highlight w:val="none"/>
        </w:rPr>
        <w:t>未</w:t>
      </w:r>
      <w:r>
        <w:rPr>
          <w:rFonts w:hint="eastAsia" w:ascii="宋体" w:hAnsi="宋体" w:cs="宋体"/>
          <w:color w:val="auto"/>
          <w:spacing w:val="-6"/>
          <w:sz w:val="24"/>
          <w:highlight w:val="none"/>
        </w:rPr>
        <w:t>成交供应商的磋商保证金自成交通知书发出之日起5个工作日内退还；</w:t>
      </w:r>
      <w:r>
        <w:rPr>
          <w:rFonts w:hint="eastAsia" w:ascii="宋体" w:hAnsi="宋体" w:cs="宋体"/>
          <w:color w:val="auto"/>
          <w:sz w:val="24"/>
          <w:highlight w:val="none"/>
        </w:rPr>
        <w:t>成交供应商的磋商保证金自签订合同之日起5个工作日内退还。</w:t>
      </w:r>
      <w:bookmarkEnd w:id="25"/>
      <w:r>
        <w:rPr>
          <w:rFonts w:hint="eastAsia" w:ascii="宋体" w:hAnsi="宋体" w:cs="宋体"/>
          <w:color w:val="auto"/>
          <w:sz w:val="24"/>
          <w:highlight w:val="none"/>
        </w:rPr>
        <w:t xml:space="preserve"> </w:t>
      </w:r>
    </w:p>
    <w:p w14:paraId="1226630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17.3磋商保证金不计息。</w:t>
      </w:r>
    </w:p>
    <w:p w14:paraId="11CF5211">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 xml:space="preserve">17.4供应商有下列情形之一的，磋商保证金将不予退还： </w:t>
      </w:r>
    </w:p>
    <w:p w14:paraId="21EF41FC">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（1）供应商在提交首次响应文件截止时间后撤回响应文件的；</w:t>
      </w:r>
    </w:p>
    <w:p w14:paraId="4471FD93">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（2）未按规定提交履约保证金的；</w:t>
      </w:r>
    </w:p>
    <w:p w14:paraId="5ADCACB2">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（3）供应商在响应文件中提供虚假材料的；</w:t>
      </w:r>
    </w:p>
    <w:p w14:paraId="305F5B9F">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（4）除因不可抗力或者磋商文件认可的情形以外，成交供应商不与采购人签订合同的；</w:t>
      </w:r>
    </w:p>
    <w:p w14:paraId="16D5A29A">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（5）供应商与采购人、其他供应商或者采购代理机构恶意串通的；</w:t>
      </w:r>
    </w:p>
    <w:p w14:paraId="3BD6307F">
      <w:pPr>
        <w:spacing w:line="360" w:lineRule="auto"/>
        <w:ind w:left="420" w:leftChars="200"/>
        <w:rPr>
          <w:rFonts w:ascii="宋体" w:hAnsi="宋体" w:cs="宋体"/>
          <w:color w:val="auto"/>
          <w:sz w:val="24"/>
          <w:highlight w:val="none"/>
        </w:rPr>
      </w:pPr>
      <w:r>
        <w:rPr>
          <w:rFonts w:hint="eastAsia" w:ascii="宋体" w:hAnsi="宋体" w:cs="宋体"/>
          <w:color w:val="auto"/>
          <w:sz w:val="24"/>
          <w:highlight w:val="none"/>
        </w:rPr>
        <w:t>（6）法律法规规定的其他情形。</w:t>
      </w:r>
    </w:p>
    <w:p w14:paraId="284DB0BB">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6FEF718C">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18.1供应商应按本磋商文件规定的格式和顺序编制响应文件并标注页码，响应文件内容</w:t>
      </w:r>
      <w:r>
        <w:rPr>
          <w:rFonts w:hint="eastAsia" w:ascii="宋体" w:hAnsi="宋体" w:cs="宋体"/>
          <w:color w:val="auto"/>
          <w:spacing w:val="-6"/>
          <w:sz w:val="24"/>
          <w:highlight w:val="none"/>
        </w:rPr>
        <w:t>不完整、编排混乱导致响应文件被误读、漏读或者查找不到相关内容的，</w:t>
      </w:r>
      <w:r>
        <w:rPr>
          <w:rFonts w:hint="eastAsia" w:ascii="宋体" w:hAnsi="宋体" w:cs="宋体"/>
          <w:color w:val="auto"/>
          <w:sz w:val="24"/>
          <w:highlight w:val="none"/>
        </w:rPr>
        <w:t>由此引发的</w:t>
      </w:r>
      <w:r>
        <w:rPr>
          <w:rFonts w:hint="eastAsia" w:ascii="宋体" w:hAnsi="宋体" w:cs="宋体"/>
          <w:color w:val="auto"/>
          <w:spacing w:val="-6"/>
          <w:sz w:val="24"/>
          <w:highlight w:val="none"/>
        </w:rPr>
        <w:t>后果由供应商承担。</w:t>
      </w:r>
    </w:p>
    <w:p w14:paraId="5A05B1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18.2响应文件应按资格证明文件、报价商务服务文件分别编制电子文件，并按广西政府采购云平台的要求编制、加密、上传。</w:t>
      </w:r>
    </w:p>
    <w:p w14:paraId="3C5AAD8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w:t>
      </w:r>
      <w:bookmarkStart w:id="26" w:name="_Hlk65832699"/>
      <w:r>
        <w:rPr>
          <w:rFonts w:hint="eastAsia" w:ascii="宋体" w:hAnsi="宋体" w:cs="宋体"/>
          <w:color w:val="auto"/>
          <w:sz w:val="24"/>
          <w:highlight w:val="none"/>
        </w:rPr>
        <w:t>3响应文件须由供应商在规定位置盖公章并签字</w:t>
      </w:r>
      <w:bookmarkStart w:id="27" w:name="_Hlk65832569"/>
      <w:r>
        <w:rPr>
          <w:rFonts w:hint="eastAsia" w:ascii="宋体" w:hAnsi="宋体" w:cs="宋体"/>
          <w:color w:val="auto"/>
          <w:sz w:val="24"/>
          <w:highlight w:val="none"/>
        </w:rPr>
        <w:t>（具体以供应商须知前附表或响应文件格式规定为准）</w:t>
      </w:r>
      <w:bookmarkEnd w:id="26"/>
      <w:bookmarkEnd w:id="27"/>
      <w:r>
        <w:rPr>
          <w:rFonts w:hint="eastAsia" w:ascii="宋体" w:hAnsi="宋体" w:cs="宋体"/>
          <w:color w:val="auto"/>
          <w:sz w:val="24"/>
          <w:highlight w:val="none"/>
        </w:rPr>
        <w:t>，否则其响应文件按无效响应处理。</w:t>
      </w:r>
    </w:p>
    <w:p w14:paraId="5B76EE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18.4响应文件中标注的供应商名称应与营业执照（事业单位法人证书、执业许可证、自然人身份证）及公章一致，否则其响应文件按无效响应处理。</w:t>
      </w:r>
    </w:p>
    <w:p w14:paraId="26D546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AB3ABA8">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19.响应文件的加密、解密及电子备份响应文件</w:t>
      </w:r>
    </w:p>
    <w:p w14:paraId="331EEB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19.1电子响应文件编制完成后，供应商应按广西政府采购云平台的要求进行加密，并在规定时间内解密，否则，由此产生的后果由供应商自行负责。</w:t>
      </w:r>
    </w:p>
    <w:p w14:paraId="472BAB29">
      <w:pPr>
        <w:spacing w:line="360" w:lineRule="auto"/>
        <w:ind w:firstLine="480" w:firstLineChars="200"/>
        <w:rPr>
          <w:color w:val="auto"/>
          <w:highlight w:val="none"/>
        </w:rPr>
      </w:pPr>
      <w:r>
        <w:rPr>
          <w:rFonts w:ascii="宋体" w:hAnsi="宋体" w:cs="宋体"/>
          <w:color w:val="auto"/>
          <w:sz w:val="24"/>
          <w:highlight w:val="none"/>
        </w:rPr>
        <w:t>19.2</w:t>
      </w:r>
      <w:r>
        <w:rPr>
          <w:rFonts w:hint="eastAsia" w:ascii="宋体" w:hAnsi="宋体" w:cs="宋体"/>
          <w:color w:val="auto"/>
          <w:sz w:val="24"/>
          <w:highlight w:val="none"/>
        </w:rPr>
        <w:t>电子备份响应文件是指通过“广西政府采购云平台电子投标客户端”在线编制生成且后缀名为“</w:t>
      </w:r>
      <w:r>
        <w:rPr>
          <w:rFonts w:ascii="宋体" w:hAnsi="宋体" w:cs="宋体"/>
          <w:color w:val="auto"/>
          <w:sz w:val="24"/>
          <w:highlight w:val="none"/>
        </w:rPr>
        <w:t>bfbs</w:t>
      </w:r>
      <w:r>
        <w:rPr>
          <w:rFonts w:hint="eastAsia" w:ascii="宋体" w:hAnsi="宋体" w:cs="宋体"/>
          <w:color w:val="auto"/>
          <w:sz w:val="24"/>
          <w:highlight w:val="none"/>
        </w:rPr>
        <w:t>”的文件，是否接受电子备份响应文件详见在“供应商须知前附表”。</w:t>
      </w:r>
    </w:p>
    <w:p w14:paraId="5FC0BB03">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1608B92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20.1供应商必须在“供应商须知前附表”规定的时间和地点提交响应文件。</w:t>
      </w:r>
    </w:p>
    <w:p w14:paraId="5CC6B423">
      <w:pPr>
        <w:widowControl/>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20.2本项目为全流程电子化政府采购项目，通过广西政府采购云平台（https://www.gcy.zfcg.gxzf.gov.cn/）实行在线电子竞争性磋商，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w:t>
      </w:r>
      <w:r>
        <w:rPr>
          <w:rFonts w:hint="eastAsia" w:ascii="宋体" w:hAnsi="宋体" w:cs="宋体"/>
          <w:b/>
          <w:color w:val="auto"/>
          <w:sz w:val="24"/>
          <w:highlight w:val="none"/>
        </w:rPr>
        <w:t>供应商在广西政府采购云平台提交电子版响应文件时，请填写参加远程开标活动经办人联系方式。</w:t>
      </w:r>
    </w:p>
    <w:p w14:paraId="3636C65D">
      <w:pPr>
        <w:pStyle w:val="5"/>
        <w:keepNext w:val="0"/>
        <w:keepLines w:val="0"/>
        <w:spacing w:before="0" w:after="0" w:line="360" w:lineRule="auto"/>
        <w:ind w:firstLine="480" w:firstLineChars="200"/>
        <w:jc w:val="left"/>
        <w:rPr>
          <w:rFonts w:ascii="宋体" w:hAnsi="宋体" w:cs="宋体"/>
          <w:b w:val="0"/>
          <w:color w:val="auto"/>
          <w:sz w:val="24"/>
          <w:szCs w:val="24"/>
          <w:highlight w:val="none"/>
        </w:rPr>
      </w:pPr>
      <w:r>
        <w:rPr>
          <w:rFonts w:hint="eastAsia" w:ascii="宋体" w:hAnsi="宋体" w:cs="宋体"/>
          <w:b w:val="0"/>
          <w:color w:val="auto"/>
          <w:sz w:val="24"/>
          <w:szCs w:val="24"/>
          <w:highlight w:val="none"/>
        </w:rPr>
        <w:t>20.3未在规定时间内上传或者未按广西政府采购云平台的要求编制、加密的电子响应文件，广西政府采购云平台将拒收。</w:t>
      </w:r>
    </w:p>
    <w:p w14:paraId="31118A5F">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20.4电子响应文件提交方</w:t>
      </w:r>
      <w:r>
        <w:rPr>
          <w:rFonts w:hint="eastAsia" w:ascii="宋体" w:hAnsi="宋体" w:cs="宋体"/>
          <w:bCs/>
          <w:color w:val="auto"/>
          <w:sz w:val="24"/>
          <w:szCs w:val="24"/>
          <w:highlight w:val="none"/>
        </w:rPr>
        <w:t>式见“竞争性磋商公告”</w:t>
      </w:r>
      <w:r>
        <w:rPr>
          <w:rFonts w:hint="eastAsia" w:ascii="宋体" w:hAnsi="宋体" w:cs="宋体"/>
          <w:color w:val="auto"/>
          <w:sz w:val="24"/>
          <w:szCs w:val="24"/>
          <w:highlight w:val="none"/>
        </w:rPr>
        <w:t>中“四、响应文件提交”。</w:t>
      </w:r>
    </w:p>
    <w:p w14:paraId="7645F780">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69356CFA">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21.1供应商应当在首次响应文件提交截止时间前完成电子响应文件的上传、提交，首次响应文件提交截止时间前可以补充、修改或者撤回响应文件。补充或者修改响应文件的，应当先行撤回原文件，补充、修改后重新上传、提交。首次响应文件提交截止时间前未完成上传、提交的，视为撤回响应文件。首次响应文件提交截止时间以后上传提交的响应文件，广西政府采购云平台将予以拒收。</w:t>
      </w:r>
    </w:p>
    <w:p w14:paraId="5A9D7E6E">
      <w:pPr>
        <w:spacing w:line="360" w:lineRule="auto"/>
        <w:ind w:firstLine="482" w:firstLineChars="200"/>
        <w:outlineLvl w:val="2"/>
        <w:rPr>
          <w:rFonts w:ascii="宋体" w:hAnsi="宋体" w:cs="宋体"/>
          <w:b/>
          <w:bCs/>
          <w:color w:val="auto"/>
          <w:sz w:val="24"/>
          <w:highlight w:val="none"/>
        </w:rPr>
      </w:pPr>
      <w:bookmarkStart w:id="28" w:name="_Hlk45702405"/>
      <w:r>
        <w:rPr>
          <w:rFonts w:hint="eastAsia" w:ascii="宋体" w:hAnsi="宋体" w:cs="宋体"/>
          <w:b/>
          <w:bCs/>
          <w:color w:val="auto"/>
          <w:sz w:val="24"/>
          <w:highlight w:val="none"/>
        </w:rPr>
        <w:t>22.首次响应文件的退回</w:t>
      </w:r>
    </w:p>
    <w:p w14:paraId="2D1FE9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22.1在首次响应文件提交截止时间止提交响应文件的供应商不足3家时，采购代理机构将根据广西政府采购云平台的操作将电子版响应文件退回，除此之外采购人和采购代理机构对已提交的电子响应文件概不退回。</w:t>
      </w:r>
    </w:p>
    <w:p w14:paraId="2130A4EB">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219E68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23.1供应商在首次响应文件提交截止时间后书面通知采购人、采购代理机构书面撤回响应文件的，将根据本磋商文件《供应商须知正文》第17.4条的规定不予退还其磋商保证金。</w:t>
      </w:r>
    </w:p>
    <w:bookmarkEnd w:id="28"/>
    <w:p w14:paraId="738E09AB">
      <w:pPr>
        <w:spacing w:line="360" w:lineRule="auto"/>
        <w:jc w:val="center"/>
        <w:outlineLvl w:val="1"/>
        <w:rPr>
          <w:rFonts w:ascii="宋体" w:hAnsi="宋体" w:cs="宋体"/>
          <w:b/>
          <w:bCs/>
          <w:color w:val="auto"/>
          <w:sz w:val="24"/>
          <w:highlight w:val="none"/>
        </w:rPr>
      </w:pPr>
      <w:r>
        <w:rPr>
          <w:rFonts w:hint="eastAsia" w:ascii="宋体" w:hAnsi="宋体" w:cs="宋体"/>
          <w:b/>
          <w:bCs/>
          <w:color w:val="auto"/>
          <w:sz w:val="24"/>
          <w:highlight w:val="none"/>
        </w:rPr>
        <w:t>四、评审及磋商</w:t>
      </w:r>
    </w:p>
    <w:p w14:paraId="1CE73E67">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542AAD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EC72D7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EFB0CC9">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631A6F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25.1首次响应文件由磋商小组或者采购代理机构在“供应商须知前附表”规定的时间开启。</w:t>
      </w:r>
    </w:p>
    <w:p w14:paraId="29B02D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 w:val="24"/>
          <w:highlight w:val="none"/>
        </w:rPr>
        <w:t>供应商的法定代表人或其委托代理人须携带加密时所用的CA锁按平台提示和采购文件的规定登录到广西政府采购云平台电子开标大厅签到并在发起解密指令之时起30分钟内完成对电子响应文件在线解密。</w:t>
      </w:r>
      <w:r>
        <w:rPr>
          <w:rFonts w:hint="eastAsia" w:ascii="宋体" w:hAnsi="宋体" w:cs="宋体"/>
          <w:b/>
          <w:bCs/>
          <w:color w:val="auto"/>
          <w:sz w:val="24"/>
          <w:highlight w:val="none"/>
        </w:rPr>
        <w:t>响应文件未按时解密的，</w:t>
      </w:r>
      <w:r>
        <w:rPr>
          <w:rFonts w:hint="eastAsia" w:ascii="宋体" w:hAnsi="宋体" w:cs="宋体"/>
          <w:b/>
          <w:color w:val="auto"/>
          <w:sz w:val="24"/>
          <w:highlight w:val="none"/>
        </w:rPr>
        <w:t>视为响应</w:t>
      </w:r>
      <w:r>
        <w:rPr>
          <w:rFonts w:hint="eastAsia" w:ascii="宋体" w:hAnsi="宋体" w:cs="宋体"/>
          <w:b/>
          <w:bCs/>
          <w:color w:val="auto"/>
          <w:sz w:val="24"/>
          <w:highlight w:val="none"/>
        </w:rPr>
        <w:t>文件无效。</w:t>
      </w:r>
      <w:r>
        <w:rPr>
          <w:rFonts w:hint="eastAsia" w:ascii="宋体" w:hAnsi="宋体" w:cs="宋体"/>
          <w:color w:val="auto"/>
          <w:sz w:val="24"/>
          <w:highlight w:val="none"/>
        </w:rPr>
        <w:t>（解密异常情况处理：详见本章26.</w:t>
      </w:r>
      <w:r>
        <w:rPr>
          <w:rFonts w:ascii="宋体" w:hAnsi="宋体" w:cs="宋体"/>
          <w:color w:val="auto"/>
          <w:sz w:val="24"/>
          <w:highlight w:val="none"/>
        </w:rPr>
        <w:t>3</w:t>
      </w:r>
      <w:r>
        <w:rPr>
          <w:rFonts w:hint="eastAsia" w:ascii="宋体" w:hAnsi="宋体" w:cs="宋体"/>
          <w:color w:val="auto"/>
          <w:sz w:val="24"/>
          <w:highlight w:val="none"/>
        </w:rPr>
        <w:t>电子交易活动的中止。）</w:t>
      </w:r>
    </w:p>
    <w:p w14:paraId="164B2DEF">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25.3成功解密响应文件的供应商不足3家的，不得磋商。</w:t>
      </w:r>
    </w:p>
    <w:p w14:paraId="222F8385">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52AFA5E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26.1磋商小组按照“第四章 评审程序、评审方法和评审标准”规定的方法、评审因素、标准和程序对响应文件进行评审。</w:t>
      </w:r>
    </w:p>
    <w:p w14:paraId="1755FCF6">
      <w:pPr>
        <w:spacing w:line="360" w:lineRule="auto"/>
        <w:ind w:firstLine="480" w:firstLineChars="200"/>
        <w:rPr>
          <w:color w:val="auto"/>
          <w:highlight w:val="none"/>
        </w:rPr>
      </w:pPr>
      <w:r>
        <w:rPr>
          <w:rFonts w:hint="eastAsia" w:ascii="宋体" w:hAnsi="宋体" w:cs="宋体"/>
          <w:color w:val="auto"/>
          <w:sz w:val="24"/>
          <w:highlight w:val="none"/>
        </w:rPr>
        <w:t>26.</w:t>
      </w:r>
      <w:r>
        <w:rPr>
          <w:rFonts w:ascii="宋体" w:hAnsi="宋体" w:cs="宋体"/>
          <w:color w:val="auto"/>
          <w:sz w:val="24"/>
          <w:highlight w:val="none"/>
        </w:rPr>
        <w:t>2</w:t>
      </w:r>
      <w:r>
        <w:rPr>
          <w:rFonts w:hint="eastAsia" w:ascii="宋体" w:hAnsi="宋体" w:cs="宋体"/>
          <w:color w:val="auto"/>
          <w:sz w:val="24"/>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7B5288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3</w:t>
      </w:r>
      <w:r>
        <w:rPr>
          <w:rFonts w:hint="eastAsia" w:ascii="宋体" w:hAnsi="宋体" w:cs="宋体"/>
          <w:color w:val="auto"/>
          <w:sz w:val="24"/>
          <w:highlight w:val="none"/>
        </w:rPr>
        <w:t>电子交易活动的中止。采购过程中出现以下情形，导致电子交易平台无法正常运行，或者无法保证电子交易的公平、公正和安全时，采购机构可中止电子交易活动：</w:t>
      </w:r>
    </w:p>
    <w:p w14:paraId="2A851F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（1）电子交易平台发生故障而无法登录访问的； </w:t>
      </w:r>
    </w:p>
    <w:p w14:paraId="33C1A3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（2）电子交易平台应用或数据库出现错误，不能进行正常操作的；</w:t>
      </w:r>
    </w:p>
    <w:p w14:paraId="7F2DF4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（3）电子交易平台发现严重安全漏洞，有潜在泄密危险的；</w:t>
      </w:r>
    </w:p>
    <w:p w14:paraId="7EBFA1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（4）病毒发作导致不能进行正常操作的； </w:t>
      </w:r>
    </w:p>
    <w:p w14:paraId="50C522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）其他无法保证电子交易的公平、公正和安全的情况。</w:t>
      </w:r>
    </w:p>
    <w:p w14:paraId="144BA9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ascii="宋体" w:hAnsi="宋体" w:cs="宋体"/>
          <w:color w:val="auto"/>
          <w:sz w:val="24"/>
          <w:highlight w:val="none"/>
        </w:rPr>
        <w:t>4</w:t>
      </w:r>
      <w:r>
        <w:rPr>
          <w:rFonts w:hint="eastAsia" w:ascii="宋体" w:hAnsi="宋体" w:cs="宋体"/>
          <w:color w:val="auto"/>
          <w:sz w:val="24"/>
          <w:highlight w:val="none"/>
        </w:rPr>
        <w:t>出现以上情形，不影响采购公平、公正性的，采购代理机构可以待上述情形消除后继续组织电子交易活动；影响或可能影响采购公平、公正性的，经采购代理机构确认后，应当重新采购。</w:t>
      </w:r>
    </w:p>
    <w:p w14:paraId="69D47421">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8AF0A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w:t>
      </w:r>
      <w:r>
        <w:rPr>
          <w:rFonts w:hint="eastAsia" w:ascii="宋体" w:hAnsi="宋体" w:cs="宋体"/>
          <w:color w:val="auto"/>
          <w:kern w:val="0"/>
          <w:sz w:val="24"/>
          <w:highlight w:val="none"/>
        </w:rPr>
        <w:t xml:space="preserve"> </w:t>
      </w:r>
      <w:r>
        <w:rPr>
          <w:rFonts w:hint="eastAsia" w:ascii="宋体" w:hAnsi="宋体" w:cs="宋体"/>
          <w:color w:val="auto"/>
          <w:sz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54EEB88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27.2采购代理机构应当在</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供应商确定后2个工作日内，在省级以上财政部门指定的媒体上公告成交结果，同时向成交供应商发出成交通知书。</w:t>
      </w:r>
      <w:r>
        <w:rPr>
          <w:rFonts w:hint="eastAsia" w:ascii="宋体" w:hAnsi="宋体" w:cs="宋体"/>
          <w:b/>
          <w:color w:val="auto"/>
          <w:sz w:val="24"/>
          <w:highlight w:val="none"/>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sz w:val="24"/>
          <w:highlight w:val="none"/>
        </w:rPr>
        <w:t>排名第二的成交候选人因上述规定的同样原因被取消成交资格的，采购人可以确定排名第三的成交候选人为成交供应商，以此类推。以上信息查询记录及相关证据与磋商文件一并保存。</w:t>
      </w:r>
      <w:bookmarkStart w:id="29" w:name="_Hlk66782294"/>
      <w:r>
        <w:rPr>
          <w:rFonts w:hint="eastAsia" w:ascii="宋体" w:hAnsi="宋体" w:cs="宋体"/>
          <w:color w:val="auto"/>
          <w:sz w:val="24"/>
          <w:highlight w:val="none"/>
        </w:rPr>
        <w:t>成交供应商享受《政府采购促进中小企业发展管理办法》（财库〔2020〕46号）及《关于进一步加大政府采购支持中小企业力度的通知》（财库〔2022〕19号）规定的中小企业扶持政策的，采购人、采购代理机构应当随成交结果公开成交供应商的《中小企业声明函》。</w:t>
      </w:r>
      <w:bookmarkEnd w:id="29"/>
    </w:p>
    <w:p w14:paraId="56061A3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成交供应商拒绝签订政府采购合同（包括但不限于放弃成交、因不可抗力不能履行合同而放弃签订合同），采购人可以按照评审报告推荐的成交候选人名单排序，确定下一候选人为成交供应商，也可以重新开展政府采购活动。拒绝签订政府采购合同的成交供应商不得参加对该项目重新开展的采购活动。</w:t>
      </w:r>
    </w:p>
    <w:p w14:paraId="18E5B11A">
      <w:pPr>
        <w:pStyle w:val="11"/>
        <w:spacing w:line="360" w:lineRule="auto"/>
        <w:ind w:firstLine="482" w:firstLineChars="200"/>
        <w:rPr>
          <w:b/>
          <w:color w:val="auto"/>
          <w:highlight w:val="none"/>
        </w:rPr>
      </w:pPr>
      <w:r>
        <w:rPr>
          <w:rFonts w:hint="eastAsia" w:ascii="宋体" w:hAnsi="宋体" w:cs="宋体"/>
          <w:b/>
          <w:color w:val="auto"/>
          <w:sz w:val="24"/>
          <w:highlight w:val="none"/>
        </w:rPr>
        <w:t>成交供应商拒绝与采购人签订合同的，其投标保证金不予退还，并上缴国库。给采购人造成损失，或（并）因此延误采购人教学科研计划的，须依据《中华人民共和国民法典》第五百条、《政府采购非招标采购方式管理办法（财政部令第</w:t>
      </w:r>
      <w:r>
        <w:rPr>
          <w:rFonts w:ascii="宋体" w:hAnsi="宋体" w:cs="宋体"/>
          <w:b/>
          <w:color w:val="auto"/>
          <w:sz w:val="24"/>
          <w:highlight w:val="none"/>
        </w:rPr>
        <w:t>74号）》第二十二条、第五十四条规定承担赔偿损失等法律责任，采购人有权将成交供应商的失信行为报财政部门记入诚信档案，以示惩戒。</w:t>
      </w:r>
    </w:p>
    <w:p w14:paraId="24DAD6B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27.4</w:t>
      </w:r>
      <w:r>
        <w:rPr>
          <w:rFonts w:hint="eastAsia" w:ascii="宋体" w:hAnsi="宋体" w:cs="宋体"/>
          <w:color w:val="auto"/>
          <w:sz w:val="24"/>
          <w:highlight w:val="none"/>
        </w:rPr>
        <w:t>出现下列情形之一的，采购人或者采购代理机构应当终止竞争性磋商采购活动，发布项目终止公告并说明原因，重新开展采购活动：</w:t>
      </w:r>
    </w:p>
    <w:p w14:paraId="308AF2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）因情况变化，不再符合规定的竞争性磋商采购方式适用情形的；</w:t>
      </w:r>
    </w:p>
    <w:p w14:paraId="589E143C">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）出现影响采购公正的违法、违规行为的；</w:t>
      </w:r>
    </w:p>
    <w:p w14:paraId="64B535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）除“第四章</w:t>
      </w:r>
      <w:r>
        <w:rPr>
          <w:rFonts w:ascii="宋体" w:hAnsi="宋体" w:cs="宋体"/>
          <w:color w:val="auto"/>
          <w:sz w:val="24"/>
          <w:highlight w:val="none"/>
        </w:rPr>
        <w:t xml:space="preserve"> </w:t>
      </w:r>
      <w:r>
        <w:rPr>
          <w:rFonts w:hint="eastAsia" w:ascii="宋体" w:hAnsi="宋体" w:cs="宋体"/>
          <w:color w:val="auto"/>
          <w:sz w:val="24"/>
          <w:highlight w:val="none"/>
        </w:rPr>
        <w:t>评审程序、评审方法和评审标准”第</w:t>
      </w:r>
      <w:r>
        <w:rPr>
          <w:rFonts w:ascii="宋体" w:hAnsi="宋体" w:cs="宋体"/>
          <w:color w:val="auto"/>
          <w:sz w:val="24"/>
          <w:highlight w:val="none"/>
        </w:rPr>
        <w:t>4.3</w:t>
      </w:r>
      <w:r>
        <w:rPr>
          <w:rFonts w:hint="eastAsia" w:ascii="宋体" w:hAnsi="宋体" w:cs="宋体"/>
          <w:color w:val="auto"/>
          <w:sz w:val="24"/>
          <w:highlight w:val="none"/>
        </w:rPr>
        <w:t>条规定的情形外，在采购过程中符合要求的供应商或者报价未超过采购预算的供应商不足</w:t>
      </w:r>
      <w:r>
        <w:rPr>
          <w:rFonts w:ascii="宋体" w:hAnsi="宋体" w:cs="宋体"/>
          <w:color w:val="auto"/>
          <w:sz w:val="24"/>
          <w:highlight w:val="none"/>
        </w:rPr>
        <w:t>3</w:t>
      </w:r>
      <w:r>
        <w:rPr>
          <w:rFonts w:hint="eastAsia" w:ascii="宋体" w:hAnsi="宋体" w:cs="宋体"/>
          <w:color w:val="auto"/>
          <w:sz w:val="24"/>
          <w:highlight w:val="none"/>
        </w:rPr>
        <w:t>家的。</w:t>
      </w:r>
    </w:p>
    <w:p w14:paraId="4F8D19C9">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27.5 </w:t>
      </w:r>
      <w:r>
        <w:rPr>
          <w:rFonts w:hint="eastAsia" w:ascii="宋体" w:hAnsi="宋体" w:cs="宋体"/>
          <w:color w:val="auto"/>
          <w:sz w:val="24"/>
          <w:highlight w:val="none"/>
        </w:rPr>
        <w:t>在采购活动中因重大变故，采购任务取消的，采购人或者采购代理机构应当终止采购活动，通知所有参加采购活动的供应商，并将项目实施情况和采购任务取消原因报送本级财政部门。</w:t>
      </w:r>
    </w:p>
    <w:p w14:paraId="026D3C0D">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18167B25">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28.1 履约保证金的金额、提交方式、退付的时间和条件详见 “供应商须知前附表”。成交供应商未按规定提交履约保证金的，视为拒绝与采购人签订合同。</w:t>
      </w:r>
    </w:p>
    <w:p w14:paraId="7E444458">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28.2在履约保证金退还日期前，若成交供应商的开户名称、开户银行、</w:t>
      </w:r>
      <w:r>
        <w:rPr>
          <w:rFonts w:hint="eastAsia" w:ascii="宋体" w:hAnsi="宋体" w:cs="宋体"/>
          <w:color w:val="auto"/>
          <w:sz w:val="24"/>
          <w:highlight w:val="none"/>
          <w:lang w:eastAsia="zh-CN"/>
        </w:rPr>
        <w:t>账号</w:t>
      </w:r>
      <w:r>
        <w:rPr>
          <w:rFonts w:hint="eastAsia" w:ascii="宋体" w:hAnsi="宋体" w:cs="宋体"/>
          <w:color w:val="auto"/>
          <w:sz w:val="24"/>
          <w:highlight w:val="none"/>
        </w:rPr>
        <w:t>有变动的，请以书面形式通知履约保证金收取单位，否则由此产生的后果由成交供应商自行承担。</w:t>
      </w:r>
    </w:p>
    <w:p w14:paraId="455E9A6B">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29.签订合同</w:t>
      </w:r>
    </w:p>
    <w:p w14:paraId="22942960">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29.1成交供应商在收到成交通知书（书面或电子）后，应当在签订合同时向采购人出示相关证明材料，具体内容详见 “供应商须知前附表”，经采购人核验合格后方可签订合同（书面或电子）。如成交供应商为联合体的，联合体各方应当共同与采购人签订采购合同，就采购合同约定的事项对采购人承担连带责任。</w:t>
      </w:r>
    </w:p>
    <w:p w14:paraId="780AE50E">
      <w:pPr>
        <w:spacing w:line="360" w:lineRule="auto"/>
        <w:ind w:firstLine="484" w:firstLineChars="202"/>
        <w:rPr>
          <w:rFonts w:ascii="宋体" w:hAnsi="宋体" w:cs="宋体"/>
          <w:color w:val="auto"/>
          <w:sz w:val="24"/>
          <w:highlight w:val="none"/>
        </w:rPr>
      </w:pPr>
      <w:r>
        <w:rPr>
          <w:rFonts w:hint="eastAsia" w:ascii="宋体" w:hAnsi="宋体" w:cs="宋体"/>
          <w:color w:val="auto"/>
          <w:sz w:val="24"/>
          <w:highlight w:val="none"/>
        </w:rPr>
        <w:t>29.2签订合同时间：按成交通知书规定的时间与采购人签订政府采购合同（最长不能超过25日）。</w:t>
      </w:r>
    </w:p>
    <w:p w14:paraId="2702F116">
      <w:pPr>
        <w:spacing w:line="360" w:lineRule="auto"/>
        <w:ind w:firstLine="487" w:firstLineChars="202"/>
        <w:rPr>
          <w:rFonts w:ascii="宋体" w:hAnsi="宋体" w:cs="宋体"/>
          <w:b/>
          <w:color w:val="auto"/>
          <w:sz w:val="24"/>
          <w:highlight w:val="none"/>
        </w:rPr>
      </w:pPr>
      <w:r>
        <w:rPr>
          <w:rFonts w:ascii="宋体" w:hAnsi="宋体" w:cs="宋体"/>
          <w:b/>
          <w:color w:val="auto"/>
          <w:sz w:val="24"/>
          <w:highlight w:val="none"/>
        </w:rPr>
        <w:t>29.3成交供应</w:t>
      </w:r>
      <w:r>
        <w:rPr>
          <w:rFonts w:hint="eastAsia" w:ascii="宋体" w:hAnsi="宋体" w:cs="宋体"/>
          <w:b/>
          <w:color w:val="auto"/>
          <w:sz w:val="24"/>
          <w:highlight w:val="none"/>
        </w:rPr>
        <w:t>商拒绝与采购人签订合同的，按照本磋商文件之《供应商须知正文》第</w:t>
      </w:r>
      <w:r>
        <w:rPr>
          <w:rFonts w:ascii="宋体" w:hAnsi="宋体" w:cs="宋体"/>
          <w:b/>
          <w:color w:val="auto"/>
          <w:sz w:val="24"/>
          <w:highlight w:val="none"/>
        </w:rPr>
        <w:t>27.3条的规定执行。</w:t>
      </w:r>
    </w:p>
    <w:p w14:paraId="41A8F7B6">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29.4</w:t>
      </w:r>
      <w:r>
        <w:rPr>
          <w:rFonts w:hint="eastAsia" w:ascii="宋体" w:hAnsi="宋体" w:cs="宋体"/>
          <w:color w:val="auto"/>
          <w:sz w:val="24"/>
          <w:highlight w:val="none"/>
        </w:rPr>
        <w:t>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BCBB5F">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29.5</w:t>
      </w:r>
      <w:r>
        <w:rPr>
          <w:rFonts w:hint="eastAsia" w:ascii="宋体" w:hAnsi="宋体" w:cs="宋体"/>
          <w:color w:val="auto"/>
          <w:sz w:val="24"/>
          <w:highlight w:val="none"/>
        </w:rPr>
        <w:t>采购人或成交供应商不得单方面向合同另一方提出任何磋商文件没有约定的条件或不合理的要求，作为签订合同的条件；也不得协商另行订立背离磋商文件和合同实质性内容的协议。</w:t>
      </w:r>
    </w:p>
    <w:p w14:paraId="136D63AA">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rPr>
        <w:t>如签订合同并生效后，供应商无故拒绝或延期，除按照合同条款处理外，将承担相应的法律责任。</w:t>
      </w:r>
    </w:p>
    <w:p w14:paraId="77ED30EC">
      <w:pPr>
        <w:spacing w:line="360" w:lineRule="auto"/>
        <w:ind w:firstLine="484" w:firstLineChars="202"/>
        <w:rPr>
          <w:rFonts w:ascii="宋体" w:hAnsi="宋体" w:cs="宋体"/>
          <w:color w:val="auto"/>
          <w:sz w:val="24"/>
          <w:highlight w:val="none"/>
        </w:rPr>
      </w:pPr>
      <w:r>
        <w:rPr>
          <w:rFonts w:ascii="宋体" w:hAnsi="宋体" w:cs="宋体"/>
          <w:color w:val="auto"/>
          <w:sz w:val="24"/>
          <w:highlight w:val="none"/>
        </w:rPr>
        <w:t>29.7</w:t>
      </w:r>
      <w:r>
        <w:rPr>
          <w:rFonts w:hint="eastAsia" w:ascii="宋体" w:hAnsi="宋体" w:cs="宋体"/>
          <w:color w:val="auto"/>
          <w:sz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w:t>
      </w:r>
      <w:r>
        <w:rPr>
          <w:rFonts w:ascii="宋体" w:hAnsi="宋体" w:cs="宋体"/>
          <w:color w:val="auto"/>
          <w:sz w:val="24"/>
          <w:highlight w:val="none"/>
        </w:rPr>
        <w:t>10%</w:t>
      </w:r>
      <w:r>
        <w:rPr>
          <w:rFonts w:hint="eastAsia" w:ascii="宋体" w:hAnsi="宋体" w:cs="宋体"/>
          <w:color w:val="auto"/>
          <w:sz w:val="24"/>
          <w:highlight w:val="none"/>
        </w:rPr>
        <w:t>。</w:t>
      </w:r>
    </w:p>
    <w:p w14:paraId="4AFA951B">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72BED8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64740D65">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31.询问、质疑和投诉</w:t>
      </w:r>
    </w:p>
    <w:p w14:paraId="6E9D302E">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31.1供应商对政府采购活动事项有疑问的，可以向采购人、采购代理机构提出询问，采购人或者采购代理机构应当在3个工作日内对供应商依法提出的询问做出答复，但答复的内容不得涉及商业秘密。</w:t>
      </w:r>
    </w:p>
    <w:p w14:paraId="2D7AB2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31.2供应商认为磋商文件、采购过程或者成交结果使自己的合法权益受到损害的，应当在知道或者应知其权益受到损害之日起7个工作日内，以纸质书面形式向采购人、采购代理机构提出质疑，接收质疑函的方式、联系部门、联系电话和通讯地址等信息详见“供应商须知前附表”。具体质疑起算时间如下：</w:t>
      </w:r>
    </w:p>
    <w:p w14:paraId="54A0F0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（1）对可以质疑的磋商文件提出质疑的，为收到磋商文件之日或者竞争性磋商公告期限届满之日；</w:t>
      </w:r>
    </w:p>
    <w:p w14:paraId="77A87E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（2）对采购过程提出质疑的，为各采购程序环节结束之日；</w:t>
      </w:r>
    </w:p>
    <w:p w14:paraId="0F837A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（3）对成交结果提出质疑的，为成交结果公告期限届满之日。</w:t>
      </w:r>
    </w:p>
    <w:p w14:paraId="13F6DD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41405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sz w:val="24"/>
          <w:highlight w:val="none"/>
        </w:rPr>
        <w:t>（质疑函格式后附）</w:t>
      </w:r>
      <w:r>
        <w:rPr>
          <w:rFonts w:hint="eastAsia" w:ascii="宋体" w:hAnsi="宋体" w:cs="宋体"/>
          <w:color w:val="auto"/>
          <w:sz w:val="24"/>
          <w:highlight w:val="none"/>
        </w:rPr>
        <w:t>：</w:t>
      </w:r>
    </w:p>
    <w:p w14:paraId="7C4F06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（1）供应商的姓名或者名称、地址、邮编、联系人及联系电话；</w:t>
      </w:r>
    </w:p>
    <w:p w14:paraId="0E0A1D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（2）质疑项目的名称、编号；</w:t>
      </w:r>
    </w:p>
    <w:p w14:paraId="025F0C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（3）具体、明确的质疑事项和与质疑事项相关的请求；</w:t>
      </w:r>
    </w:p>
    <w:p w14:paraId="1F9273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（4）事实依据；</w:t>
      </w:r>
    </w:p>
    <w:p w14:paraId="421E19B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（5）必要的法律依据；</w:t>
      </w:r>
    </w:p>
    <w:p w14:paraId="226257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（6）提出质疑的日期。</w:t>
      </w:r>
    </w:p>
    <w:p w14:paraId="4ADDBD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供应商为自然人的，应当由本人签字；供应商为法人或者其他组织的，应当由法定代表人、主要负责人，或者其委托代理人签字或者盖章，并加盖公章。</w:t>
      </w:r>
    </w:p>
    <w:p w14:paraId="10AAAF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4BF8B8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（1）对采购文件提出的质疑，依法通过澄清或者修改可以继续开展采购活动的，澄清或者修改采购文件后继续开展采购活动；否则应当修改采购文件后重新开展采购活动。</w:t>
      </w:r>
    </w:p>
    <w:p w14:paraId="6532A25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（2）对采购过程或者成交结果提出的质疑，合格供应商符合法定数量时，可以从合格的成交候选人中另行确定成交供应商的，应当依法另行确定成交供应商；否则应当重新开展采购活动。</w:t>
      </w:r>
    </w:p>
    <w:p w14:paraId="0BAF61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质疑答复导致成交结果改变的，采购人或者采购代理机构应当将有关情况书面报告本级财政部门。</w:t>
      </w:r>
    </w:p>
    <w:p w14:paraId="588C008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14D2316">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32.其他内容</w:t>
      </w:r>
    </w:p>
    <w:p w14:paraId="647AF03E">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32.1代理服务费：代理服务收取标准及缴费账户详见“供应商须知前附表”，供应商为联合体的，可以由联合体中的一方或者多方共同交纳代理服务费。</w:t>
      </w:r>
    </w:p>
    <w:p w14:paraId="0BC3559F">
      <w:pPr>
        <w:tabs>
          <w:tab w:val="left" w:pos="2835"/>
        </w:tabs>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32.2代理服务费收费计算标准：</w:t>
      </w:r>
    </w:p>
    <w:p w14:paraId="0895CBE5">
      <w:pPr>
        <w:pStyle w:val="13"/>
        <w:rPr>
          <w:color w:val="auto"/>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3933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90EAA7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费率</w:t>
            </w:r>
          </w:p>
          <w:p w14:paraId="06BBB785">
            <w:pPr>
              <w:spacing w:line="360" w:lineRule="auto"/>
              <w:rPr>
                <w:rFonts w:ascii="宋体" w:hAnsi="宋体" w:cs="宋体"/>
                <w:color w:val="auto"/>
                <w:sz w:val="24"/>
                <w:highlight w:val="none"/>
              </w:rPr>
            </w:pPr>
            <w:r>
              <w:rPr>
                <w:rFonts w:hint="eastAsia" w:ascii="宋体" w:hAnsi="宋体" w:cs="宋体"/>
                <w:color w:val="auto"/>
                <w:sz w:val="24"/>
                <w:highlight w:val="none"/>
              </w:rPr>
              <w:t>金额（人民币）</w:t>
            </w:r>
          </w:p>
        </w:tc>
        <w:tc>
          <w:tcPr>
            <w:tcW w:w="1659" w:type="dxa"/>
            <w:vAlign w:val="center"/>
          </w:tcPr>
          <w:p w14:paraId="14328B02">
            <w:pPr>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货物类</w:t>
            </w:r>
          </w:p>
        </w:tc>
        <w:tc>
          <w:tcPr>
            <w:tcW w:w="1532" w:type="dxa"/>
            <w:vAlign w:val="center"/>
          </w:tcPr>
          <w:p w14:paraId="79D0BC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服务类</w:t>
            </w:r>
          </w:p>
        </w:tc>
        <w:tc>
          <w:tcPr>
            <w:tcW w:w="1546" w:type="dxa"/>
            <w:vAlign w:val="center"/>
          </w:tcPr>
          <w:p w14:paraId="27E60F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工程类</w:t>
            </w:r>
          </w:p>
        </w:tc>
      </w:tr>
      <w:tr w14:paraId="75BB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4036F61">
            <w:pPr>
              <w:spacing w:line="360" w:lineRule="auto"/>
              <w:rPr>
                <w:rFonts w:ascii="宋体" w:hAnsi="宋体" w:cs="宋体"/>
                <w:color w:val="auto"/>
                <w:sz w:val="24"/>
                <w:highlight w:val="none"/>
              </w:rPr>
            </w:pPr>
            <w:r>
              <w:rPr>
                <w:rFonts w:hint="eastAsia" w:ascii="宋体" w:hAnsi="宋体" w:cs="宋体"/>
                <w:color w:val="auto"/>
                <w:sz w:val="24"/>
                <w:highlight w:val="none"/>
              </w:rPr>
              <w:t>100万元以下</w:t>
            </w:r>
          </w:p>
        </w:tc>
        <w:tc>
          <w:tcPr>
            <w:tcW w:w="1659" w:type="dxa"/>
          </w:tcPr>
          <w:p w14:paraId="3E5999B4">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1.5%                </w:t>
            </w:r>
          </w:p>
        </w:tc>
        <w:tc>
          <w:tcPr>
            <w:tcW w:w="1532" w:type="dxa"/>
          </w:tcPr>
          <w:p w14:paraId="1FE07836">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1.5%</w:t>
            </w:r>
          </w:p>
        </w:tc>
        <w:tc>
          <w:tcPr>
            <w:tcW w:w="1546" w:type="dxa"/>
          </w:tcPr>
          <w:p w14:paraId="14087AFE">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1.0% </w:t>
            </w:r>
          </w:p>
        </w:tc>
      </w:tr>
      <w:tr w14:paraId="5EB39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B336F27">
            <w:pPr>
              <w:spacing w:line="360" w:lineRule="auto"/>
              <w:rPr>
                <w:rFonts w:ascii="宋体" w:hAnsi="宋体" w:cs="宋体"/>
                <w:color w:val="auto"/>
                <w:sz w:val="24"/>
                <w:highlight w:val="none"/>
              </w:rPr>
            </w:pPr>
            <w:r>
              <w:rPr>
                <w:rFonts w:hint="eastAsia" w:ascii="宋体" w:hAnsi="宋体" w:cs="宋体"/>
                <w:color w:val="auto"/>
                <w:sz w:val="24"/>
                <w:highlight w:val="none"/>
              </w:rPr>
              <w:t>100～500万元</w:t>
            </w:r>
          </w:p>
        </w:tc>
        <w:tc>
          <w:tcPr>
            <w:tcW w:w="1659" w:type="dxa"/>
          </w:tcPr>
          <w:p w14:paraId="18EDFF62">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1.1%                 </w:t>
            </w:r>
          </w:p>
        </w:tc>
        <w:tc>
          <w:tcPr>
            <w:tcW w:w="1532" w:type="dxa"/>
          </w:tcPr>
          <w:p w14:paraId="607DF7AD">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0.8%</w:t>
            </w:r>
          </w:p>
        </w:tc>
        <w:tc>
          <w:tcPr>
            <w:tcW w:w="1546" w:type="dxa"/>
          </w:tcPr>
          <w:p w14:paraId="71D6F9BA">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0.7% </w:t>
            </w:r>
          </w:p>
        </w:tc>
      </w:tr>
      <w:tr w14:paraId="0AAB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6EA6600">
            <w:pPr>
              <w:spacing w:line="360" w:lineRule="auto"/>
              <w:rPr>
                <w:rFonts w:ascii="宋体" w:hAnsi="宋体" w:cs="宋体"/>
                <w:color w:val="auto"/>
                <w:sz w:val="24"/>
                <w:highlight w:val="none"/>
              </w:rPr>
            </w:pPr>
            <w:r>
              <w:rPr>
                <w:rFonts w:hint="eastAsia" w:ascii="宋体" w:hAnsi="宋体" w:cs="宋体"/>
                <w:color w:val="auto"/>
                <w:sz w:val="24"/>
                <w:highlight w:val="none"/>
              </w:rPr>
              <w:t>500～1000万元</w:t>
            </w:r>
          </w:p>
        </w:tc>
        <w:tc>
          <w:tcPr>
            <w:tcW w:w="1659" w:type="dxa"/>
          </w:tcPr>
          <w:p w14:paraId="5D3F361C">
            <w:pPr>
              <w:spacing w:line="360" w:lineRule="auto"/>
              <w:rPr>
                <w:rFonts w:ascii="宋体" w:hAnsi="宋体" w:cs="宋体"/>
                <w:color w:val="auto"/>
                <w:sz w:val="24"/>
                <w:highlight w:val="none"/>
              </w:rPr>
            </w:pPr>
            <w:r>
              <w:rPr>
                <w:rFonts w:hint="eastAsia" w:ascii="宋体" w:hAnsi="宋体" w:cs="宋体"/>
                <w:color w:val="auto"/>
                <w:kern w:val="0"/>
                <w:sz w:val="24"/>
                <w:highlight w:val="none"/>
              </w:rPr>
              <w:t xml:space="preserve">  0.8%                </w:t>
            </w:r>
          </w:p>
        </w:tc>
        <w:tc>
          <w:tcPr>
            <w:tcW w:w="1532" w:type="dxa"/>
          </w:tcPr>
          <w:p w14:paraId="3C485A53">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0.45%</w:t>
            </w:r>
          </w:p>
        </w:tc>
        <w:tc>
          <w:tcPr>
            <w:tcW w:w="1546" w:type="dxa"/>
          </w:tcPr>
          <w:p w14:paraId="030E52AE">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0.55%</w:t>
            </w:r>
          </w:p>
        </w:tc>
      </w:tr>
      <w:tr w14:paraId="68F8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B361A26">
            <w:pPr>
              <w:spacing w:line="360" w:lineRule="auto"/>
              <w:rPr>
                <w:rFonts w:ascii="宋体" w:hAnsi="宋体" w:cs="宋体"/>
                <w:color w:val="auto"/>
                <w:sz w:val="24"/>
                <w:highlight w:val="none"/>
              </w:rPr>
            </w:pPr>
            <w:r>
              <w:rPr>
                <w:rFonts w:hint="eastAsia" w:ascii="宋体" w:hAnsi="宋体" w:cs="宋体"/>
                <w:color w:val="auto"/>
                <w:sz w:val="24"/>
                <w:highlight w:val="none"/>
              </w:rPr>
              <w:t>1000～5000万元</w:t>
            </w:r>
          </w:p>
        </w:tc>
        <w:tc>
          <w:tcPr>
            <w:tcW w:w="1659" w:type="dxa"/>
          </w:tcPr>
          <w:p w14:paraId="34B838D2">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0.5%                </w:t>
            </w:r>
          </w:p>
        </w:tc>
        <w:tc>
          <w:tcPr>
            <w:tcW w:w="1532" w:type="dxa"/>
          </w:tcPr>
          <w:p w14:paraId="62C20E81">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0.25%</w:t>
            </w:r>
          </w:p>
        </w:tc>
        <w:tc>
          <w:tcPr>
            <w:tcW w:w="1546" w:type="dxa"/>
          </w:tcPr>
          <w:p w14:paraId="219E025F">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0.35% </w:t>
            </w:r>
          </w:p>
        </w:tc>
      </w:tr>
      <w:tr w14:paraId="795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6C1288AD">
            <w:pPr>
              <w:spacing w:line="360" w:lineRule="auto"/>
              <w:rPr>
                <w:rFonts w:ascii="宋体" w:hAnsi="宋体" w:cs="宋体"/>
                <w:color w:val="auto"/>
                <w:sz w:val="24"/>
                <w:highlight w:val="none"/>
              </w:rPr>
            </w:pPr>
            <w:r>
              <w:rPr>
                <w:rFonts w:hint="eastAsia" w:ascii="宋体" w:hAnsi="宋体" w:cs="宋体"/>
                <w:color w:val="auto"/>
                <w:sz w:val="24"/>
                <w:highlight w:val="none"/>
              </w:rPr>
              <w:t>5000万元～1亿元</w:t>
            </w:r>
          </w:p>
        </w:tc>
        <w:tc>
          <w:tcPr>
            <w:tcW w:w="1659" w:type="dxa"/>
          </w:tcPr>
          <w:p w14:paraId="425E4821">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 xml:space="preserve">0.25%                 </w:t>
            </w:r>
          </w:p>
        </w:tc>
        <w:tc>
          <w:tcPr>
            <w:tcW w:w="1532" w:type="dxa"/>
          </w:tcPr>
          <w:p w14:paraId="75183A6E">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0.1%</w:t>
            </w:r>
          </w:p>
        </w:tc>
        <w:tc>
          <w:tcPr>
            <w:tcW w:w="1546" w:type="dxa"/>
          </w:tcPr>
          <w:p w14:paraId="54F1398D">
            <w:pPr>
              <w:spacing w:line="360" w:lineRule="auto"/>
              <w:ind w:firstLine="240" w:firstLineChars="100"/>
              <w:rPr>
                <w:rFonts w:ascii="宋体" w:hAnsi="宋体" w:cs="宋体"/>
                <w:color w:val="auto"/>
                <w:sz w:val="24"/>
                <w:highlight w:val="none"/>
              </w:rPr>
            </w:pPr>
            <w:r>
              <w:rPr>
                <w:rFonts w:hint="eastAsia" w:ascii="宋体" w:hAnsi="宋体" w:cs="宋体"/>
                <w:color w:val="auto"/>
                <w:kern w:val="0"/>
                <w:sz w:val="24"/>
                <w:highlight w:val="none"/>
              </w:rPr>
              <w:t>0.2%</w:t>
            </w:r>
          </w:p>
        </w:tc>
      </w:tr>
      <w:tr w14:paraId="5EC2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0614E4C">
            <w:pPr>
              <w:spacing w:line="360" w:lineRule="auto"/>
              <w:rPr>
                <w:rFonts w:ascii="宋体" w:hAnsi="宋体" w:cs="宋体"/>
                <w:color w:val="auto"/>
                <w:sz w:val="24"/>
                <w:highlight w:val="none"/>
              </w:rPr>
            </w:pPr>
            <w:r>
              <w:rPr>
                <w:rFonts w:hint="eastAsia" w:ascii="宋体" w:hAnsi="宋体" w:cs="宋体"/>
                <w:color w:val="auto"/>
                <w:sz w:val="24"/>
                <w:highlight w:val="none"/>
              </w:rPr>
              <w:t>1～5亿元</w:t>
            </w:r>
          </w:p>
        </w:tc>
        <w:tc>
          <w:tcPr>
            <w:tcW w:w="1659" w:type="dxa"/>
          </w:tcPr>
          <w:p w14:paraId="7EA9F60F">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0.05%</w:t>
            </w:r>
          </w:p>
        </w:tc>
        <w:tc>
          <w:tcPr>
            <w:tcW w:w="1532" w:type="dxa"/>
          </w:tcPr>
          <w:p w14:paraId="2E00A47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c>
          <w:tcPr>
            <w:tcW w:w="1546" w:type="dxa"/>
          </w:tcPr>
          <w:p w14:paraId="0C3E741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0.05%</w:t>
            </w:r>
          </w:p>
        </w:tc>
      </w:tr>
      <w:tr w14:paraId="146F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1049EBD">
            <w:pPr>
              <w:spacing w:line="360" w:lineRule="auto"/>
              <w:rPr>
                <w:rFonts w:ascii="宋体" w:hAnsi="宋体" w:cs="宋体"/>
                <w:color w:val="auto"/>
                <w:sz w:val="24"/>
                <w:highlight w:val="none"/>
              </w:rPr>
            </w:pPr>
            <w:r>
              <w:rPr>
                <w:rFonts w:hint="eastAsia" w:ascii="宋体" w:hAnsi="宋体" w:cs="宋体"/>
                <w:color w:val="auto"/>
                <w:sz w:val="24"/>
                <w:highlight w:val="none"/>
              </w:rPr>
              <w:t>5～10亿元</w:t>
            </w:r>
          </w:p>
        </w:tc>
        <w:tc>
          <w:tcPr>
            <w:tcW w:w="1659" w:type="dxa"/>
          </w:tcPr>
          <w:p w14:paraId="25B08F75">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c>
          <w:tcPr>
            <w:tcW w:w="1532" w:type="dxa"/>
          </w:tcPr>
          <w:p w14:paraId="7554C62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0.035%</w:t>
            </w:r>
          </w:p>
        </w:tc>
        <w:tc>
          <w:tcPr>
            <w:tcW w:w="1546" w:type="dxa"/>
          </w:tcPr>
          <w:p w14:paraId="65683F7B">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0.035%</w:t>
            </w:r>
          </w:p>
        </w:tc>
      </w:tr>
      <w:tr w14:paraId="2F6D6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7D62E29">
            <w:pPr>
              <w:spacing w:line="360" w:lineRule="auto"/>
              <w:rPr>
                <w:rFonts w:ascii="宋体" w:hAnsi="宋体" w:cs="宋体"/>
                <w:color w:val="auto"/>
                <w:sz w:val="24"/>
                <w:highlight w:val="none"/>
              </w:rPr>
            </w:pPr>
            <w:r>
              <w:rPr>
                <w:rFonts w:hint="eastAsia" w:ascii="宋体" w:hAnsi="宋体" w:cs="宋体"/>
                <w:color w:val="auto"/>
                <w:sz w:val="24"/>
                <w:highlight w:val="none"/>
              </w:rPr>
              <w:t>10～50亿元</w:t>
            </w:r>
          </w:p>
        </w:tc>
        <w:tc>
          <w:tcPr>
            <w:tcW w:w="1659" w:type="dxa"/>
          </w:tcPr>
          <w:p w14:paraId="0E9CC00C">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c>
          <w:tcPr>
            <w:tcW w:w="1532" w:type="dxa"/>
          </w:tcPr>
          <w:p w14:paraId="7C9753C0">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0.008%</w:t>
            </w:r>
          </w:p>
        </w:tc>
        <w:tc>
          <w:tcPr>
            <w:tcW w:w="1546" w:type="dxa"/>
          </w:tcPr>
          <w:p w14:paraId="0B6EF51F">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0.008%</w:t>
            </w:r>
          </w:p>
        </w:tc>
      </w:tr>
      <w:tr w14:paraId="58C0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CDC5627">
            <w:pPr>
              <w:spacing w:line="360" w:lineRule="auto"/>
              <w:rPr>
                <w:rFonts w:ascii="宋体" w:hAnsi="宋体" w:cs="宋体"/>
                <w:color w:val="auto"/>
                <w:sz w:val="24"/>
                <w:highlight w:val="none"/>
              </w:rPr>
            </w:pPr>
            <w:r>
              <w:rPr>
                <w:rFonts w:hint="eastAsia" w:ascii="宋体" w:hAnsi="宋体" w:cs="宋体"/>
                <w:color w:val="auto"/>
                <w:sz w:val="24"/>
                <w:highlight w:val="none"/>
              </w:rPr>
              <w:t>50～100亿元</w:t>
            </w:r>
          </w:p>
        </w:tc>
        <w:tc>
          <w:tcPr>
            <w:tcW w:w="1659" w:type="dxa"/>
          </w:tcPr>
          <w:p w14:paraId="41C7B5E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0.006%</w:t>
            </w:r>
          </w:p>
        </w:tc>
        <w:tc>
          <w:tcPr>
            <w:tcW w:w="1532" w:type="dxa"/>
          </w:tcPr>
          <w:p w14:paraId="7B7D41E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0.006%</w:t>
            </w:r>
          </w:p>
        </w:tc>
        <w:tc>
          <w:tcPr>
            <w:tcW w:w="1546" w:type="dxa"/>
          </w:tcPr>
          <w:p w14:paraId="61C03C91">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0.006%</w:t>
            </w:r>
          </w:p>
        </w:tc>
      </w:tr>
      <w:tr w14:paraId="6746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3B892FD">
            <w:pPr>
              <w:spacing w:line="360" w:lineRule="auto"/>
              <w:rPr>
                <w:rFonts w:ascii="宋体" w:hAnsi="宋体" w:cs="宋体"/>
                <w:color w:val="auto"/>
                <w:sz w:val="24"/>
                <w:highlight w:val="none"/>
              </w:rPr>
            </w:pPr>
            <w:r>
              <w:rPr>
                <w:rFonts w:hint="eastAsia" w:ascii="宋体" w:hAnsi="宋体" w:cs="宋体"/>
                <w:color w:val="auto"/>
                <w:sz w:val="24"/>
                <w:highlight w:val="none"/>
              </w:rPr>
              <w:t>100亿元以上</w:t>
            </w:r>
          </w:p>
        </w:tc>
        <w:tc>
          <w:tcPr>
            <w:tcW w:w="1659" w:type="dxa"/>
          </w:tcPr>
          <w:p w14:paraId="4DA4C60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0.004%</w:t>
            </w:r>
          </w:p>
        </w:tc>
        <w:tc>
          <w:tcPr>
            <w:tcW w:w="1532" w:type="dxa"/>
          </w:tcPr>
          <w:p w14:paraId="4FDACC4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0.004%</w:t>
            </w:r>
          </w:p>
        </w:tc>
        <w:tc>
          <w:tcPr>
            <w:tcW w:w="1546" w:type="dxa"/>
          </w:tcPr>
          <w:p w14:paraId="5A94233F">
            <w:pPr>
              <w:spacing w:line="360" w:lineRule="auto"/>
              <w:ind w:firstLine="120" w:firstLineChars="50"/>
              <w:rPr>
                <w:rFonts w:ascii="宋体" w:hAnsi="宋体" w:cs="宋体"/>
                <w:color w:val="auto"/>
                <w:sz w:val="24"/>
                <w:highlight w:val="none"/>
              </w:rPr>
            </w:pPr>
            <w:r>
              <w:rPr>
                <w:rFonts w:hint="eastAsia" w:ascii="宋体" w:hAnsi="宋体" w:cs="宋体"/>
                <w:color w:val="auto"/>
                <w:sz w:val="24"/>
                <w:highlight w:val="none"/>
              </w:rPr>
              <w:t>0.004%</w:t>
            </w:r>
          </w:p>
        </w:tc>
      </w:tr>
    </w:tbl>
    <w:p w14:paraId="36482586">
      <w:pPr>
        <w:spacing w:line="360" w:lineRule="auto"/>
        <w:ind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71C6CDC4">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1）按本表费率计算的收费标准为采购代理的收费价格；</w:t>
      </w:r>
    </w:p>
    <w:p w14:paraId="5F86D457">
      <w:pPr>
        <w:spacing w:line="360" w:lineRule="auto"/>
        <w:ind w:firstLine="480" w:firstLineChars="200"/>
        <w:rPr>
          <w:rFonts w:ascii="楷体" w:hAnsi="楷体" w:eastAsia="楷体" w:cs="宋体"/>
          <w:color w:val="auto"/>
          <w:sz w:val="24"/>
          <w:highlight w:val="none"/>
        </w:rPr>
      </w:pPr>
      <w:r>
        <w:rPr>
          <w:rFonts w:hint="eastAsia" w:ascii="楷体" w:hAnsi="楷体" w:eastAsia="楷体" w:cs="宋体"/>
          <w:color w:val="auto"/>
          <w:sz w:val="24"/>
          <w:highlight w:val="none"/>
        </w:rPr>
        <w:t>（</w:t>
      </w:r>
      <w:r>
        <w:rPr>
          <w:rFonts w:ascii="楷体" w:hAnsi="楷体" w:eastAsia="楷体" w:cs="宋体"/>
          <w:color w:val="auto"/>
          <w:sz w:val="24"/>
          <w:highlight w:val="none"/>
        </w:rPr>
        <w:t>2）采购代理收费按差额定率累进法计算。</w:t>
      </w:r>
    </w:p>
    <w:p w14:paraId="07A09312">
      <w:pPr>
        <w:spacing w:line="360" w:lineRule="auto"/>
        <w:ind w:firstLine="482" w:firstLineChars="200"/>
        <w:outlineLvl w:val="3"/>
        <w:rPr>
          <w:rFonts w:ascii="宋体" w:hAnsi="宋体" w:cs="宋体"/>
          <w:b/>
          <w:color w:val="auto"/>
          <w:sz w:val="24"/>
          <w:highlight w:val="none"/>
        </w:rPr>
      </w:pPr>
      <w:r>
        <w:rPr>
          <w:rFonts w:ascii="宋体" w:hAnsi="宋体" w:cs="宋体"/>
          <w:b/>
          <w:color w:val="auto"/>
          <w:sz w:val="24"/>
          <w:highlight w:val="none"/>
        </w:rPr>
        <w:t xml:space="preserve">32.3 </w:t>
      </w:r>
      <w:r>
        <w:rPr>
          <w:rFonts w:hint="eastAsia" w:ascii="宋体" w:hAnsi="宋体" w:cs="宋体"/>
          <w:b/>
          <w:color w:val="auto"/>
          <w:sz w:val="24"/>
          <w:highlight w:val="none"/>
        </w:rPr>
        <w:t>代理服务费交纳银行</w:t>
      </w:r>
      <w:r>
        <w:rPr>
          <w:rFonts w:hint="eastAsia" w:ascii="宋体" w:hAnsi="宋体" w:cs="宋体"/>
          <w:b/>
          <w:color w:val="auto"/>
          <w:sz w:val="24"/>
          <w:highlight w:val="none"/>
          <w:lang w:eastAsia="zh-CN"/>
        </w:rPr>
        <w:t>账号</w:t>
      </w:r>
      <w:r>
        <w:rPr>
          <w:rFonts w:hint="eastAsia" w:ascii="宋体" w:hAnsi="宋体" w:cs="宋体"/>
          <w:b/>
          <w:color w:val="auto"/>
          <w:sz w:val="24"/>
          <w:highlight w:val="none"/>
        </w:rPr>
        <w:t>信息</w:t>
      </w:r>
    </w:p>
    <w:p w14:paraId="6149EA59">
      <w:pPr>
        <w:pStyle w:val="13"/>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开户名称：广西建设工程机电设备招标中心有限公司 </w:t>
      </w:r>
    </w:p>
    <w:p w14:paraId="387CC3D0">
      <w:pPr>
        <w:pStyle w:val="13"/>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开户银行：招商银行南宁分行营业部</w:t>
      </w:r>
    </w:p>
    <w:p w14:paraId="09CDE375">
      <w:pPr>
        <w:pStyle w:val="13"/>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银行账号：7719 0142 3310 201</w:t>
      </w:r>
    </w:p>
    <w:p w14:paraId="127BC7DE">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5AAE4360">
      <w:pPr>
        <w:pStyle w:val="19"/>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33.1本磋商文件解释规则详见“供应商须知前附表”。</w:t>
      </w:r>
    </w:p>
    <w:p w14:paraId="47DFC955">
      <w:pPr>
        <w:pStyle w:val="19"/>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33.2 其他事项详见“供应商须知前附表”。</w:t>
      </w:r>
    </w:p>
    <w:p w14:paraId="7079193A">
      <w:pPr>
        <w:pStyle w:val="19"/>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33.3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38226F03">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（1）在货物采购项目中，货物由中小企业制造，即货物由中小企业生产且使用该中小企业商号或者注册商标，不对其中涉及的工程承建商和服务的承接商作出要求；</w:t>
      </w:r>
    </w:p>
    <w:p w14:paraId="26999BE3">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（2）在工程采购项目中，工程由中小企业承建，即工程施工单位为中小企业，不对其中涉及的货物的制造商和服务的承接商作出要求；</w:t>
      </w:r>
    </w:p>
    <w:p w14:paraId="139BF882">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BBF9ABB">
      <w:pPr>
        <w:pStyle w:val="19"/>
        <w:spacing w:line="360" w:lineRule="auto"/>
        <w:ind w:firstLine="480" w:firstLineChars="200"/>
        <w:textAlignment w:val="center"/>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5C0B8E03">
      <w:pPr>
        <w:pStyle w:val="19"/>
        <w:spacing w:line="360" w:lineRule="auto"/>
        <w:ind w:firstLine="480" w:firstLineChars="200"/>
        <w:textAlignment w:val="center"/>
        <w:rPr>
          <w:rFonts w:hAnsi="宋体" w:cs="宋体"/>
          <w:b/>
          <w:color w:val="auto"/>
          <w:sz w:val="32"/>
          <w:szCs w:val="32"/>
          <w:highlight w:val="none"/>
        </w:rPr>
      </w:pPr>
      <w:r>
        <w:rPr>
          <w:rFonts w:hint="eastAsia" w:hAnsi="宋体" w:cs="宋体"/>
          <w:color w:val="auto"/>
          <w:kern w:val="2"/>
          <w:sz w:val="24"/>
          <w:szCs w:val="24"/>
          <w:highlight w:val="none"/>
        </w:rPr>
        <w:t>依据本磋商文件规定享受扶持政策获得政府采购合同的，小微企业不得将合同分包给大中型企业，中型企业不得将合同分包给大型企业。</w:t>
      </w:r>
    </w:p>
    <w:p w14:paraId="48F4A9B1">
      <w:pPr>
        <w:pStyle w:val="19"/>
        <w:snapToGrid w:val="0"/>
        <w:spacing w:before="120" w:after="120" w:line="360" w:lineRule="auto"/>
        <w:jc w:val="center"/>
        <w:outlineLvl w:val="0"/>
        <w:rPr>
          <w:rFonts w:hAnsi="宋体" w:cs="宋体"/>
          <w:b/>
          <w:bCs/>
          <w:color w:val="auto"/>
          <w:sz w:val="44"/>
          <w:szCs w:val="44"/>
          <w:highlight w:val="none"/>
        </w:rPr>
      </w:pPr>
      <w:r>
        <w:rPr>
          <w:rFonts w:hint="eastAsia" w:hAnsi="宋体" w:cs="宋体"/>
          <w:color w:val="auto"/>
          <w:highlight w:val="none"/>
        </w:rPr>
        <w:br w:type="page"/>
      </w:r>
      <w:bookmarkStart w:id="30" w:name="_Toc10746"/>
      <w:r>
        <w:rPr>
          <w:rStyle w:val="45"/>
          <w:rFonts w:hint="eastAsia"/>
          <w:color w:val="auto"/>
          <w:highlight w:val="none"/>
        </w:rPr>
        <w:t>第三章 采购需求</w:t>
      </w:r>
      <w:bookmarkEnd w:id="30"/>
    </w:p>
    <w:p w14:paraId="5E647DF1">
      <w:pPr>
        <w:spacing w:line="440" w:lineRule="exact"/>
        <w:jc w:val="center"/>
        <w:rPr>
          <w:rFonts w:ascii="宋体" w:hAnsi="宋体" w:cs="宋体"/>
          <w:b/>
          <w:color w:val="auto"/>
          <w:sz w:val="32"/>
          <w:szCs w:val="32"/>
          <w:highlight w:val="none"/>
        </w:rPr>
      </w:pPr>
    </w:p>
    <w:p w14:paraId="403DB72A">
      <w:pPr>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6AA5E5EE">
      <w:pPr>
        <w:spacing w:line="360" w:lineRule="auto"/>
        <w:ind w:firstLine="480" w:firstLineChars="200"/>
        <w:jc w:val="left"/>
        <w:outlineLvl w:val="1"/>
        <w:rPr>
          <w:rFonts w:ascii="宋体" w:hAnsi="宋体" w:cs="宋体"/>
          <w:color w:val="auto"/>
          <w:sz w:val="24"/>
          <w:szCs w:val="24"/>
          <w:highlight w:val="none"/>
        </w:rPr>
      </w:pPr>
      <w:r>
        <w:rPr>
          <w:rFonts w:hint="eastAsia" w:ascii="宋体" w:hAnsi="宋体" w:cs="宋体"/>
          <w:color w:val="auto"/>
          <w:sz w:val="24"/>
          <w:szCs w:val="24"/>
          <w:highlight w:val="none"/>
        </w:rPr>
        <w:t>1.为落实政府采购政策需满足的要求:</w:t>
      </w:r>
    </w:p>
    <w:p w14:paraId="6A5189A5">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本竞争性磋商采购文件所称中小企业必须符合《政府采购促进中小企业发展管理办法》（财库〔2020〕46号）的规定。</w:t>
      </w:r>
    </w:p>
    <w:p w14:paraId="31F794DE">
      <w:pPr>
        <w:spacing w:line="360" w:lineRule="auto"/>
        <w:ind w:firstLine="484" w:firstLineChars="202"/>
        <w:jc w:val="left"/>
        <w:rPr>
          <w:rFonts w:ascii="宋体" w:hAnsi="宋体" w:cs="宋体"/>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供应商应根据自身实际情况如实响应磋商文件，不得仅将磋商文件内容简单复制粘贴作为竞争性磋商响应，还应当提供相关证明材料，否则将按无效响应处理（定制采购不适用本条款）。对于重要技术条款或技术参数应当在响应文件中提供技术支持资料，技术支持资料以磋商文件中规定的形式为准，否则将视为无效技术支持资料。</w:t>
      </w:r>
    </w:p>
    <w:p w14:paraId="4F84094E">
      <w:pPr>
        <w:spacing w:line="360" w:lineRule="auto"/>
        <w:ind w:firstLine="484" w:firstLineChars="202"/>
        <w:jc w:val="left"/>
        <w:rPr>
          <w:rFonts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.供应商必须自行为其参加竞争性磋商的产品侵犯他人的知识产权或者专利成果的行为承担相应法律责任。</w:t>
      </w:r>
    </w:p>
    <w:p w14:paraId="723B437C">
      <w:pPr>
        <w:spacing w:line="360" w:lineRule="auto"/>
        <w:ind w:left="-10" w:leftChars="-5" w:right="2" w:rightChars="1" w:firstLine="480" w:firstLineChars="200"/>
        <w:rPr>
          <w:color w:val="auto"/>
          <w:sz w:val="24"/>
          <w:szCs w:val="24"/>
          <w:highlight w:val="none"/>
        </w:rPr>
      </w:pPr>
      <w:r>
        <w:rPr>
          <w:bCs/>
          <w:color w:val="auto"/>
          <w:sz w:val="24"/>
          <w:szCs w:val="24"/>
          <w:highlight w:val="none"/>
        </w:rPr>
        <w:t>4</w:t>
      </w:r>
      <w:r>
        <w:rPr>
          <w:rFonts w:hint="eastAsia"/>
          <w:bCs/>
          <w:color w:val="auto"/>
          <w:sz w:val="24"/>
          <w:szCs w:val="24"/>
          <w:highlight w:val="none"/>
        </w:rPr>
        <w:t>．“</w:t>
      </w:r>
      <w:r>
        <w:rPr>
          <w:bCs/>
          <w:color w:val="auto"/>
          <w:sz w:val="24"/>
          <w:szCs w:val="24"/>
          <w:highlight w:val="none"/>
        </w:rPr>
        <w:t>实质性要求</w:t>
      </w:r>
      <w:r>
        <w:rPr>
          <w:rFonts w:hint="eastAsia"/>
          <w:bCs/>
          <w:color w:val="auto"/>
          <w:sz w:val="24"/>
          <w:szCs w:val="24"/>
          <w:highlight w:val="none"/>
        </w:rPr>
        <w:t>”</w:t>
      </w:r>
      <w:r>
        <w:rPr>
          <w:bCs/>
          <w:color w:val="auto"/>
          <w:sz w:val="24"/>
          <w:szCs w:val="24"/>
          <w:highlight w:val="none"/>
        </w:rPr>
        <w:t>是指</w:t>
      </w:r>
      <w:r>
        <w:rPr>
          <w:rFonts w:hint="eastAsia"/>
          <w:bCs/>
          <w:color w:val="auto"/>
          <w:sz w:val="24"/>
          <w:szCs w:val="24"/>
          <w:highlight w:val="none"/>
        </w:rPr>
        <w:t>采购文件</w:t>
      </w:r>
      <w:r>
        <w:rPr>
          <w:bCs/>
          <w:color w:val="auto"/>
          <w:sz w:val="24"/>
          <w:szCs w:val="24"/>
          <w:highlight w:val="none"/>
        </w:rPr>
        <w:t>中已经指明不满足则</w:t>
      </w:r>
      <w:r>
        <w:rPr>
          <w:rFonts w:hint="eastAsia" w:ascii="宋体" w:hAnsi="宋体" w:cs="宋体"/>
          <w:color w:val="auto"/>
          <w:sz w:val="24"/>
          <w:szCs w:val="24"/>
          <w:highlight w:val="none"/>
        </w:rPr>
        <w:t>竞争性磋商</w:t>
      </w:r>
      <w:r>
        <w:rPr>
          <w:bCs/>
          <w:color w:val="auto"/>
          <w:sz w:val="24"/>
          <w:szCs w:val="24"/>
          <w:highlight w:val="none"/>
        </w:rPr>
        <w:t>无效的条款，或者不能负偏离的条款，或者采购需求中带</w:t>
      </w:r>
      <w:r>
        <w:rPr>
          <w:rFonts w:hint="eastAsia"/>
          <w:bCs/>
          <w:color w:val="auto"/>
          <w:sz w:val="24"/>
          <w:szCs w:val="24"/>
          <w:highlight w:val="none"/>
        </w:rPr>
        <w:t>“▲”</w:t>
      </w:r>
      <w:r>
        <w:rPr>
          <w:bCs/>
          <w:color w:val="auto"/>
          <w:sz w:val="24"/>
          <w:szCs w:val="24"/>
          <w:highlight w:val="none"/>
        </w:rPr>
        <w:t>的条款</w:t>
      </w:r>
      <w:r>
        <w:rPr>
          <w:rFonts w:hint="eastAsia"/>
          <w:color w:val="auto"/>
          <w:sz w:val="24"/>
          <w:szCs w:val="24"/>
          <w:highlight w:val="none"/>
          <w:lang w:eastAsia="zh-CN"/>
        </w:rPr>
        <w:t>，</w:t>
      </w:r>
      <w:r>
        <w:rPr>
          <w:rFonts w:hint="eastAsia"/>
          <w:b/>
          <w:bCs w:val="0"/>
          <w:color w:val="auto"/>
          <w:sz w:val="24"/>
          <w:szCs w:val="24"/>
          <w:highlight w:val="none"/>
          <w:lang w:val="en-US" w:eastAsia="zh-CN"/>
        </w:rPr>
        <w:t>服务要求中▲条款需提供对应截图证明，否则视为负偏离无效应标</w:t>
      </w:r>
      <w:r>
        <w:rPr>
          <w:bCs/>
          <w:color w:val="auto"/>
          <w:sz w:val="24"/>
          <w:szCs w:val="24"/>
          <w:highlight w:val="none"/>
        </w:rPr>
        <w:t>。</w:t>
      </w:r>
      <w:r>
        <w:rPr>
          <w:rFonts w:hint="eastAsia"/>
          <w:bCs/>
          <w:color w:val="auto"/>
          <w:sz w:val="24"/>
          <w:szCs w:val="24"/>
          <w:highlight w:val="none"/>
        </w:rPr>
        <w:t>未标注“</w:t>
      </w:r>
      <w:r>
        <w:rPr>
          <w:rFonts w:hint="eastAsia" w:ascii="Segoe UI Symbol" w:hAnsi="Segoe UI Symbol" w:cs="Segoe UI Symbol"/>
          <w:bCs/>
          <w:color w:val="auto"/>
          <w:sz w:val="24"/>
          <w:szCs w:val="24"/>
          <w:highlight w:val="none"/>
        </w:rPr>
        <w:t>▲</w:t>
      </w:r>
      <w:r>
        <w:rPr>
          <w:rFonts w:hint="eastAsia"/>
          <w:bCs/>
          <w:color w:val="auto"/>
          <w:sz w:val="24"/>
          <w:szCs w:val="24"/>
          <w:highlight w:val="none"/>
        </w:rPr>
        <w:t>”号的非实质性条款要求可允许</w:t>
      </w:r>
      <w:r>
        <w:rPr>
          <w:rFonts w:hint="eastAsia"/>
          <w:bCs/>
          <w:color w:val="auto"/>
          <w:sz w:val="24"/>
          <w:szCs w:val="24"/>
          <w:highlight w:val="none"/>
          <w:u w:val="single"/>
          <w:lang w:val="en-US" w:eastAsia="zh-CN"/>
        </w:rPr>
        <w:t>0</w:t>
      </w:r>
      <w:r>
        <w:rPr>
          <w:rFonts w:hint="eastAsia"/>
          <w:bCs/>
          <w:color w:val="auto"/>
          <w:sz w:val="24"/>
          <w:szCs w:val="24"/>
          <w:highlight w:val="none"/>
        </w:rPr>
        <w:t>项负偏离，</w:t>
      </w:r>
      <w:r>
        <w:rPr>
          <w:rFonts w:hint="eastAsia"/>
          <w:bCs/>
          <w:color w:val="auto"/>
          <w:sz w:val="24"/>
          <w:szCs w:val="24"/>
          <w:highlight w:val="none"/>
          <w:u w:val="single"/>
          <w:lang w:val="en-US" w:eastAsia="zh-CN"/>
        </w:rPr>
        <w:t>1</w:t>
      </w:r>
      <w:r>
        <w:rPr>
          <w:rFonts w:hint="eastAsia"/>
          <w:bCs/>
          <w:color w:val="auto"/>
          <w:sz w:val="24"/>
          <w:szCs w:val="24"/>
          <w:highlight w:val="none"/>
        </w:rPr>
        <w:t>项以上（含</w:t>
      </w:r>
      <w:r>
        <w:rPr>
          <w:rFonts w:hint="eastAsia"/>
          <w:bCs/>
          <w:color w:val="auto"/>
          <w:sz w:val="24"/>
          <w:szCs w:val="24"/>
          <w:highlight w:val="none"/>
          <w:lang w:val="en-US" w:eastAsia="zh-CN"/>
        </w:rPr>
        <w:t>1</w:t>
      </w:r>
      <w:r>
        <w:rPr>
          <w:rFonts w:hint="eastAsia"/>
          <w:bCs/>
          <w:color w:val="auto"/>
          <w:sz w:val="24"/>
          <w:szCs w:val="24"/>
          <w:highlight w:val="none"/>
        </w:rPr>
        <w:t>项）负偏离的</w:t>
      </w:r>
      <w:r>
        <w:rPr>
          <w:rFonts w:hint="eastAsia" w:ascii="宋体" w:hAnsi="宋体" w:cs="宋体"/>
          <w:color w:val="auto"/>
          <w:sz w:val="24"/>
          <w:szCs w:val="24"/>
          <w:highlight w:val="none"/>
        </w:rPr>
        <w:t>竞争性磋商</w:t>
      </w:r>
      <w:r>
        <w:rPr>
          <w:rFonts w:hint="eastAsia"/>
          <w:bCs/>
          <w:color w:val="auto"/>
          <w:sz w:val="24"/>
          <w:szCs w:val="24"/>
          <w:highlight w:val="none"/>
        </w:rPr>
        <w:t>无效。</w:t>
      </w:r>
    </w:p>
    <w:p w14:paraId="650E0AA8">
      <w:pPr>
        <w:spacing w:line="360" w:lineRule="auto"/>
        <w:ind w:left="-10" w:leftChars="-5" w:right="2" w:rightChars="1" w:firstLine="480" w:firstLineChars="200"/>
        <w:rPr>
          <w:bCs/>
          <w:color w:val="auto"/>
          <w:sz w:val="24"/>
          <w:szCs w:val="24"/>
          <w:highlight w:val="none"/>
        </w:rPr>
      </w:pPr>
      <w:r>
        <w:rPr>
          <w:bCs/>
          <w:color w:val="auto"/>
          <w:sz w:val="24"/>
          <w:szCs w:val="24"/>
          <w:highlight w:val="none"/>
        </w:rPr>
        <w:t>采购预算：详见采购公告</w:t>
      </w:r>
    </w:p>
    <w:p w14:paraId="305758E6">
      <w:pPr>
        <w:spacing w:line="360" w:lineRule="auto"/>
        <w:ind w:left="-10" w:leftChars="-5" w:right="2" w:rightChars="1" w:firstLine="480" w:firstLineChars="200"/>
        <w:outlineLvl w:val="0"/>
        <w:rPr>
          <w:rFonts w:hint="eastAsia" w:ascii="宋体" w:hAnsi="宋体" w:cs="宋体"/>
          <w:color w:val="auto"/>
          <w:sz w:val="24"/>
          <w:highlight w:val="none"/>
          <w:u w:val="single"/>
        </w:rPr>
      </w:pPr>
      <w:r>
        <w:rPr>
          <w:rFonts w:hint="eastAsia" w:ascii="宋体" w:hAnsi="宋体" w:cs="宋体"/>
          <w:color w:val="auto"/>
          <w:sz w:val="24"/>
          <w:szCs w:val="24"/>
          <w:highlight w:val="none"/>
        </w:rPr>
        <w:t>所属行业：</w:t>
      </w:r>
      <w:r>
        <w:rPr>
          <w:rFonts w:hint="eastAsia" w:ascii="宋体" w:hAnsi="宋体" w:cs="宋体"/>
          <w:color w:val="auto"/>
          <w:sz w:val="24"/>
          <w:szCs w:val="24"/>
          <w:highlight w:val="none"/>
          <w:u w:val="single"/>
        </w:rPr>
        <w:t>其他未列明行业</w:t>
      </w:r>
    </w:p>
    <w:p w14:paraId="686E1B68">
      <w:pPr>
        <w:spacing w:line="360" w:lineRule="auto"/>
        <w:ind w:right="2" w:rightChars="1"/>
        <w:outlineLvl w:val="0"/>
        <w:rPr>
          <w:rFonts w:hint="default" w:ascii="宋体" w:hAnsi="宋体" w:eastAsia="宋体" w:cs="宋体"/>
          <w:b/>
          <w:bCs/>
          <w:color w:val="auto"/>
          <w:sz w:val="28"/>
          <w:szCs w:val="28"/>
          <w:highlight w:val="none"/>
          <w:u w:val="none"/>
          <w:lang w:val="en-US" w:eastAsia="zh-CN"/>
        </w:rPr>
      </w:pPr>
      <w:r>
        <w:rPr>
          <w:rFonts w:hint="eastAsia" w:ascii="宋体" w:hAnsi="宋体" w:cs="宋体"/>
          <w:b/>
          <w:bCs/>
          <w:color w:val="auto"/>
          <w:sz w:val="28"/>
          <w:szCs w:val="28"/>
          <w:highlight w:val="none"/>
          <w:u w:val="none"/>
          <w:lang w:val="en-US" w:eastAsia="zh-CN"/>
        </w:rPr>
        <w:t>1分标：</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925"/>
        <w:gridCol w:w="598"/>
        <w:gridCol w:w="152"/>
        <w:gridCol w:w="4988"/>
        <w:gridCol w:w="962"/>
        <w:gridCol w:w="983"/>
      </w:tblGrid>
      <w:tr w14:paraId="560C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4C3343C3">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925" w:type="dxa"/>
            <w:vAlign w:val="center"/>
          </w:tcPr>
          <w:p w14:paraId="443FE831">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34FB961C">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50" w:type="dxa"/>
            <w:gridSpan w:val="2"/>
            <w:vAlign w:val="center"/>
          </w:tcPr>
          <w:p w14:paraId="770FC1E7">
            <w:pPr>
              <w:tabs>
                <w:tab w:val="left" w:pos="180"/>
                <w:tab w:val="left" w:pos="1620"/>
              </w:tabs>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数量及单位</w:t>
            </w:r>
          </w:p>
        </w:tc>
        <w:tc>
          <w:tcPr>
            <w:tcW w:w="4988" w:type="dxa"/>
            <w:vAlign w:val="center"/>
          </w:tcPr>
          <w:p w14:paraId="2856FEBF">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服务要求</w:t>
            </w:r>
          </w:p>
        </w:tc>
        <w:tc>
          <w:tcPr>
            <w:tcW w:w="962" w:type="dxa"/>
            <w:vAlign w:val="center"/>
          </w:tcPr>
          <w:p w14:paraId="3092C001">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预算单价（万元/人民币）</w:t>
            </w:r>
          </w:p>
        </w:tc>
        <w:tc>
          <w:tcPr>
            <w:tcW w:w="983" w:type="dxa"/>
          </w:tcPr>
          <w:p w14:paraId="35198F04">
            <w:pPr>
              <w:tabs>
                <w:tab w:val="left" w:pos="180"/>
                <w:tab w:val="left" w:pos="1620"/>
              </w:tabs>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单项预算合计（万元/人民币）</w:t>
            </w:r>
          </w:p>
        </w:tc>
      </w:tr>
      <w:tr w14:paraId="4ECA4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restart"/>
            <w:vAlign w:val="center"/>
          </w:tcPr>
          <w:p w14:paraId="653FAA06">
            <w:pPr>
              <w:tabs>
                <w:tab w:val="left" w:pos="180"/>
                <w:tab w:val="left" w:pos="1620"/>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25" w:type="dxa"/>
            <w:vMerge w:val="restart"/>
            <w:vAlign w:val="center"/>
          </w:tcPr>
          <w:p w14:paraId="5C8EAFD8">
            <w:pPr>
              <w:widowControl/>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VR虚拟互动内容制作</w:t>
            </w:r>
          </w:p>
        </w:tc>
        <w:tc>
          <w:tcPr>
            <w:tcW w:w="750" w:type="dxa"/>
            <w:gridSpan w:val="2"/>
            <w:vMerge w:val="restart"/>
            <w:vAlign w:val="center"/>
          </w:tcPr>
          <w:p w14:paraId="6A84AA65">
            <w:pPr>
              <w:widowControl/>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3个</w:t>
            </w:r>
          </w:p>
        </w:tc>
        <w:tc>
          <w:tcPr>
            <w:tcW w:w="4988" w:type="dxa"/>
            <w:vAlign w:val="center"/>
          </w:tcPr>
          <w:p w14:paraId="56D111D3">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VR虚拟互动资源：坭兴陶制作</w:t>
            </w:r>
          </w:p>
          <w:p w14:paraId="5D511C3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一、总体要求  </w:t>
            </w:r>
          </w:p>
          <w:p w14:paraId="7F72AA5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（一）系统需基于虚拟引擎开发，确保与采购方现有虚拟实训室硬件及软件环境兼容，包括但不限于VR头显、手柄、定位基站等设备。  </w:t>
            </w:r>
          </w:p>
          <w:p w14:paraId="1381805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（二）系统需内置3个标准化虚拟实训模块，具体为：茉莉花精油萃取模块 、坭兴陶制作流程模块、风雨桥榫卯结构。  </w:t>
            </w:r>
          </w:p>
          <w:p w14:paraId="1D7DA0B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（三）所有交互操作需支持采购方现有VR手柄实现，包括抓取、组装、拆卸、工具使用等沉浸式互动功能。  </w:t>
            </w:r>
          </w:p>
          <w:p w14:paraId="5BA8C83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185082A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二、模型制作规范  </w:t>
            </w:r>
          </w:p>
          <w:p w14:paraId="72F9617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（一）计量单位：模型制作统一以“米”（m）为单位，采用外表面几何结构建模，复杂细节可酌情使用贴图替代高精度几何体。  </w:t>
            </w:r>
          </w:p>
          <w:p w14:paraId="61347A8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（二）轴心点：所有模型轴心点需统一设置在基底几何中心。  </w:t>
            </w:r>
          </w:p>
          <w:p w14:paraId="109225C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（三）面间距：同一法线方向的两个面间距不得小于2cm。  </w:t>
            </w:r>
          </w:p>
          <w:p w14:paraId="76A3AA8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（四）几何精度：  </w:t>
            </w:r>
          </w:p>
          <w:p w14:paraId="3558C4F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1.弧线结构最大分段数≤8边；  </w:t>
            </w:r>
          </w:p>
          <w:p w14:paraId="1FA8F9A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2.柱形结构最大分段数≤16边；  </w:t>
            </w:r>
          </w:p>
          <w:p w14:paraId="19C60BB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3.球形结构最大分段数≤24边。  </w:t>
            </w:r>
          </w:p>
          <w:p w14:paraId="1D0A3CD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（五）顶点处理：同一坐标位置的顶点需焊接，避免模型破面或闪烁。  </w:t>
            </w:r>
          </w:p>
          <w:p w14:paraId="1B55E5E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2350A6D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三、模块功能要求  </w:t>
            </w:r>
          </w:p>
          <w:p w14:paraId="7306F74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（一）系统概述</w:t>
            </w:r>
          </w:p>
          <w:p w14:paraId="3503CD2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本系统基于先进的虚拟引擎开发，支持VR全沉浸式交互。系统涵盖坭兴陶文化认知、制作原理学习、全流程虚拟实操三大模块，支持单人训练与多角色协作。</w:t>
            </w:r>
          </w:p>
          <w:p w14:paraId="0F9FD7D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（二）核心功能模块</w:t>
            </w:r>
          </w:p>
          <w:p w14:paraId="2085A30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1.坭兴陶制作流程模块  </w:t>
            </w:r>
          </w:p>
          <w:p w14:paraId="1A7CCD4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（1）理论知识:以视频、图片、文字形式展示,使用VR头盔进行交互观看,可进行快速跳转进度,功能选择关闭等操作。</w:t>
            </w:r>
          </w:p>
          <w:p w14:paraId="6D808BE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①历史与价值展示 </w:t>
            </w:r>
          </w:p>
          <w:p w14:paraId="7887D88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动态视频展示：历史背景坭兴陶的制作历史可追溯到唐代，但在明清时期逐渐形成独特风格</w:t>
            </w:r>
          </w:p>
          <w:p w14:paraId="20969A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②坭兴陶的制作工艺:</w:t>
            </w:r>
          </w:p>
          <w:p w14:paraId="6DD1CE1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坭兴陶的历史与文化背景</w:t>
            </w:r>
          </w:p>
          <w:p w14:paraId="0A438FD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坭兴陶的原材料:坭兴陶使用的泥土主要为广西兴安特有的“坭土”，泥质细腻，含有丰富的铁元素和矿物质，烧制出来的陶器具有自然的色泽。</w:t>
            </w:r>
          </w:p>
          <w:p w14:paraId="57A7580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坭兴陶的制作工艺:坭兴陶的制作方式多为手工捏制，每一件作品都是独特的，艺术家利用精湛的雕刻技艺，常见的装饰有花卉、山水、人物等题材。</w:t>
            </w:r>
          </w:p>
          <w:p w14:paraId="2E9C94D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烧制过程:坭兴陶烧制过程采用高温窑炉，以800°C到1200°C的温度烧制，经过两次高温烧制后，表面常呈现出独特的深色或金属光泽。</w:t>
            </w:r>
          </w:p>
          <w:p w14:paraId="2C951EE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（2）理论知识随堂测验：学习结束后以随堂测验，题型包括单选、多选、判断，每项题数不少于100题，题目进行考核并给出测验分数。</w:t>
            </w:r>
          </w:p>
          <w:p w14:paraId="3F364BB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（3）虚拟实训操作模块:以视频、图片、动画的形式展示或交互,在交互期间可展示图片、题目、vr手柄点击、拖拽、拿取等方式进行交互</w:t>
            </w:r>
          </w:p>
          <w:p w14:paraId="2ED35DF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采泥：采泥是陶艺制作的第一步，直接决定了陶器的质量。选择泥土时，陶艺师要考虑泥土的种类、颜色、湿度和纯净度。传统陶艺中常选用当地的天然粘土，泥土需经过筛选、浸泡与脱气处理，以确保其无杂质、均匀且适合成型。采泥时，泥土的来源、土质的特性，甚至泥土的年代都会影响最终成品的质感。</w:t>
            </w:r>
          </w:p>
          <w:p w14:paraId="16B06C7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采泥要点：</w:t>
            </w:r>
          </w:p>
          <w:p w14:paraId="5967B26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使用VR手柄点击,选用含有适当矿物成分的土壤。</w:t>
            </w:r>
          </w:p>
          <w:p w14:paraId="733D0FB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对泥土进行必要的处理，如沉淀、筛选等。</w:t>
            </w:r>
          </w:p>
          <w:p w14:paraId="6959CFF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保证泥土颗粒细腻，以便拉胚时更易成型。选用含有适当矿物成分的土壤。</w:t>
            </w:r>
          </w:p>
          <w:p w14:paraId="21A6C39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②拉胚：拉胚是制作陶器的成型过程，通常使用陶轮或手工拉制。拉胚是一项技术性极强的手工艺，它要求陶艺师拥有扎实的基础技巧和对泥土特性的敏感度。</w:t>
            </w:r>
          </w:p>
          <w:p w14:paraId="4F10FB8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过程：使用VR手柄点击调整泥土，点击泥培的各个角度，使得陶器的形态均匀对称。</w:t>
            </w:r>
          </w:p>
          <w:p w14:paraId="3E4F43A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打坯：将采集来的泥土放在陶轮上，手工或机械操作将泥块拉起，形成所需的陶器形状。</w:t>
            </w:r>
          </w:p>
          <w:p w14:paraId="0877C08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拉坯技巧：使用双手和工具调整泥土，掌握力度与速度，使得陶器的形态均匀对称。</w:t>
            </w:r>
          </w:p>
          <w:p w14:paraId="2077E3E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拉胚要点：</w:t>
            </w:r>
          </w:p>
          <w:p w14:paraId="04B22D8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要确保泥土均匀分布，避免器物变形。</w:t>
            </w:r>
          </w:p>
          <w:p w14:paraId="7E0EE6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需要熟练的技巧，特别是在掌握泥土湿度和控制拉制速度时。</w:t>
            </w:r>
          </w:p>
          <w:p w14:paraId="5CA015B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雕刻：雕刻是在陶器成型后的表面装饰工艺，通常采用手工雕刻技术。雕刻不仅可以增强陶器的视觉效果，还能增加其艺术价值。常见的雕刻图案有花卉、山水、人物、动物等，反映了当地的自然景观与文化特色。</w:t>
            </w:r>
          </w:p>
          <w:p w14:paraId="6C3ADC1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w:t>
            </w:r>
          </w:p>
          <w:p w14:paraId="6E9003A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使用VR手柄，点击使用各种雕刻工具，如雕刀、刻刀、细锉刀等，进行雕刻。</w:t>
            </w:r>
          </w:p>
          <w:p w14:paraId="1B6A9E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雕刻过程中，陶艺师要注意图案的层次感与立体感，避免图案过于单调。</w:t>
            </w:r>
          </w:p>
          <w:p w14:paraId="602E6E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雕刻要点：</w:t>
            </w:r>
          </w:p>
          <w:p w14:paraId="2858A4D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雕刻要精细，手法要细腻，避免破坏陶器的形态。</w:t>
            </w:r>
          </w:p>
          <w:p w14:paraId="22A0840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通过雕刻展现图案的深度与细节，使陶器更加生动。</w:t>
            </w:r>
          </w:p>
          <w:p w14:paraId="27651C3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④烧制：烧制是陶器制作中最关键的环节之一，它决定了陶器的硬度、强度以及表面效果。烧制过程可以分为两次，分别是素烧和釉烧。</w:t>
            </w:r>
          </w:p>
          <w:p w14:paraId="5446F5D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使用VR手柄点击，控制烧制温度和烧制时长，避免陶器在烧制过程中开裂或变形。</w:t>
            </w:r>
          </w:p>
          <w:p w14:paraId="0122BF9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素烧：将未上釉的陶器进行第一次高温烧制，目的是让陶器脱水并去除杂质，使陶器更坚固，温度一般在800°C到1000°C之间，具体温度根据泥土的种类和陶器的大小有所不同。</w:t>
            </w:r>
          </w:p>
          <w:p w14:paraId="22BA32C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釉烧：经过素烧后的陶器可以选择是否上釉。上釉后，再次进行高温烧制，使得陶器表面形成坚硬的釉层。釉烧的温度一般为1000°C到1300°C，具体取决于所用釉料的类型。</w:t>
            </w:r>
          </w:p>
          <w:p w14:paraId="56A383E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烧制要点：</w:t>
            </w:r>
          </w:p>
          <w:p w14:paraId="26C1C37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控制烧制温度和烧制时长，避免陶器在烧制过程中开裂或变形。</w:t>
            </w:r>
          </w:p>
          <w:p w14:paraId="45850AC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根据陶器的形状和大小，调整烧制的时间与温度，确保每一件陶器的完美烧成</w:t>
            </w:r>
          </w:p>
          <w:p w14:paraId="46EA7EB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⑤抛光：抛光是陶器制作中的最后一步，目的是使陶器表面更加光滑、亮丽，增加其质感和视觉效果。通过抛光，陶器表面能够反射更多的光线，从而显得更加精致。</w:t>
            </w:r>
          </w:p>
          <w:p w14:paraId="46A452A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过程：</w:t>
            </w:r>
          </w:p>
          <w:p w14:paraId="430EE7F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使用专门的抛光工具，如磨石、布料、木棒等，摩擦陶器表面，逐步去除细小的瑕疵。</w:t>
            </w:r>
          </w:p>
          <w:p w14:paraId="7332629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在陶器表面涂抹少量的油或蜡，再通过抛光工具进行抛光，使表面更加光滑。</w:t>
            </w:r>
          </w:p>
          <w:p w14:paraId="106F7D4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抛光要点：</w:t>
            </w:r>
          </w:p>
          <w:p w14:paraId="108B483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VR手柄点击模型进行抛光，抛光过程中要有耐心，逐渐提高光滑度。</w:t>
            </w:r>
          </w:p>
          <w:p w14:paraId="6F89538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抛光能增强陶器的质感，但过度抛光可能会破坏某些装饰效果，因此要根据作品的设计要求进行调整。</w:t>
            </w:r>
          </w:p>
          <w:p w14:paraId="2C0BDB6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⑥实时反馈：通过触觉反馈（控制器震动）或视觉提示（如警告信息、颜色变化）提醒学员注意操作步骤的正确性与安全性。</w:t>
            </w:r>
          </w:p>
          <w:p w14:paraId="29E9D83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⑦性能评估：根据学员的操作完成度与正确性评估其操作技巧，例如温度、溶剂比、萃取时间等是否符合设定参数。</w:t>
            </w:r>
          </w:p>
          <w:p w14:paraId="4DEC4BF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⑧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1ADBB60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⑨考试：设置操作考试，学员需要在限定时间内完成实验并达到规定的操作标准，通过后获得相应的评估结果。</w:t>
            </w:r>
          </w:p>
          <w:p w14:paraId="5715C71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536422E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四、交互与系统要求  </w:t>
            </w:r>
          </w:p>
          <w:p w14:paraId="321CFAC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（一）操作引导：所有模块需具备步骤指引功能，错误操作时实时提示并阻断流程，直至用户修正。  </w:t>
            </w:r>
          </w:p>
          <w:p w14:paraId="68E1938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（二）性能要求：  </w:t>
            </w:r>
          </w:p>
          <w:p w14:paraId="58380B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1.单场景面数不超过50万，帧率≥90 FPS，延迟≤20ms。  </w:t>
            </w:r>
          </w:p>
          <w:p w14:paraId="7CA11DA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2.支持HTC Vive、Oculus Rift等主流VR设备，适配SteamVR/OpenXR协议。  </w:t>
            </w:r>
          </w:p>
          <w:p w14:paraId="73B553A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3.扩展性：系统需预留接口，支持后续新增模块无缝接入。  </w:t>
            </w:r>
          </w:p>
          <w:p w14:paraId="3F19E46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51F99F7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五、交付与验收  </w:t>
            </w:r>
          </w:p>
          <w:p w14:paraId="13245A1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交付内容需包含系统安装包、模型源文件、操作手册及API文档。 </w:t>
            </w:r>
          </w:p>
        </w:tc>
        <w:tc>
          <w:tcPr>
            <w:tcW w:w="962" w:type="dxa"/>
            <w:vAlign w:val="center"/>
          </w:tcPr>
          <w:p w14:paraId="36419EDF">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5CAE218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1A5C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52D98ED5">
            <w:pPr>
              <w:tabs>
                <w:tab w:val="left" w:pos="180"/>
                <w:tab w:val="left" w:pos="1620"/>
              </w:tabs>
              <w:spacing w:line="400" w:lineRule="exact"/>
              <w:jc w:val="center"/>
              <w:rPr>
                <w:rFonts w:hint="eastAsia" w:ascii="宋体" w:hAnsi="宋体" w:eastAsia="宋体" w:cs="宋体"/>
                <w:color w:val="auto"/>
                <w:sz w:val="24"/>
                <w:szCs w:val="24"/>
                <w:highlight w:val="none"/>
              </w:rPr>
            </w:pPr>
          </w:p>
        </w:tc>
        <w:tc>
          <w:tcPr>
            <w:tcW w:w="925" w:type="dxa"/>
            <w:vMerge w:val="continue"/>
            <w:vAlign w:val="center"/>
          </w:tcPr>
          <w:p w14:paraId="58CBB6E2">
            <w:pPr>
              <w:widowControl/>
              <w:snapToGrid w:val="0"/>
              <w:spacing w:line="400" w:lineRule="exact"/>
              <w:jc w:val="center"/>
              <w:rPr>
                <w:rFonts w:hint="eastAsia" w:ascii="宋体" w:hAnsi="宋体" w:eastAsia="宋体" w:cs="宋体"/>
                <w:color w:val="auto"/>
                <w:sz w:val="24"/>
                <w:szCs w:val="24"/>
                <w:highlight w:val="none"/>
                <w:lang w:eastAsia="zh-CN"/>
              </w:rPr>
            </w:pPr>
          </w:p>
        </w:tc>
        <w:tc>
          <w:tcPr>
            <w:tcW w:w="750" w:type="dxa"/>
            <w:gridSpan w:val="2"/>
            <w:vMerge w:val="continue"/>
            <w:vAlign w:val="center"/>
          </w:tcPr>
          <w:p w14:paraId="7FF9F894">
            <w:pPr>
              <w:widowControl/>
              <w:snapToGrid w:val="0"/>
              <w:spacing w:line="400" w:lineRule="exact"/>
              <w:rPr>
                <w:rFonts w:hint="eastAsia" w:ascii="宋体" w:hAnsi="宋体" w:eastAsia="宋体" w:cs="宋体"/>
                <w:color w:val="auto"/>
                <w:sz w:val="24"/>
                <w:szCs w:val="24"/>
                <w:highlight w:val="none"/>
                <w:lang w:val="en-US" w:eastAsia="zh-CN"/>
              </w:rPr>
            </w:pPr>
          </w:p>
        </w:tc>
        <w:tc>
          <w:tcPr>
            <w:tcW w:w="4988" w:type="dxa"/>
            <w:vAlign w:val="center"/>
          </w:tcPr>
          <w:p w14:paraId="666D98DE">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VR虚拟互动资源：风雨桥榫卯结构</w:t>
            </w:r>
          </w:p>
          <w:p w14:paraId="1E175BC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一、总体要求  </w:t>
            </w:r>
          </w:p>
          <w:p w14:paraId="3BBB9BA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（一）系统需基于虚拟引擎开发，确保与采购方现有虚拟实训室硬件及软件环境兼容，包括但不限于VR头显、手柄、定位基站等设备。  </w:t>
            </w:r>
          </w:p>
          <w:p w14:paraId="7E37DA0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（二）系统需内置3个标准化虚拟实训模块，具体为：茉莉花精油萃取模块 、坭兴陶制作流程模块、风雨桥榫卯结构。  </w:t>
            </w:r>
          </w:p>
          <w:p w14:paraId="10E5B83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（三）所有交互操作需支持采购方现有VR手柄实现，包括抓取、组装、拆卸、工具使用等沉浸式互动功能。  </w:t>
            </w:r>
          </w:p>
          <w:p w14:paraId="752BC79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3EAF54C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二、模型制作规范  </w:t>
            </w:r>
          </w:p>
          <w:p w14:paraId="3C80C38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（一）计量单位：模型制作统一以“米”（m）为单位，采用外表面几何结构建模，复杂细节可酌情使用贴图替代高精度几何体。  </w:t>
            </w:r>
          </w:p>
          <w:p w14:paraId="372E304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（二）轴心点：所有模型轴心点需统一设置在基底几何中心。  </w:t>
            </w:r>
          </w:p>
          <w:p w14:paraId="4C9C1B8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（三）面间距：同一法线方向的两个面间距不得小于2cm。  </w:t>
            </w:r>
          </w:p>
          <w:p w14:paraId="22C4A4F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（四）几何精度：  </w:t>
            </w:r>
          </w:p>
          <w:p w14:paraId="5A89027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1.弧线结构最大分段数≤8边；  </w:t>
            </w:r>
          </w:p>
          <w:p w14:paraId="099788E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2.柱形结构最大分段数≤16边；  </w:t>
            </w:r>
          </w:p>
          <w:p w14:paraId="1077E12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3.球形结构最大分段数≤24边。  </w:t>
            </w:r>
          </w:p>
          <w:p w14:paraId="7CB15F8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（五）顶点处理：同一坐标位置的顶点需焊接，避免模型破面或闪烁。  </w:t>
            </w:r>
          </w:p>
          <w:p w14:paraId="3B16553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658A978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三、模块功能要求  </w:t>
            </w:r>
          </w:p>
          <w:p w14:paraId="15CC251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（一）系统概述</w:t>
            </w:r>
          </w:p>
          <w:p w14:paraId="645505F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本系统基于先进的虚拟引擎开发，支持VR全沉浸式交互。系统涵盖风雨桥文化认知、榫卯制作原理学习、全流程虚拟实操三大模块，支持单人训练与多角色协作。</w:t>
            </w:r>
          </w:p>
          <w:p w14:paraId="25179D1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（二）核心功能模块</w:t>
            </w:r>
          </w:p>
          <w:p w14:paraId="7C09E71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1.风雨桥榫卯结构</w:t>
            </w:r>
          </w:p>
          <w:p w14:paraId="5FFB3E4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（1）理论知识:以视频、图片、文字形式展示,使用VR头盔进行交互观看,可进行快速跳转进度,功能选择关闭等操作.</w:t>
            </w:r>
          </w:p>
          <w:p w14:paraId="57B1504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①风雨桥认知模块:以视频、图片、文字形式展示,使用VR头盔进行交互观看,可进行快速跳转进度,功能选择关闭等操作.</w:t>
            </w:r>
          </w:p>
          <w:p w14:paraId="6B608D2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②历史与价值展示 </w:t>
            </w:r>
          </w:p>
          <w:p w14:paraId="02A12C0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动态视频展示：风雨桥起源于中国南方，尤其在贵州、广西、云南等地的少数民族地区广泛存在。最早的风雨桥可以追溯到明清时期，它结合了桥梁与凉亭的功能，形成了一种独特的建筑类型。</w:t>
            </w:r>
          </w:p>
          <w:p w14:paraId="6057A5A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③风雨桥设计工艺:</w:t>
            </w:r>
          </w:p>
          <w:p w14:paraId="0DA3967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榫卯结构</w:t>
            </w:r>
          </w:p>
          <w:p w14:paraId="10CB607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木柱与梁架</w:t>
            </w:r>
          </w:p>
          <w:p w14:paraId="431D3F8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屋顶设计与构建</w:t>
            </w:r>
          </w:p>
          <w:p w14:paraId="5D66FA5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雕刻与装饰</w:t>
            </w:r>
          </w:p>
          <w:p w14:paraId="2F5443E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（2）理论知识随堂测验：学习结束后以随堂测验，题型包括单选、多选、判断，每项题数不少于100题，题目进行考核并给出测验分数选择题</w:t>
            </w:r>
          </w:p>
          <w:p w14:paraId="154D2D1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（3）虚拟实训模块</w:t>
            </w:r>
          </w:p>
          <w:p w14:paraId="08269A4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①选材</w:t>
            </w:r>
          </w:p>
          <w:p w14:paraId="1F9697A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实现方式:以VR手柄射线点击抓取方式展示下各类材料,以文字解说的方式介绍各类材料的特点,风雨桥所使用的材料.</w:t>
            </w:r>
          </w:p>
          <w:p w14:paraId="3BE7512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风雨桥的材料选择是确保其结构稳固、耐久且具有美观的重要环节。常见的主要材料有：</w:t>
            </w:r>
          </w:p>
          <w:p w14:paraId="0B08D87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木材：主要用于桥面、桥栏、桥梁的结构框架，尤其是榫卯结构和雕刻部分。选材上通常使用当地的硬木，如松木、杉木或楠木等，这些木材质地坚固，抗腐蚀性强，适合长期使用。</w:t>
            </w:r>
          </w:p>
          <w:p w14:paraId="0A40160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石材：用于桥墩和基础部分，选用质地坚硬、抗压能力强的石材，确保桥梁的稳固性。</w:t>
            </w:r>
          </w:p>
          <w:p w14:paraId="0F61625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瓦片或青砖：用于屋顶和桥面装饰，风雨桥的屋顶通常采用重檐式屋顶，瓦片在保证屋顶稳固的同时，也起到防水的作用。</w:t>
            </w:r>
          </w:p>
          <w:p w14:paraId="618E0B7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铁件：在一些较大、结构复杂的风雨桥中，为了增强整体的抗风性和耐久性，可能会使用一些铁件作为辅助结构。</w:t>
            </w:r>
          </w:p>
          <w:p w14:paraId="5968D2A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②榫卯结构</w:t>
            </w:r>
          </w:p>
          <w:p w14:paraId="42D57F8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实现方式:以VR手柄射线点击抓取方式展示风雨桥使用的榫卯结构,以视频或交互拼装的方式进行讲解.</w:t>
            </w:r>
          </w:p>
          <w:p w14:paraId="10FFA70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最具特色的工艺是榫卯结构，它是中国古代建筑的一项重要技术。榫卯结构不使用钉子和铁件，而是通过木材之间精巧的拼接和连接形成稳固的框架。通过榫头和卯眼的互相配合，使得木材之间相互咬合，从而提高了结构的稳固性和抗震性。</w:t>
            </w:r>
          </w:p>
          <w:p w14:paraId="700701F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工艺特点：榫卯的连接非常精细，使用VR手柄的方式通过传统的手工工具，如凿子、锯子等进行雕刻。</w:t>
            </w:r>
          </w:p>
          <w:p w14:paraId="368C51B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结构形式：VR 手柄点击放大桥梁的立柱、横梁、屋顶的檩条等部件，采用互相嵌合、互相支撑的榫卯连接方式，不仅能增强稳定性，还使得桥梁具有极高的美学价值。</w:t>
            </w:r>
          </w:p>
          <w:p w14:paraId="3D4020E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③施工工艺</w:t>
            </w:r>
          </w:p>
          <w:p w14:paraId="6CB7021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实现方式:以VR手柄射线点击抓取方式播放动画或交互</w:t>
            </w:r>
          </w:p>
          <w:p w14:paraId="604141F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搭建桥墩：首先在桥的两端构建坚固的石墩或木桩，这些基础部分为整个桥梁提供支撑。</w:t>
            </w:r>
          </w:p>
          <w:p w14:paraId="07DFE62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立柱与横梁的搭建：根据榫卯结构的要求，安装立柱、横梁、支撑杆等部件，连接形成桥的框架。</w:t>
            </w:r>
          </w:p>
          <w:p w14:paraId="54ACB57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桥面铺设：在完成主框架后，桥面通常由木板或石板铺设，这一过程中要考虑到桥面的平整度和稳定性。</w:t>
            </w:r>
          </w:p>
          <w:p w14:paraId="20A0406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屋顶安装：屋顶的重檐式结构需要精确对接，瓦片和木结构的配合需要根据具体的气候和地形特点来调整，以保证防水和防风效果。</w:t>
            </w:r>
          </w:p>
          <w:p w14:paraId="11B5DA0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④实时反馈：通过触觉反馈（控制器震动）或视觉提示（如警告信息、颜色变化）提醒学员注意操作步骤的正确性与安全性。</w:t>
            </w:r>
          </w:p>
          <w:p w14:paraId="394E769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⑤性能评估：根据学员的操作完成度与正确性评估其操作技巧，例如温度、溶剂比、萃取时间等是否符合设定参数。</w:t>
            </w:r>
          </w:p>
          <w:p w14:paraId="5F0D88C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76AF1D9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⑦考试：设置操作考试，学员需要在限定时间内完成实验并达到规定的操作标准，通过后获得相应的评估结果。</w:t>
            </w:r>
          </w:p>
          <w:p w14:paraId="4A0688C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37C1620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四、交互与系统要求  </w:t>
            </w:r>
          </w:p>
          <w:p w14:paraId="04A68F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（一）操作引导：所有模块需具备步骤指引功能，错误操作时实时提示并阻断流程，直至用户修正。  </w:t>
            </w:r>
          </w:p>
          <w:p w14:paraId="3B2DAAE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（二）性能要求：  </w:t>
            </w:r>
          </w:p>
          <w:p w14:paraId="393DEF6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1.单场景面数不超过50万，帧率≥90 FPS，延迟≤20ms。  </w:t>
            </w:r>
          </w:p>
          <w:p w14:paraId="465ED96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2.支持HTC Vive、Oculus Rift等主流VR设备，适配SteamVR/OpenXR协议。  </w:t>
            </w:r>
          </w:p>
          <w:p w14:paraId="262959D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3.扩展性：系统需预留接口，支持后续新增模块无缝接入。  </w:t>
            </w:r>
          </w:p>
          <w:p w14:paraId="3D63D08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04D9BF1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五、交付与验收  </w:t>
            </w:r>
          </w:p>
          <w:p w14:paraId="21E0D3F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交付内容需包含系统安装包、模型源文件、操作手册及API文档。 </w:t>
            </w:r>
          </w:p>
        </w:tc>
        <w:tc>
          <w:tcPr>
            <w:tcW w:w="962" w:type="dxa"/>
            <w:vAlign w:val="center"/>
          </w:tcPr>
          <w:p w14:paraId="197389D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5BBCBD56">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31E3F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5B425F74">
            <w:pPr>
              <w:tabs>
                <w:tab w:val="left" w:pos="180"/>
                <w:tab w:val="left" w:pos="1620"/>
              </w:tabs>
              <w:spacing w:line="400" w:lineRule="exact"/>
              <w:jc w:val="center"/>
              <w:rPr>
                <w:rFonts w:hint="eastAsia" w:ascii="宋体" w:hAnsi="宋体" w:eastAsia="宋体" w:cs="宋体"/>
                <w:color w:val="auto"/>
                <w:sz w:val="24"/>
                <w:szCs w:val="24"/>
                <w:highlight w:val="none"/>
              </w:rPr>
            </w:pPr>
          </w:p>
        </w:tc>
        <w:tc>
          <w:tcPr>
            <w:tcW w:w="925" w:type="dxa"/>
            <w:vMerge w:val="continue"/>
            <w:vAlign w:val="center"/>
          </w:tcPr>
          <w:p w14:paraId="62613AB5">
            <w:pPr>
              <w:widowControl/>
              <w:snapToGrid w:val="0"/>
              <w:spacing w:line="400" w:lineRule="exact"/>
              <w:jc w:val="center"/>
              <w:rPr>
                <w:rFonts w:hint="eastAsia" w:ascii="宋体" w:hAnsi="宋体" w:eastAsia="宋体" w:cs="宋体"/>
                <w:color w:val="auto"/>
                <w:sz w:val="24"/>
                <w:szCs w:val="24"/>
                <w:highlight w:val="none"/>
                <w:lang w:eastAsia="zh-CN"/>
              </w:rPr>
            </w:pPr>
          </w:p>
        </w:tc>
        <w:tc>
          <w:tcPr>
            <w:tcW w:w="750" w:type="dxa"/>
            <w:gridSpan w:val="2"/>
            <w:vMerge w:val="continue"/>
            <w:vAlign w:val="center"/>
          </w:tcPr>
          <w:p w14:paraId="2A33E45E">
            <w:pPr>
              <w:widowControl/>
              <w:snapToGrid w:val="0"/>
              <w:spacing w:line="400" w:lineRule="exact"/>
              <w:rPr>
                <w:rFonts w:hint="eastAsia" w:ascii="宋体" w:hAnsi="宋体" w:eastAsia="宋体" w:cs="宋体"/>
                <w:color w:val="auto"/>
                <w:sz w:val="24"/>
                <w:szCs w:val="24"/>
                <w:highlight w:val="none"/>
                <w:lang w:val="en-US" w:eastAsia="zh-CN"/>
              </w:rPr>
            </w:pPr>
          </w:p>
        </w:tc>
        <w:tc>
          <w:tcPr>
            <w:tcW w:w="4988" w:type="dxa"/>
            <w:vAlign w:val="center"/>
          </w:tcPr>
          <w:p w14:paraId="2A77629C">
            <w:pPr>
              <w:numPr>
                <w:ilvl w:val="0"/>
                <w:numId w:val="0"/>
              </w:num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VR虚拟互动资源：风雨桥榫卯结构</w:t>
            </w:r>
          </w:p>
          <w:p w14:paraId="57E2448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一、总体要求  </w:t>
            </w:r>
          </w:p>
          <w:p w14:paraId="38B486F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（一）系统需基于虚拟引擎开发，确保与采购方现有虚拟实训室硬件及软件环境兼容，包括但不限于VR头显、手柄、定位基站等设备。  </w:t>
            </w:r>
          </w:p>
          <w:p w14:paraId="40F8BB8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（二）系统需内置3个标准化虚拟实训模块，具体为：茉莉花精油萃取模块 、坭兴陶制作流程模块、风雨桥榫卯结构。  </w:t>
            </w:r>
          </w:p>
          <w:p w14:paraId="52E8023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（三）所有交互操作需支持采购方现有VR手柄实现，包括抓取、组装、拆卸、工具使用等沉浸式互动功能。  </w:t>
            </w:r>
          </w:p>
          <w:p w14:paraId="079792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2FF31D0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二、模型制作规范  </w:t>
            </w:r>
          </w:p>
          <w:p w14:paraId="12B716F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（一）计量单位：模型制作统一以“米”（m）为单位，采用外表面几何结构建模，复杂细节可酌情使用贴图替代高精度几何体。  </w:t>
            </w:r>
          </w:p>
          <w:p w14:paraId="39ADEE0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（二）轴心点：所有模型轴心点需统一设置在基底几何中心。  </w:t>
            </w:r>
          </w:p>
          <w:p w14:paraId="5002DA4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（三）面间距：同一法线方向的两个面间距不得小于2cm。  </w:t>
            </w:r>
          </w:p>
          <w:p w14:paraId="6770957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（四）几何精度：  </w:t>
            </w:r>
          </w:p>
          <w:p w14:paraId="450E8E0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1.弧线结构最大分段数≤8边；  </w:t>
            </w:r>
          </w:p>
          <w:p w14:paraId="477059B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2.柱形结构最大分段数≤16边；  </w:t>
            </w:r>
          </w:p>
          <w:p w14:paraId="135FB19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3.球形结构最大分段数≤24边。  </w:t>
            </w:r>
          </w:p>
          <w:p w14:paraId="3215DBB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（五）顶点处理：同一坐标位置的顶点需焊接，避免模型破面或闪烁。  </w:t>
            </w:r>
          </w:p>
          <w:p w14:paraId="18A4F0C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6473E1F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三、模块功能要求  </w:t>
            </w:r>
          </w:p>
          <w:p w14:paraId="6AD5DA8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（一）系统概述</w:t>
            </w:r>
          </w:p>
          <w:p w14:paraId="0AA157A2">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本系统基于先进的虚拟引擎开发，支持VR全沉浸式交互。系统涵盖风雨桥文化认知、榫卯制作原理学习、全流程虚拟实操三大模块，支持单人训练与多角色协作。</w:t>
            </w:r>
          </w:p>
          <w:p w14:paraId="165B20D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（二）核心功能模块</w:t>
            </w:r>
          </w:p>
          <w:p w14:paraId="740C7AC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1.风雨桥榫卯结构</w:t>
            </w:r>
          </w:p>
          <w:p w14:paraId="0A62679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（1）理论知识:以视频、图片、文字形式展示,使用VR头盔进行交互观看,可进行快速跳转进度,功能选择关闭等操作.</w:t>
            </w:r>
          </w:p>
          <w:p w14:paraId="29ACC2A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①风雨桥认知模块:以视频、图片、文字形式展示,使用VR头盔进行交互观看,可进行快速跳转进度,功能选择关闭等操作.</w:t>
            </w:r>
          </w:p>
          <w:p w14:paraId="5F4741C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②历史与价值展示 </w:t>
            </w:r>
          </w:p>
          <w:p w14:paraId="35DF062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动态视频展示：风雨桥起源于中国南方，尤其在贵州、广西、云南等地的少数民族地区广泛存在。最早的风雨桥可以追溯到明清时期，它结合了桥梁与凉亭的功能，形成了一种独特的建筑类型。</w:t>
            </w:r>
          </w:p>
          <w:p w14:paraId="3AE567F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③风雨桥设计工艺:</w:t>
            </w:r>
          </w:p>
          <w:p w14:paraId="0021472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榫卯结构</w:t>
            </w:r>
          </w:p>
          <w:p w14:paraId="3EEA55B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木柱与梁架</w:t>
            </w:r>
          </w:p>
          <w:p w14:paraId="0096ED1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屋顶设计与构建</w:t>
            </w:r>
          </w:p>
          <w:p w14:paraId="2FB4543F">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雕刻与装饰</w:t>
            </w:r>
          </w:p>
          <w:p w14:paraId="749DE27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（2）理论知识随堂测验：学习结束后以随堂测验，题型包括单选、多选、判断，每项题数不少于100题，题目进行考核并给出测验分数选择题</w:t>
            </w:r>
          </w:p>
          <w:p w14:paraId="2F68D04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（3）虚拟实训模块</w:t>
            </w:r>
          </w:p>
          <w:p w14:paraId="61397B8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①选材</w:t>
            </w:r>
          </w:p>
          <w:p w14:paraId="53F2A7C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实现方式:以VR手柄射线点击抓取方式展示下各类材料,以文字解说的方式介绍各类材料的特点,风雨桥所使用的材料.</w:t>
            </w:r>
          </w:p>
          <w:p w14:paraId="46AE942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风雨桥的材料选择是确保其结构稳固、耐久且具有美观的重要环节。常见的主要材料有：</w:t>
            </w:r>
          </w:p>
          <w:p w14:paraId="301FFD5B">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木材：主要用于桥面、桥栏、桥梁的结构框架，尤其是榫卯结构和雕刻部分。选材上通常使用当地的硬木，如松木、杉木或楠木等，这些木材质地坚固，抗腐蚀性强，适合长期使用。</w:t>
            </w:r>
          </w:p>
          <w:p w14:paraId="08F0D33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石材：用于桥墩和基础部分，选用质地坚硬、抗压能力强的石材，确保桥梁的稳固性。</w:t>
            </w:r>
          </w:p>
          <w:p w14:paraId="36AC047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瓦片或青砖：用于屋顶和桥面装饰，风雨桥的屋顶通常采用重檐式屋顶，瓦片在保证屋顶稳固的同时，也起到防水的作用。</w:t>
            </w:r>
          </w:p>
          <w:p w14:paraId="00B8960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铁件：在一些较大、结构复杂的风雨桥中，为了增强整体的抗风性和耐久性，可能会使用一些铁件作为辅助结构。</w:t>
            </w:r>
          </w:p>
          <w:p w14:paraId="2DC7E1C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②榫卯结构</w:t>
            </w:r>
          </w:p>
          <w:p w14:paraId="18BAC95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实现方式:以VR手柄射线点击抓取方式展示风雨桥使用的榫卯结构,以视频或交互拼装的方式进行讲解.</w:t>
            </w:r>
          </w:p>
          <w:p w14:paraId="5DF08D4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风雨桥的最具特色的工艺是榫卯结构，它是中国古代建筑的一项重要技术。榫卯结构不使用钉子和铁件，而是通过木材之间精巧的拼接和连接形成稳固的框架。通过榫头和卯眼的互相配合，使得木材之间相互咬合，从而提高了结构的稳固性和抗震性。</w:t>
            </w:r>
          </w:p>
          <w:p w14:paraId="2D0DD67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工艺特点：榫卯的连接非常精细，使用VR手柄的方式通过传统的手工工具，如凿子、锯子等进行雕刻。</w:t>
            </w:r>
          </w:p>
          <w:p w14:paraId="129160DE">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结构形式：VR 手柄点击放大桥梁的立柱、横梁、屋顶的檩条等部件，采用互相嵌合、互相支撑的榫卯连接方式，不仅能增强稳定性，还使得桥梁具有极高的美学价值。</w:t>
            </w:r>
          </w:p>
          <w:p w14:paraId="0C9AB44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③施工工艺</w:t>
            </w:r>
          </w:p>
          <w:p w14:paraId="775C5756">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实现方式:以VR手柄射线点击抓取方式播放动画或交互</w:t>
            </w:r>
          </w:p>
          <w:p w14:paraId="70F217E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搭建桥墩：首先在桥的两端构建坚固的石墩或木桩，这些基础部分为整个桥梁提供支撑。</w:t>
            </w:r>
          </w:p>
          <w:p w14:paraId="35B4C19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立柱与横梁的搭建：根据榫卯结构的要求，安装立柱、横梁、支撑杆等部件，连接形成桥的框架。</w:t>
            </w:r>
          </w:p>
          <w:p w14:paraId="60DFCDA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桥面铺设：在完成主框架后，桥面通常由木板或石板铺设，这一过程中要考虑到桥面的平整度和稳定性。</w:t>
            </w:r>
          </w:p>
          <w:p w14:paraId="5268D51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屋顶安装：屋顶的重檐式结构需要精确对接，瓦片和木结构的配合需要根据具体的气候和地形特点来调整，以保证防水和防风效果。</w:t>
            </w:r>
          </w:p>
          <w:p w14:paraId="0F12649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④实时反馈：通过触觉反馈（控制器震动）或视觉提示（如警告信息、颜色变化）提醒学员注意操作步骤的正确性与安全性。</w:t>
            </w:r>
          </w:p>
          <w:p w14:paraId="59FEC305">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⑤性能评估：根据学员的操作完成度与正确性评估其操作技巧，例如温度、溶剂比、萃取时间等是否符合设定参数。</w:t>
            </w:r>
          </w:p>
          <w:p w14:paraId="70C5CA1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习模式：指导模式：系统提供虚拟导师或指导员，在每个操作步骤中给出指导和建议，帮助学员完成实验；自由探索模式：学员可以根据自己的兴趣自由探索不同的萃取条件与操作步骤，并通过实验结果进行对比和总结。</w:t>
            </w:r>
          </w:p>
          <w:p w14:paraId="322CC5CA">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⑦考试：设置操作考试，学员需要在限定时间内完成实验并达到规定的操作标准，通过后获得相应的评估结果。</w:t>
            </w:r>
          </w:p>
          <w:p w14:paraId="01DFC868">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1DC4C9F0">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四、交互与系统要求  </w:t>
            </w:r>
          </w:p>
          <w:p w14:paraId="749A0F9D">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（一）操作引导：所有模块需具备步骤指引功能，错误操作时实时提示并阻断流程，直至用户修正。  </w:t>
            </w:r>
          </w:p>
          <w:p w14:paraId="7A6330F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（二）性能要求：  </w:t>
            </w:r>
          </w:p>
          <w:p w14:paraId="1A227C1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1.单场景面数不超过50万，帧率≥90 FPS，延迟≤20ms。  </w:t>
            </w:r>
          </w:p>
          <w:p w14:paraId="57EBE527">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2.支持HTC Vive、Oculus Rift等主流VR设备，适配SteamVR/OpenXR协议。  </w:t>
            </w:r>
          </w:p>
          <w:p w14:paraId="12B4F061">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3.扩展性：系统需预留接口，支持后续新增模块无缝接入。  </w:t>
            </w:r>
          </w:p>
          <w:p w14:paraId="5D2EC574">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p>
          <w:p w14:paraId="0347FE73">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五、交付与验收  </w:t>
            </w:r>
          </w:p>
          <w:p w14:paraId="2EFE3B6C">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交付内容需包含系统安装包、模型源文件、操作手册及API文档。 </w:t>
            </w:r>
          </w:p>
        </w:tc>
        <w:tc>
          <w:tcPr>
            <w:tcW w:w="962" w:type="dxa"/>
            <w:vAlign w:val="center"/>
          </w:tcPr>
          <w:p w14:paraId="1B04BCDB">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c>
          <w:tcPr>
            <w:tcW w:w="983" w:type="dxa"/>
            <w:vAlign w:val="center"/>
          </w:tcPr>
          <w:p w14:paraId="7FFF4C01">
            <w:pPr>
              <w:spacing w:line="400" w:lineRule="exact"/>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9.2</w:t>
            </w:r>
          </w:p>
        </w:tc>
      </w:tr>
      <w:tr w14:paraId="5B8E7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3AD176B4">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25" w:type="dxa"/>
            <w:vAlign w:val="center"/>
          </w:tcPr>
          <w:p w14:paraId="31C7516C">
            <w:pPr>
              <w:widowControl/>
              <w:snapToGrid w:val="0"/>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工作手册式数字化教材出版服务</w:t>
            </w:r>
          </w:p>
        </w:tc>
        <w:tc>
          <w:tcPr>
            <w:tcW w:w="750" w:type="dxa"/>
            <w:gridSpan w:val="2"/>
            <w:vAlign w:val="center"/>
          </w:tcPr>
          <w:p w14:paraId="5F5791C7">
            <w:pPr>
              <w:widowControl/>
              <w:snapToGrid w:val="0"/>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部</w:t>
            </w:r>
          </w:p>
        </w:tc>
        <w:tc>
          <w:tcPr>
            <w:tcW w:w="4988" w:type="dxa"/>
            <w:vAlign w:val="center"/>
          </w:tcPr>
          <w:p w14:paraId="765205F4">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该项目为出版电子教材，基于学校已有的数字化教学资源出版为电子教材。</w:t>
            </w:r>
          </w:p>
          <w:p w14:paraId="2275A3FD">
            <w:pPr>
              <w:numPr>
                <w:ilvl w:val="0"/>
                <w:numId w:val="0"/>
              </w:num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（一）数字教材与在线课程结合，丰富教材的内涵</w:t>
            </w:r>
          </w:p>
          <w:p w14:paraId="50DDE088">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需要配套较为完整的数字化教学资源，数字化教学资源部分以单个任务为单位组织教学，使得在线课程部分可承载PPT、活动、音视频、动画、图片、讨论、章节测验、拓展阅读、作业、考试等内容资源，打造富媒体化、可交互式学习内容。多样化的内容呈现形式可满足不同个体的学习需求。</w:t>
            </w:r>
          </w:p>
          <w:p w14:paraId="545FA38C">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（二）大数据人工智能+专业编辑审校，保护知识产权</w:t>
            </w:r>
          </w:p>
          <w:p w14:paraId="111C79E7">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为教材提供ISBN号，在教材出版前提供审核校对。具体如下：</w:t>
            </w:r>
          </w:p>
          <w:p w14:paraId="557AF9E3">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1.教材编写培训：项目负责人对项目参建人员进行教材建设整体要求、教材内容及体例要求、教材具体建设流程及平台使用的培训，做好顶层设计。</w:t>
            </w:r>
          </w:p>
          <w:p w14:paraId="4CCCF1A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预审稿件：责任编辑审阅教材目录、样章、资源样例，根据《普通高等学校教材管理办法》等文件要求，给出整体修改意见，完善教材内容。预审人员具备相关专业素养，能够确认书稿名称、知识点及篇幅安排是否符合普通高等学校国家专业教学标准，同时能够确认书稿体例、样章是否符合相关出版要求。</w:t>
            </w:r>
          </w:p>
          <w:p w14:paraId="6C53630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编辑加工（一审）：责任编辑审读全书稿件，负责三审中的第一个审次，使稿件的内容更完善，体例更严谨，材料更准确，语言文字更通达，逻辑更严密，消除一般性差错，防止出现原则性错误。在教材及资源内容的政治性、知识性、文字规范性、体例格式统一性等方面把好关。</w:t>
            </w:r>
          </w:p>
          <w:p w14:paraId="7E5E949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二三审：二审应根据书稿内容质量、重点难点和一审加工情况，审读100%的正文和全部插图，对书稿质量及一审报告提出二审意见解决一审提出的问题。二审人员原则上须具有大学本科以上（含本科）学历，具有副编审以上（含副编审）专业技术职务或拥有被授予的二审权。三审根据书稿内容质量、重点难点和一、二审加工情况，有针对性地重点审读20%～100%的正文和50%插图。三审人员原则上须具有大学本科以上（含本科）学历，担任过二审工作，具有副编审以上（含副编审）专业技术职务或拥有被授予的三审权。出版社严格执行一审之后的复审与终审，并由相应加工记录留存。</w:t>
            </w:r>
          </w:p>
          <w:p w14:paraId="00E7E32E">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5.数字资源审核：责任编辑审核全书配套数字资源，对资源内容的政治思想性、科学性、适用性以及社会价值和文化学术价值进行审查，把好政治关、知识关。</w:t>
            </w:r>
          </w:p>
          <w:p w14:paraId="2B9FF8B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校对：责任校对按国家对图书出版“三审三校”的要求，完成三次校对工作，提升书稿整体质量，再次降低差错率。出版社具备规范的校对流程和较大规模的专职校对人员，能够完成一校、二校和三校的三校流程，并在每个环节都有相应的记录留存。二、数字教材设计排版。1.正文设计与排版：版式设计根据书稿内容及责任编辑提出的要求，从版式库中选取或自行设计版式。版式设计要统一、合理、美观、实用。出版社具备规范的排版流程和一定规模的专职设计排版人员，能够完成各类稿件的排版设计。</w:t>
            </w:r>
          </w:p>
          <w:p w14:paraId="40EAF42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7.提供教材、课程内容内审报告，确保课程内容达到混合式教学的需求。</w:t>
            </w:r>
          </w:p>
          <w:p w14:paraId="0E13F13F">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8.绘图：绘图工作包括审图、图稿加工和整理等环节。</w:t>
            </w:r>
          </w:p>
          <w:p w14:paraId="1A857E76">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（1）出版社具备规范的图片重绘流程和一定规模的专职绘图人员，能够完成线条图、截屏图等图片的单色、双色、四色处理。</w:t>
            </w:r>
          </w:p>
          <w:p w14:paraId="70775B03">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（2）照片、截屏图上的图注和指示线需在矢量文件中分层加工标注；双色和四色图片上的图注，根据具体情况做叠印处理，加工后的图片影像清晰，色彩层次丰富。</w:t>
            </w:r>
          </w:p>
          <w:p w14:paraId="7BB871E2">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封面设计：封面设计应由具有相应专业技术职务的美术编辑担任，在坚持思想性、科学性、艺术性统一的原则下进行封面设计工作，封面图案应无政治、民族、宗教、国际关系、版权等问题，不允许出现知识性、常识性和文字差错。出版社具备规范的封面设计流程和一定规模的专职美编人员，能够完成各类封面的设计制作。</w:t>
            </w:r>
          </w:p>
          <w:p w14:paraId="1A9776EA">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（三）多终端、多角色连通，满足线上线下多场景教学需求</w:t>
            </w:r>
          </w:p>
          <w:p w14:paraId="091503A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配套的线上课程可在多终端建设和使用，满足信息化教学的多终端需求。在教学实践过程中，线上课程根据教学设计，可借助网络教学平台在课前学习、课堂教学、课后复习中与纸质教材配套使用。教师可以通过多终端发送学习内容和资料，学生可在不同终端实时接收学习任务，学校管理者可在管理端查看教学数据。同时，数字教材除适用于混合式教学模式外，也可用于辅助教学、纯网络教学等多种网络教学模式。</w:t>
            </w:r>
          </w:p>
          <w:p w14:paraId="1F6A6578">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（四）高效、可持续建设和维护机制</w:t>
            </w:r>
          </w:p>
          <w:p w14:paraId="2B05394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数字教材开发完成后，能够随技术进步、岗位要求变化、学情变化、培养目标调整进行调整和更新。修改的内容经过出版社审校后，能够随时根据教学需要基于平台进行内容的调整。</w:t>
            </w:r>
          </w:p>
          <w:p w14:paraId="703674ED">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（五）新型的教材内容体例，引领新型教学模式</w:t>
            </w:r>
          </w:p>
          <w:p w14:paraId="2D96B7AC">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在学情分析的基础上，需要按照“以学生为中心、以学习成果为导向、注重学生综合素质的培养”为思路来进行教学设计，以工作任务为导向，突出数字教材的“学习资料”功能。数字教材在教学应用时依托融合式教学信息化平台，可充分发挥在线教学的优势，按照德技并修，全面可持续发展的理念，形成以教师为主导、学生为主体的新型教学模式，在此过程中培养和强化学生自主学习、探究式学习和协作学习的能力，根据工作流程学习和掌握操作步骤，培养高素质的技术技能人才。</w:t>
            </w:r>
          </w:p>
          <w:p w14:paraId="3C312524">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（六）学、练、测、互动于一体，课内外学习于一体</w:t>
            </w:r>
          </w:p>
          <w:p w14:paraId="0DE84CC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资源部分包含丰富的PPT、音视频、动画、图片、讨论、测验、拓展阅读、考试等，任务点内容和练习测验紧密结合，可强化学习效果。学生在学习过程中可在线做笔记，问题探究与课程互动不受时间和空间的限制，淡化课内和课外的界限，随时随地自主学习。教学配套资源由学校提供，由中标公司负责审核修改。</w:t>
            </w:r>
          </w:p>
          <w:p w14:paraId="401F2CF8">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（七）教学资源和行为大数据化、精准记录并促进教学效果提升</w:t>
            </w:r>
          </w:p>
          <w:p w14:paraId="6C431331">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线上课程部分各类型资源等可精准统计，教师的教学行为和学生的学习行为都可被记录，通过课程平台的教学预警功能，形成良性督学机制。管理者也可通过管理端了解学校整体教学数据，全面把控教学质量。</w:t>
            </w:r>
          </w:p>
          <w:p w14:paraId="3DF807D0">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在融合式教学信息化平台，如超星学习通，智慧职教等公开信息化教学平台，能够实现自动采集学生学习大数据，8个大数据维度全方位考察和评价学生，形成多维度课程学习报告，课堂互动、签到、课程音视频、测验、讨论、作业、分组任务（PBL）及线上考试等的完成情况和成绩都可被采集，线下学习行为和数据也可纳入成绩体系，形成多维度的课程学习评价体系和成绩统计体系。</w:t>
            </w:r>
          </w:p>
          <w:p w14:paraId="4DD52CFB">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（九）在配套融合式教学信息化平台实现教材与课堂的深度结合</w:t>
            </w:r>
          </w:p>
          <w:p w14:paraId="6607BBB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数字教材的配套数字资源部分应用于课堂教学时，可以建立多个以班级为单位的学习组，有课堂签到，课后作业等课堂教学功能，从而实现教材与课堂的深度融合。</w:t>
            </w:r>
          </w:p>
          <w:p w14:paraId="62AF381B">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（十）能够实现学生自主学习、加入班学习等学习模式</w:t>
            </w:r>
          </w:p>
          <w:p w14:paraId="089BC00A">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学生购买数字教材并激活课程资源后，可根据教材上获取配套资源的指引，支持自主学或加入任课老师基于教材创建的班级进行跟班同步学习。    </w:t>
            </w:r>
          </w:p>
          <w:p w14:paraId="5BF09B58">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（十一）提供教材配套数字资源引用详情的查询入口</w:t>
            </w:r>
          </w:p>
          <w:p w14:paraId="0E4D5D68">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数字教材出版后，为师生提供教材配套数字资源详情和使用数据查询的入口激活码。教材作者可查询教材配套资源基于平台的总的开课数量、过程数据等数据</w:t>
            </w:r>
          </w:p>
          <w:p w14:paraId="4015076C">
            <w:pPr>
              <w:numPr>
                <w:ilvl w:val="0"/>
                <w:numId w:val="0"/>
              </w:numPr>
              <w:spacing w:line="400" w:lineRule="exact"/>
              <w:ind w:leftChars="0"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（十二）能够实现教材配套资源定价销售</w:t>
            </w:r>
          </w:p>
          <w:p w14:paraId="200742D9">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数字教材的配套资源可依据需求和具体情况，设置为定价销售。定价销售的教材需学生付费购买后使用。支持教师通过常通信工具（微信、QQ等）分享推荐学生学习使用。</w:t>
            </w:r>
          </w:p>
          <w:p w14:paraId="73899EB8">
            <w:pPr>
              <w:numPr>
                <w:ilvl w:val="0"/>
                <w:numId w:val="0"/>
              </w:numPr>
              <w:spacing w:line="400" w:lineRule="exact"/>
              <w:ind w:leftChars="0"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（十三）教材资源制作及应用推广服务</w:t>
            </w:r>
          </w:p>
          <w:p w14:paraId="2A5E4C6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教材出版后，由成交供应商根据书稿最终审校完毕的定稿制作教材配套的课件（不少于200页），2套试卷（含选择题、判断题和简单题），1套课外延伸案例（每章或每项目至少2个最近三年内的相关案例），并交主编审核确认。</w:t>
            </w:r>
          </w:p>
          <w:p w14:paraId="72974D6D">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2.成交供应商须向全国推广应用教材，并收集教材使用反馈意见，及时反馈采购人，以便修订时优化。反馈意见需提供3年，每年1次反馈，每年调研数据不少于100份。</w:t>
            </w:r>
          </w:p>
          <w:p w14:paraId="5951034B">
            <w:pPr>
              <w:numPr>
                <w:ilvl w:val="0"/>
                <w:numId w:val="0"/>
              </w:numPr>
              <w:spacing w:line="400" w:lineRule="exact"/>
              <w:ind w:leftChars="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成交供应商需全力支持教材的奖项申报工作，包括省（直辖市）级规划教材、国家级规划教材等奖项申报，申报次数不少于1次，积极提供教材相关佐证材料，包括教材发行数据、教材质量检查表、审校人员政审材料等，并协助主编邀请不少于1名学术专家（正高级职称）提供教材审核意见不少于1次。</w:t>
            </w:r>
          </w:p>
        </w:tc>
        <w:tc>
          <w:tcPr>
            <w:tcW w:w="962" w:type="dxa"/>
            <w:vAlign w:val="center"/>
          </w:tcPr>
          <w:p w14:paraId="31D0FCE3">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9.5</w:t>
            </w:r>
          </w:p>
        </w:tc>
        <w:tc>
          <w:tcPr>
            <w:tcW w:w="983" w:type="dxa"/>
            <w:vAlign w:val="center"/>
          </w:tcPr>
          <w:p w14:paraId="7A4386BA">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9.5</w:t>
            </w:r>
          </w:p>
        </w:tc>
      </w:tr>
      <w:tr w14:paraId="64004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24378C31">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25" w:type="dxa"/>
            <w:vAlign w:val="center"/>
          </w:tcPr>
          <w:p w14:paraId="0A04CC27">
            <w:pPr>
              <w:widowControl/>
              <w:snapToGrid w:val="0"/>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非遗环幕视频与动画制作</w:t>
            </w:r>
          </w:p>
        </w:tc>
        <w:tc>
          <w:tcPr>
            <w:tcW w:w="750" w:type="dxa"/>
            <w:gridSpan w:val="2"/>
            <w:vAlign w:val="center"/>
          </w:tcPr>
          <w:p w14:paraId="3AE592BB">
            <w:pPr>
              <w:widowControl/>
              <w:snapToGrid w:val="0"/>
              <w:spacing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1个</w:t>
            </w:r>
          </w:p>
        </w:tc>
        <w:tc>
          <w:tcPr>
            <w:tcW w:w="4988" w:type="dxa"/>
            <w:vAlign w:val="center"/>
          </w:tcPr>
          <w:p w14:paraId="02B00F1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一、视频与动画内容要求  </w:t>
            </w:r>
          </w:p>
          <w:p w14:paraId="29A3866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（一）环幕视频制作需与现场的投射幕布相匹配，视频分辨率满足环幕展示清晰度。</w:t>
            </w:r>
          </w:p>
          <w:p w14:paraId="78C052D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（二）视频内容不少于3分钟，视频采用视频与后期制作的方式进行开展。视频内容顺畅，画面连续，不得有明显拼接痕迹。</w:t>
            </w:r>
          </w:p>
          <w:p w14:paraId="5639AF6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视频内容为介绍四个部分，第一部分缘起老友，关于老友历史和发展。第二部分，老友粉说，提升老友文化内涵。第三部分，解密老友，从食品加工，营养与功效角度，解析老友价值。第四部分，老友创新，关于老友饺子老友饼之类的老友文化创新产品的研发。</w:t>
            </w:r>
          </w:p>
          <w:p w14:paraId="6B2A138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（四）视频脚本由供应商编写和修改，修改次数不低于2次且直到采购方满意和进行审核确认后，由供应商开展拍摄制作。</w:t>
            </w:r>
          </w:p>
          <w:p w14:paraId="2A182B3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视频内部分采用二维动画表现，动画内容部分占比不少于总视频时长的1/5，且需无缝嵌入视频中，需分镜脚本与视频叙事逻辑衔接，重点表现“老友文化内涵”及“创新产品研发”章节，‌视频最终呈现内容依据实际制作效果。</w:t>
            </w:r>
          </w:p>
          <w:p w14:paraId="6BD9A00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（六）视频播放应顺畅，不掉帧，同时影片匹配专业的音效与配音，影片画面整体大气。</w:t>
            </w:r>
          </w:p>
          <w:p w14:paraId="6D1029F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（七）为保证视频最终呈现效果，采购方根据提供样片提出修改建议，但修改次数不得超过2次.</w:t>
            </w:r>
          </w:p>
          <w:p w14:paraId="62A88AD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（八）视频部分内容需要实拍，实拍场地，烹饪人员，食材需要采购方提供，供应商提供拍摄人员，以及专业器材进行拍摄。 </w:t>
            </w:r>
          </w:p>
          <w:p w14:paraId="080A36C3">
            <w:pPr>
              <w:spacing w:line="400" w:lineRule="exact"/>
              <w:rPr>
                <w:rFonts w:hint="eastAsia" w:ascii="宋体" w:hAnsi="宋体" w:eastAsia="宋体" w:cs="宋体"/>
                <w:color w:val="auto"/>
                <w:sz w:val="24"/>
                <w:szCs w:val="24"/>
                <w:highlight w:val="none"/>
              </w:rPr>
            </w:pPr>
          </w:p>
          <w:p w14:paraId="2E022A9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二、视频技术标准与要求</w:t>
            </w:r>
          </w:p>
          <w:p w14:paraId="419AEDB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（一）分辨率与格式  </w:t>
            </w:r>
          </w:p>
          <w:p w14:paraId="085DA5E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基础要求：  </w:t>
            </w:r>
          </w:p>
          <w:p w14:paraId="307DDB0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分辨率：3840×2160-4096×2160，帧率可选24/25/30/50/60fps，帧率按实际需求配置。  </w:t>
            </w:r>
          </w:p>
          <w:p w14:paraId="51EB10D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编码格式：  </w:t>
            </w:r>
          </w:p>
          <w:p w14:paraId="7AE00AC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H.265（HEVC）或 H.264（MP4），码率≥50Mbps。  </w:t>
            </w:r>
          </w:p>
          <w:p w14:paraId="538B09C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拍摄设备  </w:t>
            </w:r>
          </w:p>
          <w:p w14:paraId="2BB6BDA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摄影机：  </w:t>
            </w:r>
          </w:p>
          <w:p w14:paraId="1E0A6A0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需使用ARRI Alexa Mini LF 或 RED KOMODO 6K及以上机型，搭配全画幅电影镜头。  </w:t>
            </w:r>
          </w:p>
          <w:p w14:paraId="4AFF90F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动态范围：  </w:t>
            </w:r>
          </w:p>
          <w:p w14:paraId="35946AA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提供未调色原始素材及调色后成片。  </w:t>
            </w:r>
          </w:p>
          <w:p w14:paraId="16751A2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 影调与色彩  </w:t>
            </w:r>
          </w:p>
          <w:p w14:paraId="5211D4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主色调：琥珀色（高光）+ 墨绿色（阴影），食物镜头需强化“油润感”（环形灯补光+后期HDR增强）。  </w:t>
            </w:r>
          </w:p>
          <w:p w14:paraId="4299591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质量控制：成片需无色彩断层、噪点可控，暗部细节清晰。</w:t>
            </w:r>
          </w:p>
          <w:p w14:paraId="367C1A1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（四）提供视频编辑的源文件，供采购方存档与后续修改。 </w:t>
            </w:r>
          </w:p>
          <w:p w14:paraId="29260356">
            <w:pPr>
              <w:spacing w:line="400" w:lineRule="exact"/>
              <w:rPr>
                <w:rFonts w:hint="eastAsia" w:ascii="宋体" w:hAnsi="宋体" w:eastAsia="宋体" w:cs="宋体"/>
                <w:color w:val="auto"/>
                <w:sz w:val="24"/>
                <w:szCs w:val="24"/>
                <w:highlight w:val="none"/>
              </w:rPr>
            </w:pPr>
          </w:p>
          <w:p w14:paraId="3A30FB7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三、音频技术标准  </w:t>
            </w:r>
          </w:p>
          <w:p w14:paraId="5B404D4C">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（一）录音设备：  </w:t>
            </w:r>
          </w:p>
          <w:p w14:paraId="7F476F25">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同期声：枪麦+多轨录制（收录烹饪环境音）。  </w:t>
            </w:r>
          </w:p>
          <w:p w14:paraId="3108718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人声：无线麦克风（支持降噪与防风处理）。  </w:t>
            </w:r>
          </w:p>
          <w:p w14:paraId="3644CF82">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（二）音频质量：  </w:t>
            </w:r>
          </w:p>
          <w:p w14:paraId="0DB8F07E">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采样率：48kHz（广播级）或96kHz（高保真），位深度24bit。  </w:t>
            </w:r>
          </w:p>
          <w:p w14:paraId="407F885D">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动态范围：人声峰值≤1dB，背景音乐≤8dB，不压盖人声。  </w:t>
            </w:r>
          </w:p>
          <w:p w14:paraId="2ED5E9B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（三）旁白要求：  </w:t>
            </w:r>
          </w:p>
          <w:p w14:paraId="2FCD2724">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男声配音（可带轻微方言腔调），音色需符合文旅类温暖亲切风格。  </w:t>
            </w:r>
          </w:p>
          <w:p w14:paraId="73FCE87A">
            <w:pPr>
              <w:spacing w:line="400" w:lineRule="exact"/>
              <w:rPr>
                <w:rFonts w:hint="eastAsia" w:ascii="宋体" w:hAnsi="宋体" w:eastAsia="宋体" w:cs="宋体"/>
                <w:color w:val="auto"/>
                <w:sz w:val="24"/>
                <w:szCs w:val="24"/>
                <w:highlight w:val="none"/>
              </w:rPr>
            </w:pPr>
          </w:p>
          <w:p w14:paraId="3A8A530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四、动画技术标准与要求</w:t>
            </w:r>
          </w:p>
          <w:p w14:paraId="0F41997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（一）分辨率与格式：动画序列帧或视频输出分辨率不低于3840×2160（4K），帧率与视频保持一致（24/25/30fps及以上），保障后期合成质量。  </w:t>
            </w:r>
          </w:p>
          <w:p w14:paraId="4E584747">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（二）动画风格：二维矢量或手绘风格，需提供风格设定稿（角色、场景、道具），色彩系统需与视频主色调（琥珀色+墨绿色）协调。  </w:t>
            </w:r>
          </w:p>
          <w:p w14:paraId="4352835B">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（三）动画流畅度：动作流畅自然，关键帧与中间帧需符合动画12法则，无跳帧、闪烁等技术瑕疵。</w:t>
            </w:r>
          </w:p>
          <w:p w14:paraId="47E624B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（四）原画与分镜：提供完整分镜头脚本和动画动态预览，经采购方确认后进入制作。</w:t>
            </w:r>
          </w:p>
          <w:p w14:paraId="161F3878">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（五）音频同步：动画部分配音、音效需与视频音频标准一致。  </w:t>
            </w:r>
          </w:p>
          <w:p w14:paraId="17912419">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（六）输出层级：需提供带透明通道的动画序列（含特效层），便于后期合成与调色。</w:t>
            </w:r>
          </w:p>
          <w:p w14:paraId="286DC0A6">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（七）色彩管理：动画部分需支持HDR调色，色彩深度不低于10bit，避免色彩断层。</w:t>
            </w:r>
          </w:p>
          <w:p w14:paraId="04763541">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（八）提供动画工程文件（如AE、TVPaint、Toon Boom等），二维动画部分需提供矢量源文件（如AI/SVG），动态图形需标注运动曲线参数‌，供采购方存档与后续修改。 </w:t>
            </w:r>
          </w:p>
          <w:p w14:paraId="3FE962D0">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（九）面数控制‌：影视级动画模型面数≤20万（需提供LOD分级方案），场景道具模型需优化至实时渲染级别‌</w:t>
            </w:r>
          </w:p>
        </w:tc>
        <w:tc>
          <w:tcPr>
            <w:tcW w:w="962" w:type="dxa"/>
            <w:vAlign w:val="center"/>
          </w:tcPr>
          <w:p w14:paraId="5DAD2B4C">
            <w:pPr>
              <w:pStyle w:val="84"/>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w:t>
            </w:r>
          </w:p>
        </w:tc>
        <w:tc>
          <w:tcPr>
            <w:tcW w:w="983" w:type="dxa"/>
            <w:vAlign w:val="center"/>
          </w:tcPr>
          <w:p w14:paraId="2436E8DC">
            <w:pPr>
              <w:pStyle w:val="84"/>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13.5</w:t>
            </w:r>
          </w:p>
        </w:tc>
      </w:tr>
      <w:tr w14:paraId="64FEB4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67" w:type="dxa"/>
            <w:gridSpan w:val="7"/>
            <w:tcBorders>
              <w:top w:val="single" w:color="auto" w:sz="4" w:space="0"/>
              <w:left w:val="single" w:color="auto" w:sz="4" w:space="0"/>
              <w:bottom w:val="single" w:color="auto" w:sz="4" w:space="0"/>
              <w:right w:val="single" w:color="auto" w:sz="4" w:space="0"/>
            </w:tcBorders>
          </w:tcPr>
          <w:p w14:paraId="0D687011">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商务要求</w:t>
            </w:r>
          </w:p>
        </w:tc>
      </w:tr>
      <w:tr w14:paraId="7033C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178F802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合同签订时间</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7133905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自成交通知书发出之日起25日内。</w:t>
            </w:r>
          </w:p>
        </w:tc>
      </w:tr>
      <w:tr w14:paraId="76F9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7BBEC2E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交付时间及地点</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7D6B0F1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1.交付时间：自签订合同之日起</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日内提交服务成果并验收完毕，满足使用条件。</w:t>
            </w:r>
          </w:p>
          <w:p w14:paraId="04D0A503">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2.交付地点：广西区内采购人指定地点。</w:t>
            </w:r>
          </w:p>
        </w:tc>
      </w:tr>
      <w:tr w14:paraId="53E05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98C2D56">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付款方式</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2101AB6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%。验收通过</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0%。合同签订后十五个工作日内，采购人支付合同总金额的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%；中标人通过验收后十五个工作日内即支付合同总金额的</w:t>
            </w:r>
            <w:r>
              <w:rPr>
                <w:rFonts w:hint="eastAsia" w:ascii="宋体" w:hAnsi="宋体" w:eastAsia="宋体" w:cs="宋体"/>
                <w:color w:val="auto"/>
                <w:sz w:val="24"/>
                <w:szCs w:val="24"/>
                <w:highlight w:val="none"/>
                <w:lang w:val="en-US" w:eastAsia="zh-CN"/>
              </w:rPr>
              <w:t>70</w:t>
            </w:r>
            <w:r>
              <w:rPr>
                <w:rFonts w:hint="eastAsia" w:ascii="宋体" w:hAnsi="宋体" w:eastAsia="宋体" w:cs="宋体"/>
                <w:color w:val="auto"/>
                <w:sz w:val="24"/>
                <w:szCs w:val="24"/>
                <w:highlight w:val="none"/>
              </w:rPr>
              <w:t>%每次付款前，成交供应商需提供请款函及该支付金额的合法有效发票。</w:t>
            </w:r>
          </w:p>
        </w:tc>
      </w:tr>
      <w:tr w14:paraId="7F552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89AF87D">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3E051A4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1.所有的</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建设均按采购人要求进行，服务成果须按采购人要求修改完善，直至采购人验收合格。</w:t>
            </w:r>
          </w:p>
          <w:p w14:paraId="3B1BEF02">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2.质保期2年，质保期内成交供应商免费按采购人要求调整或修改。</w:t>
            </w:r>
          </w:p>
          <w:p w14:paraId="7ACB0A75">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3.质保期内供应商免费负责为采购人提供以下技术支持和服务：</w:t>
            </w:r>
          </w:p>
          <w:p w14:paraId="34F1028C">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（1）提供上门服务或远程技术服务。成交供应商为采购人提供技术援助以电话、QQ、Email、微信等，解答采购人在使用中遇到的问题，提供7天×12小时服务，及时为采购人提出解决问题的建议。</w:t>
            </w:r>
          </w:p>
          <w:p w14:paraId="463EAA4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（2）现场响应：采购人遇到使用及技术问题，电话咨询不能解决的，成交供应商须在2小时内到达现场进行处理，4小时内解决问题，确保正常运行。</w:t>
            </w:r>
          </w:p>
          <w:p w14:paraId="69D72157">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4.质保期外供应商须持续免费为采购人提供远程线上咨询服务，或以成本价为采购人提供后续升级或其他技术支撑服务。</w:t>
            </w:r>
          </w:p>
        </w:tc>
      </w:tr>
      <w:tr w14:paraId="0FDEF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7E38F1B8">
            <w:pPr>
              <w:pStyle w:val="13"/>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验收要求</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061AB0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1.要求履约过程中所有服务行为、软件、成果文件等均不涉及任何法律纠纷。</w:t>
            </w:r>
          </w:p>
          <w:p w14:paraId="242C870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验收时由采购人或邀请有资质的第三方机构对照采购文件的技术指标全面核对检验，如不符合采购文件的技术需求或提供虚假承诺的，采购人有权拒绝验收，成交供应商承担所有责任和费用，采购人有权解除合同并保留进一步追究责任的权利。</w:t>
            </w:r>
          </w:p>
          <w:p w14:paraId="5FEB483E">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3.本项目须严格执行国家、地方及行业相关验收标准及规范。</w:t>
            </w:r>
          </w:p>
          <w:p w14:paraId="0599DF8F">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4.验收过程中所产生的一切费用均由成交供应商承担，报价时应考虑相关费用。</w:t>
            </w:r>
          </w:p>
        </w:tc>
      </w:tr>
      <w:tr w14:paraId="058551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339A80F7">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报价要求</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4BE76D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成交金额为完成项目所有服务所需的费用，包括但不限于劳务费、软硬件设备、机具材料费、交通费等、数据处理、成果文件编制出版、质量检查、培训等各种费用和售后服务、税金及其它所有成本费用的总和。合同履约期间采购人不再支付其他费用。</w:t>
            </w:r>
          </w:p>
        </w:tc>
      </w:tr>
      <w:tr w14:paraId="0A397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left w:val="single" w:color="auto" w:sz="4" w:space="0"/>
              <w:bottom w:val="single" w:color="auto" w:sz="4" w:space="0"/>
              <w:right w:val="single" w:color="auto" w:sz="4" w:space="0"/>
            </w:tcBorders>
            <w:vAlign w:val="center"/>
          </w:tcPr>
          <w:p w14:paraId="47691F21">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履约保证金的收取与退付</w:t>
            </w:r>
          </w:p>
        </w:tc>
        <w:tc>
          <w:tcPr>
            <w:tcW w:w="7085" w:type="dxa"/>
            <w:gridSpan w:val="4"/>
            <w:tcBorders>
              <w:top w:val="single" w:color="auto" w:sz="4" w:space="0"/>
              <w:left w:val="single" w:color="auto" w:sz="4" w:space="0"/>
              <w:bottom w:val="single" w:color="auto" w:sz="4" w:space="0"/>
              <w:right w:val="single" w:color="auto" w:sz="4" w:space="0"/>
            </w:tcBorders>
            <w:vAlign w:val="center"/>
          </w:tcPr>
          <w:p w14:paraId="35E58B7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本项目不收取履约保证金。</w:t>
            </w:r>
          </w:p>
        </w:tc>
      </w:tr>
      <w:tr w14:paraId="1FB3E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3"/>
            <w:tcBorders>
              <w:top w:val="single" w:color="auto" w:sz="4" w:space="0"/>
              <w:bottom w:val="single" w:color="auto" w:sz="4" w:space="0"/>
              <w:right w:val="single" w:color="auto" w:sz="4" w:space="0"/>
            </w:tcBorders>
            <w:vAlign w:val="center"/>
          </w:tcPr>
          <w:p w14:paraId="273D98C7">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其他要求</w:t>
            </w:r>
          </w:p>
        </w:tc>
        <w:tc>
          <w:tcPr>
            <w:tcW w:w="7085" w:type="dxa"/>
            <w:gridSpan w:val="4"/>
            <w:tcBorders>
              <w:top w:val="single" w:color="auto" w:sz="4" w:space="0"/>
              <w:left w:val="single" w:color="auto" w:sz="4" w:space="0"/>
              <w:bottom w:val="single" w:color="auto" w:sz="4" w:space="0"/>
            </w:tcBorders>
            <w:vAlign w:val="center"/>
          </w:tcPr>
          <w:p w14:paraId="0E270321">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平台</w:t>
            </w:r>
            <w:r>
              <w:rPr>
                <w:rFonts w:hint="eastAsia" w:ascii="宋体" w:hAnsi="宋体" w:eastAsia="宋体" w:cs="宋体"/>
                <w:color w:val="auto"/>
                <w:sz w:val="24"/>
                <w:szCs w:val="24"/>
                <w:highlight w:val="none"/>
              </w:rPr>
              <w:t>必须经采购人确认后方可进行开发和制作，并根据采购人意见进行完善，否则由此造成的损失由成交供应商自行承担。</w:t>
            </w:r>
          </w:p>
          <w:p w14:paraId="7540136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2.成交供应商须为本项目服务实施投入充足的服务人员和硬件设备，并确保竞标文件中的人员信息真实、有效。响应文件承诺的人员、设备必须如实投入到项目实施中，未经采购人同意不允许更换。</w:t>
            </w:r>
          </w:p>
          <w:p w14:paraId="5524F1D0">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3.服务成果知识产权归采购人所有，未经采购人允许，不得使用或以其它方式给任何第三方提供本项目的相关信息或数据或服务成果文件。</w:t>
            </w:r>
          </w:p>
          <w:p w14:paraId="32DB2540">
            <w:pPr>
              <w:pStyle w:val="79"/>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4.采购人使用成交供应商提供的产品及服务时免受第三方提出的侵犯其专利权或其它知识产权的起诉。如果第三方提出侵权指控，成交供应商应承担由此而引起的一切法律责任和费用。</w:t>
            </w:r>
          </w:p>
        </w:tc>
      </w:tr>
    </w:tbl>
    <w:p w14:paraId="77648E4F">
      <w:pPr>
        <w:spacing w:line="360" w:lineRule="auto"/>
        <w:ind w:right="2" w:rightChars="1"/>
        <w:outlineLvl w:val="0"/>
        <w:rPr>
          <w:rFonts w:hint="default" w:ascii="宋体" w:hAnsi="宋体" w:eastAsia="宋体" w:cs="宋体"/>
          <w:color w:val="auto"/>
          <w:sz w:val="24"/>
          <w:highlight w:val="none"/>
          <w:u w:val="none"/>
          <w:lang w:val="en-US" w:eastAsia="zh-CN"/>
        </w:rPr>
      </w:pPr>
      <w:r>
        <w:rPr>
          <w:rFonts w:hint="eastAsia" w:hAnsi="宋体" w:cs="宋体"/>
          <w:bCs/>
          <w:color w:val="auto"/>
          <w:sz w:val="24"/>
          <w:highlight w:val="none"/>
          <w:u w:val="single"/>
        </w:rPr>
        <w:br w:type="page"/>
      </w:r>
      <w:r>
        <w:rPr>
          <w:rFonts w:hint="eastAsia" w:ascii="宋体" w:hAnsi="宋体" w:cs="宋体"/>
          <w:b/>
          <w:bCs/>
          <w:color w:val="auto"/>
          <w:sz w:val="28"/>
          <w:szCs w:val="28"/>
          <w:highlight w:val="none"/>
          <w:u w:val="none"/>
          <w:lang w:val="en-US" w:eastAsia="zh-CN"/>
        </w:rPr>
        <w:t>2分标：</w:t>
      </w:r>
    </w:p>
    <w:tbl>
      <w:tblPr>
        <w:tblStyle w:val="3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9"/>
        <w:gridCol w:w="925"/>
        <w:gridCol w:w="525"/>
        <w:gridCol w:w="73"/>
        <w:gridCol w:w="5140"/>
        <w:gridCol w:w="962"/>
        <w:gridCol w:w="983"/>
      </w:tblGrid>
      <w:tr w14:paraId="40715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59" w:type="dxa"/>
            <w:vAlign w:val="center"/>
          </w:tcPr>
          <w:p w14:paraId="342C2AB5">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925" w:type="dxa"/>
            <w:vAlign w:val="center"/>
          </w:tcPr>
          <w:p w14:paraId="700D11D6">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服务</w:t>
            </w:r>
          </w:p>
          <w:p w14:paraId="14C6563D">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525" w:type="dxa"/>
            <w:vAlign w:val="center"/>
          </w:tcPr>
          <w:p w14:paraId="7D9848EF">
            <w:pPr>
              <w:tabs>
                <w:tab w:val="left" w:pos="180"/>
                <w:tab w:val="left" w:pos="1620"/>
              </w:tabs>
              <w:jc w:val="center"/>
              <w:rPr>
                <w:rFonts w:ascii="宋体" w:hAnsi="宋体" w:cs="宋体"/>
                <w:color w:val="auto"/>
                <w:sz w:val="24"/>
                <w:szCs w:val="24"/>
                <w:highlight w:val="none"/>
              </w:rPr>
            </w:pPr>
            <w:r>
              <w:rPr>
                <w:rFonts w:hint="eastAsia" w:ascii="宋体" w:hAnsi="宋体" w:cs="宋体"/>
                <w:color w:val="auto"/>
                <w:sz w:val="24"/>
                <w:szCs w:val="24"/>
                <w:highlight w:val="none"/>
              </w:rPr>
              <w:t>数量及单位</w:t>
            </w:r>
          </w:p>
        </w:tc>
        <w:tc>
          <w:tcPr>
            <w:tcW w:w="5213" w:type="dxa"/>
            <w:gridSpan w:val="2"/>
            <w:vAlign w:val="center"/>
          </w:tcPr>
          <w:p w14:paraId="16F99251">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服务要求</w:t>
            </w:r>
          </w:p>
        </w:tc>
        <w:tc>
          <w:tcPr>
            <w:tcW w:w="962" w:type="dxa"/>
            <w:vAlign w:val="center"/>
          </w:tcPr>
          <w:p w14:paraId="723A494E">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预算单价（万元</w:t>
            </w:r>
            <w:r>
              <w:rPr>
                <w:rFonts w:ascii="宋体" w:hAnsi="宋体" w:cs="宋体"/>
                <w:b/>
                <w:color w:val="auto"/>
                <w:sz w:val="24"/>
                <w:szCs w:val="24"/>
                <w:highlight w:val="none"/>
              </w:rPr>
              <w:t>/人民币</w:t>
            </w:r>
            <w:r>
              <w:rPr>
                <w:rFonts w:hint="eastAsia" w:ascii="宋体" w:hAnsi="宋体" w:cs="宋体"/>
                <w:b/>
                <w:color w:val="auto"/>
                <w:sz w:val="24"/>
                <w:szCs w:val="24"/>
                <w:highlight w:val="none"/>
              </w:rPr>
              <w:t>）</w:t>
            </w:r>
          </w:p>
        </w:tc>
        <w:tc>
          <w:tcPr>
            <w:tcW w:w="983" w:type="dxa"/>
          </w:tcPr>
          <w:p w14:paraId="7A766076">
            <w:pPr>
              <w:tabs>
                <w:tab w:val="left" w:pos="180"/>
                <w:tab w:val="left" w:pos="1620"/>
              </w:tabs>
              <w:jc w:val="center"/>
              <w:rPr>
                <w:rFonts w:ascii="宋体" w:hAnsi="宋体" w:cs="宋体"/>
                <w:b/>
                <w:color w:val="auto"/>
                <w:sz w:val="24"/>
                <w:szCs w:val="24"/>
                <w:highlight w:val="none"/>
              </w:rPr>
            </w:pPr>
            <w:r>
              <w:rPr>
                <w:rFonts w:hint="eastAsia" w:ascii="宋体" w:hAnsi="宋体" w:cs="宋体"/>
                <w:b/>
                <w:color w:val="auto"/>
                <w:sz w:val="24"/>
                <w:szCs w:val="24"/>
                <w:highlight w:val="none"/>
              </w:rPr>
              <w:t>单项预算合计（万元</w:t>
            </w:r>
            <w:r>
              <w:rPr>
                <w:rFonts w:ascii="宋体" w:hAnsi="宋体" w:cs="宋体"/>
                <w:b/>
                <w:color w:val="auto"/>
                <w:sz w:val="24"/>
                <w:szCs w:val="24"/>
                <w:highlight w:val="none"/>
              </w:rPr>
              <w:t>/</w:t>
            </w:r>
            <w:r>
              <w:rPr>
                <w:rFonts w:hint="eastAsia" w:ascii="宋体" w:hAnsi="宋体" w:cs="宋体"/>
                <w:b/>
                <w:color w:val="auto"/>
                <w:sz w:val="24"/>
                <w:szCs w:val="24"/>
                <w:highlight w:val="none"/>
              </w:rPr>
              <w:t>人民币）</w:t>
            </w:r>
          </w:p>
        </w:tc>
      </w:tr>
      <w:tr w14:paraId="3855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559" w:type="dxa"/>
            <w:vMerge w:val="restart"/>
            <w:vAlign w:val="center"/>
          </w:tcPr>
          <w:p w14:paraId="3D1AEBA7">
            <w:pPr>
              <w:tabs>
                <w:tab w:val="left" w:pos="180"/>
                <w:tab w:val="left" w:pos="1620"/>
              </w:tabs>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925" w:type="dxa"/>
            <w:vMerge w:val="restart"/>
            <w:vAlign w:val="center"/>
          </w:tcPr>
          <w:p w14:paraId="3169C2A1">
            <w:pPr>
              <w:widowControl/>
              <w:snapToGrid w:val="0"/>
              <w:spacing w:line="400" w:lineRule="exact"/>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虚拟仿真综合管理实训和展示平台</w:t>
            </w:r>
          </w:p>
        </w:tc>
        <w:tc>
          <w:tcPr>
            <w:tcW w:w="525" w:type="dxa"/>
            <w:vMerge w:val="restart"/>
            <w:vAlign w:val="center"/>
          </w:tcPr>
          <w:p w14:paraId="593784BB">
            <w:pPr>
              <w:widowControl/>
              <w:snapToGrid w:val="0"/>
              <w:spacing w:line="40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1套</w:t>
            </w:r>
          </w:p>
        </w:tc>
        <w:tc>
          <w:tcPr>
            <w:tcW w:w="5213" w:type="dxa"/>
            <w:gridSpan w:val="2"/>
            <w:vAlign w:val="center"/>
          </w:tcPr>
          <w:p w14:paraId="21DEDE64">
            <w:pPr>
              <w:spacing w:line="400" w:lineRule="exact"/>
              <w:rPr>
                <w:rFonts w:hint="eastAsia"/>
                <w:b w:val="0"/>
                <w:bCs w:val="0"/>
                <w:color w:val="auto"/>
                <w:sz w:val="24"/>
                <w:szCs w:val="24"/>
                <w:highlight w:val="none"/>
              </w:rPr>
            </w:pPr>
            <w:r>
              <w:rPr>
                <w:rFonts w:hint="eastAsia"/>
                <w:b w:val="0"/>
                <w:bCs w:val="0"/>
                <w:color w:val="auto"/>
                <w:sz w:val="24"/>
                <w:szCs w:val="24"/>
                <w:highlight w:val="none"/>
              </w:rPr>
              <w:t>一、数字孪生虚拟仿真实训基地交互展示系统：</w:t>
            </w:r>
          </w:p>
          <w:p w14:paraId="289824DB">
            <w:pPr>
              <w:spacing w:line="400" w:lineRule="exact"/>
              <w:rPr>
                <w:rFonts w:hint="eastAsia"/>
                <w:b w:val="0"/>
                <w:bCs w:val="0"/>
                <w:color w:val="auto"/>
                <w:sz w:val="24"/>
                <w:szCs w:val="24"/>
                <w:highlight w:val="none"/>
              </w:rPr>
            </w:pPr>
            <w:r>
              <w:rPr>
                <w:rFonts w:hint="eastAsia"/>
                <w:b w:val="0"/>
                <w:bCs w:val="0"/>
                <w:color w:val="auto"/>
                <w:sz w:val="24"/>
                <w:szCs w:val="24"/>
                <w:highlight w:val="none"/>
              </w:rPr>
              <w:t>（一）教学交互展示</w:t>
            </w:r>
          </w:p>
          <w:p w14:paraId="36B4A6E3">
            <w:pPr>
              <w:spacing w:line="400" w:lineRule="exact"/>
              <w:rPr>
                <w:rFonts w:hint="eastAsia"/>
                <w:b w:val="0"/>
                <w:bCs w:val="0"/>
                <w:color w:val="auto"/>
                <w:sz w:val="24"/>
                <w:szCs w:val="24"/>
                <w:highlight w:val="none"/>
              </w:rPr>
            </w:pPr>
            <w:r>
              <w:rPr>
                <w:rFonts w:hint="eastAsia"/>
                <w:b w:val="0"/>
                <w:bCs w:val="0"/>
                <w:color w:val="auto"/>
                <w:sz w:val="24"/>
                <w:szCs w:val="24"/>
                <w:highlight w:val="none"/>
              </w:rPr>
              <w:t>本部分为定制AI教学交互展示功能的描述，基于可视化信息门户，通过自定义UI定制，展现学校特色。通过后台管理系统，管理员可配置栏目、发布内容，并构建多级组织架构，实现用户、资源的动态关联。系统支持多角色登录（如管理员、教师、学生），不同角色享有差异化功能界面。教师可管理课程、批改报告、发布成绩，学生则可参与实训项目、查看开放资源及个人学情数据。</w:t>
            </w:r>
          </w:p>
          <w:p w14:paraId="2F91BCF1">
            <w:pPr>
              <w:spacing w:line="400" w:lineRule="exact"/>
              <w:rPr>
                <w:rFonts w:hint="eastAsia"/>
                <w:b w:val="0"/>
                <w:bCs w:val="0"/>
                <w:color w:val="auto"/>
                <w:sz w:val="24"/>
                <w:szCs w:val="24"/>
                <w:highlight w:val="none"/>
              </w:rPr>
            </w:pPr>
            <w:r>
              <w:rPr>
                <w:rFonts w:hint="eastAsia"/>
                <w:b w:val="0"/>
                <w:bCs w:val="0"/>
                <w:color w:val="auto"/>
                <w:sz w:val="24"/>
                <w:szCs w:val="24"/>
                <w:highlight w:val="none"/>
              </w:rPr>
              <w:t>核心功能涵盖全流程教学管理，包括课程开设、虚拟仿真资源维护、成绩导入与统计分析。平台内置智能学情评估，通过多维数据（如成绩分段、错误率排行、学习时长）生成学生画像，并支持班级、专业层面的可视化对比。教师还能利用AI数字人克隆技术，上传照片与语音生成高度拟真的虚拟形象（相似度≥90%），结合多模型对话（集成豆包AI、Deepseek等大模型），为学生提供智能答疑、案例润色等辅助功能，显著提升课堂互动性。</w:t>
            </w:r>
          </w:p>
          <w:p w14:paraId="3DDA8430">
            <w:pPr>
              <w:spacing w:line="400" w:lineRule="exact"/>
              <w:rPr>
                <w:rFonts w:hint="eastAsia"/>
                <w:b w:val="0"/>
                <w:bCs w:val="0"/>
                <w:color w:val="auto"/>
                <w:sz w:val="24"/>
                <w:szCs w:val="24"/>
                <w:highlight w:val="none"/>
              </w:rPr>
            </w:pPr>
            <w:r>
              <w:rPr>
                <w:rFonts w:hint="eastAsia"/>
                <w:b w:val="0"/>
                <w:bCs w:val="0"/>
                <w:color w:val="auto"/>
                <w:sz w:val="24"/>
                <w:szCs w:val="24"/>
                <w:highlight w:val="none"/>
              </w:rPr>
              <w:t>1.提供信息共享展示门户，界面满足学校特色需求，采用可视化形式展示，布局合理，整体风格、布局及内容，可结合学校的特色、建设需求进行UI及页面设计。</w:t>
            </w:r>
          </w:p>
          <w:p w14:paraId="7E5DE1B5">
            <w:pPr>
              <w:spacing w:line="400" w:lineRule="exact"/>
              <w:rPr>
                <w:rFonts w:hint="eastAsia"/>
                <w:b w:val="0"/>
                <w:bCs w:val="0"/>
                <w:color w:val="auto"/>
                <w:sz w:val="24"/>
                <w:szCs w:val="24"/>
                <w:highlight w:val="none"/>
              </w:rPr>
            </w:pPr>
            <w:r>
              <w:rPr>
                <w:rFonts w:hint="eastAsia"/>
                <w:b w:val="0"/>
                <w:bCs w:val="0"/>
                <w:color w:val="auto"/>
                <w:sz w:val="24"/>
                <w:szCs w:val="24"/>
                <w:highlight w:val="none"/>
              </w:rPr>
              <w:t>2.栏目及网站内容可通过后台设置，自定义信息栏目和内容发布。</w:t>
            </w:r>
          </w:p>
          <w:p w14:paraId="752B9376">
            <w:pPr>
              <w:spacing w:line="400" w:lineRule="exact"/>
              <w:rPr>
                <w:rFonts w:hint="eastAsia"/>
                <w:b w:val="0"/>
                <w:bCs w:val="0"/>
                <w:color w:val="auto"/>
                <w:sz w:val="24"/>
                <w:szCs w:val="24"/>
                <w:highlight w:val="none"/>
              </w:rPr>
            </w:pPr>
            <w:r>
              <w:rPr>
                <w:rFonts w:hint="eastAsia"/>
                <w:b w:val="0"/>
                <w:bCs w:val="0"/>
                <w:color w:val="auto"/>
                <w:sz w:val="24"/>
                <w:szCs w:val="24"/>
                <w:highlight w:val="none"/>
              </w:rPr>
              <w:t>3.用户可以通过门户开放的入口登录进入各自角色的实训环境。根据用户级别不同， 登录之后显示不同的功能界面。</w:t>
            </w:r>
          </w:p>
          <w:p w14:paraId="5EF1192F">
            <w:pPr>
              <w:spacing w:line="400" w:lineRule="exact"/>
              <w:rPr>
                <w:rFonts w:hint="eastAsia"/>
                <w:b w:val="0"/>
                <w:bCs w:val="0"/>
                <w:color w:val="auto"/>
                <w:sz w:val="24"/>
                <w:szCs w:val="24"/>
                <w:highlight w:val="none"/>
              </w:rPr>
            </w:pPr>
            <w:r>
              <w:rPr>
                <w:rFonts w:hint="eastAsia"/>
                <w:b w:val="0"/>
                <w:bCs w:val="0"/>
                <w:color w:val="auto"/>
                <w:sz w:val="24"/>
                <w:szCs w:val="24"/>
                <w:highlight w:val="none"/>
              </w:rPr>
              <w:t>4.</w:t>
            </w:r>
            <w:r>
              <w:rPr>
                <w:rFonts w:hint="eastAsia"/>
                <w:b w:val="0"/>
                <w:bCs w:val="0"/>
                <w:color w:val="auto"/>
                <w:sz w:val="24"/>
                <w:szCs w:val="24"/>
                <w:highlight w:val="none"/>
                <w:lang w:eastAsia="zh-CN"/>
              </w:rPr>
              <w:t>登录</w:t>
            </w:r>
            <w:r>
              <w:rPr>
                <w:rFonts w:hint="eastAsia"/>
                <w:b w:val="0"/>
                <w:bCs w:val="0"/>
                <w:color w:val="auto"/>
                <w:sz w:val="24"/>
                <w:szCs w:val="24"/>
                <w:highlight w:val="none"/>
              </w:rPr>
              <w:t>实训门户之后，管理者用户可以进行门户的相关管理和配置，进入基础管理、系统管理模块功能，可以查看整个实训平台的整体情况，可视化展示。</w:t>
            </w:r>
          </w:p>
          <w:p w14:paraId="11C3F940">
            <w:pPr>
              <w:spacing w:line="400" w:lineRule="exact"/>
              <w:rPr>
                <w:rFonts w:hint="eastAsia"/>
                <w:b w:val="0"/>
                <w:bCs w:val="0"/>
                <w:color w:val="auto"/>
                <w:sz w:val="24"/>
                <w:szCs w:val="24"/>
                <w:highlight w:val="none"/>
              </w:rPr>
            </w:pPr>
            <w:r>
              <w:rPr>
                <w:rFonts w:hint="eastAsia"/>
                <w:b w:val="0"/>
                <w:bCs w:val="0"/>
                <w:color w:val="auto"/>
                <w:sz w:val="24"/>
                <w:szCs w:val="24"/>
                <w:highlight w:val="none"/>
              </w:rPr>
              <w:t>5.</w:t>
            </w:r>
            <w:r>
              <w:rPr>
                <w:rFonts w:hint="eastAsia"/>
                <w:b w:val="0"/>
                <w:bCs w:val="0"/>
                <w:color w:val="auto"/>
                <w:sz w:val="24"/>
                <w:szCs w:val="24"/>
                <w:highlight w:val="none"/>
                <w:lang w:eastAsia="zh-CN"/>
              </w:rPr>
              <w:t>登录</w:t>
            </w:r>
            <w:r>
              <w:rPr>
                <w:rFonts w:hint="eastAsia"/>
                <w:b w:val="0"/>
                <w:bCs w:val="0"/>
                <w:color w:val="auto"/>
                <w:sz w:val="24"/>
                <w:szCs w:val="24"/>
                <w:highlight w:val="none"/>
              </w:rPr>
              <w:t>实训门户之后，学生用户可以查看所属的实训课程和公开的实训课程，可以查看具有开放权限的实训资源。</w:t>
            </w:r>
          </w:p>
          <w:p w14:paraId="4E426112">
            <w:pPr>
              <w:spacing w:line="400" w:lineRule="exact"/>
              <w:rPr>
                <w:rFonts w:hint="eastAsia"/>
                <w:b w:val="0"/>
                <w:bCs w:val="0"/>
                <w:color w:val="auto"/>
                <w:sz w:val="24"/>
                <w:szCs w:val="24"/>
                <w:highlight w:val="none"/>
              </w:rPr>
            </w:pPr>
            <w:r>
              <w:rPr>
                <w:rFonts w:hint="eastAsia"/>
                <w:b w:val="0"/>
                <w:bCs w:val="0"/>
                <w:color w:val="auto"/>
                <w:sz w:val="24"/>
                <w:szCs w:val="24"/>
                <w:highlight w:val="none"/>
              </w:rPr>
              <w:t>6.实训门户系统的功能要包含通知公告、登录入口、实训项目推荐、课程管理、数据展示与分析等主要模块。</w:t>
            </w:r>
          </w:p>
          <w:p w14:paraId="44AC86DD">
            <w:pPr>
              <w:spacing w:line="400" w:lineRule="exact"/>
              <w:rPr>
                <w:rFonts w:hint="eastAsia"/>
                <w:b w:val="0"/>
                <w:bCs w:val="0"/>
                <w:color w:val="auto"/>
                <w:sz w:val="24"/>
                <w:szCs w:val="24"/>
                <w:highlight w:val="none"/>
              </w:rPr>
            </w:pPr>
            <w:r>
              <w:rPr>
                <w:rFonts w:hint="eastAsia"/>
                <w:b w:val="0"/>
                <w:bCs w:val="0"/>
                <w:color w:val="auto"/>
                <w:sz w:val="24"/>
                <w:szCs w:val="24"/>
                <w:highlight w:val="none"/>
              </w:rPr>
              <w:t>7.支持自定义组织架构，支持定义多级组织架构，组织构架可与用户数据、资源数据形成关联与联动。</w:t>
            </w:r>
          </w:p>
          <w:p w14:paraId="3984AC97">
            <w:pPr>
              <w:spacing w:line="400" w:lineRule="exact"/>
              <w:rPr>
                <w:rFonts w:hint="eastAsia"/>
                <w:b w:val="0"/>
                <w:bCs w:val="0"/>
                <w:color w:val="auto"/>
                <w:sz w:val="24"/>
                <w:szCs w:val="24"/>
                <w:highlight w:val="none"/>
              </w:rPr>
            </w:pPr>
            <w:r>
              <w:rPr>
                <w:rFonts w:hint="eastAsia"/>
                <w:b w:val="0"/>
                <w:bCs w:val="0"/>
                <w:color w:val="auto"/>
                <w:sz w:val="24"/>
                <w:szCs w:val="24"/>
                <w:highlight w:val="none"/>
              </w:rPr>
              <w:t>8.基础信息可以通过系统导入，也可以通过手工维护或文件批量导入。</w:t>
            </w:r>
          </w:p>
          <w:p w14:paraId="148CBC3B">
            <w:pPr>
              <w:spacing w:line="400" w:lineRule="exact"/>
              <w:rPr>
                <w:rFonts w:hint="eastAsia"/>
                <w:b w:val="0"/>
                <w:bCs w:val="0"/>
                <w:color w:val="auto"/>
                <w:sz w:val="24"/>
                <w:szCs w:val="24"/>
                <w:highlight w:val="none"/>
              </w:rPr>
            </w:pPr>
            <w:r>
              <w:rPr>
                <w:rFonts w:hint="eastAsia"/>
                <w:b w:val="0"/>
                <w:bCs w:val="0"/>
                <w:color w:val="auto"/>
                <w:sz w:val="24"/>
                <w:szCs w:val="24"/>
                <w:highlight w:val="none"/>
              </w:rPr>
              <w:t>9.提供系统管理功能，包括功能管理、角色管理、角色权限管理、用户管理、日志管理。</w:t>
            </w:r>
          </w:p>
          <w:p w14:paraId="560C6335">
            <w:pPr>
              <w:spacing w:line="400" w:lineRule="exact"/>
              <w:rPr>
                <w:rFonts w:hint="eastAsia"/>
                <w:b w:val="0"/>
                <w:bCs w:val="0"/>
                <w:color w:val="auto"/>
                <w:sz w:val="24"/>
                <w:szCs w:val="24"/>
                <w:highlight w:val="none"/>
              </w:rPr>
            </w:pPr>
            <w:r>
              <w:rPr>
                <w:rFonts w:hint="eastAsia"/>
                <w:b w:val="0"/>
                <w:bCs w:val="0"/>
                <w:color w:val="auto"/>
                <w:sz w:val="24"/>
                <w:szCs w:val="24"/>
                <w:highlight w:val="none"/>
              </w:rPr>
              <w:t>10.人员角色可自定义，系统默认有系统管理员、系部管理员、教师，学生用户角色，配置不同的功能权限、使用界面、使用模块。层级应包括管理员、二级学院、教学督导、教师、学生等。</w:t>
            </w:r>
          </w:p>
          <w:p w14:paraId="57596AEF">
            <w:pPr>
              <w:spacing w:line="400" w:lineRule="exact"/>
              <w:rPr>
                <w:rFonts w:hint="eastAsia"/>
                <w:b w:val="0"/>
                <w:bCs w:val="0"/>
                <w:color w:val="auto"/>
                <w:sz w:val="24"/>
                <w:szCs w:val="24"/>
                <w:highlight w:val="none"/>
              </w:rPr>
            </w:pPr>
            <w:r>
              <w:rPr>
                <w:rFonts w:hint="eastAsia"/>
                <w:b w:val="0"/>
                <w:bCs w:val="0"/>
                <w:color w:val="auto"/>
                <w:sz w:val="24"/>
                <w:szCs w:val="24"/>
                <w:highlight w:val="none"/>
              </w:rPr>
              <w:t>11.支持角色管理和权限管理，可添加教工、学生账户，提供对用户数据的禁用、启用基本功能。</w:t>
            </w:r>
          </w:p>
          <w:p w14:paraId="72441A31">
            <w:pPr>
              <w:spacing w:line="400" w:lineRule="exact"/>
              <w:rPr>
                <w:rFonts w:hint="eastAsia"/>
                <w:b w:val="0"/>
                <w:bCs w:val="0"/>
                <w:color w:val="auto"/>
                <w:sz w:val="24"/>
                <w:szCs w:val="24"/>
                <w:highlight w:val="none"/>
              </w:rPr>
            </w:pPr>
            <w:r>
              <w:rPr>
                <w:rFonts w:hint="eastAsia"/>
                <w:b w:val="0"/>
                <w:bCs w:val="0"/>
                <w:color w:val="auto"/>
                <w:sz w:val="24"/>
                <w:szCs w:val="24"/>
                <w:highlight w:val="none"/>
              </w:rPr>
              <w:t>12.课程开课管理，针对全日制学生可以通过可视化形式进行对自己所学专业的内容进行内容学习。</w:t>
            </w:r>
          </w:p>
          <w:p w14:paraId="5C2E783B">
            <w:pPr>
              <w:spacing w:line="400" w:lineRule="exact"/>
              <w:rPr>
                <w:rFonts w:hint="eastAsia"/>
                <w:b w:val="0"/>
                <w:bCs w:val="0"/>
                <w:color w:val="auto"/>
                <w:sz w:val="24"/>
                <w:szCs w:val="24"/>
                <w:highlight w:val="none"/>
              </w:rPr>
            </w:pPr>
            <w:r>
              <w:rPr>
                <w:rFonts w:hint="eastAsia"/>
                <w:b w:val="0"/>
                <w:bCs w:val="0"/>
                <w:color w:val="auto"/>
                <w:sz w:val="24"/>
                <w:szCs w:val="24"/>
                <w:highlight w:val="none"/>
              </w:rPr>
              <w:t>13.支持虚拟仿真教学资源维护与管理，支持实训资源管理，包括对包含实训信息、资源简介等内容信息的维护。</w:t>
            </w:r>
          </w:p>
          <w:p w14:paraId="5DA187E3">
            <w:pPr>
              <w:spacing w:line="400" w:lineRule="exact"/>
              <w:rPr>
                <w:rFonts w:hint="eastAsia"/>
                <w:b w:val="0"/>
                <w:bCs w:val="0"/>
                <w:color w:val="auto"/>
                <w:sz w:val="24"/>
                <w:szCs w:val="24"/>
                <w:highlight w:val="none"/>
              </w:rPr>
            </w:pPr>
            <w:r>
              <w:rPr>
                <w:rFonts w:hint="eastAsia"/>
                <w:b w:val="0"/>
                <w:bCs w:val="0"/>
                <w:color w:val="auto"/>
                <w:sz w:val="24"/>
                <w:szCs w:val="24"/>
                <w:highlight w:val="none"/>
              </w:rPr>
              <w:t>14.支持上传、导入实训课程的成绩信息，支持调整和维护实训课程成绩信息。</w:t>
            </w:r>
          </w:p>
          <w:p w14:paraId="4B0B28C5">
            <w:pPr>
              <w:spacing w:line="400" w:lineRule="exact"/>
              <w:rPr>
                <w:rFonts w:hint="eastAsia"/>
                <w:b w:val="0"/>
                <w:bCs w:val="0"/>
                <w:color w:val="auto"/>
                <w:sz w:val="24"/>
                <w:szCs w:val="24"/>
                <w:highlight w:val="none"/>
              </w:rPr>
            </w:pPr>
            <w:r>
              <w:rPr>
                <w:rFonts w:hint="eastAsia"/>
                <w:b w:val="0"/>
                <w:bCs w:val="0"/>
                <w:color w:val="auto"/>
                <w:sz w:val="24"/>
                <w:szCs w:val="24"/>
                <w:highlight w:val="none"/>
              </w:rPr>
              <w:t>15.提供实训成绩统计结果的查询功能:可以以实训为单位统计班级成绩情况。教师发布成绩后，学生可查看成绩。实训成绩可按单个实训项目导出，也可选择多个实训导出</w:t>
            </w:r>
          </w:p>
          <w:p w14:paraId="6CF41829">
            <w:pPr>
              <w:spacing w:line="400" w:lineRule="exact"/>
              <w:rPr>
                <w:rFonts w:hint="eastAsia"/>
                <w:b w:val="0"/>
                <w:bCs w:val="0"/>
                <w:color w:val="auto"/>
                <w:sz w:val="24"/>
                <w:szCs w:val="24"/>
                <w:highlight w:val="none"/>
              </w:rPr>
            </w:pPr>
            <w:r>
              <w:rPr>
                <w:rFonts w:hint="eastAsia"/>
                <w:b w:val="0"/>
                <w:bCs w:val="0"/>
                <w:color w:val="auto"/>
                <w:sz w:val="24"/>
                <w:szCs w:val="24"/>
                <w:highlight w:val="none"/>
              </w:rPr>
              <w:t>16.支持以项目为单位开展理论学习、实训操作、报告提交、问答讨论、项目评价教学管理。</w:t>
            </w:r>
          </w:p>
          <w:p w14:paraId="7F7C2E5C">
            <w:pPr>
              <w:spacing w:line="400" w:lineRule="exact"/>
              <w:rPr>
                <w:rFonts w:hint="eastAsia"/>
                <w:b w:val="0"/>
                <w:bCs w:val="0"/>
                <w:color w:val="auto"/>
                <w:sz w:val="24"/>
                <w:szCs w:val="24"/>
                <w:highlight w:val="none"/>
              </w:rPr>
            </w:pPr>
            <w:r>
              <w:rPr>
                <w:rFonts w:hint="eastAsia"/>
                <w:b w:val="0"/>
                <w:bCs w:val="0"/>
                <w:color w:val="auto"/>
                <w:sz w:val="24"/>
                <w:szCs w:val="24"/>
                <w:highlight w:val="none"/>
              </w:rPr>
              <w:t>17.支持教师在线批改报告、成绩评定、报告导出、项目成绩、课程成绩导出。</w:t>
            </w:r>
          </w:p>
          <w:p w14:paraId="4674CA97">
            <w:pPr>
              <w:spacing w:line="400" w:lineRule="exact"/>
              <w:rPr>
                <w:rFonts w:hint="eastAsia"/>
                <w:b w:val="0"/>
                <w:bCs w:val="0"/>
                <w:color w:val="auto"/>
                <w:sz w:val="24"/>
                <w:szCs w:val="24"/>
                <w:highlight w:val="none"/>
              </w:rPr>
            </w:pPr>
            <w:r>
              <w:rPr>
                <w:rFonts w:hint="eastAsia"/>
                <w:b w:val="0"/>
                <w:bCs w:val="0"/>
                <w:color w:val="auto"/>
                <w:sz w:val="24"/>
                <w:szCs w:val="24"/>
                <w:highlight w:val="none"/>
              </w:rPr>
              <w:t>18.提供问答讨论功能，用户发起讨论主题，其他人员可回复。</w:t>
            </w:r>
          </w:p>
          <w:p w14:paraId="48A1DB63">
            <w:pPr>
              <w:spacing w:line="400" w:lineRule="exact"/>
              <w:rPr>
                <w:rFonts w:hint="eastAsia"/>
                <w:b w:val="0"/>
                <w:bCs w:val="0"/>
                <w:color w:val="auto"/>
                <w:sz w:val="24"/>
                <w:szCs w:val="24"/>
                <w:highlight w:val="none"/>
              </w:rPr>
            </w:pPr>
            <w:r>
              <w:rPr>
                <w:rFonts w:hint="eastAsia"/>
                <w:b w:val="0"/>
                <w:bCs w:val="0"/>
                <w:color w:val="auto"/>
                <w:sz w:val="24"/>
                <w:szCs w:val="24"/>
                <w:highlight w:val="none"/>
              </w:rPr>
              <w:t>19.班级、专业、学院等学生成绩、学习时间汇总，以图形等形式反馈，进行个人画像综合展示，根据学生成绩进行对比并且进行成绩分段统计展示。</w:t>
            </w:r>
          </w:p>
          <w:p w14:paraId="1F94A012">
            <w:pPr>
              <w:spacing w:line="400" w:lineRule="exact"/>
              <w:rPr>
                <w:rFonts w:hint="eastAsia"/>
                <w:b w:val="0"/>
                <w:bCs w:val="0"/>
                <w:color w:val="auto"/>
                <w:sz w:val="24"/>
                <w:szCs w:val="24"/>
                <w:highlight w:val="none"/>
              </w:rPr>
            </w:pPr>
            <w:r>
              <w:rPr>
                <w:rFonts w:hint="eastAsia"/>
                <w:b w:val="0"/>
                <w:bCs w:val="0"/>
                <w:color w:val="auto"/>
                <w:sz w:val="24"/>
                <w:szCs w:val="24"/>
                <w:highlight w:val="none"/>
              </w:rPr>
              <w:t>20.提供各学院对于虚拟仿真实训教学资源使用情况分析，包括各课程下实训安排次数、实训使用率等统计分析。</w:t>
            </w:r>
          </w:p>
          <w:p w14:paraId="124045EB">
            <w:pPr>
              <w:spacing w:line="400" w:lineRule="exact"/>
              <w:rPr>
                <w:rFonts w:hint="eastAsia"/>
                <w:b w:val="0"/>
                <w:bCs w:val="0"/>
                <w:color w:val="auto"/>
                <w:sz w:val="24"/>
                <w:szCs w:val="24"/>
                <w:highlight w:val="none"/>
              </w:rPr>
            </w:pPr>
            <w:r>
              <w:rPr>
                <w:rFonts w:hint="eastAsia"/>
                <w:b w:val="0"/>
                <w:bCs w:val="0"/>
                <w:color w:val="auto"/>
                <w:sz w:val="24"/>
                <w:szCs w:val="24"/>
                <w:highlight w:val="none"/>
              </w:rPr>
              <w:t>21.提供实训课程数据分析，包括实训课程授课数据分析，在线实训过程数据统计，实训资源数据统计等。</w:t>
            </w:r>
          </w:p>
          <w:p w14:paraId="2BE0E240">
            <w:pPr>
              <w:spacing w:line="400" w:lineRule="exact"/>
              <w:rPr>
                <w:rFonts w:hint="eastAsia"/>
                <w:b w:val="0"/>
                <w:bCs w:val="0"/>
                <w:color w:val="auto"/>
                <w:sz w:val="24"/>
                <w:szCs w:val="24"/>
                <w:highlight w:val="none"/>
              </w:rPr>
            </w:pPr>
            <w:r>
              <w:rPr>
                <w:rFonts w:hint="eastAsia"/>
                <w:b w:val="0"/>
                <w:bCs w:val="0"/>
                <w:color w:val="auto"/>
                <w:sz w:val="24"/>
                <w:szCs w:val="24"/>
                <w:highlight w:val="none"/>
              </w:rPr>
              <w:t>22.提供教师资源维护、实训安排、批改结果、课程评价管理等统计分析。</w:t>
            </w:r>
          </w:p>
          <w:p w14:paraId="3A5F8885">
            <w:pPr>
              <w:spacing w:line="400" w:lineRule="exact"/>
              <w:rPr>
                <w:rFonts w:hint="eastAsia"/>
                <w:b w:val="0"/>
                <w:bCs w:val="0"/>
                <w:color w:val="auto"/>
                <w:sz w:val="24"/>
                <w:szCs w:val="24"/>
                <w:highlight w:val="none"/>
              </w:rPr>
            </w:pPr>
            <w:r>
              <w:rPr>
                <w:rFonts w:hint="eastAsia"/>
                <w:b w:val="0"/>
                <w:bCs w:val="0"/>
                <w:color w:val="auto"/>
                <w:sz w:val="24"/>
                <w:szCs w:val="24"/>
                <w:highlight w:val="none"/>
              </w:rPr>
              <w:t>23.提供仿真资源数量、共享量、访问量、每年更新量信息进行综合统计。</w:t>
            </w:r>
          </w:p>
          <w:p w14:paraId="636D5BC9">
            <w:pPr>
              <w:spacing w:line="400" w:lineRule="exact"/>
              <w:rPr>
                <w:rFonts w:hint="eastAsia"/>
                <w:b w:val="0"/>
                <w:bCs w:val="0"/>
                <w:color w:val="auto"/>
                <w:sz w:val="24"/>
                <w:szCs w:val="24"/>
                <w:highlight w:val="none"/>
              </w:rPr>
            </w:pPr>
            <w:r>
              <w:rPr>
                <w:rFonts w:hint="eastAsia"/>
                <w:b w:val="0"/>
                <w:bCs w:val="0"/>
                <w:color w:val="auto"/>
                <w:sz w:val="24"/>
                <w:szCs w:val="24"/>
                <w:highlight w:val="none"/>
              </w:rPr>
              <w:t>24.同时对学生个人学习情况也可以统计并对学情进行分析包括课程成绩分析、学生能力分析等。设置多维评价和统计，如某学生单一题型分析，如正确率、完成时间、得分等。</w:t>
            </w:r>
          </w:p>
          <w:p w14:paraId="1D9D72CE">
            <w:pPr>
              <w:spacing w:line="400" w:lineRule="exact"/>
              <w:rPr>
                <w:rFonts w:hint="eastAsia"/>
                <w:b w:val="0"/>
                <w:bCs w:val="0"/>
                <w:color w:val="auto"/>
                <w:sz w:val="24"/>
                <w:szCs w:val="24"/>
                <w:highlight w:val="none"/>
              </w:rPr>
            </w:pPr>
            <w:r>
              <w:rPr>
                <w:rFonts w:hint="eastAsia"/>
                <w:b w:val="0"/>
                <w:bCs w:val="0"/>
                <w:color w:val="auto"/>
                <w:sz w:val="24"/>
                <w:szCs w:val="24"/>
                <w:highlight w:val="none"/>
              </w:rPr>
              <w:t>25.提供平台运行访问、用户活跃度情况统计。</w:t>
            </w:r>
          </w:p>
          <w:p w14:paraId="71612589">
            <w:pPr>
              <w:spacing w:line="400" w:lineRule="exact"/>
              <w:rPr>
                <w:rFonts w:hint="eastAsia"/>
                <w:b w:val="0"/>
                <w:bCs w:val="0"/>
                <w:color w:val="auto"/>
                <w:sz w:val="24"/>
                <w:szCs w:val="24"/>
                <w:highlight w:val="none"/>
              </w:rPr>
            </w:pPr>
            <w:r>
              <w:rPr>
                <w:rFonts w:hint="eastAsia"/>
                <w:b w:val="0"/>
                <w:bCs w:val="0"/>
                <w:color w:val="auto"/>
                <w:sz w:val="24"/>
                <w:szCs w:val="24"/>
                <w:highlight w:val="none"/>
              </w:rPr>
              <w:t>26.根据学生完成考试情况进行试题数统计，对学生答题情况进行数据分析包括试题错误率排行及成绩得分细节等。提供学生学习成绩进步的统计和评价，如学生成绩增量。</w:t>
            </w:r>
          </w:p>
          <w:p w14:paraId="64BF9290">
            <w:pPr>
              <w:spacing w:line="400" w:lineRule="exact"/>
              <w:rPr>
                <w:rFonts w:hint="eastAsia"/>
                <w:b w:val="0"/>
                <w:bCs w:val="0"/>
                <w:color w:val="auto"/>
                <w:sz w:val="24"/>
                <w:szCs w:val="24"/>
                <w:highlight w:val="none"/>
              </w:rPr>
            </w:pPr>
            <w:r>
              <w:rPr>
                <w:rFonts w:hint="eastAsia"/>
                <w:b w:val="0"/>
                <w:bCs w:val="0"/>
                <w:color w:val="auto"/>
                <w:sz w:val="24"/>
                <w:szCs w:val="24"/>
                <w:highlight w:val="none"/>
              </w:rPr>
              <w:t>27.数字人克隆：教师上传照片/录音后，24小时内生成虚拟形象，语音合成相似度≥90%。</w:t>
            </w:r>
          </w:p>
          <w:p w14:paraId="21AE0623">
            <w:pPr>
              <w:spacing w:line="400" w:lineRule="exact"/>
              <w:rPr>
                <w:rFonts w:hint="eastAsia"/>
                <w:b w:val="0"/>
                <w:bCs w:val="0"/>
                <w:color w:val="auto"/>
                <w:sz w:val="24"/>
                <w:szCs w:val="24"/>
                <w:highlight w:val="none"/>
              </w:rPr>
            </w:pPr>
            <w:r>
              <w:rPr>
                <w:rFonts w:hint="eastAsia"/>
                <w:b w:val="0"/>
                <w:bCs w:val="0"/>
                <w:color w:val="auto"/>
                <w:sz w:val="24"/>
                <w:szCs w:val="24"/>
                <w:highlight w:val="none"/>
              </w:rPr>
              <w:t>28.多模型对话：集成豆包AI、Deepseek等大模型，提供导游词智能润色、案例分析等功能。</w:t>
            </w:r>
          </w:p>
          <w:p w14:paraId="3DC872BF">
            <w:pPr>
              <w:spacing w:line="400" w:lineRule="exact"/>
              <w:rPr>
                <w:rFonts w:hint="eastAsia"/>
                <w:b w:val="0"/>
                <w:bCs w:val="0"/>
                <w:color w:val="auto"/>
                <w:sz w:val="24"/>
                <w:szCs w:val="24"/>
                <w:highlight w:val="none"/>
              </w:rPr>
            </w:pPr>
            <w:r>
              <w:rPr>
                <w:rFonts w:hint="eastAsia"/>
                <w:b w:val="0"/>
                <w:bCs w:val="0"/>
                <w:color w:val="auto"/>
                <w:sz w:val="24"/>
                <w:szCs w:val="24"/>
                <w:highlight w:val="none"/>
              </w:rPr>
              <w:t>29.资源集成多个主流AI大模型，如豆包AI、Deepseek、通义千问等。用户可在对话页面轻松选择多个AI模型进行对话，参考不同模型的回答，帮助用户进行自主学习和知识深化。</w:t>
            </w:r>
          </w:p>
          <w:p w14:paraId="5FB7184B">
            <w:pPr>
              <w:spacing w:line="400" w:lineRule="exact"/>
              <w:rPr>
                <w:rFonts w:hint="eastAsia"/>
                <w:b w:val="0"/>
                <w:bCs w:val="0"/>
                <w:color w:val="auto"/>
                <w:sz w:val="24"/>
                <w:szCs w:val="24"/>
                <w:highlight w:val="none"/>
              </w:rPr>
            </w:pPr>
            <w:r>
              <w:rPr>
                <w:rFonts w:hint="eastAsia"/>
                <w:b w:val="0"/>
                <w:bCs w:val="0"/>
                <w:color w:val="auto"/>
                <w:sz w:val="24"/>
                <w:szCs w:val="24"/>
                <w:highlight w:val="none"/>
              </w:rPr>
              <w:t>30.资源创新性的搭配数字人板块，专为虚拟仿真教学打造的虚拟</w:t>
            </w:r>
            <w:r>
              <w:rPr>
                <w:rFonts w:hint="eastAsia"/>
                <w:b w:val="0"/>
                <w:bCs w:val="0"/>
                <w:color w:val="auto"/>
                <w:sz w:val="24"/>
                <w:szCs w:val="24"/>
                <w:highlight w:val="none"/>
                <w:lang w:val="en-US" w:eastAsia="zh-CN"/>
              </w:rPr>
              <w:t>人物</w:t>
            </w:r>
            <w:r>
              <w:rPr>
                <w:rFonts w:hint="eastAsia"/>
                <w:b w:val="0"/>
                <w:bCs w:val="0"/>
                <w:color w:val="auto"/>
                <w:sz w:val="24"/>
                <w:szCs w:val="24"/>
                <w:highlight w:val="none"/>
              </w:rPr>
              <w:t>形象模块，结合形象克隆、声音克隆和语音合成功能，利用先进的人工智能技术，为教师提供个性化的教学体验，增强课堂互动性和学习效果。</w:t>
            </w:r>
          </w:p>
          <w:p w14:paraId="2A29F93A">
            <w:pPr>
              <w:spacing w:line="400" w:lineRule="exact"/>
              <w:rPr>
                <w:rFonts w:hint="eastAsia"/>
                <w:b w:val="0"/>
                <w:bCs w:val="0"/>
                <w:color w:val="auto"/>
                <w:sz w:val="24"/>
                <w:szCs w:val="24"/>
                <w:highlight w:val="none"/>
              </w:rPr>
            </w:pPr>
            <w:r>
              <w:rPr>
                <w:rFonts w:hint="eastAsia"/>
                <w:b w:val="0"/>
                <w:bCs w:val="0"/>
                <w:color w:val="auto"/>
                <w:sz w:val="24"/>
                <w:szCs w:val="24"/>
                <w:highlight w:val="none"/>
              </w:rPr>
              <w:t>31.教师可以上传自己的照片，通过高精度的形象克隆技术生成与学生相似的虚拟形象。通过对面部特征、发型、衣着等细节的精准处理，教师可以创建个性化的虚拟人物，成为自己在虚拟课堂中的“分身”，这个虚拟形象可以在各种学习场景中作为教师的化身，增强互动感。</w:t>
            </w:r>
          </w:p>
          <w:p w14:paraId="732BE7B3">
            <w:pPr>
              <w:spacing w:line="400" w:lineRule="exact"/>
              <w:rPr>
                <w:rFonts w:hint="eastAsia"/>
                <w:b w:val="0"/>
                <w:bCs w:val="0"/>
                <w:color w:val="auto"/>
                <w:sz w:val="24"/>
                <w:szCs w:val="24"/>
                <w:highlight w:val="none"/>
              </w:rPr>
            </w:pPr>
            <w:r>
              <w:rPr>
                <w:rFonts w:hint="eastAsia"/>
                <w:b w:val="0"/>
                <w:bCs w:val="0"/>
                <w:color w:val="auto"/>
                <w:sz w:val="24"/>
                <w:szCs w:val="24"/>
                <w:highlight w:val="none"/>
              </w:rPr>
              <w:t>32.声音克隆：教师还可以通过声音克隆技术录制自己的声音，数字人会根据教师的声音特征，包括语调、语速、口音等，精准模拟出学生的声音。这样，教师不仅能拥有自己的虚拟形象，还能与其虚拟形象进行真实的语音互动。</w:t>
            </w:r>
          </w:p>
          <w:p w14:paraId="2D088B7C">
            <w:pPr>
              <w:spacing w:line="400" w:lineRule="exact"/>
              <w:rPr>
                <w:rFonts w:hint="eastAsia"/>
                <w:b w:val="0"/>
                <w:bCs w:val="0"/>
                <w:color w:val="auto"/>
                <w:sz w:val="24"/>
                <w:szCs w:val="24"/>
                <w:highlight w:val="none"/>
              </w:rPr>
            </w:pPr>
            <w:r>
              <w:rPr>
                <w:rFonts w:hint="eastAsia"/>
                <w:b w:val="0"/>
                <w:bCs w:val="0"/>
                <w:color w:val="auto"/>
                <w:sz w:val="24"/>
                <w:szCs w:val="24"/>
                <w:highlight w:val="none"/>
              </w:rPr>
              <w:t>33.语音合成：借助语音合成技术，虚拟学习伙伴可以将文本转化为教师的声音进行语音输出。无论是课本内容讲解、知识点复述，还是课后辅导，虚拟学习伙伴都能通过教师的声音进行讲解，帮助学生更好地理解课程内容。</w:t>
            </w:r>
          </w:p>
          <w:p w14:paraId="35C895B3">
            <w:pPr>
              <w:spacing w:line="400" w:lineRule="exact"/>
              <w:rPr>
                <w:rFonts w:hint="eastAsia"/>
                <w:b w:val="0"/>
                <w:bCs w:val="0"/>
                <w:color w:val="auto"/>
                <w:sz w:val="24"/>
                <w:szCs w:val="24"/>
                <w:highlight w:val="none"/>
              </w:rPr>
            </w:pPr>
          </w:p>
          <w:p w14:paraId="1761148B">
            <w:pPr>
              <w:spacing w:line="400" w:lineRule="exact"/>
              <w:rPr>
                <w:rFonts w:hint="eastAsia"/>
                <w:b w:val="0"/>
                <w:bCs w:val="0"/>
                <w:color w:val="auto"/>
                <w:sz w:val="24"/>
                <w:szCs w:val="24"/>
                <w:highlight w:val="none"/>
              </w:rPr>
            </w:pPr>
            <w:r>
              <w:rPr>
                <w:rFonts w:hint="eastAsia"/>
                <w:b w:val="0"/>
                <w:bCs w:val="0"/>
                <w:color w:val="auto"/>
                <w:sz w:val="24"/>
                <w:szCs w:val="24"/>
                <w:highlight w:val="none"/>
              </w:rPr>
              <w:t>（二）技术保障</w:t>
            </w:r>
          </w:p>
          <w:p w14:paraId="497727D9">
            <w:pPr>
              <w:spacing w:line="400" w:lineRule="exact"/>
              <w:rPr>
                <w:rFonts w:hint="eastAsia"/>
                <w:b w:val="0"/>
                <w:bCs w:val="0"/>
                <w:color w:val="auto"/>
                <w:sz w:val="24"/>
                <w:szCs w:val="24"/>
                <w:highlight w:val="none"/>
              </w:rPr>
            </w:pPr>
            <w:r>
              <w:rPr>
                <w:rFonts w:hint="eastAsia"/>
                <w:b w:val="0"/>
                <w:bCs w:val="0"/>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6053ED4C">
            <w:pPr>
              <w:spacing w:line="400" w:lineRule="exact"/>
              <w:rPr>
                <w:rFonts w:hint="eastAsia"/>
                <w:b w:val="0"/>
                <w:bCs w:val="0"/>
                <w:color w:val="auto"/>
                <w:sz w:val="24"/>
                <w:szCs w:val="24"/>
                <w:highlight w:val="none"/>
              </w:rPr>
            </w:pPr>
            <w:r>
              <w:rPr>
                <w:rFonts w:hint="eastAsia"/>
                <w:b w:val="0"/>
                <w:bCs w:val="0"/>
                <w:color w:val="auto"/>
                <w:sz w:val="24"/>
                <w:szCs w:val="24"/>
                <w:highlight w:val="none"/>
              </w:rPr>
              <w:t>2.提供防火墙隔离策略，划分DMZ区隔离外网访问与核心教学数据区，外网请求需通过身份验证网关。</w:t>
            </w:r>
          </w:p>
          <w:p w14:paraId="27959937">
            <w:pPr>
              <w:spacing w:line="400" w:lineRule="exact"/>
              <w:rPr>
                <w:rFonts w:hint="eastAsia"/>
                <w:b w:val="0"/>
                <w:bCs w:val="0"/>
                <w:color w:val="auto"/>
                <w:sz w:val="24"/>
                <w:szCs w:val="24"/>
                <w:highlight w:val="none"/>
              </w:rPr>
            </w:pPr>
            <w:r>
              <w:rPr>
                <w:rFonts w:hint="eastAsia"/>
                <w:b w:val="0"/>
                <w:bCs w:val="0"/>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3A631CF9">
            <w:pPr>
              <w:spacing w:line="400" w:lineRule="exact"/>
              <w:rPr>
                <w:rFonts w:hint="eastAsia"/>
                <w:b w:val="0"/>
                <w:bCs w:val="0"/>
                <w:color w:val="auto"/>
                <w:sz w:val="24"/>
                <w:szCs w:val="24"/>
                <w:highlight w:val="none"/>
              </w:rPr>
            </w:pPr>
            <w:r>
              <w:rPr>
                <w:rFonts w:hint="eastAsia"/>
                <w:b w:val="0"/>
                <w:bCs w:val="0"/>
                <w:color w:val="auto"/>
                <w:sz w:val="24"/>
                <w:szCs w:val="24"/>
                <w:highlight w:val="none"/>
              </w:rPr>
              <w:t>4.内置数据脱敏功能，学生成绩、教师评语等敏感信息展示时自动隐藏关键字段（如身份证号）。</w:t>
            </w:r>
          </w:p>
          <w:p w14:paraId="4D29C15C">
            <w:pPr>
              <w:spacing w:line="400" w:lineRule="exact"/>
              <w:rPr>
                <w:rFonts w:hint="eastAsia"/>
                <w:b w:val="0"/>
                <w:bCs w:val="0"/>
                <w:color w:val="auto"/>
                <w:sz w:val="24"/>
                <w:szCs w:val="24"/>
                <w:highlight w:val="none"/>
              </w:rPr>
            </w:pPr>
            <w:r>
              <w:rPr>
                <w:rFonts w:hint="eastAsia"/>
                <w:b w:val="0"/>
                <w:bCs w:val="0"/>
                <w:color w:val="auto"/>
                <w:sz w:val="24"/>
                <w:szCs w:val="24"/>
                <w:highlight w:val="none"/>
              </w:rPr>
              <w:t>5.支持操作日志全量审计，记录用户登录、资源访问、数据导出等行为，日志保留≥180天。</w:t>
            </w:r>
          </w:p>
          <w:p w14:paraId="4FA9EDB9">
            <w:pPr>
              <w:spacing w:line="400" w:lineRule="exact"/>
              <w:rPr>
                <w:rFonts w:hint="eastAsia"/>
                <w:b w:val="0"/>
                <w:bCs w:val="0"/>
                <w:color w:val="auto"/>
                <w:sz w:val="24"/>
                <w:szCs w:val="24"/>
                <w:highlight w:val="none"/>
              </w:rPr>
            </w:pPr>
            <w:r>
              <w:rPr>
                <w:rFonts w:hint="eastAsia"/>
                <w:b w:val="0"/>
                <w:bCs w:val="0"/>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1F279704">
            <w:pPr>
              <w:spacing w:line="400" w:lineRule="exact"/>
              <w:rPr>
                <w:rFonts w:hint="eastAsia"/>
                <w:b w:val="0"/>
                <w:bCs w:val="0"/>
                <w:color w:val="auto"/>
                <w:sz w:val="24"/>
                <w:szCs w:val="24"/>
                <w:highlight w:val="none"/>
              </w:rPr>
            </w:pPr>
            <w:r>
              <w:rPr>
                <w:rFonts w:hint="eastAsia"/>
                <w:b w:val="0"/>
                <w:bCs w:val="0"/>
                <w:color w:val="auto"/>
                <w:sz w:val="24"/>
                <w:szCs w:val="24"/>
                <w:highlight w:val="none"/>
              </w:rPr>
              <w:t>7.平台为本地部署，提供五年的免费技术服务及免费升级服务，提供不低于1名技术工程师驻点一年服务（驻点服务按实际项目需求确定）。</w:t>
            </w:r>
          </w:p>
          <w:p w14:paraId="6B57B5BD">
            <w:pPr>
              <w:spacing w:line="400" w:lineRule="exact"/>
              <w:rPr>
                <w:rFonts w:hint="eastAsia"/>
                <w:b w:val="0"/>
                <w:bCs w:val="0"/>
                <w:color w:val="auto"/>
                <w:sz w:val="24"/>
                <w:szCs w:val="24"/>
                <w:highlight w:val="none"/>
              </w:rPr>
            </w:pPr>
          </w:p>
          <w:p w14:paraId="5BBC372C">
            <w:pPr>
              <w:spacing w:line="400" w:lineRule="exact"/>
              <w:rPr>
                <w:rFonts w:hint="eastAsia"/>
                <w:b w:val="0"/>
                <w:bCs w:val="0"/>
                <w:color w:val="auto"/>
                <w:sz w:val="24"/>
                <w:szCs w:val="24"/>
                <w:highlight w:val="none"/>
              </w:rPr>
            </w:pPr>
            <w:r>
              <w:rPr>
                <w:rFonts w:hint="eastAsia"/>
                <w:b w:val="0"/>
                <w:bCs w:val="0"/>
                <w:color w:val="auto"/>
                <w:sz w:val="24"/>
                <w:szCs w:val="24"/>
                <w:highlight w:val="none"/>
              </w:rPr>
              <w:t>（三）系统部署与服务支持要求</w:t>
            </w:r>
          </w:p>
          <w:p w14:paraId="0AD7421C">
            <w:pPr>
              <w:spacing w:line="400" w:lineRule="exact"/>
              <w:rPr>
                <w:rFonts w:hint="eastAsia"/>
                <w:b w:val="0"/>
                <w:bCs w:val="0"/>
                <w:color w:val="auto"/>
                <w:sz w:val="24"/>
                <w:szCs w:val="24"/>
                <w:highlight w:val="none"/>
              </w:rPr>
            </w:pPr>
            <w:r>
              <w:rPr>
                <w:rFonts w:hint="eastAsia"/>
                <w:b w:val="0"/>
                <w:bCs w:val="0"/>
                <w:color w:val="auto"/>
                <w:sz w:val="24"/>
                <w:szCs w:val="24"/>
                <w:highlight w:val="none"/>
              </w:rPr>
              <w:t>1. 系统部署方式：需为本地化部署，所有软件及数据应部署于采购方指定的校内服务器。</w:t>
            </w:r>
          </w:p>
          <w:p w14:paraId="2C309744">
            <w:pPr>
              <w:spacing w:line="400" w:lineRule="exact"/>
              <w:rPr>
                <w:rFonts w:hint="eastAsia"/>
                <w:b w:val="0"/>
                <w:bCs w:val="0"/>
                <w:color w:val="auto"/>
                <w:sz w:val="24"/>
                <w:szCs w:val="24"/>
                <w:highlight w:val="none"/>
              </w:rPr>
            </w:pPr>
            <w:r>
              <w:rPr>
                <w:rFonts w:hint="eastAsia"/>
                <w:b w:val="0"/>
                <w:bCs w:val="0"/>
                <w:color w:val="auto"/>
                <w:sz w:val="24"/>
                <w:szCs w:val="24"/>
                <w:highlight w:val="none"/>
              </w:rPr>
              <w:t>2. 授权与使用限制：系统部署后应终身免费使用，不限制用户数，无需额外支付授权费用。</w:t>
            </w:r>
          </w:p>
          <w:p w14:paraId="17CEFF2B">
            <w:pPr>
              <w:spacing w:line="400" w:lineRule="exact"/>
              <w:rPr>
                <w:rFonts w:hint="eastAsia"/>
                <w:b w:val="0"/>
                <w:bCs w:val="0"/>
                <w:color w:val="auto"/>
                <w:sz w:val="24"/>
                <w:szCs w:val="24"/>
                <w:highlight w:val="none"/>
              </w:rPr>
            </w:pPr>
            <w:r>
              <w:rPr>
                <w:rFonts w:hint="eastAsia"/>
                <w:b w:val="0"/>
                <w:bCs w:val="0"/>
                <w:color w:val="auto"/>
                <w:sz w:val="24"/>
                <w:szCs w:val="24"/>
                <w:highlight w:val="none"/>
              </w:rPr>
              <w:t>3. 质保与维护服务：提供不少于5年的免费质保与系统维护服务。质保期内须提供功能更新、漏洞修复及技术支援。</w:t>
            </w:r>
          </w:p>
          <w:p w14:paraId="2274C142">
            <w:pPr>
              <w:spacing w:line="400" w:lineRule="exact"/>
              <w:rPr>
                <w:rFonts w:hint="eastAsia"/>
                <w:b w:val="0"/>
                <w:bCs w:val="0"/>
                <w:color w:val="auto"/>
                <w:sz w:val="24"/>
                <w:szCs w:val="24"/>
                <w:highlight w:val="none"/>
              </w:rPr>
            </w:pPr>
            <w:r>
              <w:rPr>
                <w:rFonts w:hint="eastAsia"/>
                <w:b w:val="0"/>
                <w:bCs w:val="0"/>
                <w:color w:val="auto"/>
                <w:sz w:val="24"/>
                <w:szCs w:val="24"/>
                <w:highlight w:val="none"/>
              </w:rPr>
              <w:t>4. 期满后续服务：质保期满后，应可继续提供有偿技术服务，收费标准不高于</w:t>
            </w:r>
            <w:r>
              <w:rPr>
                <w:rFonts w:hint="eastAsia"/>
                <w:b w:val="0"/>
                <w:bCs w:val="0"/>
                <w:color w:val="auto"/>
                <w:sz w:val="24"/>
                <w:szCs w:val="24"/>
                <w:highlight w:val="none"/>
              </w:rPr>
              <w:t>该</w:t>
            </w:r>
            <w:r>
              <w:rPr>
                <w:rFonts w:hint="eastAsia"/>
                <w:b w:val="0"/>
                <w:bCs w:val="0"/>
                <w:color w:val="auto"/>
                <w:sz w:val="24"/>
                <w:szCs w:val="24"/>
                <w:highlight w:val="none"/>
              </w:rPr>
              <w:t>平台金额的10%/年，具体服务内容由双方协商确定。</w:t>
            </w:r>
          </w:p>
          <w:p w14:paraId="4589900C">
            <w:pPr>
              <w:spacing w:line="400" w:lineRule="exact"/>
              <w:rPr>
                <w:rFonts w:hint="eastAsia"/>
                <w:b w:val="0"/>
                <w:bCs w:val="0"/>
                <w:color w:val="auto"/>
                <w:sz w:val="24"/>
                <w:szCs w:val="24"/>
                <w:highlight w:val="none"/>
              </w:rPr>
            </w:pPr>
          </w:p>
          <w:p w14:paraId="270EBA93">
            <w:pPr>
              <w:spacing w:line="400" w:lineRule="exact"/>
              <w:rPr>
                <w:rFonts w:hint="eastAsia"/>
                <w:b w:val="0"/>
                <w:bCs w:val="0"/>
                <w:color w:val="auto"/>
                <w:sz w:val="24"/>
                <w:szCs w:val="24"/>
                <w:highlight w:val="none"/>
              </w:rPr>
            </w:pPr>
            <w:r>
              <w:rPr>
                <w:rFonts w:hint="eastAsia"/>
                <w:b w:val="0"/>
                <w:bCs w:val="0"/>
                <w:color w:val="auto"/>
                <w:sz w:val="24"/>
                <w:szCs w:val="24"/>
                <w:highlight w:val="none"/>
              </w:rPr>
              <w:t>（四）系统对接要求</w:t>
            </w:r>
          </w:p>
          <w:p w14:paraId="75E95FFC">
            <w:pPr>
              <w:spacing w:line="400" w:lineRule="exact"/>
              <w:rPr>
                <w:rFonts w:hint="eastAsia"/>
                <w:b w:val="0"/>
                <w:bCs w:val="0"/>
                <w:color w:val="auto"/>
                <w:sz w:val="24"/>
                <w:szCs w:val="24"/>
                <w:highlight w:val="none"/>
              </w:rPr>
            </w:pPr>
            <w:r>
              <w:rPr>
                <w:rFonts w:hint="eastAsia"/>
                <w:b w:val="0"/>
                <w:bCs w:val="0"/>
                <w:color w:val="auto"/>
                <w:sz w:val="24"/>
                <w:szCs w:val="24"/>
                <w:highlight w:val="none"/>
              </w:rPr>
              <w:t>1. 数据回传接口：需提供稳定可靠的数据库连接方式或采购方认可的数据接口，并附有完整数据字典，确保数据有效、完整、接口性能达标。</w:t>
            </w:r>
          </w:p>
          <w:p w14:paraId="31CFAEBD">
            <w:pPr>
              <w:spacing w:line="400" w:lineRule="exact"/>
              <w:rPr>
                <w:rFonts w:hint="eastAsia"/>
                <w:b w:val="0"/>
                <w:bCs w:val="0"/>
                <w:color w:val="auto"/>
                <w:sz w:val="24"/>
                <w:szCs w:val="24"/>
                <w:highlight w:val="none"/>
              </w:rPr>
            </w:pPr>
            <w:r>
              <w:rPr>
                <w:rFonts w:hint="eastAsia"/>
                <w:b w:val="0"/>
                <w:bCs w:val="0"/>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3529B065">
            <w:pPr>
              <w:spacing w:line="400" w:lineRule="exact"/>
              <w:rPr>
                <w:rFonts w:hint="eastAsia"/>
                <w:b w:val="0"/>
                <w:bCs w:val="0"/>
                <w:color w:val="auto"/>
                <w:sz w:val="24"/>
                <w:szCs w:val="24"/>
                <w:highlight w:val="none"/>
              </w:rPr>
            </w:pPr>
            <w:r>
              <w:rPr>
                <w:rFonts w:hint="eastAsia"/>
                <w:b w:val="0"/>
                <w:bCs w:val="0"/>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596E0E64">
            <w:pPr>
              <w:pStyle w:val="8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25.3</w:t>
            </w:r>
          </w:p>
        </w:tc>
        <w:tc>
          <w:tcPr>
            <w:tcW w:w="983" w:type="dxa"/>
            <w:vAlign w:val="center"/>
          </w:tcPr>
          <w:p w14:paraId="16B7E562">
            <w:pPr>
              <w:pStyle w:val="84"/>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25.3</w:t>
            </w:r>
          </w:p>
        </w:tc>
      </w:tr>
      <w:tr w14:paraId="4963A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265234CA">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925" w:type="dxa"/>
            <w:vMerge w:val="continue"/>
            <w:vAlign w:val="center"/>
          </w:tcPr>
          <w:p w14:paraId="27701783">
            <w:pPr>
              <w:widowControl/>
              <w:snapToGrid w:val="0"/>
              <w:spacing w:line="400" w:lineRule="exact"/>
              <w:jc w:val="center"/>
              <w:rPr>
                <w:rFonts w:hint="eastAsia" w:ascii="宋体" w:hAnsi="宋体" w:cs="宋体"/>
                <w:color w:val="auto"/>
                <w:sz w:val="24"/>
                <w:szCs w:val="24"/>
                <w:highlight w:val="none"/>
                <w:lang w:val="en-US" w:eastAsia="zh-CN"/>
              </w:rPr>
            </w:pPr>
          </w:p>
        </w:tc>
        <w:tc>
          <w:tcPr>
            <w:tcW w:w="525" w:type="dxa"/>
            <w:vMerge w:val="continue"/>
            <w:vAlign w:val="center"/>
          </w:tcPr>
          <w:p w14:paraId="540850D5">
            <w:pPr>
              <w:widowControl/>
              <w:snapToGrid w:val="0"/>
              <w:spacing w:line="400" w:lineRule="exact"/>
              <w:rPr>
                <w:rFonts w:hint="eastAsia" w:ascii="宋体" w:hAnsi="宋体" w:cs="宋体"/>
                <w:color w:val="auto"/>
                <w:sz w:val="24"/>
                <w:szCs w:val="24"/>
                <w:highlight w:val="none"/>
              </w:rPr>
            </w:pPr>
          </w:p>
        </w:tc>
        <w:tc>
          <w:tcPr>
            <w:tcW w:w="5213" w:type="dxa"/>
            <w:gridSpan w:val="2"/>
            <w:vAlign w:val="center"/>
          </w:tcPr>
          <w:p w14:paraId="6174907C">
            <w:pPr>
              <w:spacing w:line="400" w:lineRule="exact"/>
              <w:rPr>
                <w:rFonts w:hint="eastAsia"/>
                <w:color w:val="auto"/>
                <w:sz w:val="24"/>
                <w:szCs w:val="24"/>
                <w:highlight w:val="none"/>
              </w:rPr>
            </w:pPr>
            <w:r>
              <w:rPr>
                <w:rFonts w:hint="eastAsia"/>
                <w:color w:val="auto"/>
                <w:sz w:val="24"/>
                <w:szCs w:val="24"/>
                <w:highlight w:val="none"/>
              </w:rPr>
              <w:t>二、虚仿实验资源综合管理平台</w:t>
            </w:r>
          </w:p>
          <w:p w14:paraId="2C99D92F">
            <w:pPr>
              <w:spacing w:line="400" w:lineRule="exact"/>
              <w:rPr>
                <w:rFonts w:hint="eastAsia"/>
                <w:color w:val="auto"/>
                <w:sz w:val="24"/>
                <w:szCs w:val="24"/>
                <w:highlight w:val="none"/>
              </w:rPr>
            </w:pPr>
            <w:r>
              <w:rPr>
                <w:rFonts w:hint="eastAsia"/>
                <w:color w:val="auto"/>
                <w:sz w:val="24"/>
                <w:szCs w:val="24"/>
                <w:highlight w:val="none"/>
              </w:rPr>
              <w:t xml:space="preserve">（一）平台功能要求  </w:t>
            </w:r>
          </w:p>
          <w:p w14:paraId="29FC38A5">
            <w:pPr>
              <w:spacing w:line="400" w:lineRule="exact"/>
              <w:rPr>
                <w:rFonts w:hint="eastAsia"/>
                <w:color w:val="auto"/>
                <w:sz w:val="24"/>
                <w:szCs w:val="24"/>
                <w:highlight w:val="none"/>
              </w:rPr>
            </w:pPr>
            <w:r>
              <w:rPr>
                <w:rFonts w:hint="eastAsia"/>
                <w:color w:val="auto"/>
                <w:sz w:val="24"/>
                <w:szCs w:val="24"/>
                <w:highlight w:val="none"/>
              </w:rPr>
              <w:t xml:space="preserve">该平台需实现对虚拟仿真教学资源的全生命周期管理，支持多终端访问，具备资源上传、分类展示、权限管理等核心功能模块。具体包括：  </w:t>
            </w:r>
          </w:p>
          <w:p w14:paraId="422319CE">
            <w:pPr>
              <w:spacing w:line="400" w:lineRule="exact"/>
              <w:rPr>
                <w:rFonts w:hint="eastAsia"/>
                <w:color w:val="auto"/>
                <w:sz w:val="24"/>
                <w:szCs w:val="24"/>
                <w:highlight w:val="none"/>
              </w:rPr>
            </w:pPr>
            <w:r>
              <w:rPr>
                <w:rFonts w:hint="eastAsia"/>
                <w:color w:val="auto"/>
                <w:sz w:val="24"/>
                <w:szCs w:val="24"/>
                <w:highlight w:val="none"/>
              </w:rPr>
              <w:t xml:space="preserve">1. 支持上传3D模型、全景视频、交互式课件、文档、仿真数据包等多种教学资源格式。  </w:t>
            </w:r>
          </w:p>
          <w:p w14:paraId="6182DB90">
            <w:pPr>
              <w:spacing w:line="400" w:lineRule="exact"/>
              <w:rPr>
                <w:rFonts w:hint="eastAsia"/>
                <w:color w:val="auto"/>
                <w:sz w:val="24"/>
                <w:szCs w:val="24"/>
                <w:highlight w:val="none"/>
              </w:rPr>
            </w:pPr>
            <w:r>
              <w:rPr>
                <w:rFonts w:hint="eastAsia"/>
                <w:color w:val="auto"/>
                <w:sz w:val="24"/>
                <w:szCs w:val="24"/>
                <w:highlight w:val="none"/>
              </w:rPr>
              <w:t xml:space="preserve">2. 提供资源元数据标准化录入界面，包含资源名称、所属课程、适用专业、技术参数（如多边形面数、纹理分辨率）、版权信息等15个必填字段。  </w:t>
            </w:r>
          </w:p>
          <w:p w14:paraId="4F6F25DF">
            <w:pPr>
              <w:spacing w:line="400" w:lineRule="exact"/>
              <w:rPr>
                <w:rFonts w:hint="eastAsia"/>
                <w:color w:val="auto"/>
                <w:sz w:val="24"/>
                <w:szCs w:val="24"/>
                <w:highlight w:val="none"/>
              </w:rPr>
            </w:pPr>
            <w:r>
              <w:rPr>
                <w:rFonts w:hint="eastAsia"/>
                <w:color w:val="auto"/>
                <w:sz w:val="24"/>
                <w:szCs w:val="24"/>
                <w:highlight w:val="none"/>
              </w:rPr>
              <w:t xml:space="preserve">3. 支持通过EXCEL模板批量导入资源信息，支持ZIP包解压与自动归类。  </w:t>
            </w:r>
          </w:p>
          <w:p w14:paraId="668D0622">
            <w:pPr>
              <w:spacing w:line="400" w:lineRule="exact"/>
              <w:rPr>
                <w:rFonts w:hint="eastAsia"/>
                <w:color w:val="auto"/>
                <w:sz w:val="24"/>
                <w:szCs w:val="24"/>
                <w:highlight w:val="none"/>
              </w:rPr>
            </w:pPr>
            <w:r>
              <w:rPr>
                <w:rFonts w:hint="eastAsia"/>
                <w:color w:val="auto"/>
                <w:sz w:val="24"/>
                <w:szCs w:val="24"/>
                <w:highlight w:val="none"/>
              </w:rPr>
              <w:t xml:space="preserve">4. 管理员可一键将资源分配至指定专业课程。  </w:t>
            </w:r>
          </w:p>
          <w:p w14:paraId="3817397B">
            <w:pPr>
              <w:spacing w:line="400" w:lineRule="exact"/>
              <w:rPr>
                <w:rFonts w:hint="eastAsia"/>
                <w:color w:val="auto"/>
                <w:sz w:val="24"/>
                <w:szCs w:val="24"/>
                <w:highlight w:val="none"/>
              </w:rPr>
            </w:pPr>
            <w:r>
              <w:rPr>
                <w:rFonts w:hint="eastAsia"/>
                <w:color w:val="auto"/>
                <w:sz w:val="24"/>
                <w:szCs w:val="24"/>
                <w:highlight w:val="none"/>
              </w:rPr>
              <w:t xml:space="preserve">5. 提供按资源类型（操作类/演示类/考核类）与难度等级（初/中/高）的矩阵筛选导航。  </w:t>
            </w:r>
          </w:p>
          <w:p w14:paraId="48844AA8">
            <w:pPr>
              <w:spacing w:line="400" w:lineRule="exact"/>
              <w:rPr>
                <w:rFonts w:hint="eastAsia"/>
                <w:color w:val="auto"/>
                <w:sz w:val="24"/>
                <w:szCs w:val="24"/>
                <w:highlight w:val="none"/>
              </w:rPr>
            </w:pPr>
            <w:r>
              <w:rPr>
                <w:rFonts w:hint="eastAsia"/>
                <w:color w:val="auto"/>
                <w:sz w:val="24"/>
                <w:szCs w:val="24"/>
                <w:highlight w:val="none"/>
              </w:rPr>
              <w:t xml:space="preserve">6. 内置三维虚拟展馆，支持第一人称漫游，可查看热门资源，具备热点跳转与语音解说功能。  </w:t>
            </w:r>
          </w:p>
          <w:p w14:paraId="09EC41C8">
            <w:pPr>
              <w:spacing w:line="400" w:lineRule="exact"/>
              <w:rPr>
                <w:rFonts w:hint="eastAsia"/>
                <w:color w:val="auto"/>
                <w:sz w:val="24"/>
                <w:szCs w:val="24"/>
                <w:highlight w:val="none"/>
              </w:rPr>
            </w:pPr>
            <w:r>
              <w:rPr>
                <w:rFonts w:hint="eastAsia"/>
                <w:color w:val="auto"/>
                <w:sz w:val="24"/>
                <w:szCs w:val="24"/>
                <w:highlight w:val="none"/>
              </w:rPr>
              <w:t xml:space="preserve">7. 提供仿真实验5分钟试玩模式（无需登录），含操作指引动画。  </w:t>
            </w:r>
          </w:p>
          <w:p w14:paraId="79784C0A">
            <w:pPr>
              <w:spacing w:line="400" w:lineRule="exact"/>
              <w:rPr>
                <w:rFonts w:hint="eastAsia"/>
                <w:color w:val="auto"/>
                <w:sz w:val="24"/>
                <w:szCs w:val="24"/>
                <w:highlight w:val="none"/>
              </w:rPr>
            </w:pPr>
          </w:p>
          <w:p w14:paraId="062AF3EF">
            <w:pPr>
              <w:spacing w:line="400" w:lineRule="exact"/>
              <w:rPr>
                <w:rFonts w:hint="eastAsia"/>
                <w:color w:val="auto"/>
                <w:sz w:val="24"/>
                <w:szCs w:val="24"/>
                <w:highlight w:val="none"/>
              </w:rPr>
            </w:pPr>
            <w:r>
              <w:rPr>
                <w:rFonts w:hint="eastAsia"/>
                <w:color w:val="auto"/>
                <w:sz w:val="24"/>
                <w:szCs w:val="24"/>
                <w:highlight w:val="none"/>
              </w:rPr>
              <w:t xml:space="preserve">（二）嵌套资源接口要求  </w:t>
            </w:r>
          </w:p>
          <w:p w14:paraId="518B39AE">
            <w:pPr>
              <w:spacing w:line="400" w:lineRule="exact"/>
              <w:rPr>
                <w:rFonts w:hint="eastAsia"/>
                <w:color w:val="auto"/>
                <w:sz w:val="24"/>
                <w:szCs w:val="24"/>
                <w:highlight w:val="none"/>
              </w:rPr>
            </w:pPr>
            <w:r>
              <w:rPr>
                <w:rFonts w:hint="eastAsia"/>
                <w:color w:val="auto"/>
                <w:sz w:val="24"/>
                <w:szCs w:val="24"/>
                <w:highlight w:val="none"/>
              </w:rPr>
              <w:t xml:space="preserve">平台需提供标准API接口与数据规范，支持第三方资源无缝接入，具体要求如下：  </w:t>
            </w:r>
          </w:p>
          <w:p w14:paraId="16D3402A">
            <w:pPr>
              <w:spacing w:line="400" w:lineRule="exact"/>
              <w:rPr>
                <w:rFonts w:hint="eastAsia"/>
                <w:color w:val="auto"/>
                <w:sz w:val="24"/>
                <w:szCs w:val="24"/>
                <w:highlight w:val="none"/>
              </w:rPr>
            </w:pPr>
            <w:r>
              <w:rPr>
                <w:rFonts w:hint="eastAsia"/>
                <w:color w:val="auto"/>
                <w:sz w:val="24"/>
                <w:szCs w:val="24"/>
                <w:highlight w:val="none"/>
              </w:rPr>
              <w:t xml:space="preserve"> 资源需支持WebGL或H5等格式，可在平台内嵌页面中直接运行。  </w:t>
            </w:r>
          </w:p>
          <w:p w14:paraId="60385845">
            <w:pPr>
              <w:spacing w:line="400" w:lineRule="exact"/>
              <w:rPr>
                <w:rFonts w:hint="eastAsia"/>
                <w:color w:val="auto"/>
                <w:sz w:val="24"/>
                <w:szCs w:val="24"/>
                <w:highlight w:val="none"/>
              </w:rPr>
            </w:pPr>
            <w:r>
              <w:rPr>
                <w:rFonts w:hint="eastAsia"/>
                <w:color w:val="auto"/>
                <w:sz w:val="24"/>
                <w:szCs w:val="24"/>
                <w:highlight w:val="none"/>
              </w:rPr>
              <w:t xml:space="preserve"> 资源元数据需符合平台定义的JSON等格式，包含资源ID、类型、适用课程、技术参数等字段。  </w:t>
            </w:r>
          </w:p>
          <w:p w14:paraId="261F490F">
            <w:pPr>
              <w:spacing w:line="400" w:lineRule="exact"/>
              <w:rPr>
                <w:rFonts w:hint="eastAsia"/>
                <w:color w:val="auto"/>
                <w:sz w:val="24"/>
                <w:szCs w:val="24"/>
                <w:highlight w:val="none"/>
              </w:rPr>
            </w:pPr>
            <w:r>
              <w:rPr>
                <w:rFonts w:hint="eastAsia"/>
                <w:color w:val="auto"/>
                <w:sz w:val="24"/>
                <w:szCs w:val="24"/>
                <w:highlight w:val="none"/>
              </w:rPr>
              <w:t xml:space="preserve"> 虚拟展馆资源需支持热点跳转与语音解说接口，可与平台用户权限系统对接。  </w:t>
            </w:r>
          </w:p>
          <w:p w14:paraId="66B7CCE4">
            <w:pPr>
              <w:spacing w:line="400" w:lineRule="exact"/>
              <w:rPr>
                <w:rFonts w:hint="eastAsia"/>
                <w:color w:val="auto"/>
                <w:sz w:val="24"/>
                <w:szCs w:val="24"/>
                <w:highlight w:val="none"/>
              </w:rPr>
            </w:pPr>
            <w:r>
              <w:rPr>
                <w:rFonts w:hint="eastAsia"/>
                <w:color w:val="auto"/>
                <w:sz w:val="24"/>
                <w:szCs w:val="24"/>
                <w:highlight w:val="none"/>
              </w:rPr>
              <w:t xml:space="preserve"> 仿真实验资源需支持试玩模式调用接口，支持操作记录与成绩回传。  </w:t>
            </w:r>
          </w:p>
          <w:p w14:paraId="75535BF8">
            <w:pPr>
              <w:spacing w:line="400" w:lineRule="exact"/>
              <w:rPr>
                <w:rFonts w:hint="eastAsia"/>
                <w:color w:val="auto"/>
                <w:sz w:val="24"/>
                <w:szCs w:val="24"/>
                <w:highlight w:val="none"/>
              </w:rPr>
            </w:pPr>
          </w:p>
          <w:p w14:paraId="1458682F">
            <w:pPr>
              <w:spacing w:line="400" w:lineRule="exact"/>
              <w:rPr>
                <w:rFonts w:hint="eastAsia"/>
                <w:color w:val="auto"/>
                <w:sz w:val="24"/>
                <w:szCs w:val="24"/>
                <w:highlight w:val="none"/>
              </w:rPr>
            </w:pPr>
            <w:r>
              <w:rPr>
                <w:rFonts w:hint="eastAsia"/>
                <w:color w:val="auto"/>
                <w:sz w:val="24"/>
                <w:szCs w:val="24"/>
                <w:highlight w:val="none"/>
              </w:rPr>
              <w:t xml:space="preserve">（三）技术参数  </w:t>
            </w:r>
          </w:p>
          <w:p w14:paraId="7EC045B1">
            <w:pPr>
              <w:spacing w:line="400" w:lineRule="exact"/>
              <w:rPr>
                <w:rFonts w:hint="eastAsia"/>
                <w:color w:val="auto"/>
                <w:sz w:val="24"/>
                <w:szCs w:val="24"/>
                <w:highlight w:val="none"/>
              </w:rPr>
            </w:pPr>
            <w:r>
              <w:rPr>
                <w:rFonts w:hint="eastAsia"/>
                <w:color w:val="auto"/>
                <w:sz w:val="24"/>
                <w:szCs w:val="24"/>
                <w:highlight w:val="none"/>
              </w:rPr>
              <w:t xml:space="preserve"> 平台需支持Windows、Linux服务器部署，支持MySQL或PostgreSQL数据库。  </w:t>
            </w:r>
          </w:p>
          <w:p w14:paraId="5DE2E341">
            <w:pPr>
              <w:spacing w:line="400" w:lineRule="exact"/>
              <w:rPr>
                <w:rFonts w:hint="eastAsia"/>
                <w:color w:val="auto"/>
                <w:sz w:val="24"/>
                <w:szCs w:val="24"/>
                <w:highlight w:val="none"/>
              </w:rPr>
            </w:pPr>
            <w:r>
              <w:rPr>
                <w:rFonts w:hint="eastAsia"/>
                <w:color w:val="auto"/>
                <w:sz w:val="24"/>
                <w:szCs w:val="24"/>
                <w:highlight w:val="none"/>
              </w:rPr>
              <w:t xml:space="preserve"> 前端支持HTML5、WebGL，兼容主流浏览器（Chrome、Firefox、Edge等）。  </w:t>
            </w:r>
          </w:p>
          <w:p w14:paraId="57B52741">
            <w:pPr>
              <w:spacing w:line="400" w:lineRule="exact"/>
              <w:rPr>
                <w:rFonts w:hint="eastAsia"/>
                <w:color w:val="auto"/>
                <w:sz w:val="24"/>
                <w:szCs w:val="24"/>
                <w:highlight w:val="none"/>
              </w:rPr>
            </w:pPr>
            <w:r>
              <w:rPr>
                <w:rFonts w:hint="eastAsia"/>
                <w:color w:val="auto"/>
                <w:sz w:val="24"/>
                <w:szCs w:val="24"/>
                <w:highlight w:val="none"/>
              </w:rPr>
              <w:t xml:space="preserve"> 提供RESTful API等接口文档，支持二次开发与定制化扩展。  </w:t>
            </w:r>
          </w:p>
          <w:p w14:paraId="0F76382D">
            <w:pPr>
              <w:spacing w:line="400" w:lineRule="exact"/>
              <w:rPr>
                <w:rFonts w:hint="eastAsia"/>
                <w:color w:val="auto"/>
                <w:sz w:val="24"/>
                <w:szCs w:val="24"/>
                <w:highlight w:val="none"/>
              </w:rPr>
            </w:pPr>
          </w:p>
          <w:p w14:paraId="02EEDBEC">
            <w:pPr>
              <w:spacing w:line="400" w:lineRule="exact"/>
              <w:rPr>
                <w:rFonts w:hint="eastAsia"/>
                <w:color w:val="auto"/>
                <w:sz w:val="24"/>
                <w:szCs w:val="24"/>
                <w:highlight w:val="none"/>
              </w:rPr>
            </w:pPr>
            <w:r>
              <w:rPr>
                <w:rFonts w:hint="eastAsia"/>
                <w:color w:val="auto"/>
                <w:sz w:val="24"/>
                <w:szCs w:val="24"/>
                <w:highlight w:val="none"/>
              </w:rPr>
              <w:t>（四）技术保障</w:t>
            </w:r>
          </w:p>
          <w:p w14:paraId="012FAA48">
            <w:pPr>
              <w:spacing w:line="400" w:lineRule="exact"/>
              <w:rPr>
                <w:rFonts w:hint="eastAsia"/>
                <w:color w:val="auto"/>
                <w:sz w:val="24"/>
                <w:szCs w:val="24"/>
                <w:highlight w:val="none"/>
              </w:rPr>
            </w:pPr>
            <w:r>
              <w:rPr>
                <w:rFonts w:hint="eastAsia"/>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7662FCFF">
            <w:pPr>
              <w:spacing w:line="400" w:lineRule="exact"/>
              <w:rPr>
                <w:rFonts w:hint="eastAsia"/>
                <w:color w:val="auto"/>
                <w:sz w:val="24"/>
                <w:szCs w:val="24"/>
                <w:highlight w:val="none"/>
              </w:rPr>
            </w:pPr>
            <w:r>
              <w:rPr>
                <w:rFonts w:hint="eastAsia"/>
                <w:color w:val="auto"/>
                <w:sz w:val="24"/>
                <w:szCs w:val="24"/>
                <w:highlight w:val="none"/>
              </w:rPr>
              <w:t>2.提供防火墙隔离策略，划分DMZ区隔离外网访问与核心教学数据区，外网请求需通过身份验证网关。</w:t>
            </w:r>
          </w:p>
          <w:p w14:paraId="525B8BA1">
            <w:pPr>
              <w:spacing w:line="400" w:lineRule="exact"/>
              <w:rPr>
                <w:rFonts w:hint="eastAsia"/>
                <w:color w:val="auto"/>
                <w:sz w:val="24"/>
                <w:szCs w:val="24"/>
                <w:highlight w:val="none"/>
              </w:rPr>
            </w:pPr>
            <w:r>
              <w:rPr>
                <w:rFonts w:hint="eastAsia"/>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4A1D18D0">
            <w:pPr>
              <w:spacing w:line="400" w:lineRule="exact"/>
              <w:rPr>
                <w:rFonts w:hint="eastAsia"/>
                <w:color w:val="auto"/>
                <w:sz w:val="24"/>
                <w:szCs w:val="24"/>
                <w:highlight w:val="none"/>
              </w:rPr>
            </w:pPr>
            <w:r>
              <w:rPr>
                <w:rFonts w:hint="eastAsia"/>
                <w:color w:val="auto"/>
                <w:sz w:val="24"/>
                <w:szCs w:val="24"/>
                <w:highlight w:val="none"/>
              </w:rPr>
              <w:t>4.内置数据脱敏功能，学生成绩、教师评语等敏感信息展示时自动隐藏关键字段（如身份证号）。</w:t>
            </w:r>
          </w:p>
          <w:p w14:paraId="0338CD7D">
            <w:pPr>
              <w:spacing w:line="400" w:lineRule="exact"/>
              <w:rPr>
                <w:rFonts w:hint="eastAsia"/>
                <w:color w:val="auto"/>
                <w:sz w:val="24"/>
                <w:szCs w:val="24"/>
                <w:highlight w:val="none"/>
              </w:rPr>
            </w:pPr>
            <w:r>
              <w:rPr>
                <w:rFonts w:hint="eastAsia"/>
                <w:color w:val="auto"/>
                <w:sz w:val="24"/>
                <w:szCs w:val="24"/>
                <w:highlight w:val="none"/>
              </w:rPr>
              <w:t>5.支持操作日志全量审计，记录用户登录、资源访问、数据导出等行为，日志保留≥180天。</w:t>
            </w:r>
          </w:p>
          <w:p w14:paraId="07A7F349">
            <w:pPr>
              <w:spacing w:line="400" w:lineRule="exact"/>
              <w:rPr>
                <w:rFonts w:hint="eastAsia"/>
                <w:color w:val="auto"/>
                <w:sz w:val="24"/>
                <w:szCs w:val="24"/>
                <w:highlight w:val="none"/>
              </w:rPr>
            </w:pPr>
            <w:r>
              <w:rPr>
                <w:rFonts w:hint="eastAsia"/>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054645C8">
            <w:pPr>
              <w:spacing w:line="400" w:lineRule="exact"/>
              <w:rPr>
                <w:rFonts w:hint="eastAsia"/>
                <w:color w:val="auto"/>
                <w:sz w:val="24"/>
                <w:szCs w:val="24"/>
                <w:highlight w:val="none"/>
              </w:rPr>
            </w:pPr>
            <w:r>
              <w:rPr>
                <w:rFonts w:hint="eastAsia"/>
                <w:color w:val="auto"/>
                <w:sz w:val="24"/>
                <w:szCs w:val="24"/>
                <w:highlight w:val="none"/>
              </w:rPr>
              <w:t>7.平台为本地部署，提供五年的免费技术服务及免费升级服务，提供不低于1名技术工程师驻点一年服务（驻点服务按实际项目需求确定）。</w:t>
            </w:r>
          </w:p>
          <w:p w14:paraId="3667B33B">
            <w:pPr>
              <w:spacing w:line="400" w:lineRule="exact"/>
              <w:rPr>
                <w:rFonts w:hint="eastAsia"/>
                <w:color w:val="auto"/>
                <w:sz w:val="24"/>
                <w:szCs w:val="24"/>
                <w:highlight w:val="none"/>
              </w:rPr>
            </w:pPr>
          </w:p>
          <w:p w14:paraId="78104722">
            <w:pPr>
              <w:spacing w:line="400" w:lineRule="exact"/>
              <w:rPr>
                <w:rFonts w:hint="eastAsia"/>
                <w:color w:val="auto"/>
                <w:sz w:val="24"/>
                <w:szCs w:val="24"/>
                <w:highlight w:val="none"/>
              </w:rPr>
            </w:pPr>
            <w:r>
              <w:rPr>
                <w:rFonts w:hint="eastAsia"/>
                <w:color w:val="auto"/>
                <w:sz w:val="24"/>
                <w:szCs w:val="24"/>
                <w:highlight w:val="none"/>
              </w:rPr>
              <w:t>（五）系统部署与服务支持要求</w:t>
            </w:r>
          </w:p>
          <w:p w14:paraId="05A64C4C">
            <w:pPr>
              <w:spacing w:line="400" w:lineRule="exact"/>
              <w:rPr>
                <w:rFonts w:hint="eastAsia"/>
                <w:color w:val="auto"/>
                <w:sz w:val="24"/>
                <w:szCs w:val="24"/>
                <w:highlight w:val="none"/>
              </w:rPr>
            </w:pPr>
            <w:r>
              <w:rPr>
                <w:rFonts w:hint="eastAsia"/>
                <w:color w:val="auto"/>
                <w:sz w:val="24"/>
                <w:szCs w:val="24"/>
                <w:highlight w:val="none"/>
              </w:rPr>
              <w:t>1. 系统部署方式：需为本地化部署，所有软件及数据应部署于采购方指定的校内服务器。</w:t>
            </w:r>
          </w:p>
          <w:p w14:paraId="320EA8E5">
            <w:pPr>
              <w:spacing w:line="400" w:lineRule="exact"/>
              <w:rPr>
                <w:rFonts w:hint="eastAsia"/>
                <w:color w:val="auto"/>
                <w:sz w:val="24"/>
                <w:szCs w:val="24"/>
                <w:highlight w:val="none"/>
              </w:rPr>
            </w:pPr>
            <w:r>
              <w:rPr>
                <w:rFonts w:hint="eastAsia"/>
                <w:color w:val="auto"/>
                <w:sz w:val="24"/>
                <w:szCs w:val="24"/>
                <w:highlight w:val="none"/>
              </w:rPr>
              <w:t>2. 授权与使用限制：系统部署后应终身免费使用，不限制用户数，无需额外支付授权费用。</w:t>
            </w:r>
          </w:p>
          <w:p w14:paraId="7E578BA3">
            <w:pPr>
              <w:spacing w:line="400" w:lineRule="exact"/>
              <w:rPr>
                <w:rFonts w:hint="eastAsia"/>
                <w:color w:val="auto"/>
                <w:sz w:val="24"/>
                <w:szCs w:val="24"/>
                <w:highlight w:val="none"/>
              </w:rPr>
            </w:pPr>
            <w:r>
              <w:rPr>
                <w:rFonts w:hint="eastAsia"/>
                <w:color w:val="auto"/>
                <w:sz w:val="24"/>
                <w:szCs w:val="24"/>
                <w:highlight w:val="none"/>
              </w:rPr>
              <w:t>3. 质保与维护服务：提供不少于5年的免费质保与系统维护服务。质保期内须提供功能更新、漏洞修复及技术支援。</w:t>
            </w:r>
          </w:p>
          <w:p w14:paraId="629B641C">
            <w:pPr>
              <w:spacing w:line="400" w:lineRule="exact"/>
              <w:rPr>
                <w:rFonts w:hint="eastAsia"/>
                <w:color w:val="auto"/>
                <w:sz w:val="24"/>
                <w:szCs w:val="24"/>
                <w:highlight w:val="none"/>
              </w:rPr>
            </w:pPr>
            <w:r>
              <w:rPr>
                <w:rFonts w:hint="eastAsia"/>
                <w:color w:val="auto"/>
                <w:sz w:val="24"/>
                <w:szCs w:val="24"/>
                <w:highlight w:val="none"/>
              </w:rPr>
              <w:t>4. 期满后续服务：质保期满后，应可继续提供有偿技术服务，收费标准不高于原合该平台金额的10%/年，具体服务内容由双方协商确定。</w:t>
            </w:r>
          </w:p>
          <w:p w14:paraId="1CB0E8D5">
            <w:pPr>
              <w:spacing w:line="400" w:lineRule="exact"/>
              <w:rPr>
                <w:rFonts w:hint="eastAsia"/>
                <w:color w:val="auto"/>
                <w:sz w:val="24"/>
                <w:szCs w:val="24"/>
                <w:highlight w:val="none"/>
              </w:rPr>
            </w:pPr>
          </w:p>
          <w:p w14:paraId="02C47F1D">
            <w:pPr>
              <w:spacing w:line="400" w:lineRule="exact"/>
              <w:rPr>
                <w:rFonts w:hint="eastAsia"/>
                <w:color w:val="auto"/>
                <w:sz w:val="24"/>
                <w:szCs w:val="24"/>
                <w:highlight w:val="none"/>
              </w:rPr>
            </w:pPr>
            <w:r>
              <w:rPr>
                <w:rFonts w:hint="eastAsia"/>
                <w:color w:val="auto"/>
                <w:sz w:val="24"/>
                <w:szCs w:val="24"/>
                <w:highlight w:val="none"/>
              </w:rPr>
              <w:t>（六）系统对接要求</w:t>
            </w:r>
          </w:p>
          <w:p w14:paraId="02E25DE6">
            <w:pPr>
              <w:spacing w:line="400" w:lineRule="exact"/>
              <w:rPr>
                <w:rFonts w:hint="eastAsia"/>
                <w:color w:val="auto"/>
                <w:sz w:val="24"/>
                <w:szCs w:val="24"/>
                <w:highlight w:val="none"/>
              </w:rPr>
            </w:pPr>
            <w:r>
              <w:rPr>
                <w:rFonts w:hint="eastAsia"/>
                <w:color w:val="auto"/>
                <w:sz w:val="24"/>
                <w:szCs w:val="24"/>
                <w:highlight w:val="none"/>
              </w:rPr>
              <w:t>1. 数据回传接口：需提供稳定可靠的数据库连接方式或采购方认可的数据接口，并附有完整数据字典，确保数据有效、完整、接口性能达标。</w:t>
            </w:r>
          </w:p>
          <w:p w14:paraId="1D910F7C">
            <w:pPr>
              <w:spacing w:line="400" w:lineRule="exact"/>
              <w:rPr>
                <w:rFonts w:hint="eastAsia"/>
                <w:color w:val="auto"/>
                <w:sz w:val="24"/>
                <w:szCs w:val="24"/>
                <w:highlight w:val="none"/>
              </w:rPr>
            </w:pPr>
            <w:r>
              <w:rPr>
                <w:rFonts w:hint="eastAsia"/>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10044CD7">
            <w:pPr>
              <w:spacing w:line="400" w:lineRule="exact"/>
              <w:rPr>
                <w:rFonts w:hint="eastAsia"/>
                <w:color w:val="auto"/>
                <w:sz w:val="24"/>
                <w:szCs w:val="24"/>
                <w:highlight w:val="none"/>
              </w:rPr>
            </w:pPr>
            <w:r>
              <w:rPr>
                <w:rFonts w:hint="eastAsia"/>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4CF6143A">
            <w:pPr>
              <w:pStyle w:val="8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c>
          <w:tcPr>
            <w:tcW w:w="983" w:type="dxa"/>
            <w:vAlign w:val="center"/>
          </w:tcPr>
          <w:p w14:paraId="10290932">
            <w:pPr>
              <w:pStyle w:val="8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w:t>
            </w:r>
          </w:p>
        </w:tc>
      </w:tr>
      <w:tr w14:paraId="50950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Merge w:val="continue"/>
            <w:vAlign w:val="center"/>
          </w:tcPr>
          <w:p w14:paraId="12DD7811">
            <w:pPr>
              <w:tabs>
                <w:tab w:val="left" w:pos="180"/>
                <w:tab w:val="left" w:pos="1620"/>
              </w:tabs>
              <w:spacing w:line="400" w:lineRule="exact"/>
              <w:jc w:val="center"/>
              <w:rPr>
                <w:rFonts w:hint="eastAsia" w:ascii="宋体" w:hAnsi="宋体" w:cs="宋体"/>
                <w:color w:val="auto"/>
                <w:sz w:val="24"/>
                <w:szCs w:val="24"/>
                <w:highlight w:val="none"/>
                <w:lang w:val="en-US" w:eastAsia="zh-CN"/>
              </w:rPr>
            </w:pPr>
          </w:p>
        </w:tc>
        <w:tc>
          <w:tcPr>
            <w:tcW w:w="925" w:type="dxa"/>
            <w:vMerge w:val="continue"/>
            <w:vAlign w:val="center"/>
          </w:tcPr>
          <w:p w14:paraId="39A5AC5D">
            <w:pPr>
              <w:widowControl/>
              <w:snapToGrid w:val="0"/>
              <w:spacing w:line="400" w:lineRule="exact"/>
              <w:jc w:val="center"/>
              <w:rPr>
                <w:rFonts w:hint="eastAsia" w:ascii="宋体" w:hAnsi="宋体" w:cs="宋体"/>
                <w:color w:val="auto"/>
                <w:sz w:val="24"/>
                <w:szCs w:val="24"/>
                <w:highlight w:val="none"/>
                <w:lang w:val="en-US" w:eastAsia="zh-CN"/>
              </w:rPr>
            </w:pPr>
          </w:p>
        </w:tc>
        <w:tc>
          <w:tcPr>
            <w:tcW w:w="525" w:type="dxa"/>
            <w:vMerge w:val="continue"/>
            <w:vAlign w:val="center"/>
          </w:tcPr>
          <w:p w14:paraId="6D860DFF">
            <w:pPr>
              <w:widowControl/>
              <w:snapToGrid w:val="0"/>
              <w:spacing w:line="400" w:lineRule="exact"/>
              <w:rPr>
                <w:rFonts w:hint="eastAsia" w:ascii="宋体" w:hAnsi="宋体" w:cs="宋体"/>
                <w:color w:val="auto"/>
                <w:sz w:val="24"/>
                <w:szCs w:val="24"/>
                <w:highlight w:val="none"/>
              </w:rPr>
            </w:pPr>
          </w:p>
        </w:tc>
        <w:tc>
          <w:tcPr>
            <w:tcW w:w="5213" w:type="dxa"/>
            <w:gridSpan w:val="2"/>
            <w:vAlign w:val="center"/>
          </w:tcPr>
          <w:p w14:paraId="1C3CD089">
            <w:pPr>
              <w:spacing w:line="400" w:lineRule="exact"/>
              <w:rPr>
                <w:rFonts w:hint="eastAsia"/>
                <w:color w:val="auto"/>
                <w:sz w:val="24"/>
                <w:szCs w:val="24"/>
                <w:highlight w:val="none"/>
              </w:rPr>
            </w:pPr>
            <w:r>
              <w:rPr>
                <w:rFonts w:hint="eastAsia"/>
                <w:color w:val="auto"/>
                <w:sz w:val="24"/>
                <w:szCs w:val="24"/>
                <w:highlight w:val="none"/>
              </w:rPr>
              <w:t>三、虚拟仿真中心统一工作云平台：</w:t>
            </w:r>
          </w:p>
          <w:p w14:paraId="13862F86">
            <w:pPr>
              <w:spacing w:line="400" w:lineRule="exact"/>
              <w:rPr>
                <w:rFonts w:hint="eastAsia"/>
                <w:color w:val="auto"/>
                <w:sz w:val="24"/>
                <w:szCs w:val="24"/>
                <w:highlight w:val="none"/>
              </w:rPr>
            </w:pPr>
            <w:r>
              <w:rPr>
                <w:rFonts w:hint="eastAsia"/>
                <w:color w:val="auto"/>
                <w:sz w:val="24"/>
                <w:szCs w:val="24"/>
                <w:highlight w:val="none"/>
              </w:rPr>
              <w:t>（一）设备任务管理</w:t>
            </w:r>
          </w:p>
          <w:p w14:paraId="170AA020">
            <w:pPr>
              <w:spacing w:line="400" w:lineRule="exact"/>
              <w:rPr>
                <w:rFonts w:hint="eastAsia"/>
                <w:color w:val="auto"/>
                <w:sz w:val="24"/>
                <w:szCs w:val="24"/>
                <w:highlight w:val="none"/>
              </w:rPr>
            </w:pPr>
            <w:r>
              <w:rPr>
                <w:rFonts w:hint="eastAsia"/>
                <w:color w:val="auto"/>
                <w:sz w:val="24"/>
                <w:szCs w:val="24"/>
                <w:highlight w:val="none"/>
              </w:rPr>
              <w:t>1.支持对接硬件设备，使本系统可应用于硬件，可使硬件联通虚拟仿真资源。</w:t>
            </w:r>
          </w:p>
          <w:p w14:paraId="03454612">
            <w:pPr>
              <w:spacing w:line="400" w:lineRule="exact"/>
              <w:rPr>
                <w:rFonts w:hint="eastAsia"/>
                <w:color w:val="auto"/>
                <w:sz w:val="24"/>
                <w:szCs w:val="24"/>
                <w:highlight w:val="none"/>
              </w:rPr>
            </w:pPr>
            <w:r>
              <w:rPr>
                <w:rFonts w:hint="eastAsia"/>
                <w:color w:val="auto"/>
                <w:sz w:val="24"/>
                <w:szCs w:val="24"/>
                <w:highlight w:val="none"/>
              </w:rPr>
              <w:t xml:space="preserve">2.提供软件拓扑图，可视化展示对应虚拟仿真资源在各设备上的安装情况 </w:t>
            </w:r>
          </w:p>
          <w:p w14:paraId="07CCCF91">
            <w:pPr>
              <w:spacing w:line="400" w:lineRule="exact"/>
              <w:rPr>
                <w:rFonts w:hint="eastAsia"/>
                <w:color w:val="auto"/>
                <w:sz w:val="24"/>
                <w:szCs w:val="24"/>
                <w:highlight w:val="none"/>
              </w:rPr>
            </w:pPr>
            <w:r>
              <w:rPr>
                <w:rFonts w:hint="eastAsia"/>
                <w:color w:val="auto"/>
                <w:sz w:val="24"/>
                <w:szCs w:val="24"/>
                <w:highlight w:val="none"/>
              </w:rPr>
              <w:t xml:space="preserve">3.支持设备预约管理，教师或管理员可提前预约设备使用时段，避免冲突。  </w:t>
            </w:r>
          </w:p>
          <w:p w14:paraId="0BE6B6FC">
            <w:pPr>
              <w:spacing w:line="400" w:lineRule="exact"/>
              <w:rPr>
                <w:rFonts w:hint="eastAsia"/>
                <w:color w:val="auto"/>
                <w:sz w:val="24"/>
                <w:szCs w:val="24"/>
                <w:highlight w:val="none"/>
              </w:rPr>
            </w:pPr>
            <w:r>
              <w:rPr>
                <w:rFonts w:hint="eastAsia"/>
                <w:color w:val="auto"/>
                <w:sz w:val="24"/>
                <w:szCs w:val="24"/>
                <w:highlight w:val="none"/>
              </w:rPr>
              <w:t xml:space="preserve">4.提供设备使用日志记录功能，可查询历史使用记录（使用者、时长、操作内容等）。  </w:t>
            </w:r>
          </w:p>
          <w:p w14:paraId="3BC88B7A">
            <w:pPr>
              <w:spacing w:line="400" w:lineRule="exact"/>
              <w:rPr>
                <w:rFonts w:hint="eastAsia"/>
                <w:color w:val="auto"/>
                <w:sz w:val="24"/>
                <w:szCs w:val="24"/>
                <w:highlight w:val="none"/>
              </w:rPr>
            </w:pPr>
            <w:r>
              <w:rPr>
                <w:rFonts w:hint="eastAsia"/>
                <w:color w:val="auto"/>
                <w:sz w:val="24"/>
                <w:szCs w:val="24"/>
                <w:highlight w:val="none"/>
              </w:rPr>
              <w:t xml:space="preserve">5.支持设备维护计划制定与提醒，包括定期检修、耗材更换等。  </w:t>
            </w:r>
          </w:p>
          <w:p w14:paraId="2AE99CF0">
            <w:pPr>
              <w:spacing w:line="400" w:lineRule="exact"/>
              <w:rPr>
                <w:rFonts w:hint="eastAsia"/>
                <w:color w:val="auto"/>
                <w:sz w:val="24"/>
                <w:szCs w:val="24"/>
                <w:highlight w:val="none"/>
              </w:rPr>
            </w:pPr>
            <w:r>
              <w:rPr>
                <w:rFonts w:hint="eastAsia"/>
                <w:color w:val="auto"/>
                <w:sz w:val="24"/>
                <w:szCs w:val="24"/>
                <w:highlight w:val="none"/>
              </w:rPr>
              <w:t xml:space="preserve">6.提供故障报修流程，用户可提交故障申请，管理员分配维修任务并跟踪进度。  </w:t>
            </w:r>
          </w:p>
          <w:p w14:paraId="42FC76AF">
            <w:pPr>
              <w:spacing w:line="400" w:lineRule="exact"/>
              <w:rPr>
                <w:rFonts w:hint="eastAsia"/>
                <w:color w:val="auto"/>
                <w:sz w:val="24"/>
                <w:szCs w:val="24"/>
                <w:highlight w:val="none"/>
              </w:rPr>
            </w:pPr>
            <w:r>
              <w:rPr>
                <w:rFonts w:hint="eastAsia"/>
                <w:color w:val="auto"/>
                <w:sz w:val="24"/>
                <w:szCs w:val="24"/>
                <w:highlight w:val="none"/>
              </w:rPr>
              <w:t xml:space="preserve">7.支持设备资产信息管理，包括采购日期、保修期、供应商等信息的录入与查询。    </w:t>
            </w:r>
          </w:p>
          <w:p w14:paraId="25143A47">
            <w:pPr>
              <w:spacing w:line="400" w:lineRule="exact"/>
              <w:rPr>
                <w:rFonts w:hint="eastAsia"/>
                <w:color w:val="auto"/>
                <w:sz w:val="24"/>
                <w:szCs w:val="24"/>
                <w:highlight w:val="none"/>
              </w:rPr>
            </w:pPr>
            <w:r>
              <w:rPr>
                <w:rFonts w:hint="eastAsia"/>
                <w:color w:val="auto"/>
                <w:sz w:val="24"/>
                <w:szCs w:val="24"/>
                <w:highlight w:val="none"/>
              </w:rPr>
              <w:t xml:space="preserve">8.系统支持角色分工，默认角色包括：超级管理员、设备管理员、教师、学生、访客，支持自定义角色。  </w:t>
            </w:r>
          </w:p>
          <w:p w14:paraId="522551AA">
            <w:pPr>
              <w:spacing w:line="400" w:lineRule="exact"/>
              <w:rPr>
                <w:rFonts w:hint="eastAsia"/>
                <w:color w:val="auto"/>
                <w:sz w:val="24"/>
                <w:szCs w:val="24"/>
                <w:highlight w:val="none"/>
              </w:rPr>
            </w:pPr>
            <w:r>
              <w:rPr>
                <w:rFonts w:hint="eastAsia"/>
                <w:color w:val="auto"/>
                <w:sz w:val="24"/>
                <w:szCs w:val="24"/>
                <w:highlight w:val="none"/>
              </w:rPr>
              <w:t xml:space="preserve">9.角色权限层级分为：中心级、学院级、专业级、班级级，实现分级管理。  </w:t>
            </w:r>
          </w:p>
          <w:p w14:paraId="77427FA2">
            <w:pPr>
              <w:spacing w:line="400" w:lineRule="exact"/>
              <w:rPr>
                <w:rFonts w:hint="eastAsia"/>
                <w:color w:val="auto"/>
                <w:sz w:val="24"/>
                <w:szCs w:val="24"/>
                <w:highlight w:val="none"/>
              </w:rPr>
            </w:pPr>
            <w:r>
              <w:rPr>
                <w:rFonts w:hint="eastAsia"/>
                <w:color w:val="auto"/>
                <w:sz w:val="24"/>
                <w:szCs w:val="24"/>
                <w:highlight w:val="none"/>
              </w:rPr>
              <w:t xml:space="preserve">10.支持功能权限分配（如数据导出、用户管理等）。  </w:t>
            </w:r>
          </w:p>
          <w:p w14:paraId="354F3113">
            <w:pPr>
              <w:spacing w:line="400" w:lineRule="exact"/>
              <w:rPr>
                <w:rFonts w:hint="eastAsia"/>
                <w:color w:val="auto"/>
                <w:sz w:val="24"/>
                <w:szCs w:val="24"/>
                <w:highlight w:val="none"/>
              </w:rPr>
            </w:pPr>
            <w:r>
              <w:rPr>
                <w:rFonts w:hint="eastAsia"/>
                <w:color w:val="auto"/>
                <w:sz w:val="24"/>
                <w:szCs w:val="24"/>
                <w:highlight w:val="none"/>
              </w:rPr>
              <w:t xml:space="preserve">11.支持数据权限分配（如数据使用范围、资源访问范围等）。  </w:t>
            </w:r>
          </w:p>
          <w:p w14:paraId="31884E4E">
            <w:pPr>
              <w:spacing w:line="400" w:lineRule="exact"/>
              <w:rPr>
                <w:rFonts w:hint="eastAsia"/>
                <w:color w:val="auto"/>
                <w:sz w:val="24"/>
                <w:szCs w:val="24"/>
                <w:highlight w:val="none"/>
              </w:rPr>
            </w:pPr>
            <w:r>
              <w:rPr>
                <w:rFonts w:hint="eastAsia"/>
                <w:color w:val="auto"/>
                <w:sz w:val="24"/>
                <w:szCs w:val="24"/>
                <w:highlight w:val="none"/>
              </w:rPr>
              <w:t xml:space="preserve">12.支持操作权限分配（如仅查看、可编辑、可审批等）。  </w:t>
            </w:r>
          </w:p>
          <w:p w14:paraId="416B148E">
            <w:pPr>
              <w:spacing w:line="400" w:lineRule="exact"/>
              <w:rPr>
                <w:rFonts w:hint="eastAsia"/>
                <w:color w:val="auto"/>
                <w:sz w:val="24"/>
                <w:szCs w:val="24"/>
                <w:highlight w:val="none"/>
              </w:rPr>
            </w:pPr>
            <w:r>
              <w:rPr>
                <w:rFonts w:hint="eastAsia"/>
                <w:color w:val="auto"/>
                <w:sz w:val="24"/>
                <w:szCs w:val="24"/>
                <w:highlight w:val="none"/>
              </w:rPr>
              <w:t>13.支持批量导入用户信息</w:t>
            </w:r>
          </w:p>
          <w:p w14:paraId="7189F2DB">
            <w:pPr>
              <w:spacing w:line="400" w:lineRule="exact"/>
              <w:rPr>
                <w:rFonts w:hint="eastAsia"/>
                <w:color w:val="auto"/>
                <w:sz w:val="24"/>
                <w:szCs w:val="24"/>
                <w:highlight w:val="none"/>
              </w:rPr>
            </w:pPr>
            <w:r>
              <w:rPr>
                <w:rFonts w:hint="eastAsia"/>
                <w:color w:val="auto"/>
                <w:sz w:val="24"/>
                <w:szCs w:val="24"/>
                <w:highlight w:val="none"/>
              </w:rPr>
              <w:t xml:space="preserve">14.提供用户状态管理（启用/禁用）、密码重置、个人信息维护等功能。  </w:t>
            </w:r>
          </w:p>
          <w:p w14:paraId="16D369B4">
            <w:pPr>
              <w:spacing w:line="400" w:lineRule="exact"/>
              <w:rPr>
                <w:rFonts w:hint="eastAsia"/>
                <w:color w:val="auto"/>
                <w:sz w:val="24"/>
                <w:szCs w:val="24"/>
                <w:highlight w:val="none"/>
              </w:rPr>
            </w:pPr>
            <w:r>
              <w:rPr>
                <w:rFonts w:hint="eastAsia"/>
                <w:color w:val="auto"/>
                <w:sz w:val="24"/>
                <w:szCs w:val="24"/>
                <w:highlight w:val="none"/>
              </w:rPr>
              <w:t xml:space="preserve">15.支持实训资源分类管理（如教学视频、3D模型、实验数据等）。  </w:t>
            </w:r>
          </w:p>
          <w:p w14:paraId="6330496F">
            <w:pPr>
              <w:spacing w:line="400" w:lineRule="exact"/>
              <w:rPr>
                <w:rFonts w:hint="eastAsia"/>
                <w:color w:val="auto"/>
                <w:sz w:val="24"/>
                <w:szCs w:val="24"/>
                <w:highlight w:val="none"/>
              </w:rPr>
            </w:pPr>
            <w:r>
              <w:rPr>
                <w:rFonts w:hint="eastAsia"/>
                <w:color w:val="auto"/>
                <w:sz w:val="24"/>
                <w:szCs w:val="24"/>
                <w:highlight w:val="none"/>
              </w:rPr>
              <w:t xml:space="preserve">16.提供资源发布功能，管理员可设置资源的开放范围（校内公开、部分可见、访客可见）。  </w:t>
            </w:r>
          </w:p>
          <w:p w14:paraId="3EEF8C95">
            <w:pPr>
              <w:spacing w:line="400" w:lineRule="exact"/>
              <w:rPr>
                <w:rFonts w:hint="eastAsia"/>
                <w:color w:val="auto"/>
                <w:sz w:val="24"/>
                <w:szCs w:val="24"/>
                <w:highlight w:val="none"/>
              </w:rPr>
            </w:pPr>
            <w:r>
              <w:rPr>
                <w:rFonts w:hint="eastAsia"/>
                <w:color w:val="auto"/>
                <w:sz w:val="24"/>
                <w:szCs w:val="24"/>
                <w:highlight w:val="none"/>
              </w:rPr>
              <w:t xml:space="preserve">17.支持资源标签管理，便于检索与推荐。  </w:t>
            </w:r>
          </w:p>
          <w:p w14:paraId="006517EB">
            <w:pPr>
              <w:spacing w:line="400" w:lineRule="exact"/>
              <w:rPr>
                <w:rFonts w:hint="eastAsia"/>
                <w:color w:val="auto"/>
                <w:sz w:val="24"/>
                <w:szCs w:val="24"/>
                <w:highlight w:val="none"/>
              </w:rPr>
            </w:pPr>
            <w:r>
              <w:rPr>
                <w:rFonts w:hint="eastAsia"/>
                <w:color w:val="auto"/>
                <w:sz w:val="24"/>
                <w:szCs w:val="24"/>
                <w:highlight w:val="none"/>
              </w:rPr>
              <w:t xml:space="preserve">18.访客权限限制：仅可查看标记为“公开”的资源，禁止操作设备或下载敏感数据。  </w:t>
            </w:r>
          </w:p>
          <w:p w14:paraId="555F019E">
            <w:pPr>
              <w:spacing w:line="400" w:lineRule="exact"/>
              <w:rPr>
                <w:rFonts w:hint="eastAsia"/>
                <w:color w:val="auto"/>
                <w:sz w:val="24"/>
                <w:szCs w:val="24"/>
                <w:highlight w:val="none"/>
              </w:rPr>
            </w:pPr>
            <w:r>
              <w:rPr>
                <w:rFonts w:hint="eastAsia"/>
                <w:color w:val="auto"/>
                <w:sz w:val="24"/>
                <w:szCs w:val="24"/>
                <w:highlight w:val="none"/>
              </w:rPr>
              <w:t xml:space="preserve">19.支持访客行为记录，包括访问时长、浏览内容等统计分析。  </w:t>
            </w:r>
          </w:p>
          <w:p w14:paraId="0A37A934">
            <w:pPr>
              <w:spacing w:line="400" w:lineRule="exact"/>
              <w:rPr>
                <w:rFonts w:hint="eastAsia"/>
                <w:color w:val="auto"/>
                <w:sz w:val="24"/>
                <w:szCs w:val="24"/>
                <w:highlight w:val="none"/>
              </w:rPr>
            </w:pPr>
            <w:r>
              <w:rPr>
                <w:rFonts w:hint="eastAsia"/>
                <w:color w:val="auto"/>
                <w:sz w:val="24"/>
                <w:szCs w:val="24"/>
                <w:highlight w:val="none"/>
              </w:rPr>
              <w:t xml:space="preserve">20.提供多条件组合检索功能（按类型、关键词、发布时间等）。  </w:t>
            </w:r>
          </w:p>
          <w:p w14:paraId="4F575202">
            <w:pPr>
              <w:spacing w:line="400" w:lineRule="exact"/>
              <w:rPr>
                <w:rFonts w:hint="eastAsia"/>
                <w:color w:val="auto"/>
                <w:sz w:val="24"/>
                <w:szCs w:val="24"/>
                <w:highlight w:val="none"/>
              </w:rPr>
            </w:pPr>
            <w:r>
              <w:rPr>
                <w:rFonts w:hint="eastAsia"/>
                <w:color w:val="auto"/>
                <w:sz w:val="24"/>
                <w:szCs w:val="24"/>
                <w:highlight w:val="none"/>
              </w:rPr>
              <w:t xml:space="preserve">21.支持资源在线预览（如PDF、视频、3D模型等格式）。  </w:t>
            </w:r>
          </w:p>
          <w:p w14:paraId="5D488D99">
            <w:pPr>
              <w:spacing w:line="400" w:lineRule="exact"/>
              <w:rPr>
                <w:rFonts w:hint="eastAsia"/>
                <w:color w:val="auto"/>
                <w:sz w:val="24"/>
                <w:szCs w:val="24"/>
                <w:highlight w:val="none"/>
              </w:rPr>
            </w:pPr>
            <w:r>
              <w:rPr>
                <w:rFonts w:hint="eastAsia"/>
                <w:color w:val="auto"/>
                <w:sz w:val="24"/>
                <w:szCs w:val="24"/>
                <w:highlight w:val="none"/>
              </w:rPr>
              <w:t xml:space="preserve">22.支持文件共享与协作编辑（如实训报告、项目文档等）。  </w:t>
            </w:r>
          </w:p>
          <w:p w14:paraId="27C8E0EA">
            <w:pPr>
              <w:spacing w:line="400" w:lineRule="exact"/>
              <w:rPr>
                <w:rFonts w:hint="eastAsia"/>
                <w:color w:val="auto"/>
                <w:sz w:val="24"/>
                <w:szCs w:val="24"/>
                <w:highlight w:val="none"/>
              </w:rPr>
            </w:pPr>
            <w:r>
              <w:rPr>
                <w:rFonts w:hint="eastAsia"/>
                <w:color w:val="auto"/>
                <w:sz w:val="24"/>
                <w:szCs w:val="24"/>
                <w:highlight w:val="none"/>
              </w:rPr>
              <w:t xml:space="preserve">23.提供多维评价功能，包括教师评分、小组互评、系统自动评分等。  </w:t>
            </w:r>
          </w:p>
          <w:p w14:paraId="6231607B">
            <w:pPr>
              <w:spacing w:line="400" w:lineRule="exact"/>
              <w:rPr>
                <w:rFonts w:hint="eastAsia"/>
                <w:color w:val="auto"/>
                <w:sz w:val="24"/>
                <w:szCs w:val="24"/>
                <w:highlight w:val="none"/>
              </w:rPr>
            </w:pPr>
            <w:r>
              <w:rPr>
                <w:rFonts w:hint="eastAsia"/>
                <w:color w:val="auto"/>
                <w:sz w:val="24"/>
                <w:szCs w:val="24"/>
                <w:highlight w:val="none"/>
              </w:rPr>
              <w:t xml:space="preserve">24.统计设备利用率、使用时段分布等数据，生成可视化报表。  </w:t>
            </w:r>
          </w:p>
          <w:p w14:paraId="1504C5A0">
            <w:pPr>
              <w:spacing w:line="400" w:lineRule="exact"/>
              <w:rPr>
                <w:rFonts w:hint="eastAsia"/>
                <w:color w:val="auto"/>
                <w:sz w:val="24"/>
                <w:szCs w:val="24"/>
                <w:highlight w:val="none"/>
              </w:rPr>
            </w:pPr>
            <w:r>
              <w:rPr>
                <w:rFonts w:hint="eastAsia"/>
                <w:color w:val="auto"/>
                <w:sz w:val="24"/>
                <w:szCs w:val="24"/>
                <w:highlight w:val="none"/>
              </w:rPr>
              <w:t xml:space="preserve">25.统计资源访问量、下载量、用户评价等数据，生成热门资源排行。  </w:t>
            </w:r>
          </w:p>
          <w:p w14:paraId="2B4104FC">
            <w:pPr>
              <w:spacing w:line="400" w:lineRule="exact"/>
              <w:rPr>
                <w:rFonts w:hint="eastAsia"/>
                <w:color w:val="auto"/>
                <w:sz w:val="24"/>
                <w:szCs w:val="24"/>
                <w:highlight w:val="none"/>
              </w:rPr>
            </w:pPr>
            <w:r>
              <w:rPr>
                <w:rFonts w:hint="eastAsia"/>
                <w:color w:val="auto"/>
                <w:sz w:val="24"/>
                <w:szCs w:val="24"/>
                <w:highlight w:val="none"/>
              </w:rPr>
              <w:t xml:space="preserve">26.分析资源更新频率与教学需求匹配度。  </w:t>
            </w:r>
          </w:p>
          <w:p w14:paraId="50F4BDC1">
            <w:pPr>
              <w:spacing w:line="400" w:lineRule="exact"/>
              <w:rPr>
                <w:rFonts w:hint="eastAsia"/>
                <w:color w:val="auto"/>
                <w:sz w:val="24"/>
                <w:szCs w:val="24"/>
                <w:highlight w:val="none"/>
              </w:rPr>
            </w:pPr>
            <w:r>
              <w:rPr>
                <w:rFonts w:hint="eastAsia"/>
                <w:color w:val="auto"/>
                <w:sz w:val="24"/>
                <w:szCs w:val="24"/>
                <w:highlight w:val="none"/>
              </w:rPr>
              <w:t xml:space="preserve">27.统计教师工作量（如实训任务发布数、批改报告数等）。  </w:t>
            </w:r>
          </w:p>
          <w:p w14:paraId="4557BE68">
            <w:pPr>
              <w:spacing w:line="400" w:lineRule="exact"/>
              <w:rPr>
                <w:rFonts w:hint="eastAsia"/>
                <w:color w:val="auto"/>
                <w:sz w:val="24"/>
                <w:szCs w:val="24"/>
                <w:highlight w:val="none"/>
              </w:rPr>
            </w:pPr>
            <w:r>
              <w:rPr>
                <w:rFonts w:hint="eastAsia"/>
                <w:color w:val="auto"/>
                <w:sz w:val="24"/>
                <w:szCs w:val="24"/>
                <w:highlight w:val="none"/>
              </w:rPr>
              <w:t xml:space="preserve">28.分析学生活跃度、实训完成率、成绩分布等学情数据。 </w:t>
            </w:r>
          </w:p>
          <w:p w14:paraId="73A40A55">
            <w:pPr>
              <w:spacing w:line="400" w:lineRule="exact"/>
              <w:rPr>
                <w:rFonts w:hint="eastAsia"/>
                <w:color w:val="auto"/>
                <w:sz w:val="24"/>
                <w:szCs w:val="24"/>
                <w:highlight w:val="none"/>
              </w:rPr>
            </w:pPr>
          </w:p>
          <w:p w14:paraId="3502880E">
            <w:pPr>
              <w:spacing w:line="400" w:lineRule="exact"/>
              <w:rPr>
                <w:rFonts w:hint="eastAsia"/>
                <w:color w:val="auto"/>
                <w:sz w:val="24"/>
                <w:szCs w:val="24"/>
                <w:highlight w:val="none"/>
              </w:rPr>
            </w:pPr>
            <w:r>
              <w:rPr>
                <w:rFonts w:hint="eastAsia"/>
                <w:color w:val="auto"/>
                <w:sz w:val="24"/>
                <w:szCs w:val="24"/>
                <w:highlight w:val="none"/>
              </w:rPr>
              <w:t>（二）虚拟运营</w:t>
            </w:r>
          </w:p>
          <w:p w14:paraId="33B59C52">
            <w:pPr>
              <w:spacing w:line="400" w:lineRule="exact"/>
              <w:rPr>
                <w:rFonts w:hint="eastAsia"/>
                <w:color w:val="auto"/>
                <w:sz w:val="24"/>
                <w:szCs w:val="24"/>
                <w:highlight w:val="none"/>
              </w:rPr>
            </w:pPr>
            <w:r>
              <w:rPr>
                <w:rFonts w:hint="eastAsia"/>
                <w:color w:val="auto"/>
                <w:sz w:val="24"/>
                <w:szCs w:val="24"/>
                <w:highlight w:val="none"/>
              </w:rPr>
              <w:t>▲1.运营管理支持创建触点的投放渠道，支持链接及二维码的投放类型，支持对投放方式的管理，支持选择对应的自动化营销规则，自动统计当前投放渠道的浏览量/浏览人数及浏览时长，自动生成投放计划的结果分析报告；同时支持根据任务描述上传自由词；模拟搜索引擎的推广，对推广的广告计划及推广数据进行分析。支持商城的产品管理、营销管理、订单管理等功能。</w:t>
            </w:r>
          </w:p>
          <w:p w14:paraId="7ED02217">
            <w:pPr>
              <w:spacing w:line="400" w:lineRule="exact"/>
              <w:rPr>
                <w:rFonts w:hint="eastAsia"/>
                <w:color w:val="auto"/>
                <w:sz w:val="24"/>
                <w:szCs w:val="24"/>
                <w:highlight w:val="none"/>
              </w:rPr>
            </w:pPr>
            <w:r>
              <w:rPr>
                <w:rFonts w:hint="eastAsia"/>
                <w:color w:val="auto"/>
                <w:sz w:val="24"/>
                <w:szCs w:val="24"/>
                <w:highlight w:val="none"/>
              </w:rPr>
              <w:t>▲2.系统支持对公众号的管理进行实训，每组学生支持创建独立的公众号，支持跳转到公众号的页面，学生可对公众号的文章进行管理及发布，对公众号的基础信息进行完善，设置公众号的自定义菜单，设置公众号的被添加自动回复的文字编辑，支持完善公众号关键词的自动回复功能，支持创建短信和微信的模板消息，支持对模板消息进行管理，支持管理当前公众号的粉丝，统计与该粉丝的微信消息及未读消息，展示当前粉丝的最近登录时间及创建时间，支持为当前公众号新增粉丝，系统自动同步当前公众号的粉丝，并对粉丝的性别、年龄、地区进行统计。支持商城微信的对接管理及轮播图、导航图、推荐图及主题活动等广告图片的管理。</w:t>
            </w:r>
          </w:p>
          <w:p w14:paraId="0B563AF0">
            <w:pPr>
              <w:spacing w:line="400" w:lineRule="exact"/>
              <w:rPr>
                <w:rFonts w:hint="eastAsia"/>
                <w:color w:val="auto"/>
                <w:sz w:val="24"/>
                <w:szCs w:val="24"/>
                <w:highlight w:val="none"/>
              </w:rPr>
            </w:pPr>
            <w:r>
              <w:rPr>
                <w:rFonts w:hint="eastAsia"/>
                <w:color w:val="auto"/>
                <w:sz w:val="24"/>
                <w:szCs w:val="24"/>
                <w:highlight w:val="none"/>
              </w:rPr>
              <w:t>▲3.支持模拟搜索引擎的推广；通过设定的参数建立推广广告计划，支持创建对应的推广计划，选择下载的链接，设置广告的受众（支持对目标受众年龄段、时间段、网络环境、APP行为、兴趣分布、使用的网络、使用的手机品牌等信息的设定），设置广告预算和出价，支持全天投放及时间段进行投放，支持按照点击或展示进行计费的模式；支持查看当前搜索引擎的推广数据的展示（包含投放的效果、时间段趋势、投放地域的展现量或点击量、人群属性、兴趣分布、关键词分布、平台占比、网络运营商占比等基础信息）。支持商城模块的积分商城、统计分析、商家管理等功能。</w:t>
            </w:r>
          </w:p>
          <w:p w14:paraId="59DC6074">
            <w:pPr>
              <w:spacing w:line="400" w:lineRule="exact"/>
              <w:rPr>
                <w:rFonts w:hint="eastAsia"/>
                <w:color w:val="auto"/>
                <w:sz w:val="24"/>
                <w:szCs w:val="24"/>
                <w:highlight w:val="none"/>
              </w:rPr>
            </w:pPr>
            <w:r>
              <w:rPr>
                <w:rFonts w:hint="eastAsia"/>
                <w:color w:val="auto"/>
                <w:sz w:val="24"/>
                <w:szCs w:val="24"/>
                <w:highlight w:val="none"/>
              </w:rPr>
              <w:t>▲4.支持调查问卷的创建，支持设置文件的有效时间，支持问卷的选项，支持单选和多选的选择，支持添加对应问卷的选项，支持添加多个选题，支持查看当前问卷的网址及在线预览，支持查看当前问卷的结果信息，支持查看客户问卷调研的具体选项内容。支持关键词的数据清洗及筛选，支持上传自由词，支持对自由词根据关键词规则进行清洗，支持展示关键词的列表（包含关键词、展现指数、点击指数、点击率指数、推荐出价及竞争指数）。支持商城参数的设定，包含房型、房屋守则、厨房设施、卫浴设施、配套等基础属性的设定。</w:t>
            </w:r>
          </w:p>
          <w:p w14:paraId="4BD70C5E">
            <w:pPr>
              <w:spacing w:line="400" w:lineRule="exact"/>
              <w:rPr>
                <w:rFonts w:hint="eastAsia"/>
                <w:color w:val="auto"/>
                <w:sz w:val="24"/>
                <w:szCs w:val="24"/>
                <w:highlight w:val="none"/>
              </w:rPr>
            </w:pPr>
          </w:p>
          <w:p w14:paraId="7EF9A023">
            <w:pPr>
              <w:spacing w:line="400" w:lineRule="exact"/>
              <w:rPr>
                <w:rFonts w:hint="eastAsia"/>
                <w:color w:val="auto"/>
                <w:sz w:val="24"/>
                <w:szCs w:val="24"/>
                <w:highlight w:val="none"/>
              </w:rPr>
            </w:pPr>
            <w:r>
              <w:rPr>
                <w:rFonts w:hint="eastAsia"/>
                <w:color w:val="auto"/>
                <w:sz w:val="24"/>
                <w:szCs w:val="24"/>
                <w:highlight w:val="none"/>
              </w:rPr>
              <w:t>（三）技术保障</w:t>
            </w:r>
          </w:p>
          <w:p w14:paraId="4B82634C">
            <w:pPr>
              <w:spacing w:line="400" w:lineRule="exact"/>
              <w:rPr>
                <w:rFonts w:hint="eastAsia"/>
                <w:color w:val="auto"/>
                <w:sz w:val="24"/>
                <w:szCs w:val="24"/>
                <w:highlight w:val="none"/>
              </w:rPr>
            </w:pPr>
            <w:r>
              <w:rPr>
                <w:rFonts w:hint="eastAsia"/>
                <w:color w:val="auto"/>
                <w:sz w:val="24"/>
                <w:szCs w:val="24"/>
                <w:highlight w:val="none"/>
              </w:rPr>
              <w:t>1.系统支持HTTPS加密传输，采用TLS 1.2及以上协议保障数据传输安全，对所有设备进行唯一编码的编号，编码规则须按采购人的统一编码规范，同时在施工图纸上明确设备的相关地址（地址包括但不限于硬件设备存放的地址、IP地址、MAC地址、485设备地址、端口等）。</w:t>
            </w:r>
          </w:p>
          <w:p w14:paraId="6BD89078">
            <w:pPr>
              <w:spacing w:line="400" w:lineRule="exact"/>
              <w:rPr>
                <w:rFonts w:hint="eastAsia"/>
                <w:color w:val="auto"/>
                <w:sz w:val="24"/>
                <w:szCs w:val="24"/>
                <w:highlight w:val="none"/>
              </w:rPr>
            </w:pPr>
            <w:r>
              <w:rPr>
                <w:rFonts w:hint="eastAsia"/>
                <w:color w:val="auto"/>
                <w:sz w:val="24"/>
                <w:szCs w:val="24"/>
                <w:highlight w:val="none"/>
              </w:rPr>
              <w:t>2.提供防火墙隔离策略，划分DMZ区隔离外网访问与核心教学数据区，外网请求需通过身份验证网关。</w:t>
            </w:r>
          </w:p>
          <w:p w14:paraId="209D2284">
            <w:pPr>
              <w:spacing w:line="400" w:lineRule="exact"/>
              <w:rPr>
                <w:rFonts w:hint="eastAsia"/>
                <w:color w:val="auto"/>
                <w:sz w:val="24"/>
                <w:szCs w:val="24"/>
                <w:highlight w:val="none"/>
              </w:rPr>
            </w:pPr>
            <w:r>
              <w:rPr>
                <w:rFonts w:hint="eastAsia"/>
                <w:color w:val="auto"/>
                <w:sz w:val="24"/>
                <w:szCs w:val="24"/>
                <w:highlight w:val="none"/>
              </w:rPr>
              <w:t>3.支持IP白名单限制，仅允许校内IP及授权VPN访问敏感操作接口（如成绩管理、资源上传），数据接口须满足B/S开发模式和H5规范，能在IE浏览器（版本号不低于11）和谷歌浏览器（版本号不低于90）上正常运行，无需安装任何客户端或浏览器插件等即可实现调试和对接；应及时维护数据接口，确保接口有效和安全，如接口升级须及时向采购人提交升级后的新接口。</w:t>
            </w:r>
          </w:p>
          <w:p w14:paraId="1EAA7706">
            <w:pPr>
              <w:spacing w:line="400" w:lineRule="exact"/>
              <w:rPr>
                <w:rFonts w:hint="eastAsia"/>
                <w:color w:val="auto"/>
                <w:sz w:val="24"/>
                <w:szCs w:val="24"/>
                <w:highlight w:val="none"/>
              </w:rPr>
            </w:pPr>
            <w:r>
              <w:rPr>
                <w:rFonts w:hint="eastAsia"/>
                <w:color w:val="auto"/>
                <w:sz w:val="24"/>
                <w:szCs w:val="24"/>
                <w:highlight w:val="none"/>
              </w:rPr>
              <w:t>4.内置数据脱敏功能，学生成绩、教师评语等敏感信息展示时自动隐藏关键字段（如身份证号）。</w:t>
            </w:r>
          </w:p>
          <w:p w14:paraId="1AA87318">
            <w:pPr>
              <w:spacing w:line="400" w:lineRule="exact"/>
              <w:rPr>
                <w:rFonts w:hint="eastAsia"/>
                <w:color w:val="auto"/>
                <w:sz w:val="24"/>
                <w:szCs w:val="24"/>
                <w:highlight w:val="none"/>
              </w:rPr>
            </w:pPr>
            <w:r>
              <w:rPr>
                <w:rFonts w:hint="eastAsia"/>
                <w:color w:val="auto"/>
                <w:sz w:val="24"/>
                <w:szCs w:val="24"/>
                <w:highlight w:val="none"/>
              </w:rPr>
              <w:t>5.支持操作日志全量审计，记录用户登录、资源访问、数据导出等行为，日志保留≥180天。</w:t>
            </w:r>
          </w:p>
          <w:p w14:paraId="153DB233">
            <w:pPr>
              <w:spacing w:line="400" w:lineRule="exact"/>
              <w:rPr>
                <w:rFonts w:hint="eastAsia"/>
                <w:color w:val="auto"/>
                <w:sz w:val="24"/>
                <w:szCs w:val="24"/>
                <w:highlight w:val="none"/>
              </w:rPr>
            </w:pPr>
            <w:r>
              <w:rPr>
                <w:rFonts w:hint="eastAsia"/>
                <w:color w:val="auto"/>
                <w:sz w:val="24"/>
                <w:szCs w:val="24"/>
                <w:highlight w:val="none"/>
              </w:rPr>
              <w:t>6.技术保障为终身服务，故障响应时间。售后服务时间为7×24小时，中标人接到故障通知后1小时内响应，4小时内派认证工程师到达现场，8小时内解决问题，24小时内仍无法解决问题的，提供相同性能参数的备件替用。</w:t>
            </w:r>
          </w:p>
          <w:p w14:paraId="2AA1FE04">
            <w:pPr>
              <w:spacing w:line="400" w:lineRule="exact"/>
              <w:rPr>
                <w:rFonts w:hint="eastAsia"/>
                <w:color w:val="auto"/>
                <w:sz w:val="24"/>
                <w:szCs w:val="24"/>
                <w:highlight w:val="none"/>
              </w:rPr>
            </w:pPr>
            <w:r>
              <w:rPr>
                <w:rFonts w:hint="eastAsia"/>
                <w:color w:val="auto"/>
                <w:sz w:val="24"/>
                <w:szCs w:val="24"/>
                <w:highlight w:val="none"/>
              </w:rPr>
              <w:t>7.平台为本地部署，提供五年的免费技术服务及免费升级服务，提供不低于1名技术工程师驻点一年服务（驻点服务按实际项目需求确定）。</w:t>
            </w:r>
          </w:p>
          <w:p w14:paraId="0D657826">
            <w:pPr>
              <w:spacing w:line="400" w:lineRule="exact"/>
              <w:rPr>
                <w:rFonts w:hint="eastAsia"/>
                <w:color w:val="auto"/>
                <w:sz w:val="24"/>
                <w:szCs w:val="24"/>
                <w:highlight w:val="none"/>
              </w:rPr>
            </w:pPr>
          </w:p>
          <w:p w14:paraId="341DFDB7">
            <w:pPr>
              <w:spacing w:line="400" w:lineRule="exact"/>
              <w:rPr>
                <w:rFonts w:hint="eastAsia"/>
                <w:color w:val="auto"/>
                <w:sz w:val="24"/>
                <w:szCs w:val="24"/>
                <w:highlight w:val="none"/>
              </w:rPr>
            </w:pPr>
            <w:r>
              <w:rPr>
                <w:rFonts w:hint="eastAsia"/>
                <w:color w:val="auto"/>
                <w:sz w:val="24"/>
                <w:szCs w:val="24"/>
                <w:highlight w:val="none"/>
              </w:rPr>
              <w:t>（四）系统部署与服务支持要求</w:t>
            </w:r>
          </w:p>
          <w:p w14:paraId="0A23CB79">
            <w:pPr>
              <w:spacing w:line="400" w:lineRule="exact"/>
              <w:rPr>
                <w:rFonts w:hint="eastAsia"/>
                <w:color w:val="auto"/>
                <w:sz w:val="24"/>
                <w:szCs w:val="24"/>
                <w:highlight w:val="none"/>
              </w:rPr>
            </w:pPr>
            <w:r>
              <w:rPr>
                <w:rFonts w:hint="eastAsia"/>
                <w:color w:val="auto"/>
                <w:sz w:val="24"/>
                <w:szCs w:val="24"/>
                <w:highlight w:val="none"/>
              </w:rPr>
              <w:t>1. 系统部署方式：需为本地化部署，所有软件及数据应部署于采购方指定的校内服务器。</w:t>
            </w:r>
          </w:p>
          <w:p w14:paraId="64C6A924">
            <w:pPr>
              <w:spacing w:line="400" w:lineRule="exact"/>
              <w:rPr>
                <w:rFonts w:hint="eastAsia"/>
                <w:color w:val="auto"/>
                <w:sz w:val="24"/>
                <w:szCs w:val="24"/>
                <w:highlight w:val="none"/>
              </w:rPr>
            </w:pPr>
            <w:r>
              <w:rPr>
                <w:rFonts w:hint="eastAsia"/>
                <w:color w:val="auto"/>
                <w:sz w:val="24"/>
                <w:szCs w:val="24"/>
                <w:highlight w:val="none"/>
              </w:rPr>
              <w:t>2. 授权与使用限制：系统部署后应终身免费使用，不限制用户数，无需额外支付授权费用。</w:t>
            </w:r>
          </w:p>
          <w:p w14:paraId="445B602F">
            <w:pPr>
              <w:spacing w:line="400" w:lineRule="exact"/>
              <w:rPr>
                <w:rFonts w:hint="eastAsia"/>
                <w:color w:val="auto"/>
                <w:sz w:val="24"/>
                <w:szCs w:val="24"/>
                <w:highlight w:val="none"/>
              </w:rPr>
            </w:pPr>
            <w:r>
              <w:rPr>
                <w:rFonts w:hint="eastAsia"/>
                <w:color w:val="auto"/>
                <w:sz w:val="24"/>
                <w:szCs w:val="24"/>
                <w:highlight w:val="none"/>
              </w:rPr>
              <w:t>3. 质保与维护服务：提供不少于5年的免费质保与系统维护服务。质保期内须提供功能更新、漏洞修复及技术支援。</w:t>
            </w:r>
          </w:p>
          <w:p w14:paraId="11DE28B9">
            <w:pPr>
              <w:spacing w:line="400" w:lineRule="exact"/>
              <w:rPr>
                <w:rFonts w:hint="eastAsia"/>
                <w:color w:val="auto"/>
                <w:sz w:val="24"/>
                <w:szCs w:val="24"/>
                <w:highlight w:val="none"/>
              </w:rPr>
            </w:pPr>
            <w:r>
              <w:rPr>
                <w:rFonts w:hint="eastAsia"/>
                <w:color w:val="auto"/>
                <w:sz w:val="24"/>
                <w:szCs w:val="24"/>
                <w:highlight w:val="none"/>
              </w:rPr>
              <w:t>4. 期满后续服务：质保期满后，应可继续提供有偿技术服务，收费标准不高于原合该平台金额的10%/年，具体服务内容由双方协商确定。</w:t>
            </w:r>
          </w:p>
          <w:p w14:paraId="4A44270A">
            <w:pPr>
              <w:spacing w:line="400" w:lineRule="exact"/>
              <w:rPr>
                <w:rFonts w:hint="eastAsia"/>
                <w:color w:val="auto"/>
                <w:sz w:val="24"/>
                <w:szCs w:val="24"/>
                <w:highlight w:val="none"/>
              </w:rPr>
            </w:pPr>
          </w:p>
          <w:p w14:paraId="025B0D87">
            <w:pPr>
              <w:spacing w:line="400" w:lineRule="exact"/>
              <w:rPr>
                <w:rFonts w:hint="eastAsia"/>
                <w:color w:val="auto"/>
                <w:sz w:val="24"/>
                <w:szCs w:val="24"/>
                <w:highlight w:val="none"/>
              </w:rPr>
            </w:pPr>
            <w:r>
              <w:rPr>
                <w:rFonts w:hint="eastAsia"/>
                <w:color w:val="auto"/>
                <w:sz w:val="24"/>
                <w:szCs w:val="24"/>
                <w:highlight w:val="none"/>
              </w:rPr>
              <w:t>（五）系统对接要求</w:t>
            </w:r>
          </w:p>
          <w:p w14:paraId="166B58BB">
            <w:pPr>
              <w:spacing w:line="400" w:lineRule="exact"/>
              <w:rPr>
                <w:rFonts w:hint="eastAsia"/>
                <w:color w:val="auto"/>
                <w:sz w:val="24"/>
                <w:szCs w:val="24"/>
                <w:highlight w:val="none"/>
              </w:rPr>
            </w:pPr>
            <w:r>
              <w:rPr>
                <w:rFonts w:hint="eastAsia"/>
                <w:color w:val="auto"/>
                <w:sz w:val="24"/>
                <w:szCs w:val="24"/>
                <w:highlight w:val="none"/>
              </w:rPr>
              <w:t>1. 数据回传接口：需提供稳定可靠的数据库连接方式或采购方认可的数据接口，并附有完整数据字典，确保数据有效、完整、接口性能达标。</w:t>
            </w:r>
          </w:p>
          <w:p w14:paraId="2726DC4A">
            <w:pPr>
              <w:spacing w:line="400" w:lineRule="exact"/>
              <w:rPr>
                <w:rFonts w:hint="eastAsia"/>
                <w:color w:val="auto"/>
                <w:sz w:val="24"/>
                <w:szCs w:val="24"/>
                <w:highlight w:val="none"/>
              </w:rPr>
            </w:pPr>
            <w:r>
              <w:rPr>
                <w:rFonts w:hint="eastAsia"/>
                <w:color w:val="auto"/>
                <w:sz w:val="24"/>
                <w:szCs w:val="24"/>
                <w:highlight w:val="none"/>
              </w:rPr>
              <w:t>2. 数据规范符合性：应严格遵循教育部《职业院校数字基座高职数据标准及接口规范》等现行文件要求，提供包括但不限于《访问教学资源情况数据子类表》《虚拟仿真数字资源基本数据子类表》等相关数据子类表。如规范发生变更，须及时调整系统以确保数据报送不受影响。</w:t>
            </w:r>
          </w:p>
          <w:p w14:paraId="573C44FE">
            <w:pPr>
              <w:spacing w:line="400" w:lineRule="exact"/>
              <w:rPr>
                <w:rFonts w:hint="eastAsia"/>
                <w:color w:val="auto"/>
                <w:sz w:val="24"/>
                <w:szCs w:val="24"/>
                <w:highlight w:val="none"/>
              </w:rPr>
            </w:pPr>
            <w:r>
              <w:rPr>
                <w:rFonts w:hint="eastAsia"/>
                <w:color w:val="auto"/>
                <w:sz w:val="24"/>
                <w:szCs w:val="24"/>
                <w:highlight w:val="none"/>
              </w:rPr>
              <w:t>3. 统一身份认证集成：支持通过HTTPS协议与学校现有CAS/OAuth认证体系及单点登录系统对接，实现统一身份认证登录功能。</w:t>
            </w:r>
          </w:p>
        </w:tc>
        <w:tc>
          <w:tcPr>
            <w:tcW w:w="962" w:type="dxa"/>
            <w:vAlign w:val="center"/>
          </w:tcPr>
          <w:p w14:paraId="5A46AC6F">
            <w:pPr>
              <w:pStyle w:val="84"/>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35.2</w:t>
            </w:r>
          </w:p>
        </w:tc>
        <w:tc>
          <w:tcPr>
            <w:tcW w:w="983" w:type="dxa"/>
            <w:vAlign w:val="center"/>
          </w:tcPr>
          <w:p w14:paraId="47267C39">
            <w:pPr>
              <w:pStyle w:val="84"/>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35.2</w:t>
            </w:r>
          </w:p>
        </w:tc>
      </w:tr>
      <w:tr w14:paraId="570F7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59" w:type="dxa"/>
            <w:vAlign w:val="center"/>
          </w:tcPr>
          <w:p w14:paraId="663FCCDB">
            <w:pPr>
              <w:tabs>
                <w:tab w:val="left" w:pos="180"/>
                <w:tab w:val="left" w:pos="1620"/>
              </w:tabs>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925" w:type="dxa"/>
            <w:vAlign w:val="center"/>
          </w:tcPr>
          <w:p w14:paraId="1BE0C351">
            <w:pPr>
              <w:widowControl/>
              <w:snapToGrid w:val="0"/>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虚拟仿真资源库</w:t>
            </w:r>
          </w:p>
        </w:tc>
        <w:tc>
          <w:tcPr>
            <w:tcW w:w="525" w:type="dxa"/>
            <w:vAlign w:val="center"/>
          </w:tcPr>
          <w:p w14:paraId="4BBB8A6F">
            <w:pPr>
              <w:widowControl/>
              <w:snapToGrid w:val="0"/>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套</w:t>
            </w:r>
          </w:p>
        </w:tc>
        <w:tc>
          <w:tcPr>
            <w:tcW w:w="5213" w:type="dxa"/>
            <w:gridSpan w:val="2"/>
            <w:vAlign w:val="center"/>
          </w:tcPr>
          <w:p w14:paraId="587E4609">
            <w:pPr>
              <w:spacing w:line="400" w:lineRule="exact"/>
              <w:rPr>
                <w:rFonts w:hint="eastAsia"/>
                <w:color w:val="auto"/>
                <w:sz w:val="24"/>
                <w:szCs w:val="24"/>
                <w:highlight w:val="none"/>
              </w:rPr>
            </w:pPr>
            <w:r>
              <w:rPr>
                <w:rFonts w:hint="eastAsia"/>
                <w:color w:val="auto"/>
                <w:sz w:val="24"/>
                <w:szCs w:val="24"/>
                <w:highlight w:val="none"/>
              </w:rPr>
              <w:t>虚拟仿真资源库</w:t>
            </w:r>
          </w:p>
          <w:p w14:paraId="16C30297">
            <w:pPr>
              <w:spacing w:line="400" w:lineRule="exact"/>
              <w:rPr>
                <w:rFonts w:hint="eastAsia"/>
                <w:color w:val="auto"/>
                <w:sz w:val="24"/>
                <w:szCs w:val="24"/>
                <w:highlight w:val="none"/>
              </w:rPr>
            </w:pPr>
            <w:r>
              <w:rPr>
                <w:rFonts w:hint="eastAsia"/>
                <w:color w:val="auto"/>
                <w:sz w:val="24"/>
                <w:szCs w:val="24"/>
                <w:highlight w:val="none"/>
              </w:rPr>
              <w:t xml:space="preserve">（一）虚拟展馆资源  </w:t>
            </w:r>
          </w:p>
          <w:p w14:paraId="24544CBA">
            <w:pPr>
              <w:spacing w:line="400" w:lineRule="exact"/>
              <w:rPr>
                <w:rFonts w:hint="eastAsia"/>
                <w:color w:val="auto"/>
                <w:sz w:val="24"/>
                <w:szCs w:val="24"/>
                <w:highlight w:val="none"/>
              </w:rPr>
            </w:pPr>
            <w:r>
              <w:rPr>
                <w:rFonts w:hint="eastAsia"/>
                <w:color w:val="auto"/>
                <w:sz w:val="24"/>
                <w:szCs w:val="24"/>
                <w:highlight w:val="none"/>
              </w:rPr>
              <w:t xml:space="preserve">1. RCEP国家文化虚拟展馆  </w:t>
            </w:r>
          </w:p>
          <w:p w14:paraId="413CB24F">
            <w:pPr>
              <w:spacing w:line="400" w:lineRule="exact"/>
              <w:rPr>
                <w:rFonts w:hint="eastAsia"/>
                <w:color w:val="auto"/>
                <w:sz w:val="24"/>
                <w:szCs w:val="24"/>
                <w:highlight w:val="none"/>
              </w:rPr>
            </w:pPr>
            <w:r>
              <w:rPr>
                <w:rFonts w:hint="eastAsia"/>
                <w:color w:val="auto"/>
                <w:sz w:val="24"/>
                <w:szCs w:val="24"/>
                <w:highlight w:val="none"/>
              </w:rPr>
              <w:t>（1） 三维模型资源技术参数要求</w:t>
            </w:r>
          </w:p>
          <w:p w14:paraId="24F63873">
            <w:pPr>
              <w:spacing w:line="400" w:lineRule="exact"/>
              <w:rPr>
                <w:rFonts w:hint="eastAsia"/>
                <w:color w:val="auto"/>
                <w:sz w:val="24"/>
                <w:szCs w:val="24"/>
                <w:highlight w:val="none"/>
              </w:rPr>
            </w:pPr>
            <w:r>
              <w:rPr>
                <w:rFonts w:hint="eastAsia"/>
                <w:color w:val="auto"/>
                <w:sz w:val="24"/>
                <w:szCs w:val="24"/>
                <w:highlight w:val="none"/>
              </w:rPr>
              <w:t>①　资源为3D模型，要求使用FBX格式，交付的FBX文件版本需为 2018及以上的版本，确保与主流三维引擎和平台的良好兼容性。</w:t>
            </w:r>
          </w:p>
          <w:p w14:paraId="25204DA7">
            <w:pPr>
              <w:spacing w:line="400" w:lineRule="exact"/>
              <w:rPr>
                <w:rFonts w:hint="eastAsia"/>
                <w:color w:val="auto"/>
                <w:sz w:val="24"/>
                <w:szCs w:val="24"/>
                <w:highlight w:val="none"/>
              </w:rPr>
            </w:pPr>
            <w:r>
              <w:rPr>
                <w:rFonts w:hint="eastAsia"/>
                <w:color w:val="auto"/>
                <w:sz w:val="24"/>
                <w:szCs w:val="24"/>
                <w:highlight w:val="none"/>
              </w:rPr>
              <w:t>②　所有模型必须为三维可视化的单一整体文件，需包含完整的模型、材质贴图及基础层级关系。</w:t>
            </w:r>
          </w:p>
          <w:p w14:paraId="6C68645F">
            <w:pPr>
              <w:spacing w:line="400" w:lineRule="exact"/>
              <w:rPr>
                <w:rFonts w:hint="eastAsia"/>
                <w:color w:val="auto"/>
                <w:sz w:val="24"/>
                <w:szCs w:val="24"/>
                <w:highlight w:val="none"/>
              </w:rPr>
            </w:pPr>
            <w:r>
              <w:rPr>
                <w:rFonts w:hint="eastAsia"/>
                <w:color w:val="auto"/>
                <w:sz w:val="24"/>
                <w:szCs w:val="24"/>
                <w:highlight w:val="none"/>
              </w:rPr>
              <w:t>③　贴图尺寸须为 2的N次幂（如512x512, 1024x1024, 2048x2048等），最大尺寸不超过4096x4096，以保证兼容性与性能平衡。</w:t>
            </w:r>
          </w:p>
          <w:p w14:paraId="6D1A759D">
            <w:pPr>
              <w:spacing w:line="400" w:lineRule="exact"/>
              <w:rPr>
                <w:rFonts w:hint="eastAsia"/>
                <w:color w:val="auto"/>
                <w:sz w:val="24"/>
                <w:szCs w:val="24"/>
                <w:highlight w:val="none"/>
              </w:rPr>
            </w:pPr>
            <w:r>
              <w:rPr>
                <w:rFonts w:hint="eastAsia"/>
                <w:color w:val="auto"/>
                <w:sz w:val="24"/>
                <w:szCs w:val="24"/>
                <w:highlight w:val="none"/>
              </w:rPr>
              <w:t>④　严禁出现贴图缺失、路径错误、格式异常或明显拉伸失真的情况。</w:t>
            </w:r>
          </w:p>
          <w:p w14:paraId="19664325">
            <w:pPr>
              <w:spacing w:line="400" w:lineRule="exact"/>
              <w:rPr>
                <w:rFonts w:hint="eastAsia"/>
                <w:color w:val="auto"/>
                <w:sz w:val="24"/>
                <w:szCs w:val="24"/>
                <w:highlight w:val="none"/>
              </w:rPr>
            </w:pPr>
            <w:r>
              <w:rPr>
                <w:rFonts w:hint="eastAsia"/>
                <w:color w:val="auto"/>
                <w:sz w:val="24"/>
                <w:szCs w:val="24"/>
                <w:highlight w:val="none"/>
              </w:rPr>
              <w:t>⑤　提供完整的 FBX模型文件 及所有关联的 贴图文件。</w:t>
            </w:r>
          </w:p>
          <w:p w14:paraId="680AA2B9">
            <w:pPr>
              <w:spacing w:line="400" w:lineRule="exact"/>
              <w:rPr>
                <w:rFonts w:hint="eastAsia"/>
                <w:color w:val="auto"/>
                <w:sz w:val="24"/>
                <w:szCs w:val="24"/>
                <w:highlight w:val="none"/>
              </w:rPr>
            </w:pPr>
            <w:r>
              <w:rPr>
                <w:rFonts w:hint="eastAsia"/>
                <w:color w:val="auto"/>
                <w:sz w:val="24"/>
                <w:szCs w:val="24"/>
                <w:highlight w:val="none"/>
              </w:rPr>
              <w:t>⑥　验收以在采购方指定的 虚仿实验资源综合管理平台 中成功导入、正常展示且功能符合要求为准。</w:t>
            </w:r>
          </w:p>
          <w:p w14:paraId="7050BAE5">
            <w:pPr>
              <w:spacing w:line="400" w:lineRule="exact"/>
              <w:rPr>
                <w:rFonts w:hint="eastAsia"/>
                <w:color w:val="auto"/>
                <w:sz w:val="24"/>
                <w:szCs w:val="24"/>
                <w:highlight w:val="none"/>
              </w:rPr>
            </w:pPr>
            <w:r>
              <w:rPr>
                <w:rFonts w:hint="eastAsia"/>
                <w:color w:val="auto"/>
                <w:sz w:val="24"/>
                <w:szCs w:val="24"/>
                <w:highlight w:val="none"/>
              </w:rPr>
              <w:t>⑦　保证所交付的全部模型资源拥有完整的知识产权或合法授权，不存在任何权利瑕疵或纠纷。</w:t>
            </w:r>
          </w:p>
          <w:p w14:paraId="04891D48">
            <w:pPr>
              <w:spacing w:line="400" w:lineRule="exact"/>
              <w:rPr>
                <w:rFonts w:hint="eastAsia"/>
                <w:color w:val="auto"/>
                <w:sz w:val="24"/>
                <w:szCs w:val="24"/>
                <w:highlight w:val="none"/>
              </w:rPr>
            </w:pPr>
            <w:r>
              <w:rPr>
                <w:rFonts w:hint="eastAsia"/>
                <w:color w:val="auto"/>
                <w:sz w:val="24"/>
                <w:szCs w:val="24"/>
                <w:highlight w:val="none"/>
              </w:rPr>
              <w:t>⑧　采购方拥有该模型资源在 虚仿实验资源综合管理平台 项目中的永久使用权。</w:t>
            </w:r>
          </w:p>
          <w:p w14:paraId="7CA01C0C">
            <w:pPr>
              <w:spacing w:line="400" w:lineRule="exact"/>
              <w:rPr>
                <w:rFonts w:hint="eastAsia"/>
                <w:color w:val="auto"/>
                <w:sz w:val="24"/>
                <w:szCs w:val="24"/>
                <w:highlight w:val="none"/>
              </w:rPr>
            </w:pPr>
            <w:r>
              <w:rPr>
                <w:rFonts w:hint="eastAsia"/>
                <w:color w:val="auto"/>
                <w:sz w:val="24"/>
                <w:szCs w:val="24"/>
                <w:highlight w:val="none"/>
              </w:rPr>
              <w:t xml:space="preserve">（2）内容要求：需涵盖RCEP序厅、东盟10国展厅，每厅包含入口、概况、历史、主要旅游城市、世界遗产、传统文化、风俗禁忌等内容。  </w:t>
            </w:r>
          </w:p>
          <w:p w14:paraId="0C06801F">
            <w:pPr>
              <w:spacing w:line="400" w:lineRule="exact"/>
              <w:rPr>
                <w:rFonts w:hint="eastAsia"/>
                <w:color w:val="auto"/>
                <w:sz w:val="24"/>
                <w:szCs w:val="24"/>
                <w:highlight w:val="none"/>
              </w:rPr>
            </w:pPr>
            <w:r>
              <w:rPr>
                <w:rFonts w:hint="eastAsia"/>
                <w:color w:val="auto"/>
                <w:sz w:val="24"/>
                <w:szCs w:val="24"/>
                <w:highlight w:val="none"/>
              </w:rPr>
              <w:t>（3）格式要求：WebGL或可嵌入网页的三维交互格式，支持第一人称漫游、热点跳转、语音解说。</w:t>
            </w:r>
          </w:p>
          <w:p w14:paraId="01AC222F">
            <w:pPr>
              <w:spacing w:line="400" w:lineRule="exact"/>
              <w:rPr>
                <w:rFonts w:hint="eastAsia"/>
                <w:color w:val="auto"/>
                <w:sz w:val="24"/>
                <w:szCs w:val="24"/>
                <w:highlight w:val="none"/>
              </w:rPr>
            </w:pPr>
            <w:r>
              <w:rPr>
                <w:rFonts w:hint="eastAsia"/>
                <w:color w:val="auto"/>
                <w:sz w:val="24"/>
                <w:szCs w:val="24"/>
                <w:highlight w:val="none"/>
              </w:rPr>
              <w:t>（4）接口要求：提供资源ID、热点数据接口、语音播放控制接口，支持与平台用户系统对接。开放端口支持二次开发定制。</w:t>
            </w:r>
          </w:p>
          <w:p w14:paraId="4534B708">
            <w:pPr>
              <w:spacing w:line="400" w:lineRule="exact"/>
              <w:rPr>
                <w:rFonts w:hint="eastAsia"/>
                <w:color w:val="auto"/>
                <w:sz w:val="24"/>
                <w:szCs w:val="24"/>
                <w:highlight w:val="none"/>
              </w:rPr>
            </w:pPr>
            <w:r>
              <w:rPr>
                <w:rFonts w:hint="eastAsia"/>
                <w:color w:val="auto"/>
                <w:sz w:val="24"/>
                <w:szCs w:val="24"/>
                <w:highlight w:val="none"/>
              </w:rPr>
              <w:t xml:space="preserve">2. 导游证考试仿真资源  </w:t>
            </w:r>
          </w:p>
          <w:p w14:paraId="08BD501C">
            <w:pPr>
              <w:spacing w:line="400" w:lineRule="exact"/>
              <w:rPr>
                <w:rFonts w:hint="eastAsia"/>
                <w:color w:val="auto"/>
                <w:sz w:val="24"/>
                <w:szCs w:val="24"/>
                <w:highlight w:val="none"/>
              </w:rPr>
            </w:pPr>
            <w:r>
              <w:rPr>
                <w:rFonts w:hint="eastAsia"/>
                <w:color w:val="auto"/>
                <w:sz w:val="24"/>
                <w:szCs w:val="24"/>
                <w:highlight w:val="none"/>
              </w:rPr>
              <w:t>（1）资源库为全景图模型及全景视频，参数要求如下：</w:t>
            </w:r>
          </w:p>
          <w:p w14:paraId="279AB0A1">
            <w:pPr>
              <w:spacing w:line="400" w:lineRule="exact"/>
              <w:rPr>
                <w:rFonts w:hint="eastAsia"/>
                <w:color w:val="auto"/>
                <w:sz w:val="24"/>
                <w:szCs w:val="24"/>
                <w:highlight w:val="none"/>
              </w:rPr>
            </w:pPr>
            <w:r>
              <w:rPr>
                <w:rFonts w:hint="eastAsia"/>
                <w:color w:val="auto"/>
                <w:sz w:val="24"/>
                <w:szCs w:val="24"/>
                <w:highlight w:val="none"/>
              </w:rPr>
              <w:t>①　需保证所有交付的全景图片、全景视频及所有附属素材（如热点、语音、字幕）拥有完整知识产权或合法授权，不存在任何权利瑕疵或纠纷。</w:t>
            </w:r>
          </w:p>
          <w:p w14:paraId="29311420">
            <w:pPr>
              <w:spacing w:line="400" w:lineRule="exact"/>
              <w:rPr>
                <w:rFonts w:hint="eastAsia"/>
                <w:color w:val="auto"/>
                <w:sz w:val="24"/>
                <w:szCs w:val="24"/>
                <w:highlight w:val="none"/>
              </w:rPr>
            </w:pPr>
            <w:r>
              <w:rPr>
                <w:rFonts w:hint="eastAsia"/>
                <w:color w:val="auto"/>
                <w:sz w:val="24"/>
                <w:szCs w:val="24"/>
                <w:highlight w:val="none"/>
              </w:rPr>
              <w:t>②　全景图片画面需清晰、无色差、无明显的拼接痕迹、无重影。</w:t>
            </w:r>
          </w:p>
          <w:p w14:paraId="3E922B87">
            <w:pPr>
              <w:spacing w:line="400" w:lineRule="exact"/>
              <w:rPr>
                <w:rFonts w:hint="eastAsia"/>
                <w:color w:val="auto"/>
                <w:sz w:val="24"/>
                <w:szCs w:val="24"/>
                <w:highlight w:val="none"/>
              </w:rPr>
            </w:pPr>
            <w:r>
              <w:rPr>
                <w:rFonts w:hint="eastAsia"/>
                <w:color w:val="auto"/>
                <w:sz w:val="24"/>
                <w:szCs w:val="24"/>
                <w:highlight w:val="none"/>
              </w:rPr>
              <w:t>③　全景图片分辨率不低于 8000×4000像素以保证清晰度。</w:t>
            </w:r>
          </w:p>
          <w:p w14:paraId="4F33AA2C">
            <w:pPr>
              <w:spacing w:line="400" w:lineRule="exact"/>
              <w:rPr>
                <w:rFonts w:hint="eastAsia"/>
                <w:color w:val="auto"/>
                <w:sz w:val="24"/>
                <w:szCs w:val="24"/>
                <w:highlight w:val="none"/>
              </w:rPr>
            </w:pPr>
            <w:r>
              <w:rPr>
                <w:rFonts w:hint="eastAsia"/>
                <w:color w:val="auto"/>
                <w:sz w:val="24"/>
                <w:szCs w:val="24"/>
                <w:highlight w:val="none"/>
              </w:rPr>
              <w:t>④　全景视频分辨率不得低于 3840×1920（4K）。</w:t>
            </w:r>
          </w:p>
          <w:p w14:paraId="49F85397">
            <w:pPr>
              <w:spacing w:line="400" w:lineRule="exact"/>
              <w:rPr>
                <w:rFonts w:hint="eastAsia"/>
                <w:color w:val="auto"/>
                <w:sz w:val="24"/>
                <w:szCs w:val="24"/>
                <w:highlight w:val="none"/>
              </w:rPr>
            </w:pPr>
            <w:r>
              <w:rPr>
                <w:rFonts w:hint="eastAsia"/>
                <w:color w:val="auto"/>
                <w:sz w:val="24"/>
                <w:szCs w:val="24"/>
                <w:highlight w:val="none"/>
              </w:rPr>
              <w:t>⑤　全景视频视频编码码率不低于 50Mbps（4K）。</w:t>
            </w:r>
          </w:p>
          <w:p w14:paraId="2AFF4FE4">
            <w:pPr>
              <w:spacing w:line="400" w:lineRule="exact"/>
              <w:rPr>
                <w:rFonts w:hint="eastAsia"/>
                <w:color w:val="auto"/>
                <w:sz w:val="24"/>
                <w:szCs w:val="24"/>
                <w:highlight w:val="none"/>
              </w:rPr>
            </w:pPr>
          </w:p>
          <w:p w14:paraId="5B606F0A">
            <w:pPr>
              <w:spacing w:line="400" w:lineRule="exact"/>
              <w:rPr>
                <w:rFonts w:hint="eastAsia"/>
                <w:color w:val="auto"/>
                <w:sz w:val="24"/>
                <w:szCs w:val="24"/>
                <w:highlight w:val="none"/>
              </w:rPr>
            </w:pPr>
            <w:r>
              <w:rPr>
                <w:rFonts w:hint="eastAsia"/>
                <w:color w:val="auto"/>
                <w:sz w:val="24"/>
                <w:szCs w:val="24"/>
                <w:highlight w:val="none"/>
              </w:rPr>
              <w:t>（2）内容要求：将学生以游客为第一视角，结合系统自主漫游功能，通过鼠标可以方便灵活的实现景区画面放大、缩小、左转、右转、仰视、俯视等一系列虚拟仿真视点操作，将景点或景区的概貌真实展现出来,使学生能身临其境,从而更方便开展教学;并且可以根据教学需要,对景区的布局、成熟导游线路游览、自由观赏、重要知识点等进行设置；</w:t>
            </w:r>
          </w:p>
          <w:p w14:paraId="50C43418">
            <w:pPr>
              <w:spacing w:line="400" w:lineRule="exact"/>
              <w:rPr>
                <w:rFonts w:hint="eastAsia"/>
                <w:color w:val="auto"/>
                <w:sz w:val="24"/>
                <w:szCs w:val="24"/>
                <w:highlight w:val="none"/>
              </w:rPr>
            </w:pPr>
            <w:r>
              <w:rPr>
                <w:rFonts w:hint="eastAsia"/>
                <w:color w:val="auto"/>
                <w:sz w:val="24"/>
                <w:szCs w:val="24"/>
                <w:highlight w:val="none"/>
              </w:rPr>
              <w:t>①　完整模拟考试流程，时间限制与真实考试一致。</w:t>
            </w:r>
          </w:p>
          <w:p w14:paraId="31A6D7F7">
            <w:pPr>
              <w:spacing w:line="400" w:lineRule="exact"/>
              <w:rPr>
                <w:rFonts w:hint="eastAsia"/>
                <w:color w:val="auto"/>
                <w:sz w:val="24"/>
                <w:szCs w:val="24"/>
                <w:highlight w:val="none"/>
              </w:rPr>
            </w:pPr>
            <w:r>
              <w:rPr>
                <w:rFonts w:hint="eastAsia"/>
                <w:color w:val="auto"/>
                <w:sz w:val="24"/>
                <w:szCs w:val="24"/>
                <w:highlight w:val="none"/>
              </w:rPr>
              <w:t>②　景区720度实景必须是一个以景区为单位的完整清晰的漫游全景文件，学生可通过热点或者游览线路指示箭头直接进入下一个景点目标场景。</w:t>
            </w:r>
          </w:p>
          <w:p w14:paraId="26110C10">
            <w:pPr>
              <w:spacing w:line="400" w:lineRule="exact"/>
              <w:rPr>
                <w:rFonts w:hint="eastAsia"/>
                <w:color w:val="auto"/>
                <w:sz w:val="24"/>
                <w:szCs w:val="24"/>
                <w:highlight w:val="none"/>
              </w:rPr>
            </w:pPr>
            <w:r>
              <w:rPr>
                <w:rFonts w:hint="eastAsia"/>
                <w:color w:val="auto"/>
                <w:sz w:val="24"/>
                <w:szCs w:val="24"/>
                <w:highlight w:val="none"/>
              </w:rPr>
              <w:t>③　仿真资源景点不少于10个（区内5A），线路不少于21条，以上资源按2025年全国导游资格证考试广西考区景点和线路要求）</w:t>
            </w:r>
          </w:p>
          <w:p w14:paraId="7CA5CFDE">
            <w:pPr>
              <w:spacing w:line="400" w:lineRule="exact"/>
              <w:rPr>
                <w:rFonts w:hint="eastAsia"/>
                <w:color w:val="auto"/>
                <w:sz w:val="24"/>
                <w:szCs w:val="24"/>
                <w:highlight w:val="none"/>
              </w:rPr>
            </w:pPr>
            <w:r>
              <w:rPr>
                <w:rFonts w:hint="eastAsia"/>
                <w:color w:val="auto"/>
                <w:sz w:val="24"/>
                <w:szCs w:val="24"/>
                <w:highlight w:val="none"/>
              </w:rPr>
              <w:t>④　学生模拟导游考试时，可将作品通过保存上传、删除、存草稿三种状态进行存储。对于不满意的作品可进行反复训练和修正，直至练习满意后，提交老师。</w:t>
            </w:r>
          </w:p>
          <w:p w14:paraId="2F6E691A">
            <w:pPr>
              <w:spacing w:line="400" w:lineRule="exact"/>
              <w:rPr>
                <w:rFonts w:hint="eastAsia"/>
                <w:color w:val="auto"/>
                <w:sz w:val="24"/>
                <w:szCs w:val="24"/>
                <w:highlight w:val="none"/>
              </w:rPr>
            </w:pPr>
            <w:r>
              <w:rPr>
                <w:rFonts w:hint="eastAsia"/>
                <w:color w:val="auto"/>
                <w:sz w:val="24"/>
                <w:szCs w:val="24"/>
                <w:highlight w:val="none"/>
              </w:rPr>
              <w:t>⑤　学生可将存草稿的作品进行播放、删除及上传操作。播放模式下支持随时暂停操作，支持将保存本地的视频进行上传，同时选择作品类型，选择景点（包含搜索景点名称）进行选择，同时输入视频标题及视频描述进行提交上传。</w:t>
            </w:r>
          </w:p>
          <w:p w14:paraId="7DADEF57">
            <w:pPr>
              <w:spacing w:line="400" w:lineRule="exact"/>
              <w:rPr>
                <w:rFonts w:hint="eastAsia"/>
                <w:color w:val="auto"/>
                <w:sz w:val="24"/>
                <w:szCs w:val="24"/>
                <w:highlight w:val="none"/>
              </w:rPr>
            </w:pPr>
            <w:r>
              <w:rPr>
                <w:rFonts w:hint="eastAsia"/>
                <w:color w:val="auto"/>
                <w:sz w:val="24"/>
                <w:szCs w:val="24"/>
                <w:highlight w:val="none"/>
              </w:rPr>
              <w:t>⑥　720度实景包括覆盖全国及广西地方题库，模拟真实考试流程。</w:t>
            </w:r>
          </w:p>
          <w:p w14:paraId="32218E08">
            <w:pPr>
              <w:spacing w:line="400" w:lineRule="exact"/>
              <w:rPr>
                <w:rFonts w:hint="eastAsia"/>
                <w:color w:val="auto"/>
                <w:sz w:val="24"/>
                <w:szCs w:val="24"/>
                <w:highlight w:val="none"/>
              </w:rPr>
            </w:pPr>
            <w:r>
              <w:rPr>
                <w:rFonts w:hint="eastAsia"/>
                <w:color w:val="auto"/>
                <w:sz w:val="24"/>
                <w:szCs w:val="24"/>
                <w:highlight w:val="none"/>
              </w:rPr>
              <w:t>⑦　720度实景包括桂林独秀峰——王城景区、南宁青秀山风景旅游区、桂林两江四湖·象山景区、大新德天跨国瀑布景区、百色起义纪念园景区、北海涠洲岛国家地质公园鳄鱼山景区、三江程阳侗族八寨景区、北海汉闾文化园、桂平西山风景名胜区、巴马盘阳河景区、环江木论喀斯特生态旅游区、崇左市宁明县花山景区、宜州刘三姐故里旅游景区、歌娅思谷景区、丹泉洞天酒海景区、金田起义博物馆、九凌湖旅游风景区、柳州龙潭景区、立鱼峰风景区、柳州文庙景区、南宁马山金伦洞景区、昆仑关战役博物馆、昆仑关战役博物馆、北海金海湾红树林、桂林七星景区、兴安灵渠景区、龙州起义纪念馆、大新龙宫仙境景区、贺州姑婆山旅游区、黄姚古镇、梧州市龙母庙景区、梧州李济深故里文化旅游区、古龙山大峡景区、玉林容州古城、白浪滩景区、云天文化城。</w:t>
            </w:r>
          </w:p>
          <w:p w14:paraId="7C4DBD93">
            <w:pPr>
              <w:spacing w:line="400" w:lineRule="exact"/>
              <w:rPr>
                <w:rFonts w:hint="eastAsia"/>
                <w:color w:val="auto"/>
                <w:sz w:val="24"/>
                <w:szCs w:val="24"/>
                <w:highlight w:val="none"/>
              </w:rPr>
            </w:pPr>
            <w:r>
              <w:rPr>
                <w:rFonts w:hint="eastAsia"/>
                <w:color w:val="auto"/>
                <w:sz w:val="24"/>
                <w:szCs w:val="24"/>
                <w:highlight w:val="none"/>
              </w:rPr>
              <w:t>⑧　练习模式下，分为省份区域导航和主题分类导航两种模式，学生可通过滑动导航进入对应的VR虚拟仿真教学资源，选择景区进行全面的学习与了解。学生可关闭系统标准导游词讲解语音或背景音乐进行模拟讲解，支持切换到VR模式进行浏览，支持视角切换功能，包括正常模式、小行星模式、水晶球模式、鱼眼模式。可对现场导游词进行创作，同时可对自己的模拟导游讲解过程进行录音录像，最终生成完整的讲解视频。</w:t>
            </w:r>
          </w:p>
          <w:p w14:paraId="48D71F5C">
            <w:pPr>
              <w:spacing w:line="400" w:lineRule="exact"/>
              <w:rPr>
                <w:rFonts w:hint="eastAsia"/>
                <w:color w:val="auto"/>
                <w:sz w:val="24"/>
                <w:szCs w:val="24"/>
                <w:highlight w:val="none"/>
              </w:rPr>
            </w:pPr>
            <w:r>
              <w:rPr>
                <w:rFonts w:hint="eastAsia"/>
                <w:color w:val="auto"/>
                <w:sz w:val="24"/>
                <w:szCs w:val="24"/>
                <w:highlight w:val="none"/>
              </w:rPr>
              <w:t xml:space="preserve">⑨　支持对学生录音进行语音大模型示范、语音大模型分析打分功能，自动分析学生准确率等  </w:t>
            </w:r>
          </w:p>
          <w:p w14:paraId="237F382D">
            <w:pPr>
              <w:spacing w:line="400" w:lineRule="exact"/>
              <w:rPr>
                <w:rFonts w:hint="eastAsia"/>
                <w:color w:val="auto"/>
                <w:sz w:val="24"/>
                <w:szCs w:val="24"/>
                <w:highlight w:val="none"/>
              </w:rPr>
            </w:pPr>
            <w:r>
              <w:rPr>
                <w:rFonts w:hint="eastAsia"/>
                <w:color w:val="auto"/>
                <w:sz w:val="24"/>
                <w:szCs w:val="24"/>
                <w:highlight w:val="none"/>
              </w:rPr>
              <w:t xml:space="preserve">（3）功能要求：支持第一视角漫游、热点跳转、模拟考试流程、录音录像、语音评测、作品保存与上传。  </w:t>
            </w:r>
          </w:p>
          <w:p w14:paraId="45C35EBB">
            <w:pPr>
              <w:spacing w:line="400" w:lineRule="exact"/>
              <w:rPr>
                <w:rFonts w:hint="eastAsia"/>
                <w:color w:val="auto"/>
                <w:sz w:val="24"/>
                <w:szCs w:val="24"/>
                <w:highlight w:val="none"/>
              </w:rPr>
            </w:pPr>
            <w:r>
              <w:rPr>
                <w:rFonts w:hint="eastAsia"/>
                <w:color w:val="auto"/>
                <w:sz w:val="24"/>
                <w:szCs w:val="24"/>
                <w:highlight w:val="none"/>
              </w:rPr>
              <w:t>（4）接口要求：提供成绩回传、作品状态同步、评测结果回传等API接口。</w:t>
            </w:r>
          </w:p>
          <w:p w14:paraId="09D5424F">
            <w:pPr>
              <w:spacing w:line="400" w:lineRule="exact"/>
              <w:rPr>
                <w:rFonts w:hint="eastAsia"/>
                <w:color w:val="auto"/>
                <w:sz w:val="24"/>
                <w:szCs w:val="24"/>
                <w:highlight w:val="none"/>
              </w:rPr>
            </w:pPr>
          </w:p>
          <w:p w14:paraId="6D4993CE">
            <w:pPr>
              <w:spacing w:line="400" w:lineRule="exact"/>
              <w:rPr>
                <w:rFonts w:hint="eastAsia"/>
                <w:color w:val="auto"/>
                <w:sz w:val="24"/>
                <w:szCs w:val="24"/>
                <w:highlight w:val="none"/>
              </w:rPr>
            </w:pPr>
            <w:r>
              <w:rPr>
                <w:rFonts w:hint="eastAsia"/>
                <w:color w:val="auto"/>
                <w:sz w:val="24"/>
                <w:szCs w:val="24"/>
                <w:highlight w:val="none"/>
              </w:rPr>
              <w:t>3. 酒店管理实训资源</w:t>
            </w:r>
          </w:p>
          <w:p w14:paraId="652D6D21">
            <w:pPr>
              <w:spacing w:line="400" w:lineRule="exact"/>
              <w:rPr>
                <w:rFonts w:hint="eastAsia"/>
                <w:color w:val="auto"/>
                <w:sz w:val="24"/>
                <w:szCs w:val="24"/>
                <w:highlight w:val="none"/>
              </w:rPr>
            </w:pPr>
            <w:r>
              <w:rPr>
                <w:rFonts w:hint="eastAsia"/>
                <w:color w:val="auto"/>
                <w:sz w:val="24"/>
                <w:szCs w:val="24"/>
                <w:highlight w:val="none"/>
              </w:rPr>
              <w:t>（1） 三维模型资源技术参数要求</w:t>
            </w:r>
          </w:p>
          <w:p w14:paraId="5F686722">
            <w:pPr>
              <w:spacing w:line="400" w:lineRule="exact"/>
              <w:rPr>
                <w:rFonts w:hint="eastAsia"/>
                <w:color w:val="auto"/>
                <w:sz w:val="24"/>
                <w:szCs w:val="24"/>
                <w:highlight w:val="none"/>
              </w:rPr>
            </w:pPr>
            <w:r>
              <w:rPr>
                <w:rFonts w:hint="eastAsia"/>
                <w:color w:val="auto"/>
                <w:sz w:val="24"/>
                <w:szCs w:val="24"/>
                <w:highlight w:val="none"/>
              </w:rPr>
              <w:t>①　资源为3D模型，要求使用FBX格式，交付的FBX文件版本需为2018及以上的版本，确保与主流三维引擎和平台的良好兼容性。</w:t>
            </w:r>
          </w:p>
          <w:p w14:paraId="39222927">
            <w:pPr>
              <w:spacing w:line="400" w:lineRule="exact"/>
              <w:rPr>
                <w:rFonts w:hint="eastAsia"/>
                <w:color w:val="auto"/>
                <w:sz w:val="24"/>
                <w:szCs w:val="24"/>
                <w:highlight w:val="none"/>
              </w:rPr>
            </w:pPr>
            <w:r>
              <w:rPr>
                <w:rFonts w:hint="eastAsia"/>
                <w:color w:val="auto"/>
                <w:sz w:val="24"/>
                <w:szCs w:val="24"/>
                <w:highlight w:val="none"/>
              </w:rPr>
              <w:t>②　所有模型必须为三维可视化的单一整体文件，需包含完整的模型、材质贴图及基础层级关系。</w:t>
            </w:r>
          </w:p>
          <w:p w14:paraId="5511B512">
            <w:pPr>
              <w:spacing w:line="400" w:lineRule="exact"/>
              <w:rPr>
                <w:rFonts w:hint="eastAsia"/>
                <w:color w:val="auto"/>
                <w:sz w:val="24"/>
                <w:szCs w:val="24"/>
                <w:highlight w:val="none"/>
              </w:rPr>
            </w:pPr>
            <w:r>
              <w:rPr>
                <w:rFonts w:hint="eastAsia"/>
                <w:color w:val="auto"/>
                <w:sz w:val="24"/>
                <w:szCs w:val="24"/>
                <w:highlight w:val="none"/>
              </w:rPr>
              <w:t>③　贴图尺寸须为 2的N次幂（如512x512, 1024x1024, 2048x2048等），最大尺寸不超过4096x4096，以保证兼容性与性能平衡。</w:t>
            </w:r>
          </w:p>
          <w:p w14:paraId="34ADCBA8">
            <w:pPr>
              <w:spacing w:line="400" w:lineRule="exact"/>
              <w:rPr>
                <w:rFonts w:hint="eastAsia"/>
                <w:color w:val="auto"/>
                <w:sz w:val="24"/>
                <w:szCs w:val="24"/>
                <w:highlight w:val="none"/>
              </w:rPr>
            </w:pPr>
            <w:r>
              <w:rPr>
                <w:rFonts w:hint="eastAsia"/>
                <w:color w:val="auto"/>
                <w:sz w:val="24"/>
                <w:szCs w:val="24"/>
                <w:highlight w:val="none"/>
              </w:rPr>
              <w:t>④　严禁出现贴图缺失、路径错误、格式异常或明显拉伸失真的情况。</w:t>
            </w:r>
          </w:p>
          <w:p w14:paraId="5147274D">
            <w:pPr>
              <w:spacing w:line="400" w:lineRule="exact"/>
              <w:rPr>
                <w:rFonts w:hint="eastAsia"/>
                <w:color w:val="auto"/>
                <w:sz w:val="24"/>
                <w:szCs w:val="24"/>
                <w:highlight w:val="none"/>
              </w:rPr>
            </w:pPr>
            <w:r>
              <w:rPr>
                <w:rFonts w:hint="eastAsia"/>
                <w:color w:val="auto"/>
                <w:sz w:val="24"/>
                <w:szCs w:val="24"/>
                <w:highlight w:val="none"/>
              </w:rPr>
              <w:t>⑤　提供完整的 FBX模型文件 及所有关联的 贴图文件。</w:t>
            </w:r>
          </w:p>
          <w:p w14:paraId="54005D30">
            <w:pPr>
              <w:spacing w:line="400" w:lineRule="exact"/>
              <w:rPr>
                <w:rFonts w:hint="eastAsia"/>
                <w:color w:val="auto"/>
                <w:sz w:val="24"/>
                <w:szCs w:val="24"/>
                <w:highlight w:val="none"/>
              </w:rPr>
            </w:pPr>
            <w:r>
              <w:rPr>
                <w:rFonts w:hint="eastAsia"/>
                <w:color w:val="auto"/>
                <w:sz w:val="24"/>
                <w:szCs w:val="24"/>
                <w:highlight w:val="none"/>
              </w:rPr>
              <w:t>⑥　验收以在采购方指定的 虚仿实验资源综合管理平台 中成功导入、正常展示且功能符合要求为准。</w:t>
            </w:r>
          </w:p>
          <w:p w14:paraId="3E147EF9">
            <w:pPr>
              <w:spacing w:line="400" w:lineRule="exact"/>
              <w:rPr>
                <w:rFonts w:hint="eastAsia"/>
                <w:color w:val="auto"/>
                <w:sz w:val="24"/>
                <w:szCs w:val="24"/>
                <w:highlight w:val="none"/>
              </w:rPr>
            </w:pPr>
            <w:r>
              <w:rPr>
                <w:rFonts w:hint="eastAsia"/>
                <w:color w:val="auto"/>
                <w:sz w:val="24"/>
                <w:szCs w:val="24"/>
                <w:highlight w:val="none"/>
              </w:rPr>
              <w:t>⑦　保证所交付的全部模型资源拥有完整的知识产权或合法授权，不存在任何权利瑕疵或纠纷。</w:t>
            </w:r>
          </w:p>
          <w:p w14:paraId="2F649CC7">
            <w:pPr>
              <w:spacing w:line="400" w:lineRule="exact"/>
              <w:rPr>
                <w:rFonts w:hint="eastAsia"/>
                <w:color w:val="auto"/>
                <w:sz w:val="24"/>
                <w:szCs w:val="24"/>
                <w:highlight w:val="none"/>
              </w:rPr>
            </w:pPr>
            <w:r>
              <w:rPr>
                <w:rFonts w:hint="eastAsia"/>
                <w:color w:val="auto"/>
                <w:sz w:val="24"/>
                <w:szCs w:val="24"/>
                <w:highlight w:val="none"/>
              </w:rPr>
              <w:t>⑧　采购方拥有该模型资源在 虚仿实验资源综合管理平台 项目中的永久使用权。</w:t>
            </w:r>
          </w:p>
          <w:p w14:paraId="460C3180">
            <w:pPr>
              <w:spacing w:line="400" w:lineRule="exact"/>
              <w:rPr>
                <w:rFonts w:hint="eastAsia"/>
                <w:color w:val="auto"/>
                <w:sz w:val="24"/>
                <w:szCs w:val="24"/>
                <w:highlight w:val="none"/>
              </w:rPr>
            </w:pPr>
          </w:p>
          <w:p w14:paraId="6115D350">
            <w:pPr>
              <w:spacing w:line="400" w:lineRule="exact"/>
              <w:rPr>
                <w:rFonts w:hint="eastAsia"/>
                <w:color w:val="auto"/>
                <w:sz w:val="24"/>
                <w:szCs w:val="24"/>
                <w:highlight w:val="none"/>
              </w:rPr>
            </w:pPr>
            <w:r>
              <w:rPr>
                <w:rFonts w:hint="eastAsia"/>
                <w:color w:val="auto"/>
                <w:sz w:val="24"/>
                <w:szCs w:val="24"/>
                <w:highlight w:val="none"/>
              </w:rPr>
              <w:t>（2）内容要求：系统还原前厅、房务等6大业务模块，支持学生扮演“前台”“经理”等角色协同操作。</w:t>
            </w:r>
          </w:p>
          <w:p w14:paraId="780C5220">
            <w:pPr>
              <w:spacing w:line="400" w:lineRule="exact"/>
              <w:rPr>
                <w:rFonts w:hint="eastAsia"/>
                <w:color w:val="auto"/>
                <w:sz w:val="24"/>
                <w:szCs w:val="24"/>
                <w:highlight w:val="none"/>
              </w:rPr>
            </w:pPr>
            <w:r>
              <w:rPr>
                <w:rFonts w:hint="eastAsia"/>
                <w:color w:val="auto"/>
                <w:sz w:val="24"/>
                <w:szCs w:val="24"/>
                <w:highlight w:val="none"/>
              </w:rPr>
              <w:t>①　支持查看学生的作品，支持对学生的走进大堂、走进行政走廊、走进前厅部三个部分的作品进行管理，支持查看学生作品的名称、作品创作学生、作品浏览次数、是否为优秀作品等。支持对学生作品进行管理。</w:t>
            </w:r>
          </w:p>
          <w:p w14:paraId="7BC38B9E">
            <w:pPr>
              <w:spacing w:line="400" w:lineRule="exact"/>
              <w:rPr>
                <w:rFonts w:hint="eastAsia"/>
                <w:color w:val="auto"/>
                <w:sz w:val="24"/>
                <w:szCs w:val="24"/>
                <w:highlight w:val="none"/>
              </w:rPr>
            </w:pPr>
            <w:r>
              <w:rPr>
                <w:rFonts w:hint="eastAsia"/>
                <w:color w:val="auto"/>
                <w:sz w:val="24"/>
                <w:szCs w:val="24"/>
                <w:highlight w:val="none"/>
              </w:rPr>
              <w:t>②　支持对探索大堂的酒店入口位置选择、大堂的位置、大堂的面积、大堂的高度、大堂的分区、大堂的设计、大堂的残疾人设施、大堂的门、团队出入口设置、社会客人出入口设置、停车位的设置、总服务台的设计特点、前台操作信息系统、前厅办公室设置、礼宾台的位置、行李房的位置、大堂吧功能、大堂吧位置、商务中心的功能区域、电梯厅位置、电梯厅的设计、公共卫生间的设计、客人休息区的设计、大堂副理；包含探索行政楼层的行政楼层的服务、客房、酒廊等基础知识的学习及管理。</w:t>
            </w:r>
          </w:p>
          <w:p w14:paraId="2C265F6D">
            <w:pPr>
              <w:spacing w:line="400" w:lineRule="exact"/>
              <w:rPr>
                <w:rFonts w:hint="eastAsia"/>
                <w:color w:val="auto"/>
                <w:sz w:val="24"/>
                <w:szCs w:val="24"/>
                <w:highlight w:val="none"/>
              </w:rPr>
            </w:pPr>
            <w:r>
              <w:rPr>
                <w:rFonts w:hint="eastAsia"/>
                <w:color w:val="auto"/>
                <w:sz w:val="24"/>
                <w:szCs w:val="24"/>
                <w:highlight w:val="none"/>
              </w:rPr>
              <w:t>③　学生端可以对走进酒店前厅、基础前厅服务、酒店前厅服务技能大赛、知识题库、会议服务、学习资料及优秀作品进行实践实训。</w:t>
            </w:r>
          </w:p>
          <w:p w14:paraId="14ED1C0C">
            <w:pPr>
              <w:spacing w:line="400" w:lineRule="exact"/>
              <w:rPr>
                <w:rFonts w:hint="eastAsia"/>
                <w:color w:val="auto"/>
                <w:sz w:val="24"/>
                <w:szCs w:val="24"/>
                <w:highlight w:val="none"/>
              </w:rPr>
            </w:pPr>
            <w:r>
              <w:rPr>
                <w:rFonts w:hint="eastAsia"/>
                <w:color w:val="auto"/>
                <w:sz w:val="24"/>
                <w:szCs w:val="24"/>
                <w:highlight w:val="none"/>
              </w:rPr>
              <w:t>④　走进前厅包含走进大堂、走进行政走廊及走进前厅部三个部门的学习；走进大堂分为任务学习和任务测试，任务测试模式下使用3D建模的三维酒店前厅空间，学生可以使用鼠标键盘在酒店大堂自由走动；学生可以进行知识测试和技能测试；技能测试支持学生创作前厅接待话术，学生根据对应的话术进行技能实训，可以调用电脑摄像头进行录制本人并同步录制学生在三维前厅空间的操作，学生可以随时展示或隐藏对应的文本话术，录制完成之后支持进行存草稿及上传作业。走进行政走廊及走进前厅部分都支持以上操作，并在不同的三维空间进行。</w:t>
            </w:r>
          </w:p>
          <w:p w14:paraId="65683C81">
            <w:pPr>
              <w:spacing w:line="400" w:lineRule="exact"/>
              <w:rPr>
                <w:rFonts w:hint="eastAsia"/>
                <w:color w:val="auto"/>
                <w:sz w:val="24"/>
                <w:szCs w:val="24"/>
                <w:highlight w:val="none"/>
              </w:rPr>
            </w:pPr>
            <w:r>
              <w:rPr>
                <w:rFonts w:hint="eastAsia"/>
                <w:color w:val="auto"/>
                <w:sz w:val="24"/>
                <w:szCs w:val="24"/>
                <w:highlight w:val="none"/>
              </w:rPr>
              <w:t>⑤　基础前厅服务包含散客（游客）服务、散客（商务客人VIP）服务及团队（游客）服务三个板块的学习，可以按照不同的模块进入三维空间进行任务学习；散客服务包含受理OTA网络预订、门童迎接服务、行李迎接服务、引领服务、入住接待服务、一键服务中心服务、退房接待服务、离店行李服务；受理OTA按照新订单对号处理新订单，支持模拟查看订单的详细内容。</w:t>
            </w:r>
          </w:p>
          <w:p w14:paraId="75A50418">
            <w:pPr>
              <w:spacing w:line="400" w:lineRule="exact"/>
              <w:rPr>
                <w:rFonts w:hint="eastAsia"/>
                <w:color w:val="auto"/>
                <w:sz w:val="24"/>
                <w:szCs w:val="24"/>
                <w:highlight w:val="none"/>
              </w:rPr>
            </w:pPr>
            <w:r>
              <w:rPr>
                <w:rFonts w:hint="eastAsia"/>
                <w:color w:val="auto"/>
                <w:sz w:val="24"/>
                <w:szCs w:val="24"/>
                <w:highlight w:val="none"/>
              </w:rPr>
              <w:t>⑥　门童迎接服务按</w:t>
            </w:r>
            <w:r>
              <w:rPr>
                <w:rFonts w:hint="eastAsia"/>
                <w:color w:val="auto"/>
                <w:sz w:val="24"/>
                <w:szCs w:val="24"/>
                <w:highlight w:val="none"/>
                <w:lang w:val="en-US" w:eastAsia="zh-CN"/>
              </w:rPr>
              <w:t>接</w:t>
            </w:r>
            <w:r>
              <w:rPr>
                <w:rFonts w:hint="eastAsia"/>
                <w:color w:val="auto"/>
                <w:sz w:val="24"/>
                <w:szCs w:val="24"/>
                <w:highlight w:val="none"/>
              </w:rPr>
              <w:t>待</w:t>
            </w:r>
            <w:r>
              <w:rPr>
                <w:rFonts w:hint="eastAsia"/>
                <w:color w:val="auto"/>
                <w:sz w:val="24"/>
                <w:szCs w:val="24"/>
                <w:highlight w:val="none"/>
              </w:rPr>
              <w:t>服务状态、引导入店车辆、为客人拉开车门、欢迎及通知行李员，全程进行三维建模动画进行模拟（非flash），同时学生可以利用鼠标键盘进行自由行走，更直观的学习接待细节；行李员按照欢迎客人、卸下行李、清点检查行李、与客人确认、引领客人至前台及看管行李等候客人的流程进行服务，全程进行三维建模动画进行模拟（非flash），同时学生可以利用鼠标键盘进行自由行走，直观的学习接待细节；引领服务按照领取房卡、乘电梯、敲门进房、介绍客房及礼貌离开。</w:t>
            </w:r>
          </w:p>
          <w:p w14:paraId="0DD52D1D">
            <w:pPr>
              <w:spacing w:line="400" w:lineRule="exact"/>
              <w:rPr>
                <w:rFonts w:hint="eastAsia"/>
                <w:color w:val="auto"/>
                <w:sz w:val="24"/>
                <w:szCs w:val="24"/>
                <w:highlight w:val="none"/>
              </w:rPr>
            </w:pPr>
            <w:r>
              <w:rPr>
                <w:rFonts w:hint="eastAsia"/>
                <w:color w:val="auto"/>
                <w:sz w:val="24"/>
                <w:szCs w:val="24"/>
                <w:highlight w:val="none"/>
              </w:rPr>
              <w:t>⑦　入住接待服务按照模拟接待流程进行话术接待，服务流程按照主动迎宾、确认预订、验证登记、入住登记办理、收取押金、呈交房卡、礼貌道别及信息存档；全程在三维建模空间进行模拟（非flash），同时学生可以利用鼠标键盘进行自由行走，直观的学习接待细节。</w:t>
            </w:r>
          </w:p>
          <w:p w14:paraId="1A0DBB94">
            <w:pPr>
              <w:spacing w:line="400" w:lineRule="exact"/>
              <w:rPr>
                <w:rFonts w:hint="eastAsia"/>
                <w:color w:val="auto"/>
                <w:sz w:val="24"/>
                <w:szCs w:val="24"/>
                <w:highlight w:val="none"/>
              </w:rPr>
            </w:pPr>
            <w:r>
              <w:rPr>
                <w:rFonts w:hint="eastAsia"/>
                <w:color w:val="auto"/>
                <w:sz w:val="24"/>
                <w:szCs w:val="24"/>
                <w:highlight w:val="none"/>
              </w:rPr>
              <w:t>⑧　一键服务中心按照接听电话、核对并重复要求、记录复述留言、结束来电、填写留言及递交留言操作；全程在三维建模空间进行模拟（非flash），同时学生可以利用鼠标键盘进行自由行走，直观的学习接待细节。</w:t>
            </w:r>
          </w:p>
          <w:p w14:paraId="3D00A633">
            <w:pPr>
              <w:spacing w:line="400" w:lineRule="exact"/>
              <w:rPr>
                <w:rFonts w:hint="eastAsia"/>
                <w:color w:val="auto"/>
                <w:sz w:val="24"/>
                <w:szCs w:val="24"/>
                <w:highlight w:val="none"/>
              </w:rPr>
            </w:pPr>
            <w:r>
              <w:rPr>
                <w:rFonts w:hint="eastAsia"/>
                <w:color w:val="auto"/>
                <w:sz w:val="24"/>
                <w:szCs w:val="24"/>
                <w:highlight w:val="none"/>
              </w:rPr>
              <w:t>⑨　退房接待服务按照主动迎接、通知客房服务中心查房、委婉询问消费、打印消费账单、付款结账、欢迎下次光临及登记表保存；全程在三维建模空间进行模拟（非flash），同时学生可以利用鼠标键盘进行自由行走，直观的学习接待细节。</w:t>
            </w:r>
          </w:p>
          <w:p w14:paraId="01131C34">
            <w:pPr>
              <w:spacing w:line="400" w:lineRule="exact"/>
              <w:rPr>
                <w:rFonts w:hint="eastAsia"/>
                <w:color w:val="auto"/>
                <w:sz w:val="24"/>
                <w:szCs w:val="24"/>
                <w:highlight w:val="none"/>
              </w:rPr>
            </w:pPr>
            <w:r>
              <w:rPr>
                <w:rFonts w:hint="eastAsia"/>
                <w:color w:val="auto"/>
                <w:sz w:val="24"/>
                <w:szCs w:val="24"/>
                <w:highlight w:val="none"/>
              </w:rPr>
              <w:t>⑩　离店行李服务按照接到宾客运送行李请求、收取行李、帮助客人离店及礼貌欢送流程进行实训，全程在三维建模空间进行模拟（非flash），同时学生可以利用鼠标键盘进行自由行走，直观的学习接待细节。</w:t>
            </w:r>
          </w:p>
          <w:p w14:paraId="1C85A78C">
            <w:pPr>
              <w:spacing w:line="400" w:lineRule="exact"/>
              <w:rPr>
                <w:rFonts w:hint="eastAsia"/>
                <w:color w:val="auto"/>
                <w:sz w:val="24"/>
                <w:szCs w:val="24"/>
                <w:highlight w:val="none"/>
              </w:rPr>
            </w:pPr>
            <w:r>
              <w:rPr>
                <w:rFonts w:hint="eastAsia"/>
                <w:color w:val="auto"/>
                <w:sz w:val="24"/>
                <w:szCs w:val="24"/>
                <w:highlight w:val="none"/>
              </w:rPr>
              <w:t>⑪　散客（商务客人）服务按照受理VIP电话预订、VIP接待准备、抵店接待、金钥匙服务及VIP送行服务的流程进行，每个流程分步骤在三维虚拟建模空间完成（非flash）。</w:t>
            </w:r>
          </w:p>
          <w:p w14:paraId="2E8BBF97">
            <w:pPr>
              <w:spacing w:line="400" w:lineRule="exact"/>
              <w:rPr>
                <w:rFonts w:hint="eastAsia"/>
                <w:color w:val="auto"/>
                <w:sz w:val="24"/>
                <w:szCs w:val="24"/>
                <w:highlight w:val="none"/>
              </w:rPr>
            </w:pPr>
            <w:r>
              <w:rPr>
                <w:rFonts w:hint="eastAsia"/>
                <w:color w:val="auto"/>
                <w:sz w:val="24"/>
                <w:szCs w:val="24"/>
                <w:highlight w:val="none"/>
              </w:rPr>
              <w:t>⑫　酒店前厅接待服务大赛按照中职及高职进行划分，中职包含认识酒店技能大赛、前厅服务专业理论与英语问答测试分析、前厅操作评分标准、前厅专业理论评分标准及英语评分标准；高职包含前厅项目赛项概述及认识大赛。</w:t>
            </w:r>
          </w:p>
          <w:p w14:paraId="1FE0BCDB">
            <w:pPr>
              <w:spacing w:line="400" w:lineRule="exact"/>
              <w:rPr>
                <w:rFonts w:hint="eastAsia"/>
                <w:color w:val="auto"/>
                <w:sz w:val="24"/>
                <w:szCs w:val="24"/>
                <w:highlight w:val="none"/>
              </w:rPr>
            </w:pPr>
            <w:r>
              <w:rPr>
                <w:rFonts w:hint="eastAsia"/>
                <w:color w:val="auto"/>
                <w:sz w:val="24"/>
                <w:szCs w:val="24"/>
                <w:highlight w:val="none"/>
              </w:rPr>
              <w:t>⑬　会议服务支持报告厅、沙龙式、圆桌式、课桌式、西餐厅、KTV及游泳池的实训；所有场景需要是建模的场景，同时学生可以查看各个场景的相关介绍。</w:t>
            </w:r>
          </w:p>
          <w:p w14:paraId="6AEB7473">
            <w:pPr>
              <w:spacing w:line="400" w:lineRule="exact"/>
              <w:rPr>
                <w:rFonts w:hint="eastAsia"/>
                <w:color w:val="auto"/>
                <w:sz w:val="24"/>
                <w:szCs w:val="24"/>
                <w:highlight w:val="none"/>
              </w:rPr>
            </w:pPr>
            <w:r>
              <w:rPr>
                <w:rFonts w:hint="eastAsia"/>
                <w:color w:val="auto"/>
                <w:sz w:val="24"/>
                <w:szCs w:val="24"/>
                <w:highlight w:val="none"/>
              </w:rPr>
              <w:t>⑭　学生可以对鸡尾酒、红酒、啤酒及白酒的学习，包含各个知识的学习视频，同时学生可以在线查看老师推荐的优秀作品。</w:t>
            </w:r>
          </w:p>
          <w:p w14:paraId="5D6D7507">
            <w:pPr>
              <w:spacing w:line="400" w:lineRule="exact"/>
              <w:rPr>
                <w:rFonts w:hint="eastAsia"/>
                <w:color w:val="auto"/>
                <w:sz w:val="24"/>
                <w:szCs w:val="24"/>
                <w:highlight w:val="none"/>
              </w:rPr>
            </w:pPr>
            <w:r>
              <w:rPr>
                <w:rFonts w:hint="eastAsia"/>
                <w:color w:val="auto"/>
                <w:sz w:val="24"/>
                <w:szCs w:val="24"/>
                <w:highlight w:val="none"/>
              </w:rPr>
              <w:t xml:space="preserve">（3）功能要求：支持三维空间自由行走、话术录制、任务学习与测试、多场景切换（大堂、行政走廊、前厅部等）。  </w:t>
            </w:r>
          </w:p>
          <w:p w14:paraId="3B6CDF81">
            <w:pPr>
              <w:spacing w:line="400" w:lineRule="exact"/>
              <w:rPr>
                <w:rFonts w:hint="eastAsia"/>
                <w:color w:val="auto"/>
                <w:sz w:val="24"/>
                <w:szCs w:val="24"/>
                <w:highlight w:val="none"/>
              </w:rPr>
            </w:pPr>
            <w:r>
              <w:rPr>
                <w:rFonts w:hint="eastAsia"/>
                <w:color w:val="auto"/>
                <w:sz w:val="24"/>
                <w:szCs w:val="24"/>
                <w:highlight w:val="none"/>
              </w:rPr>
              <w:t>（4）接口要求：提供任务进度同步、作品上传、成绩回传等接口，支持与平台用户权限对接。</w:t>
            </w:r>
          </w:p>
          <w:p w14:paraId="7C27C877">
            <w:pPr>
              <w:spacing w:line="400" w:lineRule="exact"/>
              <w:rPr>
                <w:rFonts w:hint="eastAsia"/>
                <w:color w:val="auto"/>
                <w:sz w:val="24"/>
                <w:szCs w:val="24"/>
                <w:highlight w:val="none"/>
              </w:rPr>
            </w:pPr>
          </w:p>
          <w:p w14:paraId="56A5D5A5">
            <w:pPr>
              <w:spacing w:line="400" w:lineRule="exact"/>
              <w:rPr>
                <w:rFonts w:hint="eastAsia"/>
                <w:color w:val="auto"/>
                <w:sz w:val="24"/>
                <w:szCs w:val="24"/>
                <w:highlight w:val="none"/>
              </w:rPr>
            </w:pPr>
            <w:r>
              <w:rPr>
                <w:rFonts w:hint="eastAsia"/>
                <w:color w:val="auto"/>
                <w:sz w:val="24"/>
                <w:szCs w:val="24"/>
                <w:highlight w:val="none"/>
              </w:rPr>
              <w:t xml:space="preserve">4. 数据分析资源库  </w:t>
            </w:r>
          </w:p>
          <w:p w14:paraId="0D040572">
            <w:pPr>
              <w:spacing w:line="400" w:lineRule="exact"/>
              <w:rPr>
                <w:rFonts w:hint="eastAsia"/>
                <w:color w:val="auto"/>
                <w:sz w:val="24"/>
                <w:szCs w:val="24"/>
                <w:highlight w:val="none"/>
              </w:rPr>
            </w:pPr>
            <w:r>
              <w:rPr>
                <w:rFonts w:hint="eastAsia"/>
                <w:color w:val="auto"/>
                <w:sz w:val="24"/>
                <w:szCs w:val="24"/>
                <w:highlight w:val="none"/>
              </w:rPr>
              <w:t>（1）数据分析资源库为线上数据源，使用html图表展示，功能参数要求如下：</w:t>
            </w:r>
          </w:p>
          <w:p w14:paraId="5E8A98CF">
            <w:pPr>
              <w:spacing w:line="400" w:lineRule="exact"/>
              <w:rPr>
                <w:rFonts w:hint="eastAsia"/>
                <w:color w:val="auto"/>
                <w:sz w:val="24"/>
                <w:szCs w:val="24"/>
                <w:highlight w:val="none"/>
              </w:rPr>
            </w:pPr>
            <w:r>
              <w:rPr>
                <w:rFonts w:hint="eastAsia"/>
                <w:color w:val="auto"/>
                <w:sz w:val="24"/>
                <w:szCs w:val="24"/>
                <w:highlight w:val="none"/>
              </w:rPr>
              <w:t>①　数据需覆盖旅游行业，至少包含景区与酒店两大分类。</w:t>
            </w:r>
          </w:p>
          <w:p w14:paraId="09A8A398">
            <w:pPr>
              <w:spacing w:line="400" w:lineRule="exact"/>
              <w:rPr>
                <w:rFonts w:hint="eastAsia"/>
                <w:color w:val="auto"/>
                <w:sz w:val="24"/>
                <w:szCs w:val="24"/>
                <w:highlight w:val="none"/>
              </w:rPr>
            </w:pPr>
            <w:r>
              <w:rPr>
                <w:rFonts w:hint="eastAsia"/>
                <w:color w:val="auto"/>
                <w:sz w:val="24"/>
                <w:szCs w:val="24"/>
                <w:highlight w:val="none"/>
              </w:rPr>
              <w:t>②　数据维度需包含：口碑热度、满意度、好评/中评/差评数量与趋势、客户画像标签（如出游方式、兴趣分布）、OTA平台（如携程、美团）数据分布、评论热词分析等。</w:t>
            </w:r>
          </w:p>
          <w:p w14:paraId="7D298676">
            <w:pPr>
              <w:spacing w:line="400" w:lineRule="exact"/>
              <w:rPr>
                <w:rFonts w:hint="eastAsia"/>
                <w:color w:val="auto"/>
                <w:sz w:val="24"/>
                <w:szCs w:val="24"/>
                <w:highlight w:val="none"/>
              </w:rPr>
            </w:pPr>
            <w:r>
              <w:rPr>
                <w:rFonts w:hint="eastAsia"/>
                <w:color w:val="auto"/>
                <w:sz w:val="24"/>
                <w:szCs w:val="24"/>
                <w:highlight w:val="none"/>
              </w:rPr>
              <w:t>③　图表必须是前端渲染，生成HTML5内容，使用 SVG 或 Canvas 等技术。</w:t>
            </w:r>
          </w:p>
          <w:p w14:paraId="031BAF8A">
            <w:pPr>
              <w:spacing w:line="400" w:lineRule="exact"/>
              <w:rPr>
                <w:rFonts w:hint="eastAsia"/>
                <w:color w:val="auto"/>
                <w:sz w:val="24"/>
                <w:szCs w:val="24"/>
                <w:highlight w:val="none"/>
              </w:rPr>
            </w:pPr>
            <w:r>
              <w:rPr>
                <w:rFonts w:hint="eastAsia"/>
                <w:color w:val="auto"/>
                <w:sz w:val="24"/>
                <w:szCs w:val="24"/>
                <w:highlight w:val="none"/>
              </w:rPr>
              <w:t>④　图表组件需兼容主流Web前端框架（如Vue.js, React），并能以组件或iframe嵌入等方式无缝集成至采购方平台。</w:t>
            </w:r>
          </w:p>
          <w:p w14:paraId="1692212D">
            <w:pPr>
              <w:spacing w:line="400" w:lineRule="exact"/>
              <w:rPr>
                <w:rFonts w:hint="eastAsia"/>
                <w:color w:val="auto"/>
                <w:sz w:val="24"/>
                <w:szCs w:val="24"/>
                <w:highlight w:val="none"/>
              </w:rPr>
            </w:pPr>
            <w:r>
              <w:rPr>
                <w:rFonts w:hint="eastAsia"/>
                <w:color w:val="auto"/>
                <w:sz w:val="24"/>
                <w:szCs w:val="24"/>
                <w:highlight w:val="none"/>
              </w:rPr>
              <w:t>⑤　必须提供但不限于以下图表类型：折线图、柱状图（纵向与横向）、饼图、散点图、地图（中国及省内区域）等。</w:t>
            </w:r>
          </w:p>
          <w:p w14:paraId="75E8D3A1">
            <w:pPr>
              <w:spacing w:line="400" w:lineRule="exact"/>
              <w:rPr>
                <w:rFonts w:hint="eastAsia"/>
                <w:color w:val="auto"/>
                <w:sz w:val="24"/>
                <w:szCs w:val="24"/>
                <w:highlight w:val="none"/>
              </w:rPr>
            </w:pPr>
            <w:r>
              <w:rPr>
                <w:rFonts w:hint="eastAsia"/>
                <w:color w:val="auto"/>
                <w:sz w:val="24"/>
                <w:szCs w:val="24"/>
                <w:highlight w:val="none"/>
              </w:rPr>
              <w:t>⑥　图表标题、图例、坐标轴等文本内容需支持动态配置，数据来源需动态注入。</w:t>
            </w:r>
          </w:p>
          <w:p w14:paraId="3A42302E">
            <w:pPr>
              <w:spacing w:line="400" w:lineRule="exact"/>
              <w:rPr>
                <w:rFonts w:hint="eastAsia"/>
                <w:color w:val="auto"/>
                <w:sz w:val="24"/>
                <w:szCs w:val="24"/>
                <w:highlight w:val="none"/>
              </w:rPr>
            </w:pPr>
            <w:r>
              <w:rPr>
                <w:rFonts w:hint="eastAsia"/>
                <w:color w:val="auto"/>
                <w:sz w:val="24"/>
                <w:szCs w:val="24"/>
                <w:highlight w:val="none"/>
              </w:rPr>
              <w:t>⑦　前端图表组件需具备良好的浏览器兼容性，支持Chrome、Firefox、Edge等主流浏览器的最近三个稳定版本。</w:t>
            </w:r>
          </w:p>
          <w:p w14:paraId="552E55F1">
            <w:pPr>
              <w:spacing w:line="400" w:lineRule="exact"/>
              <w:rPr>
                <w:rFonts w:hint="eastAsia"/>
                <w:color w:val="auto"/>
                <w:sz w:val="24"/>
                <w:szCs w:val="24"/>
                <w:highlight w:val="none"/>
              </w:rPr>
            </w:pPr>
            <w:r>
              <w:rPr>
                <w:rFonts w:hint="eastAsia"/>
                <w:color w:val="auto"/>
                <w:sz w:val="24"/>
                <w:szCs w:val="24"/>
                <w:highlight w:val="none"/>
              </w:rPr>
              <w:t>⑧　单个完整数据看板页面（含多个图表）在100ms网络下的加载时间应低于3秒。</w:t>
            </w:r>
          </w:p>
          <w:p w14:paraId="13F5F48E">
            <w:pPr>
              <w:spacing w:line="400" w:lineRule="exact"/>
              <w:rPr>
                <w:rFonts w:hint="eastAsia"/>
                <w:color w:val="auto"/>
                <w:sz w:val="24"/>
                <w:szCs w:val="24"/>
                <w:highlight w:val="none"/>
              </w:rPr>
            </w:pPr>
          </w:p>
          <w:p w14:paraId="0366F378">
            <w:pPr>
              <w:spacing w:line="400" w:lineRule="exact"/>
              <w:rPr>
                <w:rFonts w:hint="eastAsia"/>
                <w:color w:val="auto"/>
                <w:sz w:val="24"/>
                <w:szCs w:val="24"/>
                <w:highlight w:val="none"/>
              </w:rPr>
            </w:pPr>
            <w:r>
              <w:rPr>
                <w:rFonts w:hint="eastAsia"/>
                <w:color w:val="auto"/>
                <w:sz w:val="24"/>
                <w:szCs w:val="24"/>
                <w:highlight w:val="none"/>
              </w:rPr>
              <w:t>（2）内容要求：通过真实数据读取满足虚拟仿真教学中基于大数据的分析、教学辅助功能，支持景区、酒店分类专项。</w:t>
            </w:r>
          </w:p>
          <w:p w14:paraId="2C3614D9">
            <w:pPr>
              <w:spacing w:line="400" w:lineRule="exact"/>
              <w:rPr>
                <w:rFonts w:hint="eastAsia"/>
                <w:color w:val="auto"/>
                <w:sz w:val="24"/>
                <w:szCs w:val="24"/>
                <w:highlight w:val="none"/>
              </w:rPr>
            </w:pPr>
            <w:r>
              <w:rPr>
                <w:rFonts w:hint="eastAsia"/>
                <w:color w:val="auto"/>
                <w:sz w:val="24"/>
                <w:szCs w:val="24"/>
                <w:highlight w:val="none"/>
              </w:rPr>
              <w:t>①　数据板块对OTA平台数据进行统计分析，展示各个OTA平台的口碑热度及满意度，包含但不限于美团、马蜂窝、去哪儿、携程、同程旅游、驴妈妈、途牛等互联网OTA平台；按照月份统计近12个月口碑的变化趋势，可选择好评、差评或中评的并自动统计近12个月每月所选的数据数量；同时自动生成本省不同城市的好/中/差评的分布图，清晰的查看不同城市的变化趋势。客户数据板块支持客户标签体系分组、设置标签规则、用户画像评价体系管理、用户分组管理。</w:t>
            </w:r>
          </w:p>
          <w:p w14:paraId="17C53870">
            <w:pPr>
              <w:spacing w:line="400" w:lineRule="exact"/>
              <w:rPr>
                <w:rFonts w:hint="eastAsia"/>
                <w:color w:val="auto"/>
                <w:sz w:val="24"/>
                <w:szCs w:val="24"/>
                <w:highlight w:val="none"/>
              </w:rPr>
            </w:pPr>
            <w:r>
              <w:rPr>
                <w:rFonts w:hint="eastAsia"/>
                <w:color w:val="auto"/>
                <w:sz w:val="24"/>
                <w:szCs w:val="24"/>
                <w:highlight w:val="none"/>
              </w:rPr>
              <w:t>②　数据板块拥有数据的综合看板分析，包含景区和酒店（自由切换）口碑指数进行分析；自动生成月份的酒店/景区口碑指数，自动计算本省在全国的排名；系统自动统计展示的平均指数、最高指数及最低指数；展示本省景区和酒店当前的口碑总数、好评总数、好评率、差评总数及差评率，并根据算法自动计划上月环比数据。客户数据板块支持客户的画像标签及动态标签的展示；支持客户全国分布的统计，支持搜索引擎的推广管理。</w:t>
            </w:r>
          </w:p>
          <w:p w14:paraId="0559A564">
            <w:pPr>
              <w:spacing w:line="400" w:lineRule="exact"/>
              <w:rPr>
                <w:rFonts w:hint="eastAsia"/>
                <w:color w:val="auto"/>
                <w:sz w:val="24"/>
                <w:szCs w:val="24"/>
                <w:highlight w:val="none"/>
              </w:rPr>
            </w:pPr>
            <w:r>
              <w:rPr>
                <w:rFonts w:hint="eastAsia"/>
                <w:color w:val="auto"/>
                <w:sz w:val="24"/>
                <w:szCs w:val="24"/>
                <w:highlight w:val="none"/>
              </w:rPr>
              <w:t>③　数据板块可对地图上本省的景区或者酒店进行对象态势监测，选择对应的景区查看本景区或者酒店的口碑总览、评论总数变化、差评趋势变化、行业平均差评趋势变化、评论分布、各个维度正负面分析、选定维度的好评率趋势及差评率变化趋势。对每月、季、年度自动生成本区域景区、酒店的网评报告，网评报告通过综合概况、榜单、游客关注维度、评价来源分析和评论热词五个方面展示景点或酒店当月、当季或当年的网评情况，帮助了解所关注区域景区或酒店的基本网评情况。可选择对应的星级按照不同的月份、季度、年份自动生成对应的报告。客户数据板块支持对搜索引擎的推广效果进行分析，支持查看推广效果、展现量、地域、人群属性、兴趣分布、关键词分布、网络运营商占比、受众APP行为等数据。</w:t>
            </w:r>
          </w:p>
          <w:p w14:paraId="247D6135">
            <w:pPr>
              <w:spacing w:line="400" w:lineRule="exact"/>
              <w:rPr>
                <w:rFonts w:hint="eastAsia"/>
                <w:color w:val="auto"/>
                <w:sz w:val="24"/>
                <w:szCs w:val="24"/>
                <w:highlight w:val="none"/>
              </w:rPr>
            </w:pPr>
            <w:r>
              <w:rPr>
                <w:rFonts w:hint="eastAsia"/>
                <w:color w:val="auto"/>
                <w:sz w:val="24"/>
                <w:szCs w:val="24"/>
                <w:highlight w:val="none"/>
              </w:rPr>
              <w:t>④　数据板块可对景区和酒店的综合排名进行分析，可选择不同的景区级别（5A/4A/3A/2A/其他）或酒店星级按照年份或者某个时间段进行筛选对应的网评口碑数据；展示当前条件下的酒店或景区的数量；生成对应的热度排行榜、好评率排行榜、差评率排行榜及满意度排名；并支持直接点击跳转到每个具体景区或酒店的网络评论分析面板。客户数据板块支持客户精准营销推送报告及客户阅读状态，支持自动化营销规则的设定及营销设计的客户详情，自动生成营销分析报告。</w:t>
            </w:r>
          </w:p>
          <w:p w14:paraId="7F502F6C">
            <w:pPr>
              <w:spacing w:line="400" w:lineRule="exact"/>
              <w:rPr>
                <w:rFonts w:hint="eastAsia"/>
                <w:color w:val="auto"/>
                <w:sz w:val="24"/>
                <w:szCs w:val="24"/>
                <w:highlight w:val="none"/>
              </w:rPr>
            </w:pPr>
            <w:r>
              <w:rPr>
                <w:rFonts w:hint="eastAsia"/>
                <w:color w:val="auto"/>
                <w:sz w:val="24"/>
                <w:szCs w:val="24"/>
                <w:highlight w:val="none"/>
              </w:rPr>
              <w:t>⑤　数据板块支持对本省景区或酒店的关注度进行分析，通过构建出游方式模型，将客流结构归并为独自出游、情侣朋友、家庭亲子、商务出游和其它五大类型，掌握每种出游方式的热度信息以及每种出游方式对客流状况、公共设施、旅游交通、服务质量、门票物价、景区管理、卫生环境、文化特色等维度的关注程度；支持按照年份/月份及时间段进行筛选相关的数据。客户数据模块支持关键词列表的查看、下载与上传自由词，展示关键词的展现量、点击率；支持对关键词的搜索人气、点击率、关键词数量及任务进行描述填写。</w:t>
            </w:r>
          </w:p>
          <w:p w14:paraId="001451DA">
            <w:pPr>
              <w:spacing w:line="400" w:lineRule="exact"/>
              <w:rPr>
                <w:rFonts w:hint="eastAsia"/>
                <w:color w:val="auto"/>
                <w:sz w:val="24"/>
                <w:szCs w:val="24"/>
                <w:highlight w:val="none"/>
              </w:rPr>
            </w:pPr>
            <w:r>
              <w:rPr>
                <w:rFonts w:hint="eastAsia"/>
                <w:color w:val="auto"/>
                <w:sz w:val="24"/>
                <w:szCs w:val="24"/>
                <w:highlight w:val="none"/>
              </w:rPr>
              <w:t>⑥　数据板块总体表现可选择本省或者本省地市在年份或月份或时间段内的景区和酒店的总体表现能力；包括景区的指数、口碑指数、区域排名、OTA平台分布、评论的热度分布、不同维度下各维度评论热度的分布及月度每天的满意度及热度数据；通过使用自然语言处理技术，从评价中提取中观点，结合维度，分别展示消极和积极观点，并做汇总词云展示，帮助使用者一目了然掌握改善和提高点；针对存在的问题依据及优势分别生成口碑维度TOP10排名、口碑维度趋势图及各个维度分布情况；支持按照本省或地市根据不同的时间进行筛选展示相关的优势及劣势的具体内容。客户数据板块支持虚拟创建公众号，支持跳转模拟公众号进行设置，支持公众号的对话，支持公众号粉丝的管理，支持关键词的挖掘与分析。</w:t>
            </w:r>
          </w:p>
          <w:p w14:paraId="19A5FACB">
            <w:pPr>
              <w:spacing w:line="400" w:lineRule="exact"/>
              <w:rPr>
                <w:rFonts w:hint="eastAsia"/>
                <w:color w:val="auto"/>
                <w:sz w:val="24"/>
                <w:szCs w:val="24"/>
                <w:highlight w:val="none"/>
              </w:rPr>
            </w:pPr>
            <w:r>
              <w:rPr>
                <w:rFonts w:hint="eastAsia"/>
                <w:color w:val="auto"/>
                <w:sz w:val="24"/>
                <w:szCs w:val="24"/>
                <w:highlight w:val="none"/>
              </w:rPr>
              <w:t xml:space="preserve">（3）数据要求：支持真实数据接入，具备自然语言处理与可视化分析能力。  </w:t>
            </w:r>
          </w:p>
          <w:p w14:paraId="5C30E0DD">
            <w:pPr>
              <w:spacing w:line="400" w:lineRule="exact"/>
              <w:rPr>
                <w:rFonts w:hint="eastAsia"/>
                <w:color w:val="auto"/>
                <w:sz w:val="24"/>
                <w:szCs w:val="24"/>
                <w:highlight w:val="none"/>
              </w:rPr>
            </w:pPr>
            <w:r>
              <w:rPr>
                <w:rFonts w:hint="eastAsia"/>
                <w:color w:val="auto"/>
                <w:sz w:val="24"/>
                <w:szCs w:val="24"/>
                <w:highlight w:val="none"/>
              </w:rPr>
              <w:t>（4）接口要求：提供数据查询API、报告生成接口、关键词分析接口，支持与平台数据看板嵌入。</w:t>
            </w:r>
          </w:p>
          <w:p w14:paraId="369191E4">
            <w:pPr>
              <w:spacing w:line="400" w:lineRule="exact"/>
              <w:rPr>
                <w:rFonts w:hint="eastAsia"/>
                <w:color w:val="auto"/>
                <w:sz w:val="24"/>
                <w:szCs w:val="24"/>
                <w:highlight w:val="none"/>
              </w:rPr>
            </w:pPr>
          </w:p>
          <w:p w14:paraId="33CB8973">
            <w:pPr>
              <w:spacing w:line="400" w:lineRule="exact"/>
              <w:rPr>
                <w:rFonts w:hint="eastAsia"/>
                <w:color w:val="auto"/>
                <w:sz w:val="24"/>
                <w:szCs w:val="24"/>
                <w:highlight w:val="none"/>
              </w:rPr>
            </w:pPr>
            <w:r>
              <w:rPr>
                <w:rFonts w:hint="eastAsia"/>
                <w:color w:val="auto"/>
                <w:sz w:val="24"/>
                <w:szCs w:val="24"/>
                <w:highlight w:val="none"/>
              </w:rPr>
              <w:t xml:space="preserve">（二）资源嵌入平台参数说明  </w:t>
            </w:r>
          </w:p>
          <w:p w14:paraId="6C08686C">
            <w:pPr>
              <w:spacing w:line="400" w:lineRule="exact"/>
              <w:rPr>
                <w:rFonts w:hint="eastAsia"/>
                <w:color w:val="auto"/>
                <w:sz w:val="24"/>
                <w:szCs w:val="24"/>
                <w:highlight w:val="none"/>
              </w:rPr>
            </w:pPr>
            <w:r>
              <w:rPr>
                <w:rFonts w:hint="eastAsia"/>
                <w:color w:val="auto"/>
                <w:sz w:val="24"/>
                <w:szCs w:val="24"/>
                <w:highlight w:val="none"/>
              </w:rPr>
              <w:t xml:space="preserve">所有资源需提供以下参数以确保与平台无缝嵌套：  </w:t>
            </w:r>
          </w:p>
          <w:p w14:paraId="1249B28A">
            <w:pPr>
              <w:spacing w:line="400" w:lineRule="exact"/>
              <w:rPr>
                <w:rFonts w:hint="eastAsia"/>
                <w:color w:val="auto"/>
                <w:sz w:val="24"/>
                <w:szCs w:val="24"/>
                <w:highlight w:val="none"/>
              </w:rPr>
            </w:pPr>
            <w:r>
              <w:rPr>
                <w:rFonts w:hint="eastAsia"/>
                <w:color w:val="auto"/>
                <w:sz w:val="24"/>
                <w:szCs w:val="24"/>
                <w:highlight w:val="none"/>
              </w:rPr>
              <w:t xml:space="preserve"> 资源ID：唯一标识符，用于平台资源管理。  </w:t>
            </w:r>
          </w:p>
          <w:p w14:paraId="717C70E5">
            <w:pPr>
              <w:spacing w:line="400" w:lineRule="exact"/>
              <w:rPr>
                <w:rFonts w:hint="eastAsia"/>
                <w:color w:val="auto"/>
                <w:sz w:val="24"/>
                <w:szCs w:val="24"/>
                <w:highlight w:val="none"/>
              </w:rPr>
            </w:pPr>
            <w:r>
              <w:rPr>
                <w:rFonts w:hint="eastAsia"/>
                <w:color w:val="auto"/>
                <w:sz w:val="24"/>
                <w:szCs w:val="24"/>
                <w:highlight w:val="none"/>
              </w:rPr>
              <w:t xml:space="preserve"> 资源类型：如3D模型、全景视频、交互课件等。  </w:t>
            </w:r>
          </w:p>
          <w:p w14:paraId="02340B50">
            <w:pPr>
              <w:spacing w:line="400" w:lineRule="exact"/>
              <w:rPr>
                <w:rFonts w:hint="eastAsia"/>
                <w:color w:val="auto"/>
                <w:sz w:val="24"/>
                <w:szCs w:val="24"/>
                <w:highlight w:val="none"/>
              </w:rPr>
            </w:pPr>
            <w:r>
              <w:rPr>
                <w:rFonts w:hint="eastAsia"/>
                <w:color w:val="auto"/>
                <w:sz w:val="24"/>
                <w:szCs w:val="24"/>
                <w:highlight w:val="none"/>
              </w:rPr>
              <w:t xml:space="preserve"> 技术参数：包括分辨率、面数、兼容环境等。  </w:t>
            </w:r>
          </w:p>
          <w:p w14:paraId="0EA61E94">
            <w:pPr>
              <w:spacing w:line="400" w:lineRule="exact"/>
              <w:rPr>
                <w:rFonts w:hint="eastAsia"/>
                <w:color w:val="auto"/>
                <w:sz w:val="24"/>
                <w:szCs w:val="24"/>
                <w:highlight w:val="none"/>
              </w:rPr>
            </w:pPr>
            <w:r>
              <w:rPr>
                <w:rFonts w:hint="eastAsia"/>
                <w:color w:val="auto"/>
                <w:sz w:val="24"/>
                <w:szCs w:val="24"/>
                <w:highlight w:val="none"/>
              </w:rPr>
              <w:t xml:space="preserve"> API接口：支持资源状态查询、成绩回传、用户权限验证等。  </w:t>
            </w:r>
          </w:p>
          <w:p w14:paraId="5B971E37">
            <w:pPr>
              <w:spacing w:line="400" w:lineRule="exact"/>
              <w:rPr>
                <w:color w:val="auto"/>
                <w:sz w:val="24"/>
                <w:szCs w:val="24"/>
                <w:highlight w:val="none"/>
              </w:rPr>
            </w:pPr>
            <w:r>
              <w:rPr>
                <w:rFonts w:hint="eastAsia"/>
                <w:color w:val="auto"/>
                <w:sz w:val="24"/>
                <w:szCs w:val="24"/>
                <w:highlight w:val="none"/>
              </w:rPr>
              <w:t xml:space="preserve"> 前端嵌入方式：支持iframe或WebGL等内嵌，响应平台页面布局。</w:t>
            </w:r>
          </w:p>
        </w:tc>
        <w:tc>
          <w:tcPr>
            <w:tcW w:w="962" w:type="dxa"/>
            <w:vAlign w:val="center"/>
          </w:tcPr>
          <w:p w14:paraId="6A3FDB2C">
            <w:pPr>
              <w:pStyle w:val="84"/>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8.5</w:t>
            </w:r>
          </w:p>
        </w:tc>
        <w:tc>
          <w:tcPr>
            <w:tcW w:w="983" w:type="dxa"/>
            <w:vAlign w:val="center"/>
          </w:tcPr>
          <w:p w14:paraId="59817E24">
            <w:pPr>
              <w:pStyle w:val="84"/>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8.5</w:t>
            </w:r>
          </w:p>
        </w:tc>
      </w:tr>
      <w:tr w14:paraId="370042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167" w:type="dxa"/>
            <w:gridSpan w:val="7"/>
            <w:tcBorders>
              <w:top w:val="single" w:color="auto" w:sz="4" w:space="0"/>
              <w:left w:val="single" w:color="auto" w:sz="4" w:space="0"/>
              <w:bottom w:val="single" w:color="auto" w:sz="4" w:space="0"/>
              <w:right w:val="single" w:color="auto" w:sz="4" w:space="0"/>
            </w:tcBorders>
          </w:tcPr>
          <w:p w14:paraId="25CA928C">
            <w:pP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color w:val="auto"/>
                <w:sz w:val="24"/>
                <w:szCs w:val="24"/>
                <w:highlight w:val="none"/>
              </w:rPr>
              <w:t>商务要求</w:t>
            </w:r>
          </w:p>
        </w:tc>
      </w:tr>
      <w:tr w14:paraId="71B9C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30F1E14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合同签订时间</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22C2B1E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自成交通知书发出之日起25日内。</w:t>
            </w:r>
          </w:p>
        </w:tc>
      </w:tr>
      <w:tr w14:paraId="5EEA3F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76E8BE5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交付时间及地点</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743CAF82">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1.交付时间：自签订合同之日起</w:t>
            </w:r>
            <w:r>
              <w:rPr>
                <w:rFonts w:hint="eastAsia"/>
                <w:color w:val="auto"/>
                <w:sz w:val="24"/>
                <w:szCs w:val="24"/>
                <w:highlight w:val="none"/>
                <w:lang w:val="en-US" w:eastAsia="zh-CN"/>
              </w:rPr>
              <w:t>50</w:t>
            </w:r>
            <w:r>
              <w:rPr>
                <w:rFonts w:hint="eastAsia"/>
                <w:color w:val="auto"/>
                <w:sz w:val="24"/>
                <w:szCs w:val="24"/>
                <w:highlight w:val="none"/>
              </w:rPr>
              <w:t>日内提交服务成果并验收完毕，满足使用条件。</w:t>
            </w:r>
          </w:p>
          <w:p w14:paraId="334BE906">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2.交付地点：广西区内采购人指定地点。</w:t>
            </w:r>
          </w:p>
        </w:tc>
      </w:tr>
      <w:tr w14:paraId="2A037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2DFB6EA9">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付款方式</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6736C3FA">
            <w:pPr>
              <w:keepNext w:val="0"/>
              <w:keepLines w:val="0"/>
              <w:pageBreakBefore w:val="0"/>
              <w:widowControl w:val="0"/>
              <w:kinsoku/>
              <w:wordWrap/>
              <w:overflowPunct/>
              <w:topLinePunct w:val="0"/>
              <w:autoSpaceDE/>
              <w:autoSpaceDN/>
              <w:bidi w:val="0"/>
              <w:adjustRightInd/>
              <w:spacing w:line="400" w:lineRule="exact"/>
              <w:textAlignment w:val="auto"/>
              <w:rPr>
                <w:rFonts w:hint="eastAsia"/>
                <w:color w:val="auto"/>
                <w:sz w:val="24"/>
                <w:szCs w:val="24"/>
                <w:highlight w:val="none"/>
              </w:rPr>
            </w:pPr>
            <w:r>
              <w:rPr>
                <w:rFonts w:hint="eastAsia"/>
                <w:color w:val="auto"/>
                <w:sz w:val="24"/>
                <w:szCs w:val="24"/>
                <w:highlight w:val="none"/>
              </w:rPr>
              <w:t>合同签订后</w:t>
            </w:r>
            <w:r>
              <w:rPr>
                <w:rFonts w:hint="eastAsia"/>
                <w:color w:val="auto"/>
                <w:sz w:val="24"/>
                <w:szCs w:val="24"/>
                <w:highlight w:val="none"/>
                <w:lang w:val="en-US" w:eastAsia="zh-CN"/>
              </w:rPr>
              <w:t>30</w:t>
            </w:r>
            <w:r>
              <w:rPr>
                <w:rFonts w:hint="eastAsia"/>
                <w:color w:val="auto"/>
                <w:sz w:val="24"/>
                <w:szCs w:val="24"/>
                <w:highlight w:val="none"/>
              </w:rPr>
              <w:t>%。验收通过</w:t>
            </w:r>
            <w:r>
              <w:rPr>
                <w:rFonts w:hint="eastAsia"/>
                <w:color w:val="auto"/>
                <w:sz w:val="24"/>
                <w:szCs w:val="24"/>
                <w:highlight w:val="none"/>
                <w:lang w:val="en-US" w:eastAsia="zh-CN"/>
              </w:rPr>
              <w:t>7</w:t>
            </w:r>
            <w:r>
              <w:rPr>
                <w:rFonts w:hint="eastAsia"/>
                <w:color w:val="auto"/>
                <w:sz w:val="24"/>
                <w:szCs w:val="24"/>
                <w:highlight w:val="none"/>
              </w:rPr>
              <w:t>0%。合同签订后十五个工作日内，采购人支付合同总金额的</w:t>
            </w:r>
            <w:r>
              <w:rPr>
                <w:rFonts w:hint="eastAsia"/>
                <w:color w:val="auto"/>
                <w:sz w:val="24"/>
                <w:szCs w:val="24"/>
                <w:highlight w:val="none"/>
                <w:lang w:val="en-US" w:eastAsia="zh-CN"/>
              </w:rPr>
              <w:t>30</w:t>
            </w:r>
            <w:r>
              <w:rPr>
                <w:rFonts w:hint="eastAsia"/>
                <w:color w:val="auto"/>
                <w:sz w:val="24"/>
                <w:szCs w:val="24"/>
                <w:highlight w:val="none"/>
              </w:rPr>
              <w:t>%；中标人通过验收后十五个工作日内即支付合同总金额的</w:t>
            </w:r>
            <w:r>
              <w:rPr>
                <w:rFonts w:hint="eastAsia"/>
                <w:color w:val="auto"/>
                <w:sz w:val="24"/>
                <w:szCs w:val="24"/>
                <w:highlight w:val="none"/>
                <w:lang w:val="en-US" w:eastAsia="zh-CN"/>
              </w:rPr>
              <w:t>70</w:t>
            </w:r>
            <w:r>
              <w:rPr>
                <w:rFonts w:hint="eastAsia"/>
                <w:color w:val="auto"/>
                <w:sz w:val="24"/>
                <w:szCs w:val="24"/>
                <w:highlight w:val="none"/>
              </w:rPr>
              <w:t>%每次付款前，成交供应商需提供请款函及该支付金额的合法有效发票。</w:t>
            </w:r>
          </w:p>
        </w:tc>
      </w:tr>
      <w:tr w14:paraId="0D4A3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5F667797">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售后服务</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3C091D2B">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1.所有的</w:t>
            </w:r>
            <w:r>
              <w:rPr>
                <w:rFonts w:hint="eastAsia" w:ascii="宋体" w:hAnsi="宋体" w:cs="宋体"/>
                <w:color w:val="auto"/>
                <w:sz w:val="24"/>
                <w:szCs w:val="24"/>
                <w:highlight w:val="none"/>
                <w:lang w:val="en-US" w:eastAsia="zh-CN"/>
              </w:rPr>
              <w:t>平台</w:t>
            </w:r>
            <w:r>
              <w:rPr>
                <w:rFonts w:hint="eastAsia" w:ascii="宋体" w:hAnsi="宋体" w:cs="宋体"/>
                <w:color w:val="auto"/>
                <w:sz w:val="24"/>
                <w:szCs w:val="24"/>
                <w:highlight w:val="none"/>
              </w:rPr>
              <w:t>建设均按采购人要求进行，服务成果须按采购人要求修改完善，直至采购人验收合格。</w:t>
            </w:r>
          </w:p>
          <w:p w14:paraId="4F617726">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2.质保期2年，质保期内成交供应商免费按采购人要求调整或修改。</w:t>
            </w:r>
          </w:p>
          <w:p w14:paraId="739BD5CF">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3.质保期内供应商免费负责为采购人提供以下技术支持和服务：</w:t>
            </w:r>
          </w:p>
          <w:p w14:paraId="6116E074">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（1）提供上门服务或远程技术服务。成交供应商为采购人提供技术援助以电话、QQ、Email、微信等，解答采购人在使用中遇到的问题，提供7天×12小时服务，及时为采购人提出解决问题的建议。</w:t>
            </w:r>
          </w:p>
          <w:p w14:paraId="0678CC01">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现场响应：采购人遇到使用及技术问题，电话咨询不能解决的，售后服务时间为7×24小时，中标人接到故障通知后1小时内响应，4小时内派认证工程师到达现场，8小时内解决问题，24小时内仍无法解决问题的，提供相同性能参数的备件替用。</w:t>
            </w:r>
          </w:p>
          <w:p w14:paraId="3096F90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4.质保期外供应商须持续免费为采购人提供远程线上咨询服务，或以成本价为采购人提供后续升级或其他技术支撑服务。</w:t>
            </w:r>
          </w:p>
        </w:tc>
      </w:tr>
      <w:tr w14:paraId="54495B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214F36E2">
            <w:pPr>
              <w:pStyle w:val="13"/>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验收要求</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62947AAD">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1.要求履约过程中所有服务行为、软件、成果文件等均不涉及任何法律纠纷。</w:t>
            </w:r>
          </w:p>
          <w:p w14:paraId="4A396B8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验收时由采购人或邀请有资质的第三方机构对照采购文件的技术指标全面核对检验，如不符合采购文件的技术需求或提供虚假承诺的，采购人有权拒绝验收，成交供应商承担所有责任和费用，采购人有权解除合同并保留进一步追究责任的权利。</w:t>
            </w:r>
          </w:p>
          <w:p w14:paraId="6A1DE91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3.本项目须严格执行国家、地方及行业相关验收标准及规范。</w:t>
            </w:r>
          </w:p>
          <w:p w14:paraId="44B91396">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4.验收过程中所产生的一切费用均由成交供应商承担，报价时应考虑相关费用。</w:t>
            </w:r>
          </w:p>
        </w:tc>
      </w:tr>
      <w:tr w14:paraId="5FECA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12765F8F">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报价要求</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181BA9D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成交金额为完成项目所有服务所需的费用，包括但不限于劳务费、软硬件设备、机具材料费、交通费等、数据处理、成果文件编制出版、质量检查、培训等各种费用和售后服务、税金及其它所有成本费用的总和。合同履约期间采购人不再支付其他费用。</w:t>
            </w:r>
          </w:p>
        </w:tc>
      </w:tr>
      <w:tr w14:paraId="21F0E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left w:val="single" w:color="auto" w:sz="4" w:space="0"/>
              <w:bottom w:val="single" w:color="auto" w:sz="4" w:space="0"/>
              <w:right w:val="single" w:color="auto" w:sz="4" w:space="0"/>
            </w:tcBorders>
            <w:vAlign w:val="center"/>
          </w:tcPr>
          <w:p w14:paraId="7D0D264C">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履约保证金的收取与退付</w:t>
            </w:r>
          </w:p>
        </w:tc>
        <w:tc>
          <w:tcPr>
            <w:tcW w:w="7085" w:type="dxa"/>
            <w:gridSpan w:val="3"/>
            <w:tcBorders>
              <w:top w:val="single" w:color="auto" w:sz="4" w:space="0"/>
              <w:left w:val="single" w:color="auto" w:sz="4" w:space="0"/>
              <w:bottom w:val="single" w:color="auto" w:sz="4" w:space="0"/>
              <w:right w:val="single" w:color="auto" w:sz="4" w:space="0"/>
            </w:tcBorders>
            <w:vAlign w:val="center"/>
          </w:tcPr>
          <w:p w14:paraId="2C5E84D7">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本项目不收取履约保证金。</w:t>
            </w:r>
          </w:p>
        </w:tc>
      </w:tr>
      <w:tr w14:paraId="445370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2" w:type="dxa"/>
            <w:gridSpan w:val="4"/>
            <w:tcBorders>
              <w:top w:val="single" w:color="auto" w:sz="4" w:space="0"/>
              <w:bottom w:val="single" w:color="auto" w:sz="4" w:space="0"/>
              <w:right w:val="single" w:color="auto" w:sz="4" w:space="0"/>
            </w:tcBorders>
            <w:vAlign w:val="center"/>
          </w:tcPr>
          <w:p w14:paraId="660E83C6">
            <w:pPr>
              <w:pStyle w:val="79"/>
              <w:keepNext w:val="0"/>
              <w:keepLines w:val="0"/>
              <w:pageBreakBefore w:val="0"/>
              <w:widowControl w:val="0"/>
              <w:kinsoku/>
              <w:wordWrap/>
              <w:overflowPunct/>
              <w:topLinePunct w:val="0"/>
              <w:autoSpaceDE/>
              <w:autoSpaceDN/>
              <w:bidi w:val="0"/>
              <w:adjustRightInd/>
              <w:spacing w:line="400" w:lineRule="exact"/>
              <w:ind w:firstLine="0" w:firstLineChars="0"/>
              <w:jc w:val="center"/>
              <w:textAlignment w:val="auto"/>
              <w:rPr>
                <w:rFonts w:ascii="宋体" w:hAnsi="宋体" w:cs="宋体"/>
                <w:b/>
                <w:bCs/>
                <w:color w:val="auto"/>
                <w:sz w:val="24"/>
                <w:szCs w:val="24"/>
                <w:highlight w:val="none"/>
              </w:rPr>
            </w:pPr>
            <w:r>
              <w:rPr>
                <w:rFonts w:hint="eastAsia" w:ascii="宋体" w:hAnsi="宋体" w:cs="宋体"/>
                <w:color w:val="auto"/>
                <w:sz w:val="24"/>
                <w:szCs w:val="24"/>
                <w:highlight w:val="none"/>
              </w:rPr>
              <w:t>其他要求</w:t>
            </w:r>
          </w:p>
        </w:tc>
        <w:tc>
          <w:tcPr>
            <w:tcW w:w="7085" w:type="dxa"/>
            <w:gridSpan w:val="3"/>
            <w:tcBorders>
              <w:top w:val="single" w:color="auto" w:sz="4" w:space="0"/>
              <w:left w:val="single" w:color="auto" w:sz="4" w:space="0"/>
              <w:bottom w:val="single" w:color="auto" w:sz="4" w:space="0"/>
            </w:tcBorders>
            <w:vAlign w:val="center"/>
          </w:tcPr>
          <w:p w14:paraId="5F210A19">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平台</w:t>
            </w:r>
            <w:r>
              <w:rPr>
                <w:rFonts w:hint="eastAsia" w:ascii="宋体" w:hAnsi="宋体" w:cs="宋体"/>
                <w:color w:val="auto"/>
                <w:sz w:val="24"/>
                <w:szCs w:val="24"/>
                <w:highlight w:val="none"/>
              </w:rPr>
              <w:t>必须经采购人确认后方可进行开发和制作，并根据采购人意见进行完善，否则由此造成的损失由成交供应商自行承担。</w:t>
            </w:r>
          </w:p>
          <w:p w14:paraId="3BE0B14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2.成交供应商须为本项目服务实施投入充足的服务人员和硬件设备，并确保竞标文件中的人员信息真实、有效。响应文件承诺的人员、设备必须如实投入到项目实施中，未经采购人同意不允许更换。</w:t>
            </w:r>
          </w:p>
          <w:p w14:paraId="06FF1518">
            <w:pPr>
              <w:keepNext w:val="0"/>
              <w:keepLines w:val="0"/>
              <w:pageBreakBefore w:val="0"/>
              <w:widowControl w:val="0"/>
              <w:kinsoku/>
              <w:wordWrap/>
              <w:overflowPunct/>
              <w:topLinePunct w:val="0"/>
              <w:autoSpaceDE/>
              <w:autoSpaceDN/>
              <w:bidi w:val="0"/>
              <w:adjustRightInd/>
              <w:snapToGrid w:val="0"/>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3.服务成果知识产权归采购人所有，未经采购人允许，不得使用或以其它方式给任何第三方提供本项目的相关信息或数据或服务成果文件。</w:t>
            </w:r>
          </w:p>
          <w:p w14:paraId="4F831813">
            <w:pPr>
              <w:pStyle w:val="79"/>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4.采购人使用成交供应商提供的产品及服务时免受第三方提出的侵犯其专利权或其它知识产权的起诉。如果第三方提出侵权指控，成交供应商应承担由此而引起的一切法律责任和费用。</w:t>
            </w:r>
          </w:p>
        </w:tc>
      </w:tr>
    </w:tbl>
    <w:p w14:paraId="7591E94D">
      <w:pPr>
        <w:rPr>
          <w:rFonts w:hint="eastAsia" w:hAnsi="宋体" w:cs="宋体"/>
          <w:bCs/>
          <w:color w:val="auto"/>
          <w:sz w:val="24"/>
          <w:highlight w:val="none"/>
          <w:u w:val="single"/>
        </w:rPr>
      </w:pPr>
    </w:p>
    <w:p w14:paraId="721294E6">
      <w:pPr>
        <w:rPr>
          <w:rFonts w:hint="eastAsia" w:hAnsi="宋体" w:cs="宋体"/>
          <w:color w:val="auto"/>
          <w:sz w:val="32"/>
          <w:szCs w:val="32"/>
          <w:highlight w:val="none"/>
        </w:rPr>
      </w:pPr>
      <w:r>
        <w:rPr>
          <w:rFonts w:hint="eastAsia" w:hAnsi="宋体" w:cs="宋体"/>
          <w:color w:val="auto"/>
          <w:sz w:val="32"/>
          <w:szCs w:val="32"/>
          <w:highlight w:val="none"/>
        </w:rPr>
        <w:br w:type="page"/>
      </w:r>
    </w:p>
    <w:p w14:paraId="6A027D7B">
      <w:pPr>
        <w:pStyle w:val="19"/>
        <w:jc w:val="left"/>
        <w:rPr>
          <w:rFonts w:hAnsi="宋体" w:cs="宋体"/>
          <w:color w:val="auto"/>
          <w:sz w:val="32"/>
          <w:szCs w:val="32"/>
          <w:highlight w:val="none"/>
        </w:rPr>
      </w:pPr>
      <w:r>
        <w:rPr>
          <w:rFonts w:hint="eastAsia" w:hAnsi="宋体" w:cs="宋体"/>
          <w:color w:val="auto"/>
          <w:sz w:val="32"/>
          <w:szCs w:val="32"/>
          <w:highlight w:val="none"/>
        </w:rPr>
        <w:t>附：</w:t>
      </w:r>
    </w:p>
    <w:p w14:paraId="111F9CB6">
      <w:pPr>
        <w:jc w:val="center"/>
        <w:rPr>
          <w:rFonts w:ascii="宋体" w:hAnsi="宋体" w:cs="宋体"/>
          <w:color w:val="auto"/>
          <w:sz w:val="44"/>
          <w:szCs w:val="44"/>
          <w:highlight w:val="none"/>
        </w:rPr>
      </w:pPr>
      <w:r>
        <w:rPr>
          <w:rFonts w:hint="eastAsia" w:ascii="宋体" w:hAnsi="宋体" w:cs="宋体"/>
          <w:color w:val="auto"/>
          <w:sz w:val="44"/>
          <w:szCs w:val="44"/>
          <w:highlight w:val="none"/>
        </w:rPr>
        <w:t>中小微企业划型标准</w:t>
      </w:r>
    </w:p>
    <w:p w14:paraId="5E1F8B91">
      <w:pPr>
        <w:ind w:left="1871"/>
        <w:rPr>
          <w:rFonts w:ascii="宋体" w:hAnsi="宋体" w:cs="宋体"/>
          <w:color w:val="auto"/>
          <w:szCs w:val="21"/>
          <w:highlight w:val="none"/>
        </w:rPr>
      </w:pPr>
    </w:p>
    <w:tbl>
      <w:tblPr>
        <w:tblStyle w:val="31"/>
        <w:tblW w:w="0" w:type="auto"/>
        <w:jc w:val="center"/>
        <w:tblLayout w:type="fixed"/>
        <w:tblCellMar>
          <w:top w:w="0" w:type="dxa"/>
          <w:left w:w="108" w:type="dxa"/>
          <w:bottom w:w="0" w:type="dxa"/>
          <w:right w:w="108" w:type="dxa"/>
        </w:tblCellMar>
      </w:tblPr>
      <w:tblGrid>
        <w:gridCol w:w="1701"/>
        <w:gridCol w:w="1384"/>
        <w:gridCol w:w="913"/>
        <w:gridCol w:w="1620"/>
        <w:gridCol w:w="1440"/>
        <w:gridCol w:w="925"/>
      </w:tblGrid>
      <w:tr w14:paraId="5EBE0A44">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612E71CE">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vAlign w:val="center"/>
          </w:tcPr>
          <w:p w14:paraId="225CF1EB">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5412BC5F">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vAlign w:val="center"/>
          </w:tcPr>
          <w:p w14:paraId="48BB23FD">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vAlign w:val="center"/>
          </w:tcPr>
          <w:p w14:paraId="36A49691">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vAlign w:val="center"/>
          </w:tcPr>
          <w:p w14:paraId="7924643C">
            <w:pPr>
              <w:widowControl/>
              <w:jc w:val="center"/>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023A50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7869890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vAlign w:val="center"/>
          </w:tcPr>
          <w:p w14:paraId="679107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7750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F7F5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24FB78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vAlign w:val="center"/>
          </w:tcPr>
          <w:p w14:paraId="7FF993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60D1EB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C7CEFA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vAlign w:val="center"/>
          </w:tcPr>
          <w:p w14:paraId="591F9E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F92F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5FBD0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6D28F4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2606C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A8A018E">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0595CA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702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0BA51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5DCE4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vAlign w:val="center"/>
          </w:tcPr>
          <w:p w14:paraId="1C0ADB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vAlign w:val="center"/>
          </w:tcPr>
          <w:p w14:paraId="44EC6B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4C5878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24269A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vAlign w:val="center"/>
          </w:tcPr>
          <w:p w14:paraId="29E1C0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E5F22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9BC2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vAlign w:val="center"/>
          </w:tcPr>
          <w:p w14:paraId="19A44B4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vAlign w:val="center"/>
          </w:tcPr>
          <w:p w14:paraId="620D37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D3191A">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21D21C">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C7966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C573F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D9A4D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vAlign w:val="center"/>
          </w:tcPr>
          <w:p w14:paraId="0EB332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vAlign w:val="center"/>
          </w:tcPr>
          <w:p w14:paraId="395B67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16FC8AB">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21D24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vAlign w:val="center"/>
          </w:tcPr>
          <w:p w14:paraId="5C66ADC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CDE1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277D5D2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vAlign w:val="center"/>
          </w:tcPr>
          <w:p w14:paraId="235935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25" w:type="dxa"/>
            <w:tcBorders>
              <w:top w:val="nil"/>
              <w:left w:val="nil"/>
              <w:bottom w:val="single" w:color="auto" w:sz="4" w:space="0"/>
              <w:right w:val="single" w:color="auto" w:sz="4" w:space="0"/>
            </w:tcBorders>
            <w:vAlign w:val="center"/>
          </w:tcPr>
          <w:p w14:paraId="5D3904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960489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1E8B30B">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2EE0F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1F9A15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5A46B3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vAlign w:val="center"/>
          </w:tcPr>
          <w:p w14:paraId="696A4E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vAlign w:val="center"/>
          </w:tcPr>
          <w:p w14:paraId="6B0991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B82518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4CF012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vAlign w:val="center"/>
          </w:tcPr>
          <w:p w14:paraId="5F627F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865A9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3D797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vAlign w:val="center"/>
          </w:tcPr>
          <w:p w14:paraId="43DF1A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25" w:type="dxa"/>
            <w:tcBorders>
              <w:top w:val="nil"/>
              <w:left w:val="nil"/>
              <w:bottom w:val="single" w:color="auto" w:sz="4" w:space="0"/>
              <w:right w:val="single" w:color="auto" w:sz="4" w:space="0"/>
            </w:tcBorders>
            <w:vAlign w:val="center"/>
          </w:tcPr>
          <w:p w14:paraId="56ECF0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D6463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65B443F">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E0BC9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A708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434A3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vAlign w:val="center"/>
          </w:tcPr>
          <w:p w14:paraId="79C0CEA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vAlign w:val="center"/>
          </w:tcPr>
          <w:p w14:paraId="439FD0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232BC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32C97F3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vAlign w:val="center"/>
          </w:tcPr>
          <w:p w14:paraId="3C105A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5828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0D4BF9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0935417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40A2360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19D233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B86B49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17AC5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231AEF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15F1C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vAlign w:val="center"/>
          </w:tcPr>
          <w:p w14:paraId="621A5A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vAlign w:val="center"/>
          </w:tcPr>
          <w:p w14:paraId="152D24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28F57C4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D6294C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vAlign w:val="center"/>
          </w:tcPr>
          <w:p w14:paraId="79A356A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D498E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5598DF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vAlign w:val="center"/>
          </w:tcPr>
          <w:p w14:paraId="679033F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vAlign w:val="center"/>
          </w:tcPr>
          <w:p w14:paraId="7CC595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91557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AE03E92">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6F364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42497D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72FC034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vAlign w:val="center"/>
          </w:tcPr>
          <w:p w14:paraId="4AB094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4C0F70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A0C6E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5A55109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vAlign w:val="center"/>
          </w:tcPr>
          <w:p w14:paraId="3C0508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2316DF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116841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2F2785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vAlign w:val="center"/>
          </w:tcPr>
          <w:p w14:paraId="50AFD76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2C74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970E581">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113EFC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A6F0C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E14E9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vAlign w:val="center"/>
          </w:tcPr>
          <w:p w14:paraId="7677B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F62DD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B71B2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7591612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vAlign w:val="center"/>
          </w:tcPr>
          <w:p w14:paraId="355359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45756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35E1EF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CCE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A2C20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A01DB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976D8A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733CA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235D25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01C319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12BCBF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3A3F4C4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4AFC3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115B247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vAlign w:val="center"/>
          </w:tcPr>
          <w:p w14:paraId="7647A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14D0A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B1318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6AE240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162101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EA965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3F6573A">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32113F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A2E6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A1271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vAlign w:val="center"/>
          </w:tcPr>
          <w:p w14:paraId="3A5523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vAlign w:val="center"/>
          </w:tcPr>
          <w:p w14:paraId="412F10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73AEB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490CB6C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vAlign w:val="center"/>
          </w:tcPr>
          <w:p w14:paraId="044F02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FA5CA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E0611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vAlign w:val="center"/>
          </w:tcPr>
          <w:p w14:paraId="69E60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6A3AF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A89B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95B6AF7">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2E1AEC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B0CE7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23776A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vAlign w:val="center"/>
          </w:tcPr>
          <w:p w14:paraId="2CFA20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vAlign w:val="center"/>
          </w:tcPr>
          <w:p w14:paraId="5CA1E3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C4D1C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046EAB8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vAlign w:val="center"/>
          </w:tcPr>
          <w:p w14:paraId="16B160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4C158BA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450FC6A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490ED4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3072AB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7C74D7">
        <w:tblPrEx>
          <w:tblCellMar>
            <w:top w:w="0" w:type="dxa"/>
            <w:left w:w="108" w:type="dxa"/>
            <w:bottom w:w="0" w:type="dxa"/>
            <w:right w:w="108" w:type="dxa"/>
          </w:tblCellMar>
        </w:tblPrEx>
        <w:trPr>
          <w:trHeight w:val="323" w:hRule="exact"/>
          <w:jc w:val="center"/>
        </w:trPr>
        <w:tc>
          <w:tcPr>
            <w:tcW w:w="1701" w:type="dxa"/>
            <w:vMerge w:val="continue"/>
            <w:tcBorders>
              <w:top w:val="nil"/>
              <w:left w:val="single" w:color="auto" w:sz="4" w:space="0"/>
              <w:bottom w:val="single" w:color="auto" w:sz="4" w:space="0"/>
              <w:right w:val="single" w:color="auto" w:sz="4" w:space="0"/>
            </w:tcBorders>
            <w:vAlign w:val="center"/>
          </w:tcPr>
          <w:p w14:paraId="2DEB79E3">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5E436E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30A96FC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639FD4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vAlign w:val="center"/>
          </w:tcPr>
          <w:p w14:paraId="14B32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vAlign w:val="center"/>
          </w:tcPr>
          <w:p w14:paraId="468DDF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87E34F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F98859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vAlign w:val="center"/>
          </w:tcPr>
          <w:p w14:paraId="7C7962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E9B142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0D8AC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vAlign w:val="center"/>
          </w:tcPr>
          <w:p w14:paraId="046AF6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vAlign w:val="center"/>
          </w:tcPr>
          <w:p w14:paraId="7B6BF5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372B36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B28A0B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842BD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D659C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3CEB0C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vAlign w:val="center"/>
          </w:tcPr>
          <w:p w14:paraId="1B048F2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vAlign w:val="center"/>
          </w:tcPr>
          <w:p w14:paraId="309D5CF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71B2BC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2387A9A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vAlign w:val="center"/>
          </w:tcPr>
          <w:p w14:paraId="7ADD216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27170E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7D686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vAlign w:val="center"/>
          </w:tcPr>
          <w:p w14:paraId="54CBFC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vAlign w:val="center"/>
          </w:tcPr>
          <w:p w14:paraId="2F508D3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3F1EFF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6EF3C9D">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4C33E6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B184B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409005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vAlign w:val="center"/>
          </w:tcPr>
          <w:p w14:paraId="6612E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vAlign w:val="center"/>
          </w:tcPr>
          <w:p w14:paraId="11AA0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197AB4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bottom"/>
          </w:tcPr>
          <w:p w14:paraId="631F986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vAlign w:val="center"/>
          </w:tcPr>
          <w:p w14:paraId="71531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89176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089525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5F7194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08DBC3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92446B5">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6F35706">
            <w:pPr>
              <w:widowControl/>
              <w:jc w:val="left"/>
              <w:rPr>
                <w:rFonts w:ascii="宋体" w:hAnsi="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vAlign w:val="center"/>
          </w:tcPr>
          <w:p w14:paraId="67F7CE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DD30B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vAlign w:val="center"/>
          </w:tcPr>
          <w:p w14:paraId="123EB1A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vAlign w:val="center"/>
          </w:tcPr>
          <w:p w14:paraId="729328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vAlign w:val="center"/>
          </w:tcPr>
          <w:p w14:paraId="2CA392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D40D0C">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bottom"/>
          </w:tcPr>
          <w:p w14:paraId="3006343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vAlign w:val="center"/>
          </w:tcPr>
          <w:p w14:paraId="514FBC9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65D6C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620" w:type="dxa"/>
            <w:tcBorders>
              <w:top w:val="nil"/>
              <w:left w:val="nil"/>
              <w:bottom w:val="single" w:color="auto" w:sz="4" w:space="0"/>
              <w:right w:val="single" w:color="auto" w:sz="4" w:space="0"/>
            </w:tcBorders>
            <w:vAlign w:val="center"/>
          </w:tcPr>
          <w:p w14:paraId="61A7AF7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vAlign w:val="center"/>
          </w:tcPr>
          <w:p w14:paraId="078F4A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vAlign w:val="center"/>
          </w:tcPr>
          <w:p w14:paraId="238A37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17A65C6">
      <w:pPr>
        <w:spacing w:line="360" w:lineRule="auto"/>
        <w:ind w:firstLine="525" w:firstLineChars="250"/>
        <w:rPr>
          <w:rFonts w:ascii="宋体" w:hAnsi="宋体" w:cs="宋体"/>
          <w:color w:val="auto"/>
          <w:szCs w:val="21"/>
          <w:highlight w:val="none"/>
        </w:rPr>
      </w:pPr>
    </w:p>
    <w:p w14:paraId="6AB9E790">
      <w:pPr>
        <w:spacing w:line="360" w:lineRule="auto"/>
        <w:ind w:firstLine="527" w:firstLineChars="250"/>
        <w:rPr>
          <w:rFonts w:ascii="楷体" w:hAnsi="楷体" w:eastAsia="楷体" w:cs="宋体"/>
          <w:color w:val="auto"/>
          <w:szCs w:val="21"/>
          <w:highlight w:val="none"/>
        </w:rPr>
      </w:pPr>
      <w:r>
        <w:rPr>
          <w:rFonts w:hint="eastAsia" w:ascii="楷体" w:hAnsi="楷体" w:eastAsia="楷体" w:cs="宋体"/>
          <w:b/>
          <w:color w:val="auto"/>
          <w:szCs w:val="21"/>
          <w:highlight w:val="none"/>
        </w:rPr>
        <w:t>说明：</w:t>
      </w:r>
      <w:r>
        <w:rPr>
          <w:rFonts w:hint="eastAsia" w:ascii="楷体" w:hAnsi="楷体" w:eastAsia="楷体" w:cs="宋体"/>
          <w:color w:val="auto"/>
          <w:szCs w:val="21"/>
          <w:highlight w:val="none"/>
        </w:rPr>
        <w:t>上述标准参照《关于印发中小企业划型标准规定的通知》（工信部联企业</w:t>
      </w:r>
      <w:r>
        <w:rPr>
          <w:rFonts w:ascii="楷体" w:hAnsi="楷体" w:eastAsia="楷体" w:cs="宋体"/>
          <w:color w:val="auto"/>
          <w:szCs w:val="21"/>
          <w:highlight w:val="none"/>
        </w:rPr>
        <w:t>[2011]300号），大型、中型和小型企业须同时满足所列指标的下限，否则下划一档；微型企业只须满足所列指标中的一项即可。</w:t>
      </w:r>
    </w:p>
    <w:p w14:paraId="266A9E6B">
      <w:pPr>
        <w:pStyle w:val="2"/>
        <w:jc w:val="center"/>
        <w:rPr>
          <w:rFonts w:ascii="宋体" w:hAnsi="宋体" w:cs="宋体"/>
          <w:color w:val="auto"/>
          <w:highlight w:val="none"/>
        </w:rPr>
      </w:pPr>
      <w:r>
        <w:rPr>
          <w:rFonts w:hint="eastAsia" w:ascii="宋体" w:hAnsi="宋体" w:cs="宋体"/>
          <w:color w:val="auto"/>
          <w:highlight w:val="none"/>
        </w:rPr>
        <w:br w:type="page"/>
      </w:r>
      <w:bookmarkStart w:id="31" w:name="_Toc10847"/>
      <w:r>
        <w:rPr>
          <w:rFonts w:hint="eastAsia" w:ascii="宋体" w:hAnsi="宋体" w:cs="宋体"/>
          <w:color w:val="auto"/>
          <w:highlight w:val="none"/>
        </w:rPr>
        <w:t>第四章  评审程序、评审方法和评审标准</w:t>
      </w:r>
      <w:bookmarkEnd w:id="31"/>
    </w:p>
    <w:p w14:paraId="3BD74B7A">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一、评审程序和评审方法</w:t>
      </w:r>
    </w:p>
    <w:p w14:paraId="073FC3AC">
      <w:pPr>
        <w:spacing w:line="360" w:lineRule="auto"/>
        <w:ind w:firstLine="482" w:firstLineChars="200"/>
        <w:rPr>
          <w:rFonts w:ascii="宋体" w:hAnsi="宋体" w:cs="宋体"/>
          <w:b/>
          <w:bCs/>
          <w:color w:val="auto"/>
          <w:sz w:val="24"/>
          <w:highlight w:val="none"/>
        </w:rPr>
      </w:pPr>
    </w:p>
    <w:p w14:paraId="533A82DA">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1.资格审查</w:t>
      </w:r>
    </w:p>
    <w:p w14:paraId="249164A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1.1响应文件开启后，磋商小组依法对供应商的资格证明文件进行审查。</w:t>
      </w:r>
    </w:p>
    <w:p w14:paraId="66E5B66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（1）查询渠道：“信用中国”网站（www.creditchina.gov.cn）、中国政府采购网（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highlight w:val="none"/>
        </w:rPr>
        <w:t>www.ccgp.gov.cn</w:t>
      </w:r>
      <w:r>
        <w:rPr>
          <w:rFonts w:hint="eastAsia" w:ascii="宋体" w:hAnsi="宋体" w:cs="宋体"/>
          <w:color w:val="auto"/>
          <w:sz w:val="24"/>
          <w:highlight w:val="none"/>
        </w:rPr>
        <w:fldChar w:fldCharType="end"/>
      </w:r>
      <w:r>
        <w:rPr>
          <w:rFonts w:hint="eastAsia" w:ascii="宋体" w:hAnsi="宋体" w:cs="宋体"/>
          <w:color w:val="auto"/>
          <w:sz w:val="24"/>
          <w:highlight w:val="none"/>
        </w:rPr>
        <w:t>）</w:t>
      </w:r>
    </w:p>
    <w:p w14:paraId="2C79698F">
      <w:pPr>
        <w:snapToGrid w:val="0"/>
        <w:spacing w:line="360" w:lineRule="auto"/>
        <w:ind w:firstLine="480" w:firstLineChars="200"/>
        <w:jc w:val="left"/>
        <w:outlineLvl w:val="3"/>
        <w:rPr>
          <w:rFonts w:ascii="宋体" w:hAnsi="宋体" w:cs="宋体"/>
          <w:color w:val="auto"/>
          <w:sz w:val="24"/>
          <w:highlight w:val="none"/>
        </w:rPr>
      </w:pPr>
      <w:r>
        <w:rPr>
          <w:rFonts w:hint="eastAsia" w:ascii="宋体" w:hAnsi="宋体" w:cs="宋体"/>
          <w:color w:val="auto"/>
          <w:sz w:val="24"/>
          <w:highlight w:val="none"/>
        </w:rPr>
        <w:t>（2）信用查询截止时点：资格审查结束前</w:t>
      </w:r>
    </w:p>
    <w:p w14:paraId="73E962B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（3）查询记录和证据留存方式：将查询网站中的查询记录截图并作为评审资料保存。</w:t>
      </w:r>
    </w:p>
    <w:p w14:paraId="08656A2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ED4F3B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1.2资格审查标准为本磋商文件中载明对供应商资格要求的条件。资格审查采用合格制，凡符合磋商文件规定的供应商资格要求的响应文件均通过资格审查。</w:t>
      </w:r>
    </w:p>
    <w:p w14:paraId="0268E0E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1.3供应商有下列情形之一的，资格审查不通过，其响应文件按无效响应处理：</w:t>
      </w:r>
    </w:p>
    <w:p w14:paraId="01BB4627">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（1）不具备磋商文件中规定的资格要求的；</w:t>
      </w:r>
    </w:p>
    <w:p w14:paraId="49A313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（2）响应文件的资格证明文件缺少任一项“供应商须知前附表”资格证明文件规定的“必须提供”的文件资料的；</w:t>
      </w:r>
    </w:p>
    <w:p w14:paraId="53D604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（3）响应文件中的资格证明文件出现任一项不符合“供应商须知前附表”资格证明文件规定的“必须提供”的文件资料要求或者无效的；</w:t>
      </w:r>
    </w:p>
    <w:p w14:paraId="259C8B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（4）同一合同项下的不同供应商，单位负责人为同一人或者存在直接控股、管理关系的；为本项目提供过整体设计、规范编制或者项目管理、监理、检测等服务的供应商，再参加该采购项目的其他采购活动的。</w:t>
      </w:r>
    </w:p>
    <w:p w14:paraId="7AC69C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1.4通过资格审查的合格供应商不足3家的，不得进入符合性审查环节，采购人或者采购代理机构应当重新开展采购活动。</w:t>
      </w:r>
    </w:p>
    <w:p w14:paraId="740114ED">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2.符合性审查</w:t>
      </w:r>
    </w:p>
    <w:p w14:paraId="25F5BB4A">
      <w:pPr>
        <w:spacing w:line="360" w:lineRule="auto"/>
        <w:ind w:firstLine="480" w:firstLineChars="200"/>
        <w:rPr>
          <w:rFonts w:ascii="宋体" w:hAnsi="宋体" w:cs="宋体"/>
          <w:color w:val="auto"/>
          <w:sz w:val="24"/>
          <w:highlight w:val="none"/>
        </w:rPr>
      </w:pPr>
      <w:bookmarkStart w:id="32" w:name="_Hlk42528882"/>
      <w:r>
        <w:rPr>
          <w:rFonts w:hint="eastAsia" w:ascii="宋体" w:hAnsi="宋体" w:cs="宋体"/>
          <w:color w:val="auto"/>
          <w:sz w:val="24"/>
          <w:highlight w:val="none"/>
        </w:rPr>
        <w:t>2.1由磋商小组对资格审查的合格供应商的响应文件的竞争性磋商报价、商务、技术等实质性要求进行符合性审查，以确定其是否满足磋商文件的实质性要求。</w:t>
      </w:r>
    </w:p>
    <w:bookmarkEnd w:id="32"/>
    <w:p w14:paraId="21DF93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C368607">
      <w:pPr>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加盖供应商公章</w:t>
      </w:r>
      <w:r>
        <w:rPr>
          <w:rFonts w:hint="eastAsia" w:ascii="宋体" w:hAnsi="宋体" w:cs="宋体"/>
          <w:color w:val="auto"/>
          <w:spacing w:val="-6"/>
          <w:sz w:val="24"/>
          <w:highlight w:val="none"/>
        </w:rPr>
        <w:t>。供应商为自然人的，必须由本人签字并附身份证明。</w:t>
      </w:r>
    </w:p>
    <w:p w14:paraId="7DF347E7">
      <w:pPr>
        <w:spacing w:line="360" w:lineRule="auto"/>
        <w:ind w:firstLine="456" w:firstLineChars="200"/>
        <w:outlineLvl w:val="3"/>
        <w:rPr>
          <w:rFonts w:ascii="宋体" w:hAnsi="宋体" w:cs="宋体"/>
          <w:color w:val="auto"/>
          <w:sz w:val="24"/>
          <w:highlight w:val="none"/>
        </w:rPr>
      </w:pPr>
      <w:r>
        <w:rPr>
          <w:rFonts w:hint="eastAsia" w:ascii="宋体" w:hAnsi="宋体" w:cs="宋体"/>
          <w:color w:val="auto"/>
          <w:spacing w:val="-6"/>
          <w:sz w:val="24"/>
          <w:highlight w:val="none"/>
        </w:rPr>
        <w:t>2.4</w:t>
      </w:r>
      <w:r>
        <w:rPr>
          <w:rFonts w:hint="eastAsia" w:ascii="宋体" w:hAnsi="宋体" w:cs="宋体"/>
          <w:color w:val="auto"/>
          <w:sz w:val="24"/>
          <w:highlight w:val="none"/>
        </w:rPr>
        <w:t xml:space="preserve">首次响应文件报价出现前后不一致的，按照下列规定修正： </w:t>
      </w:r>
    </w:p>
    <w:p w14:paraId="70732C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（1）响应文件中报价表内容与响应文件中相应内容不一致的，以报价表为准；</w:t>
      </w:r>
    </w:p>
    <w:p w14:paraId="4E55419E">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23CB438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（3）单价金额小数点或者百分比有明显错位的，以报价表的总价为准，并修改单价；</w:t>
      </w:r>
    </w:p>
    <w:p w14:paraId="756D3B2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588FFF0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690F4D4E">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2.5商务技术报价评审</w:t>
      </w:r>
    </w:p>
    <w:p w14:paraId="319096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在评审时，如发现下列情形之一的，将被视为响应文件无效响应处理：</w:t>
      </w:r>
    </w:p>
    <w:p w14:paraId="5843FDCA">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（1）商务服务评审</w:t>
      </w:r>
    </w:p>
    <w:p w14:paraId="3B268C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1）响应文件未按磋商文件要求签署、盖章；</w:t>
      </w:r>
    </w:p>
    <w:p w14:paraId="74A9B2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2）委托代理人未能出具有效身份证或者出具的身份证与授权委托书中的信息不符的； </w:t>
      </w:r>
    </w:p>
    <w:p w14:paraId="7E14AA2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3）提交的磋商保证金无效的或者未按照磋商文件的规定提交磋商保证金；</w:t>
      </w:r>
    </w:p>
    <w:p w14:paraId="602A54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4）响应文件中的报价商务服务文件出现任一项不符合“供应商须知前附表”中“必须提供”或者“委托时必须提供”文件资料要求的规定或者提供的报价商务服务文件无效。</w:t>
      </w:r>
    </w:p>
    <w:p w14:paraId="11F6D7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5）商务条款中标“▲”的条款发生负偏离或者允许负偏离的条款数超过“供应商须知前附表”规定项数的；</w:t>
      </w:r>
    </w:p>
    <w:p w14:paraId="671AD6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6）未对竞争性磋商有效期作出响应或者响应文件承诺的竞争性磋商有效期不满足磋商文件要求；</w:t>
      </w:r>
    </w:p>
    <w:p w14:paraId="014989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7）响应文件的实质性内容未使用中文表述、使用计量单位不符合磋商文件要求；</w:t>
      </w:r>
    </w:p>
    <w:p w14:paraId="0F705B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8）响应文件中的文件资料因填写不齐全或者内容虚假或者出现其他情形而导致被磋商小组认定无效；</w:t>
      </w:r>
    </w:p>
    <w:p w14:paraId="4BFE412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9）响应文件含有采购人不能接受的附加条件；</w:t>
      </w:r>
    </w:p>
    <w:p w14:paraId="5C58A0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10）属于“供应商须知正文”第7.5条情形；</w:t>
      </w:r>
    </w:p>
    <w:p w14:paraId="31F015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11）技术要求中标“▲”的条款发生负偏离或允许负偏离的条款数超过“供应商须知前附表”规定项数的；</w:t>
      </w:r>
    </w:p>
    <w:p w14:paraId="1416C7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12）虚假响应，或者出现其他情形而导致被磋商小组认定无效；</w:t>
      </w:r>
    </w:p>
    <w:p w14:paraId="2500D7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w:t>
      </w:r>
      <w:bookmarkStart w:id="33" w:name="_Hlk71704147"/>
      <w:r>
        <w:rPr>
          <w:rFonts w:hint="eastAsia" w:ascii="宋体" w:hAnsi="宋体" w:cs="宋体"/>
          <w:color w:val="auto"/>
          <w:sz w:val="24"/>
          <w:highlight w:val="none"/>
        </w:rPr>
        <w:t>磋商文件未载明允许提供备选（替代）响应方案或明确不允许提供备选（替代）响应方案时，供应商提供了备选（替代）响应方案的；</w:t>
      </w:r>
      <w:bookmarkEnd w:id="33"/>
    </w:p>
    <w:p w14:paraId="7B0AE0F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14）响应文件标注的项目名称或者项目编号与磋商文件标注的项目名称或者项目编号不一致的；</w:t>
      </w:r>
    </w:p>
    <w:p w14:paraId="153D5C9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15）竞争性磋商文件明确不允许分包，响应文件拟分包的；</w:t>
      </w:r>
    </w:p>
    <w:p w14:paraId="381130B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16）未响应磋商文件实质性要求；</w:t>
      </w:r>
    </w:p>
    <w:p w14:paraId="24E7C5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17）法律、法规和磋商文件规定的其他无效情形。</w:t>
      </w:r>
    </w:p>
    <w:p w14:paraId="167F8346">
      <w:pPr>
        <w:spacing w:line="360" w:lineRule="auto"/>
        <w:ind w:firstLine="480" w:firstLineChars="200"/>
        <w:outlineLvl w:val="4"/>
        <w:rPr>
          <w:rFonts w:ascii="宋体" w:hAnsi="宋体" w:cs="宋体"/>
          <w:color w:val="auto"/>
          <w:sz w:val="24"/>
          <w:highlight w:val="none"/>
        </w:rPr>
      </w:pPr>
      <w:r>
        <w:rPr>
          <w:rFonts w:hint="eastAsia" w:ascii="宋体" w:hAnsi="宋体" w:cs="宋体"/>
          <w:color w:val="auto"/>
          <w:sz w:val="24"/>
          <w:highlight w:val="none"/>
        </w:rPr>
        <w:t>（2）报价评审</w:t>
      </w:r>
    </w:p>
    <w:p w14:paraId="534B67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1）响应文件未提供“供应商须知前附表” 报价商务服务文件中规定的“竞争性磋商报价表”；</w:t>
      </w:r>
    </w:p>
    <w:p w14:paraId="1B6BB7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2）未采用人民币报价或者未按照磋商文件标明的币种报价；</w:t>
      </w:r>
    </w:p>
    <w:p w14:paraId="7333093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未就所参与竞争性磋商分标进行报价或者存在漏项报价；供应商未就所参与竞争性磋商分标的单项内容作唯一报价；供应商未就所参与竞争性磋商分标的全部内容作完整唯一总价报价；供应商响应文件中存在有选择、有条件报价的（磋商文件允许有备选方案或者其他约定的除外）；</w:t>
      </w:r>
    </w:p>
    <w:p w14:paraId="79E3FE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4）竞争性磋商报价（包含首次报价、最后报价）超过所参与竞争性磋商分标规定的采购预算金额或者最高限价的（如本项目公布了最高限价），其响应文件将按无效响应处理；</w:t>
      </w:r>
    </w:p>
    <w:p w14:paraId="7008F452">
      <w:pPr>
        <w:spacing w:line="360" w:lineRule="auto"/>
        <w:ind w:firstLine="480" w:firstLineChars="200"/>
        <w:rPr>
          <w:color w:val="auto"/>
          <w:highlight w:val="none"/>
        </w:rPr>
      </w:pPr>
      <w:r>
        <w:rPr>
          <w:rFonts w:hint="eastAsia" w:ascii="宋体" w:hAnsi="宋体" w:cs="宋体"/>
          <w:color w:val="auto"/>
          <w:sz w:val="24"/>
          <w:highlight w:val="none"/>
        </w:rPr>
        <w:t>5）竞争性磋商报价（包含首次报价、最后报价）超过分项采购预算金额或者最高限价的（如本项目公布了最高限价），其响应文件将按无效处理；</w:t>
      </w:r>
    </w:p>
    <w:p w14:paraId="651818F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）修正后的报价，供应商不确认的；或者经供应商确认修正后的最后报价超过所 竞争性磋商分标规定的采购预算金额或者最高限价（如本项目公布了最高限价）；</w:t>
      </w:r>
    </w:p>
    <w:p w14:paraId="6D49912C">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）响应文件响应的标的数量及单位与竞争性磋商采购文件要求实质性不一致的。</w:t>
      </w:r>
    </w:p>
    <w:p w14:paraId="0D9996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磋商小组对响应文件进行评审，未实质性响应磋商文件的响应文件按无效响应处理，磋商小组应当将资格和符合性不通过的情况告知有关供应商。磋商小组从符合磋商文件规定的相应资格条件的供应商名单中确定不少于3家的供应商参加磋商。</w:t>
      </w:r>
    </w:p>
    <w:p w14:paraId="62CC3B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2.7非政府购买服务项目，通过符合性审查的合格供应商不足3家的，不得进入磋商环节，采购人或者采购代理机构应当重新开展采购活动。</w:t>
      </w:r>
      <w:r>
        <w:rPr>
          <w:rFonts w:hint="eastAsia" w:ascii="宋体" w:hAnsi="宋体" w:cs="宋体"/>
          <w:b/>
          <w:color w:val="auto"/>
          <w:sz w:val="24"/>
          <w:highlight w:val="none"/>
        </w:rPr>
        <w:t>政府购买服务项目，按《财政部关于政府采购竞争性磋商采购方式管理暂行办法有关问题的补充通知》（财库〔</w:t>
      </w:r>
      <w:r>
        <w:rPr>
          <w:rFonts w:ascii="宋体" w:hAnsi="宋体" w:cs="宋体"/>
          <w:b/>
          <w:color w:val="auto"/>
          <w:sz w:val="24"/>
          <w:highlight w:val="none"/>
        </w:rPr>
        <w:t>2015〕124号）规定，采购过程中通过符合性审查的供应商（社会资本）只有2家的，磋商采购活动可以继续进行。</w:t>
      </w:r>
    </w:p>
    <w:p w14:paraId="61E3D82C">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3.磋商程序</w:t>
      </w:r>
    </w:p>
    <w:p w14:paraId="6AF35EBD">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3.1磋商小组按照“供应商须知前附表”</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确定的</w:t>
      </w:r>
      <w:r>
        <w:rPr>
          <w:rFonts w:hint="eastAsia" w:ascii="宋体" w:hAnsi="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F806F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6206D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3.3对磋商文件作出的实质性变动是磋商文件的有效组成部分，由磋商小组及时以电子磋商记录形式同时通知所有参加磋商的供应商。</w:t>
      </w:r>
    </w:p>
    <w:p w14:paraId="59F46F4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供应商必须按照磋商文件的变动情况和磋商小组的要求以电子回函的形式重新提交响应文件，并由其法定代表人或者授权代表签字或者加盖供应商公章。供应商为自然人的，必须由本人签字并附身份证明。参加磋商的供应商未在规定时间内以电子回函的形式重新提交响应文件的，视同退出磋商。</w:t>
      </w:r>
    </w:p>
    <w:p w14:paraId="18423F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3.5磋商中，</w:t>
      </w:r>
      <w:r>
        <w:rPr>
          <w:rFonts w:hint="eastAsia" w:ascii="宋体" w:hAnsi="宋体" w:cs="宋体"/>
          <w:color w:val="auto"/>
          <w:spacing w:val="-6"/>
          <w:sz w:val="24"/>
          <w:highlight w:val="none"/>
        </w:rPr>
        <w:t>磋商的任何一方不得透露与磋商有关的其他供应商的技术资料、价格和其他信息。</w:t>
      </w:r>
    </w:p>
    <w:p w14:paraId="1BB4744B">
      <w:pPr>
        <w:tabs>
          <w:tab w:val="left" w:pos="2835"/>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3.6对磋商过程提交的响应文件进行有效性、完整性和响应程度审查，通过审查的合格供应商不足3家的，采购人或者采购代理机构应当重新开展采购活动。</w:t>
      </w:r>
    </w:p>
    <w:p w14:paraId="0B1F0DD3">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w:t>
      </w:r>
    </w:p>
    <w:p w14:paraId="0E8C1D6C">
      <w:pPr>
        <w:widowControl/>
        <w:tabs>
          <w:tab w:val="left" w:pos="540"/>
        </w:tabs>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采购过程中符合要求的供应商（社会资本）只有1家的，采购人（项目实施机构）或者采购代理机构应当终止竞争性磋商采购活动，发布项目终止公告并说明原因，重新开展采购活动。</w:t>
      </w:r>
    </w:p>
    <w:p w14:paraId="321919EA">
      <w:pPr>
        <w:spacing w:line="360" w:lineRule="auto"/>
        <w:ind w:firstLine="482" w:firstLineChars="200"/>
        <w:outlineLvl w:val="2"/>
        <w:rPr>
          <w:rFonts w:ascii="宋体" w:hAnsi="宋体" w:cs="宋体"/>
          <w:color w:val="auto"/>
          <w:sz w:val="24"/>
          <w:highlight w:val="none"/>
        </w:rPr>
      </w:pPr>
      <w:r>
        <w:rPr>
          <w:rFonts w:hint="eastAsia" w:ascii="宋体" w:hAnsi="宋体" w:cs="宋体"/>
          <w:b/>
          <w:bCs/>
          <w:color w:val="auto"/>
          <w:sz w:val="24"/>
          <w:highlight w:val="none"/>
        </w:rPr>
        <w:t>4.最后报价</w:t>
      </w:r>
    </w:p>
    <w:p w14:paraId="488B1A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4.1磋商文件能够详细列明技术、服务要求的，磋商结束后，由磋商小组要求所有继续参加磋商的供应商在规定时间内以电子文件形式提交最后报价，</w:t>
      </w:r>
      <w:r>
        <w:rPr>
          <w:rFonts w:hint="eastAsia" w:ascii="宋体" w:hAnsi="宋体" w:cs="宋体"/>
          <w:b/>
          <w:color w:val="auto"/>
          <w:sz w:val="24"/>
          <w:highlight w:val="none"/>
        </w:rPr>
        <w:t>除本章第</w:t>
      </w:r>
      <w:r>
        <w:rPr>
          <w:rFonts w:ascii="宋体" w:hAnsi="宋体" w:cs="宋体"/>
          <w:b/>
          <w:color w:val="auto"/>
          <w:sz w:val="24"/>
          <w:highlight w:val="none"/>
        </w:rPr>
        <w:t>2.7、3.7、4.3条外，提交最后报价的供应商不得少于3家，否则必须重新采购。</w:t>
      </w:r>
    </w:p>
    <w:p w14:paraId="1769B3E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磋商文件不能详细列明技术、服务要求，需经磋商由供应商提供最后设计方案或者解决方案的，磋商结束后，由磋商小组按照少数服从多数的原则投票推荐3家以上供应商的设计方案或者解决方案，并要求其在规定时间内以电子文件形式提交最后报价。</w:t>
      </w:r>
    </w:p>
    <w:p w14:paraId="2626338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4.3最后报价是供应商响应文件的有效组成部分。</w:t>
      </w:r>
      <w:r>
        <w:rPr>
          <w:rFonts w:hint="eastAsia" w:ascii="宋体" w:hAnsi="宋体" w:cs="宋体"/>
          <w:b/>
          <w:color w:val="auto"/>
          <w:sz w:val="24"/>
          <w:highlight w:val="none"/>
        </w:rPr>
        <w:t>符合《政府采购竞争性磋商采购方式管理暂行办法》（财库〔</w:t>
      </w:r>
      <w:r>
        <w:rPr>
          <w:rFonts w:ascii="宋体" w:hAnsi="宋体" w:cs="宋体"/>
          <w:b/>
          <w:color w:val="auto"/>
          <w:sz w:val="24"/>
          <w:highlight w:val="none"/>
        </w:rPr>
        <w:t>2014〕214号）第三条第四项“市场竞争不充分的科研项目，以及需要扶持的科技成果转化项目”和本章第3.7</w:t>
      </w:r>
      <w:r>
        <w:rPr>
          <w:rFonts w:hint="eastAsia" w:ascii="宋体" w:hAnsi="宋体" w:cs="宋体"/>
          <w:b/>
          <w:color w:val="auto"/>
          <w:sz w:val="24"/>
          <w:highlight w:val="none"/>
        </w:rPr>
        <w:t>条情形的，提交最后报价的供应商可以为</w:t>
      </w:r>
      <w:r>
        <w:rPr>
          <w:rFonts w:ascii="宋体" w:hAnsi="宋体" w:cs="宋体"/>
          <w:b/>
          <w:color w:val="auto"/>
          <w:sz w:val="24"/>
          <w:highlight w:val="none"/>
        </w:rPr>
        <w:t>2家。</w:t>
      </w:r>
    </w:p>
    <w:p w14:paraId="0196335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43A1F132">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4.5供应商未在规定时间内提交最后报价的，视同退出磋商。</w:t>
      </w:r>
    </w:p>
    <w:p w14:paraId="3923D0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4.6磋商小组收齐某一分标最后报价后或达到规定时间后统一开启，磋商小组对最后报价进行有效性、完整性和响应程度的审查。</w:t>
      </w:r>
    </w:p>
    <w:p w14:paraId="68B04A9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4.7响应文件最后报价出现前后不一致的，按照本章第2.4条的规定修正。 </w:t>
      </w:r>
    </w:p>
    <w:p w14:paraId="390DEB5D">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4.8经供应商确认修正后的最后报价作为评审及签订合同的依据。</w:t>
      </w:r>
    </w:p>
    <w:p w14:paraId="7CAE218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4.9供应商出现最后报价按无效响应处理或者响应文件按无效响应处理时，磋商小组应当告知有关供应商。</w:t>
      </w:r>
    </w:p>
    <w:p w14:paraId="7C4897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4.10最后报价结束后，磋商小组不得再与供应商进行任何形式的商谈。</w:t>
      </w:r>
    </w:p>
    <w:p w14:paraId="38EBE241">
      <w:pPr>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sz w:val="24"/>
          <w:highlight w:val="none"/>
        </w:rPr>
        <w:t>5.比较与评价</w:t>
      </w:r>
    </w:p>
    <w:p w14:paraId="030563A3">
      <w:pPr>
        <w:spacing w:line="360" w:lineRule="auto"/>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5.1评审方法：综合评分法。</w:t>
      </w:r>
    </w:p>
    <w:p w14:paraId="7DEF44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5.2经磋商确定最终采购需求和提交最后报价的供应商后，由磋商小组采用综合评分法对提交最后报价的供应商的响应文件和最后报价进行综合评分。</w:t>
      </w:r>
    </w:p>
    <w:p w14:paraId="0F8A96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5.3评审时，磋商小组各成员应当独立对每个有效响应的文件进行评价、打分，然后汇总每个供应商每项评分因素的得分。</w:t>
      </w:r>
    </w:p>
    <w:p w14:paraId="56CDDF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（1）磋商小组按照磋商文件中规定的评审标准计算各供应商的报价得分。项目评审过程中，不得去掉最后报价中的最高报价和最低报价。</w:t>
      </w:r>
    </w:p>
    <w:p w14:paraId="52E10E7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（2）各供应商的得分为磋商小组所有成员的有效评分的算术平均数。</w:t>
      </w:r>
    </w:p>
    <w:p w14:paraId="6BA5C1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5.4评标价为供应商的最后报价进行政策性扣除后的价格，评标价只是作为评审时使用。最终成交供应商的成交金额等于最后报价（如有修正，以确认修正后的最后报价为准）。</w:t>
      </w:r>
    </w:p>
    <w:p w14:paraId="153056AF">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5.5由磋商小组根据综合评分情况，按照评审得分由高到低顺序推荐3名以上成交候选供应商，并编写评</w:t>
      </w:r>
      <w:r>
        <w:rPr>
          <w:rFonts w:hint="eastAsia" w:ascii="宋体" w:hAnsi="宋体" w:cs="宋体"/>
          <w:color w:val="auto"/>
          <w:kern w:val="0"/>
          <w:sz w:val="24"/>
          <w:highlight w:val="none"/>
        </w:rPr>
        <w:t>审报告。</w:t>
      </w:r>
      <w:r>
        <w:rPr>
          <w:rFonts w:hint="eastAsia" w:ascii="宋体" w:hAnsi="宋体" w:cs="宋体"/>
          <w:b/>
          <w:color w:val="auto"/>
          <w:kern w:val="0"/>
          <w:sz w:val="24"/>
          <w:highlight w:val="none"/>
        </w:rPr>
        <w:t>符合本章第</w:t>
      </w:r>
      <w:r>
        <w:rPr>
          <w:rFonts w:ascii="宋体" w:hAnsi="宋体" w:cs="宋体"/>
          <w:b/>
          <w:color w:val="auto"/>
          <w:sz w:val="24"/>
          <w:highlight w:val="none"/>
        </w:rPr>
        <w:t>2.7、3.7</w:t>
      </w:r>
      <w:r>
        <w:rPr>
          <w:rFonts w:hint="eastAsia" w:ascii="宋体" w:hAnsi="宋体" w:cs="宋体"/>
          <w:b/>
          <w:color w:val="auto"/>
          <w:sz w:val="24"/>
          <w:highlight w:val="none"/>
        </w:rPr>
        <w:t>、</w:t>
      </w:r>
      <w:r>
        <w:rPr>
          <w:rFonts w:ascii="宋体" w:hAnsi="宋体" w:cs="宋体"/>
          <w:b/>
          <w:color w:val="auto"/>
          <w:sz w:val="24"/>
          <w:highlight w:val="none"/>
        </w:rPr>
        <w:t>4.3</w:t>
      </w:r>
      <w:r>
        <w:rPr>
          <w:rFonts w:hint="eastAsia" w:ascii="宋体" w:hAnsi="宋体" w:cs="宋体"/>
          <w:b/>
          <w:color w:val="auto"/>
          <w:kern w:val="0"/>
          <w:sz w:val="24"/>
          <w:highlight w:val="none"/>
        </w:rPr>
        <w:t>条情形的，可以推荐</w:t>
      </w:r>
      <w:r>
        <w:rPr>
          <w:rFonts w:ascii="宋体" w:hAnsi="宋体" w:cs="宋体"/>
          <w:b/>
          <w:color w:val="auto"/>
          <w:kern w:val="0"/>
          <w:sz w:val="24"/>
          <w:highlight w:val="none"/>
        </w:rPr>
        <w:t>2家成交候选供应商。</w:t>
      </w:r>
      <w:r>
        <w:rPr>
          <w:rFonts w:hint="eastAsia" w:ascii="宋体" w:hAnsi="宋体" w:cs="宋体"/>
          <w:color w:val="auto"/>
          <w:kern w:val="0"/>
          <w:sz w:val="24"/>
          <w:highlight w:val="none"/>
        </w:rPr>
        <w:t>评审得分相同的，按照最后报价由低到高的顺序推荐。评审得分且最后报价相同的，</w:t>
      </w:r>
      <w:r>
        <w:rPr>
          <w:rFonts w:hint="eastAsia" w:hAnsi="宋体"/>
          <w:color w:val="auto"/>
          <w:sz w:val="24"/>
          <w:highlight w:val="none"/>
        </w:rPr>
        <w:t>依次按服务评分高的优先、商务评分高的优先的顺序确定成交候选供应商。</w:t>
      </w:r>
    </w:p>
    <w:p w14:paraId="7C6CB6DF">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4D2BCE">
      <w:pPr>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24"/>
          <w:highlight w:val="none"/>
        </w:rPr>
        <w:br w:type="page"/>
      </w:r>
      <w:r>
        <w:rPr>
          <w:rFonts w:hint="eastAsia" w:ascii="宋体" w:hAnsi="宋体" w:cs="宋体"/>
          <w:b/>
          <w:color w:val="auto"/>
          <w:sz w:val="32"/>
          <w:szCs w:val="32"/>
          <w:highlight w:val="none"/>
        </w:rPr>
        <w:t>二、评审标准</w:t>
      </w:r>
    </w:p>
    <w:p w14:paraId="4C0C95A3">
      <w:pPr>
        <w:spacing w:line="360" w:lineRule="auto"/>
        <w:ind w:firstLine="480" w:firstLineChars="200"/>
        <w:rPr>
          <w:rFonts w:ascii="宋体" w:hAnsi="宋体" w:cs="宋体"/>
          <w:bCs/>
          <w:color w:val="auto"/>
          <w:sz w:val="24"/>
          <w:highlight w:val="none"/>
        </w:rPr>
      </w:pPr>
      <w:r>
        <w:rPr>
          <w:rFonts w:ascii="宋体" w:hAnsi="宋体" w:cs="宋体"/>
          <w:bCs/>
          <w:color w:val="auto"/>
          <w:sz w:val="24"/>
          <w:highlight w:val="none"/>
        </w:rPr>
        <w:t>评审依据：磋商小组将以磋商响应文件为评审依据，对供应商的报价、商务</w:t>
      </w:r>
      <w:r>
        <w:rPr>
          <w:rFonts w:hint="eastAsia" w:ascii="宋体" w:hAnsi="宋体" w:cs="宋体"/>
          <w:bCs/>
          <w:color w:val="auto"/>
          <w:sz w:val="24"/>
          <w:highlight w:val="none"/>
        </w:rPr>
        <w:t>、服务要求</w:t>
      </w:r>
      <w:r>
        <w:rPr>
          <w:rFonts w:ascii="宋体" w:hAnsi="宋体" w:cs="宋体"/>
          <w:bCs/>
          <w:color w:val="auto"/>
          <w:sz w:val="24"/>
          <w:highlight w:val="none"/>
        </w:rPr>
        <w:t>等方面内容按百分制打分。（计分方法按四舍五入取至百分位）</w:t>
      </w:r>
    </w:p>
    <w:p w14:paraId="7755296F">
      <w:pPr>
        <w:spacing w:line="360" w:lineRule="auto"/>
        <w:rPr>
          <w:rFonts w:hint="default" w:ascii="宋体" w:hAnsi="宋体" w:eastAsia="宋体" w:cs="宋体"/>
          <w:b/>
          <w:bCs w:val="0"/>
          <w:color w:val="auto"/>
          <w:sz w:val="32"/>
          <w:szCs w:val="32"/>
          <w:highlight w:val="none"/>
          <w:lang w:val="en-US" w:eastAsia="zh-CN"/>
        </w:rPr>
      </w:pPr>
      <w:r>
        <w:rPr>
          <w:rFonts w:hint="eastAsia" w:ascii="宋体" w:hAnsi="宋体" w:cs="宋体"/>
          <w:b/>
          <w:bCs w:val="0"/>
          <w:color w:val="auto"/>
          <w:sz w:val="32"/>
          <w:szCs w:val="32"/>
          <w:highlight w:val="none"/>
          <w:lang w:val="en-US" w:eastAsia="zh-CN"/>
        </w:rPr>
        <w:t>分标1评审标准：</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3298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4D017965">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FC4A9EA">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6EC01A15">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539D28F8">
            <w:pPr>
              <w:pStyle w:val="19"/>
              <w:spacing w:line="360" w:lineRule="auto"/>
              <w:jc w:val="center"/>
              <w:rPr>
                <w:rFonts w:hAnsi="宋体" w:cs="宋体"/>
                <w:b/>
                <w:bCs/>
                <w:color w:val="auto"/>
                <w:kern w:val="2"/>
                <w:sz w:val="24"/>
                <w:szCs w:val="24"/>
                <w:highlight w:val="none"/>
              </w:rPr>
            </w:pPr>
            <w:r>
              <w:rPr>
                <w:rFonts w:hint="eastAsia" w:hAnsi="宋体" w:cs="宋体"/>
                <w:b/>
                <w:bCs/>
                <w:color w:val="auto"/>
                <w:kern w:val="2"/>
                <w:sz w:val="24"/>
                <w:szCs w:val="24"/>
                <w:highlight w:val="none"/>
              </w:rPr>
              <w:t>评分标准</w:t>
            </w:r>
          </w:p>
        </w:tc>
      </w:tr>
      <w:tr w14:paraId="556B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57FE1CCE">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14DC9596">
            <w:pPr>
              <w:adjustRightInd w:val="0"/>
              <w:spacing w:line="360" w:lineRule="exact"/>
              <w:jc w:val="center"/>
              <w:textAlignment w:val="baseline"/>
              <w:rPr>
                <w:rFonts w:ascii="宋体" w:hAnsi="宋体"/>
                <w:b/>
                <w:bCs/>
                <w:color w:val="auto"/>
                <w:sz w:val="24"/>
                <w:highlight w:val="none"/>
              </w:rPr>
            </w:pPr>
            <w:r>
              <w:rPr>
                <w:rFonts w:hint="eastAsia" w:ascii="宋体" w:hAnsi="宋体"/>
                <w:b/>
                <w:bCs/>
                <w:color w:val="auto"/>
                <w:sz w:val="24"/>
                <w:highlight w:val="none"/>
              </w:rPr>
              <w:t>价格分</w:t>
            </w:r>
          </w:p>
          <w:p w14:paraId="1F35D641">
            <w:pPr>
              <w:adjustRightInd w:val="0"/>
              <w:spacing w:line="360" w:lineRule="exact"/>
              <w:jc w:val="center"/>
              <w:textAlignment w:val="baseline"/>
              <w:rPr>
                <w:rFonts w:ascii="宋体" w:hAnsi="宋体"/>
                <w:b/>
                <w:bCs/>
                <w:color w:val="auto"/>
                <w:sz w:val="24"/>
                <w:highlight w:val="none"/>
              </w:rPr>
            </w:pPr>
            <w:r>
              <w:rPr>
                <w:rFonts w:hint="eastAsia" w:ascii="宋体" w:hAnsi="宋体"/>
                <w:b/>
                <w:bCs/>
                <w:color w:val="auto"/>
                <w:sz w:val="24"/>
                <w:highlight w:val="none"/>
              </w:rPr>
              <w:t>（满分</w:t>
            </w:r>
            <w:r>
              <w:rPr>
                <w:rFonts w:hint="eastAsia" w:ascii="宋体" w:hAnsi="宋体"/>
                <w:b/>
                <w:bCs/>
                <w:color w:val="auto"/>
                <w:sz w:val="24"/>
                <w:highlight w:val="none"/>
                <w:u w:val="single"/>
                <w:lang w:val="en-US" w:eastAsia="zh-CN"/>
              </w:rPr>
              <w:t>10</w:t>
            </w:r>
            <w:r>
              <w:rPr>
                <w:rFonts w:hint="eastAsia" w:ascii="宋体" w:hAnsi="宋体"/>
                <w:b/>
                <w:bCs/>
                <w:color w:val="auto"/>
                <w:sz w:val="24"/>
                <w:highlight w:val="none"/>
              </w:rPr>
              <w:t>分）</w:t>
            </w:r>
          </w:p>
          <w:p w14:paraId="0EB28126">
            <w:pPr>
              <w:adjustRightInd w:val="0"/>
              <w:spacing w:line="360" w:lineRule="auto"/>
              <w:jc w:val="left"/>
              <w:textAlignment w:val="baseline"/>
              <w:rPr>
                <w:rFonts w:ascii="宋体" w:hAnsi="宋体" w:cs="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29E1254">
            <w:pPr>
              <w:adjustRightInd w:val="0"/>
              <w:spacing w:line="360" w:lineRule="auto"/>
              <w:jc w:val="center"/>
              <w:textAlignment w:val="baseline"/>
              <w:rPr>
                <w:rFonts w:ascii="宋体" w:hAnsi="宋体" w:cs="宋体"/>
                <w:bCs/>
                <w:color w:val="auto"/>
                <w:sz w:val="24"/>
                <w:highlight w:val="none"/>
              </w:rPr>
            </w:pPr>
            <w:r>
              <w:rPr>
                <w:rFonts w:hint="eastAsia" w:ascii="宋体" w:hAnsi="宋体"/>
                <w:b/>
                <w:bCs/>
                <w:color w:val="auto"/>
                <w:sz w:val="24"/>
                <w:highlight w:val="none"/>
              </w:rPr>
              <w:t>报价（满分</w:t>
            </w:r>
            <w:r>
              <w:rPr>
                <w:rFonts w:hint="eastAsia" w:ascii="宋体" w:hAnsi="宋体"/>
                <w:b/>
                <w:bCs/>
                <w:color w:val="auto"/>
                <w:sz w:val="24"/>
                <w:highlight w:val="none"/>
                <w:lang w:val="en-US" w:eastAsia="zh-CN"/>
              </w:rPr>
              <w:t>10</w:t>
            </w:r>
            <w:r>
              <w:rPr>
                <w:rFonts w:hint="eastAsia" w:ascii="宋体" w:hAnsi="宋体"/>
                <w:b/>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A611D90">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1.评审报价为供应商的最后报价进行政策性扣除后的价格，评审报价只是作为评审时使用。最终成交供应商的成交金额等于最后报价（如有修正，以确认修正后的最后报价为准）。</w:t>
            </w:r>
          </w:p>
          <w:p w14:paraId="11485152">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2.政府采购政策性扣除计算方法</w:t>
            </w:r>
          </w:p>
          <w:p w14:paraId="72D1B99A">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（1）按照《政府采购促进中小企业发展管理办法》（财库〔2020〕46号）的规定，供应商在其响应文件中提供《中小企业声明函》，且其服务为小型和微型企业承接的，对其最后报价给予10%的扣除。</w:t>
            </w:r>
          </w:p>
          <w:p w14:paraId="792FC061">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58BBBE3">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2FF6AA5">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（4）政策性扣除计算方法。</w:t>
            </w:r>
          </w:p>
          <w:p w14:paraId="25BF1957">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在服务采购项目中，服务由小微企业承接；对符合上述要求的供应商的最后报价给予10%的扣除，扣除后的价格为评审报价，即评审报价=最后报价×（1-10%）。除上述情况外，评审报价=最后报价。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4 %的扣除，用扣除后的价格参加评审，扣除后的价格为评审报价，即评审报价=最后报价×（1-4%）。</w:t>
            </w:r>
          </w:p>
          <w:p w14:paraId="2F1E5DD3">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（5）除上述情况外，评审报价＝最后报价。</w:t>
            </w:r>
          </w:p>
          <w:p w14:paraId="2C580261">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（6）以进入比较与评价环节的最低的评审报价为基准价，基准价得分为</w:t>
            </w:r>
            <w:r>
              <w:rPr>
                <w:rFonts w:hint="eastAsia" w:hAnsi="宋体" w:cs="宋体"/>
                <w:bCs/>
                <w:color w:val="auto"/>
                <w:kern w:val="2"/>
                <w:sz w:val="24"/>
                <w:szCs w:val="24"/>
                <w:highlight w:val="none"/>
                <w:lang w:val="en-US" w:eastAsia="zh-CN"/>
              </w:rPr>
              <w:t>1</w:t>
            </w:r>
            <w:r>
              <w:rPr>
                <w:rFonts w:hint="eastAsia" w:hAnsi="宋体" w:cs="宋体"/>
                <w:bCs/>
                <w:color w:val="auto"/>
                <w:kern w:val="2"/>
                <w:sz w:val="24"/>
                <w:szCs w:val="24"/>
                <w:highlight w:val="none"/>
              </w:rPr>
              <w:t>0分。</w:t>
            </w:r>
          </w:p>
          <w:p w14:paraId="20C03B47">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（7）价格分计算公式：</w:t>
            </w:r>
          </w:p>
          <w:p w14:paraId="605539ED">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某供应商的报价得分=（基准价/最后报价）×</w:t>
            </w:r>
            <w:r>
              <w:rPr>
                <w:rFonts w:hint="eastAsia" w:hAnsi="宋体" w:cs="宋体"/>
                <w:bCs/>
                <w:color w:val="auto"/>
                <w:kern w:val="2"/>
                <w:sz w:val="24"/>
                <w:szCs w:val="24"/>
                <w:highlight w:val="none"/>
                <w:lang w:val="en-US" w:eastAsia="zh-CN"/>
              </w:rPr>
              <w:t>1</w:t>
            </w:r>
            <w:r>
              <w:rPr>
                <w:rFonts w:hint="eastAsia" w:hAnsi="宋体" w:cs="宋体"/>
                <w:bCs/>
                <w:color w:val="auto"/>
                <w:kern w:val="2"/>
                <w:sz w:val="24"/>
                <w:szCs w:val="24"/>
                <w:highlight w:val="none"/>
              </w:rPr>
              <w:t>0分</w:t>
            </w:r>
          </w:p>
        </w:tc>
      </w:tr>
      <w:tr w14:paraId="147B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Merge w:val="restart"/>
            <w:tcBorders>
              <w:top w:val="single" w:color="auto" w:sz="4" w:space="0"/>
              <w:left w:val="single" w:color="auto" w:sz="4" w:space="0"/>
              <w:right w:val="single" w:color="auto" w:sz="4" w:space="0"/>
            </w:tcBorders>
            <w:vAlign w:val="center"/>
          </w:tcPr>
          <w:p w14:paraId="3DA2D6E7">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7FE2563B">
            <w:pPr>
              <w:adjustRightInd w:val="0"/>
              <w:snapToGrid w:val="0"/>
              <w:spacing w:line="360" w:lineRule="atLeast"/>
              <w:ind w:left="-105" w:leftChars="-50" w:right="-105" w:rightChars="-50"/>
              <w:jc w:val="center"/>
              <w:textAlignment w:val="baseline"/>
              <w:rPr>
                <w:rFonts w:ascii="宋体" w:hAnsi="宋体"/>
                <w:bCs/>
                <w:color w:val="auto"/>
                <w:sz w:val="24"/>
                <w:highlight w:val="none"/>
              </w:rPr>
            </w:pPr>
            <w:r>
              <w:rPr>
                <w:rFonts w:hint="eastAsia" w:ascii="宋体" w:hAnsi="宋体"/>
                <w:bCs/>
                <w:color w:val="auto"/>
                <w:sz w:val="24"/>
                <w:highlight w:val="none"/>
              </w:rPr>
              <w:t>服务分</w:t>
            </w:r>
          </w:p>
          <w:p w14:paraId="737F744E">
            <w:pPr>
              <w:adjustRightInd w:val="0"/>
              <w:spacing w:line="360" w:lineRule="auto"/>
              <w:jc w:val="center"/>
              <w:textAlignment w:val="baseline"/>
              <w:rPr>
                <w:rFonts w:ascii="宋体" w:hAnsi="宋体" w:cs="宋体"/>
                <w:bCs/>
                <w:color w:val="auto"/>
                <w:sz w:val="24"/>
                <w:highlight w:val="none"/>
              </w:rPr>
            </w:pPr>
            <w:r>
              <w:rPr>
                <w:rFonts w:hint="eastAsia" w:ascii="宋体" w:hAnsi="宋体"/>
                <w:bCs/>
                <w:color w:val="auto"/>
                <w:sz w:val="24"/>
                <w:highlight w:val="none"/>
              </w:rPr>
              <w:t>（</w:t>
            </w:r>
            <w:r>
              <w:rPr>
                <w:rFonts w:hint="eastAsia" w:ascii="宋体" w:hAnsi="宋体"/>
                <w:color w:val="auto"/>
                <w:sz w:val="24"/>
                <w:highlight w:val="none"/>
              </w:rPr>
              <w:t>满分</w:t>
            </w:r>
            <w:r>
              <w:rPr>
                <w:rFonts w:hint="eastAsia" w:ascii="宋体" w:hAnsi="宋体"/>
                <w:color w:val="auto"/>
                <w:sz w:val="24"/>
                <w:highlight w:val="none"/>
                <w:lang w:val="en-US" w:eastAsia="zh-CN"/>
              </w:rPr>
              <w:t>80</w:t>
            </w:r>
            <w:r>
              <w:rPr>
                <w:rFonts w:hint="eastAsia" w:ascii="宋体" w:hAnsi="宋体"/>
                <w:color w:val="auto"/>
                <w:sz w:val="24"/>
                <w:highlight w:val="none"/>
              </w:rPr>
              <w:t>分</w:t>
            </w:r>
            <w:r>
              <w:rPr>
                <w:rFonts w:hint="eastAsia" w:ascii="宋体" w:hAnsi="宋体"/>
                <w:bCs/>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FF36194">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项目实施方案（满分</w:t>
            </w:r>
            <w:r>
              <w:rPr>
                <w:rFonts w:hint="eastAsia" w:ascii="宋体" w:hAnsi="宋体" w:cs="宋体"/>
                <w:bCs/>
                <w:color w:val="auto"/>
                <w:sz w:val="24"/>
                <w:highlight w:val="none"/>
                <w:lang w:val="en-US" w:eastAsia="zh-CN"/>
              </w:rPr>
              <w:t>30</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66450494">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一档（</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分）：基本符合服务项目的总体要求，但方案制作较简单；人员安排基本符合服务项目的总体要求，项目投入人员不超过12人或无明确分工。</w:t>
            </w:r>
          </w:p>
          <w:p w14:paraId="08830F44">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二档（</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rPr>
              <w:t>分）：在一档基础上，完全满足项目完成条件，提供可执行的详细项目制作方案，包括视频制作方案、课件美化方案、翻译和配音方案、详细的人员方案等。项目投入人员12到24人，投入人员中含有动画、计算机类、视觉传达、广播电视编导、播音主持、航拍（民用无人驾驶航空器操作员执照）等相关专业人员，并提供毕业证书或者职业技能证书复印件。</w:t>
            </w:r>
          </w:p>
          <w:p w14:paraId="70A4E078">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三档（30分）：在二档基础上，提供依据课程内容制作的项目方案，方案中需包含视频制作方案、课件美化方案、翻译和配音方案、详细的人员方案等。项目投入人员25人及以上。投入人员中含有教育技术学、动画、计算机类、视觉传达、广播电视编导、播音主持、航拍（民用无人驾驶航空器操作员执照）等相关专业人员，并提供毕业证书或者职业技能证书复印件。</w:t>
            </w:r>
          </w:p>
          <w:p w14:paraId="05189A0E">
            <w:pPr>
              <w:spacing w:line="360" w:lineRule="auto"/>
              <w:jc w:val="left"/>
              <w:rPr>
                <w:rFonts w:hAnsi="宋体" w:cs="宋体"/>
                <w:bCs/>
                <w:color w:val="auto"/>
                <w:sz w:val="24"/>
                <w:highlight w:val="none"/>
              </w:rPr>
            </w:pPr>
            <w:r>
              <w:rPr>
                <w:rFonts w:hint="eastAsia" w:ascii="宋体" w:hAnsi="宋体" w:cs="宋体"/>
                <w:bCs/>
                <w:color w:val="auto"/>
                <w:sz w:val="24"/>
                <w:highlight w:val="none"/>
              </w:rPr>
              <w:t>注：响应文件中须提供相关人员供应商为其缴纳的社保证明或聘用协议或合作协议或劳动合同或与加分项相关的真实有效的证明材料，确保拟投入的人员如实提供到项目最终实施中。响应文件中须提供经法定代表人签字认可的人员投入承诺书。</w:t>
            </w:r>
          </w:p>
        </w:tc>
      </w:tr>
      <w:tr w14:paraId="6FE6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5F6A869A">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21B429AD">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C6CCC41">
            <w:pPr>
              <w:adjustRightInd w:val="0"/>
              <w:spacing w:line="360" w:lineRule="auto"/>
              <w:jc w:val="center"/>
              <w:textAlignment w:val="baseline"/>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设备投入分（</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8FF237F">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供应商提供的设备满足项目拍摄需求，达到本项目设备投入基本要求。</w:t>
            </w:r>
          </w:p>
          <w:p w14:paraId="645CAA43">
            <w:pP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供应商拟投入设备基本要求：超高清摄影机6台、专业三脚架6副、专业摄影灯光套组、领夹式电容麦克风6组、监看设备、专业摄影棚，得</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分；</w:t>
            </w:r>
          </w:p>
          <w:p w14:paraId="1DF67386">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注:</w:t>
            </w:r>
            <w:r>
              <w:rPr>
                <w:rFonts w:hint="eastAsia" w:ascii="宋体" w:hAnsi="宋体" w:eastAsia="宋体" w:cs="宋体"/>
                <w:bCs/>
                <w:color w:val="auto"/>
                <w:sz w:val="24"/>
                <w:highlight w:val="none"/>
              </w:rPr>
              <w:t>响应文件中</w:t>
            </w:r>
            <w:r>
              <w:rPr>
                <w:rFonts w:hint="eastAsia" w:ascii="宋体" w:hAnsi="宋体" w:eastAsia="宋体" w:cs="宋体"/>
                <w:bCs/>
                <w:color w:val="auto"/>
                <w:sz w:val="24"/>
                <w:highlight w:val="none"/>
                <w:lang w:val="en-US" w:eastAsia="zh-CN"/>
              </w:rPr>
              <w:t>须</w:t>
            </w:r>
            <w:r>
              <w:rPr>
                <w:rFonts w:hint="eastAsia" w:ascii="宋体" w:hAnsi="宋体" w:eastAsia="宋体" w:cs="宋体"/>
                <w:bCs/>
                <w:color w:val="auto"/>
                <w:sz w:val="24"/>
                <w:highlight w:val="none"/>
              </w:rPr>
              <w:t>提供设备的发票复印件</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否则不得分</w:t>
            </w:r>
            <w:r>
              <w:rPr>
                <w:rFonts w:hint="eastAsia" w:ascii="宋体" w:hAnsi="宋体" w:eastAsia="宋体" w:cs="宋体"/>
                <w:bCs/>
                <w:color w:val="auto"/>
                <w:sz w:val="24"/>
                <w:highlight w:val="none"/>
              </w:rPr>
              <w:t>。</w:t>
            </w:r>
          </w:p>
        </w:tc>
      </w:tr>
      <w:tr w14:paraId="7CFA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4" w:type="dxa"/>
            <w:vMerge w:val="continue"/>
            <w:tcBorders>
              <w:left w:val="single" w:color="auto" w:sz="4" w:space="0"/>
              <w:bottom w:val="single" w:color="auto" w:sz="4" w:space="0"/>
              <w:right w:val="single" w:color="auto" w:sz="4" w:space="0"/>
            </w:tcBorders>
            <w:vAlign w:val="center"/>
          </w:tcPr>
          <w:p w14:paraId="5DD620A9">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023175ED">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vMerge w:val="restart"/>
            <w:tcBorders>
              <w:top w:val="single" w:color="auto" w:sz="4" w:space="0"/>
              <w:left w:val="single" w:color="auto" w:sz="4" w:space="0"/>
              <w:right w:val="single" w:color="auto" w:sz="4" w:space="0"/>
            </w:tcBorders>
            <w:vAlign w:val="center"/>
          </w:tcPr>
          <w:p w14:paraId="020B2C84">
            <w:pPr>
              <w:adjustRightInd w:val="0"/>
              <w:spacing w:line="360" w:lineRule="auto"/>
              <w:jc w:val="center"/>
              <w:textAlignment w:val="baseline"/>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培训方案分</w:t>
            </w: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77ABAF75">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一档（0分）：未提供方案或方案不满足以下评分项的不得分；</w:t>
            </w:r>
          </w:p>
          <w:p w14:paraId="1F7AD6FE">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二档（</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US" w:eastAsia="zh-CN"/>
              </w:rPr>
              <w:t>分）：提供培训方案，承诺对相关操作人员进行系统培训，方案包含培训内容、培训目标、培训课程、预期培训成果。培训课程安排不少于2课时；</w:t>
            </w:r>
          </w:p>
          <w:p w14:paraId="11DC4288">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三档（</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lang w:val="en-US" w:eastAsia="zh-CN"/>
              </w:rPr>
              <w:t>分）：提供培训方案，承诺对相关操作人员进行系统培训，方案包含培训内容、培训方法、培训流程、培训目标、培训课程、预期培训成果。培训课程安排不少于2课时，每课时不少于60分钟。保证系统管理员及相关操作人员能够独立操作使用和具有简单故障处理的能力；</w:t>
            </w:r>
          </w:p>
          <w:p w14:paraId="1DC020C3">
            <w:pPr>
              <w:spacing w:line="360" w:lineRule="auto"/>
              <w:jc w:val="left"/>
              <w:rPr>
                <w:rFonts w:hint="eastAsia" w:hAnsi="宋体" w:cs="宋体"/>
                <w:bCs/>
                <w:color w:val="auto"/>
                <w:kern w:val="2"/>
                <w:sz w:val="24"/>
                <w:szCs w:val="24"/>
                <w:highlight w:val="none"/>
                <w:lang w:val="en-US" w:eastAsia="zh-CN"/>
              </w:rPr>
            </w:pPr>
            <w:r>
              <w:rPr>
                <w:rFonts w:hint="eastAsia" w:ascii="宋体" w:hAnsi="宋体" w:eastAsia="宋体" w:cs="宋体"/>
                <w:bCs/>
                <w:color w:val="auto"/>
                <w:sz w:val="24"/>
                <w:highlight w:val="none"/>
                <w:lang w:val="en-US" w:eastAsia="zh-CN"/>
              </w:rPr>
              <w:t>四档（</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lang w:val="en-US" w:eastAsia="zh-CN"/>
              </w:rPr>
              <w:t>分）：提供培训方案，承诺对相关操作人员进行系统培训，方案包含培训内容、培训方法、培训流程、培训目标、培训课程、培训计划、预期培训成果。培训课程安排不少于2期，每期至少2课时，每课时不少于60分钟。保证系统管理员及相关操作人员能够独立操作使用和具有简单故障处理的能力；提供有效的培训质量控制和保证方案。</w:t>
            </w:r>
          </w:p>
        </w:tc>
      </w:tr>
      <w:tr w14:paraId="0D44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704" w:type="dxa"/>
            <w:vMerge w:val="continue"/>
            <w:tcBorders>
              <w:left w:val="single" w:color="auto" w:sz="4" w:space="0"/>
              <w:bottom w:val="single" w:color="auto" w:sz="4" w:space="0"/>
              <w:right w:val="single" w:color="auto" w:sz="4" w:space="0"/>
            </w:tcBorders>
            <w:vAlign w:val="center"/>
          </w:tcPr>
          <w:p w14:paraId="44D23EF4">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14EFF06A">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vMerge w:val="continue"/>
            <w:tcBorders>
              <w:left w:val="single" w:color="auto" w:sz="4" w:space="0"/>
              <w:bottom w:val="single" w:color="auto" w:sz="4" w:space="0"/>
              <w:right w:val="single" w:color="auto" w:sz="4" w:space="0"/>
            </w:tcBorders>
            <w:vAlign w:val="center"/>
          </w:tcPr>
          <w:p w14:paraId="24C7EC8B">
            <w:pPr>
              <w:adjustRightInd w:val="0"/>
              <w:spacing w:line="360" w:lineRule="auto"/>
              <w:jc w:val="center"/>
              <w:textAlignment w:val="baseline"/>
              <w:rPr>
                <w:rFonts w:hint="default" w:ascii="宋体" w:hAnsi="宋体" w:cs="宋体"/>
                <w:bCs/>
                <w:color w:val="auto"/>
                <w:sz w:val="24"/>
                <w:highlight w:val="none"/>
                <w:lang w:val="en-US" w:eastAsia="zh-CN"/>
              </w:rPr>
            </w:pPr>
          </w:p>
        </w:tc>
        <w:tc>
          <w:tcPr>
            <w:tcW w:w="6606" w:type="dxa"/>
            <w:tcBorders>
              <w:top w:val="single" w:color="auto" w:sz="4" w:space="0"/>
              <w:left w:val="single" w:color="auto" w:sz="4" w:space="0"/>
              <w:bottom w:val="single" w:color="auto" w:sz="4" w:space="0"/>
              <w:right w:val="single" w:color="auto" w:sz="4" w:space="0"/>
            </w:tcBorders>
            <w:vAlign w:val="center"/>
          </w:tcPr>
          <w:p w14:paraId="0974A706">
            <w:pPr>
              <w:pStyle w:val="19"/>
              <w:spacing w:line="360" w:lineRule="auto"/>
              <w:rPr>
                <w:rFonts w:hint="eastAsia" w:hAnsi="宋体" w:cs="宋体"/>
                <w:bCs/>
                <w:color w:val="auto"/>
                <w:kern w:val="2"/>
                <w:sz w:val="24"/>
                <w:szCs w:val="24"/>
                <w:highlight w:val="none"/>
                <w:lang w:val="en-US" w:eastAsia="zh-CN"/>
              </w:rPr>
            </w:pPr>
            <w:r>
              <w:rPr>
                <w:rFonts w:hint="eastAsia" w:hAnsi="宋体" w:cs="宋体"/>
                <w:bCs/>
                <w:color w:val="auto"/>
                <w:kern w:val="2"/>
                <w:sz w:val="24"/>
                <w:szCs w:val="24"/>
                <w:highlight w:val="none"/>
                <w:lang w:val="en-US" w:eastAsia="zh-CN"/>
              </w:rPr>
              <w:t>为保障教学资源的丰富性和培训效果，供应商或生产厂商为本项目配备的项目培训师获得过“技术技能大师工作室”项目证书,或者</w:t>
            </w:r>
            <w:r>
              <w:rPr>
                <w:rFonts w:hint="eastAsia" w:hAnsi="宋体" w:cs="宋体"/>
                <w:bCs/>
                <w:color w:val="auto"/>
                <w:kern w:val="2"/>
                <w:sz w:val="24"/>
                <w:szCs w:val="24"/>
                <w:highlight w:val="none"/>
              </w:rPr>
              <w:t>职业教育教学成果奖</w:t>
            </w:r>
            <w:r>
              <w:rPr>
                <w:rFonts w:hint="eastAsia" w:hAnsi="宋体" w:cs="宋体"/>
                <w:bCs/>
                <w:color w:val="auto"/>
                <w:kern w:val="2"/>
                <w:sz w:val="24"/>
                <w:szCs w:val="24"/>
                <w:highlight w:val="none"/>
                <w:lang w:val="en-US" w:eastAsia="zh-CN"/>
              </w:rPr>
              <w:t>证书，国家级每个得5分，省级每个得2.5分，</w:t>
            </w:r>
            <w:r>
              <w:rPr>
                <w:rFonts w:hint="eastAsia" w:hAnsi="宋体" w:cs="宋体"/>
                <w:bCs/>
                <w:color w:val="auto"/>
                <w:kern w:val="2"/>
                <w:sz w:val="24"/>
                <w:szCs w:val="24"/>
                <w:highlight w:val="none"/>
              </w:rPr>
              <w:t>此项最高得</w:t>
            </w:r>
            <w:r>
              <w:rPr>
                <w:rFonts w:hint="eastAsia" w:hAnsi="宋体" w:cs="宋体"/>
                <w:bCs/>
                <w:color w:val="auto"/>
                <w:kern w:val="2"/>
                <w:sz w:val="24"/>
                <w:szCs w:val="24"/>
                <w:highlight w:val="none"/>
                <w:lang w:val="en-US" w:eastAsia="zh-CN"/>
              </w:rPr>
              <w:t>5</w:t>
            </w:r>
            <w:r>
              <w:rPr>
                <w:rFonts w:hint="eastAsia" w:hAnsi="宋体" w:cs="宋体"/>
                <w:bCs/>
                <w:color w:val="auto"/>
                <w:kern w:val="2"/>
                <w:sz w:val="24"/>
                <w:szCs w:val="24"/>
                <w:highlight w:val="none"/>
              </w:rPr>
              <w:t>分。</w:t>
            </w:r>
          </w:p>
          <w:p w14:paraId="6153881D">
            <w:pPr>
              <w:spacing w:line="360" w:lineRule="auto"/>
              <w:jc w:val="left"/>
              <w:rPr>
                <w:rFonts w:hint="eastAsia" w:ascii="宋体" w:hAnsi="宋体" w:eastAsia="宋体" w:cs="宋体"/>
                <w:bCs/>
                <w:color w:val="auto"/>
                <w:sz w:val="24"/>
                <w:highlight w:val="none"/>
                <w:lang w:val="en-US" w:eastAsia="zh-CN"/>
              </w:rPr>
            </w:pPr>
            <w:r>
              <w:rPr>
                <w:rFonts w:hint="eastAsia" w:hAnsi="宋体" w:cs="宋体"/>
                <w:bCs/>
                <w:color w:val="auto"/>
                <w:kern w:val="2"/>
                <w:sz w:val="24"/>
                <w:szCs w:val="24"/>
                <w:highlight w:val="none"/>
                <w:lang w:val="en-US" w:eastAsia="zh-CN"/>
              </w:rPr>
              <w:t>注：需提供证书、以及供应商提供培训师在职社保缴纳证明复印件并加盖公章，以上资料未提供或提供不全的不得分。</w:t>
            </w:r>
          </w:p>
        </w:tc>
      </w:tr>
      <w:tr w14:paraId="4A8E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2A4C35E0">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62F3DD2">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2"/>
                <w:sz w:val="24"/>
                <w:szCs w:val="24"/>
                <w:highlight w:val="none"/>
                <w:lang w:val="en-US" w:eastAsia="zh-CN" w:bidi="ar-SA"/>
              </w:rPr>
            </w:pPr>
          </w:p>
        </w:tc>
        <w:tc>
          <w:tcPr>
            <w:tcW w:w="992" w:type="dxa"/>
            <w:tcBorders>
              <w:top w:val="single" w:color="auto" w:sz="4" w:space="0"/>
              <w:left w:val="single" w:color="auto" w:sz="4" w:space="0"/>
              <w:bottom w:val="single" w:color="auto" w:sz="4" w:space="0"/>
              <w:right w:val="single" w:color="auto" w:sz="4" w:space="0"/>
            </w:tcBorders>
            <w:vAlign w:val="center"/>
          </w:tcPr>
          <w:p w14:paraId="67B3C13B">
            <w:pPr>
              <w:adjustRightInd w:val="0"/>
              <w:spacing w:line="360" w:lineRule="auto"/>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售后服务方案（满分</w:t>
            </w:r>
            <w:r>
              <w:rPr>
                <w:rFonts w:hint="eastAsia" w:ascii="宋体" w:hAnsi="宋体" w:cs="宋体"/>
                <w:bCs/>
                <w:color w:val="auto"/>
                <w:sz w:val="24"/>
                <w:highlight w:val="none"/>
                <w:lang w:val="en-US" w:eastAsia="zh-CN"/>
              </w:rPr>
              <w:t>20</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7D1CC0A5">
            <w:pPr>
              <w:pStyle w:val="1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一档（</w:t>
            </w:r>
            <w:r>
              <w:rPr>
                <w:rFonts w:hint="eastAsia" w:hAnsi="宋体" w:cs="宋体"/>
                <w:bCs/>
                <w:color w:val="auto"/>
                <w:sz w:val="24"/>
                <w:highlight w:val="none"/>
                <w:lang w:val="en-US" w:eastAsia="zh-CN"/>
              </w:rPr>
              <w:t>7分</w:t>
            </w:r>
            <w:r>
              <w:rPr>
                <w:rFonts w:hint="eastAsia" w:ascii="宋体" w:hAnsi="宋体" w:eastAsia="宋体" w:cs="宋体"/>
                <w:bCs/>
                <w:color w:val="auto"/>
                <w:sz w:val="24"/>
                <w:highlight w:val="none"/>
                <w:lang w:val="en-US" w:eastAsia="zh-CN"/>
              </w:rPr>
              <w:t>）：售后服务方案内容简单，没明确提出必要素材保存、后期修改更新等服务；到现场响应时间满足小于5小时。</w:t>
            </w:r>
          </w:p>
          <w:p w14:paraId="351B4F3C">
            <w:pPr>
              <w:pStyle w:val="19"/>
              <w:spacing w:line="360" w:lineRule="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二档（</w:t>
            </w:r>
            <w:r>
              <w:rPr>
                <w:rFonts w:hint="eastAsia" w:hAnsi="宋体" w:cs="宋体"/>
                <w:bCs/>
                <w:color w:val="auto"/>
                <w:sz w:val="24"/>
                <w:highlight w:val="none"/>
                <w:lang w:val="en-US" w:eastAsia="zh-CN"/>
              </w:rPr>
              <w:t>14</w:t>
            </w:r>
            <w:r>
              <w:rPr>
                <w:rFonts w:hint="eastAsia" w:ascii="宋体" w:hAnsi="宋体" w:eastAsia="宋体" w:cs="宋体"/>
                <w:bCs/>
                <w:color w:val="auto"/>
                <w:sz w:val="24"/>
                <w:highlight w:val="none"/>
                <w:lang w:val="en-US" w:eastAsia="zh-CN"/>
              </w:rPr>
              <w:t>分）：售后服务方案内容完整，有明确素材工程管理及备份的具体实施办法；方案中有明确提出必要素材保存、后期修改更新等服务；提供三年的素材保存服务，一年的后期修改服务，到现场响应时间满足小于3小时。</w:t>
            </w:r>
          </w:p>
          <w:p w14:paraId="4B12863D">
            <w:pPr>
              <w:pStyle w:val="19"/>
              <w:spacing w:line="360" w:lineRule="auto"/>
              <w:rPr>
                <w:rFonts w:hint="eastAsia" w:hAnsi="宋体" w:cs="宋体"/>
                <w:bCs/>
                <w:color w:val="auto"/>
                <w:kern w:val="2"/>
                <w:sz w:val="24"/>
                <w:szCs w:val="24"/>
                <w:highlight w:val="none"/>
                <w:lang w:val="en-US" w:eastAsia="zh-CN"/>
              </w:rPr>
            </w:pPr>
            <w:r>
              <w:rPr>
                <w:rFonts w:hint="eastAsia" w:ascii="宋体" w:hAnsi="宋体" w:eastAsia="宋体" w:cs="宋体"/>
                <w:bCs/>
                <w:color w:val="auto"/>
                <w:sz w:val="24"/>
                <w:highlight w:val="none"/>
                <w:lang w:val="en-US" w:eastAsia="zh-CN"/>
              </w:rPr>
              <w:t>三档（</w:t>
            </w:r>
            <w:r>
              <w:rPr>
                <w:rFonts w:hint="eastAsia" w:hAnsi="宋体" w:cs="宋体"/>
                <w:bCs/>
                <w:color w:val="auto"/>
                <w:sz w:val="24"/>
                <w:highlight w:val="none"/>
                <w:lang w:val="en-US" w:eastAsia="zh-CN"/>
              </w:rPr>
              <w:t>20</w:t>
            </w:r>
            <w:r>
              <w:rPr>
                <w:rFonts w:hint="eastAsia" w:ascii="宋体" w:hAnsi="宋体" w:eastAsia="宋体" w:cs="宋体"/>
                <w:bCs/>
                <w:color w:val="auto"/>
                <w:sz w:val="24"/>
                <w:highlight w:val="none"/>
                <w:lang w:val="en-US" w:eastAsia="zh-CN"/>
              </w:rPr>
              <w:t>分）：售后服务方案内容全面科学，有明确素材工程管理及备份的具体实施办法；方案中有明确提出必要素材保存、后期修改更新等服务；承诺提供三年的素材保存服务，有级别为RAID 5级别的磁盘阵列，磁盘阵列总容量达到100T；承诺一年及以上的后期修改服务；承诺提供7×12小时服务，接报后30分钟内响应，在线或网络无法解决的问题，1小时达到现场。</w:t>
            </w:r>
          </w:p>
        </w:tc>
      </w:tr>
      <w:tr w14:paraId="54A2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tcBorders>
              <w:top w:val="single" w:color="auto" w:sz="4" w:space="0"/>
              <w:left w:val="single" w:color="auto" w:sz="4" w:space="0"/>
              <w:right w:val="single" w:color="auto" w:sz="4" w:space="0"/>
            </w:tcBorders>
            <w:vAlign w:val="center"/>
          </w:tcPr>
          <w:p w14:paraId="0E37AE84">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p>
        </w:tc>
        <w:tc>
          <w:tcPr>
            <w:tcW w:w="1418" w:type="dxa"/>
            <w:tcBorders>
              <w:top w:val="single" w:color="auto" w:sz="4" w:space="0"/>
              <w:left w:val="single" w:color="auto" w:sz="4" w:space="0"/>
              <w:right w:val="single" w:color="auto" w:sz="4" w:space="0"/>
            </w:tcBorders>
            <w:vAlign w:val="center"/>
          </w:tcPr>
          <w:p w14:paraId="757CC91B">
            <w:pPr>
              <w:widowControl/>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商务分</w:t>
            </w:r>
          </w:p>
          <w:p w14:paraId="687AB413">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kern w:val="0"/>
                <w:szCs w:val="21"/>
                <w:highlight w:val="none"/>
              </w:rPr>
              <w:t>（满分1</w:t>
            </w:r>
            <w:r>
              <w:rPr>
                <w:rFonts w:hint="eastAsia" w:ascii="宋体" w:hAnsi="宋体" w:cs="宋体"/>
                <w:b/>
                <w:color w:val="auto"/>
                <w:kern w:val="0"/>
                <w:szCs w:val="21"/>
                <w:highlight w:val="none"/>
                <w:lang w:val="en-US" w:eastAsia="zh-CN"/>
              </w:rPr>
              <w:t>0</w:t>
            </w:r>
            <w:r>
              <w:rPr>
                <w:rFonts w:hint="eastAsia" w:ascii="宋体" w:hAnsi="宋体" w:cs="宋体"/>
                <w:b/>
                <w:color w:val="auto"/>
                <w:kern w:val="0"/>
                <w:szCs w:val="21"/>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14:paraId="76BD7CD2">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业绩分（满分10分）</w:t>
            </w:r>
          </w:p>
        </w:tc>
        <w:tc>
          <w:tcPr>
            <w:tcW w:w="6606" w:type="dxa"/>
            <w:tcBorders>
              <w:top w:val="single" w:color="auto" w:sz="4" w:space="0"/>
              <w:left w:val="single" w:color="auto" w:sz="4" w:space="0"/>
              <w:bottom w:val="single" w:color="auto" w:sz="4" w:space="0"/>
              <w:right w:val="single" w:color="auto" w:sz="4" w:space="0"/>
            </w:tcBorders>
            <w:vAlign w:val="center"/>
          </w:tcPr>
          <w:p w14:paraId="04C9ADEB">
            <w:pPr>
              <w:pStyle w:val="19"/>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2022年1月1日至提交响应文件截止时间止，供应商承担过同类项目业绩的，每项得2分，满分10分。【须提供中标（成交）通知书或合同扫描件加盖供应商电子签章，能清晰反映出项目名称、服务内容、发出中标（成交）通知书时间或合同签订时间等内容，否则不得分。分包、转包合同不得分。】 </w:t>
            </w:r>
          </w:p>
        </w:tc>
      </w:tr>
    </w:tbl>
    <w:p w14:paraId="79A7E544">
      <w:pPr>
        <w:spacing w:line="360" w:lineRule="auto"/>
        <w:ind w:firstLine="480" w:firstLineChars="200"/>
        <w:rPr>
          <w:rFonts w:ascii="宋体" w:hAnsi="宋体" w:cs="宋体"/>
          <w:bCs/>
          <w:color w:val="auto"/>
          <w:sz w:val="24"/>
          <w:highlight w:val="none"/>
        </w:rPr>
      </w:pPr>
    </w:p>
    <w:p w14:paraId="238ED058">
      <w:pPr>
        <w:spacing w:line="360" w:lineRule="auto"/>
        <w:ind w:firstLine="480" w:firstLineChars="200"/>
        <w:rPr>
          <w:rFonts w:ascii="宋体" w:hAnsi="宋体" w:cs="宋体"/>
          <w:bCs/>
          <w:color w:val="auto"/>
          <w:sz w:val="24"/>
          <w:highlight w:val="none"/>
        </w:rPr>
      </w:pPr>
    </w:p>
    <w:p w14:paraId="524880FF">
      <w:pPr>
        <w:spacing w:line="360" w:lineRule="auto"/>
        <w:ind w:firstLine="480" w:firstLineChars="200"/>
        <w:rPr>
          <w:rFonts w:ascii="宋体" w:hAnsi="宋体" w:cs="宋体"/>
          <w:bCs/>
          <w:color w:val="auto"/>
          <w:sz w:val="24"/>
          <w:highlight w:val="none"/>
        </w:rPr>
      </w:pPr>
    </w:p>
    <w:p w14:paraId="1C64DC2B">
      <w:pPr>
        <w:spacing w:line="360" w:lineRule="auto"/>
        <w:ind w:firstLine="480" w:firstLineChars="200"/>
        <w:rPr>
          <w:rFonts w:ascii="宋体" w:hAnsi="宋体" w:cs="宋体"/>
          <w:bCs/>
          <w:color w:val="auto"/>
          <w:sz w:val="24"/>
          <w:highlight w:val="none"/>
        </w:rPr>
      </w:pPr>
    </w:p>
    <w:p w14:paraId="1979C9E2">
      <w:pPr>
        <w:spacing w:line="360" w:lineRule="auto"/>
        <w:ind w:firstLine="480" w:firstLineChars="200"/>
        <w:rPr>
          <w:rFonts w:ascii="宋体" w:hAnsi="宋体" w:cs="宋体"/>
          <w:bCs/>
          <w:color w:val="auto"/>
          <w:sz w:val="24"/>
          <w:highlight w:val="none"/>
        </w:rPr>
      </w:pPr>
    </w:p>
    <w:p w14:paraId="3AE376CE">
      <w:pPr>
        <w:spacing w:line="360" w:lineRule="auto"/>
        <w:rPr>
          <w:rFonts w:hint="default" w:ascii="宋体" w:hAnsi="宋体" w:eastAsia="宋体" w:cs="宋体"/>
          <w:b/>
          <w:bCs w:val="0"/>
          <w:color w:val="auto"/>
          <w:sz w:val="32"/>
          <w:szCs w:val="32"/>
          <w:highlight w:val="none"/>
          <w:lang w:val="en-US" w:eastAsia="zh-CN"/>
        </w:rPr>
      </w:pPr>
      <w:r>
        <w:rPr>
          <w:rFonts w:hint="eastAsia" w:ascii="宋体" w:hAnsi="宋体" w:cs="宋体"/>
          <w:b/>
          <w:bCs w:val="0"/>
          <w:color w:val="auto"/>
          <w:sz w:val="32"/>
          <w:szCs w:val="32"/>
          <w:highlight w:val="none"/>
          <w:lang w:val="en-US" w:eastAsia="zh-CN"/>
        </w:rPr>
        <w:t>分标2评审标准：</w:t>
      </w:r>
    </w:p>
    <w:tbl>
      <w:tblPr>
        <w:tblStyle w:val="3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992"/>
        <w:gridCol w:w="6606"/>
      </w:tblGrid>
      <w:tr w14:paraId="1A8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630EA7F9">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22E14B19">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评审因素</w:t>
            </w:r>
          </w:p>
        </w:tc>
        <w:tc>
          <w:tcPr>
            <w:tcW w:w="992" w:type="dxa"/>
            <w:tcBorders>
              <w:top w:val="single" w:color="auto" w:sz="4" w:space="0"/>
              <w:left w:val="single" w:color="auto" w:sz="4" w:space="0"/>
              <w:bottom w:val="single" w:color="auto" w:sz="4" w:space="0"/>
              <w:right w:val="single" w:color="auto" w:sz="4" w:space="0"/>
            </w:tcBorders>
            <w:vAlign w:val="center"/>
          </w:tcPr>
          <w:p w14:paraId="7C096296">
            <w:pPr>
              <w:adjustRightInd w:val="0"/>
              <w:spacing w:line="360" w:lineRule="auto"/>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分值</w:t>
            </w:r>
          </w:p>
        </w:tc>
        <w:tc>
          <w:tcPr>
            <w:tcW w:w="6606" w:type="dxa"/>
            <w:tcBorders>
              <w:top w:val="single" w:color="auto" w:sz="4" w:space="0"/>
              <w:left w:val="single" w:color="auto" w:sz="4" w:space="0"/>
              <w:bottom w:val="single" w:color="auto" w:sz="4" w:space="0"/>
              <w:right w:val="single" w:color="auto" w:sz="4" w:space="0"/>
            </w:tcBorders>
            <w:vAlign w:val="center"/>
          </w:tcPr>
          <w:p w14:paraId="635139A6">
            <w:pPr>
              <w:pStyle w:val="19"/>
              <w:spacing w:line="360" w:lineRule="auto"/>
              <w:jc w:val="center"/>
              <w:rPr>
                <w:rFonts w:hAnsi="宋体" w:cs="宋体"/>
                <w:b/>
                <w:bCs/>
                <w:color w:val="auto"/>
                <w:kern w:val="2"/>
                <w:sz w:val="24"/>
                <w:szCs w:val="24"/>
                <w:highlight w:val="none"/>
              </w:rPr>
            </w:pPr>
            <w:r>
              <w:rPr>
                <w:rFonts w:hint="eastAsia" w:hAnsi="宋体" w:cs="宋体"/>
                <w:b/>
                <w:bCs/>
                <w:color w:val="auto"/>
                <w:kern w:val="2"/>
                <w:sz w:val="24"/>
                <w:szCs w:val="24"/>
                <w:highlight w:val="none"/>
              </w:rPr>
              <w:t>评分标准</w:t>
            </w:r>
          </w:p>
        </w:tc>
      </w:tr>
      <w:tr w14:paraId="2FAA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vAlign w:val="center"/>
          </w:tcPr>
          <w:p w14:paraId="082B6E5F">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1</w:t>
            </w:r>
          </w:p>
        </w:tc>
        <w:tc>
          <w:tcPr>
            <w:tcW w:w="1418" w:type="dxa"/>
            <w:tcBorders>
              <w:top w:val="single" w:color="auto" w:sz="4" w:space="0"/>
              <w:left w:val="single" w:color="auto" w:sz="4" w:space="0"/>
              <w:bottom w:val="single" w:color="auto" w:sz="4" w:space="0"/>
              <w:right w:val="single" w:color="auto" w:sz="4" w:space="0"/>
            </w:tcBorders>
            <w:vAlign w:val="center"/>
          </w:tcPr>
          <w:p w14:paraId="46B2D1DD">
            <w:pPr>
              <w:adjustRightInd w:val="0"/>
              <w:spacing w:line="360" w:lineRule="exact"/>
              <w:jc w:val="center"/>
              <w:textAlignment w:val="baseline"/>
              <w:rPr>
                <w:rFonts w:ascii="宋体" w:hAnsi="宋体"/>
                <w:b/>
                <w:bCs/>
                <w:color w:val="auto"/>
                <w:sz w:val="24"/>
                <w:highlight w:val="none"/>
              </w:rPr>
            </w:pPr>
            <w:r>
              <w:rPr>
                <w:rFonts w:hint="eastAsia" w:ascii="宋体" w:hAnsi="宋体"/>
                <w:b/>
                <w:bCs/>
                <w:color w:val="auto"/>
                <w:sz w:val="24"/>
                <w:highlight w:val="none"/>
              </w:rPr>
              <w:t>价格分</w:t>
            </w:r>
          </w:p>
          <w:p w14:paraId="455059CB">
            <w:pPr>
              <w:adjustRightInd w:val="0"/>
              <w:spacing w:line="360" w:lineRule="exact"/>
              <w:jc w:val="center"/>
              <w:textAlignment w:val="baseline"/>
              <w:rPr>
                <w:rFonts w:ascii="宋体" w:hAnsi="宋体"/>
                <w:b/>
                <w:bCs/>
                <w:color w:val="auto"/>
                <w:sz w:val="24"/>
                <w:highlight w:val="none"/>
              </w:rPr>
            </w:pPr>
            <w:r>
              <w:rPr>
                <w:rFonts w:hint="eastAsia" w:ascii="宋体" w:hAnsi="宋体"/>
                <w:b/>
                <w:bCs/>
                <w:color w:val="auto"/>
                <w:sz w:val="24"/>
                <w:highlight w:val="none"/>
              </w:rPr>
              <w:t>（满分</w:t>
            </w:r>
            <w:r>
              <w:rPr>
                <w:rFonts w:hint="eastAsia" w:ascii="宋体" w:hAnsi="宋体"/>
                <w:b/>
                <w:bCs/>
                <w:color w:val="auto"/>
                <w:sz w:val="24"/>
                <w:highlight w:val="none"/>
                <w:u w:val="single"/>
                <w:lang w:val="en-US" w:eastAsia="zh-CN"/>
              </w:rPr>
              <w:t>10</w:t>
            </w:r>
            <w:r>
              <w:rPr>
                <w:rFonts w:hint="eastAsia" w:ascii="宋体" w:hAnsi="宋体"/>
                <w:b/>
                <w:bCs/>
                <w:color w:val="auto"/>
                <w:sz w:val="24"/>
                <w:highlight w:val="none"/>
              </w:rPr>
              <w:t>分）</w:t>
            </w:r>
          </w:p>
          <w:p w14:paraId="16DB30D3">
            <w:pPr>
              <w:adjustRightInd w:val="0"/>
              <w:spacing w:line="360" w:lineRule="auto"/>
              <w:jc w:val="left"/>
              <w:textAlignment w:val="baseline"/>
              <w:rPr>
                <w:rFonts w:ascii="宋体" w:hAnsi="宋体" w:cs="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2A4806">
            <w:pPr>
              <w:adjustRightInd w:val="0"/>
              <w:spacing w:line="360" w:lineRule="auto"/>
              <w:jc w:val="center"/>
              <w:textAlignment w:val="baseline"/>
              <w:rPr>
                <w:rFonts w:ascii="宋体" w:hAnsi="宋体" w:cs="宋体"/>
                <w:bCs/>
                <w:color w:val="auto"/>
                <w:sz w:val="24"/>
                <w:highlight w:val="none"/>
              </w:rPr>
            </w:pPr>
            <w:r>
              <w:rPr>
                <w:rFonts w:hint="eastAsia" w:ascii="宋体" w:hAnsi="宋体"/>
                <w:b/>
                <w:bCs/>
                <w:color w:val="auto"/>
                <w:sz w:val="24"/>
                <w:highlight w:val="none"/>
              </w:rPr>
              <w:t>报价（满分</w:t>
            </w:r>
            <w:r>
              <w:rPr>
                <w:rFonts w:hint="eastAsia" w:ascii="宋体" w:hAnsi="宋体"/>
                <w:b/>
                <w:bCs/>
                <w:color w:val="auto"/>
                <w:sz w:val="24"/>
                <w:highlight w:val="none"/>
                <w:lang w:val="en-US" w:eastAsia="zh-CN"/>
              </w:rPr>
              <w:t>10</w:t>
            </w:r>
            <w:r>
              <w:rPr>
                <w:rFonts w:hint="eastAsia" w:ascii="宋体" w:hAnsi="宋体"/>
                <w:b/>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AEF0DAE">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1.评审报价为供应商的最后报价进行政策性扣除后的价格，评审报价只是作为评审时使用。最终成交供应商的成交金额等于最后报价（如有修正，以确认修正后的最后报价为准）。</w:t>
            </w:r>
          </w:p>
          <w:p w14:paraId="07F2CE3C">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2.政府采购政策性扣除计算方法</w:t>
            </w:r>
          </w:p>
          <w:p w14:paraId="7B65F0BC">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（1）按照《政府采购促进中小企业发展管理办法》（财库〔2020〕46号）的规定，供应商在其响应文件中提供《中小企业声明函》，且其服务为小型和微型企业承接的，对其最后报价给予10%的扣除。</w:t>
            </w:r>
          </w:p>
          <w:p w14:paraId="709AB92A">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8C108DE">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CFE139B">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（4）政策性扣除计算方法。</w:t>
            </w:r>
          </w:p>
          <w:p w14:paraId="6273272E">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在服务采购项目中，服务由小微企业承接；对符合上述要求的供应商的最后报价给予10%的扣除，扣除后的价格为评审报价，即评审报价=最后报价×（1-10%）。除上述情况外，评审报价=最后报价。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4 %的扣除，用扣除后的价格参加评审，扣除后的价格为评审报价，即评审报价=最后报价×（1-4%）。</w:t>
            </w:r>
          </w:p>
          <w:p w14:paraId="0481F68B">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（5）除上述情况外，评审报价＝最后报价。</w:t>
            </w:r>
          </w:p>
          <w:p w14:paraId="7DEDA33D">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（6）以进入比较与评价环节的最低的评审报价为基准价，基准价得分为</w:t>
            </w:r>
            <w:r>
              <w:rPr>
                <w:rFonts w:hint="eastAsia" w:hAnsi="宋体" w:cs="宋体"/>
                <w:bCs/>
                <w:color w:val="auto"/>
                <w:kern w:val="2"/>
                <w:sz w:val="24"/>
                <w:szCs w:val="24"/>
                <w:highlight w:val="none"/>
                <w:lang w:val="en-US" w:eastAsia="zh-CN"/>
              </w:rPr>
              <w:t>1</w:t>
            </w:r>
            <w:r>
              <w:rPr>
                <w:rFonts w:hint="eastAsia" w:hAnsi="宋体" w:cs="宋体"/>
                <w:bCs/>
                <w:color w:val="auto"/>
                <w:kern w:val="2"/>
                <w:sz w:val="24"/>
                <w:szCs w:val="24"/>
                <w:highlight w:val="none"/>
              </w:rPr>
              <w:t>0分。</w:t>
            </w:r>
          </w:p>
          <w:p w14:paraId="577669EF">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（7）价格分计算公式：</w:t>
            </w:r>
          </w:p>
          <w:p w14:paraId="7A92F07E">
            <w:pPr>
              <w:spacing w:line="360" w:lineRule="auto"/>
              <w:jc w:val="left"/>
              <w:rPr>
                <w:rFonts w:hint="eastAsia" w:hAnsi="宋体" w:cs="宋体"/>
                <w:bCs/>
                <w:color w:val="auto"/>
                <w:kern w:val="2"/>
                <w:sz w:val="24"/>
                <w:szCs w:val="24"/>
                <w:highlight w:val="none"/>
              </w:rPr>
            </w:pPr>
            <w:r>
              <w:rPr>
                <w:rFonts w:hint="eastAsia" w:hAnsi="宋体" w:cs="宋体"/>
                <w:bCs/>
                <w:color w:val="auto"/>
                <w:kern w:val="2"/>
                <w:sz w:val="24"/>
                <w:szCs w:val="24"/>
                <w:highlight w:val="none"/>
              </w:rPr>
              <w:t>某供应商的报价得分=（基准价/最后报价）×</w:t>
            </w:r>
            <w:r>
              <w:rPr>
                <w:rFonts w:hint="eastAsia" w:hAnsi="宋体" w:cs="宋体"/>
                <w:bCs/>
                <w:color w:val="auto"/>
                <w:kern w:val="2"/>
                <w:sz w:val="24"/>
                <w:szCs w:val="24"/>
                <w:highlight w:val="none"/>
                <w:lang w:val="en-US" w:eastAsia="zh-CN"/>
              </w:rPr>
              <w:t>1</w:t>
            </w:r>
            <w:r>
              <w:rPr>
                <w:rFonts w:hint="eastAsia" w:hAnsi="宋体" w:cs="宋体"/>
                <w:bCs/>
                <w:color w:val="auto"/>
                <w:kern w:val="2"/>
                <w:sz w:val="24"/>
                <w:szCs w:val="24"/>
                <w:highlight w:val="none"/>
              </w:rPr>
              <w:t>0分</w:t>
            </w:r>
          </w:p>
        </w:tc>
      </w:tr>
      <w:tr w14:paraId="6619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5" w:hRule="atLeast"/>
          <w:jc w:val="center"/>
        </w:trPr>
        <w:tc>
          <w:tcPr>
            <w:tcW w:w="704" w:type="dxa"/>
            <w:vMerge w:val="restart"/>
            <w:tcBorders>
              <w:top w:val="single" w:color="auto" w:sz="4" w:space="0"/>
              <w:left w:val="single" w:color="auto" w:sz="4" w:space="0"/>
              <w:right w:val="single" w:color="auto" w:sz="4" w:space="0"/>
            </w:tcBorders>
            <w:vAlign w:val="center"/>
          </w:tcPr>
          <w:p w14:paraId="1AEA8839">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2</w:t>
            </w:r>
          </w:p>
        </w:tc>
        <w:tc>
          <w:tcPr>
            <w:tcW w:w="1418" w:type="dxa"/>
            <w:vMerge w:val="restart"/>
            <w:tcBorders>
              <w:top w:val="single" w:color="auto" w:sz="4" w:space="0"/>
              <w:left w:val="single" w:color="auto" w:sz="4" w:space="0"/>
              <w:right w:val="single" w:color="auto" w:sz="4" w:space="0"/>
            </w:tcBorders>
            <w:vAlign w:val="center"/>
          </w:tcPr>
          <w:p w14:paraId="0B0C9F2B">
            <w:pPr>
              <w:adjustRightInd w:val="0"/>
              <w:snapToGrid w:val="0"/>
              <w:spacing w:line="360" w:lineRule="atLeast"/>
              <w:ind w:left="-105" w:leftChars="-50" w:right="-105" w:rightChars="-50"/>
              <w:jc w:val="center"/>
              <w:textAlignment w:val="baseline"/>
              <w:rPr>
                <w:rFonts w:ascii="宋体" w:hAnsi="宋体"/>
                <w:bCs/>
                <w:color w:val="auto"/>
                <w:sz w:val="24"/>
                <w:highlight w:val="none"/>
              </w:rPr>
            </w:pPr>
            <w:r>
              <w:rPr>
                <w:rFonts w:hint="eastAsia" w:ascii="宋体" w:hAnsi="宋体"/>
                <w:bCs/>
                <w:color w:val="auto"/>
                <w:sz w:val="24"/>
                <w:highlight w:val="none"/>
              </w:rPr>
              <w:t>服务分</w:t>
            </w:r>
          </w:p>
          <w:p w14:paraId="00FDC41A">
            <w:pPr>
              <w:adjustRightInd w:val="0"/>
              <w:spacing w:line="360" w:lineRule="auto"/>
              <w:jc w:val="center"/>
              <w:textAlignment w:val="baseline"/>
              <w:rPr>
                <w:rFonts w:ascii="宋体" w:hAnsi="宋体" w:cs="宋体"/>
                <w:bCs/>
                <w:color w:val="auto"/>
                <w:sz w:val="24"/>
                <w:highlight w:val="none"/>
              </w:rPr>
            </w:pPr>
            <w:r>
              <w:rPr>
                <w:rFonts w:hint="eastAsia" w:ascii="宋体" w:hAnsi="宋体"/>
                <w:bCs/>
                <w:color w:val="auto"/>
                <w:sz w:val="24"/>
                <w:highlight w:val="none"/>
              </w:rPr>
              <w:t>（</w:t>
            </w:r>
            <w:r>
              <w:rPr>
                <w:rFonts w:hint="eastAsia" w:ascii="宋体" w:hAnsi="宋体"/>
                <w:color w:val="auto"/>
                <w:sz w:val="24"/>
                <w:highlight w:val="none"/>
              </w:rPr>
              <w:t>满分</w:t>
            </w:r>
            <w:r>
              <w:rPr>
                <w:rFonts w:hint="eastAsia" w:ascii="宋体" w:hAnsi="宋体"/>
                <w:color w:val="auto"/>
                <w:sz w:val="24"/>
                <w:highlight w:val="none"/>
                <w:lang w:val="en-US" w:eastAsia="zh-CN"/>
              </w:rPr>
              <w:t>76</w:t>
            </w:r>
            <w:r>
              <w:rPr>
                <w:rFonts w:hint="eastAsia" w:ascii="宋体" w:hAnsi="宋体"/>
                <w:color w:val="auto"/>
                <w:sz w:val="24"/>
                <w:highlight w:val="none"/>
              </w:rPr>
              <w:t>分</w:t>
            </w:r>
            <w:r>
              <w:rPr>
                <w:rFonts w:hint="eastAsia" w:ascii="宋体" w:hAnsi="宋体"/>
                <w:bCs/>
                <w:color w:val="auto"/>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6CC33FFC">
            <w:pPr>
              <w:adjustRightInd w:val="0"/>
              <w:spacing w:line="360" w:lineRule="auto"/>
              <w:jc w:val="center"/>
              <w:textAlignment w:val="baseline"/>
              <w:rPr>
                <w:rFonts w:ascii="宋体" w:hAnsi="宋体" w:cs="宋体"/>
                <w:bCs/>
                <w:color w:val="auto"/>
                <w:sz w:val="24"/>
                <w:highlight w:val="none"/>
              </w:rPr>
            </w:pPr>
            <w:r>
              <w:rPr>
                <w:rFonts w:hint="eastAsia" w:ascii="宋体" w:hAnsi="宋体" w:cs="宋体"/>
                <w:bCs/>
                <w:color w:val="auto"/>
                <w:sz w:val="24"/>
                <w:highlight w:val="none"/>
              </w:rPr>
              <w:t>项目实施方案（满分</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75BEBD6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一档（0分）：未提供方案或方案不满足以下评分项的不得分；</w:t>
            </w:r>
          </w:p>
          <w:p w14:paraId="6F11EE3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二档（</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分）：项目实施方案基本响应采购文件要求，包含</w:t>
            </w:r>
            <w:r>
              <w:rPr>
                <w:rFonts w:hint="eastAsia" w:ascii="宋体" w:hAnsi="宋体" w:cs="宋体"/>
                <w:bCs/>
                <w:color w:val="auto"/>
                <w:sz w:val="24"/>
                <w:highlight w:val="none"/>
                <w:lang w:val="en-US" w:eastAsia="zh-CN"/>
              </w:rPr>
              <w:t>资源建设及开发</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平台</w:t>
            </w:r>
            <w:r>
              <w:rPr>
                <w:rFonts w:hint="eastAsia" w:ascii="宋体" w:hAnsi="宋体" w:cs="宋体"/>
                <w:bCs/>
                <w:color w:val="auto"/>
                <w:sz w:val="24"/>
                <w:highlight w:val="none"/>
              </w:rPr>
              <w:t>升级服务、</w:t>
            </w:r>
            <w:r>
              <w:rPr>
                <w:rFonts w:hint="eastAsia" w:ascii="宋体" w:hAnsi="宋体" w:cs="宋体"/>
                <w:bCs/>
                <w:color w:val="auto"/>
                <w:sz w:val="24"/>
                <w:highlight w:val="none"/>
                <w:lang w:val="en-US" w:eastAsia="zh-CN"/>
              </w:rPr>
              <w:t>资源库建设、</w:t>
            </w:r>
            <w:r>
              <w:rPr>
                <w:rFonts w:hint="eastAsia" w:ascii="宋体" w:hAnsi="宋体" w:cs="宋体"/>
                <w:bCs/>
                <w:color w:val="auto"/>
                <w:sz w:val="24"/>
                <w:highlight w:val="none"/>
              </w:rPr>
              <w:t>推广服务等部分，内容完整、无缺项，基本可行。</w:t>
            </w:r>
          </w:p>
          <w:p w14:paraId="3639C82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三档（</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分）：项目实施方案内容完整，描述详细、符合实际，对主要工作的特点、重点有较好的认识，工作思路清晰。对</w:t>
            </w:r>
            <w:r>
              <w:rPr>
                <w:rFonts w:hint="eastAsia" w:ascii="宋体" w:hAnsi="宋体" w:cs="宋体"/>
                <w:bCs/>
                <w:color w:val="auto"/>
                <w:sz w:val="24"/>
                <w:highlight w:val="none"/>
                <w:lang w:val="en-US" w:eastAsia="zh-CN"/>
              </w:rPr>
              <w:t>资源、平台</w:t>
            </w:r>
            <w:r>
              <w:rPr>
                <w:rFonts w:hint="eastAsia" w:ascii="宋体" w:hAnsi="宋体" w:cs="宋体"/>
                <w:bCs/>
                <w:color w:val="auto"/>
                <w:sz w:val="24"/>
                <w:highlight w:val="none"/>
              </w:rPr>
              <w:t>建设思路清晰。</w:t>
            </w:r>
            <w:r>
              <w:rPr>
                <w:rFonts w:hint="eastAsia" w:ascii="宋体" w:hAnsi="宋体" w:cs="宋体"/>
                <w:bCs/>
                <w:color w:val="auto"/>
                <w:sz w:val="24"/>
                <w:highlight w:val="none"/>
                <w:lang w:val="en-US" w:eastAsia="zh-CN"/>
              </w:rPr>
              <w:t>技术</w:t>
            </w:r>
            <w:r>
              <w:rPr>
                <w:rFonts w:hint="eastAsia" w:ascii="宋体" w:hAnsi="宋体" w:cs="宋体"/>
                <w:bCs/>
                <w:color w:val="auto"/>
                <w:sz w:val="24"/>
                <w:highlight w:val="none"/>
              </w:rPr>
              <w:t>团队参与资源、平台开发、规划与设计，有具体措施。</w:t>
            </w:r>
          </w:p>
          <w:p w14:paraId="6E8D0DDD">
            <w:pPr>
              <w:spacing w:line="360" w:lineRule="auto"/>
              <w:jc w:val="left"/>
              <w:rPr>
                <w:rFonts w:hAnsi="宋体" w:cs="宋体"/>
                <w:bCs/>
                <w:color w:val="auto"/>
                <w:sz w:val="24"/>
                <w:highlight w:val="none"/>
              </w:rPr>
            </w:pPr>
            <w:r>
              <w:rPr>
                <w:rFonts w:hint="eastAsia" w:ascii="宋体" w:hAnsi="宋体" w:cs="宋体"/>
                <w:bCs/>
                <w:color w:val="auto"/>
                <w:sz w:val="24"/>
                <w:highlight w:val="none"/>
              </w:rPr>
              <w:t>四档（</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分）：项目实施方案内容完整、详实、科学合理，对主要工作的特点、重点认识理解准确透彻，工作思路清晰，针对性、可执行性强。按照</w:t>
            </w:r>
            <w:r>
              <w:rPr>
                <w:rFonts w:hint="eastAsia" w:ascii="宋体" w:hAnsi="宋体" w:cs="宋体"/>
                <w:bCs/>
                <w:color w:val="auto"/>
                <w:sz w:val="24"/>
                <w:highlight w:val="none"/>
                <w:lang w:val="en-US" w:eastAsia="zh-CN"/>
              </w:rPr>
              <w:t>高</w:t>
            </w:r>
            <w:r>
              <w:rPr>
                <w:rFonts w:hint="eastAsia" w:ascii="宋体" w:hAnsi="宋体" w:cs="宋体"/>
                <w:bCs/>
                <w:color w:val="auto"/>
                <w:sz w:val="24"/>
                <w:highlight w:val="none"/>
              </w:rPr>
              <w:t>标准</w:t>
            </w:r>
            <w:r>
              <w:rPr>
                <w:rFonts w:hint="eastAsia" w:ascii="宋体" w:hAnsi="宋体" w:cs="宋体"/>
                <w:bCs/>
                <w:color w:val="auto"/>
                <w:sz w:val="24"/>
                <w:highlight w:val="none"/>
                <w:lang w:val="en-US" w:eastAsia="zh-CN"/>
              </w:rPr>
              <w:t>打造平台</w:t>
            </w:r>
            <w:r>
              <w:rPr>
                <w:rFonts w:hint="eastAsia" w:ascii="宋体" w:hAnsi="宋体" w:cs="宋体"/>
                <w:bCs/>
                <w:color w:val="auto"/>
                <w:sz w:val="24"/>
                <w:highlight w:val="none"/>
              </w:rPr>
              <w:t>，建设思路清晰，</w:t>
            </w:r>
            <w:r>
              <w:rPr>
                <w:rFonts w:hint="eastAsia" w:ascii="宋体" w:hAnsi="宋体" w:cs="宋体"/>
                <w:bCs/>
                <w:color w:val="auto"/>
                <w:sz w:val="24"/>
                <w:highlight w:val="none"/>
                <w:lang w:val="en-US" w:eastAsia="zh-CN"/>
              </w:rPr>
              <w:t>技术</w:t>
            </w:r>
            <w:r>
              <w:rPr>
                <w:rFonts w:hint="eastAsia" w:ascii="宋体" w:hAnsi="宋体" w:cs="宋体"/>
                <w:bCs/>
                <w:color w:val="auto"/>
                <w:sz w:val="24"/>
                <w:highlight w:val="none"/>
              </w:rPr>
              <w:t>团队深度参与</w:t>
            </w:r>
            <w:r>
              <w:rPr>
                <w:rFonts w:hint="eastAsia" w:ascii="宋体" w:hAnsi="宋体" w:cs="宋体"/>
                <w:bCs/>
                <w:color w:val="auto"/>
                <w:sz w:val="24"/>
                <w:highlight w:val="none"/>
                <w:lang w:val="en-US" w:eastAsia="zh-CN"/>
              </w:rPr>
              <w:t>资源建设及开发</w:t>
            </w:r>
            <w:r>
              <w:rPr>
                <w:rFonts w:hint="eastAsia" w:ascii="宋体" w:hAnsi="宋体" w:cs="宋体"/>
                <w:bCs/>
                <w:color w:val="auto"/>
                <w:sz w:val="24"/>
                <w:highlight w:val="none"/>
              </w:rPr>
              <w:t>、规划与设计，具体措施详细。</w:t>
            </w:r>
          </w:p>
        </w:tc>
      </w:tr>
      <w:tr w14:paraId="11B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Merge w:val="continue"/>
            <w:tcBorders>
              <w:left w:val="single" w:color="auto" w:sz="4" w:space="0"/>
              <w:right w:val="single" w:color="auto" w:sz="4" w:space="0"/>
            </w:tcBorders>
            <w:vAlign w:val="center"/>
          </w:tcPr>
          <w:p w14:paraId="479F7B78">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60C83852">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A83AF28">
            <w:pPr>
              <w:adjustRightInd w:val="0"/>
              <w:spacing w:line="360" w:lineRule="auto"/>
              <w:jc w:val="center"/>
              <w:textAlignment w:val="baseline"/>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人员投入方案（</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42AB27E4">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一档（0分）：未提供方案或方案不满足以下评分项的不得分；</w:t>
            </w:r>
          </w:p>
          <w:p w14:paraId="09F268DB">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二档（</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分）：针对采购需求各项工作内容，编制拟投入人员一览表。列明人员姓名、职称及专业、与项目相关的实施经验等，人员岗位分布与工作内容完全符合，团队投入不少于3人。</w:t>
            </w:r>
          </w:p>
          <w:p w14:paraId="04C251D7">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三档（</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分）：在满足上一档的基础上，团队拟投入不少于6人，拟投入项目实施团队至少有2人同时具有</w:t>
            </w:r>
            <w:r>
              <w:rPr>
                <w:rFonts w:hint="eastAsia" w:ascii="宋体" w:hAnsi="宋体" w:cs="宋体"/>
                <w:bCs/>
                <w:color w:val="auto"/>
                <w:sz w:val="24"/>
                <w:highlight w:val="none"/>
                <w:lang w:val="en-US" w:eastAsia="zh-CN"/>
              </w:rPr>
              <w:t>以下证书之一：</w:t>
            </w:r>
            <w:r>
              <w:rPr>
                <w:rFonts w:hint="eastAsia" w:ascii="宋体" w:hAnsi="宋体" w:eastAsia="宋体" w:cs="宋体"/>
                <w:bCs/>
                <w:color w:val="auto"/>
                <w:sz w:val="24"/>
                <w:highlight w:val="none"/>
                <w:lang w:val="en-US" w:eastAsia="zh-CN"/>
              </w:rPr>
              <w:t>信息系统管理工程师</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lang w:val="en-US" w:eastAsia="zh-CN"/>
              </w:rPr>
              <w:t>软件设计师</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lang w:val="en-US" w:eastAsia="zh-CN"/>
              </w:rPr>
              <w:t>数据库系统工程师</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lang w:val="en-US" w:eastAsia="zh-CN"/>
              </w:rPr>
              <w:t>信息安全工程师证书</w:t>
            </w:r>
            <w:r>
              <w:rPr>
                <w:rFonts w:hint="eastAsia" w:ascii="宋体" w:hAnsi="宋体" w:cs="宋体"/>
                <w:bCs/>
                <w:color w:val="auto"/>
                <w:sz w:val="24"/>
                <w:highlight w:val="none"/>
                <w:lang w:val="en-US" w:eastAsia="zh-CN"/>
              </w:rPr>
              <w:t>或其他同等级的</w:t>
            </w:r>
            <w:r>
              <w:rPr>
                <w:rFonts w:hint="eastAsia" w:ascii="宋体" w:hAnsi="宋体" w:cs="宋体"/>
                <w:bCs/>
                <w:color w:val="auto"/>
                <w:sz w:val="24"/>
                <w:highlight w:val="none"/>
                <w:lang w:val="en-US" w:eastAsia="zh-CN"/>
              </w:rPr>
              <w:t>相关证书</w:t>
            </w:r>
            <w:r>
              <w:rPr>
                <w:rFonts w:hint="eastAsia" w:ascii="宋体" w:hAnsi="宋体" w:eastAsia="宋体" w:cs="宋体"/>
                <w:bCs/>
                <w:color w:val="auto"/>
                <w:sz w:val="24"/>
                <w:highlight w:val="none"/>
                <w:lang w:val="en-US" w:eastAsia="zh-CN"/>
              </w:rPr>
              <w:t>。</w:t>
            </w:r>
          </w:p>
          <w:p w14:paraId="4B810178">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四档（10分）：在满足上一档的基础上，拟投入项目实施团队至少有2人同时具有</w:t>
            </w:r>
            <w:r>
              <w:rPr>
                <w:rFonts w:hint="eastAsia" w:ascii="宋体" w:hAnsi="宋体" w:cs="宋体"/>
                <w:bCs/>
                <w:color w:val="auto"/>
                <w:sz w:val="24"/>
                <w:highlight w:val="none"/>
                <w:lang w:val="en-US" w:eastAsia="zh-CN"/>
              </w:rPr>
              <w:t>以下证书之一：</w:t>
            </w:r>
            <w:r>
              <w:rPr>
                <w:rFonts w:hint="eastAsia" w:ascii="宋体" w:hAnsi="宋体" w:eastAsia="宋体" w:cs="宋体"/>
                <w:bCs/>
                <w:color w:val="auto"/>
                <w:sz w:val="24"/>
                <w:highlight w:val="none"/>
                <w:lang w:val="en-US" w:eastAsia="zh-CN"/>
              </w:rPr>
              <w:t>信息系统集成管理高级证书</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lang w:val="en-US" w:eastAsia="zh-CN"/>
              </w:rPr>
              <w:t>高级软件工程师证书</w:t>
            </w:r>
            <w:r>
              <w:rPr>
                <w:rFonts w:hint="eastAsia" w:ascii="宋体" w:hAnsi="宋体" w:cs="宋体"/>
                <w:bCs/>
                <w:color w:val="auto"/>
                <w:sz w:val="24"/>
                <w:highlight w:val="none"/>
                <w:lang w:val="en-US" w:eastAsia="zh-CN"/>
              </w:rPr>
              <w:t>或高级</w:t>
            </w:r>
            <w:r>
              <w:rPr>
                <w:rFonts w:hint="eastAsia" w:ascii="宋体" w:hAnsi="宋体" w:eastAsia="宋体" w:cs="宋体"/>
                <w:bCs/>
                <w:color w:val="auto"/>
                <w:sz w:val="24"/>
                <w:highlight w:val="none"/>
                <w:lang w:val="en-US" w:eastAsia="zh-CN"/>
              </w:rPr>
              <w:t>数</w:t>
            </w:r>
            <w:r>
              <w:rPr>
                <w:rFonts w:hint="eastAsia" w:ascii="宋体" w:hAnsi="宋体" w:eastAsia="宋体" w:cs="宋体"/>
                <w:bCs/>
                <w:color w:val="auto"/>
                <w:sz w:val="24"/>
                <w:highlight w:val="none"/>
                <w:lang w:val="en-US" w:eastAsia="zh-CN"/>
              </w:rPr>
              <w:t>据库系统工程师</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lang w:val="en-US" w:eastAsia="zh-CN"/>
              </w:rPr>
              <w:t>高级网络与信息安全工程师</w:t>
            </w:r>
            <w:r>
              <w:rPr>
                <w:rFonts w:hint="eastAsia" w:ascii="宋体" w:hAnsi="宋体" w:cs="宋体"/>
                <w:bCs/>
                <w:color w:val="auto"/>
                <w:sz w:val="24"/>
                <w:highlight w:val="none"/>
                <w:lang w:val="en-US" w:eastAsia="zh-CN"/>
              </w:rPr>
              <w:t>或其他同等级的</w:t>
            </w:r>
            <w:r>
              <w:rPr>
                <w:rFonts w:hint="eastAsia" w:ascii="宋体" w:hAnsi="宋体" w:cs="宋体"/>
                <w:bCs/>
                <w:color w:val="auto"/>
                <w:sz w:val="24"/>
                <w:highlight w:val="none"/>
                <w:lang w:val="en-US" w:eastAsia="zh-CN"/>
              </w:rPr>
              <w:t>相关证书</w:t>
            </w:r>
            <w:r>
              <w:rPr>
                <w:rFonts w:hint="eastAsia" w:ascii="宋体" w:hAnsi="宋体" w:eastAsia="宋体" w:cs="宋体"/>
                <w:bCs/>
                <w:color w:val="auto"/>
                <w:sz w:val="24"/>
                <w:highlight w:val="none"/>
                <w:lang w:val="en-US" w:eastAsia="zh-CN"/>
              </w:rPr>
              <w:t>。</w:t>
            </w:r>
          </w:p>
          <w:p w14:paraId="043FA74D">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响应文件中须提供相关人员</w:t>
            </w:r>
            <w:r>
              <w:rPr>
                <w:rFonts w:hint="eastAsia" w:ascii="宋体" w:hAnsi="宋体" w:cs="宋体"/>
                <w:bCs/>
                <w:color w:val="auto"/>
                <w:sz w:val="24"/>
                <w:highlight w:val="none"/>
                <w:lang w:val="en-US" w:eastAsia="zh-CN"/>
              </w:rPr>
              <w:t>2025年</w:t>
            </w:r>
            <w:r>
              <w:rPr>
                <w:rFonts w:hint="eastAsia" w:ascii="宋体" w:hAnsi="宋体" w:eastAsia="宋体" w:cs="宋体"/>
                <w:bCs/>
                <w:color w:val="auto"/>
                <w:sz w:val="24"/>
                <w:highlight w:val="none"/>
                <w:lang w:val="en-US" w:eastAsia="zh-CN"/>
              </w:rPr>
              <w:t>竞标截止日期前一个月内供应商为其缴纳的社保证明或聘用协议或合作协议或与加分项相关的真实有效的证明材料，确保拟投入的人员如实提供到项目最终实施中。响应文件中须提供经法定代表人签字认可的人员投入承诺书。</w:t>
            </w:r>
          </w:p>
        </w:tc>
      </w:tr>
      <w:tr w14:paraId="55F3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4" w:type="dxa"/>
            <w:vMerge w:val="continue"/>
            <w:tcBorders>
              <w:left w:val="single" w:color="auto" w:sz="4" w:space="0"/>
              <w:bottom w:val="single" w:color="auto" w:sz="4" w:space="0"/>
              <w:right w:val="single" w:color="auto" w:sz="4" w:space="0"/>
            </w:tcBorders>
            <w:vAlign w:val="center"/>
          </w:tcPr>
          <w:p w14:paraId="153ACD93">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5E2E5365">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vMerge w:val="restart"/>
            <w:tcBorders>
              <w:top w:val="single" w:color="auto" w:sz="4" w:space="0"/>
              <w:left w:val="single" w:color="auto" w:sz="4" w:space="0"/>
              <w:right w:val="single" w:color="auto" w:sz="4" w:space="0"/>
            </w:tcBorders>
            <w:vAlign w:val="center"/>
          </w:tcPr>
          <w:p w14:paraId="7927967F">
            <w:pPr>
              <w:adjustRightInd w:val="0"/>
              <w:spacing w:line="360" w:lineRule="auto"/>
              <w:jc w:val="center"/>
              <w:textAlignment w:val="baseline"/>
              <w:rPr>
                <w:rFonts w:hint="default" w:ascii="宋体" w:hAnsi="宋体" w:cs="宋体"/>
                <w:bCs/>
                <w:color w:val="auto"/>
                <w:sz w:val="24"/>
                <w:highlight w:val="none"/>
                <w:lang w:val="en-US" w:eastAsia="zh-CN"/>
              </w:rPr>
            </w:pPr>
            <w:r>
              <w:rPr>
                <w:rFonts w:hint="eastAsia" w:ascii="宋体" w:hAnsi="宋体" w:cs="宋体"/>
                <w:bCs/>
                <w:color w:val="auto"/>
                <w:sz w:val="24"/>
                <w:highlight w:val="none"/>
                <w:lang w:val="en-US" w:eastAsia="zh-CN"/>
              </w:rPr>
              <w:t>培训方案分</w:t>
            </w:r>
            <w:r>
              <w:rPr>
                <w:rFonts w:hint="eastAsia" w:ascii="宋体" w:hAnsi="宋体" w:cs="宋体"/>
                <w:bCs/>
                <w:color w:val="auto"/>
                <w:sz w:val="24"/>
                <w:highlight w:val="none"/>
              </w:rPr>
              <w:t>（满分</w:t>
            </w:r>
            <w:r>
              <w:rPr>
                <w:rFonts w:hint="eastAsia" w:ascii="宋体" w:hAnsi="宋体" w:cs="宋体"/>
                <w:bCs/>
                <w:color w:val="auto"/>
                <w:sz w:val="24"/>
                <w:highlight w:val="none"/>
                <w:lang w:val="en-US" w:eastAsia="zh-CN"/>
              </w:rPr>
              <w:t>25</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5B6F2103">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一档（0分）：未提供方案或方案不满足以下评分项的不得分；</w:t>
            </w:r>
          </w:p>
          <w:p w14:paraId="12F016C7">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二档（</w:t>
            </w:r>
            <w:r>
              <w:rPr>
                <w:rFonts w:hint="eastAsia" w:ascii="宋体" w:hAnsi="宋体" w:cs="宋体"/>
                <w:bCs/>
                <w:color w:val="auto"/>
                <w:sz w:val="24"/>
                <w:highlight w:val="none"/>
                <w:lang w:val="en-US" w:eastAsia="zh-CN"/>
              </w:rPr>
              <w:t>5</w:t>
            </w:r>
            <w:r>
              <w:rPr>
                <w:rFonts w:hint="eastAsia" w:ascii="宋体" w:hAnsi="宋体" w:eastAsia="宋体" w:cs="宋体"/>
                <w:bCs/>
                <w:color w:val="auto"/>
                <w:sz w:val="24"/>
                <w:highlight w:val="none"/>
                <w:lang w:val="en-US" w:eastAsia="zh-CN"/>
              </w:rPr>
              <w:t>分）：提供培训方案，承诺对系统管理员及相关操作人员进行系统培训，方案包含培训内容、培训目标、培训课程、预期培训成果。培训课程安排不少于2课时；</w:t>
            </w:r>
          </w:p>
          <w:p w14:paraId="29DFE58A">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三档（</w:t>
            </w:r>
            <w:r>
              <w:rPr>
                <w:rFonts w:hint="eastAsia" w:ascii="宋体" w:hAnsi="宋体" w:cs="宋体"/>
                <w:bCs/>
                <w:color w:val="auto"/>
                <w:sz w:val="24"/>
                <w:highlight w:val="none"/>
                <w:lang w:val="en-US" w:eastAsia="zh-CN"/>
              </w:rPr>
              <w:t>12</w:t>
            </w:r>
            <w:r>
              <w:rPr>
                <w:rFonts w:hint="eastAsia" w:ascii="宋体" w:hAnsi="宋体" w:eastAsia="宋体" w:cs="宋体"/>
                <w:bCs/>
                <w:color w:val="auto"/>
                <w:sz w:val="24"/>
                <w:highlight w:val="none"/>
                <w:lang w:val="en-US" w:eastAsia="zh-CN"/>
              </w:rPr>
              <w:t>分）：提供培训方案，承诺对系统管理员及相关操作人员进行系统培训，方案包含培训内容、培训方法、培训流程、培训目标、培训课程、预期培训成果。培训课程安排不少于2课时，每课时不少于60分钟。保证系统管理员及相关操作人员能够独立操作使用和具有简单故障处理的能力；</w:t>
            </w:r>
          </w:p>
          <w:p w14:paraId="7A619D57">
            <w:pPr>
              <w:spacing w:line="360" w:lineRule="auto"/>
              <w:jc w:val="left"/>
              <w:rPr>
                <w:rFonts w:hint="eastAsia" w:hAnsi="宋体" w:cs="宋体"/>
                <w:bCs/>
                <w:color w:val="auto"/>
                <w:kern w:val="2"/>
                <w:sz w:val="24"/>
                <w:szCs w:val="24"/>
                <w:highlight w:val="none"/>
                <w:lang w:val="en-US" w:eastAsia="zh-CN"/>
              </w:rPr>
            </w:pPr>
            <w:r>
              <w:rPr>
                <w:rFonts w:hint="eastAsia" w:ascii="宋体" w:hAnsi="宋体" w:eastAsia="宋体" w:cs="宋体"/>
                <w:bCs/>
                <w:color w:val="auto"/>
                <w:sz w:val="24"/>
                <w:highlight w:val="none"/>
                <w:lang w:val="en-US" w:eastAsia="zh-CN"/>
              </w:rPr>
              <w:t>四档（</w:t>
            </w:r>
            <w:r>
              <w:rPr>
                <w:rFonts w:hint="eastAsia" w:ascii="宋体" w:hAnsi="宋体" w:cs="宋体"/>
                <w:bCs/>
                <w:color w:val="auto"/>
                <w:sz w:val="24"/>
                <w:highlight w:val="none"/>
                <w:lang w:val="en-US" w:eastAsia="zh-CN"/>
              </w:rPr>
              <w:t>20</w:t>
            </w:r>
            <w:r>
              <w:rPr>
                <w:rFonts w:hint="eastAsia" w:ascii="宋体" w:hAnsi="宋体" w:eastAsia="宋体" w:cs="宋体"/>
                <w:bCs/>
                <w:color w:val="auto"/>
                <w:sz w:val="24"/>
                <w:highlight w:val="none"/>
                <w:lang w:val="en-US" w:eastAsia="zh-CN"/>
              </w:rPr>
              <w:t>分）：提供培训方案，承诺对系统管理员及相关操作人员进行系统培训，方案包含培训内容、培训方法、培训流程、培训目标、培训课程、培训计划、预期培训成果。培训课程安排不少于2期，每期至少2课时，每课时不少于60分钟。保证系统管理员及相关操作人员能够独立操作使用和具有简单故障处理的能力；提供有效的培训质量控制和保证方案。</w:t>
            </w:r>
          </w:p>
        </w:tc>
      </w:tr>
      <w:tr w14:paraId="2F85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704" w:type="dxa"/>
            <w:vMerge w:val="continue"/>
            <w:tcBorders>
              <w:left w:val="single" w:color="auto" w:sz="4" w:space="0"/>
              <w:bottom w:val="single" w:color="auto" w:sz="4" w:space="0"/>
              <w:right w:val="single" w:color="auto" w:sz="4" w:space="0"/>
            </w:tcBorders>
            <w:vAlign w:val="center"/>
          </w:tcPr>
          <w:p w14:paraId="381E161C">
            <w:pPr>
              <w:adjustRightInd w:val="0"/>
              <w:spacing w:line="360" w:lineRule="auto"/>
              <w:jc w:val="center"/>
              <w:textAlignment w:val="baseline"/>
              <w:rPr>
                <w:rFonts w:ascii="宋体" w:hAnsi="宋体" w:cs="宋体"/>
                <w:bCs/>
                <w:color w:val="auto"/>
                <w:sz w:val="24"/>
                <w:highlight w:val="none"/>
              </w:rPr>
            </w:pPr>
          </w:p>
        </w:tc>
        <w:tc>
          <w:tcPr>
            <w:tcW w:w="1418" w:type="dxa"/>
            <w:vMerge w:val="continue"/>
            <w:tcBorders>
              <w:left w:val="single" w:color="auto" w:sz="4" w:space="0"/>
              <w:right w:val="single" w:color="auto" w:sz="4" w:space="0"/>
            </w:tcBorders>
            <w:vAlign w:val="center"/>
          </w:tcPr>
          <w:p w14:paraId="173B9825">
            <w:pPr>
              <w:adjustRightInd w:val="0"/>
              <w:snapToGrid w:val="0"/>
              <w:spacing w:line="360" w:lineRule="atLeast"/>
              <w:ind w:left="-105" w:leftChars="-50" w:right="-105" w:rightChars="-50"/>
              <w:jc w:val="center"/>
              <w:textAlignment w:val="baseline"/>
              <w:rPr>
                <w:rFonts w:ascii="宋体" w:hAnsi="宋体"/>
                <w:bCs/>
                <w:color w:val="auto"/>
                <w:sz w:val="24"/>
                <w:highlight w:val="none"/>
              </w:rPr>
            </w:pPr>
          </w:p>
        </w:tc>
        <w:tc>
          <w:tcPr>
            <w:tcW w:w="992" w:type="dxa"/>
            <w:vMerge w:val="continue"/>
            <w:tcBorders>
              <w:left w:val="single" w:color="auto" w:sz="4" w:space="0"/>
              <w:bottom w:val="single" w:color="auto" w:sz="4" w:space="0"/>
              <w:right w:val="single" w:color="auto" w:sz="4" w:space="0"/>
            </w:tcBorders>
            <w:vAlign w:val="center"/>
          </w:tcPr>
          <w:p w14:paraId="111414D7">
            <w:pPr>
              <w:adjustRightInd w:val="0"/>
              <w:spacing w:line="360" w:lineRule="auto"/>
              <w:jc w:val="center"/>
              <w:textAlignment w:val="baseline"/>
              <w:rPr>
                <w:rFonts w:hint="default" w:ascii="宋体" w:hAnsi="宋体" w:cs="宋体"/>
                <w:bCs/>
                <w:color w:val="auto"/>
                <w:sz w:val="24"/>
                <w:highlight w:val="none"/>
                <w:lang w:val="en-US" w:eastAsia="zh-CN"/>
              </w:rPr>
            </w:pPr>
          </w:p>
        </w:tc>
        <w:tc>
          <w:tcPr>
            <w:tcW w:w="6606" w:type="dxa"/>
            <w:tcBorders>
              <w:top w:val="single" w:color="auto" w:sz="4" w:space="0"/>
              <w:left w:val="single" w:color="auto" w:sz="4" w:space="0"/>
              <w:bottom w:val="single" w:color="auto" w:sz="4" w:space="0"/>
              <w:right w:val="single" w:color="auto" w:sz="4" w:space="0"/>
            </w:tcBorders>
            <w:vAlign w:val="center"/>
          </w:tcPr>
          <w:p w14:paraId="3F2FC975">
            <w:pPr>
              <w:pStyle w:val="19"/>
              <w:spacing w:line="360" w:lineRule="auto"/>
              <w:rPr>
                <w:rFonts w:hint="eastAsia" w:hAnsi="宋体" w:cs="宋体"/>
                <w:bCs/>
                <w:color w:val="auto"/>
                <w:kern w:val="2"/>
                <w:sz w:val="24"/>
                <w:szCs w:val="24"/>
                <w:highlight w:val="none"/>
                <w:lang w:val="en-US" w:eastAsia="zh-CN"/>
              </w:rPr>
            </w:pPr>
            <w:r>
              <w:rPr>
                <w:rFonts w:hint="eastAsia" w:hAnsi="宋体" w:cs="宋体"/>
                <w:bCs/>
                <w:color w:val="auto"/>
                <w:kern w:val="2"/>
                <w:sz w:val="24"/>
                <w:szCs w:val="24"/>
                <w:highlight w:val="none"/>
                <w:lang w:val="en-US" w:eastAsia="zh-CN"/>
              </w:rPr>
              <w:t>为保障教学资源的丰富性和培训效果，供应商或生产厂商为本项目配备的项目培训师成立或获批“技术技能大师工作室”或者获得</w:t>
            </w:r>
            <w:r>
              <w:rPr>
                <w:rFonts w:hint="eastAsia" w:hAnsi="宋体" w:cs="宋体"/>
                <w:bCs/>
                <w:color w:val="auto"/>
                <w:kern w:val="2"/>
                <w:sz w:val="24"/>
                <w:szCs w:val="24"/>
                <w:highlight w:val="none"/>
              </w:rPr>
              <w:t>职业教育教学成果奖</w:t>
            </w:r>
            <w:r>
              <w:rPr>
                <w:rFonts w:hint="eastAsia" w:hAnsi="宋体" w:cs="宋体"/>
                <w:bCs/>
                <w:color w:val="auto"/>
                <w:kern w:val="2"/>
                <w:sz w:val="24"/>
                <w:szCs w:val="24"/>
                <w:highlight w:val="none"/>
                <w:lang w:eastAsia="zh-CN"/>
              </w:rPr>
              <w:t>的</w:t>
            </w:r>
            <w:r>
              <w:rPr>
                <w:rFonts w:hint="eastAsia" w:hAnsi="宋体" w:cs="宋体"/>
                <w:bCs/>
                <w:color w:val="auto"/>
                <w:kern w:val="2"/>
                <w:sz w:val="24"/>
                <w:szCs w:val="24"/>
                <w:highlight w:val="none"/>
                <w:lang w:val="en-US" w:eastAsia="zh-CN"/>
              </w:rPr>
              <w:t>，国家级的每个得5分，省级的每个得2.5分，</w:t>
            </w:r>
            <w:r>
              <w:rPr>
                <w:rFonts w:hint="eastAsia" w:hAnsi="宋体" w:cs="宋体"/>
                <w:bCs/>
                <w:color w:val="auto"/>
                <w:kern w:val="2"/>
                <w:sz w:val="24"/>
                <w:szCs w:val="24"/>
                <w:highlight w:val="none"/>
              </w:rPr>
              <w:t>此项最高得</w:t>
            </w:r>
            <w:r>
              <w:rPr>
                <w:rFonts w:hint="eastAsia" w:hAnsi="宋体" w:cs="宋体"/>
                <w:bCs/>
                <w:color w:val="auto"/>
                <w:kern w:val="2"/>
                <w:sz w:val="24"/>
                <w:szCs w:val="24"/>
                <w:highlight w:val="none"/>
                <w:lang w:val="en-US" w:eastAsia="zh-CN"/>
              </w:rPr>
              <w:t>5</w:t>
            </w:r>
            <w:r>
              <w:rPr>
                <w:rFonts w:hint="eastAsia" w:hAnsi="宋体" w:cs="宋体"/>
                <w:bCs/>
                <w:color w:val="auto"/>
                <w:kern w:val="2"/>
                <w:sz w:val="24"/>
                <w:szCs w:val="24"/>
                <w:highlight w:val="none"/>
              </w:rPr>
              <w:t>分。</w:t>
            </w:r>
          </w:p>
          <w:p w14:paraId="178569AF">
            <w:pPr>
              <w:spacing w:line="360" w:lineRule="auto"/>
              <w:jc w:val="left"/>
              <w:rPr>
                <w:rFonts w:hint="eastAsia" w:ascii="宋体" w:hAnsi="宋体" w:eastAsia="宋体" w:cs="宋体"/>
                <w:bCs/>
                <w:color w:val="auto"/>
                <w:sz w:val="24"/>
                <w:highlight w:val="none"/>
                <w:lang w:val="en-US" w:eastAsia="zh-CN"/>
              </w:rPr>
            </w:pPr>
            <w:r>
              <w:rPr>
                <w:rFonts w:hint="eastAsia" w:hAnsi="宋体" w:cs="宋体"/>
                <w:bCs/>
                <w:color w:val="auto"/>
                <w:kern w:val="2"/>
                <w:sz w:val="24"/>
                <w:szCs w:val="24"/>
                <w:highlight w:val="none"/>
                <w:lang w:val="en-US" w:eastAsia="zh-CN"/>
              </w:rPr>
              <w:t>注：需提供证书、以及供应商提供培训师在职社保缴纳证明复印件并加盖公章，以上资料未提供或提供不全的不得分。</w:t>
            </w:r>
          </w:p>
        </w:tc>
      </w:tr>
      <w:tr w14:paraId="44FD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top w:val="single" w:color="auto" w:sz="4" w:space="0"/>
              <w:left w:val="single" w:color="auto" w:sz="4" w:space="0"/>
              <w:bottom w:val="single" w:color="auto" w:sz="4" w:space="0"/>
              <w:right w:val="single" w:color="auto" w:sz="4" w:space="0"/>
            </w:tcBorders>
            <w:vAlign w:val="center"/>
          </w:tcPr>
          <w:p w14:paraId="5C962CCE">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4D96FA2">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2"/>
                <w:sz w:val="24"/>
                <w:szCs w:val="24"/>
                <w:highlight w:val="none"/>
                <w:lang w:val="en-US" w:eastAsia="zh-CN" w:bidi="ar-SA"/>
              </w:rPr>
            </w:pPr>
          </w:p>
        </w:tc>
        <w:tc>
          <w:tcPr>
            <w:tcW w:w="992" w:type="dxa"/>
            <w:tcBorders>
              <w:top w:val="single" w:color="auto" w:sz="4" w:space="0"/>
              <w:left w:val="single" w:color="auto" w:sz="4" w:space="0"/>
              <w:bottom w:val="single" w:color="auto" w:sz="4" w:space="0"/>
              <w:right w:val="single" w:color="auto" w:sz="4" w:space="0"/>
            </w:tcBorders>
            <w:vAlign w:val="center"/>
          </w:tcPr>
          <w:p w14:paraId="79521714">
            <w:pPr>
              <w:adjustRightInd w:val="0"/>
              <w:spacing w:line="360" w:lineRule="auto"/>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售后服务方案（满分</w:t>
            </w:r>
            <w:r>
              <w:rPr>
                <w:rFonts w:hint="eastAsia" w:ascii="宋体" w:hAnsi="宋体" w:cs="宋体"/>
                <w:bCs/>
                <w:color w:val="auto"/>
                <w:sz w:val="24"/>
                <w:highlight w:val="none"/>
                <w:lang w:val="en-US" w:eastAsia="zh-CN"/>
              </w:rPr>
              <w:t>16</w:t>
            </w:r>
            <w:r>
              <w:rPr>
                <w:rFonts w:hint="eastAsia" w:ascii="宋体" w:hAnsi="宋体" w:cs="宋体"/>
                <w:bCs/>
                <w:color w:val="auto"/>
                <w:sz w:val="24"/>
                <w:highlight w:val="none"/>
              </w:rPr>
              <w:t>分）</w:t>
            </w:r>
          </w:p>
        </w:tc>
        <w:tc>
          <w:tcPr>
            <w:tcW w:w="6606" w:type="dxa"/>
            <w:tcBorders>
              <w:top w:val="single" w:color="auto" w:sz="4" w:space="0"/>
              <w:left w:val="single" w:color="auto" w:sz="4" w:space="0"/>
              <w:bottom w:val="single" w:color="auto" w:sz="4" w:space="0"/>
              <w:right w:val="single" w:color="auto" w:sz="4" w:space="0"/>
            </w:tcBorders>
            <w:vAlign w:val="center"/>
          </w:tcPr>
          <w:p w14:paraId="2348B6EE">
            <w:pPr>
              <w:spacing w:line="360" w:lineRule="auto"/>
              <w:jc w:val="left"/>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一档（0分）：未提供方案或方案不满足以下评分项的不得分；</w:t>
            </w:r>
          </w:p>
          <w:p w14:paraId="755D276B">
            <w:pPr>
              <w:pStyle w:val="19"/>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lang w:val="en-US" w:eastAsia="zh-CN"/>
              </w:rPr>
              <w:t>二</w:t>
            </w:r>
            <w:r>
              <w:rPr>
                <w:rFonts w:hint="eastAsia" w:hAnsi="宋体" w:cs="宋体"/>
                <w:bCs/>
                <w:color w:val="auto"/>
                <w:kern w:val="2"/>
                <w:sz w:val="24"/>
                <w:szCs w:val="24"/>
                <w:highlight w:val="none"/>
              </w:rPr>
              <w:t>档（</w:t>
            </w:r>
            <w:r>
              <w:rPr>
                <w:rFonts w:hint="eastAsia" w:hAnsi="宋体" w:cs="宋体"/>
                <w:bCs/>
                <w:color w:val="auto"/>
                <w:kern w:val="2"/>
                <w:sz w:val="24"/>
                <w:szCs w:val="24"/>
                <w:highlight w:val="none"/>
                <w:lang w:val="en-US" w:eastAsia="zh-CN"/>
              </w:rPr>
              <w:t>5</w:t>
            </w:r>
            <w:r>
              <w:rPr>
                <w:rFonts w:hint="eastAsia" w:hAnsi="宋体" w:cs="宋体"/>
                <w:bCs/>
                <w:color w:val="auto"/>
                <w:kern w:val="2"/>
                <w:sz w:val="24"/>
                <w:szCs w:val="24"/>
                <w:highlight w:val="none"/>
              </w:rPr>
              <w:t>分）：响应文件中提供有售后服务方案，方案包含有项目培训方案和应急保障方案，具备基本的售后响应机制，方案总体符合采购文件要求；对项目异常问题有解决方案，方案具备可行性。</w:t>
            </w:r>
          </w:p>
          <w:p w14:paraId="472F1908">
            <w:pPr>
              <w:pStyle w:val="19"/>
              <w:spacing w:line="360" w:lineRule="auto"/>
              <w:rPr>
                <w:rFonts w:hAnsi="宋体" w:cs="宋体"/>
                <w:bCs/>
                <w:color w:val="auto"/>
                <w:kern w:val="2"/>
                <w:sz w:val="24"/>
                <w:szCs w:val="24"/>
                <w:highlight w:val="none"/>
              </w:rPr>
            </w:pPr>
            <w:r>
              <w:rPr>
                <w:rFonts w:hint="eastAsia" w:hAnsi="宋体" w:cs="宋体"/>
                <w:bCs/>
                <w:color w:val="auto"/>
                <w:kern w:val="2"/>
                <w:sz w:val="24"/>
                <w:szCs w:val="24"/>
                <w:highlight w:val="none"/>
                <w:lang w:eastAsia="zh-CN"/>
              </w:rPr>
              <w:t>三</w:t>
            </w:r>
            <w:r>
              <w:rPr>
                <w:rFonts w:hint="eastAsia" w:hAnsi="宋体" w:cs="宋体"/>
                <w:bCs/>
                <w:color w:val="auto"/>
                <w:kern w:val="2"/>
                <w:sz w:val="24"/>
                <w:szCs w:val="24"/>
                <w:highlight w:val="none"/>
              </w:rPr>
              <w:t>档（</w:t>
            </w:r>
            <w:r>
              <w:rPr>
                <w:rFonts w:hint="eastAsia" w:hAnsi="宋体" w:cs="宋体"/>
                <w:bCs/>
                <w:color w:val="auto"/>
                <w:kern w:val="2"/>
                <w:sz w:val="24"/>
                <w:szCs w:val="24"/>
                <w:highlight w:val="none"/>
                <w:lang w:val="en-US" w:eastAsia="zh-CN"/>
              </w:rPr>
              <w:t>10</w:t>
            </w:r>
            <w:r>
              <w:rPr>
                <w:rFonts w:hint="eastAsia" w:hAnsi="宋体" w:cs="宋体"/>
                <w:bCs/>
                <w:color w:val="auto"/>
                <w:kern w:val="2"/>
                <w:sz w:val="24"/>
                <w:szCs w:val="24"/>
                <w:highlight w:val="none"/>
              </w:rPr>
              <w:t>分）：响应文件中提供的售后服务方案，方案包含有项目培训、应急保障方案、保密承诺及廉洁承诺等，有较好的售后响应机制、服务保障措施和人员安排，且描述了项目售后维护和应急保障方案的方法以及实现方式，配备专门的售后团队，有简单的人员安排，方案总体符合采购文件要求；</w:t>
            </w:r>
          </w:p>
          <w:p w14:paraId="1A68E7EA">
            <w:pPr>
              <w:pStyle w:val="19"/>
              <w:spacing w:line="360" w:lineRule="auto"/>
              <w:rPr>
                <w:rFonts w:hint="eastAsia" w:hAnsi="宋体" w:cs="宋体"/>
                <w:bCs/>
                <w:color w:val="auto"/>
                <w:kern w:val="2"/>
                <w:sz w:val="24"/>
                <w:szCs w:val="24"/>
                <w:highlight w:val="none"/>
                <w:lang w:val="en-US" w:eastAsia="zh-CN"/>
              </w:rPr>
            </w:pPr>
            <w:r>
              <w:rPr>
                <w:rFonts w:hint="eastAsia" w:hAnsi="宋体" w:cs="宋体"/>
                <w:bCs/>
                <w:color w:val="auto"/>
                <w:kern w:val="2"/>
                <w:sz w:val="24"/>
                <w:szCs w:val="24"/>
                <w:highlight w:val="none"/>
                <w:lang w:val="en-US" w:eastAsia="zh-CN"/>
              </w:rPr>
              <w:t>四</w:t>
            </w:r>
            <w:r>
              <w:rPr>
                <w:rFonts w:hint="eastAsia" w:hAnsi="宋体" w:cs="宋体"/>
                <w:bCs/>
                <w:color w:val="auto"/>
                <w:kern w:val="2"/>
                <w:sz w:val="24"/>
                <w:szCs w:val="24"/>
                <w:highlight w:val="none"/>
              </w:rPr>
              <w:t>档（</w:t>
            </w:r>
            <w:r>
              <w:rPr>
                <w:rFonts w:hint="eastAsia" w:hAnsi="宋体" w:cs="宋体"/>
                <w:bCs/>
                <w:color w:val="auto"/>
                <w:kern w:val="2"/>
                <w:sz w:val="24"/>
                <w:szCs w:val="24"/>
                <w:highlight w:val="none"/>
                <w:lang w:val="en-US" w:eastAsia="zh-CN"/>
              </w:rPr>
              <w:t>16</w:t>
            </w:r>
            <w:r>
              <w:rPr>
                <w:rFonts w:hint="eastAsia" w:hAnsi="宋体" w:cs="宋体"/>
                <w:bCs/>
                <w:color w:val="auto"/>
                <w:kern w:val="2"/>
                <w:sz w:val="24"/>
                <w:szCs w:val="24"/>
                <w:highlight w:val="none"/>
              </w:rPr>
              <w:t>分）：响应文件中提供的售后服务方案有完善的售后响应机制、</w:t>
            </w:r>
            <w:r>
              <w:rPr>
                <w:rFonts w:hint="eastAsia" w:hAnsi="宋体" w:cs="宋体"/>
                <w:bCs/>
                <w:color w:val="auto"/>
                <w:sz w:val="24"/>
                <w:szCs w:val="28"/>
                <w:highlight w:val="none"/>
              </w:rPr>
              <w:t>有针对本项目提供专门的售后服务技术支持、服务保障方案及应急预案、保密承诺及廉洁承诺等，根据本项目实际情况制定项目售后维护和应急保障方案的方法以及实现方式，方案合理。配备专门的售后团队，人员安排考虑周全，能保证项目后期进展顺利。</w:t>
            </w:r>
          </w:p>
        </w:tc>
      </w:tr>
      <w:tr w14:paraId="1A30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restart"/>
            <w:tcBorders>
              <w:top w:val="single" w:color="auto" w:sz="4" w:space="0"/>
              <w:left w:val="single" w:color="auto" w:sz="4" w:space="0"/>
              <w:right w:val="single" w:color="auto" w:sz="4" w:space="0"/>
            </w:tcBorders>
            <w:vAlign w:val="center"/>
          </w:tcPr>
          <w:p w14:paraId="1AEA93D5">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p>
        </w:tc>
        <w:tc>
          <w:tcPr>
            <w:tcW w:w="1418" w:type="dxa"/>
            <w:vMerge w:val="restart"/>
            <w:tcBorders>
              <w:top w:val="single" w:color="auto" w:sz="4" w:space="0"/>
              <w:left w:val="single" w:color="auto" w:sz="4" w:space="0"/>
              <w:right w:val="single" w:color="auto" w:sz="4" w:space="0"/>
            </w:tcBorders>
            <w:vAlign w:val="center"/>
          </w:tcPr>
          <w:p w14:paraId="438DCA66">
            <w:pPr>
              <w:widowControl/>
              <w:spacing w:line="36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商务分</w:t>
            </w:r>
          </w:p>
          <w:p w14:paraId="1AD669D2">
            <w:pPr>
              <w:adjustRightInd w:val="0"/>
              <w:snapToGrid w:val="0"/>
              <w:spacing w:line="360" w:lineRule="atLeast"/>
              <w:ind w:left="-105" w:leftChars="-50" w:right="-105" w:rightChars="-50"/>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cs="宋体"/>
                <w:b/>
                <w:color w:val="auto"/>
                <w:kern w:val="0"/>
                <w:szCs w:val="21"/>
                <w:highlight w:val="none"/>
              </w:rPr>
              <w:t>（满分1</w:t>
            </w:r>
            <w:r>
              <w:rPr>
                <w:rFonts w:hint="eastAsia" w:ascii="宋体" w:hAnsi="宋体" w:cs="宋体"/>
                <w:b/>
                <w:color w:val="auto"/>
                <w:kern w:val="0"/>
                <w:szCs w:val="21"/>
                <w:highlight w:val="none"/>
                <w:lang w:val="en-US" w:eastAsia="zh-CN"/>
              </w:rPr>
              <w:t>4</w:t>
            </w:r>
            <w:r>
              <w:rPr>
                <w:rFonts w:hint="eastAsia" w:ascii="宋体" w:hAnsi="宋体" w:cs="宋体"/>
                <w:b/>
                <w:color w:val="auto"/>
                <w:kern w:val="0"/>
                <w:szCs w:val="21"/>
                <w:highlight w:val="none"/>
              </w:rPr>
              <w:t>分）</w:t>
            </w:r>
          </w:p>
        </w:tc>
        <w:tc>
          <w:tcPr>
            <w:tcW w:w="992" w:type="dxa"/>
            <w:tcBorders>
              <w:top w:val="single" w:color="auto" w:sz="4" w:space="0"/>
              <w:left w:val="single" w:color="auto" w:sz="4" w:space="0"/>
              <w:bottom w:val="single" w:color="auto" w:sz="4" w:space="0"/>
              <w:right w:val="single" w:color="auto" w:sz="4" w:space="0"/>
            </w:tcBorders>
            <w:vAlign w:val="center"/>
          </w:tcPr>
          <w:p w14:paraId="1E8277BD">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业绩分（满分10分）</w:t>
            </w:r>
          </w:p>
        </w:tc>
        <w:tc>
          <w:tcPr>
            <w:tcW w:w="6606" w:type="dxa"/>
            <w:tcBorders>
              <w:top w:val="single" w:color="auto" w:sz="4" w:space="0"/>
              <w:left w:val="single" w:color="auto" w:sz="4" w:space="0"/>
              <w:bottom w:val="single" w:color="auto" w:sz="4" w:space="0"/>
              <w:right w:val="single" w:color="auto" w:sz="4" w:space="0"/>
            </w:tcBorders>
            <w:vAlign w:val="center"/>
          </w:tcPr>
          <w:p w14:paraId="713D53A8">
            <w:pPr>
              <w:pStyle w:val="19"/>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2022年1月1日至提交响应文件截止时间止，供应商承担过同类项目业绩的，每项得2分，满分10分。【须提供中标（成交）通知书或合同扫描件加盖供应商电子签章，能清晰反映出项目名称、服务内容、发出中标（成交）通知书时间或合同签订时间等内容，否则，不得分。分包、转包合同不得分。】 </w:t>
            </w:r>
          </w:p>
        </w:tc>
      </w:tr>
      <w:tr w14:paraId="6C7F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4" w:type="dxa"/>
            <w:vMerge w:val="continue"/>
            <w:tcBorders>
              <w:left w:val="single" w:color="auto" w:sz="4" w:space="0"/>
              <w:right w:val="single" w:color="auto" w:sz="4" w:space="0"/>
            </w:tcBorders>
            <w:vAlign w:val="center"/>
          </w:tcPr>
          <w:p w14:paraId="6B93C887">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bookmarkStart w:id="138" w:name="_GoBack" w:colFirst="2" w:colLast="3"/>
          </w:p>
        </w:tc>
        <w:tc>
          <w:tcPr>
            <w:tcW w:w="1418" w:type="dxa"/>
            <w:vMerge w:val="continue"/>
            <w:tcBorders>
              <w:left w:val="single" w:color="auto" w:sz="4" w:space="0"/>
              <w:right w:val="single" w:color="auto" w:sz="4" w:space="0"/>
            </w:tcBorders>
            <w:vAlign w:val="center"/>
          </w:tcPr>
          <w:p w14:paraId="1060C3D3">
            <w:pPr>
              <w:adjustRightInd w:val="0"/>
              <w:snapToGrid w:val="0"/>
              <w:spacing w:line="360" w:lineRule="atLeast"/>
              <w:ind w:left="-105" w:leftChars="-50" w:right="-105" w:rightChars="-50"/>
              <w:jc w:val="center"/>
              <w:textAlignment w:val="baseline"/>
              <w:rPr>
                <w:rFonts w:hint="eastAsia" w:ascii="宋体" w:hAnsi="宋体" w:cs="宋体"/>
                <w:b/>
                <w:color w:val="auto"/>
                <w:kern w:val="0"/>
                <w:szCs w:val="21"/>
                <w:highlight w:val="none"/>
              </w:rPr>
            </w:pPr>
          </w:p>
        </w:tc>
        <w:tc>
          <w:tcPr>
            <w:tcW w:w="992" w:type="dxa"/>
            <w:tcBorders>
              <w:top w:val="single" w:color="auto" w:sz="4" w:space="0"/>
              <w:left w:val="single" w:color="auto" w:sz="4" w:space="0"/>
              <w:right w:val="single" w:color="auto" w:sz="4" w:space="0"/>
            </w:tcBorders>
            <w:vAlign w:val="center"/>
          </w:tcPr>
          <w:p w14:paraId="2DDAB0C0">
            <w:pPr>
              <w:adjustRightInd w:val="0"/>
              <w:spacing w:line="360" w:lineRule="auto"/>
              <w:jc w:val="center"/>
              <w:textAlignment w:val="baseline"/>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实力信誉分（满分4分）</w:t>
            </w:r>
          </w:p>
        </w:tc>
        <w:tc>
          <w:tcPr>
            <w:tcW w:w="6606" w:type="dxa"/>
            <w:tcBorders>
              <w:top w:val="single" w:color="auto" w:sz="4" w:space="0"/>
              <w:left w:val="single" w:color="auto" w:sz="4" w:space="0"/>
              <w:bottom w:val="single" w:color="auto" w:sz="4" w:space="0"/>
              <w:right w:val="single" w:color="auto" w:sz="4" w:space="0"/>
            </w:tcBorders>
            <w:vAlign w:val="center"/>
          </w:tcPr>
          <w:p w14:paraId="32199FE3">
            <w:pPr>
              <w:pStyle w:val="19"/>
              <w:spacing w:line="360" w:lineRule="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供应商或软件制造商，自2020年1月1日起至今具有软件开发著作权的，提供相关证明材料，每提供一份计2分，本项最高4分。(须提供软件著作权证书证明材料并加盖公章，未提供或提供无效者不得分）。</w:t>
            </w:r>
          </w:p>
        </w:tc>
      </w:tr>
      <w:bookmarkEnd w:id="138"/>
    </w:tbl>
    <w:p w14:paraId="08F9BD90">
      <w:pPr>
        <w:spacing w:line="360" w:lineRule="auto"/>
        <w:ind w:firstLine="480" w:firstLineChars="200"/>
        <w:rPr>
          <w:rFonts w:ascii="宋体" w:hAnsi="宋体" w:cs="宋体"/>
          <w:color w:val="auto"/>
          <w:highlight w:val="none"/>
        </w:rPr>
      </w:pPr>
      <w:r>
        <w:rPr>
          <w:rFonts w:hint="eastAsia" w:ascii="宋体" w:hAnsi="宋体" w:cs="宋体"/>
          <w:bCs/>
          <w:color w:val="auto"/>
          <w:sz w:val="24"/>
          <w:highlight w:val="none"/>
        </w:rPr>
        <w:t>由磋商小组根据综合评分情况，按照评审得分由高到低顺序推荐3名以上成交候选供应商，并编写评审报告。评审得分相同的，按照最后报价（不计算价格折扣）由低到高的顺序推荐。评审得分且最后报价（不计算价格折扣）相同的，依次按服务评分高的优先、商务评分高的优先的顺序确定成交候选供应商。</w:t>
      </w:r>
    </w:p>
    <w:p w14:paraId="25F1E3BA">
      <w:pPr>
        <w:rPr>
          <w:rFonts w:hint="eastAsia" w:ascii="宋体" w:hAnsi="宋体" w:cs="宋体"/>
          <w:color w:val="auto"/>
          <w:highlight w:val="none"/>
        </w:rPr>
      </w:pPr>
      <w:bookmarkStart w:id="34" w:name="_Toc29529"/>
      <w:r>
        <w:rPr>
          <w:rFonts w:hint="eastAsia" w:ascii="宋体" w:hAnsi="宋体" w:cs="宋体"/>
          <w:color w:val="auto"/>
          <w:highlight w:val="none"/>
        </w:rPr>
        <w:br w:type="page"/>
      </w:r>
    </w:p>
    <w:p w14:paraId="135EB45E">
      <w:pPr>
        <w:pStyle w:val="2"/>
        <w:jc w:val="center"/>
        <w:rPr>
          <w:rFonts w:ascii="宋体" w:hAnsi="宋体" w:cs="宋体"/>
          <w:color w:val="auto"/>
          <w:highlight w:val="none"/>
        </w:rPr>
      </w:pPr>
      <w:r>
        <w:rPr>
          <w:rFonts w:hint="eastAsia" w:ascii="宋体" w:hAnsi="宋体" w:cs="宋体"/>
          <w:color w:val="auto"/>
          <w:highlight w:val="none"/>
        </w:rPr>
        <w:t>第五章 响应文件格式</w:t>
      </w:r>
      <w:bookmarkEnd w:id="34"/>
    </w:p>
    <w:p w14:paraId="4AFD5763">
      <w:pPr>
        <w:spacing w:line="240" w:lineRule="atLeast"/>
        <w:rPr>
          <w:rFonts w:ascii="宋体" w:hAnsi="宋体" w:cs="宋体"/>
          <w:b/>
          <w:color w:val="auto"/>
          <w:sz w:val="32"/>
          <w:szCs w:val="32"/>
          <w:highlight w:val="none"/>
        </w:rPr>
      </w:pPr>
    </w:p>
    <w:p w14:paraId="7FA0FCD6">
      <w:pPr>
        <w:spacing w:line="240" w:lineRule="atLeast"/>
        <w:rPr>
          <w:rFonts w:ascii="宋体" w:hAnsi="宋体" w:cs="宋体"/>
          <w:bCs/>
          <w:color w:val="auto"/>
          <w:sz w:val="32"/>
          <w:szCs w:val="32"/>
          <w:highlight w:val="none"/>
        </w:rPr>
      </w:pPr>
    </w:p>
    <w:p w14:paraId="74C400D5">
      <w:pPr>
        <w:jc w:val="center"/>
        <w:outlineLvl w:val="1"/>
        <w:rPr>
          <w:rFonts w:ascii="宋体" w:hAnsi="宋体" w:cs="宋体"/>
          <w:b/>
          <w:color w:val="auto"/>
          <w:sz w:val="32"/>
          <w:szCs w:val="32"/>
          <w:highlight w:val="none"/>
        </w:rPr>
      </w:pPr>
      <w:bookmarkStart w:id="35" w:name="_Toc31728084"/>
      <w:bookmarkStart w:id="36" w:name="_Toc44229899"/>
      <w:bookmarkStart w:id="37" w:name="_Toc71365925"/>
      <w:bookmarkStart w:id="38" w:name="_Toc35611438"/>
      <w:bookmarkStart w:id="39" w:name="_Toc35611516"/>
      <w:bookmarkStart w:id="40" w:name="_Toc31723070"/>
      <w:r>
        <w:rPr>
          <w:rFonts w:hint="eastAsia" w:ascii="宋体" w:hAnsi="宋体" w:cs="宋体"/>
          <w:b/>
          <w:color w:val="auto"/>
          <w:sz w:val="32"/>
          <w:szCs w:val="32"/>
          <w:highlight w:val="none"/>
        </w:rPr>
        <w:t>一、资格证明文件格式</w:t>
      </w:r>
      <w:bookmarkEnd w:id="35"/>
      <w:bookmarkEnd w:id="36"/>
      <w:bookmarkEnd w:id="37"/>
      <w:bookmarkEnd w:id="38"/>
      <w:bookmarkEnd w:id="39"/>
      <w:bookmarkEnd w:id="40"/>
    </w:p>
    <w:p w14:paraId="6B96FA08">
      <w:pPr>
        <w:snapToGrid w:val="0"/>
        <w:spacing w:before="156" w:beforeLines="50" w:after="50" w:line="360" w:lineRule="auto"/>
        <w:jc w:val="center"/>
        <w:outlineLvl w:val="2"/>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74C5CA90">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7C9B7A19">
      <w:pPr>
        <w:snapToGrid w:val="0"/>
        <w:spacing w:before="156" w:beforeLines="50" w:after="50"/>
        <w:rPr>
          <w:rFonts w:ascii="宋体" w:hAnsi="宋体" w:cs="宋体"/>
          <w:color w:val="auto"/>
          <w:sz w:val="24"/>
          <w:szCs w:val="20"/>
          <w:highlight w:val="none"/>
        </w:rPr>
      </w:pPr>
    </w:p>
    <w:p w14:paraId="22AD74E6">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3DB34F7C">
      <w:pPr>
        <w:snapToGrid w:val="0"/>
        <w:spacing w:before="156" w:beforeLines="50" w:after="50"/>
        <w:jc w:val="center"/>
        <w:rPr>
          <w:rFonts w:ascii="宋体" w:hAnsi="宋体" w:cs="宋体"/>
          <w:bCs/>
          <w:color w:val="auto"/>
          <w:sz w:val="44"/>
          <w:szCs w:val="44"/>
          <w:highlight w:val="none"/>
        </w:rPr>
      </w:pPr>
    </w:p>
    <w:p w14:paraId="109A7236">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资  格  证  明  文  件</w:t>
      </w:r>
    </w:p>
    <w:p w14:paraId="28360B5B">
      <w:pPr>
        <w:snapToGrid w:val="0"/>
        <w:spacing w:before="156" w:beforeLines="50" w:after="50"/>
        <w:rPr>
          <w:rFonts w:ascii="宋体" w:hAnsi="宋体" w:cs="宋体"/>
          <w:bCs/>
          <w:color w:val="auto"/>
          <w:sz w:val="24"/>
          <w:szCs w:val="20"/>
          <w:highlight w:val="none"/>
        </w:rPr>
      </w:pPr>
    </w:p>
    <w:p w14:paraId="0E3CE4E4">
      <w:pPr>
        <w:snapToGrid w:val="0"/>
        <w:spacing w:before="156" w:beforeLines="50" w:after="50"/>
        <w:rPr>
          <w:rFonts w:ascii="宋体" w:hAnsi="宋体" w:cs="宋体"/>
          <w:bCs/>
          <w:color w:val="auto"/>
          <w:sz w:val="22"/>
          <w:szCs w:val="18"/>
          <w:highlight w:val="none"/>
        </w:rPr>
      </w:pPr>
    </w:p>
    <w:p w14:paraId="3ECC733A">
      <w:pPr>
        <w:snapToGrid w:val="0"/>
        <w:spacing w:before="156" w:beforeLines="50" w:after="50"/>
        <w:rPr>
          <w:rFonts w:ascii="宋体" w:hAnsi="宋体" w:cs="宋体"/>
          <w:bCs/>
          <w:color w:val="auto"/>
          <w:sz w:val="22"/>
          <w:szCs w:val="18"/>
          <w:highlight w:val="none"/>
        </w:rPr>
      </w:pPr>
    </w:p>
    <w:p w14:paraId="34C10EB0">
      <w:pPr>
        <w:snapToGrid w:val="0"/>
        <w:spacing w:before="156" w:beforeLines="50" w:after="50"/>
        <w:ind w:firstLine="2396" w:firstLineChars="856"/>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p>
    <w:p w14:paraId="2B78EC76">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p>
    <w:p w14:paraId="331C3CB3">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所竞分标（如有）：</w:t>
      </w:r>
    </w:p>
    <w:p w14:paraId="2AC5436B">
      <w:pPr>
        <w:snapToGrid w:val="0"/>
        <w:spacing w:before="156" w:beforeLines="50" w:after="50"/>
        <w:ind w:firstLine="2396" w:firstLineChars="856"/>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供应商名称：</w:t>
      </w:r>
    </w:p>
    <w:p w14:paraId="7E21869D">
      <w:pPr>
        <w:snapToGrid w:val="0"/>
        <w:spacing w:before="156" w:beforeLines="50" w:after="50"/>
        <w:ind w:firstLine="2396" w:firstLineChars="856"/>
        <w:rPr>
          <w:rFonts w:hint="eastAsia" w:ascii="宋体" w:hAnsi="宋体" w:eastAsia="宋体" w:cs="宋体"/>
          <w:bCs/>
          <w:color w:val="auto"/>
          <w:sz w:val="28"/>
          <w:szCs w:val="28"/>
          <w:highlight w:val="none"/>
        </w:rPr>
      </w:pPr>
    </w:p>
    <w:p w14:paraId="0CEA9FC3">
      <w:pPr>
        <w:pStyle w:val="6"/>
        <w:snapToGrid w:val="0"/>
        <w:spacing w:before="50" w:after="50"/>
        <w:ind w:firstLine="630" w:firstLineChars="225"/>
        <w:rPr>
          <w:rFonts w:ascii="宋体" w:hAnsi="宋体" w:cs="宋体"/>
          <w:bCs/>
          <w:color w:val="auto"/>
          <w:sz w:val="28"/>
          <w:szCs w:val="28"/>
          <w:highlight w:val="none"/>
        </w:rPr>
      </w:pPr>
    </w:p>
    <w:p w14:paraId="3657BE7D">
      <w:pPr>
        <w:pStyle w:val="6"/>
        <w:snapToGrid w:val="0"/>
        <w:spacing w:before="50" w:after="50"/>
        <w:ind w:firstLine="1120" w:firstLineChars="400"/>
        <w:rPr>
          <w:rFonts w:ascii="宋体" w:hAnsi="宋体" w:cs="宋体"/>
          <w:bCs/>
          <w:color w:val="auto"/>
          <w:sz w:val="28"/>
          <w:szCs w:val="28"/>
          <w:highlight w:val="none"/>
        </w:rPr>
      </w:pPr>
    </w:p>
    <w:p w14:paraId="43C6681A">
      <w:pPr>
        <w:snapToGrid w:val="0"/>
        <w:spacing w:before="156" w:beforeLines="50" w:after="50"/>
        <w:jc w:val="center"/>
        <w:rPr>
          <w:rFonts w:ascii="宋体" w:hAnsi="宋体" w:cs="宋体"/>
          <w:color w:val="auto"/>
          <w:sz w:val="28"/>
          <w:szCs w:val="28"/>
          <w:highlight w:val="none"/>
        </w:rPr>
      </w:pPr>
      <w:r>
        <w:rPr>
          <w:rFonts w:hint="eastAsia" w:ascii="宋体" w:hAnsi="宋体" w:cs="宋体"/>
          <w:color w:val="auto"/>
          <w:sz w:val="28"/>
          <w:szCs w:val="28"/>
          <w:highlight w:val="none"/>
        </w:rPr>
        <w:t>年    月    日</w:t>
      </w:r>
    </w:p>
    <w:p w14:paraId="3DC0A763">
      <w:pPr>
        <w:snapToGrid w:val="0"/>
        <w:spacing w:before="156" w:beforeLines="50" w:after="50"/>
        <w:ind w:left="142"/>
        <w:jc w:val="left"/>
        <w:outlineLvl w:val="2"/>
        <w:rPr>
          <w:rFonts w:ascii="宋体" w:hAnsi="宋体" w:cs="宋体"/>
          <w:b/>
          <w:bCs/>
          <w:color w:val="auto"/>
          <w:sz w:val="32"/>
          <w:szCs w:val="32"/>
          <w:highlight w:val="none"/>
        </w:rPr>
      </w:pPr>
      <w:r>
        <w:rPr>
          <w:rFonts w:hint="eastAsia" w:ascii="宋体" w:hAnsi="宋体" w:cs="宋体"/>
          <w:color w:val="auto"/>
          <w:sz w:val="22"/>
          <w:szCs w:val="22"/>
          <w:highlight w:val="none"/>
        </w:rPr>
        <w:br w:type="page"/>
      </w:r>
      <w:r>
        <w:rPr>
          <w:rFonts w:hint="eastAsia" w:ascii="宋体" w:hAnsi="宋体" w:cs="宋体"/>
          <w:b/>
          <w:bCs/>
          <w:color w:val="auto"/>
          <w:sz w:val="32"/>
          <w:szCs w:val="32"/>
          <w:highlight w:val="none"/>
        </w:rPr>
        <w:t>2.资格证明文件目录</w:t>
      </w:r>
    </w:p>
    <w:p w14:paraId="10392ACA">
      <w:pPr>
        <w:snapToGrid w:val="0"/>
        <w:spacing w:before="156" w:beforeLines="50" w:after="50" w:line="360" w:lineRule="auto"/>
        <w:ind w:firstLine="645"/>
        <w:rPr>
          <w:rFonts w:ascii="宋体" w:hAnsi="宋体" w:cs="宋体"/>
          <w:color w:val="auto"/>
          <w:sz w:val="28"/>
          <w:szCs w:val="28"/>
          <w:highlight w:val="none"/>
        </w:rPr>
      </w:pPr>
      <w:r>
        <w:rPr>
          <w:rFonts w:hint="eastAsia" w:ascii="宋体" w:hAnsi="宋体" w:cs="宋体"/>
          <w:color w:val="auto"/>
          <w:sz w:val="28"/>
          <w:szCs w:val="28"/>
          <w:highlight w:val="none"/>
        </w:rPr>
        <w:t>根据磋商文件规定及供应商提供的材料自行编写目录（部分格式后附）。</w:t>
      </w:r>
    </w:p>
    <w:p w14:paraId="5A2C15C5">
      <w:pPr>
        <w:snapToGrid w:val="0"/>
        <w:spacing w:before="156" w:beforeLines="50" w:after="50"/>
        <w:rPr>
          <w:rFonts w:ascii="宋体" w:hAnsi="宋体" w:cs="宋体"/>
          <w:color w:val="auto"/>
          <w:szCs w:val="21"/>
          <w:highlight w:val="none"/>
        </w:rPr>
      </w:pPr>
      <w:r>
        <w:rPr>
          <w:rFonts w:hint="eastAsia" w:ascii="宋体" w:hAnsi="宋体" w:cs="宋体"/>
          <w:color w:val="auto"/>
          <w:sz w:val="22"/>
          <w:szCs w:val="18"/>
          <w:highlight w:val="none"/>
        </w:rPr>
        <w:t xml:space="preserve"> </w:t>
      </w:r>
    </w:p>
    <w:p w14:paraId="7DAA01CA">
      <w:pPr>
        <w:spacing w:line="300" w:lineRule="auto"/>
        <w:rPr>
          <w:rFonts w:ascii="宋体" w:hAnsi="宋体" w:cs="宋体"/>
          <w:color w:val="auto"/>
          <w:szCs w:val="21"/>
          <w:highlight w:val="none"/>
        </w:rPr>
      </w:pPr>
    </w:p>
    <w:p w14:paraId="547CBE61">
      <w:pPr>
        <w:spacing w:line="300" w:lineRule="auto"/>
        <w:rPr>
          <w:rFonts w:ascii="宋体" w:hAnsi="宋体" w:cs="宋体"/>
          <w:color w:val="auto"/>
          <w:szCs w:val="21"/>
          <w:highlight w:val="none"/>
        </w:rPr>
      </w:pPr>
    </w:p>
    <w:p w14:paraId="291746ED">
      <w:pPr>
        <w:spacing w:line="300" w:lineRule="auto"/>
        <w:rPr>
          <w:rFonts w:ascii="宋体" w:hAnsi="宋体" w:cs="宋体"/>
          <w:color w:val="auto"/>
          <w:szCs w:val="21"/>
          <w:highlight w:val="none"/>
        </w:rPr>
      </w:pPr>
    </w:p>
    <w:p w14:paraId="562DC59E">
      <w:pPr>
        <w:spacing w:line="300" w:lineRule="auto"/>
        <w:rPr>
          <w:rFonts w:ascii="宋体" w:hAnsi="宋体" w:cs="宋体"/>
          <w:color w:val="auto"/>
          <w:szCs w:val="21"/>
          <w:highlight w:val="none"/>
        </w:rPr>
      </w:pPr>
    </w:p>
    <w:p w14:paraId="026FF5B8">
      <w:pPr>
        <w:spacing w:line="300" w:lineRule="auto"/>
        <w:rPr>
          <w:rFonts w:ascii="宋体" w:hAnsi="宋体" w:cs="宋体"/>
          <w:color w:val="auto"/>
          <w:szCs w:val="21"/>
          <w:highlight w:val="none"/>
        </w:rPr>
      </w:pPr>
    </w:p>
    <w:p w14:paraId="6101024B">
      <w:pPr>
        <w:spacing w:line="300" w:lineRule="auto"/>
        <w:rPr>
          <w:rFonts w:ascii="宋体" w:hAnsi="宋体" w:cs="宋体"/>
          <w:color w:val="auto"/>
          <w:szCs w:val="21"/>
          <w:highlight w:val="none"/>
        </w:rPr>
      </w:pPr>
    </w:p>
    <w:p w14:paraId="5C811A48">
      <w:pPr>
        <w:jc w:val="center"/>
        <w:rPr>
          <w:rFonts w:ascii="宋体" w:hAnsi="宋体" w:cs="宋体"/>
          <w:b/>
          <w:color w:val="auto"/>
          <w:sz w:val="32"/>
          <w:szCs w:val="32"/>
          <w:highlight w:val="none"/>
        </w:rPr>
      </w:pPr>
      <w:r>
        <w:rPr>
          <w:rFonts w:hint="eastAsia" w:ascii="宋体" w:hAnsi="宋体" w:cs="宋体"/>
          <w:color w:val="auto"/>
          <w:szCs w:val="21"/>
          <w:highlight w:val="none"/>
        </w:rPr>
        <w:br w:type="page"/>
      </w:r>
    </w:p>
    <w:p w14:paraId="5CFEC373">
      <w:pPr>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供应商直接控股、管理关系信息表</w:t>
      </w:r>
    </w:p>
    <w:p w14:paraId="57051453">
      <w:pPr>
        <w:jc w:val="center"/>
        <w:outlineLvl w:val="3"/>
        <w:rPr>
          <w:rFonts w:ascii="宋体" w:hAnsi="宋体" w:cs="宋体"/>
          <w:b/>
          <w:color w:val="auto"/>
          <w:sz w:val="32"/>
          <w:szCs w:val="32"/>
          <w:highlight w:val="none"/>
        </w:rPr>
      </w:pPr>
      <w:r>
        <w:rPr>
          <w:rFonts w:hint="eastAsia" w:ascii="宋体" w:hAnsi="宋体" w:cs="宋体"/>
          <w:b/>
          <w:color w:val="auto"/>
          <w:sz w:val="32"/>
          <w:szCs w:val="32"/>
          <w:highlight w:val="none"/>
        </w:rPr>
        <w:t>（一）供应商</w:t>
      </w:r>
      <w:r>
        <w:rPr>
          <w:rFonts w:hint="eastAsia" w:ascii="宋体" w:hAnsi="宋体" w:cs="宋体"/>
          <w:b/>
          <w:color w:val="auto"/>
          <w:kern w:val="0"/>
          <w:sz w:val="32"/>
          <w:szCs w:val="32"/>
          <w:highlight w:val="none"/>
        </w:rPr>
        <w:t>直接控股股东信息表</w:t>
      </w:r>
    </w:p>
    <w:p w14:paraId="52AA2783">
      <w:pPr>
        <w:snapToGrid w:val="0"/>
        <w:spacing w:before="156" w:beforeLines="50" w:after="50"/>
        <w:jc w:val="center"/>
        <w:rPr>
          <w:rFonts w:ascii="宋体" w:hAnsi="宋体" w:cs="宋体"/>
          <w:b/>
          <w:color w:val="auto"/>
          <w:sz w:val="24"/>
          <w:highlight w:val="none"/>
        </w:rPr>
      </w:pPr>
    </w:p>
    <w:p w14:paraId="1433AD6A">
      <w:pPr>
        <w:spacing w:line="360" w:lineRule="auto"/>
        <w:contextualSpacing/>
        <w:jc w:val="center"/>
        <w:rPr>
          <w:rFonts w:ascii="宋体" w:hAnsi="宋体" w:cs="宋体"/>
          <w:b/>
          <w:color w:val="auto"/>
          <w:sz w:val="24"/>
          <w:highlight w:val="none"/>
        </w:rPr>
      </w:pPr>
    </w:p>
    <w:tbl>
      <w:tblPr>
        <w:tblStyle w:val="31"/>
        <w:tblW w:w="9557" w:type="dxa"/>
        <w:jc w:val="center"/>
        <w:shd w:val="clear" w:color="auto" w:fill="FBFBFB"/>
        <w:tblLayout w:type="fixed"/>
        <w:tblCellMar>
          <w:top w:w="0" w:type="dxa"/>
          <w:left w:w="0" w:type="dxa"/>
          <w:bottom w:w="0" w:type="dxa"/>
          <w:right w:w="0" w:type="dxa"/>
        </w:tblCellMar>
      </w:tblPr>
      <w:tblGrid>
        <w:gridCol w:w="828"/>
        <w:gridCol w:w="2500"/>
        <w:gridCol w:w="1371"/>
        <w:gridCol w:w="4039"/>
        <w:gridCol w:w="819"/>
      </w:tblGrid>
      <w:tr w14:paraId="42A6A136">
        <w:tblPrEx>
          <w:tblCellMar>
            <w:top w:w="0" w:type="dxa"/>
            <w:left w:w="0" w:type="dxa"/>
            <w:bottom w:w="0" w:type="dxa"/>
            <w:right w:w="0" w:type="dxa"/>
          </w:tblCellMar>
        </w:tblPrEx>
        <w:trPr>
          <w:trHeight w:val="532" w:hRule="atLeast"/>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4E52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961E44F">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EAA1E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224B74A">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E21DC5">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FF8ECEC">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BC269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3A7B23B">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1624F0">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5B441B">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F6EB098">
            <w:pPr>
              <w:widowControl/>
              <w:spacing w:line="360" w:lineRule="auto"/>
              <w:contextualSpacing/>
              <w:jc w:val="center"/>
              <w:rPr>
                <w:rFonts w:ascii="宋体" w:hAnsi="宋体" w:cs="宋体"/>
                <w:color w:val="auto"/>
                <w:kern w:val="0"/>
                <w:sz w:val="24"/>
                <w:highlight w:val="none"/>
              </w:rPr>
            </w:pPr>
          </w:p>
        </w:tc>
      </w:tr>
      <w:tr w14:paraId="5782C63D">
        <w:tblPrEx>
          <w:tblCellMar>
            <w:top w:w="0" w:type="dxa"/>
            <w:left w:w="0" w:type="dxa"/>
            <w:bottom w:w="0" w:type="dxa"/>
            <w:right w:w="0" w:type="dxa"/>
          </w:tblCellMar>
        </w:tblPrEx>
        <w:trPr>
          <w:trHeight w:val="53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52CFE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E8CB32">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7BF1A7">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B299D17">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5F1788">
            <w:pPr>
              <w:widowControl/>
              <w:spacing w:line="360" w:lineRule="auto"/>
              <w:contextualSpacing/>
              <w:jc w:val="center"/>
              <w:rPr>
                <w:rFonts w:ascii="宋体" w:hAnsi="宋体" w:cs="宋体"/>
                <w:color w:val="auto"/>
                <w:kern w:val="0"/>
                <w:sz w:val="24"/>
                <w:highlight w:val="none"/>
              </w:rPr>
            </w:pPr>
          </w:p>
        </w:tc>
      </w:tr>
      <w:tr w14:paraId="526D9C52">
        <w:tblPrEx>
          <w:tblCellMar>
            <w:top w:w="0" w:type="dxa"/>
            <w:left w:w="0" w:type="dxa"/>
            <w:bottom w:w="0" w:type="dxa"/>
            <w:right w:w="0" w:type="dxa"/>
          </w:tblCellMar>
        </w:tblPrEx>
        <w:trPr>
          <w:trHeight w:val="544"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7A9F9C">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5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C8FFBF">
            <w:pPr>
              <w:widowControl/>
              <w:spacing w:line="360" w:lineRule="auto"/>
              <w:contextualSpacing/>
              <w:jc w:val="center"/>
              <w:rPr>
                <w:rFonts w:ascii="宋体" w:hAnsi="宋体" w:cs="宋体"/>
                <w:color w:val="auto"/>
                <w:kern w:val="0"/>
                <w:sz w:val="24"/>
                <w:highlight w:val="none"/>
              </w:rPr>
            </w:pPr>
          </w:p>
        </w:tc>
        <w:tc>
          <w:tcPr>
            <w:tcW w:w="1371"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871B24">
            <w:pPr>
              <w:widowControl/>
              <w:spacing w:line="360" w:lineRule="auto"/>
              <w:contextualSpacing/>
              <w:jc w:val="center"/>
              <w:rPr>
                <w:rFonts w:ascii="宋体" w:hAnsi="宋体" w:cs="宋体"/>
                <w:color w:val="auto"/>
                <w:kern w:val="0"/>
                <w:sz w:val="24"/>
                <w:highlight w:val="none"/>
              </w:rPr>
            </w:pPr>
          </w:p>
        </w:tc>
        <w:tc>
          <w:tcPr>
            <w:tcW w:w="403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B831B78">
            <w:pPr>
              <w:widowControl/>
              <w:spacing w:line="360" w:lineRule="auto"/>
              <w:contextualSpacing/>
              <w:jc w:val="center"/>
              <w:rPr>
                <w:rFonts w:ascii="宋体" w:hAnsi="宋体" w:cs="宋体"/>
                <w:color w:val="auto"/>
                <w:kern w:val="0"/>
                <w:sz w:val="24"/>
                <w:highlight w:val="none"/>
              </w:rPr>
            </w:pPr>
          </w:p>
        </w:tc>
        <w:tc>
          <w:tcPr>
            <w:tcW w:w="81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E85C750">
            <w:pPr>
              <w:widowControl/>
              <w:spacing w:line="360" w:lineRule="auto"/>
              <w:contextualSpacing/>
              <w:jc w:val="center"/>
              <w:rPr>
                <w:rFonts w:ascii="宋体" w:hAnsi="宋体" w:cs="宋体"/>
                <w:color w:val="auto"/>
                <w:kern w:val="0"/>
                <w:sz w:val="24"/>
                <w:highlight w:val="none"/>
              </w:rPr>
            </w:pPr>
          </w:p>
        </w:tc>
      </w:tr>
    </w:tbl>
    <w:p w14:paraId="76B37E89">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05354F0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F359F9">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2.本表所指的控股关系仅限于直接控股关系，不包括间接的控股关系。公司实际控制人与公司之间的关系不属于本表所指的直接控股关系。</w:t>
      </w:r>
    </w:p>
    <w:p w14:paraId="225FB672">
      <w:pPr>
        <w:spacing w:line="360" w:lineRule="auto"/>
        <w:ind w:firstLine="480" w:firstLineChars="200"/>
        <w:contextualSpacing/>
        <w:jc w:val="left"/>
        <w:outlineLvl w:val="2"/>
        <w:rPr>
          <w:rFonts w:ascii="楷体" w:hAnsi="楷体" w:eastAsia="楷体" w:cs="宋体"/>
          <w:color w:val="auto"/>
          <w:sz w:val="24"/>
          <w:highlight w:val="none"/>
        </w:rPr>
      </w:pPr>
      <w:r>
        <w:rPr>
          <w:rFonts w:ascii="楷体" w:hAnsi="楷体" w:eastAsia="楷体" w:cs="宋体"/>
          <w:color w:val="auto"/>
          <w:sz w:val="24"/>
          <w:highlight w:val="none"/>
        </w:rPr>
        <w:t>3.供应商不存在直接控股股东的，则填“无”。</w:t>
      </w:r>
    </w:p>
    <w:p w14:paraId="0E5FB94E">
      <w:pPr>
        <w:snapToGrid w:val="0"/>
        <w:spacing w:line="360" w:lineRule="auto"/>
        <w:jc w:val="left"/>
        <w:rPr>
          <w:rFonts w:ascii="宋体" w:hAnsi="宋体" w:cs="宋体"/>
          <w:color w:val="auto"/>
          <w:sz w:val="24"/>
          <w:highlight w:val="none"/>
        </w:rPr>
      </w:pPr>
    </w:p>
    <w:p w14:paraId="75D649E7">
      <w:pPr>
        <w:snapToGrid w:val="0"/>
        <w:spacing w:line="360" w:lineRule="auto"/>
        <w:jc w:val="left"/>
        <w:rPr>
          <w:rFonts w:ascii="宋体" w:hAnsi="宋体" w:cs="宋体"/>
          <w:color w:val="auto"/>
          <w:sz w:val="24"/>
          <w:highlight w:val="none"/>
        </w:rPr>
      </w:pPr>
    </w:p>
    <w:p w14:paraId="6FBAC862">
      <w:pPr>
        <w:snapToGrid w:val="0"/>
        <w:spacing w:line="360" w:lineRule="auto"/>
        <w:jc w:val="left"/>
        <w:rPr>
          <w:rFonts w:ascii="宋体" w:hAnsi="宋体" w:cs="宋体"/>
          <w:color w:val="auto"/>
          <w:sz w:val="24"/>
          <w:highlight w:val="none"/>
        </w:rPr>
      </w:pPr>
    </w:p>
    <w:p w14:paraId="6E94CDCC">
      <w:pPr>
        <w:snapToGrid w:val="0"/>
        <w:spacing w:before="156" w:beforeLines="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60EECDB0">
      <w:pPr>
        <w:snapToGrid w:val="0"/>
        <w:spacing w:before="156" w:beforeLines="50" w:after="50" w:line="360" w:lineRule="auto"/>
        <w:ind w:right="480" w:firstLine="3480" w:firstLineChars="1450"/>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70D69DA4">
      <w:pPr>
        <w:snapToGrid w:val="0"/>
        <w:spacing w:before="156" w:beforeLines="50" w:after="50" w:line="360" w:lineRule="auto"/>
        <w:ind w:right="480" w:firstLine="3600" w:firstLineChars="1500"/>
        <w:rPr>
          <w:rFonts w:ascii="宋体" w:hAnsi="宋体" w:cs="宋体"/>
          <w:color w:val="auto"/>
          <w:sz w:val="28"/>
          <w:szCs w:val="28"/>
          <w:highlight w:val="none"/>
        </w:rPr>
      </w:pPr>
      <w:r>
        <w:rPr>
          <w:rFonts w:hint="eastAsia" w:hAnsi="宋体" w:cs="宋体"/>
          <w:color w:val="auto"/>
          <w:sz w:val="24"/>
          <w:highlight w:val="none"/>
        </w:rPr>
        <w:t>日期：</w:t>
      </w:r>
      <w:r>
        <w:rPr>
          <w:rFonts w:hint="eastAsia" w:hAnsi="宋体" w:cs="宋体"/>
          <w:color w:val="auto"/>
          <w:sz w:val="24"/>
          <w:highlight w:val="none"/>
          <w:u w:val="single"/>
        </w:rPr>
        <w:t xml:space="preserve"> </w:t>
      </w:r>
      <w:r>
        <w:rPr>
          <w:rFonts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03A80E95">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F275318">
      <w:pPr>
        <w:jc w:val="center"/>
        <w:outlineLvl w:val="3"/>
        <w:rPr>
          <w:rFonts w:ascii="宋体" w:hAnsi="宋体" w:cs="宋体"/>
          <w:b/>
          <w:color w:val="auto"/>
          <w:sz w:val="32"/>
          <w:szCs w:val="32"/>
          <w:highlight w:val="none"/>
        </w:rPr>
      </w:pPr>
      <w:r>
        <w:rPr>
          <w:rFonts w:hint="eastAsia" w:ascii="宋体" w:hAnsi="宋体" w:cs="宋体"/>
          <w:b/>
          <w:color w:val="auto"/>
          <w:sz w:val="32"/>
          <w:szCs w:val="32"/>
          <w:highlight w:val="none"/>
        </w:rPr>
        <w:t>（二）供应商直接管理关系信息表</w:t>
      </w:r>
    </w:p>
    <w:p w14:paraId="2EFD78E3">
      <w:pPr>
        <w:snapToGrid w:val="0"/>
        <w:spacing w:line="360" w:lineRule="auto"/>
        <w:jc w:val="center"/>
        <w:rPr>
          <w:rFonts w:ascii="宋体" w:hAnsi="宋体" w:cs="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2A9F3C0">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CE56A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E4A6D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1B84936">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4D6289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C4921F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382A64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42A0FC">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84836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19F6B">
            <w:pPr>
              <w:widowControl/>
              <w:spacing w:line="360" w:lineRule="auto"/>
              <w:contextualSpacing/>
              <w:jc w:val="center"/>
              <w:rPr>
                <w:rFonts w:ascii="宋体" w:hAnsi="宋体" w:cs="宋体"/>
                <w:color w:val="auto"/>
                <w:kern w:val="0"/>
                <w:sz w:val="24"/>
                <w:highlight w:val="none"/>
              </w:rPr>
            </w:pPr>
          </w:p>
        </w:tc>
      </w:tr>
      <w:tr w14:paraId="454480B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1AF28E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6EDB7D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3520D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5B68B62">
            <w:pPr>
              <w:widowControl/>
              <w:spacing w:line="360" w:lineRule="auto"/>
              <w:contextualSpacing/>
              <w:jc w:val="center"/>
              <w:rPr>
                <w:rFonts w:ascii="宋体" w:hAnsi="宋体" w:cs="宋体"/>
                <w:color w:val="auto"/>
                <w:kern w:val="0"/>
                <w:sz w:val="24"/>
                <w:highlight w:val="none"/>
              </w:rPr>
            </w:pPr>
          </w:p>
        </w:tc>
      </w:tr>
      <w:tr w14:paraId="60033EF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B0F027">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AB497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15C86F">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F59B06">
            <w:pPr>
              <w:widowControl/>
              <w:spacing w:line="360" w:lineRule="auto"/>
              <w:contextualSpacing/>
              <w:jc w:val="center"/>
              <w:rPr>
                <w:rFonts w:ascii="宋体" w:hAnsi="宋体" w:cs="宋体"/>
                <w:color w:val="auto"/>
                <w:kern w:val="0"/>
                <w:sz w:val="24"/>
                <w:highlight w:val="none"/>
              </w:rPr>
            </w:pPr>
          </w:p>
        </w:tc>
      </w:tr>
      <w:tr w14:paraId="0EA3E42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3511B64">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B76C113">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C07E83B">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DEC579">
            <w:pPr>
              <w:widowControl/>
              <w:spacing w:line="360" w:lineRule="auto"/>
              <w:contextualSpacing/>
              <w:jc w:val="center"/>
              <w:rPr>
                <w:rFonts w:ascii="宋体" w:hAnsi="宋体" w:cs="宋体"/>
                <w:color w:val="auto"/>
                <w:kern w:val="0"/>
                <w:sz w:val="24"/>
                <w:highlight w:val="none"/>
              </w:rPr>
            </w:pPr>
          </w:p>
        </w:tc>
      </w:tr>
    </w:tbl>
    <w:p w14:paraId="479AC26C">
      <w:pPr>
        <w:spacing w:line="360" w:lineRule="auto"/>
        <w:contextualSpacing/>
        <w:jc w:val="left"/>
        <w:rPr>
          <w:rFonts w:ascii="楷体" w:hAnsi="楷体" w:eastAsia="楷体" w:cs="宋体"/>
          <w:b/>
          <w:color w:val="auto"/>
          <w:sz w:val="24"/>
          <w:highlight w:val="none"/>
        </w:rPr>
      </w:pPr>
      <w:r>
        <w:rPr>
          <w:rFonts w:hint="eastAsia" w:ascii="楷体" w:hAnsi="楷体" w:eastAsia="楷体" w:cs="宋体"/>
          <w:b/>
          <w:color w:val="auto"/>
          <w:sz w:val="24"/>
          <w:highlight w:val="none"/>
        </w:rPr>
        <w:t>注：</w:t>
      </w:r>
    </w:p>
    <w:p w14:paraId="4B1BC8ED">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1.管理关系：是指不具有出资持股关系的其他单位之间存在的管理与被管理关系，如一些上下级关系的事业单位和团体组织。</w:t>
      </w:r>
    </w:p>
    <w:p w14:paraId="62021BD8">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2.</w:t>
      </w:r>
      <w:r>
        <w:rPr>
          <w:rFonts w:hint="eastAsia" w:ascii="楷体" w:hAnsi="楷体" w:eastAsia="楷体" w:cs="宋体"/>
          <w:color w:val="auto"/>
          <w:spacing w:val="-6"/>
          <w:sz w:val="24"/>
          <w:highlight w:val="none"/>
        </w:rPr>
        <w:t>本表所指的管理关系仅限于直接管理关系，不包括间接的管理关系。</w:t>
      </w:r>
    </w:p>
    <w:p w14:paraId="1D0915F5">
      <w:pPr>
        <w:spacing w:line="360" w:lineRule="auto"/>
        <w:ind w:firstLine="480" w:firstLineChars="200"/>
        <w:contextualSpacing/>
        <w:jc w:val="left"/>
        <w:outlineLvl w:val="2"/>
        <w:rPr>
          <w:rFonts w:ascii="楷体" w:hAnsi="楷体" w:eastAsia="楷体" w:cs="宋体"/>
          <w:color w:val="auto"/>
          <w:sz w:val="24"/>
          <w:highlight w:val="none"/>
        </w:rPr>
      </w:pPr>
      <w:r>
        <w:rPr>
          <w:rFonts w:ascii="楷体" w:hAnsi="楷体" w:eastAsia="楷体" w:cs="宋体"/>
          <w:color w:val="auto"/>
          <w:sz w:val="24"/>
          <w:highlight w:val="none"/>
        </w:rPr>
        <w:t>3.供应商不存在直接管理关系的，则填“无”。</w:t>
      </w:r>
    </w:p>
    <w:p w14:paraId="51AB0D1A">
      <w:pPr>
        <w:spacing w:line="360" w:lineRule="auto"/>
        <w:contextualSpacing/>
        <w:jc w:val="left"/>
        <w:rPr>
          <w:rFonts w:ascii="宋体" w:hAnsi="宋体" w:cs="宋体"/>
          <w:color w:val="auto"/>
          <w:sz w:val="24"/>
          <w:highlight w:val="none"/>
        </w:rPr>
      </w:pPr>
    </w:p>
    <w:p w14:paraId="06E4A405">
      <w:pPr>
        <w:spacing w:line="360" w:lineRule="auto"/>
        <w:contextualSpacing/>
        <w:jc w:val="left"/>
        <w:rPr>
          <w:rFonts w:ascii="宋体" w:hAnsi="宋体" w:cs="宋体"/>
          <w:color w:val="auto"/>
          <w:sz w:val="24"/>
          <w:highlight w:val="none"/>
        </w:rPr>
      </w:pPr>
    </w:p>
    <w:p w14:paraId="2F542C86">
      <w:pPr>
        <w:spacing w:line="360" w:lineRule="auto"/>
        <w:contextualSpacing/>
        <w:jc w:val="left"/>
        <w:rPr>
          <w:rFonts w:ascii="宋体" w:hAnsi="宋体" w:cs="宋体"/>
          <w:color w:val="auto"/>
          <w:sz w:val="24"/>
          <w:highlight w:val="none"/>
        </w:rPr>
      </w:pPr>
    </w:p>
    <w:p w14:paraId="2CE4192E">
      <w:pPr>
        <w:spacing w:line="360" w:lineRule="auto"/>
        <w:contextualSpacing/>
        <w:jc w:val="left"/>
        <w:rPr>
          <w:rFonts w:ascii="宋体" w:hAnsi="宋体" w:cs="宋体"/>
          <w:color w:val="auto"/>
          <w:sz w:val="24"/>
          <w:highlight w:val="none"/>
        </w:rPr>
      </w:pPr>
    </w:p>
    <w:p w14:paraId="4221E43D">
      <w:pPr>
        <w:spacing w:line="360" w:lineRule="auto"/>
        <w:contextualSpacing/>
        <w:jc w:val="left"/>
        <w:rPr>
          <w:rFonts w:ascii="宋体" w:hAnsi="宋体" w:cs="宋体"/>
          <w:color w:val="auto"/>
          <w:sz w:val="24"/>
          <w:highlight w:val="none"/>
        </w:rPr>
      </w:pPr>
    </w:p>
    <w:p w14:paraId="2B760EF4">
      <w:pPr>
        <w:spacing w:line="360" w:lineRule="auto"/>
        <w:contextualSpacing/>
        <w:jc w:val="left"/>
        <w:rPr>
          <w:rFonts w:ascii="宋体" w:hAnsi="宋体" w:cs="宋体"/>
          <w:color w:val="auto"/>
          <w:sz w:val="24"/>
          <w:highlight w:val="none"/>
        </w:rPr>
      </w:pPr>
    </w:p>
    <w:p w14:paraId="7CA1A9E2">
      <w:pPr>
        <w:spacing w:line="360" w:lineRule="auto"/>
        <w:ind w:right="480" w:firstLine="3360" w:firstLineChars="1400"/>
        <w:contextualSpacing/>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14:paraId="0B95F4DC">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5C68DA3A">
      <w:pPr>
        <w:spacing w:line="360" w:lineRule="auto"/>
        <w:ind w:right="480" w:firstLine="240" w:firstLineChars="100"/>
        <w:contextualSpacing/>
        <w:jc w:val="center"/>
        <w:rPr>
          <w:rFonts w:ascii="宋体" w:hAnsi="宋体" w:cs="宋体"/>
          <w:color w:val="auto"/>
          <w:sz w:val="28"/>
          <w:szCs w:val="28"/>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CB6DE15">
      <w:pPr>
        <w:jc w:val="center"/>
        <w:rPr>
          <w:rFonts w:ascii="宋体" w:hAnsi="宋体" w:cs="宋体"/>
          <w:b/>
          <w:color w:val="auto"/>
          <w:sz w:val="32"/>
          <w:szCs w:val="32"/>
          <w:highlight w:val="none"/>
        </w:rPr>
      </w:pPr>
      <w:r>
        <w:rPr>
          <w:rFonts w:hint="eastAsia" w:ascii="宋体" w:hAnsi="宋体" w:cs="宋体"/>
          <w:color w:val="auto"/>
          <w:sz w:val="28"/>
          <w:szCs w:val="28"/>
          <w:highlight w:val="none"/>
        </w:rPr>
        <w:br w:type="page"/>
      </w:r>
      <w:r>
        <w:rPr>
          <w:rFonts w:hint="eastAsia" w:ascii="宋体" w:hAnsi="宋体" w:cs="宋体"/>
          <w:b/>
          <w:color w:val="auto"/>
          <w:sz w:val="32"/>
          <w:szCs w:val="32"/>
          <w:highlight w:val="none"/>
        </w:rPr>
        <w:t>参与竞争性磋商声明</w:t>
      </w:r>
    </w:p>
    <w:p w14:paraId="12BC8C6A">
      <w:pPr>
        <w:spacing w:line="320" w:lineRule="exact"/>
        <w:jc w:val="center"/>
        <w:rPr>
          <w:rFonts w:ascii="宋体" w:hAnsi="宋体" w:cs="宋体"/>
          <w:color w:val="auto"/>
          <w:sz w:val="24"/>
          <w:szCs w:val="20"/>
          <w:highlight w:val="none"/>
        </w:rPr>
      </w:pPr>
    </w:p>
    <w:p w14:paraId="1A96F7AD">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446917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EEB533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项目的竞争性磋商，为便于贵方公正、择优地确定成交供应商及其参与竞争性磋商提供的产品和服务，我方就本次参与竞争性磋商有关事项郑重声明如下：</w:t>
      </w:r>
    </w:p>
    <w:p w14:paraId="2BA698AB">
      <w:pPr>
        <w:spacing w:line="360" w:lineRule="auto"/>
        <w:ind w:firstLine="480" w:firstLineChars="200"/>
        <w:contextualSpacing/>
        <w:outlineLvl w:val="2"/>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668077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0EB81072">
      <w:pPr>
        <w:spacing w:line="360" w:lineRule="auto"/>
        <w:ind w:firstLine="480" w:firstLineChars="200"/>
        <w:contextualSpacing/>
        <w:outlineLvl w:val="2"/>
        <w:rPr>
          <w:rFonts w:ascii="宋体" w:hAnsi="宋体" w:cs="宋体"/>
          <w:color w:val="auto"/>
          <w:sz w:val="24"/>
          <w:highlight w:val="none"/>
        </w:rPr>
      </w:pPr>
      <w:r>
        <w:rPr>
          <w:rFonts w:hint="eastAsia" w:ascii="宋体" w:hAnsi="宋体" w:cs="宋体"/>
          <w:color w:val="auto"/>
          <w:sz w:val="24"/>
          <w:highlight w:val="none"/>
        </w:rPr>
        <w:t>3.在此，我方宣布同意如下：</w:t>
      </w:r>
    </w:p>
    <w:p w14:paraId="09F8F4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48A332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3DA13EE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71272F3C">
      <w:pPr>
        <w:spacing w:line="360" w:lineRule="auto"/>
        <w:ind w:firstLine="480" w:firstLineChars="200"/>
        <w:contextualSpacing/>
        <w:outlineLvl w:val="3"/>
        <w:rPr>
          <w:rFonts w:ascii="宋体" w:hAnsi="宋体" w:cs="宋体"/>
          <w:color w:val="auto"/>
          <w:sz w:val="24"/>
          <w:highlight w:val="none"/>
        </w:rPr>
      </w:pPr>
      <w:r>
        <w:rPr>
          <w:rFonts w:hint="eastAsia" w:ascii="宋体" w:hAnsi="宋体" w:cs="宋体"/>
          <w:color w:val="auto"/>
          <w:sz w:val="24"/>
          <w:highlight w:val="none"/>
        </w:rPr>
        <w:t>（4）响应磋商文件规定的竞争性磋商有效期。</w:t>
      </w:r>
    </w:p>
    <w:p w14:paraId="43FF95A1">
      <w:pPr>
        <w:spacing w:line="360" w:lineRule="auto"/>
        <w:ind w:firstLine="480" w:firstLineChars="200"/>
        <w:contextualSpacing/>
        <w:outlineLvl w:val="2"/>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73C3F1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6092C05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D0A23E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4F77BB7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32F300D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73439104">
      <w:pPr>
        <w:spacing w:line="360" w:lineRule="auto"/>
        <w:ind w:firstLine="480" w:firstLineChars="200"/>
        <w:contextualSpacing/>
        <w:outlineLvl w:val="3"/>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B9C748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E0C98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0D8B583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423A3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8C2348D">
      <w:pPr>
        <w:pStyle w:val="19"/>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邮政编码：</w:t>
      </w:r>
      <w:r>
        <w:rPr>
          <w:rFonts w:hint="eastAsia" w:hAnsi="宋体" w:cs="宋体"/>
          <w:color w:val="auto"/>
          <w:sz w:val="24"/>
          <w:szCs w:val="24"/>
          <w:highlight w:val="none"/>
          <w:u w:val="single"/>
        </w:rPr>
        <w:t xml:space="preserve">        </w:t>
      </w:r>
    </w:p>
    <w:p w14:paraId="750C1E2A">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B1BCC2A">
      <w:pPr>
        <w:pStyle w:val="18"/>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账号</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B0BE581">
      <w:pPr>
        <w:pStyle w:val="18"/>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321DA431">
      <w:pPr>
        <w:pStyle w:val="18"/>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我方若参与竞争性磋商成功，除非发生不可抗力，承诺与采购人及时签订《合同书》。如果放弃，自愿按照本磋商文件之《供应商须知正文》条款第2</w:t>
      </w:r>
      <w:r>
        <w:rPr>
          <w:rFonts w:ascii="宋体" w:hAnsi="宋体" w:cs="宋体"/>
          <w:color w:val="auto"/>
          <w:sz w:val="24"/>
          <w:highlight w:val="none"/>
        </w:rPr>
        <w:t>7.3</w:t>
      </w:r>
      <w:r>
        <w:rPr>
          <w:rFonts w:hint="eastAsia" w:ascii="宋体" w:hAnsi="宋体" w:cs="宋体"/>
          <w:color w:val="auto"/>
          <w:sz w:val="24"/>
          <w:highlight w:val="none"/>
        </w:rPr>
        <w:t>条的要求承担法律责任和失信惩戒。</w:t>
      </w:r>
    </w:p>
    <w:p w14:paraId="7DAC8E78">
      <w:pPr>
        <w:pStyle w:val="18"/>
        <w:tabs>
          <w:tab w:val="left" w:pos="939"/>
        </w:tabs>
        <w:spacing w:line="360" w:lineRule="auto"/>
        <w:ind w:left="0" w:leftChars="0"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529B0598">
      <w:pPr>
        <w:pStyle w:val="18"/>
        <w:tabs>
          <w:tab w:val="left" w:pos="939"/>
        </w:tabs>
        <w:spacing w:line="360" w:lineRule="auto"/>
        <w:ind w:left="0" w:leftChars="0" w:firstLine="482" w:firstLineChars="200"/>
        <w:rPr>
          <w:rFonts w:ascii="楷体" w:hAnsi="楷体" w:eastAsia="楷体" w:cs="宋体"/>
          <w:b/>
          <w:color w:val="auto"/>
          <w:sz w:val="24"/>
          <w:highlight w:val="none"/>
        </w:rPr>
      </w:pPr>
      <w:r>
        <w:rPr>
          <w:rFonts w:hint="eastAsia" w:ascii="楷体" w:hAnsi="楷体" w:eastAsia="楷体" w:cs="宋体"/>
          <w:b/>
          <w:color w:val="auto"/>
          <w:sz w:val="24"/>
          <w:highlight w:val="none"/>
        </w:rPr>
        <w:t>注：如为联合体参与竞争性磋商，盖章处须加盖联合体各方公章并由联合体各方法定代表人签署，否则其响应文件按无效响应处理。</w:t>
      </w:r>
    </w:p>
    <w:p w14:paraId="22D119C2">
      <w:pPr>
        <w:pStyle w:val="18"/>
        <w:tabs>
          <w:tab w:val="left" w:pos="939"/>
        </w:tabs>
        <w:spacing w:line="360" w:lineRule="auto"/>
        <w:ind w:left="0" w:leftChars="0" w:firstLine="480" w:firstLineChars="200"/>
        <w:rPr>
          <w:rFonts w:ascii="宋体" w:hAnsi="宋体" w:cs="宋体"/>
          <w:color w:val="auto"/>
          <w:sz w:val="24"/>
          <w:highlight w:val="none"/>
        </w:rPr>
      </w:pPr>
    </w:p>
    <w:p w14:paraId="2A22BFBD">
      <w:pPr>
        <w:spacing w:line="360" w:lineRule="auto"/>
        <w:ind w:firstLine="4320" w:firstLineChars="1800"/>
        <w:contextualSpacing/>
        <w:rPr>
          <w:rFonts w:ascii="宋体" w:hAnsi="宋体" w:cs="宋体"/>
          <w:color w:val="auto"/>
          <w:sz w:val="24"/>
          <w:highlight w:val="none"/>
          <w:u w:val="single"/>
        </w:rPr>
      </w:pPr>
      <w:r>
        <w:rPr>
          <w:rFonts w:hint="eastAsia" w:ascii="宋体" w:hAnsi="宋体" w:cs="宋体"/>
          <w:color w:val="auto"/>
          <w:sz w:val="24"/>
          <w:highlight w:val="none"/>
        </w:rPr>
        <w:t>法定代表人（签字）：</w:t>
      </w:r>
      <w:r>
        <w:rPr>
          <w:rFonts w:hint="eastAsia" w:ascii="宋体" w:hAnsi="宋体" w:cs="宋体"/>
          <w:color w:val="auto"/>
          <w:sz w:val="24"/>
          <w:highlight w:val="none"/>
          <w:u w:val="single"/>
        </w:rPr>
        <w:t xml:space="preserve">                </w:t>
      </w:r>
    </w:p>
    <w:p w14:paraId="67D82CB6">
      <w:pPr>
        <w:spacing w:line="360" w:lineRule="auto"/>
        <w:ind w:firstLine="240" w:firstLineChars="10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p>
    <w:p w14:paraId="094BBF9A">
      <w:pPr>
        <w:spacing w:line="360" w:lineRule="auto"/>
        <w:ind w:firstLine="240" w:firstLineChars="1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1C814C0">
      <w:pPr>
        <w:pStyle w:val="6"/>
        <w:overflowPunct w:val="0"/>
        <w:spacing w:line="360" w:lineRule="auto"/>
        <w:ind w:firstLine="0"/>
        <w:jc w:val="center"/>
        <w:rPr>
          <w:rFonts w:ascii="宋体" w:hAnsi="宋体" w:cs="宋体"/>
          <w:color w:val="auto"/>
          <w:sz w:val="44"/>
          <w:szCs w:val="44"/>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联合体参与竞争性磋商协议书</w:t>
      </w:r>
    </w:p>
    <w:p w14:paraId="5526E82A">
      <w:pPr>
        <w:pStyle w:val="6"/>
        <w:overflowPunct w:val="0"/>
        <w:spacing w:line="360" w:lineRule="auto"/>
        <w:ind w:firstLine="0"/>
        <w:rPr>
          <w:rFonts w:ascii="宋体" w:hAnsi="宋体" w:cs="宋体"/>
          <w:color w:val="auto"/>
          <w:sz w:val="24"/>
          <w:szCs w:val="24"/>
          <w:highlight w:val="none"/>
        </w:rPr>
      </w:pPr>
    </w:p>
    <w:p w14:paraId="782D9C02">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（所有成员单位名称）自愿组成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（项目名称）采购项目</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。现就联合体参与</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事宜订立如下协议。</w:t>
      </w:r>
    </w:p>
    <w:p w14:paraId="17E8B952">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415B66F8">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2.联合体各成员授权牵头人代表联合体参加竞标活动，签署文件及对文件的盖章，提交和接收相关的资料、信息及指示，进行合同磋商活动，负责合同实施阶段的组织和协调工作，以及处理与本</w:t>
      </w:r>
      <w:r>
        <w:rPr>
          <w:rFonts w:hint="eastAsia" w:ascii="宋体" w:hAnsi="宋体" w:cs="宋体"/>
          <w:color w:val="auto"/>
          <w:sz w:val="24"/>
          <w:highlight w:val="none"/>
        </w:rPr>
        <w:t>竞争性磋商</w:t>
      </w:r>
      <w:r>
        <w:rPr>
          <w:rFonts w:hint="eastAsia" w:ascii="宋体" w:hAnsi="宋体" w:cs="宋体"/>
          <w:color w:val="auto"/>
          <w:sz w:val="24"/>
          <w:szCs w:val="24"/>
          <w:highlight w:val="none"/>
        </w:rPr>
        <w:t>项目有关的一切事宜。</w:t>
      </w:r>
    </w:p>
    <w:p w14:paraId="1B1B8475">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3.联合体牵头人在本项目中签署和盖章的一切文件和处理的一切事宜，联合体各成员均予以承认。联合体各成员将严格按照磋商文件、响应文件和合同的要求全面履行义务，并向采购人承担连带责任。</w:t>
      </w:r>
    </w:p>
    <w:p w14:paraId="564DC627">
      <w:pPr>
        <w:pStyle w:val="6"/>
        <w:overflowPunct w:val="0"/>
        <w:spacing w:line="360" w:lineRule="auto"/>
        <w:ind w:firstLine="480" w:firstLineChars="200"/>
        <w:contextualSpacing/>
        <w:outlineLvl w:val="2"/>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7C9D324">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协议书自所有成员单位法定代表人（单位负责人）或者其委托代理人签字或者盖单位章之日起生效，合同履行完毕后自动失效。</w:t>
      </w:r>
    </w:p>
    <w:p w14:paraId="02173C0D">
      <w:pPr>
        <w:pStyle w:val="6"/>
        <w:overflowPunct w:val="0"/>
        <w:spacing w:line="360" w:lineRule="auto"/>
        <w:ind w:firstLine="480" w:firstLineChars="200"/>
        <w:contextualSpacing/>
        <w:outlineLvl w:val="2"/>
        <w:rPr>
          <w:rFonts w:ascii="宋体" w:hAnsi="宋体" w:cs="宋体"/>
          <w:color w:val="auto"/>
          <w:sz w:val="24"/>
          <w:szCs w:val="24"/>
          <w:highlight w:val="none"/>
        </w:rPr>
      </w:pPr>
      <w:r>
        <w:rPr>
          <w:rFonts w:hint="eastAsia" w:ascii="宋体" w:hAnsi="宋体" w:cs="宋体"/>
          <w:color w:val="auto"/>
          <w:sz w:val="24"/>
          <w:szCs w:val="24"/>
          <w:highlight w:val="none"/>
        </w:rPr>
        <w:t>6.本协议书一式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份，联合体成员和采购人各执壹份。</w:t>
      </w:r>
    </w:p>
    <w:p w14:paraId="552BC8F1">
      <w:pPr>
        <w:pStyle w:val="6"/>
        <w:overflowPunct w:val="0"/>
        <w:spacing w:line="360" w:lineRule="auto"/>
        <w:ind w:firstLine="482" w:firstLineChars="200"/>
        <w:contextualSpacing/>
        <w:rPr>
          <w:rFonts w:ascii="楷体" w:hAnsi="楷体" w:eastAsia="楷体" w:cs="宋体"/>
          <w:color w:val="auto"/>
          <w:sz w:val="24"/>
          <w:szCs w:val="24"/>
          <w:highlight w:val="none"/>
        </w:rPr>
      </w:pPr>
      <w:r>
        <w:rPr>
          <w:rFonts w:hint="eastAsia" w:ascii="楷体" w:hAnsi="楷体" w:eastAsia="楷体" w:cs="宋体"/>
          <w:b/>
          <w:color w:val="auto"/>
          <w:sz w:val="24"/>
          <w:szCs w:val="24"/>
          <w:highlight w:val="none"/>
        </w:rPr>
        <w:t>注：</w:t>
      </w:r>
      <w:r>
        <w:rPr>
          <w:rFonts w:hint="eastAsia" w:ascii="楷体" w:hAnsi="楷体" w:eastAsia="楷体" w:cs="宋体"/>
          <w:color w:val="auto"/>
          <w:sz w:val="24"/>
          <w:szCs w:val="24"/>
          <w:highlight w:val="none"/>
        </w:rPr>
        <w:t>本协议书由法定代表人（单位负责人）签字的，应附法定代表人（单位负责人）身份证明书；由委托代理人签字的，应附联合体协议签订授权委托书（格式自拟）。</w:t>
      </w:r>
    </w:p>
    <w:p w14:paraId="2DE8EA79">
      <w:pPr>
        <w:pStyle w:val="6"/>
        <w:overflowPunct w:val="0"/>
        <w:spacing w:line="360" w:lineRule="auto"/>
        <w:ind w:firstLineChars="175"/>
        <w:contextualSpacing/>
        <w:rPr>
          <w:rFonts w:ascii="宋体" w:hAnsi="宋体" w:cs="宋体"/>
          <w:color w:val="auto"/>
          <w:sz w:val="24"/>
          <w:szCs w:val="24"/>
          <w:highlight w:val="none"/>
        </w:rPr>
      </w:pPr>
    </w:p>
    <w:p w14:paraId="6F99EED7">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联合体牵头人名称（盖公章）：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14CA98F2">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5BC93E60">
      <w:pPr>
        <w:pStyle w:val="6"/>
        <w:overflowPunct w:val="0"/>
        <w:spacing w:line="360" w:lineRule="auto"/>
        <w:ind w:firstLineChars="175"/>
        <w:contextualSpacing/>
        <w:rPr>
          <w:rFonts w:ascii="宋体" w:hAnsi="宋体" w:cs="宋体"/>
          <w:color w:val="auto"/>
          <w:sz w:val="24"/>
          <w:szCs w:val="24"/>
          <w:highlight w:val="none"/>
        </w:rPr>
      </w:pPr>
    </w:p>
    <w:p w14:paraId="770360C1">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74FE3C9">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34296305">
      <w:pPr>
        <w:pStyle w:val="6"/>
        <w:overflowPunct w:val="0"/>
        <w:spacing w:line="360" w:lineRule="auto"/>
        <w:ind w:firstLineChars="175"/>
        <w:contextualSpacing/>
        <w:rPr>
          <w:rFonts w:ascii="宋体" w:hAnsi="宋体" w:cs="宋体"/>
          <w:color w:val="auto"/>
          <w:sz w:val="24"/>
          <w:szCs w:val="24"/>
          <w:highlight w:val="none"/>
        </w:rPr>
      </w:pPr>
    </w:p>
    <w:p w14:paraId="75AFDF49">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联合体成员名称（盖公章）：</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42407327">
      <w:pPr>
        <w:pStyle w:val="6"/>
        <w:overflowPunct w:val="0"/>
        <w:spacing w:line="360" w:lineRule="auto"/>
        <w:ind w:firstLineChars="175"/>
        <w:contextualSpacing/>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法定代表人（单位负责人）或者其委托代理人（签字）：</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080716C5">
      <w:pPr>
        <w:pStyle w:val="6"/>
        <w:overflowPunct w:val="0"/>
        <w:spacing w:line="360" w:lineRule="auto"/>
        <w:ind w:firstLineChars="175"/>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533C42F6">
      <w:pPr>
        <w:spacing w:line="360" w:lineRule="auto"/>
        <w:ind w:right="480" w:firstLine="240" w:firstLineChars="100"/>
        <w:contextualSpacing/>
        <w:jc w:val="center"/>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ab/>
      </w:r>
      <w:r>
        <w:rPr>
          <w:rFonts w:hint="eastAsia" w:ascii="宋体" w:hAnsi="宋体" w:cs="宋体"/>
          <w:color w:val="auto"/>
          <w:sz w:val="24"/>
          <w:highlight w:val="none"/>
        </w:rPr>
        <w:t>日</w:t>
      </w:r>
    </w:p>
    <w:p w14:paraId="585B44D7">
      <w:pPr>
        <w:snapToGrid w:val="0"/>
        <w:spacing w:before="156" w:beforeLines="50" w:after="50" w:line="360" w:lineRule="auto"/>
        <w:ind w:right="480"/>
        <w:outlineLvl w:val="1"/>
        <w:rPr>
          <w:rFonts w:hint="eastAsia"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17" w:right="1417" w:bottom="1417" w:left="1417" w:header="851" w:footer="567" w:gutter="0"/>
          <w:cols w:space="720" w:num="1"/>
          <w:titlePg/>
          <w:docGrid w:type="lines" w:linePitch="312" w:charSpace="0"/>
        </w:sectPr>
      </w:pPr>
      <w:r>
        <w:rPr>
          <w:rFonts w:hint="eastAsia" w:ascii="宋体" w:hAnsi="宋体" w:cs="宋体"/>
          <w:b/>
          <w:bCs/>
          <w:color w:val="auto"/>
          <w:sz w:val="32"/>
          <w:szCs w:val="32"/>
          <w:highlight w:val="none"/>
        </w:rPr>
        <w:br w:type="page"/>
      </w:r>
    </w:p>
    <w:p w14:paraId="5905DCEA">
      <w:pPr>
        <w:snapToGrid w:val="0"/>
        <w:spacing w:before="156" w:beforeLines="50" w:after="50" w:line="360" w:lineRule="auto"/>
        <w:ind w:right="480"/>
        <w:outlineLvl w:val="1"/>
        <w:rPr>
          <w:rFonts w:ascii="宋体" w:hAnsi="宋体" w:cs="宋体"/>
          <w:b/>
          <w:color w:val="auto"/>
          <w:sz w:val="32"/>
          <w:szCs w:val="32"/>
          <w:highlight w:val="none"/>
        </w:rPr>
      </w:pP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报价商务技术文件格式</w:t>
      </w:r>
    </w:p>
    <w:p w14:paraId="7572D352">
      <w:pPr>
        <w:snapToGrid w:val="0"/>
        <w:spacing w:before="156" w:beforeLines="50" w:after="50" w:line="360" w:lineRule="auto"/>
        <w:jc w:val="left"/>
        <w:outlineLvl w:val="2"/>
        <w:rPr>
          <w:rFonts w:ascii="宋体" w:hAnsi="宋体" w:cs="宋体"/>
          <w:b/>
          <w:color w:val="auto"/>
          <w:sz w:val="32"/>
          <w:szCs w:val="32"/>
          <w:highlight w:val="none"/>
        </w:rPr>
      </w:pPr>
      <w:r>
        <w:rPr>
          <w:rFonts w:hint="eastAsia" w:ascii="宋体" w:hAnsi="宋体" w:cs="宋体"/>
          <w:b/>
          <w:color w:val="auto"/>
          <w:sz w:val="32"/>
          <w:szCs w:val="32"/>
          <w:highlight w:val="none"/>
        </w:rPr>
        <w:t>1.报价商务技术文件封面格式</w:t>
      </w:r>
    </w:p>
    <w:p w14:paraId="2FE6BEA5">
      <w:pPr>
        <w:snapToGrid w:val="0"/>
        <w:spacing w:before="156"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p>
    <w:p w14:paraId="2C2F1379">
      <w:pPr>
        <w:snapToGrid w:val="0"/>
        <w:spacing w:before="156" w:beforeLines="50" w:after="50"/>
        <w:rPr>
          <w:rFonts w:ascii="宋体" w:hAnsi="宋体" w:cs="宋体"/>
          <w:color w:val="auto"/>
          <w:sz w:val="24"/>
          <w:szCs w:val="20"/>
          <w:highlight w:val="none"/>
        </w:rPr>
      </w:pPr>
    </w:p>
    <w:p w14:paraId="7697B00E">
      <w:pPr>
        <w:snapToGrid w:val="0"/>
        <w:spacing w:before="156" w:beforeLines="50" w:after="50"/>
        <w:jc w:val="center"/>
        <w:rPr>
          <w:rFonts w:ascii="宋体" w:hAnsi="宋体" w:cs="宋体"/>
          <w:bCs/>
          <w:color w:val="auto"/>
          <w:sz w:val="84"/>
          <w:szCs w:val="84"/>
          <w:highlight w:val="none"/>
        </w:rPr>
      </w:pPr>
      <w:r>
        <w:rPr>
          <w:rFonts w:hint="eastAsia" w:ascii="宋体" w:hAnsi="宋体" w:cs="宋体"/>
          <w:bCs/>
          <w:color w:val="auto"/>
          <w:sz w:val="84"/>
          <w:szCs w:val="84"/>
          <w:highlight w:val="none"/>
        </w:rPr>
        <w:t>响  应  文  件</w:t>
      </w:r>
    </w:p>
    <w:p w14:paraId="52D2049B">
      <w:pPr>
        <w:snapToGrid w:val="0"/>
        <w:spacing w:before="156" w:beforeLines="50" w:after="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报  价  商  务  技  术  文  件</w:t>
      </w:r>
    </w:p>
    <w:p w14:paraId="04F3C116">
      <w:pPr>
        <w:snapToGrid w:val="0"/>
        <w:spacing w:before="156" w:beforeLines="50" w:after="50"/>
        <w:rPr>
          <w:rFonts w:ascii="宋体" w:hAnsi="宋体" w:cs="宋体"/>
          <w:bCs/>
          <w:color w:val="auto"/>
          <w:sz w:val="24"/>
          <w:szCs w:val="20"/>
          <w:highlight w:val="none"/>
        </w:rPr>
      </w:pPr>
    </w:p>
    <w:p w14:paraId="5E7F63F8">
      <w:pPr>
        <w:snapToGrid w:val="0"/>
        <w:spacing w:before="156" w:beforeLines="50" w:after="50"/>
        <w:rPr>
          <w:rFonts w:ascii="宋体" w:hAnsi="宋体" w:cs="宋体"/>
          <w:bCs/>
          <w:color w:val="auto"/>
          <w:sz w:val="24"/>
          <w:szCs w:val="20"/>
          <w:highlight w:val="none"/>
        </w:rPr>
      </w:pPr>
    </w:p>
    <w:p w14:paraId="3011182D">
      <w:pPr>
        <w:snapToGrid w:val="0"/>
        <w:spacing w:before="156" w:beforeLines="50" w:after="50"/>
        <w:ind w:firstLine="2100" w:firstLineChars="875"/>
        <w:rPr>
          <w:rFonts w:ascii="宋体" w:hAnsi="宋体" w:cs="宋体"/>
          <w:bCs/>
          <w:color w:val="auto"/>
          <w:sz w:val="24"/>
          <w:szCs w:val="20"/>
          <w:highlight w:val="none"/>
        </w:rPr>
      </w:pPr>
    </w:p>
    <w:p w14:paraId="3FDC2BBB">
      <w:pPr>
        <w:snapToGrid w:val="0"/>
        <w:spacing w:before="156" w:beforeLines="50" w:after="50"/>
        <w:ind w:firstLine="2100" w:firstLineChars="875"/>
        <w:rPr>
          <w:rFonts w:ascii="宋体" w:hAnsi="宋体" w:cs="宋体"/>
          <w:bCs/>
          <w:color w:val="auto"/>
          <w:sz w:val="24"/>
          <w:szCs w:val="20"/>
          <w:highlight w:val="none"/>
        </w:rPr>
      </w:pPr>
    </w:p>
    <w:p w14:paraId="6B2B2AC8">
      <w:pPr>
        <w:snapToGrid w:val="0"/>
        <w:spacing w:before="156" w:beforeLines="50" w:after="50"/>
        <w:ind w:firstLine="2100" w:firstLineChars="875"/>
        <w:rPr>
          <w:rFonts w:ascii="宋体" w:hAnsi="宋体" w:cs="宋体"/>
          <w:bCs/>
          <w:color w:val="auto"/>
          <w:sz w:val="24"/>
          <w:szCs w:val="20"/>
          <w:highlight w:val="none"/>
        </w:rPr>
      </w:pPr>
    </w:p>
    <w:p w14:paraId="0316BFBF">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8B572F0">
      <w:pPr>
        <w:snapToGrid w:val="0"/>
        <w:spacing w:before="156" w:beforeLines="50" w:after="50"/>
        <w:ind w:firstLine="2800" w:firstLineChars="875"/>
        <w:rPr>
          <w:rFonts w:ascii="宋体" w:hAnsi="宋体" w:cs="宋体"/>
          <w:bCs/>
          <w:color w:val="auto"/>
          <w:sz w:val="32"/>
          <w:szCs w:val="32"/>
          <w:highlight w:val="none"/>
        </w:rPr>
      </w:pPr>
    </w:p>
    <w:p w14:paraId="2195263F">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A702860">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6829360">
      <w:pPr>
        <w:snapToGrid w:val="0"/>
        <w:spacing w:before="156" w:beforeLines="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w:t>
      </w:r>
    </w:p>
    <w:p w14:paraId="1EF8F051">
      <w:pPr>
        <w:snapToGrid w:val="0"/>
        <w:spacing w:before="156" w:beforeLines="50" w:after="50"/>
        <w:ind w:firstLine="2800" w:firstLineChars="875"/>
        <w:rPr>
          <w:rFonts w:ascii="宋体" w:hAnsi="宋体" w:cs="宋体"/>
          <w:bCs/>
          <w:color w:val="auto"/>
          <w:sz w:val="32"/>
          <w:szCs w:val="32"/>
          <w:highlight w:val="none"/>
        </w:rPr>
      </w:pPr>
    </w:p>
    <w:p w14:paraId="06BACA43">
      <w:pPr>
        <w:pStyle w:val="6"/>
        <w:snapToGrid w:val="0"/>
        <w:spacing w:before="50" w:after="50"/>
        <w:ind w:firstLine="2800" w:firstLineChars="87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224CEE6">
      <w:pPr>
        <w:pStyle w:val="6"/>
        <w:snapToGrid w:val="0"/>
        <w:spacing w:before="50" w:after="50"/>
        <w:ind w:firstLine="2800" w:firstLineChars="875"/>
        <w:rPr>
          <w:rFonts w:ascii="宋体" w:hAnsi="宋体" w:cs="宋体"/>
          <w:bCs/>
          <w:color w:val="auto"/>
          <w:sz w:val="32"/>
          <w:szCs w:val="32"/>
          <w:highlight w:val="none"/>
        </w:rPr>
      </w:pPr>
    </w:p>
    <w:p w14:paraId="498C898B">
      <w:pPr>
        <w:pStyle w:val="6"/>
        <w:snapToGrid w:val="0"/>
        <w:spacing w:before="50" w:after="50"/>
        <w:ind w:firstLine="720" w:firstLineChars="225"/>
        <w:rPr>
          <w:rFonts w:ascii="宋体" w:hAnsi="宋体" w:cs="宋体"/>
          <w:bCs/>
          <w:color w:val="auto"/>
          <w:sz w:val="32"/>
          <w:szCs w:val="32"/>
          <w:highlight w:val="none"/>
        </w:rPr>
      </w:pPr>
    </w:p>
    <w:p w14:paraId="0584233D">
      <w:pPr>
        <w:pStyle w:val="6"/>
        <w:snapToGrid w:val="0"/>
        <w:spacing w:before="50" w:after="50"/>
        <w:ind w:firstLine="1280" w:firstLineChars="400"/>
        <w:rPr>
          <w:rFonts w:ascii="宋体" w:hAnsi="宋体" w:cs="宋体"/>
          <w:bCs/>
          <w:color w:val="auto"/>
          <w:sz w:val="32"/>
          <w:szCs w:val="32"/>
          <w:highlight w:val="none"/>
        </w:rPr>
      </w:pPr>
    </w:p>
    <w:p w14:paraId="2B9761F3">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574CA2E">
      <w:pPr>
        <w:snapToGrid w:val="0"/>
        <w:spacing w:before="156" w:beforeLines="50" w:after="50" w:line="360" w:lineRule="auto"/>
        <w:ind w:left="142"/>
        <w:jc w:val="left"/>
        <w:outlineLvl w:val="2"/>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2.报价商务技术文件目录</w:t>
      </w:r>
    </w:p>
    <w:p w14:paraId="40366B61">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根据磋商文件规定及供应商提供的材料自行编写目录（部分格式后附）。</w:t>
      </w:r>
    </w:p>
    <w:p w14:paraId="1CB80189">
      <w:pPr>
        <w:spacing w:line="400" w:lineRule="exact"/>
        <w:rPr>
          <w:rFonts w:ascii="宋体" w:hAnsi="宋体" w:cs="宋体"/>
          <w:color w:val="auto"/>
          <w:sz w:val="32"/>
          <w:szCs w:val="32"/>
          <w:highlight w:val="none"/>
        </w:rPr>
      </w:pPr>
    </w:p>
    <w:p w14:paraId="58EFE90F">
      <w:pPr>
        <w:jc w:val="center"/>
        <w:outlineLvl w:val="1"/>
        <w:rPr>
          <w:rFonts w:ascii="宋体" w:hAnsi="宋体" w:cs="宋体"/>
          <w:b/>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b/>
          <w:color w:val="auto"/>
          <w:sz w:val="44"/>
          <w:szCs w:val="44"/>
          <w:highlight w:val="none"/>
        </w:rPr>
        <w:t>无串通参与竞争性磋商行为的承诺函</w:t>
      </w:r>
    </w:p>
    <w:p w14:paraId="7F1D6151">
      <w:pPr>
        <w:spacing w:line="360" w:lineRule="auto"/>
        <w:ind w:firstLine="640" w:firstLineChars="200"/>
        <w:contextualSpacing/>
        <w:rPr>
          <w:rFonts w:ascii="宋体" w:hAnsi="宋体" w:cs="宋体"/>
          <w:color w:val="auto"/>
          <w:sz w:val="32"/>
          <w:szCs w:val="32"/>
          <w:highlight w:val="none"/>
        </w:rPr>
      </w:pPr>
    </w:p>
    <w:p w14:paraId="2E097FE7">
      <w:pPr>
        <w:spacing w:line="360" w:lineRule="auto"/>
        <w:ind w:firstLine="482" w:firstLineChars="200"/>
        <w:contextualSpacing/>
        <w:outlineLvl w:val="1"/>
        <w:rPr>
          <w:rFonts w:ascii="宋体" w:hAnsi="宋体" w:cs="宋体"/>
          <w:b/>
          <w:bCs/>
          <w:color w:val="auto"/>
          <w:sz w:val="24"/>
          <w:highlight w:val="none"/>
        </w:rPr>
      </w:pPr>
      <w:r>
        <w:rPr>
          <w:rFonts w:hint="eastAsia" w:ascii="宋体" w:hAnsi="宋体" w:cs="宋体"/>
          <w:b/>
          <w:bCs/>
          <w:color w:val="auto"/>
          <w:sz w:val="24"/>
          <w:highlight w:val="none"/>
        </w:rPr>
        <w:t>一、我方承诺无下列相互串通参与</w:t>
      </w:r>
      <w:r>
        <w:rPr>
          <w:rFonts w:hint="eastAsia" w:ascii="宋体" w:hAnsi="宋体" w:cs="宋体"/>
          <w:color w:val="auto"/>
          <w:sz w:val="24"/>
          <w:highlight w:val="none"/>
        </w:rPr>
        <w:t>竞争性磋商</w:t>
      </w:r>
      <w:r>
        <w:rPr>
          <w:rFonts w:hint="eastAsia" w:ascii="宋体" w:hAnsi="宋体" w:cs="宋体"/>
          <w:b/>
          <w:bCs/>
          <w:color w:val="auto"/>
          <w:sz w:val="24"/>
          <w:highlight w:val="none"/>
        </w:rPr>
        <w:t>的情形：</w:t>
      </w:r>
    </w:p>
    <w:p w14:paraId="62260EF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 </w:t>
      </w:r>
    </w:p>
    <w:p w14:paraId="497D4CC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2.不同供应商委托同一单位或者个人办理参与竞争性磋商事宜；</w:t>
      </w:r>
    </w:p>
    <w:p w14:paraId="71681C1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3902B6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同供应商的响应文件异常一致或者参与</w:t>
      </w:r>
      <w:r>
        <w:rPr>
          <w:rFonts w:hint="eastAsia" w:ascii="宋体" w:hAnsi="宋体" w:cs="宋体"/>
          <w:color w:val="auto"/>
          <w:sz w:val="24"/>
          <w:highlight w:val="none"/>
        </w:rPr>
        <w:t>竞争性磋商</w:t>
      </w:r>
      <w:r>
        <w:rPr>
          <w:rFonts w:hint="eastAsia" w:ascii="宋体" w:hAnsi="宋体" w:cs="宋体"/>
          <w:color w:val="auto"/>
          <w:spacing w:val="-6"/>
          <w:sz w:val="24"/>
          <w:highlight w:val="none"/>
        </w:rPr>
        <w:t>报价呈规律性差异；</w:t>
      </w:r>
    </w:p>
    <w:p w14:paraId="6430FDD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1C73FEF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2A4D80D0">
      <w:pPr>
        <w:spacing w:line="360" w:lineRule="auto"/>
        <w:ind w:firstLine="482" w:firstLineChars="200"/>
        <w:contextualSpacing/>
        <w:outlineLvl w:val="1"/>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4D516A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67AE4D1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22A4D1B4">
      <w:pPr>
        <w:spacing w:line="360" w:lineRule="auto"/>
        <w:ind w:firstLine="480" w:firstLineChars="200"/>
        <w:contextualSpacing/>
        <w:outlineLvl w:val="2"/>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E6B39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71A4C4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5.供应商之间事先约定一致抬高或者压低竞争性磋商报价，或者在竞争性磋商项目中事先约定轮流以高价位或者低价位成交，或者事先约定由某一特定供应商成交，然后再参加竞争性磋商；</w:t>
      </w:r>
    </w:p>
    <w:p w14:paraId="585C6B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E5A8E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114DAF68">
      <w:pPr>
        <w:spacing w:line="360" w:lineRule="auto"/>
        <w:ind w:firstLine="480" w:firstLineChars="200"/>
        <w:contextualSpacing/>
        <w:rPr>
          <w:rFonts w:ascii="宋体" w:hAnsi="宋体" w:cs="宋体"/>
          <w:color w:val="auto"/>
          <w:sz w:val="24"/>
          <w:highlight w:val="none"/>
        </w:rPr>
      </w:pPr>
    </w:p>
    <w:p w14:paraId="30FF3E3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1122A7F3">
      <w:pPr>
        <w:spacing w:line="360" w:lineRule="auto"/>
        <w:contextualSpacing/>
        <w:rPr>
          <w:rFonts w:ascii="宋体" w:hAnsi="宋体" w:cs="宋体"/>
          <w:color w:val="auto"/>
          <w:sz w:val="24"/>
          <w:highlight w:val="none"/>
        </w:rPr>
      </w:pPr>
    </w:p>
    <w:p w14:paraId="4B152083">
      <w:pPr>
        <w:spacing w:line="360" w:lineRule="auto"/>
        <w:ind w:firstLine="5040" w:firstLineChars="21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7FD56172">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35F1346">
      <w:pPr>
        <w:jc w:val="center"/>
        <w:rPr>
          <w:rFonts w:ascii="宋体" w:hAnsi="宋体" w:cs="宋体"/>
          <w:b/>
          <w:bCs/>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竞争性磋商报价表</w:t>
      </w:r>
    </w:p>
    <w:p w14:paraId="25B0086F">
      <w:pPr>
        <w:spacing w:line="440" w:lineRule="exact"/>
        <w:jc w:val="center"/>
        <w:rPr>
          <w:rFonts w:ascii="宋体" w:hAnsi="宋体" w:cs="宋体"/>
          <w:bCs/>
          <w:color w:val="auto"/>
          <w:sz w:val="32"/>
          <w:szCs w:val="32"/>
          <w:highlight w:val="none"/>
        </w:rPr>
      </w:pPr>
    </w:p>
    <w:p w14:paraId="4D9D8B8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B99CB7">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分标（如有）：</w:t>
      </w:r>
      <w:r>
        <w:rPr>
          <w:rFonts w:hint="eastAsia" w:ascii="宋体" w:hAnsi="宋体" w:cs="宋体"/>
          <w:color w:val="auto"/>
          <w:sz w:val="24"/>
          <w:highlight w:val="none"/>
          <w:u w:val="single"/>
        </w:rPr>
        <w:t xml:space="preserve">                                         </w:t>
      </w:r>
    </w:p>
    <w:p w14:paraId="3B95E79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7D2796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货币单位：人民币元</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7244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08508FCE">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45CCEDD4">
            <w:pPr>
              <w:jc w:val="center"/>
              <w:rPr>
                <w:rFonts w:ascii="宋体" w:hAnsi="宋体" w:cs="宋体"/>
                <w:color w:val="auto"/>
                <w:sz w:val="24"/>
                <w:highlight w:val="none"/>
              </w:rPr>
            </w:pPr>
            <w:r>
              <w:rPr>
                <w:rFonts w:hint="eastAsia" w:ascii="宋体" w:hAnsi="宋体" w:cs="宋体"/>
                <w:color w:val="auto"/>
                <w:sz w:val="24"/>
                <w:highlight w:val="none"/>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337D419C">
            <w:pPr>
              <w:jc w:val="center"/>
              <w:rPr>
                <w:rFonts w:ascii="宋体" w:hAnsi="宋体" w:cs="宋体"/>
                <w:color w:val="auto"/>
                <w:sz w:val="24"/>
                <w:highlight w:val="none"/>
              </w:rPr>
            </w:pPr>
            <w:r>
              <w:rPr>
                <w:rFonts w:hint="eastAsia" w:ascii="宋体" w:hAnsi="宋体" w:cs="宋体"/>
                <w:color w:val="auto"/>
                <w:sz w:val="24"/>
                <w:highlight w:val="none"/>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26DCC324">
            <w:pPr>
              <w:jc w:val="center"/>
              <w:rPr>
                <w:rFonts w:ascii="宋体" w:hAnsi="宋体" w:cs="宋体"/>
                <w:color w:val="auto"/>
                <w:sz w:val="24"/>
                <w:highlight w:val="none"/>
              </w:rPr>
            </w:pPr>
            <w:r>
              <w:rPr>
                <w:rFonts w:hint="eastAsia" w:ascii="宋体" w:hAnsi="宋体" w:cs="宋体"/>
                <w:color w:val="auto"/>
                <w:sz w:val="24"/>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131B5805">
            <w:pPr>
              <w:jc w:val="center"/>
              <w:rPr>
                <w:rFonts w:ascii="宋体" w:hAnsi="宋体" w:cs="宋体"/>
                <w:color w:val="auto"/>
                <w:sz w:val="24"/>
                <w:highlight w:val="none"/>
              </w:rPr>
            </w:pPr>
            <w:r>
              <w:rPr>
                <w:rFonts w:hint="eastAsia" w:ascii="宋体" w:hAnsi="宋体" w:cs="宋体"/>
                <w:color w:val="auto"/>
                <w:sz w:val="24"/>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5F1BA42F">
            <w:pPr>
              <w:jc w:val="center"/>
              <w:rPr>
                <w:rFonts w:ascii="宋体" w:hAnsi="宋体" w:cs="宋体"/>
                <w:color w:val="auto"/>
                <w:sz w:val="24"/>
                <w:highlight w:val="none"/>
              </w:rPr>
            </w:pPr>
            <w:r>
              <w:rPr>
                <w:rFonts w:hint="eastAsia" w:ascii="宋体" w:hAnsi="宋体" w:cs="宋体"/>
                <w:color w:val="auto"/>
                <w:sz w:val="24"/>
                <w:highlight w:val="none"/>
              </w:rPr>
              <w:t>单  价</w:t>
            </w:r>
          </w:p>
        </w:tc>
        <w:tc>
          <w:tcPr>
            <w:tcW w:w="1207" w:type="dxa"/>
            <w:tcBorders>
              <w:top w:val="single" w:color="auto" w:sz="4" w:space="0"/>
              <w:left w:val="single" w:color="auto" w:sz="4" w:space="0"/>
              <w:bottom w:val="single" w:color="auto" w:sz="4" w:space="0"/>
              <w:right w:val="single" w:color="auto" w:sz="4" w:space="0"/>
            </w:tcBorders>
            <w:vAlign w:val="center"/>
          </w:tcPr>
          <w:p w14:paraId="213A8BF8">
            <w:pPr>
              <w:jc w:val="center"/>
              <w:rPr>
                <w:rFonts w:ascii="宋体" w:hAnsi="宋体" w:cs="宋体"/>
                <w:color w:val="auto"/>
                <w:sz w:val="24"/>
                <w:highlight w:val="none"/>
              </w:rPr>
            </w:pPr>
            <w:r>
              <w:rPr>
                <w:rFonts w:hint="eastAsia" w:ascii="宋体" w:hAnsi="宋体" w:cs="宋体"/>
                <w:color w:val="auto"/>
                <w:sz w:val="24"/>
                <w:highlight w:val="none"/>
              </w:rPr>
              <w:t>单项合计</w:t>
            </w:r>
          </w:p>
        </w:tc>
      </w:tr>
      <w:tr w14:paraId="24B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0BDB55F">
            <w:pPr>
              <w:spacing w:line="360" w:lineRule="auto"/>
              <w:jc w:val="center"/>
              <w:rPr>
                <w:rFonts w:ascii="宋体" w:hAnsi="宋体" w:cs="宋体"/>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6BD25995">
            <w:pPr>
              <w:spacing w:line="360" w:lineRule="auto"/>
              <w:jc w:val="center"/>
              <w:rPr>
                <w:rFonts w:ascii="宋体" w:hAnsi="宋体" w:cs="宋体"/>
                <w:color w:val="auto"/>
                <w:sz w:val="24"/>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41CDFE95">
            <w:pPr>
              <w:spacing w:line="360" w:lineRule="auto"/>
              <w:jc w:val="center"/>
              <w:rPr>
                <w:rFonts w:ascii="宋体" w:hAnsi="宋体" w:cs="宋体"/>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455AFF52">
            <w:pPr>
              <w:spacing w:line="360" w:lineRule="auto"/>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CA05447">
            <w:pPr>
              <w:spacing w:line="360" w:lineRule="auto"/>
              <w:jc w:val="center"/>
              <w:rPr>
                <w:rFonts w:ascii="宋体" w:hAnsi="宋体" w:cs="宋体"/>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9AB6AD6">
            <w:pPr>
              <w:spacing w:line="360" w:lineRule="auto"/>
              <w:jc w:val="center"/>
              <w:rPr>
                <w:rFonts w:ascii="宋体" w:hAnsi="宋体" w:cs="宋体"/>
                <w:color w:val="auto"/>
                <w:sz w:val="24"/>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10AACCF7">
            <w:pPr>
              <w:spacing w:line="360" w:lineRule="auto"/>
              <w:jc w:val="center"/>
              <w:rPr>
                <w:rFonts w:ascii="宋体" w:hAnsi="宋体" w:cs="宋体"/>
                <w:color w:val="auto"/>
                <w:sz w:val="24"/>
                <w:highlight w:val="none"/>
              </w:rPr>
            </w:pPr>
          </w:p>
        </w:tc>
      </w:tr>
      <w:tr w14:paraId="67C8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9360" w:type="dxa"/>
            <w:gridSpan w:val="7"/>
            <w:tcBorders>
              <w:top w:val="single" w:color="auto" w:sz="4" w:space="0"/>
              <w:left w:val="single" w:color="auto" w:sz="4" w:space="0"/>
              <w:bottom w:val="single" w:color="auto" w:sz="4" w:space="0"/>
              <w:right w:val="single" w:color="auto" w:sz="4" w:space="0"/>
            </w:tcBorders>
            <w:vAlign w:val="center"/>
          </w:tcPr>
          <w:p w14:paraId="7B659B02">
            <w:pPr>
              <w:spacing w:line="360" w:lineRule="auto"/>
              <w:rPr>
                <w:rFonts w:ascii="宋体" w:hAnsi="宋体" w:cs="宋体"/>
                <w:color w:val="auto"/>
                <w:sz w:val="24"/>
                <w:highlight w:val="none"/>
              </w:rPr>
            </w:pPr>
            <w:r>
              <w:rPr>
                <w:rFonts w:hint="eastAsia" w:ascii="宋体" w:hAnsi="宋体" w:cs="宋体"/>
                <w:color w:val="auto"/>
                <w:sz w:val="24"/>
                <w:highlight w:val="none"/>
              </w:rPr>
              <w:t>合计金额（人民币大写）：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元整</w:t>
            </w:r>
            <w:r>
              <w:rPr>
                <w:rFonts w:ascii="宋体" w:hAnsi="宋体" w:cs="宋体"/>
                <w:color w:val="auto"/>
                <w:sz w:val="24"/>
                <w:highlight w:val="none"/>
                <w:u w:val="single"/>
              </w:rPr>
              <w:t xml:space="preserve">  </w:t>
            </w:r>
            <w:r>
              <w:rPr>
                <w:rFonts w:hint="eastAsia" w:ascii="宋体" w:hAnsi="宋体" w:cs="宋体"/>
                <w:color w:val="auto"/>
                <w:sz w:val="24"/>
                <w:highlight w:val="none"/>
              </w:rPr>
              <w:t>（小写¥</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tc>
      </w:tr>
    </w:tbl>
    <w:p w14:paraId="41E81556">
      <w:pPr>
        <w:spacing w:line="360" w:lineRule="auto"/>
        <w:contextualSpacing/>
        <w:jc w:val="left"/>
        <w:rPr>
          <w:rFonts w:ascii="宋体" w:hAnsi="宋体" w:cs="宋体"/>
          <w:color w:val="auto"/>
          <w:sz w:val="24"/>
          <w:highlight w:val="none"/>
        </w:rPr>
      </w:pPr>
    </w:p>
    <w:p w14:paraId="51869619">
      <w:pPr>
        <w:spacing w:line="360" w:lineRule="auto"/>
        <w:contextualSpacing/>
        <w:jc w:val="left"/>
        <w:rPr>
          <w:rFonts w:ascii="楷体" w:hAnsi="楷体" w:eastAsia="楷体" w:cs="宋体"/>
          <w:color w:val="auto"/>
          <w:sz w:val="24"/>
          <w:highlight w:val="none"/>
        </w:rPr>
      </w:pPr>
      <w:r>
        <w:rPr>
          <w:rFonts w:hint="eastAsia" w:ascii="楷体" w:hAnsi="楷体" w:eastAsia="楷体" w:cs="宋体"/>
          <w:color w:val="auto"/>
          <w:sz w:val="24"/>
          <w:highlight w:val="none"/>
        </w:rPr>
        <w:t>注</w:t>
      </w:r>
      <w:r>
        <w:rPr>
          <w:rFonts w:ascii="楷体" w:hAnsi="楷体" w:eastAsia="楷体" w:cs="宋体"/>
          <w:color w:val="auto"/>
          <w:sz w:val="24"/>
          <w:highlight w:val="none"/>
        </w:rPr>
        <w:t xml:space="preserve">: </w:t>
      </w:r>
    </w:p>
    <w:p w14:paraId="18F57DB1">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1.供应商的报价表必须加盖供应商公章并由法定代表人或者委托代理人签字，</w:t>
      </w:r>
      <w:r>
        <w:rPr>
          <w:rFonts w:hint="eastAsia" w:ascii="楷体" w:hAnsi="楷体" w:eastAsia="楷体" w:cs="宋体"/>
          <w:b/>
          <w:color w:val="auto"/>
          <w:sz w:val="24"/>
          <w:highlight w:val="none"/>
        </w:rPr>
        <w:t>否则其响应文件按无效响应处理</w:t>
      </w:r>
      <w:r>
        <w:rPr>
          <w:rFonts w:hint="eastAsia" w:ascii="楷体" w:hAnsi="楷体" w:eastAsia="楷体" w:cs="宋体"/>
          <w:color w:val="auto"/>
          <w:sz w:val="24"/>
          <w:highlight w:val="none"/>
        </w:rPr>
        <w:t>。</w:t>
      </w:r>
    </w:p>
    <w:p w14:paraId="745EA724">
      <w:pPr>
        <w:spacing w:line="360" w:lineRule="auto"/>
        <w:ind w:firstLine="480" w:firstLineChars="200"/>
        <w:contextualSpacing/>
        <w:jc w:val="left"/>
        <w:rPr>
          <w:rFonts w:ascii="楷体" w:hAnsi="楷体" w:eastAsia="楷体" w:cs="宋体"/>
          <w:b/>
          <w:color w:val="auto"/>
          <w:sz w:val="24"/>
          <w:highlight w:val="none"/>
        </w:rPr>
      </w:pPr>
      <w:r>
        <w:rPr>
          <w:rFonts w:ascii="楷体" w:hAnsi="楷体" w:eastAsia="楷体" w:cs="宋体"/>
          <w:bCs/>
          <w:color w:val="auto"/>
          <w:sz w:val="24"/>
          <w:highlight w:val="none"/>
        </w:rPr>
        <w:t>2.</w:t>
      </w:r>
      <w:r>
        <w:rPr>
          <w:rFonts w:hint="eastAsia" w:ascii="楷体" w:hAnsi="楷体" w:eastAsia="楷体" w:cs="宋体"/>
          <w:color w:val="auto"/>
          <w:sz w:val="24"/>
          <w:highlight w:val="none"/>
        </w:rPr>
        <w:t>报价一经涂改，应在涂改处加盖供应商公章或者由法定代表人或者委托代理人签字或者盖章</w:t>
      </w:r>
      <w:r>
        <w:rPr>
          <w:rFonts w:hint="eastAsia" w:ascii="楷体" w:hAnsi="楷体" w:eastAsia="楷体" w:cs="宋体"/>
          <w:b/>
          <w:color w:val="auto"/>
          <w:sz w:val="24"/>
          <w:highlight w:val="none"/>
        </w:rPr>
        <w:t>，否则其响应文件按无效响应处理。</w:t>
      </w:r>
    </w:p>
    <w:p w14:paraId="7EAEA17F">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3.如为联合体</w:t>
      </w:r>
      <w:r>
        <w:rPr>
          <w:rFonts w:hint="eastAsia" w:ascii="楷体" w:hAnsi="楷体" w:eastAsia="楷体" w:cs="宋体"/>
          <w:color w:val="auto"/>
          <w:sz w:val="24"/>
          <w:highlight w:val="none"/>
        </w:rPr>
        <w:t>参与竞争性磋商，“供应商名称”处必须列明联合体各方名称，标注联合体牵头人名称，</w:t>
      </w:r>
      <w:r>
        <w:rPr>
          <w:rFonts w:hint="eastAsia" w:ascii="楷体" w:hAnsi="楷体" w:eastAsia="楷体" w:cs="宋体"/>
          <w:b/>
          <w:color w:val="auto"/>
          <w:sz w:val="24"/>
          <w:highlight w:val="none"/>
        </w:rPr>
        <w:t>否则其响应文件按无效响应处理。（采购人可根据项目情况自行修改是否需要联合体各方签字盖章）。</w:t>
      </w:r>
    </w:p>
    <w:p w14:paraId="6934DDD5">
      <w:pPr>
        <w:spacing w:line="360" w:lineRule="auto"/>
        <w:ind w:firstLine="480" w:firstLineChars="200"/>
        <w:contextualSpacing/>
        <w:jc w:val="left"/>
        <w:rPr>
          <w:rFonts w:ascii="楷体" w:hAnsi="楷体" w:eastAsia="楷体" w:cs="宋体"/>
          <w:color w:val="auto"/>
          <w:sz w:val="24"/>
          <w:highlight w:val="none"/>
        </w:rPr>
      </w:pPr>
      <w:r>
        <w:rPr>
          <w:rFonts w:ascii="楷体" w:hAnsi="楷体" w:eastAsia="楷体" w:cs="宋体"/>
          <w:color w:val="auto"/>
          <w:sz w:val="24"/>
          <w:highlight w:val="none"/>
        </w:rPr>
        <w:t>4.如为联合体</w:t>
      </w:r>
      <w:r>
        <w:rPr>
          <w:rFonts w:hint="eastAsia" w:ascii="楷体" w:hAnsi="楷体" w:eastAsia="楷体" w:cs="宋体"/>
          <w:color w:val="auto"/>
          <w:sz w:val="24"/>
          <w:highlight w:val="none"/>
        </w:rPr>
        <w:t>参与竞争性磋商，盖章处须加盖联合体各方公章，</w:t>
      </w:r>
      <w:bookmarkStart w:id="41" w:name="_Hlk65851776"/>
      <w:r>
        <w:rPr>
          <w:rFonts w:hint="eastAsia" w:ascii="楷体" w:hAnsi="楷体" w:eastAsia="楷体" w:cs="宋体"/>
          <w:b/>
          <w:color w:val="auto"/>
          <w:sz w:val="24"/>
          <w:highlight w:val="none"/>
        </w:rPr>
        <w:t>否则其响应文件按无效响应处理。</w:t>
      </w:r>
      <w:bookmarkEnd w:id="41"/>
      <w:r>
        <w:rPr>
          <w:rFonts w:hint="eastAsia" w:ascii="楷体" w:hAnsi="楷体" w:eastAsia="楷体" w:cs="宋体"/>
          <w:b/>
          <w:color w:val="auto"/>
          <w:sz w:val="24"/>
          <w:highlight w:val="none"/>
        </w:rPr>
        <w:t>（采购人可根据项目情况自行修改是否需要联合体各方签字盖章）。</w:t>
      </w:r>
    </w:p>
    <w:p w14:paraId="24415DEF">
      <w:pPr>
        <w:spacing w:line="360" w:lineRule="auto"/>
        <w:ind w:firstLine="480" w:firstLineChars="200"/>
        <w:contextualSpacing/>
        <w:rPr>
          <w:rFonts w:ascii="楷体" w:hAnsi="楷体" w:eastAsia="楷体" w:cs="宋体"/>
          <w:color w:val="auto"/>
          <w:sz w:val="24"/>
          <w:highlight w:val="none"/>
        </w:rPr>
      </w:pPr>
      <w:r>
        <w:rPr>
          <w:rFonts w:ascii="楷体" w:hAnsi="楷体" w:eastAsia="楷体" w:cs="宋体"/>
          <w:color w:val="auto"/>
          <w:sz w:val="24"/>
          <w:highlight w:val="none"/>
        </w:rPr>
        <w:t>5.</w:t>
      </w:r>
      <w:r>
        <w:rPr>
          <w:rFonts w:hint="eastAsia" w:ascii="楷体" w:hAnsi="楷体" w:eastAsia="楷体" w:cs="宋体"/>
          <w:color w:val="auto"/>
          <w:spacing w:val="-6"/>
          <w:sz w:val="24"/>
          <w:highlight w:val="none"/>
        </w:rPr>
        <w:t>如有多分标，分别列明各分标的报价表，</w:t>
      </w:r>
      <w:r>
        <w:rPr>
          <w:rFonts w:hint="eastAsia" w:ascii="楷体" w:hAnsi="楷体" w:eastAsia="楷体" w:cs="宋体"/>
          <w:b/>
          <w:color w:val="auto"/>
          <w:spacing w:val="-6"/>
          <w:sz w:val="24"/>
          <w:highlight w:val="none"/>
        </w:rPr>
        <w:t>否则其响应文件按无效响应处理。</w:t>
      </w:r>
    </w:p>
    <w:p w14:paraId="51635130">
      <w:pPr>
        <w:spacing w:line="360" w:lineRule="auto"/>
        <w:ind w:right="-817" w:rightChars="-389"/>
        <w:contextualSpacing/>
        <w:rPr>
          <w:rFonts w:ascii="宋体" w:hAnsi="宋体" w:cs="宋体"/>
          <w:color w:val="auto"/>
          <w:sz w:val="24"/>
          <w:highlight w:val="none"/>
        </w:rPr>
      </w:pPr>
    </w:p>
    <w:p w14:paraId="0D8F5B27">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350B7E">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1266AC7">
      <w:pPr>
        <w:spacing w:line="360" w:lineRule="auto"/>
        <w:ind w:right="-817" w:rightChars="-389" w:firstLine="4080" w:firstLineChars="1700"/>
        <w:contextualSpacing/>
        <w:rPr>
          <w:rFonts w:hint="eastAsia" w:ascii="宋体" w:hAnsi="宋体" w:cs="宋体"/>
          <w:color w:val="auto"/>
          <w:sz w:val="24"/>
          <w:highlight w:val="none"/>
        </w:rPr>
        <w:sectPr>
          <w:pgSz w:w="11906" w:h="16838"/>
          <w:pgMar w:top="1417" w:right="1417" w:bottom="1417" w:left="1417" w:header="851" w:footer="567" w:gutter="0"/>
          <w:cols w:space="720" w:num="1"/>
          <w:titlePg/>
          <w:docGrid w:type="lines" w:linePitch="312" w:charSpace="0"/>
        </w:sect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E375FEC">
      <w:pPr>
        <w:spacing w:line="520" w:lineRule="exact"/>
        <w:jc w:val="center"/>
        <w:outlineLvl w:val="3"/>
        <w:rPr>
          <w:rFonts w:ascii="宋体" w:hAnsi="宋体" w:cs="宋体"/>
          <w:b/>
          <w:color w:val="auto"/>
          <w:sz w:val="32"/>
          <w:szCs w:val="32"/>
          <w:highlight w:val="none"/>
        </w:rPr>
      </w:pPr>
      <w:bookmarkStart w:id="42" w:name="_Toc71365926"/>
      <w:r>
        <w:rPr>
          <w:rFonts w:hint="eastAsia" w:ascii="宋体" w:hAnsi="宋体" w:cs="宋体"/>
          <w:b/>
          <w:color w:val="auto"/>
          <w:sz w:val="32"/>
          <w:szCs w:val="32"/>
          <w:highlight w:val="none"/>
        </w:rPr>
        <w:t>中小企业声明函（服务）</w:t>
      </w:r>
      <w:bookmarkEnd w:id="42"/>
    </w:p>
    <w:p w14:paraId="6562EB6B">
      <w:pPr>
        <w:spacing w:before="2" w:line="500" w:lineRule="exact"/>
        <w:ind w:firstLine="708" w:firstLineChars="294"/>
        <w:rPr>
          <w:rFonts w:ascii="宋体" w:hAnsi="宋体" w:cs="宋体"/>
          <w:b/>
          <w:bCs/>
          <w:color w:val="auto"/>
          <w:sz w:val="24"/>
          <w:highlight w:val="none"/>
        </w:rPr>
      </w:pPr>
    </w:p>
    <w:p w14:paraId="6A1681A3">
      <w:pPr>
        <w:pStyle w:val="13"/>
        <w:spacing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采购活动，服务全部由符合政策要求的中小企业承接。相关企业（含联合体中的中小企业、签订分包意向协议的中小企业）的具体情况如下：</w:t>
      </w:r>
    </w:p>
    <w:p w14:paraId="62FA0ED1">
      <w:pPr>
        <w:tabs>
          <w:tab w:val="left" w:pos="1384"/>
          <w:tab w:val="left" w:pos="4562"/>
          <w:tab w:val="left" w:pos="6803"/>
        </w:tabs>
        <w:spacing w:before="13" w:line="500" w:lineRule="exact"/>
        <w:ind w:right="142" w:firstLine="772" w:firstLineChars="322"/>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C04EF63">
      <w:pPr>
        <w:tabs>
          <w:tab w:val="left" w:pos="1065"/>
          <w:tab w:val="left" w:pos="4262"/>
          <w:tab w:val="left" w:pos="6477"/>
        </w:tabs>
        <w:spacing w:before="20" w:line="500" w:lineRule="exact"/>
        <w:ind w:right="84" w:firstLine="772" w:firstLineChars="322"/>
        <w:rPr>
          <w:rFonts w:ascii="宋体" w:hAnsi="宋体" w:cs="宋体"/>
          <w:color w:val="auto"/>
          <w:sz w:val="24"/>
          <w:highlight w:val="none"/>
          <w:u w:val="singl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；承接企业为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1BD21FBB">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 xml:space="preserve">…… </w:t>
      </w:r>
    </w:p>
    <w:p w14:paraId="19EA0245">
      <w:pPr>
        <w:pStyle w:val="13"/>
        <w:spacing w:before="34"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BC0DE22">
      <w:pPr>
        <w:pStyle w:val="13"/>
        <w:spacing w:before="25" w:line="500" w:lineRule="exact"/>
        <w:ind w:right="142" w:firstLine="705" w:firstLineChars="294"/>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4AB427E8">
      <w:pPr>
        <w:pStyle w:val="13"/>
        <w:spacing w:before="56" w:line="500" w:lineRule="exact"/>
        <w:ind w:right="1808" w:firstLine="705" w:firstLineChars="294"/>
        <w:rPr>
          <w:rFonts w:ascii="宋体" w:hAnsi="宋体" w:cs="宋体"/>
          <w:color w:val="auto"/>
          <w:sz w:val="24"/>
          <w:highlight w:val="none"/>
        </w:rPr>
      </w:pPr>
    </w:p>
    <w:p w14:paraId="14FE2459">
      <w:pPr>
        <w:pStyle w:val="13"/>
        <w:spacing w:before="56" w:line="500" w:lineRule="exact"/>
        <w:ind w:right="650" w:firstLine="2400" w:firstLineChars="1000"/>
        <w:rPr>
          <w:rFonts w:ascii="宋体" w:hAnsi="宋体" w:cs="宋体"/>
          <w:color w:val="auto"/>
          <w:sz w:val="24"/>
          <w:highlight w:val="none"/>
          <w:u w:val="single"/>
        </w:rPr>
      </w:pPr>
      <w:r>
        <w:rPr>
          <w:rFonts w:hint="eastAsia" w:ascii="宋体" w:hAnsi="宋体" w:cs="宋体"/>
          <w:color w:val="auto"/>
          <w:sz w:val="24"/>
          <w:highlight w:val="none"/>
        </w:rPr>
        <w:t xml:space="preserve">企业名称（公章）： </w:t>
      </w:r>
      <w:r>
        <w:rPr>
          <w:rFonts w:ascii="宋体" w:hAnsi="宋体" w:cs="宋体"/>
          <w:color w:val="auto"/>
          <w:sz w:val="24"/>
          <w:highlight w:val="none"/>
          <w:u w:val="single"/>
        </w:rPr>
        <w:t xml:space="preserve">                    </w:t>
      </w:r>
    </w:p>
    <w:p w14:paraId="61A8E1A9">
      <w:pPr>
        <w:pStyle w:val="13"/>
        <w:spacing w:before="56" w:line="500" w:lineRule="exact"/>
        <w:ind w:right="1808" w:firstLine="2400" w:firstLineChars="100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733017C8">
      <w:pPr>
        <w:spacing w:line="520" w:lineRule="exact"/>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享受《政府采购促进中小企业发展管理办法》（财库〔</w:t>
      </w:r>
      <w:r>
        <w:rPr>
          <w:rFonts w:ascii="楷体" w:hAnsi="楷体" w:eastAsia="楷体" w:cs="宋体"/>
          <w:color w:val="auto"/>
          <w:sz w:val="24"/>
          <w:highlight w:val="none"/>
        </w:rPr>
        <w:t>2020〕46号）规定的中小企业扶持政策的，采购人、采购代理机构应当随成交结果公开成交供应商的《中小企业声明函》。从业人员、营业收入、资产总额填报上一年度数据，无上</w:t>
      </w:r>
      <w:r>
        <w:rPr>
          <w:rFonts w:hint="eastAsia" w:ascii="楷体" w:hAnsi="楷体" w:eastAsia="楷体" w:cs="宋体"/>
          <w:color w:val="auto"/>
          <w:sz w:val="24"/>
          <w:highlight w:val="none"/>
        </w:rPr>
        <w:t>一年度数据的新成立企业可不填报。</w:t>
      </w:r>
    </w:p>
    <w:p w14:paraId="76B95E24">
      <w:pPr>
        <w:spacing w:line="360" w:lineRule="auto"/>
        <w:rPr>
          <w:rFonts w:ascii="宋体" w:hAnsi="宋体" w:cs="宋体"/>
          <w:color w:val="auto"/>
          <w:szCs w:val="21"/>
          <w:highlight w:val="none"/>
        </w:rPr>
      </w:pPr>
    </w:p>
    <w:p w14:paraId="26B0E7BD">
      <w:pPr>
        <w:spacing w:line="520" w:lineRule="exact"/>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残疾人福利性单位声明函</w:t>
      </w:r>
    </w:p>
    <w:p w14:paraId="0D8DC35B">
      <w:pPr>
        <w:spacing w:line="360" w:lineRule="auto"/>
        <w:contextualSpacing/>
        <w:rPr>
          <w:rFonts w:ascii="宋体" w:hAnsi="宋体" w:cs="宋体"/>
          <w:color w:val="auto"/>
          <w:sz w:val="32"/>
          <w:szCs w:val="32"/>
          <w:highlight w:val="none"/>
        </w:rPr>
      </w:pPr>
    </w:p>
    <w:p w14:paraId="77987F2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9C112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660081D">
      <w:pPr>
        <w:spacing w:line="360" w:lineRule="auto"/>
        <w:contextualSpacing/>
        <w:rPr>
          <w:rFonts w:ascii="宋体" w:hAnsi="宋体" w:cs="宋体"/>
          <w:color w:val="auto"/>
          <w:sz w:val="24"/>
          <w:highlight w:val="none"/>
        </w:rPr>
      </w:pPr>
    </w:p>
    <w:p w14:paraId="6532D014">
      <w:pPr>
        <w:spacing w:line="360" w:lineRule="auto"/>
        <w:contextualSpacing/>
        <w:rPr>
          <w:rFonts w:ascii="宋体" w:hAnsi="宋体" w:cs="宋体"/>
          <w:color w:val="auto"/>
          <w:sz w:val="24"/>
          <w:highlight w:val="none"/>
        </w:rPr>
      </w:pPr>
    </w:p>
    <w:p w14:paraId="786D4F67">
      <w:pPr>
        <w:spacing w:line="360" w:lineRule="auto"/>
        <w:contextualSpacing/>
        <w:rPr>
          <w:rFonts w:ascii="宋体" w:hAnsi="宋体" w:cs="宋体"/>
          <w:color w:val="auto"/>
          <w:sz w:val="24"/>
          <w:highlight w:val="none"/>
        </w:rPr>
      </w:pPr>
    </w:p>
    <w:p w14:paraId="3E94F393">
      <w:pPr>
        <w:spacing w:line="360" w:lineRule="auto"/>
        <w:ind w:firstLine="2400" w:firstLineChars="1000"/>
        <w:contextualSpacing/>
        <w:rPr>
          <w:rFonts w:ascii="宋体" w:hAnsi="宋体" w:cs="宋体"/>
          <w:color w:val="auto"/>
          <w:sz w:val="24"/>
          <w:highlight w:val="none"/>
          <w:u w:val="single"/>
        </w:rPr>
      </w:pPr>
      <w:r>
        <w:rPr>
          <w:rFonts w:hint="eastAsia" w:ascii="宋体" w:hAnsi="宋体" w:cs="宋体"/>
          <w:color w:val="auto"/>
          <w:sz w:val="24"/>
          <w:highlight w:val="none"/>
        </w:rPr>
        <w:t>单位名称（公章）：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8197D24">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2FBBBBCF">
      <w:pPr>
        <w:spacing w:line="360" w:lineRule="auto"/>
        <w:contextualSpacing/>
        <w:rPr>
          <w:rFonts w:ascii="宋体" w:hAnsi="宋体" w:cs="宋体"/>
          <w:color w:val="auto"/>
          <w:sz w:val="24"/>
          <w:highlight w:val="none"/>
        </w:rPr>
      </w:pPr>
    </w:p>
    <w:p w14:paraId="51BAF63C">
      <w:pPr>
        <w:spacing w:line="360" w:lineRule="auto"/>
        <w:contextualSpacing/>
        <w:rPr>
          <w:rFonts w:ascii="宋体" w:hAnsi="宋体" w:cs="宋体"/>
          <w:color w:val="auto"/>
          <w:sz w:val="24"/>
          <w:highlight w:val="none"/>
        </w:rPr>
      </w:pPr>
    </w:p>
    <w:p w14:paraId="091E3B4E">
      <w:pPr>
        <w:spacing w:line="360" w:lineRule="auto"/>
        <w:contextualSpacing/>
        <w:rPr>
          <w:rFonts w:ascii="宋体" w:hAnsi="宋体" w:cs="宋体"/>
          <w:color w:val="auto"/>
          <w:sz w:val="24"/>
          <w:highlight w:val="none"/>
        </w:rPr>
      </w:pPr>
    </w:p>
    <w:p w14:paraId="572AC954">
      <w:pPr>
        <w:spacing w:line="360" w:lineRule="auto"/>
        <w:contextualSpacing/>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请根据自己的真实情况出具《残疾人福利性单位声明函》。依法享受中小企业优惠政策的，采购人或者采购代理机构在公告中标结果时，同时公告其《残疾人福利性单位声明函》，接受社会监督。</w:t>
      </w:r>
    </w:p>
    <w:p w14:paraId="3AAC5F97">
      <w:pPr>
        <w:snapToGrid w:val="0"/>
        <w:spacing w:before="156" w:beforeLines="50" w:after="50" w:line="360" w:lineRule="auto"/>
        <w:ind w:right="480"/>
        <w:outlineLvl w:val="1"/>
        <w:rPr>
          <w:rFonts w:hint="eastAsia" w:ascii="宋体" w:hAnsi="宋体" w:cs="宋体"/>
          <w:b/>
          <w:bCs/>
          <w:color w:val="auto"/>
          <w:sz w:val="32"/>
          <w:szCs w:val="32"/>
          <w:highlight w:val="none"/>
        </w:rPr>
        <w:sectPr>
          <w:pgSz w:w="11906" w:h="16838"/>
          <w:pgMar w:top="1417" w:right="1417" w:bottom="1417" w:left="1417" w:header="851" w:footer="567" w:gutter="0"/>
          <w:cols w:space="720" w:num="1"/>
          <w:titlePg/>
          <w:docGrid w:type="lines" w:linePitch="312" w:charSpace="0"/>
        </w:sectPr>
      </w:pPr>
    </w:p>
    <w:p w14:paraId="3E92D3F8">
      <w:pPr>
        <w:spacing w:line="360" w:lineRule="auto"/>
        <w:contextualSpacing/>
        <w:jc w:val="center"/>
        <w:rPr>
          <w:rFonts w:ascii="宋体" w:hAnsi="宋体" w:cs="宋体"/>
          <w:b/>
          <w:color w:val="auto"/>
          <w:sz w:val="32"/>
          <w:szCs w:val="32"/>
          <w:highlight w:val="none"/>
        </w:rPr>
      </w:pPr>
      <w:r>
        <w:rPr>
          <w:rFonts w:hint="eastAsia" w:ascii="宋体" w:hAnsi="宋体" w:cs="宋体"/>
          <w:b/>
          <w:bCs/>
          <w:color w:val="auto"/>
          <w:sz w:val="44"/>
          <w:szCs w:val="44"/>
          <w:highlight w:val="none"/>
        </w:rPr>
        <w:t>法定代表人身份证明</w:t>
      </w:r>
    </w:p>
    <w:p w14:paraId="67CA0ABD">
      <w:pPr>
        <w:spacing w:line="360" w:lineRule="auto"/>
        <w:ind w:left="540"/>
        <w:contextualSpacing/>
        <w:rPr>
          <w:rFonts w:ascii="宋体" w:hAnsi="宋体" w:cs="宋体"/>
          <w:color w:val="auto"/>
          <w:sz w:val="32"/>
          <w:szCs w:val="32"/>
          <w:highlight w:val="none"/>
        </w:rPr>
      </w:pPr>
    </w:p>
    <w:p w14:paraId="25FF64A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598C4C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C85EE89">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572EEE">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3275BC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2AA279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4E3BB17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D53357C">
      <w:pPr>
        <w:spacing w:line="360" w:lineRule="auto"/>
        <w:ind w:left="540"/>
        <w:contextualSpacing/>
        <w:rPr>
          <w:rFonts w:ascii="宋体" w:hAnsi="宋体" w:cs="宋体"/>
          <w:color w:val="auto"/>
          <w:sz w:val="24"/>
          <w:highlight w:val="none"/>
        </w:rPr>
      </w:pPr>
    </w:p>
    <w:p w14:paraId="1FF75FE9">
      <w:pPr>
        <w:spacing w:line="360" w:lineRule="auto"/>
        <w:ind w:left="540"/>
        <w:contextualSpacing/>
        <w:rPr>
          <w:rFonts w:ascii="宋体" w:hAnsi="宋体" w:cs="宋体"/>
          <w:color w:val="auto"/>
          <w:sz w:val="24"/>
          <w:highlight w:val="none"/>
        </w:rPr>
      </w:pPr>
    </w:p>
    <w:p w14:paraId="7CC2F163">
      <w:pPr>
        <w:spacing w:line="360" w:lineRule="auto"/>
        <w:ind w:left="540"/>
        <w:contextualSpacing/>
        <w:rPr>
          <w:rFonts w:ascii="宋体" w:hAnsi="宋体" w:cs="宋体"/>
          <w:color w:val="auto"/>
          <w:sz w:val="24"/>
          <w:highlight w:val="none"/>
        </w:rPr>
      </w:pPr>
    </w:p>
    <w:p w14:paraId="2AC42B3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220F665A">
      <w:pPr>
        <w:spacing w:line="360" w:lineRule="auto"/>
        <w:ind w:left="540"/>
        <w:contextualSpacing/>
        <w:rPr>
          <w:rFonts w:ascii="宋体" w:hAnsi="宋体" w:cs="宋体"/>
          <w:color w:val="auto"/>
          <w:sz w:val="24"/>
          <w:highlight w:val="none"/>
        </w:rPr>
      </w:pPr>
    </w:p>
    <w:p w14:paraId="0569124B">
      <w:pPr>
        <w:spacing w:line="360" w:lineRule="auto"/>
        <w:ind w:right="960" w:firstLine="4080" w:firstLineChars="1700"/>
        <w:contextualSpacing/>
        <w:rPr>
          <w:rFonts w:ascii="宋体" w:hAnsi="宋体" w:cs="宋体"/>
          <w:color w:val="auto"/>
          <w:sz w:val="24"/>
          <w:highlight w:val="none"/>
          <w:u w:val="singl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FFBC722">
      <w:pPr>
        <w:pStyle w:val="25"/>
        <w:rPr>
          <w:rFonts w:ascii="宋体" w:hAnsi="宋体" w:cs="宋体"/>
          <w:color w:val="auto"/>
          <w:highlight w:val="none"/>
        </w:rPr>
      </w:pPr>
    </w:p>
    <w:p w14:paraId="5FF58F5E">
      <w:pPr>
        <w:spacing w:line="360" w:lineRule="auto"/>
        <w:ind w:firstLine="4080" w:firstLineChars="1700"/>
        <w:contextualSpacing/>
        <w:rPr>
          <w:rFonts w:ascii="宋体" w:hAnsi="宋体" w:cs="宋体"/>
          <w:color w:val="auto"/>
          <w:sz w:val="24"/>
          <w:highlight w:val="none"/>
        </w:rPr>
      </w:pPr>
      <w:r>
        <w:rPr>
          <w:rFonts w:hint="eastAsia"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52E71CC">
      <w:pPr>
        <w:spacing w:line="360" w:lineRule="auto"/>
        <w:contextualSpacing/>
        <w:jc w:val="center"/>
        <w:rPr>
          <w:rFonts w:ascii="宋体" w:hAnsi="宋体" w:cs="宋体"/>
          <w:b/>
          <w:color w:val="auto"/>
          <w:sz w:val="24"/>
          <w:highlight w:val="none"/>
        </w:rPr>
      </w:pPr>
    </w:p>
    <w:p w14:paraId="7790B8A0">
      <w:pPr>
        <w:spacing w:line="360" w:lineRule="auto"/>
        <w:contextualSpacing/>
        <w:jc w:val="left"/>
        <w:rPr>
          <w:rFonts w:ascii="宋体" w:hAnsi="宋体" w:cs="宋体"/>
          <w:color w:val="auto"/>
          <w:sz w:val="24"/>
          <w:highlight w:val="none"/>
        </w:rPr>
      </w:pPr>
    </w:p>
    <w:p w14:paraId="5394DB82">
      <w:pPr>
        <w:spacing w:line="360" w:lineRule="auto"/>
        <w:contextualSpacing/>
        <w:jc w:val="left"/>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hint="eastAsia" w:ascii="楷体" w:hAnsi="楷体" w:eastAsia="楷体" w:cs="宋体"/>
          <w:color w:val="auto"/>
          <w:sz w:val="24"/>
          <w:highlight w:val="none"/>
        </w:rPr>
        <w:t>自然人参与竞争性磋商的无需提供，联合体参与竞争性磋商的只需牵头人出具。</w:t>
      </w:r>
    </w:p>
    <w:p w14:paraId="4C20D5C5">
      <w:pPr>
        <w:adjustRightInd w:val="0"/>
        <w:snapToGrid w:val="0"/>
        <w:spacing w:line="300" w:lineRule="auto"/>
        <w:jc w:val="left"/>
        <w:rPr>
          <w:rFonts w:ascii="宋体" w:hAnsi="宋体" w:cs="宋体"/>
          <w:b/>
          <w:color w:val="auto"/>
          <w:szCs w:val="21"/>
          <w:highlight w:val="none"/>
        </w:rPr>
      </w:pPr>
    </w:p>
    <w:p w14:paraId="2305AF92">
      <w:pPr>
        <w:spacing w:line="50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 xml:space="preserve"> </w:t>
      </w:r>
    </w:p>
    <w:p w14:paraId="49AD82E2">
      <w:pPr>
        <w:jc w:val="center"/>
        <w:rPr>
          <w:rFonts w:ascii="宋体" w:hAnsi="宋体" w:cs="宋体"/>
          <w:b/>
          <w:color w:val="auto"/>
          <w:sz w:val="44"/>
          <w:szCs w:val="44"/>
          <w:highlight w:val="none"/>
        </w:rPr>
      </w:pPr>
      <w:bookmarkStart w:id="43" w:name="_Hlk65853643"/>
      <w:r>
        <w:rPr>
          <w:rFonts w:hint="eastAsia" w:ascii="宋体" w:hAnsi="宋体" w:cs="宋体"/>
          <w:b/>
          <w:color w:val="auto"/>
          <w:sz w:val="44"/>
          <w:szCs w:val="44"/>
          <w:highlight w:val="none"/>
        </w:rPr>
        <w:t>授权委托书</w:t>
      </w:r>
    </w:p>
    <w:p w14:paraId="2A8E7942">
      <w:pPr>
        <w:jc w:val="center"/>
        <w:rPr>
          <w:rFonts w:ascii="宋体" w:hAnsi="宋体" w:cs="宋体"/>
          <w:color w:val="auto"/>
          <w:sz w:val="32"/>
          <w:szCs w:val="32"/>
          <w:highlight w:val="none"/>
        </w:rPr>
      </w:pPr>
      <w:r>
        <w:rPr>
          <w:rFonts w:hint="eastAsia" w:ascii="宋体" w:hAnsi="宋体" w:cs="宋体"/>
          <w:color w:val="auto"/>
          <w:sz w:val="32"/>
          <w:szCs w:val="32"/>
          <w:highlight w:val="none"/>
        </w:rPr>
        <w:t>（非联合体参与竞争性磋商格式）</w:t>
      </w:r>
    </w:p>
    <w:p w14:paraId="1445E801">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45DF4850">
      <w:pPr>
        <w:spacing w:line="520" w:lineRule="exact"/>
        <w:rPr>
          <w:rFonts w:ascii="宋体" w:hAnsi="宋体" w:cs="宋体"/>
          <w:color w:val="auto"/>
          <w:sz w:val="32"/>
          <w:szCs w:val="32"/>
          <w:highlight w:val="none"/>
        </w:rPr>
      </w:pPr>
    </w:p>
    <w:p w14:paraId="72585B35">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783B5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项目的竞争性磋商活动，并代表我方全权办理针对上述项目的所有采购程序和环节的具体事务和签署相关文件。</w:t>
      </w:r>
    </w:p>
    <w:p w14:paraId="71EED88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1D4241D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69567C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561B9A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2810F543">
      <w:pPr>
        <w:spacing w:line="360" w:lineRule="auto"/>
        <w:rPr>
          <w:rFonts w:ascii="宋体" w:hAnsi="宋体" w:cs="宋体"/>
          <w:color w:val="auto"/>
          <w:sz w:val="24"/>
          <w:highlight w:val="none"/>
        </w:rPr>
      </w:pPr>
    </w:p>
    <w:p w14:paraId="5A2A281E">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法定代表人（签字）：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45B3B94">
      <w:pPr>
        <w:spacing w:line="360" w:lineRule="auto"/>
        <w:rPr>
          <w:rFonts w:ascii="宋体" w:hAnsi="宋体" w:cs="宋体"/>
          <w:color w:val="auto"/>
          <w:sz w:val="24"/>
          <w:highlight w:val="none"/>
        </w:rPr>
      </w:pPr>
      <w:r>
        <w:rPr>
          <w:rFonts w:hint="eastAsia" w:ascii="宋体" w:hAnsi="宋体" w:cs="宋体"/>
          <w:color w:val="auto"/>
          <w:sz w:val="24"/>
          <w:highlight w:val="none"/>
        </w:rPr>
        <w:t>委托代理人身份证号码：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F9039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02DFCF7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177AF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C7DFDC9">
      <w:pPr>
        <w:spacing w:line="360" w:lineRule="auto"/>
        <w:rPr>
          <w:rFonts w:ascii="宋体" w:hAnsi="宋体" w:cs="宋体"/>
          <w:color w:val="auto"/>
          <w:sz w:val="24"/>
          <w:highlight w:val="none"/>
        </w:rPr>
      </w:pPr>
    </w:p>
    <w:p w14:paraId="77E4E891">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6E6AEADB">
      <w:pPr>
        <w:spacing w:line="360" w:lineRule="auto"/>
        <w:ind w:firstLine="480" w:firstLineChars="200"/>
        <w:jc w:val="left"/>
        <w:rPr>
          <w:rFonts w:ascii="楷体" w:hAnsi="楷体" w:eastAsia="楷体" w:cs="宋体"/>
          <w:color w:val="auto"/>
          <w:sz w:val="24"/>
          <w:highlight w:val="none"/>
        </w:rPr>
      </w:pPr>
      <w:r>
        <w:rPr>
          <w:rFonts w:ascii="楷体" w:hAnsi="楷体" w:eastAsia="楷体" w:cs="宋体"/>
          <w:color w:val="auto"/>
          <w:sz w:val="24"/>
          <w:highlight w:val="none"/>
        </w:rPr>
        <w:t>2.</w:t>
      </w:r>
      <w:bookmarkStart w:id="44" w:name="_Hlk65853109"/>
      <w:bookmarkStart w:id="45" w:name="_Hlk65853542"/>
      <w:r>
        <w:rPr>
          <w:rFonts w:hint="eastAsia" w:ascii="楷体" w:hAnsi="楷体" w:eastAsia="楷体" w:cs="宋体"/>
          <w:color w:val="auto"/>
          <w:sz w:val="24"/>
          <w:highlight w:val="none"/>
        </w:rPr>
        <w:t>法人、其他组织参与竞争性磋商时“我方”是指“我单位”，自然人参与竞争性磋商时“我方”是指“本人”。</w:t>
      </w:r>
      <w:bookmarkEnd w:id="44"/>
    </w:p>
    <w:bookmarkEnd w:id="45"/>
    <w:p w14:paraId="1D0B85FF">
      <w:pPr>
        <w:spacing w:line="360" w:lineRule="auto"/>
        <w:ind w:firstLine="420" w:firstLineChars="200"/>
        <w:jc w:val="left"/>
        <w:rPr>
          <w:rFonts w:ascii="宋体" w:hAnsi="宋体" w:cs="宋体"/>
          <w:color w:val="auto"/>
          <w:szCs w:val="21"/>
          <w:highlight w:val="none"/>
        </w:rPr>
      </w:pPr>
    </w:p>
    <w:p w14:paraId="278C4112">
      <w:pPr>
        <w:jc w:val="center"/>
        <w:rPr>
          <w:rFonts w:ascii="宋体" w:hAnsi="宋体" w:cs="宋体"/>
          <w:b/>
          <w:color w:val="auto"/>
          <w:sz w:val="44"/>
          <w:szCs w:val="44"/>
          <w:highlight w:val="none"/>
        </w:rPr>
      </w:pPr>
      <w:r>
        <w:rPr>
          <w:rFonts w:hint="eastAsia" w:ascii="宋体" w:hAnsi="宋体" w:cs="宋体"/>
          <w:color w:val="auto"/>
          <w:szCs w:val="21"/>
          <w:highlight w:val="none"/>
        </w:rPr>
        <w:br w:type="page"/>
      </w:r>
      <w:r>
        <w:rPr>
          <w:rFonts w:hint="eastAsia" w:ascii="宋体" w:hAnsi="宋体" w:cs="宋体"/>
          <w:b/>
          <w:color w:val="auto"/>
          <w:sz w:val="44"/>
          <w:szCs w:val="44"/>
          <w:highlight w:val="none"/>
        </w:rPr>
        <w:t>授权委托书</w:t>
      </w:r>
    </w:p>
    <w:p w14:paraId="47750C7F">
      <w:pPr>
        <w:jc w:val="center"/>
        <w:rPr>
          <w:rFonts w:ascii="宋体" w:hAnsi="宋体" w:cs="宋体"/>
          <w:color w:val="auto"/>
          <w:sz w:val="32"/>
          <w:szCs w:val="32"/>
          <w:highlight w:val="none"/>
        </w:rPr>
      </w:pPr>
      <w:r>
        <w:rPr>
          <w:rFonts w:hint="eastAsia" w:ascii="宋体" w:hAnsi="宋体" w:cs="宋体"/>
          <w:color w:val="auto"/>
          <w:sz w:val="32"/>
          <w:szCs w:val="32"/>
          <w:highlight w:val="none"/>
        </w:rPr>
        <w:t>（联合体参与竞争性磋商格式）</w:t>
      </w:r>
    </w:p>
    <w:p w14:paraId="34FD4912">
      <w:pPr>
        <w:jc w:val="center"/>
        <w:rPr>
          <w:rFonts w:ascii="宋体" w:hAnsi="宋体" w:cs="宋体"/>
          <w:color w:val="auto"/>
          <w:sz w:val="44"/>
          <w:szCs w:val="44"/>
          <w:highlight w:val="none"/>
        </w:rPr>
      </w:pPr>
      <w:r>
        <w:rPr>
          <w:rFonts w:hint="eastAsia" w:ascii="宋体" w:hAnsi="宋体" w:cs="宋体"/>
          <w:color w:val="auto"/>
          <w:sz w:val="32"/>
          <w:szCs w:val="32"/>
          <w:highlight w:val="none"/>
        </w:rPr>
        <w:t>（如有委托时）</w:t>
      </w:r>
    </w:p>
    <w:p w14:paraId="010E43A7">
      <w:pPr>
        <w:spacing w:line="500" w:lineRule="exact"/>
        <w:jc w:val="center"/>
        <w:rPr>
          <w:rFonts w:ascii="宋体" w:hAnsi="宋体" w:cs="宋体"/>
          <w:color w:val="auto"/>
          <w:sz w:val="44"/>
          <w:szCs w:val="44"/>
          <w:highlight w:val="none"/>
        </w:rPr>
      </w:pPr>
    </w:p>
    <w:p w14:paraId="4C04A654">
      <w:pPr>
        <w:spacing w:line="500" w:lineRule="exact"/>
        <w:jc w:val="center"/>
        <w:rPr>
          <w:rFonts w:ascii="宋体" w:hAnsi="宋体" w:cs="宋体"/>
          <w:color w:val="auto"/>
          <w:sz w:val="32"/>
          <w:szCs w:val="32"/>
          <w:highlight w:val="none"/>
        </w:rPr>
      </w:pPr>
    </w:p>
    <w:p w14:paraId="5153EC4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（联合体其他成员名称）签订的《联合体参与竞争性磋商协议书》的内容，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（姓名）现授权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（姓名）为联合委托代理人，并代表我方全权办理针对上述项目的所有采购程序和环节的具体事务和签署相关文件。</w:t>
      </w:r>
    </w:p>
    <w:p w14:paraId="781F7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C00AC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B65FA5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D20955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附：法定代表人身份证明及委托代理人有效身份证正反面复印件</w:t>
      </w:r>
    </w:p>
    <w:p w14:paraId="1DA034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牵头人法定代表人（签字或者盖章）：</w:t>
      </w:r>
    </w:p>
    <w:p w14:paraId="2BD85C03">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牵头人（公章）：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151A4C0F">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8290429">
      <w:pPr>
        <w:spacing w:line="360" w:lineRule="auto"/>
        <w:rPr>
          <w:rFonts w:ascii="宋体" w:hAnsi="宋体" w:cs="宋体"/>
          <w:color w:val="auto"/>
          <w:sz w:val="24"/>
          <w:highlight w:val="none"/>
        </w:rPr>
      </w:pPr>
    </w:p>
    <w:p w14:paraId="5D313416">
      <w:pPr>
        <w:spacing w:line="360" w:lineRule="auto"/>
        <w:ind w:firstLine="3120" w:firstLineChars="1300"/>
        <w:rPr>
          <w:rFonts w:ascii="宋体" w:hAnsi="宋体" w:cs="宋体"/>
          <w:color w:val="auto"/>
          <w:sz w:val="24"/>
          <w:highlight w:val="none"/>
          <w:u w:val="single"/>
        </w:rPr>
      </w:pPr>
      <w:r>
        <w:rPr>
          <w:rFonts w:hint="eastAsia" w:ascii="宋体" w:hAnsi="宋体" w:cs="宋体"/>
          <w:color w:val="auto"/>
          <w:sz w:val="24"/>
          <w:highlight w:val="none"/>
        </w:rPr>
        <w:t>被授权人（签字）：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BFD12ED">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2D56D6E">
      <w:pPr>
        <w:spacing w:line="360" w:lineRule="auto"/>
        <w:rPr>
          <w:rFonts w:ascii="宋体" w:hAnsi="宋体" w:cs="宋体"/>
          <w:color w:val="auto"/>
          <w:sz w:val="24"/>
          <w:highlight w:val="none"/>
        </w:rPr>
      </w:pPr>
    </w:p>
    <w:p w14:paraId="5629DA2E">
      <w:pPr>
        <w:spacing w:line="360" w:lineRule="auto"/>
        <w:rPr>
          <w:rFonts w:ascii="楷体" w:hAnsi="楷体" w:eastAsia="楷体" w:cs="宋体"/>
          <w:color w:val="auto"/>
          <w:sz w:val="24"/>
          <w:highlight w:val="none"/>
        </w:rPr>
      </w:pPr>
      <w:r>
        <w:rPr>
          <w:rFonts w:hint="eastAsia" w:ascii="楷体" w:hAnsi="楷体" w:eastAsia="楷体" w:cs="宋体"/>
          <w:b/>
          <w:color w:val="auto"/>
          <w:sz w:val="24"/>
          <w:highlight w:val="none"/>
        </w:rPr>
        <w:t>注：</w:t>
      </w:r>
      <w:r>
        <w:rPr>
          <w:rFonts w:ascii="楷体" w:hAnsi="楷体" w:eastAsia="楷体" w:cs="宋体"/>
          <w:color w:val="auto"/>
          <w:sz w:val="24"/>
          <w:highlight w:val="none"/>
        </w:rPr>
        <w:t>1.</w:t>
      </w:r>
      <w:r>
        <w:rPr>
          <w:rFonts w:hint="eastAsia" w:ascii="楷体" w:hAnsi="楷体" w:eastAsia="楷体" w:cs="宋体"/>
          <w:color w:val="auto"/>
          <w:sz w:val="24"/>
          <w:highlight w:val="none"/>
        </w:rPr>
        <w:t>法定代表人必须在授权委托书上亲笔签字，委托代理人必须在授权委托书上亲笔签字，</w:t>
      </w:r>
      <w:r>
        <w:rPr>
          <w:rFonts w:hint="eastAsia" w:ascii="楷体" w:hAnsi="楷体" w:eastAsia="楷体" w:cs="宋体"/>
          <w:b/>
          <w:color w:val="auto"/>
          <w:sz w:val="24"/>
          <w:highlight w:val="none"/>
        </w:rPr>
        <w:t>否则其响应文件按无效响应处理。</w:t>
      </w:r>
    </w:p>
    <w:p w14:paraId="53395A20">
      <w:pPr>
        <w:spacing w:line="360" w:lineRule="auto"/>
        <w:ind w:firstLine="480" w:firstLineChars="200"/>
        <w:jc w:val="left"/>
        <w:outlineLvl w:val="2"/>
        <w:rPr>
          <w:rFonts w:ascii="楷体" w:hAnsi="楷体" w:eastAsia="楷体" w:cs="宋体"/>
          <w:color w:val="auto"/>
          <w:sz w:val="24"/>
          <w:highlight w:val="none"/>
        </w:rPr>
      </w:pPr>
      <w:r>
        <w:rPr>
          <w:rFonts w:ascii="楷体" w:hAnsi="楷体" w:eastAsia="楷体" w:cs="宋体"/>
          <w:color w:val="auto"/>
          <w:sz w:val="24"/>
          <w:highlight w:val="none"/>
        </w:rPr>
        <w:t>2.本授权委托书应由联合体牵头人的法定代表人按上述规定签署。</w:t>
      </w:r>
    </w:p>
    <w:p w14:paraId="7DA285C7">
      <w:pPr>
        <w:spacing w:line="360" w:lineRule="auto"/>
        <w:ind w:firstLine="480" w:firstLineChars="200"/>
        <w:jc w:val="left"/>
        <w:rPr>
          <w:rFonts w:ascii="楷体" w:hAnsi="楷体" w:eastAsia="楷体" w:cs="宋体"/>
          <w:color w:val="auto"/>
          <w:spacing w:val="-11"/>
          <w:sz w:val="24"/>
          <w:highlight w:val="none"/>
        </w:rPr>
      </w:pPr>
      <w:r>
        <w:rPr>
          <w:rFonts w:ascii="楷体" w:hAnsi="楷体" w:eastAsia="楷体" w:cs="宋体"/>
          <w:color w:val="auto"/>
          <w:sz w:val="24"/>
          <w:highlight w:val="none"/>
        </w:rPr>
        <w:t>3.</w:t>
      </w:r>
      <w:r>
        <w:rPr>
          <w:rFonts w:hint="eastAsia" w:ascii="楷体" w:hAnsi="楷体" w:eastAsia="楷体" w:cs="宋体"/>
          <w:color w:val="auto"/>
          <w:spacing w:val="-11"/>
          <w:sz w:val="24"/>
          <w:highlight w:val="none"/>
        </w:rPr>
        <w:t>法人、其他组织</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时“我方”是指“我单位”，自然人</w:t>
      </w:r>
      <w:r>
        <w:rPr>
          <w:rFonts w:hint="eastAsia" w:ascii="楷体" w:hAnsi="楷体" w:eastAsia="楷体" w:cs="宋体"/>
          <w:color w:val="auto"/>
          <w:sz w:val="24"/>
          <w:highlight w:val="none"/>
        </w:rPr>
        <w:t>参与竞争性磋商</w:t>
      </w:r>
      <w:r>
        <w:rPr>
          <w:rFonts w:hint="eastAsia" w:ascii="楷体" w:hAnsi="楷体" w:eastAsia="楷体" w:cs="宋体"/>
          <w:color w:val="auto"/>
          <w:spacing w:val="-11"/>
          <w:sz w:val="24"/>
          <w:highlight w:val="none"/>
        </w:rPr>
        <w:t>时“我方”是指“本人”。</w:t>
      </w:r>
    </w:p>
    <w:bookmarkEnd w:id="43"/>
    <w:p w14:paraId="71CA0E2C">
      <w:pPr>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
          <w:bCs/>
          <w:color w:val="auto"/>
          <w:sz w:val="44"/>
          <w:szCs w:val="44"/>
          <w:highlight w:val="none"/>
        </w:rPr>
        <w:t>商务要求偏离表</w:t>
      </w:r>
      <w:r>
        <w:rPr>
          <w:rFonts w:hint="eastAsia" w:ascii="宋体" w:hAnsi="宋体" w:cs="宋体"/>
          <w:bCs/>
          <w:color w:val="auto"/>
          <w:sz w:val="44"/>
          <w:szCs w:val="44"/>
          <w:highlight w:val="none"/>
        </w:rPr>
        <w:t>（格式）</w:t>
      </w:r>
    </w:p>
    <w:p w14:paraId="3AF4E7E0">
      <w:pPr>
        <w:jc w:val="center"/>
        <w:outlineLvl w:val="3"/>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4C9A8BE8">
      <w:pPr>
        <w:spacing w:line="360" w:lineRule="auto"/>
        <w:contextualSpacing/>
        <w:jc w:val="left"/>
        <w:rPr>
          <w:rFonts w:ascii="宋体" w:hAnsi="宋体" w:cs="宋体"/>
          <w:color w:val="auto"/>
          <w:sz w:val="24"/>
          <w:highlight w:val="none"/>
        </w:rPr>
      </w:pPr>
    </w:p>
    <w:p w14:paraId="7FC19CDA">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3F60B5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2D1B3684">
      <w:pPr>
        <w:spacing w:line="360" w:lineRule="auto"/>
        <w:contextualSpacing/>
        <w:rPr>
          <w:rFonts w:hAnsi="宋体" w:cs="宋体"/>
          <w:color w:val="auto"/>
          <w:sz w:val="24"/>
          <w:highlight w:val="non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p w14:paraId="5DB49A49">
      <w:pPr>
        <w:spacing w:line="360" w:lineRule="auto"/>
        <w:contextualSpacing/>
        <w:jc w:val="left"/>
        <w:rPr>
          <w:rFonts w:ascii="宋体" w:hAnsi="宋体" w:cs="宋体"/>
          <w:color w:val="auto"/>
          <w:sz w:val="24"/>
          <w:highlight w:val="none"/>
          <w:u w:val="single"/>
        </w:rPr>
      </w:pPr>
    </w:p>
    <w:tbl>
      <w:tblPr>
        <w:tblStyle w:val="31"/>
        <w:tblpPr w:leftFromText="180" w:rightFromText="180" w:vertAnchor="text" w:horzAnchor="margin" w:tblpXSpec="left"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36117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F89E1DD">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656806A3">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0A71C537">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24200F08">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1BC7B0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173291C5">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6202BF40">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6307CA18">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BE86F28">
            <w:pPr>
              <w:spacing w:line="360" w:lineRule="auto"/>
              <w:contextualSpacing/>
              <w:jc w:val="center"/>
              <w:rPr>
                <w:rFonts w:ascii="宋体" w:hAnsi="宋体" w:cs="宋体"/>
                <w:color w:val="auto"/>
                <w:sz w:val="24"/>
                <w:highlight w:val="none"/>
              </w:rPr>
            </w:pPr>
          </w:p>
        </w:tc>
      </w:tr>
      <w:tr w14:paraId="44C58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178" w:type="dxa"/>
            <w:tcBorders>
              <w:top w:val="single" w:color="auto" w:sz="4" w:space="0"/>
              <w:left w:val="single" w:color="auto" w:sz="4" w:space="0"/>
              <w:bottom w:val="single" w:color="auto" w:sz="4" w:space="0"/>
              <w:right w:val="single" w:color="auto" w:sz="4" w:space="0"/>
            </w:tcBorders>
            <w:vAlign w:val="center"/>
          </w:tcPr>
          <w:p w14:paraId="2B05F35D">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vAlign w:val="center"/>
          </w:tcPr>
          <w:p w14:paraId="1462B54B">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07D743C3">
            <w:pPr>
              <w:spacing w:line="360" w:lineRule="auto"/>
              <w:ind w:left="43"/>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423C25AD">
            <w:pPr>
              <w:spacing w:line="360" w:lineRule="auto"/>
              <w:ind w:left="43"/>
              <w:contextualSpacing/>
              <w:jc w:val="center"/>
              <w:rPr>
                <w:rFonts w:ascii="宋体" w:hAnsi="宋体" w:cs="宋体"/>
                <w:color w:val="auto"/>
                <w:sz w:val="24"/>
                <w:highlight w:val="none"/>
              </w:rPr>
            </w:pPr>
          </w:p>
        </w:tc>
      </w:tr>
      <w:tr w14:paraId="23D73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408719B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14:paraId="4626994D">
            <w:pPr>
              <w:spacing w:line="360" w:lineRule="auto"/>
              <w:contextualSpacing/>
              <w:jc w:val="center"/>
              <w:rPr>
                <w:rFonts w:ascii="宋体" w:hAnsi="宋体" w:cs="宋体"/>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14:paraId="71132FE0">
            <w:pPr>
              <w:spacing w:line="360" w:lineRule="auto"/>
              <w:contextualSpacing/>
              <w:jc w:val="center"/>
              <w:rPr>
                <w:rFonts w:ascii="宋体" w:hAnsi="宋体" w:cs="宋体"/>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14:paraId="197462F0">
            <w:pPr>
              <w:spacing w:line="360" w:lineRule="auto"/>
              <w:contextualSpacing/>
              <w:jc w:val="center"/>
              <w:rPr>
                <w:rFonts w:ascii="宋体" w:hAnsi="宋体" w:cs="宋体"/>
                <w:color w:val="auto"/>
                <w:sz w:val="24"/>
                <w:highlight w:val="none"/>
              </w:rPr>
            </w:pPr>
          </w:p>
        </w:tc>
      </w:tr>
    </w:tbl>
    <w:p w14:paraId="230243E0">
      <w:pPr>
        <w:pStyle w:val="12"/>
        <w:spacing w:after="0" w:line="360" w:lineRule="auto"/>
        <w:contextualSpacing/>
        <w:rPr>
          <w:rFonts w:ascii="楷体" w:hAnsi="楷体" w:eastAsia="楷体" w:cs="宋体"/>
          <w:b/>
          <w:color w:val="auto"/>
          <w:kern w:val="0"/>
          <w:sz w:val="24"/>
          <w:szCs w:val="24"/>
          <w:highlight w:val="none"/>
        </w:rPr>
      </w:pPr>
      <w:r>
        <w:rPr>
          <w:rFonts w:hint="eastAsia" w:ascii="楷体" w:hAnsi="楷体" w:eastAsia="楷体" w:cs="宋体"/>
          <w:b/>
          <w:color w:val="auto"/>
          <w:kern w:val="0"/>
          <w:sz w:val="24"/>
          <w:szCs w:val="24"/>
          <w:highlight w:val="none"/>
        </w:rPr>
        <w:t>注：</w:t>
      </w:r>
    </w:p>
    <w:p w14:paraId="35CF9371">
      <w:pPr>
        <w:pStyle w:val="12"/>
        <w:spacing w:after="0" w:line="360" w:lineRule="auto"/>
        <w:contextualSpacing/>
        <w:rPr>
          <w:rFonts w:ascii="楷体" w:hAnsi="楷体" w:eastAsia="楷体" w:cs="宋体"/>
          <w:color w:val="auto"/>
          <w:kern w:val="0"/>
          <w:sz w:val="24"/>
          <w:szCs w:val="24"/>
          <w:highlight w:val="none"/>
        </w:rPr>
      </w:pPr>
      <w:r>
        <w:rPr>
          <w:rFonts w:ascii="楷体" w:hAnsi="楷体" w:eastAsia="楷体" w:cs="宋体"/>
          <w:color w:val="auto"/>
          <w:kern w:val="0"/>
          <w:sz w:val="24"/>
          <w:szCs w:val="24"/>
          <w:highlight w:val="none"/>
        </w:rPr>
        <w:t>1.</w:t>
      </w:r>
      <w:r>
        <w:rPr>
          <w:rFonts w:hint="eastAsia" w:ascii="楷体" w:hAnsi="楷体" w:eastAsia="楷体" w:cs="宋体"/>
          <w:color w:val="auto"/>
          <w:kern w:val="0"/>
          <w:sz w:val="24"/>
          <w:szCs w:val="24"/>
          <w:highlight w:val="none"/>
        </w:rPr>
        <w:t>说明：应对照磋商文件“第三章</w:t>
      </w:r>
      <w:r>
        <w:rPr>
          <w:rFonts w:ascii="楷体" w:hAnsi="楷体" w:eastAsia="楷体" w:cs="宋体"/>
          <w:color w:val="auto"/>
          <w:kern w:val="0"/>
          <w:sz w:val="24"/>
          <w:szCs w:val="24"/>
          <w:highlight w:val="none"/>
        </w:rPr>
        <w:t xml:space="preserve"> </w:t>
      </w:r>
      <w:r>
        <w:rPr>
          <w:rFonts w:hint="eastAsia" w:ascii="楷体" w:hAnsi="楷体" w:eastAsia="楷体" w:cs="宋体"/>
          <w:color w:val="auto"/>
          <w:kern w:val="0"/>
          <w:sz w:val="24"/>
          <w:szCs w:val="24"/>
          <w:highlight w:val="none"/>
        </w:rPr>
        <w:t>采购需求”中的商务要求逐条作出明确响应，并作出偏离说明。</w:t>
      </w:r>
    </w:p>
    <w:p w14:paraId="60A1B7E8">
      <w:pPr>
        <w:spacing w:line="360" w:lineRule="auto"/>
        <w:contextualSpacing/>
        <w:jc w:val="left"/>
        <w:rPr>
          <w:rFonts w:ascii="楷体" w:hAnsi="楷体" w:eastAsia="楷体" w:cs="宋体"/>
          <w:color w:val="auto"/>
          <w:sz w:val="24"/>
          <w:highlight w:val="none"/>
          <w:u w:val="single"/>
        </w:rPr>
      </w:pPr>
      <w:r>
        <w:rPr>
          <w:rFonts w:ascii="楷体" w:hAnsi="楷体" w:eastAsia="楷体" w:cs="宋体"/>
          <w:color w:val="auto"/>
          <w:kern w:val="0"/>
          <w:sz w:val="24"/>
          <w:highlight w:val="none"/>
        </w:rPr>
        <w:t>2.供应商应根据自身的承诺，对照磋商文件要求在“偏离说明”中注明“正偏离”、“负偏离”或者“无偏离”。既不属于“正偏离”也不属于“负偏离”即为“无偏离”。</w:t>
      </w:r>
    </w:p>
    <w:p w14:paraId="5ADD9434">
      <w:pPr>
        <w:spacing w:line="360" w:lineRule="auto"/>
        <w:ind w:right="-817" w:rightChars="-389"/>
        <w:contextualSpacing/>
        <w:rPr>
          <w:rFonts w:ascii="楷体" w:hAnsi="楷体" w:eastAsia="楷体" w:cs="宋体"/>
          <w:color w:val="auto"/>
          <w:sz w:val="24"/>
          <w:highlight w:val="none"/>
        </w:rPr>
      </w:pPr>
    </w:p>
    <w:p w14:paraId="5ECA1D18">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C71D2B8">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FD6EC34">
      <w:pPr>
        <w:spacing w:line="360" w:lineRule="auto"/>
        <w:ind w:right="-817" w:rightChars="-389" w:firstLine="4080" w:firstLineChars="1700"/>
        <w:contextualSpacing/>
        <w:rPr>
          <w:rFonts w:ascii="宋体" w:hAnsi="宋体" w:cs="宋体"/>
          <w:b/>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17967F6C">
      <w:pPr>
        <w:adjustRightInd w:val="0"/>
        <w:snapToGrid w:val="0"/>
        <w:spacing w:line="520" w:lineRule="exact"/>
        <w:ind w:firstLine="7040" w:firstLineChars="1600"/>
        <w:jc w:val="center"/>
        <w:rPr>
          <w:rFonts w:ascii="宋体" w:hAnsi="宋体" w:cs="宋体"/>
          <w:bCs/>
          <w:color w:val="auto"/>
          <w:sz w:val="44"/>
          <w:szCs w:val="44"/>
          <w:highlight w:val="none"/>
        </w:rPr>
      </w:pPr>
    </w:p>
    <w:p w14:paraId="2DE4FBA0">
      <w:pPr>
        <w:adjustRightInd w:val="0"/>
        <w:snapToGrid w:val="0"/>
        <w:spacing w:line="520" w:lineRule="exact"/>
        <w:ind w:firstLine="7040" w:firstLineChars="1600"/>
        <w:jc w:val="center"/>
        <w:rPr>
          <w:rFonts w:ascii="宋体" w:hAnsi="宋体" w:cs="宋体"/>
          <w:bCs/>
          <w:color w:val="auto"/>
          <w:sz w:val="44"/>
          <w:szCs w:val="44"/>
          <w:highlight w:val="none"/>
        </w:rPr>
      </w:pPr>
    </w:p>
    <w:p w14:paraId="6173BBE0">
      <w:pPr>
        <w:adjustRightInd w:val="0"/>
        <w:snapToGrid w:val="0"/>
        <w:spacing w:line="520" w:lineRule="exact"/>
        <w:ind w:firstLine="7040" w:firstLineChars="1600"/>
        <w:jc w:val="center"/>
        <w:rPr>
          <w:rFonts w:ascii="宋体" w:hAnsi="宋体" w:cs="宋体"/>
          <w:bCs/>
          <w:color w:val="auto"/>
          <w:sz w:val="44"/>
          <w:szCs w:val="44"/>
          <w:highlight w:val="none"/>
        </w:rPr>
      </w:pPr>
    </w:p>
    <w:p w14:paraId="36661DDD">
      <w:pPr>
        <w:adjustRightInd w:val="0"/>
        <w:snapToGrid w:val="0"/>
        <w:spacing w:line="520" w:lineRule="exact"/>
        <w:ind w:firstLine="7040" w:firstLineChars="1600"/>
        <w:jc w:val="center"/>
        <w:rPr>
          <w:rFonts w:ascii="宋体" w:hAnsi="宋体" w:cs="宋体"/>
          <w:bCs/>
          <w:color w:val="auto"/>
          <w:sz w:val="44"/>
          <w:szCs w:val="44"/>
          <w:highlight w:val="none"/>
        </w:rPr>
      </w:pPr>
    </w:p>
    <w:p w14:paraId="156C25DF">
      <w:pPr>
        <w:adjustRightInd w:val="0"/>
        <w:snapToGrid w:val="0"/>
        <w:spacing w:line="520" w:lineRule="exact"/>
        <w:rPr>
          <w:rFonts w:ascii="宋体" w:hAnsi="宋体" w:cs="宋体"/>
          <w:color w:val="auto"/>
          <w:szCs w:val="21"/>
          <w:highlight w:val="none"/>
          <w:u w:val="single"/>
        </w:rPr>
      </w:pPr>
    </w:p>
    <w:p w14:paraId="368C3D65">
      <w:pPr>
        <w:adjustRightInd w:val="0"/>
        <w:snapToGrid w:val="0"/>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
          <w:bCs/>
          <w:color w:val="auto"/>
          <w:sz w:val="44"/>
          <w:szCs w:val="44"/>
          <w:highlight w:val="none"/>
        </w:rPr>
        <w:t>服务要求偏离表</w:t>
      </w:r>
      <w:r>
        <w:rPr>
          <w:rFonts w:hint="eastAsia" w:ascii="宋体" w:hAnsi="宋体" w:cs="宋体"/>
          <w:bCs/>
          <w:color w:val="auto"/>
          <w:sz w:val="44"/>
          <w:szCs w:val="44"/>
          <w:highlight w:val="none"/>
        </w:rPr>
        <w:t>（格式）</w:t>
      </w:r>
    </w:p>
    <w:p w14:paraId="787966EF">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（注：按采购需求具体条款修改）</w:t>
      </w:r>
    </w:p>
    <w:p w14:paraId="2694F0B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49F550AC">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79FA0C9A">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 w:val="24"/>
          <w:highlight w:val="none"/>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1"/>
        <w:gridCol w:w="992"/>
        <w:gridCol w:w="3292"/>
        <w:gridCol w:w="2963"/>
        <w:gridCol w:w="1616"/>
      </w:tblGrid>
      <w:tr w14:paraId="037C6F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742A6589">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46" w:name="_Toc173066401"/>
            <w:bookmarkStart w:id="47" w:name="_Toc254970588"/>
            <w:bookmarkStart w:id="48" w:name="_Toc295404981"/>
            <w:bookmarkStart w:id="49" w:name="_Toc373333689"/>
            <w:bookmarkStart w:id="50" w:name="_Toc173211900"/>
            <w:bookmarkStart w:id="51" w:name="_Toc383699906"/>
            <w:bookmarkStart w:id="52" w:name="_Toc301781611"/>
            <w:bookmarkStart w:id="53" w:name="_Toc254970729"/>
            <w:bookmarkStart w:id="54" w:name="_Toc297193185"/>
            <w:r>
              <w:rPr>
                <w:rFonts w:hint="eastAsia" w:ascii="宋体" w:hAnsi="宋体" w:eastAsia="宋体" w:cs="宋体"/>
                <w:color w:val="auto"/>
                <w:kern w:val="2"/>
                <w:sz w:val="24"/>
                <w:szCs w:val="24"/>
                <w:highlight w:val="none"/>
              </w:rPr>
              <w:t>序号</w:t>
            </w:r>
            <w:bookmarkEnd w:id="46"/>
            <w:bookmarkEnd w:id="47"/>
            <w:bookmarkEnd w:id="48"/>
            <w:bookmarkEnd w:id="49"/>
            <w:bookmarkEnd w:id="50"/>
            <w:bookmarkEnd w:id="51"/>
            <w:bookmarkEnd w:id="52"/>
            <w:bookmarkEnd w:id="53"/>
            <w:bookmarkEnd w:id="54"/>
          </w:p>
        </w:tc>
        <w:tc>
          <w:tcPr>
            <w:tcW w:w="992" w:type="dxa"/>
            <w:tcBorders>
              <w:right w:val="single" w:color="auto" w:sz="4" w:space="0"/>
            </w:tcBorders>
            <w:vAlign w:val="center"/>
          </w:tcPr>
          <w:p w14:paraId="5BB7F5B9">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3292" w:type="dxa"/>
            <w:tcBorders>
              <w:left w:val="single" w:color="auto" w:sz="4" w:space="0"/>
            </w:tcBorders>
            <w:vAlign w:val="center"/>
          </w:tcPr>
          <w:p w14:paraId="1EA5255E">
            <w:pPr>
              <w:pStyle w:val="15"/>
              <w:spacing w:line="360" w:lineRule="auto"/>
              <w:ind w:firstLine="0" w:firstLineChars="0"/>
              <w:contextualSpacing/>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服务要求</w:t>
            </w:r>
          </w:p>
        </w:tc>
        <w:tc>
          <w:tcPr>
            <w:tcW w:w="2963" w:type="dxa"/>
            <w:vAlign w:val="center"/>
          </w:tcPr>
          <w:p w14:paraId="12501991">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55" w:name="_Toc297193187"/>
            <w:bookmarkStart w:id="56" w:name="_Toc373333691"/>
            <w:bookmarkStart w:id="57" w:name="_Toc301781613"/>
            <w:bookmarkStart w:id="58" w:name="_Toc295404983"/>
            <w:bookmarkStart w:id="59" w:name="_Toc383699908"/>
            <w:bookmarkStart w:id="60" w:name="_Toc173066403"/>
            <w:bookmarkStart w:id="61" w:name="_Toc254970731"/>
            <w:bookmarkStart w:id="62" w:name="_Toc254970590"/>
            <w:bookmarkStart w:id="63" w:name="_Toc173211902"/>
            <w:r>
              <w:rPr>
                <w:rFonts w:hint="eastAsia" w:ascii="宋体" w:hAnsi="宋体" w:eastAsia="宋体" w:cs="宋体"/>
                <w:color w:val="auto"/>
                <w:kern w:val="2"/>
                <w:sz w:val="24"/>
                <w:szCs w:val="24"/>
                <w:highlight w:val="none"/>
              </w:rPr>
              <w:t>供应商的响应</w:t>
            </w:r>
            <w:bookmarkEnd w:id="55"/>
            <w:bookmarkEnd w:id="56"/>
            <w:bookmarkEnd w:id="57"/>
            <w:bookmarkEnd w:id="58"/>
            <w:bookmarkEnd w:id="59"/>
            <w:bookmarkEnd w:id="60"/>
            <w:bookmarkEnd w:id="61"/>
            <w:bookmarkEnd w:id="62"/>
            <w:bookmarkEnd w:id="63"/>
          </w:p>
        </w:tc>
        <w:tc>
          <w:tcPr>
            <w:tcW w:w="1616" w:type="dxa"/>
            <w:vAlign w:val="center"/>
          </w:tcPr>
          <w:p w14:paraId="2DA9CA40">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64" w:name="_Toc173211903"/>
            <w:bookmarkStart w:id="65" w:name="_Toc254970732"/>
            <w:bookmarkStart w:id="66" w:name="_Toc297193188"/>
            <w:bookmarkStart w:id="67" w:name="_Toc383699909"/>
            <w:bookmarkStart w:id="68" w:name="_Toc373333692"/>
            <w:bookmarkStart w:id="69" w:name="_Toc173066404"/>
            <w:bookmarkStart w:id="70" w:name="_Toc254970591"/>
            <w:bookmarkStart w:id="71" w:name="_Toc295404984"/>
            <w:bookmarkStart w:id="72" w:name="_Toc301781614"/>
            <w:r>
              <w:rPr>
                <w:rFonts w:hint="eastAsia" w:ascii="宋体" w:hAnsi="宋体" w:eastAsia="宋体" w:cs="宋体"/>
                <w:color w:val="auto"/>
                <w:kern w:val="2"/>
                <w:sz w:val="24"/>
                <w:szCs w:val="24"/>
                <w:highlight w:val="none"/>
              </w:rPr>
              <w:t>偏离</w:t>
            </w:r>
            <w:bookmarkEnd w:id="64"/>
            <w:bookmarkEnd w:id="65"/>
            <w:bookmarkEnd w:id="66"/>
            <w:bookmarkEnd w:id="67"/>
            <w:bookmarkEnd w:id="68"/>
            <w:bookmarkEnd w:id="69"/>
            <w:bookmarkEnd w:id="70"/>
            <w:bookmarkEnd w:id="71"/>
            <w:bookmarkEnd w:id="72"/>
            <w:bookmarkStart w:id="73" w:name="_Toc301781615"/>
            <w:bookmarkStart w:id="74" w:name="_Toc373333693"/>
            <w:bookmarkStart w:id="75" w:name="_Toc254970592"/>
            <w:bookmarkStart w:id="76" w:name="_Toc295404985"/>
            <w:bookmarkStart w:id="77" w:name="_Toc173211904"/>
            <w:bookmarkStart w:id="78" w:name="_Toc297193189"/>
            <w:bookmarkStart w:id="79" w:name="_Toc173066405"/>
            <w:bookmarkStart w:id="80" w:name="_Toc383699910"/>
            <w:bookmarkStart w:id="81" w:name="_Toc254970733"/>
            <w:r>
              <w:rPr>
                <w:rFonts w:hint="eastAsia" w:ascii="宋体" w:hAnsi="宋体" w:eastAsia="宋体" w:cs="宋体"/>
                <w:color w:val="auto"/>
                <w:kern w:val="2"/>
                <w:sz w:val="24"/>
                <w:szCs w:val="24"/>
                <w:highlight w:val="none"/>
              </w:rPr>
              <w:t>说明</w:t>
            </w:r>
            <w:bookmarkEnd w:id="73"/>
            <w:bookmarkEnd w:id="74"/>
            <w:bookmarkEnd w:id="75"/>
            <w:bookmarkEnd w:id="76"/>
            <w:bookmarkEnd w:id="77"/>
            <w:bookmarkEnd w:id="78"/>
            <w:bookmarkEnd w:id="79"/>
            <w:bookmarkEnd w:id="80"/>
            <w:bookmarkEnd w:id="81"/>
          </w:p>
        </w:tc>
      </w:tr>
      <w:tr w14:paraId="4B0B6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9C56D9C">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82" w:name="_Toc373333694"/>
            <w:bookmarkStart w:id="83" w:name="_Toc301781616"/>
            <w:bookmarkStart w:id="84" w:name="_Toc173211905"/>
            <w:bookmarkStart w:id="85" w:name="_Toc173066406"/>
            <w:bookmarkStart w:id="86" w:name="_Toc254970734"/>
            <w:bookmarkStart w:id="87" w:name="_Toc297193190"/>
            <w:bookmarkStart w:id="88" w:name="_Toc383699911"/>
            <w:bookmarkStart w:id="89" w:name="_Toc254970593"/>
            <w:bookmarkStart w:id="90" w:name="_Toc295404986"/>
            <w:r>
              <w:rPr>
                <w:rFonts w:hint="eastAsia" w:ascii="宋体" w:hAnsi="宋体" w:eastAsia="宋体" w:cs="宋体"/>
                <w:color w:val="auto"/>
                <w:kern w:val="2"/>
                <w:sz w:val="24"/>
                <w:szCs w:val="24"/>
                <w:highlight w:val="none"/>
              </w:rPr>
              <w:t>1</w:t>
            </w:r>
            <w:bookmarkEnd w:id="82"/>
            <w:bookmarkEnd w:id="83"/>
            <w:bookmarkEnd w:id="84"/>
            <w:bookmarkEnd w:id="85"/>
            <w:bookmarkEnd w:id="86"/>
            <w:bookmarkEnd w:id="87"/>
            <w:bookmarkEnd w:id="88"/>
            <w:bookmarkEnd w:id="89"/>
            <w:bookmarkEnd w:id="90"/>
          </w:p>
        </w:tc>
        <w:tc>
          <w:tcPr>
            <w:tcW w:w="992" w:type="dxa"/>
            <w:tcBorders>
              <w:right w:val="single" w:color="auto" w:sz="4" w:space="0"/>
            </w:tcBorders>
            <w:vAlign w:val="center"/>
          </w:tcPr>
          <w:p w14:paraId="4969306B">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44C139C1">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2CF58B0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1AEC1F6B">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6C1AA8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8B97CAB">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91" w:name="_Toc297193191"/>
            <w:bookmarkStart w:id="92" w:name="_Toc173066407"/>
            <w:bookmarkStart w:id="93" w:name="_Toc301781617"/>
            <w:bookmarkStart w:id="94" w:name="_Toc254970735"/>
            <w:bookmarkStart w:id="95" w:name="_Toc295404987"/>
            <w:bookmarkStart w:id="96" w:name="_Toc383699912"/>
            <w:bookmarkStart w:id="97" w:name="_Toc373333695"/>
            <w:bookmarkStart w:id="98" w:name="_Toc254970594"/>
            <w:bookmarkStart w:id="99" w:name="_Toc173211906"/>
            <w:r>
              <w:rPr>
                <w:rFonts w:hint="eastAsia" w:ascii="宋体" w:hAnsi="宋体" w:eastAsia="宋体" w:cs="宋体"/>
                <w:color w:val="auto"/>
                <w:kern w:val="2"/>
                <w:sz w:val="24"/>
                <w:szCs w:val="24"/>
                <w:highlight w:val="none"/>
              </w:rPr>
              <w:t>2</w:t>
            </w:r>
            <w:bookmarkEnd w:id="91"/>
            <w:bookmarkEnd w:id="92"/>
            <w:bookmarkEnd w:id="93"/>
            <w:bookmarkEnd w:id="94"/>
            <w:bookmarkEnd w:id="95"/>
            <w:bookmarkEnd w:id="96"/>
            <w:bookmarkEnd w:id="97"/>
            <w:bookmarkEnd w:id="98"/>
            <w:bookmarkEnd w:id="99"/>
          </w:p>
        </w:tc>
        <w:tc>
          <w:tcPr>
            <w:tcW w:w="992" w:type="dxa"/>
            <w:tcBorders>
              <w:right w:val="single" w:color="auto" w:sz="4" w:space="0"/>
            </w:tcBorders>
            <w:vAlign w:val="center"/>
          </w:tcPr>
          <w:p w14:paraId="624F1A2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6D7176C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77C73FC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2D53B0BB">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060F75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21C9B563">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00" w:name="_Toc301781618"/>
            <w:bookmarkStart w:id="101" w:name="_Toc254970595"/>
            <w:bookmarkStart w:id="102" w:name="_Toc295404988"/>
            <w:bookmarkStart w:id="103" w:name="_Toc373333696"/>
            <w:bookmarkStart w:id="104" w:name="_Toc173066408"/>
            <w:bookmarkStart w:id="105" w:name="_Toc297193192"/>
            <w:bookmarkStart w:id="106" w:name="_Toc383699913"/>
            <w:bookmarkStart w:id="107" w:name="_Toc254970736"/>
            <w:bookmarkStart w:id="108" w:name="_Toc173211907"/>
            <w:r>
              <w:rPr>
                <w:rFonts w:hint="eastAsia" w:ascii="宋体" w:hAnsi="宋体" w:eastAsia="宋体" w:cs="宋体"/>
                <w:color w:val="auto"/>
                <w:kern w:val="2"/>
                <w:sz w:val="24"/>
                <w:szCs w:val="24"/>
                <w:highlight w:val="none"/>
              </w:rPr>
              <w:t>3</w:t>
            </w:r>
            <w:bookmarkEnd w:id="100"/>
            <w:bookmarkEnd w:id="101"/>
            <w:bookmarkEnd w:id="102"/>
            <w:bookmarkEnd w:id="103"/>
            <w:bookmarkEnd w:id="104"/>
            <w:bookmarkEnd w:id="105"/>
            <w:bookmarkEnd w:id="106"/>
            <w:bookmarkEnd w:id="107"/>
            <w:bookmarkEnd w:id="108"/>
          </w:p>
        </w:tc>
        <w:tc>
          <w:tcPr>
            <w:tcW w:w="992" w:type="dxa"/>
            <w:tcBorders>
              <w:right w:val="single" w:color="auto" w:sz="4" w:space="0"/>
            </w:tcBorders>
            <w:vAlign w:val="center"/>
          </w:tcPr>
          <w:p w14:paraId="76C0BA1C">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10CF623F">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1253451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776B454F">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56ADDE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5A668B2E">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09" w:name="_Toc173066409"/>
            <w:bookmarkStart w:id="110" w:name="_Toc383699914"/>
            <w:bookmarkStart w:id="111" w:name="_Toc254970737"/>
            <w:bookmarkStart w:id="112" w:name="_Toc301781619"/>
            <w:bookmarkStart w:id="113" w:name="_Toc295404989"/>
            <w:bookmarkStart w:id="114" w:name="_Toc173211908"/>
            <w:bookmarkStart w:id="115" w:name="_Toc373333697"/>
            <w:bookmarkStart w:id="116" w:name="_Toc297193193"/>
            <w:bookmarkStart w:id="117" w:name="_Toc254970596"/>
            <w:r>
              <w:rPr>
                <w:rFonts w:hint="eastAsia" w:ascii="宋体" w:hAnsi="宋体" w:eastAsia="宋体" w:cs="宋体"/>
                <w:color w:val="auto"/>
                <w:kern w:val="2"/>
                <w:sz w:val="24"/>
                <w:szCs w:val="24"/>
                <w:highlight w:val="none"/>
              </w:rPr>
              <w:t>4</w:t>
            </w:r>
            <w:bookmarkEnd w:id="109"/>
            <w:bookmarkEnd w:id="110"/>
            <w:bookmarkEnd w:id="111"/>
            <w:bookmarkEnd w:id="112"/>
            <w:bookmarkEnd w:id="113"/>
            <w:bookmarkEnd w:id="114"/>
            <w:bookmarkEnd w:id="115"/>
            <w:bookmarkEnd w:id="116"/>
            <w:bookmarkEnd w:id="117"/>
          </w:p>
        </w:tc>
        <w:tc>
          <w:tcPr>
            <w:tcW w:w="992" w:type="dxa"/>
            <w:tcBorders>
              <w:right w:val="single" w:color="auto" w:sz="4" w:space="0"/>
            </w:tcBorders>
            <w:vAlign w:val="center"/>
          </w:tcPr>
          <w:p w14:paraId="1D5BA828">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4BF0EC07">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1C594793">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00919280">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73E2D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91" w:type="dxa"/>
            <w:vAlign w:val="center"/>
          </w:tcPr>
          <w:p w14:paraId="303D353D">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18" w:name="_Toc383699915"/>
            <w:bookmarkStart w:id="119" w:name="_Toc254970597"/>
            <w:bookmarkStart w:id="120" w:name="_Toc173066410"/>
            <w:bookmarkStart w:id="121" w:name="_Toc173211909"/>
            <w:bookmarkStart w:id="122" w:name="_Toc254970738"/>
            <w:bookmarkStart w:id="123" w:name="_Toc297193194"/>
            <w:bookmarkStart w:id="124" w:name="_Toc373333698"/>
            <w:bookmarkStart w:id="125" w:name="_Toc301781620"/>
            <w:bookmarkStart w:id="126" w:name="_Toc295404990"/>
            <w:r>
              <w:rPr>
                <w:rFonts w:hint="eastAsia" w:ascii="宋体" w:hAnsi="宋体" w:eastAsia="宋体" w:cs="宋体"/>
                <w:color w:val="auto"/>
                <w:kern w:val="2"/>
                <w:sz w:val="24"/>
                <w:szCs w:val="24"/>
                <w:highlight w:val="none"/>
              </w:rPr>
              <w:t>5</w:t>
            </w:r>
            <w:bookmarkEnd w:id="118"/>
            <w:bookmarkEnd w:id="119"/>
            <w:bookmarkEnd w:id="120"/>
            <w:bookmarkEnd w:id="121"/>
            <w:bookmarkEnd w:id="122"/>
            <w:bookmarkEnd w:id="123"/>
            <w:bookmarkEnd w:id="124"/>
            <w:bookmarkEnd w:id="125"/>
            <w:bookmarkEnd w:id="126"/>
          </w:p>
        </w:tc>
        <w:tc>
          <w:tcPr>
            <w:tcW w:w="992" w:type="dxa"/>
            <w:tcBorders>
              <w:right w:val="single" w:color="auto" w:sz="4" w:space="0"/>
            </w:tcBorders>
            <w:vAlign w:val="center"/>
          </w:tcPr>
          <w:p w14:paraId="0FDED87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73B4C82F">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68359A9A">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vAlign w:val="center"/>
          </w:tcPr>
          <w:p w14:paraId="38E97BA5">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r w14:paraId="26C10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91" w:type="dxa"/>
            <w:vAlign w:val="center"/>
          </w:tcPr>
          <w:p w14:paraId="04E34F90">
            <w:pPr>
              <w:pStyle w:val="15"/>
              <w:spacing w:line="360" w:lineRule="auto"/>
              <w:ind w:firstLine="0" w:firstLineChars="0"/>
              <w:contextualSpacing/>
              <w:jc w:val="center"/>
              <w:rPr>
                <w:rFonts w:ascii="宋体" w:hAnsi="宋体" w:eastAsia="宋体" w:cs="宋体"/>
                <w:color w:val="auto"/>
                <w:kern w:val="2"/>
                <w:sz w:val="24"/>
                <w:szCs w:val="24"/>
                <w:highlight w:val="none"/>
              </w:rPr>
            </w:pPr>
            <w:bookmarkStart w:id="127" w:name="_Toc173211914"/>
            <w:bookmarkStart w:id="128" w:name="_Toc173066415"/>
            <w:bookmarkStart w:id="129" w:name="_Toc373333699"/>
            <w:bookmarkStart w:id="130" w:name="_Toc295404991"/>
            <w:bookmarkStart w:id="131" w:name="_Toc254970743"/>
            <w:bookmarkStart w:id="132" w:name="_Toc383699916"/>
            <w:bookmarkStart w:id="133" w:name="_Toc254970602"/>
            <w:bookmarkStart w:id="134" w:name="_Toc297193195"/>
            <w:bookmarkStart w:id="135" w:name="_Toc301781621"/>
            <w:r>
              <w:rPr>
                <w:rFonts w:hint="eastAsia" w:ascii="宋体" w:hAnsi="宋体" w:eastAsia="宋体" w:cs="宋体"/>
                <w:color w:val="auto"/>
                <w:kern w:val="2"/>
                <w:sz w:val="24"/>
                <w:szCs w:val="24"/>
                <w:highlight w:val="none"/>
              </w:rPr>
              <w:t>…</w:t>
            </w:r>
            <w:bookmarkEnd w:id="127"/>
            <w:bookmarkEnd w:id="128"/>
            <w:bookmarkEnd w:id="129"/>
            <w:bookmarkEnd w:id="130"/>
            <w:bookmarkEnd w:id="131"/>
            <w:bookmarkEnd w:id="132"/>
            <w:bookmarkEnd w:id="133"/>
            <w:bookmarkEnd w:id="134"/>
            <w:bookmarkEnd w:id="135"/>
          </w:p>
        </w:tc>
        <w:tc>
          <w:tcPr>
            <w:tcW w:w="992" w:type="dxa"/>
            <w:tcBorders>
              <w:right w:val="single" w:color="auto" w:sz="4" w:space="0"/>
            </w:tcBorders>
            <w:vAlign w:val="center"/>
          </w:tcPr>
          <w:p w14:paraId="43A50BEF">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3292" w:type="dxa"/>
            <w:tcBorders>
              <w:left w:val="single" w:color="auto" w:sz="4" w:space="0"/>
            </w:tcBorders>
            <w:vAlign w:val="center"/>
          </w:tcPr>
          <w:p w14:paraId="3811A200">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2963" w:type="dxa"/>
            <w:vAlign w:val="center"/>
          </w:tcPr>
          <w:p w14:paraId="1DB22ED5">
            <w:pPr>
              <w:pStyle w:val="15"/>
              <w:spacing w:line="360" w:lineRule="auto"/>
              <w:ind w:firstLine="0" w:firstLineChars="0"/>
              <w:contextualSpacing/>
              <w:jc w:val="center"/>
              <w:rPr>
                <w:rFonts w:ascii="宋体" w:hAnsi="宋体" w:eastAsia="宋体" w:cs="宋体"/>
                <w:color w:val="auto"/>
                <w:kern w:val="2"/>
                <w:sz w:val="24"/>
                <w:szCs w:val="24"/>
                <w:highlight w:val="none"/>
              </w:rPr>
            </w:pPr>
          </w:p>
        </w:tc>
        <w:tc>
          <w:tcPr>
            <w:tcW w:w="1616" w:type="dxa"/>
            <w:tcBorders>
              <w:right w:val="single" w:color="auto" w:sz="4" w:space="0"/>
            </w:tcBorders>
            <w:vAlign w:val="center"/>
          </w:tcPr>
          <w:p w14:paraId="70FDD9BA">
            <w:pPr>
              <w:pStyle w:val="15"/>
              <w:spacing w:line="360" w:lineRule="auto"/>
              <w:ind w:firstLine="0" w:firstLineChars="0"/>
              <w:contextualSpacing/>
              <w:jc w:val="center"/>
              <w:rPr>
                <w:rFonts w:ascii="宋体" w:hAnsi="宋体" w:eastAsia="宋体" w:cs="宋体"/>
                <w:color w:val="auto"/>
                <w:kern w:val="2"/>
                <w:sz w:val="24"/>
                <w:szCs w:val="24"/>
                <w:highlight w:val="none"/>
              </w:rPr>
            </w:pPr>
          </w:p>
        </w:tc>
      </w:tr>
    </w:tbl>
    <w:p w14:paraId="48E5E3C5">
      <w:pPr>
        <w:adjustRightInd w:val="0"/>
        <w:spacing w:line="360" w:lineRule="auto"/>
        <w:contextualSpacing/>
        <w:rPr>
          <w:rFonts w:ascii="宋体" w:hAnsi="宋体" w:cs="宋体"/>
          <w:color w:val="auto"/>
          <w:sz w:val="24"/>
          <w:highlight w:val="none"/>
        </w:rPr>
      </w:pPr>
    </w:p>
    <w:p w14:paraId="07747E03">
      <w:pPr>
        <w:pStyle w:val="15"/>
        <w:spacing w:line="360" w:lineRule="auto"/>
        <w:ind w:firstLine="0" w:firstLineChars="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注：</w:t>
      </w:r>
    </w:p>
    <w:p w14:paraId="3314266F">
      <w:pPr>
        <w:pStyle w:val="15"/>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1.</w:t>
      </w:r>
      <w:r>
        <w:rPr>
          <w:rFonts w:hint="eastAsia" w:ascii="楷体" w:hAnsi="楷体" w:eastAsia="楷体" w:cs="宋体"/>
          <w:color w:val="auto"/>
          <w:sz w:val="24"/>
          <w:szCs w:val="24"/>
          <w:highlight w:val="none"/>
        </w:rPr>
        <w:t>说明：应对照磋商文件“第三章</w:t>
      </w:r>
      <w:r>
        <w:rPr>
          <w:rFonts w:ascii="楷体" w:hAnsi="楷体" w:eastAsia="楷体" w:cs="宋体"/>
          <w:color w:val="auto"/>
          <w:sz w:val="24"/>
          <w:szCs w:val="24"/>
          <w:highlight w:val="none"/>
        </w:rPr>
        <w:t xml:space="preserve"> </w:t>
      </w:r>
      <w:r>
        <w:rPr>
          <w:rFonts w:hint="eastAsia" w:ascii="楷体" w:hAnsi="楷体" w:eastAsia="楷体" w:cs="宋体"/>
          <w:color w:val="auto"/>
          <w:sz w:val="24"/>
          <w:szCs w:val="24"/>
          <w:highlight w:val="none"/>
        </w:rPr>
        <w:t>采购需求”中的服务要求逐条作出明确响应，并作出偏离说明。</w:t>
      </w:r>
    </w:p>
    <w:p w14:paraId="7810B5D3">
      <w:pPr>
        <w:pStyle w:val="15"/>
        <w:spacing w:line="360" w:lineRule="auto"/>
        <w:ind w:firstLine="0" w:firstLineChars="0"/>
        <w:contextualSpacing/>
        <w:rPr>
          <w:rFonts w:ascii="楷体" w:hAnsi="楷体" w:eastAsia="楷体" w:cs="宋体"/>
          <w:color w:val="auto"/>
          <w:sz w:val="24"/>
          <w:szCs w:val="24"/>
          <w:highlight w:val="none"/>
        </w:rPr>
      </w:pPr>
      <w:r>
        <w:rPr>
          <w:rFonts w:ascii="楷体" w:hAnsi="楷体" w:eastAsia="楷体" w:cs="宋体"/>
          <w:color w:val="auto"/>
          <w:sz w:val="24"/>
          <w:szCs w:val="24"/>
          <w:highlight w:val="none"/>
        </w:rPr>
        <w:t>2.供应商应根据自身的承诺，对照磋商文件要求，在“偏离说明”中注明“正偏离”、“负偏离”或者“无偏离”。既不属于“正偏离”也不属于“负偏离”即为“无偏离”。</w:t>
      </w:r>
    </w:p>
    <w:p w14:paraId="03847ECF">
      <w:pPr>
        <w:spacing w:line="360" w:lineRule="auto"/>
        <w:ind w:right="-817" w:rightChars="-389"/>
        <w:contextualSpacing/>
        <w:rPr>
          <w:rFonts w:ascii="宋体" w:hAnsi="宋体" w:cs="宋体"/>
          <w:color w:val="auto"/>
          <w:sz w:val="24"/>
          <w:highlight w:val="none"/>
        </w:rPr>
      </w:pPr>
    </w:p>
    <w:p w14:paraId="564093AA">
      <w:pPr>
        <w:spacing w:line="360" w:lineRule="auto"/>
        <w:ind w:right="-817" w:rightChars="-389" w:firstLine="960" w:firstLineChars="4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285EF53">
      <w:pPr>
        <w:spacing w:line="360" w:lineRule="auto"/>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供应商（公章）：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B471F23">
      <w:pPr>
        <w:spacing w:line="360" w:lineRule="auto"/>
        <w:ind w:right="-817" w:rightChars="-389" w:firstLine="4080" w:firstLineChars="1700"/>
        <w:contextualSpacing/>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263584">
      <w:pPr>
        <w:snapToGrid w:val="0"/>
        <w:spacing w:before="156" w:beforeLines="50" w:after="50"/>
        <w:ind w:left="142"/>
        <w:jc w:val="lef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项目实施人员一览表格式</w:t>
      </w:r>
    </w:p>
    <w:p w14:paraId="34E8B46D">
      <w:pPr>
        <w:snapToGrid w:val="0"/>
        <w:spacing w:before="156" w:beforeLines="50" w:after="50"/>
        <w:ind w:left="142"/>
        <w:jc w:val="left"/>
        <w:rPr>
          <w:rFonts w:ascii="宋体" w:hAnsi="宋体" w:cs="宋体"/>
          <w:b/>
          <w:color w:val="auto"/>
          <w:sz w:val="24"/>
          <w:highlight w:val="none"/>
        </w:rPr>
      </w:pPr>
    </w:p>
    <w:p w14:paraId="63A0E1AF">
      <w:pPr>
        <w:spacing w:line="360" w:lineRule="auto"/>
        <w:ind w:left="142"/>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项目实施人员一览表</w:t>
      </w:r>
    </w:p>
    <w:p w14:paraId="4237A0C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E438727">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p>
    <w:p w14:paraId="03593E78">
      <w:pPr>
        <w:pStyle w:val="19"/>
        <w:spacing w:line="360" w:lineRule="auto"/>
        <w:contextualSpacing/>
        <w:rPr>
          <w:rFonts w:hAnsi="宋体" w:cs="宋体"/>
          <w:color w:val="auto"/>
          <w:sz w:val="24"/>
          <w:szCs w:val="24"/>
          <w:highlight w:val="none"/>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794"/>
        <w:gridCol w:w="1907"/>
        <w:gridCol w:w="1592"/>
        <w:gridCol w:w="1903"/>
        <w:gridCol w:w="2066"/>
      </w:tblGrid>
      <w:tr w14:paraId="4DEE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trPr>
        <w:tc>
          <w:tcPr>
            <w:tcW w:w="915" w:type="dxa"/>
            <w:vAlign w:val="center"/>
          </w:tcPr>
          <w:p w14:paraId="681DD52D">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姓名</w:t>
            </w:r>
          </w:p>
        </w:tc>
        <w:tc>
          <w:tcPr>
            <w:tcW w:w="794" w:type="dxa"/>
            <w:vAlign w:val="center"/>
          </w:tcPr>
          <w:p w14:paraId="0148B871">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职务</w:t>
            </w:r>
          </w:p>
        </w:tc>
        <w:tc>
          <w:tcPr>
            <w:tcW w:w="1907" w:type="dxa"/>
            <w:vAlign w:val="center"/>
          </w:tcPr>
          <w:p w14:paraId="4422E772">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专业技术资格（职称）或者职业资格或者执业资格证或者其他证书</w:t>
            </w:r>
          </w:p>
        </w:tc>
        <w:tc>
          <w:tcPr>
            <w:tcW w:w="1592" w:type="dxa"/>
            <w:vAlign w:val="center"/>
          </w:tcPr>
          <w:p w14:paraId="2A61B272">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证书编号</w:t>
            </w:r>
          </w:p>
        </w:tc>
        <w:tc>
          <w:tcPr>
            <w:tcW w:w="1903" w:type="dxa"/>
            <w:vAlign w:val="center"/>
          </w:tcPr>
          <w:p w14:paraId="08979EFC">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参加本单位</w:t>
            </w:r>
          </w:p>
          <w:p w14:paraId="5A2F29E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工作时间</w:t>
            </w:r>
          </w:p>
        </w:tc>
        <w:tc>
          <w:tcPr>
            <w:tcW w:w="2066" w:type="dxa"/>
            <w:vAlign w:val="center"/>
          </w:tcPr>
          <w:p w14:paraId="7D8212D4">
            <w:pPr>
              <w:contextualSpacing/>
              <w:jc w:val="center"/>
              <w:rPr>
                <w:rFonts w:ascii="宋体" w:hAnsi="宋体" w:cs="宋体"/>
                <w:color w:val="auto"/>
                <w:sz w:val="24"/>
                <w:szCs w:val="20"/>
                <w:highlight w:val="none"/>
              </w:rPr>
            </w:pPr>
            <w:r>
              <w:rPr>
                <w:rFonts w:hint="eastAsia" w:ascii="宋体" w:hAnsi="宋体" w:cs="宋体"/>
                <w:color w:val="auto"/>
                <w:sz w:val="24"/>
                <w:szCs w:val="20"/>
                <w:highlight w:val="none"/>
              </w:rPr>
              <w:t>备注</w:t>
            </w:r>
          </w:p>
        </w:tc>
      </w:tr>
      <w:tr w14:paraId="48A3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35E0542B">
            <w:pPr>
              <w:spacing w:line="360" w:lineRule="auto"/>
              <w:contextualSpacing/>
              <w:jc w:val="center"/>
              <w:rPr>
                <w:rFonts w:ascii="宋体" w:hAnsi="宋体" w:cs="宋体"/>
                <w:color w:val="auto"/>
                <w:sz w:val="24"/>
                <w:szCs w:val="20"/>
                <w:highlight w:val="none"/>
              </w:rPr>
            </w:pPr>
          </w:p>
        </w:tc>
        <w:tc>
          <w:tcPr>
            <w:tcW w:w="794" w:type="dxa"/>
            <w:vAlign w:val="center"/>
          </w:tcPr>
          <w:p w14:paraId="0EE01903">
            <w:pPr>
              <w:spacing w:line="360" w:lineRule="auto"/>
              <w:contextualSpacing/>
              <w:jc w:val="center"/>
              <w:rPr>
                <w:rFonts w:ascii="宋体" w:hAnsi="宋体" w:cs="宋体"/>
                <w:color w:val="auto"/>
                <w:sz w:val="24"/>
                <w:szCs w:val="20"/>
                <w:highlight w:val="none"/>
              </w:rPr>
            </w:pPr>
          </w:p>
        </w:tc>
        <w:tc>
          <w:tcPr>
            <w:tcW w:w="1907" w:type="dxa"/>
            <w:vAlign w:val="center"/>
          </w:tcPr>
          <w:p w14:paraId="0A38F16A">
            <w:pPr>
              <w:spacing w:line="360" w:lineRule="auto"/>
              <w:contextualSpacing/>
              <w:jc w:val="center"/>
              <w:rPr>
                <w:rFonts w:ascii="宋体" w:hAnsi="宋体" w:cs="宋体"/>
                <w:color w:val="auto"/>
                <w:sz w:val="24"/>
                <w:szCs w:val="20"/>
                <w:highlight w:val="none"/>
              </w:rPr>
            </w:pPr>
          </w:p>
        </w:tc>
        <w:tc>
          <w:tcPr>
            <w:tcW w:w="1592" w:type="dxa"/>
            <w:vAlign w:val="center"/>
          </w:tcPr>
          <w:p w14:paraId="394B1195">
            <w:pPr>
              <w:spacing w:line="360" w:lineRule="auto"/>
              <w:contextualSpacing/>
              <w:jc w:val="center"/>
              <w:rPr>
                <w:rFonts w:ascii="宋体" w:hAnsi="宋体" w:cs="宋体"/>
                <w:color w:val="auto"/>
                <w:sz w:val="24"/>
                <w:szCs w:val="20"/>
                <w:highlight w:val="none"/>
              </w:rPr>
            </w:pPr>
          </w:p>
        </w:tc>
        <w:tc>
          <w:tcPr>
            <w:tcW w:w="1903" w:type="dxa"/>
            <w:vAlign w:val="center"/>
          </w:tcPr>
          <w:p w14:paraId="303A01B4">
            <w:pPr>
              <w:spacing w:line="360" w:lineRule="auto"/>
              <w:contextualSpacing/>
              <w:jc w:val="center"/>
              <w:rPr>
                <w:rFonts w:ascii="宋体" w:hAnsi="宋体" w:cs="宋体"/>
                <w:color w:val="auto"/>
                <w:sz w:val="24"/>
                <w:szCs w:val="20"/>
                <w:highlight w:val="none"/>
              </w:rPr>
            </w:pPr>
          </w:p>
        </w:tc>
        <w:tc>
          <w:tcPr>
            <w:tcW w:w="2066" w:type="dxa"/>
            <w:vAlign w:val="center"/>
          </w:tcPr>
          <w:p w14:paraId="2A92C92C">
            <w:pPr>
              <w:spacing w:line="360" w:lineRule="auto"/>
              <w:contextualSpacing/>
              <w:jc w:val="center"/>
              <w:rPr>
                <w:rFonts w:ascii="宋体" w:hAnsi="宋体" w:cs="宋体"/>
                <w:color w:val="auto"/>
                <w:sz w:val="24"/>
                <w:szCs w:val="20"/>
                <w:highlight w:val="none"/>
              </w:rPr>
            </w:pPr>
          </w:p>
        </w:tc>
      </w:tr>
      <w:tr w14:paraId="4F2F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15" w:type="dxa"/>
            <w:vAlign w:val="center"/>
          </w:tcPr>
          <w:p w14:paraId="19C17964">
            <w:pPr>
              <w:spacing w:line="360" w:lineRule="auto"/>
              <w:contextualSpacing/>
              <w:jc w:val="center"/>
              <w:rPr>
                <w:rFonts w:ascii="宋体" w:hAnsi="宋体" w:cs="宋体"/>
                <w:color w:val="auto"/>
                <w:sz w:val="24"/>
                <w:szCs w:val="20"/>
                <w:highlight w:val="none"/>
              </w:rPr>
            </w:pPr>
          </w:p>
        </w:tc>
        <w:tc>
          <w:tcPr>
            <w:tcW w:w="794" w:type="dxa"/>
            <w:vAlign w:val="center"/>
          </w:tcPr>
          <w:p w14:paraId="27BE7FBD">
            <w:pPr>
              <w:spacing w:line="360" w:lineRule="auto"/>
              <w:contextualSpacing/>
              <w:jc w:val="center"/>
              <w:rPr>
                <w:rFonts w:ascii="宋体" w:hAnsi="宋体" w:cs="宋体"/>
                <w:color w:val="auto"/>
                <w:sz w:val="24"/>
                <w:szCs w:val="20"/>
                <w:highlight w:val="none"/>
              </w:rPr>
            </w:pPr>
          </w:p>
        </w:tc>
        <w:tc>
          <w:tcPr>
            <w:tcW w:w="1907" w:type="dxa"/>
            <w:vAlign w:val="center"/>
          </w:tcPr>
          <w:p w14:paraId="23BA21E8">
            <w:pPr>
              <w:spacing w:line="360" w:lineRule="auto"/>
              <w:contextualSpacing/>
              <w:jc w:val="center"/>
              <w:rPr>
                <w:rFonts w:ascii="宋体" w:hAnsi="宋体" w:cs="宋体"/>
                <w:color w:val="auto"/>
                <w:sz w:val="24"/>
                <w:szCs w:val="20"/>
                <w:highlight w:val="none"/>
              </w:rPr>
            </w:pPr>
          </w:p>
        </w:tc>
        <w:tc>
          <w:tcPr>
            <w:tcW w:w="1592" w:type="dxa"/>
            <w:vAlign w:val="center"/>
          </w:tcPr>
          <w:p w14:paraId="42FD53E7">
            <w:pPr>
              <w:spacing w:line="360" w:lineRule="auto"/>
              <w:contextualSpacing/>
              <w:jc w:val="center"/>
              <w:rPr>
                <w:rFonts w:ascii="宋体" w:hAnsi="宋体" w:cs="宋体"/>
                <w:color w:val="auto"/>
                <w:sz w:val="24"/>
                <w:szCs w:val="20"/>
                <w:highlight w:val="none"/>
              </w:rPr>
            </w:pPr>
          </w:p>
        </w:tc>
        <w:tc>
          <w:tcPr>
            <w:tcW w:w="1903" w:type="dxa"/>
            <w:vAlign w:val="center"/>
          </w:tcPr>
          <w:p w14:paraId="4A93768F">
            <w:pPr>
              <w:spacing w:line="360" w:lineRule="auto"/>
              <w:contextualSpacing/>
              <w:jc w:val="center"/>
              <w:rPr>
                <w:rFonts w:ascii="宋体" w:hAnsi="宋体" w:cs="宋体"/>
                <w:color w:val="auto"/>
                <w:sz w:val="24"/>
                <w:szCs w:val="20"/>
                <w:highlight w:val="none"/>
              </w:rPr>
            </w:pPr>
          </w:p>
        </w:tc>
        <w:tc>
          <w:tcPr>
            <w:tcW w:w="2066" w:type="dxa"/>
            <w:vAlign w:val="center"/>
          </w:tcPr>
          <w:p w14:paraId="1CD4D8F0">
            <w:pPr>
              <w:spacing w:line="360" w:lineRule="auto"/>
              <w:contextualSpacing/>
              <w:jc w:val="center"/>
              <w:rPr>
                <w:rFonts w:ascii="宋体" w:hAnsi="宋体" w:cs="宋体"/>
                <w:color w:val="auto"/>
                <w:sz w:val="24"/>
                <w:szCs w:val="20"/>
                <w:highlight w:val="none"/>
              </w:rPr>
            </w:pPr>
          </w:p>
        </w:tc>
      </w:tr>
      <w:tr w14:paraId="28C1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15" w:type="dxa"/>
            <w:vAlign w:val="center"/>
          </w:tcPr>
          <w:p w14:paraId="231779E6">
            <w:pPr>
              <w:spacing w:line="360" w:lineRule="auto"/>
              <w:contextualSpacing/>
              <w:jc w:val="center"/>
              <w:rPr>
                <w:rFonts w:ascii="宋体" w:hAnsi="宋体" w:cs="宋体"/>
                <w:color w:val="auto"/>
                <w:sz w:val="24"/>
                <w:szCs w:val="20"/>
                <w:highlight w:val="none"/>
              </w:rPr>
            </w:pPr>
          </w:p>
        </w:tc>
        <w:tc>
          <w:tcPr>
            <w:tcW w:w="794" w:type="dxa"/>
            <w:vAlign w:val="center"/>
          </w:tcPr>
          <w:p w14:paraId="0ED808A8">
            <w:pPr>
              <w:spacing w:line="360" w:lineRule="auto"/>
              <w:contextualSpacing/>
              <w:jc w:val="center"/>
              <w:rPr>
                <w:rFonts w:ascii="宋体" w:hAnsi="宋体" w:cs="宋体"/>
                <w:color w:val="auto"/>
                <w:sz w:val="24"/>
                <w:szCs w:val="20"/>
                <w:highlight w:val="none"/>
              </w:rPr>
            </w:pPr>
          </w:p>
        </w:tc>
        <w:tc>
          <w:tcPr>
            <w:tcW w:w="1907" w:type="dxa"/>
            <w:vAlign w:val="center"/>
          </w:tcPr>
          <w:p w14:paraId="0F78AAD3">
            <w:pPr>
              <w:spacing w:line="360" w:lineRule="auto"/>
              <w:contextualSpacing/>
              <w:jc w:val="center"/>
              <w:rPr>
                <w:rFonts w:ascii="宋体" w:hAnsi="宋体" w:cs="宋体"/>
                <w:color w:val="auto"/>
                <w:sz w:val="24"/>
                <w:szCs w:val="20"/>
                <w:highlight w:val="none"/>
              </w:rPr>
            </w:pPr>
          </w:p>
        </w:tc>
        <w:tc>
          <w:tcPr>
            <w:tcW w:w="1592" w:type="dxa"/>
            <w:vAlign w:val="center"/>
          </w:tcPr>
          <w:p w14:paraId="6974F905">
            <w:pPr>
              <w:spacing w:line="360" w:lineRule="auto"/>
              <w:contextualSpacing/>
              <w:jc w:val="center"/>
              <w:rPr>
                <w:rFonts w:ascii="宋体" w:hAnsi="宋体" w:cs="宋体"/>
                <w:color w:val="auto"/>
                <w:sz w:val="24"/>
                <w:szCs w:val="20"/>
                <w:highlight w:val="none"/>
              </w:rPr>
            </w:pPr>
          </w:p>
        </w:tc>
        <w:tc>
          <w:tcPr>
            <w:tcW w:w="1903" w:type="dxa"/>
            <w:vAlign w:val="center"/>
          </w:tcPr>
          <w:p w14:paraId="2AE1CBE8">
            <w:pPr>
              <w:spacing w:line="360" w:lineRule="auto"/>
              <w:contextualSpacing/>
              <w:jc w:val="center"/>
              <w:rPr>
                <w:rFonts w:ascii="宋体" w:hAnsi="宋体" w:cs="宋体"/>
                <w:color w:val="auto"/>
                <w:sz w:val="24"/>
                <w:szCs w:val="20"/>
                <w:highlight w:val="none"/>
              </w:rPr>
            </w:pPr>
          </w:p>
        </w:tc>
        <w:tc>
          <w:tcPr>
            <w:tcW w:w="2066" w:type="dxa"/>
            <w:vAlign w:val="center"/>
          </w:tcPr>
          <w:p w14:paraId="7FFAB23D">
            <w:pPr>
              <w:spacing w:line="360" w:lineRule="auto"/>
              <w:contextualSpacing/>
              <w:jc w:val="center"/>
              <w:rPr>
                <w:rFonts w:ascii="宋体" w:hAnsi="宋体" w:cs="宋体"/>
                <w:color w:val="auto"/>
                <w:sz w:val="24"/>
                <w:szCs w:val="20"/>
                <w:highlight w:val="none"/>
              </w:rPr>
            </w:pPr>
          </w:p>
        </w:tc>
      </w:tr>
    </w:tbl>
    <w:p w14:paraId="05BBB5EE">
      <w:pPr>
        <w:spacing w:line="360" w:lineRule="auto"/>
        <w:contextualSpacing/>
        <w:jc w:val="left"/>
        <w:rPr>
          <w:rFonts w:ascii="楷体" w:hAnsi="楷体" w:eastAsia="楷体" w:cs="宋体"/>
          <w:b/>
          <w:color w:val="auto"/>
          <w:sz w:val="24"/>
          <w:szCs w:val="20"/>
          <w:highlight w:val="none"/>
        </w:rPr>
      </w:pPr>
      <w:r>
        <w:rPr>
          <w:rFonts w:hint="eastAsia" w:ascii="楷体" w:hAnsi="楷体" w:eastAsia="楷体" w:cs="宋体"/>
          <w:b/>
          <w:color w:val="auto"/>
          <w:sz w:val="24"/>
          <w:szCs w:val="20"/>
          <w:highlight w:val="none"/>
        </w:rPr>
        <w:t>注：</w:t>
      </w:r>
    </w:p>
    <w:p w14:paraId="2D2897E0">
      <w:pPr>
        <w:spacing w:line="360" w:lineRule="auto"/>
        <w:contextualSpacing/>
        <w:jc w:val="left"/>
        <w:rPr>
          <w:rFonts w:ascii="楷体" w:hAnsi="楷体" w:eastAsia="楷体" w:cs="宋体"/>
          <w:color w:val="auto"/>
          <w:sz w:val="24"/>
          <w:szCs w:val="20"/>
          <w:highlight w:val="none"/>
        </w:rPr>
      </w:pPr>
      <w:r>
        <w:rPr>
          <w:rFonts w:ascii="楷体" w:hAnsi="楷体" w:eastAsia="楷体" w:cs="宋体"/>
          <w:color w:val="auto"/>
          <w:sz w:val="24"/>
          <w:szCs w:val="20"/>
          <w:highlight w:val="none"/>
        </w:rPr>
        <w:t>1.在填写时，如本表格不适合供应商的实际情况，可根据本表格式自行制表填写。</w:t>
      </w:r>
    </w:p>
    <w:p w14:paraId="12323AF1">
      <w:pPr>
        <w:spacing w:line="360" w:lineRule="auto"/>
        <w:contextualSpacing/>
        <w:jc w:val="left"/>
        <w:outlineLvl w:val="2"/>
        <w:rPr>
          <w:rFonts w:ascii="楷体" w:hAnsi="楷体" w:eastAsia="楷体" w:cs="宋体"/>
          <w:color w:val="auto"/>
          <w:sz w:val="24"/>
          <w:szCs w:val="20"/>
          <w:highlight w:val="none"/>
        </w:rPr>
      </w:pPr>
      <w:r>
        <w:rPr>
          <w:rFonts w:ascii="楷体" w:hAnsi="楷体" w:eastAsia="楷体" w:cs="宋体"/>
          <w:color w:val="auto"/>
          <w:sz w:val="24"/>
          <w:szCs w:val="20"/>
          <w:highlight w:val="none"/>
        </w:rPr>
        <w:t>2.供应商应当附本表所</w:t>
      </w:r>
      <w:r>
        <w:rPr>
          <w:rFonts w:hint="eastAsia" w:ascii="楷体" w:hAnsi="楷体" w:eastAsia="楷体" w:cs="宋体"/>
          <w:color w:val="auto"/>
          <w:sz w:val="24"/>
          <w:szCs w:val="20"/>
          <w:highlight w:val="none"/>
        </w:rPr>
        <w:t>列证书的复印件并加盖供应商公章。</w:t>
      </w:r>
    </w:p>
    <w:p w14:paraId="40D7718E">
      <w:pPr>
        <w:pStyle w:val="13"/>
        <w:rPr>
          <w:color w:val="auto"/>
          <w:highlight w:val="none"/>
        </w:rPr>
      </w:pPr>
    </w:p>
    <w:p w14:paraId="10802660">
      <w:pPr>
        <w:spacing w:line="360" w:lineRule="auto"/>
        <w:ind w:firstLine="3120" w:firstLineChars="1300"/>
        <w:contextualSpacing/>
        <w:rPr>
          <w:rFonts w:ascii="宋体" w:hAnsi="宋体" w:cs="宋体"/>
          <w:color w:val="auto"/>
          <w:spacing w:val="20"/>
          <w:sz w:val="24"/>
          <w:szCs w:val="20"/>
          <w:highlight w:val="none"/>
          <w:u w:val="single"/>
        </w:rPr>
      </w:pPr>
      <w:r>
        <w:rPr>
          <w:rFonts w:hint="eastAsia" w:ascii="宋体" w:hAnsi="宋体" w:cs="宋体"/>
          <w:color w:val="auto"/>
          <w:sz w:val="24"/>
          <w:highlight w:val="none"/>
        </w:rPr>
        <w:t>法定代表人或者委托代理人（</w:t>
      </w:r>
      <w:r>
        <w:rPr>
          <w:rFonts w:hint="eastAsia" w:ascii="宋体" w:hAnsi="宋体" w:cs="宋体"/>
          <w:color w:val="auto"/>
          <w:spacing w:val="20"/>
          <w:sz w:val="24"/>
          <w:highlight w:val="none"/>
        </w:rPr>
        <w:t>签字</w:t>
      </w:r>
      <w:r>
        <w:rPr>
          <w:rFonts w:hint="eastAsia" w:ascii="宋体" w:hAnsi="宋体" w:cs="宋体"/>
          <w:color w:val="auto"/>
          <w:sz w:val="24"/>
          <w:highlight w:val="none"/>
        </w:rPr>
        <w:t>）</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p>
    <w:p w14:paraId="1ECA6281">
      <w:pPr>
        <w:spacing w:line="360" w:lineRule="auto"/>
        <w:ind w:firstLine="3080" w:firstLineChars="1100"/>
        <w:contextualSpacing/>
        <w:jc w:val="left"/>
        <w:rPr>
          <w:rFonts w:ascii="宋体" w:hAnsi="宋体" w:cs="宋体"/>
          <w:color w:val="auto"/>
          <w:spacing w:val="20"/>
          <w:sz w:val="24"/>
          <w:highlight w:val="none"/>
        </w:rPr>
      </w:pPr>
      <w:r>
        <w:rPr>
          <w:rFonts w:hint="eastAsia" w:ascii="宋体" w:hAnsi="宋体" w:cs="宋体"/>
          <w:color w:val="auto"/>
          <w:spacing w:val="20"/>
          <w:sz w:val="24"/>
          <w:highlight w:val="none"/>
        </w:rPr>
        <w:t>供应商（公章）：</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4BFEEB7">
      <w:pPr>
        <w:spacing w:line="360" w:lineRule="auto"/>
        <w:ind w:firstLine="3080" w:firstLineChars="1100"/>
        <w:contextualSpacing/>
        <w:jc w:val="left"/>
        <w:rPr>
          <w:rFonts w:ascii="宋体" w:hAnsi="宋体" w:cs="宋体"/>
          <w:color w:val="auto"/>
          <w:sz w:val="24"/>
          <w:szCs w:val="20"/>
          <w:highlight w:val="none"/>
        </w:rPr>
      </w:pPr>
      <w:r>
        <w:rPr>
          <w:rFonts w:hint="eastAsia" w:ascii="宋体" w:hAnsi="宋体" w:cs="宋体"/>
          <w:color w:val="auto"/>
          <w:spacing w:val="20"/>
          <w:sz w:val="24"/>
          <w:highlight w:val="none"/>
        </w:rPr>
        <w:t>日 期：年</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04004ED2">
      <w:pPr>
        <w:snapToGrid w:val="0"/>
        <w:spacing w:before="50" w:after="156" w:afterLines="50"/>
        <w:jc w:val="left"/>
        <w:rPr>
          <w:rFonts w:ascii="宋体" w:hAnsi="宋体" w:cs="宋体"/>
          <w:color w:val="auto"/>
          <w:sz w:val="24"/>
          <w:szCs w:val="20"/>
          <w:highlight w:val="none"/>
        </w:rPr>
      </w:pPr>
    </w:p>
    <w:p w14:paraId="04BCB33F">
      <w:pPr>
        <w:snapToGrid w:val="0"/>
        <w:spacing w:before="50" w:after="50" w:line="360" w:lineRule="auto"/>
        <w:ind w:right="-817" w:rightChars="-389" w:firstLine="5461" w:firstLineChars="1700"/>
        <w:rPr>
          <w:rFonts w:ascii="宋体" w:hAnsi="宋体" w:cs="宋体"/>
          <w:b/>
          <w:color w:val="auto"/>
          <w:sz w:val="32"/>
          <w:szCs w:val="32"/>
          <w:highlight w:val="none"/>
        </w:rPr>
      </w:pPr>
    </w:p>
    <w:p w14:paraId="484E0A0B">
      <w:pPr>
        <w:rPr>
          <w:rFonts w:ascii="宋体" w:hAnsi="宋体" w:cs="宋体"/>
          <w:color w:val="auto"/>
          <w:szCs w:val="21"/>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其他文书、文件格式</w:t>
      </w:r>
    </w:p>
    <w:p w14:paraId="0F674D04">
      <w:pPr>
        <w:spacing w:line="360" w:lineRule="auto"/>
        <w:jc w:val="center"/>
        <w:rPr>
          <w:rFonts w:ascii="宋体" w:hAnsi="宋体" w:cs="宋体"/>
          <w:b/>
          <w:bCs/>
          <w:color w:val="auto"/>
          <w:sz w:val="32"/>
          <w:szCs w:val="32"/>
          <w:highlight w:val="none"/>
        </w:rPr>
      </w:pPr>
      <w:r>
        <w:rPr>
          <w:rFonts w:hint="eastAsia" w:ascii="宋体" w:hAnsi="宋体" w:cs="宋体"/>
          <w:b/>
          <w:color w:val="auto"/>
          <w:sz w:val="44"/>
          <w:szCs w:val="44"/>
          <w:highlight w:val="none"/>
        </w:rPr>
        <w:t>质疑函</w:t>
      </w:r>
      <w:r>
        <w:rPr>
          <w:rFonts w:hint="eastAsia" w:ascii="宋体" w:hAnsi="宋体" w:cs="宋体"/>
          <w:color w:val="auto"/>
          <w:sz w:val="28"/>
          <w:szCs w:val="28"/>
          <w:highlight w:val="none"/>
        </w:rPr>
        <w:t>（格式）</w:t>
      </w:r>
    </w:p>
    <w:p w14:paraId="263699F8">
      <w:pPr>
        <w:pStyle w:val="19"/>
        <w:spacing w:line="360" w:lineRule="auto"/>
        <w:ind w:firstLine="482" w:firstLineChars="200"/>
        <w:contextualSpacing/>
        <w:outlineLvl w:val="1"/>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2FDFCCA">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6A520CE">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81FB45B">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B30AB88">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0E01D7AC">
      <w:pPr>
        <w:pStyle w:val="19"/>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71598B5">
      <w:pPr>
        <w:pStyle w:val="19"/>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847053A">
      <w:pPr>
        <w:pStyle w:val="19"/>
        <w:spacing w:line="360" w:lineRule="auto"/>
        <w:ind w:firstLine="482" w:firstLineChars="200"/>
        <w:contextualSpacing/>
        <w:outlineLvl w:val="1"/>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14E65CC">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3F0B5C71">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5874B534">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369E0C03">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74AFAB29">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771D8603">
      <w:pPr>
        <w:pStyle w:val="19"/>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47C07CAC">
      <w:pPr>
        <w:pStyle w:val="19"/>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0CB26D4C">
      <w:pPr>
        <w:pStyle w:val="19"/>
        <w:spacing w:line="360" w:lineRule="auto"/>
        <w:ind w:left="25" w:leftChars="12" w:firstLine="472" w:firstLineChars="196"/>
        <w:contextualSpacing/>
        <w:outlineLvl w:val="1"/>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5B000EE0">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C7AFFD6">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73265E3A">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2BCBA945">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0DE1DECE">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3B4A542F">
      <w:pPr>
        <w:pStyle w:val="19"/>
        <w:spacing w:line="360" w:lineRule="auto"/>
        <w:ind w:left="25" w:leftChars="12" w:firstLine="472" w:firstLineChars="197"/>
        <w:contextualSpacing/>
        <w:outlineLvl w:val="1"/>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0242877E">
      <w:pPr>
        <w:pStyle w:val="19"/>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23E99E44">
      <w:pPr>
        <w:pStyle w:val="19"/>
        <w:spacing w:line="360" w:lineRule="auto"/>
        <w:ind w:left="25" w:leftChars="12" w:firstLine="352" w:firstLineChars="147"/>
        <w:contextualSpacing/>
        <w:rPr>
          <w:rFonts w:hAnsi="宋体" w:cs="宋体"/>
          <w:color w:val="auto"/>
          <w:sz w:val="24"/>
          <w:szCs w:val="24"/>
          <w:highlight w:val="none"/>
        </w:rPr>
      </w:pPr>
    </w:p>
    <w:p w14:paraId="1A8EF93F">
      <w:pPr>
        <w:pStyle w:val="19"/>
        <w:spacing w:line="360" w:lineRule="auto"/>
        <w:ind w:left="25" w:leftChars="12" w:firstLine="472" w:firstLineChars="197"/>
        <w:contextualSpacing/>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B242F6D">
      <w:pPr>
        <w:pStyle w:val="19"/>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79E16A35">
      <w:pPr>
        <w:rPr>
          <w:color w:val="auto"/>
          <w:highlight w:val="none"/>
        </w:rPr>
      </w:pPr>
    </w:p>
    <w:p w14:paraId="7EBDB90A">
      <w:pPr>
        <w:pStyle w:val="13"/>
        <w:rPr>
          <w:color w:val="auto"/>
          <w:highlight w:val="none"/>
        </w:rPr>
      </w:pPr>
    </w:p>
    <w:p w14:paraId="6811073B">
      <w:pPr>
        <w:pStyle w:val="19"/>
        <w:spacing w:line="360" w:lineRule="auto"/>
        <w:ind w:firstLine="482" w:firstLineChars="200"/>
        <w:contextualSpacing/>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67243EB1">
      <w:pPr>
        <w:pStyle w:val="19"/>
        <w:spacing w:line="360" w:lineRule="auto"/>
        <w:ind w:left="25" w:leftChars="12" w:firstLine="354" w:firstLineChars="147"/>
        <w:contextualSpacing/>
        <w:outlineLvl w:val="2"/>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1.供应商提出质疑时，应提交质疑函和必要的证明材料</w:t>
      </w:r>
      <w:r>
        <w:rPr>
          <w:rFonts w:hint="eastAsia" w:ascii="楷体" w:hAnsi="楷体" w:eastAsia="楷体" w:cs="宋体"/>
          <w:b/>
          <w:bCs/>
          <w:color w:val="auto"/>
          <w:sz w:val="24"/>
          <w:szCs w:val="24"/>
          <w:highlight w:val="none"/>
        </w:rPr>
        <w:t>。</w:t>
      </w:r>
    </w:p>
    <w:p w14:paraId="2FBBC01F">
      <w:pPr>
        <w:pStyle w:val="19"/>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2.质疑供应商若委托代理人进行质疑的，</w:t>
      </w:r>
      <w:r>
        <w:rPr>
          <w:rFonts w:hint="eastAsia" w:ascii="楷体" w:hAnsi="楷体" w:eastAsia="楷体" w:cs="宋体"/>
          <w:b/>
          <w:color w:val="auto"/>
          <w:sz w:val="24"/>
          <w:szCs w:val="24"/>
          <w:highlight w:val="none"/>
        </w:rPr>
        <w:t>质疑函应按要求列明“授权代表”的有关内容，并在附件中提交由质疑供应商签署的授权委托书。授权委托书应载明代理人的姓名或者名称、代理事项、具体权限、期限和相关事项。</w:t>
      </w:r>
    </w:p>
    <w:p w14:paraId="33E1D84B">
      <w:pPr>
        <w:pStyle w:val="19"/>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3.质疑函的质疑事项应具体、明确，并有必要的事实依据和法律依据。</w:t>
      </w:r>
    </w:p>
    <w:p w14:paraId="719A2846">
      <w:pPr>
        <w:pStyle w:val="19"/>
        <w:spacing w:line="360" w:lineRule="auto"/>
        <w:ind w:left="25" w:leftChars="12" w:firstLine="354" w:firstLineChars="147"/>
        <w:contextualSpacing/>
        <w:outlineLvl w:val="2"/>
        <w:rPr>
          <w:rFonts w:ascii="楷体" w:hAnsi="楷体" w:eastAsia="楷体" w:cs="宋体"/>
          <w:b/>
          <w:color w:val="auto"/>
          <w:sz w:val="24"/>
          <w:szCs w:val="24"/>
          <w:highlight w:val="none"/>
        </w:rPr>
      </w:pPr>
      <w:r>
        <w:rPr>
          <w:rFonts w:ascii="楷体" w:hAnsi="楷体" w:eastAsia="楷体" w:cs="宋体"/>
          <w:b/>
          <w:color w:val="auto"/>
          <w:sz w:val="24"/>
          <w:szCs w:val="24"/>
          <w:highlight w:val="none"/>
        </w:rPr>
        <w:t>4.质疑函的质疑请求应与质疑事项相关。</w:t>
      </w:r>
    </w:p>
    <w:p w14:paraId="63A1254A">
      <w:pPr>
        <w:pStyle w:val="19"/>
        <w:spacing w:line="360" w:lineRule="auto"/>
        <w:ind w:left="25" w:leftChars="12" w:firstLine="354" w:firstLineChars="147"/>
        <w:contextualSpacing/>
        <w:rPr>
          <w:rFonts w:ascii="楷体" w:hAnsi="楷体" w:eastAsia="楷体" w:cs="宋体"/>
          <w:b/>
          <w:color w:val="auto"/>
          <w:sz w:val="24"/>
          <w:szCs w:val="24"/>
          <w:highlight w:val="none"/>
        </w:rPr>
      </w:pPr>
      <w:r>
        <w:rPr>
          <w:rFonts w:ascii="楷体" w:hAnsi="楷体" w:eastAsia="楷体" w:cs="宋体"/>
          <w:b/>
          <w:color w:val="auto"/>
          <w:sz w:val="24"/>
          <w:szCs w:val="24"/>
          <w:highlight w:val="none"/>
        </w:rPr>
        <w:t>5.质疑供应商为法人或者其他组织的，</w:t>
      </w:r>
      <w:r>
        <w:rPr>
          <w:rFonts w:hint="eastAsia" w:ascii="楷体" w:hAnsi="楷体" w:eastAsia="楷体" w:cs="宋体"/>
          <w:b/>
          <w:color w:val="auto"/>
          <w:sz w:val="24"/>
          <w:szCs w:val="24"/>
          <w:highlight w:val="none"/>
        </w:rPr>
        <w:t>质疑函应由法定代表人、主要负责人，或者其授权代表签字或者盖章，并加盖公章。</w:t>
      </w:r>
    </w:p>
    <w:p w14:paraId="1225521E">
      <w:pPr>
        <w:pStyle w:val="19"/>
        <w:snapToGrid w:val="0"/>
        <w:rPr>
          <w:rFonts w:hAnsi="宋体" w:cs="宋体"/>
          <w:b/>
          <w:color w:val="auto"/>
          <w:sz w:val="24"/>
          <w:szCs w:val="24"/>
          <w:highlight w:val="none"/>
        </w:rPr>
      </w:pPr>
    </w:p>
    <w:p w14:paraId="523D01D6">
      <w:pPr>
        <w:rPr>
          <w:rFonts w:ascii="宋体" w:hAnsi="宋体" w:cs="宋体"/>
          <w:color w:val="auto"/>
          <w:sz w:val="32"/>
          <w:szCs w:val="40"/>
          <w:highlight w:val="none"/>
        </w:rPr>
      </w:pPr>
    </w:p>
    <w:p w14:paraId="30FA7029">
      <w:pPr>
        <w:rPr>
          <w:rFonts w:ascii="宋体" w:hAnsi="宋体" w:cs="宋体"/>
          <w:color w:val="auto"/>
          <w:sz w:val="32"/>
          <w:szCs w:val="40"/>
          <w:highlight w:val="none"/>
        </w:rPr>
      </w:pPr>
    </w:p>
    <w:p w14:paraId="004274A3">
      <w:pPr>
        <w:rPr>
          <w:rFonts w:ascii="宋体" w:hAnsi="宋体" w:cs="宋体"/>
          <w:color w:val="auto"/>
          <w:sz w:val="32"/>
          <w:szCs w:val="40"/>
          <w:highlight w:val="none"/>
        </w:rPr>
      </w:pPr>
    </w:p>
    <w:p w14:paraId="1BFAD45A">
      <w:pPr>
        <w:rPr>
          <w:rFonts w:ascii="宋体" w:hAnsi="宋体" w:cs="宋体"/>
          <w:color w:val="auto"/>
          <w:sz w:val="32"/>
          <w:szCs w:val="40"/>
          <w:highlight w:val="none"/>
        </w:rPr>
      </w:pPr>
    </w:p>
    <w:p w14:paraId="472784A6">
      <w:pPr>
        <w:rPr>
          <w:rFonts w:ascii="宋体" w:hAnsi="宋体" w:cs="宋体"/>
          <w:color w:val="auto"/>
          <w:sz w:val="32"/>
          <w:szCs w:val="40"/>
          <w:highlight w:val="none"/>
        </w:rPr>
      </w:pPr>
    </w:p>
    <w:p w14:paraId="20CDB448">
      <w:pPr>
        <w:rPr>
          <w:rFonts w:ascii="宋体" w:hAnsi="宋体" w:cs="宋体"/>
          <w:color w:val="auto"/>
          <w:sz w:val="32"/>
          <w:szCs w:val="40"/>
          <w:highlight w:val="none"/>
        </w:rPr>
      </w:pPr>
    </w:p>
    <w:p w14:paraId="5F6161BF">
      <w:pPr>
        <w:rPr>
          <w:rFonts w:ascii="宋体" w:hAnsi="宋体" w:cs="宋体"/>
          <w:color w:val="auto"/>
          <w:sz w:val="32"/>
          <w:szCs w:val="40"/>
          <w:highlight w:val="none"/>
        </w:rPr>
      </w:pPr>
    </w:p>
    <w:p w14:paraId="4454D0A4">
      <w:pPr>
        <w:rPr>
          <w:rFonts w:ascii="宋体" w:hAnsi="宋体" w:cs="宋体"/>
          <w:color w:val="auto"/>
          <w:sz w:val="32"/>
          <w:szCs w:val="40"/>
          <w:highlight w:val="none"/>
        </w:rPr>
      </w:pPr>
    </w:p>
    <w:p w14:paraId="53CA65DC">
      <w:pPr>
        <w:rPr>
          <w:rFonts w:ascii="宋体" w:hAnsi="宋体" w:cs="宋体"/>
          <w:color w:val="auto"/>
          <w:sz w:val="32"/>
          <w:szCs w:val="40"/>
          <w:highlight w:val="none"/>
        </w:rPr>
      </w:pPr>
    </w:p>
    <w:p w14:paraId="44D82183">
      <w:pPr>
        <w:rPr>
          <w:rFonts w:ascii="宋体" w:hAnsi="宋体" w:cs="宋体"/>
          <w:color w:val="auto"/>
          <w:sz w:val="32"/>
          <w:szCs w:val="40"/>
          <w:highlight w:val="none"/>
        </w:rPr>
      </w:pPr>
    </w:p>
    <w:p w14:paraId="3F7208F5">
      <w:pPr>
        <w:rPr>
          <w:rFonts w:ascii="宋体" w:hAnsi="宋体" w:cs="宋体"/>
          <w:color w:val="auto"/>
          <w:sz w:val="32"/>
          <w:szCs w:val="40"/>
          <w:highlight w:val="none"/>
        </w:rPr>
      </w:pPr>
    </w:p>
    <w:p w14:paraId="6EB45FB8">
      <w:pPr>
        <w:rPr>
          <w:rFonts w:ascii="宋体" w:hAnsi="宋体" w:cs="宋体"/>
          <w:color w:val="auto"/>
          <w:sz w:val="32"/>
          <w:szCs w:val="40"/>
          <w:highlight w:val="none"/>
        </w:rPr>
      </w:pPr>
    </w:p>
    <w:p w14:paraId="5B6F0D7D">
      <w:pPr>
        <w:rPr>
          <w:rFonts w:ascii="宋体" w:hAnsi="宋体" w:cs="宋体"/>
          <w:color w:val="auto"/>
          <w:sz w:val="32"/>
          <w:szCs w:val="40"/>
          <w:highlight w:val="none"/>
        </w:rPr>
      </w:pPr>
    </w:p>
    <w:p w14:paraId="1D1A8CB0">
      <w:pPr>
        <w:rPr>
          <w:rFonts w:ascii="宋体" w:hAnsi="宋体" w:cs="宋体"/>
          <w:color w:val="auto"/>
          <w:sz w:val="32"/>
          <w:szCs w:val="40"/>
          <w:highlight w:val="none"/>
        </w:rPr>
      </w:pPr>
    </w:p>
    <w:p w14:paraId="2C7F75B0">
      <w:pPr>
        <w:spacing w:line="360" w:lineRule="auto"/>
        <w:jc w:val="center"/>
        <w:rPr>
          <w:rFonts w:ascii="宋体" w:hAnsi="宋体" w:cs="宋体"/>
          <w:color w:val="auto"/>
          <w:sz w:val="2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投诉书</w:t>
      </w:r>
      <w:r>
        <w:rPr>
          <w:rFonts w:hint="eastAsia" w:ascii="宋体" w:hAnsi="宋体" w:cs="宋体"/>
          <w:color w:val="auto"/>
          <w:sz w:val="28"/>
          <w:szCs w:val="28"/>
          <w:highlight w:val="none"/>
        </w:rPr>
        <w:t>（格式）</w:t>
      </w:r>
    </w:p>
    <w:p w14:paraId="7EEF1B7F">
      <w:pPr>
        <w:pStyle w:val="19"/>
        <w:snapToGrid w:val="0"/>
        <w:spacing w:line="360" w:lineRule="auto"/>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619109E9">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86BFBF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5439674E">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05330765">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24E1147E">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636AEA39">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1F9D0D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0E2E5F1">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27236244">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C98069F">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1D12F9C">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6E48B2D">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1AA85A4">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1961071">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C8E2C71">
      <w:pPr>
        <w:pStyle w:val="19"/>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75E17630">
      <w:pPr>
        <w:pStyle w:val="19"/>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4F03FF9">
      <w:pPr>
        <w:pStyle w:val="19"/>
        <w:snapToGrid w:val="0"/>
        <w:spacing w:line="360" w:lineRule="auto"/>
        <w:ind w:firstLine="482" w:firstLineChars="200"/>
        <w:outlineLvl w:val="1"/>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08BDB39A">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p>
    <w:p w14:paraId="79D79FB3">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p>
    <w:p w14:paraId="4698F895">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p>
    <w:p w14:paraId="5FBA1C1A">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p>
    <w:p w14:paraId="39E2D028">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竞争性磋商文件公告：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1FB1E0F6">
      <w:pPr>
        <w:pStyle w:val="19"/>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29FEA313">
      <w:pPr>
        <w:pStyle w:val="19"/>
        <w:spacing w:line="360" w:lineRule="auto"/>
        <w:ind w:left="25" w:leftChars="12" w:firstLine="472" w:firstLineChars="196"/>
        <w:outlineLvl w:val="1"/>
        <w:rPr>
          <w:rFonts w:hAnsi="宋体" w:cs="宋体"/>
          <w:b/>
          <w:color w:val="auto"/>
          <w:sz w:val="24"/>
          <w:szCs w:val="24"/>
          <w:highlight w:val="none"/>
        </w:rPr>
      </w:pPr>
      <w:r>
        <w:rPr>
          <w:rFonts w:hint="eastAsia" w:hAnsi="宋体" w:cs="宋体"/>
          <w:b/>
          <w:color w:val="auto"/>
          <w:sz w:val="24"/>
          <w:szCs w:val="24"/>
          <w:highlight w:val="none"/>
        </w:rPr>
        <w:t>三、质疑基本情况</w:t>
      </w:r>
    </w:p>
    <w:p w14:paraId="76D9499E">
      <w:pPr>
        <w:pStyle w:val="1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972E51B">
      <w:pPr>
        <w:pStyle w:val="19"/>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6BF1CC9">
      <w:pPr>
        <w:pStyle w:val="19"/>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23A54536">
      <w:pPr>
        <w:pStyle w:val="19"/>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175D9EEA">
      <w:pPr>
        <w:pStyle w:val="19"/>
        <w:spacing w:line="360" w:lineRule="auto"/>
        <w:ind w:left="25" w:leftChars="12" w:firstLine="472" w:firstLineChars="196"/>
        <w:outlineLvl w:val="1"/>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6A8CC009">
      <w:pPr>
        <w:pStyle w:val="19"/>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50964883">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11F66221">
      <w:pPr>
        <w:pStyle w:val="19"/>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54DE3F6D">
      <w:pPr>
        <w:pStyle w:val="19"/>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225F5CC4">
      <w:pPr>
        <w:pStyle w:val="19"/>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A57A02C">
      <w:pPr>
        <w:pStyle w:val="19"/>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7E64C43">
      <w:pPr>
        <w:pStyle w:val="19"/>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BC7CAFD">
      <w:pPr>
        <w:pStyle w:val="19"/>
        <w:spacing w:line="360" w:lineRule="auto"/>
        <w:ind w:left="25" w:leftChars="12" w:firstLine="472" w:firstLineChars="196"/>
        <w:outlineLvl w:val="1"/>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7AAE2132">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48D060D">
      <w:pPr>
        <w:pStyle w:val="19"/>
        <w:spacing w:line="360" w:lineRule="auto"/>
        <w:ind w:left="25" w:leftChars="12" w:firstLine="352" w:firstLineChars="147"/>
        <w:rPr>
          <w:rFonts w:hAnsi="宋体" w:cs="宋体"/>
          <w:color w:val="auto"/>
          <w:sz w:val="24"/>
          <w:szCs w:val="24"/>
          <w:highlight w:val="none"/>
        </w:rPr>
      </w:pPr>
    </w:p>
    <w:p w14:paraId="357C7709">
      <w:pPr>
        <w:pStyle w:val="19"/>
        <w:spacing w:line="360" w:lineRule="auto"/>
        <w:ind w:left="25" w:leftChars="12" w:firstLine="472" w:firstLineChars="197"/>
        <w:rPr>
          <w:rFonts w:hAnsi="宋体" w:cs="宋体"/>
          <w:color w:val="auto"/>
          <w:sz w:val="24"/>
          <w:szCs w:val="24"/>
          <w:highlight w:val="none"/>
          <w:u w:val="single"/>
        </w:rPr>
      </w:pPr>
      <w:r>
        <w:rPr>
          <w:rFonts w:hint="eastAsia" w:hAnsi="宋体" w:cs="宋体"/>
          <w:color w:val="auto"/>
          <w:sz w:val="24"/>
          <w:szCs w:val="24"/>
          <w:highlight w:val="none"/>
        </w:rPr>
        <w:t>签字（签章）：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 xml:space="preserve">                        公章：</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p>
    <w:p w14:paraId="6EA08968">
      <w:pPr>
        <w:pStyle w:val="19"/>
        <w:spacing w:line="360" w:lineRule="auto"/>
        <w:ind w:left="25" w:leftChars="12" w:firstLine="352" w:firstLineChars="147"/>
        <w:rPr>
          <w:rFonts w:hAnsi="宋体" w:cs="宋体"/>
          <w:color w:val="auto"/>
          <w:sz w:val="24"/>
          <w:szCs w:val="24"/>
          <w:highlight w:val="none"/>
        </w:rPr>
      </w:pPr>
    </w:p>
    <w:p w14:paraId="3BC956B8">
      <w:pPr>
        <w:pStyle w:val="19"/>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Ansi="宋体" w:cs="宋体"/>
          <w:color w:val="auto"/>
          <w:sz w:val="24"/>
          <w:szCs w:val="24"/>
          <w:highlight w:val="none"/>
          <w:u w:val="single"/>
        </w:rPr>
        <w:t xml:space="preserve"> </w:t>
      </w:r>
      <w:r>
        <w:rPr>
          <w:rFonts w:hint="eastAsia" w:hAnsi="宋体" w:cs="宋体"/>
          <w:color w:val="auto"/>
          <w:sz w:val="24"/>
          <w:szCs w:val="24"/>
          <w:highlight w:val="none"/>
        </w:rPr>
        <w:t>日</w:t>
      </w:r>
    </w:p>
    <w:p w14:paraId="0CC5470A">
      <w:pPr>
        <w:pStyle w:val="19"/>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 xml:space="preserve">                                                                                 </w:t>
      </w:r>
    </w:p>
    <w:p w14:paraId="4CF21B84">
      <w:pPr>
        <w:pStyle w:val="19"/>
        <w:snapToGrid w:val="0"/>
        <w:spacing w:line="360" w:lineRule="auto"/>
        <w:rPr>
          <w:rFonts w:ascii="楷体" w:hAnsi="楷体" w:eastAsia="楷体" w:cs="宋体"/>
          <w:b/>
          <w:color w:val="auto"/>
          <w:sz w:val="24"/>
          <w:szCs w:val="24"/>
          <w:highlight w:val="none"/>
        </w:rPr>
      </w:pPr>
      <w:r>
        <w:rPr>
          <w:rFonts w:hint="eastAsia" w:ascii="楷体" w:hAnsi="楷体" w:eastAsia="楷体" w:cs="宋体"/>
          <w:b/>
          <w:color w:val="auto"/>
          <w:sz w:val="24"/>
          <w:szCs w:val="24"/>
          <w:highlight w:val="none"/>
        </w:rPr>
        <w:t>说明：</w:t>
      </w:r>
    </w:p>
    <w:p w14:paraId="3ED6C73D">
      <w:pPr>
        <w:pStyle w:val="19"/>
        <w:spacing w:line="360" w:lineRule="auto"/>
        <w:ind w:left="25" w:leftChars="12" w:firstLine="354" w:firstLineChars="147"/>
        <w:rPr>
          <w:rFonts w:ascii="楷体" w:hAnsi="楷体" w:eastAsia="楷体" w:cs="宋体"/>
          <w:b/>
          <w:bCs/>
          <w:color w:val="auto"/>
          <w:sz w:val="24"/>
          <w:szCs w:val="24"/>
          <w:highlight w:val="none"/>
        </w:rPr>
      </w:pPr>
      <w:r>
        <w:rPr>
          <w:rFonts w:ascii="楷体" w:hAnsi="楷体" w:eastAsia="楷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楷体" w:hAnsi="楷体" w:eastAsia="楷体" w:cs="宋体"/>
          <w:b/>
          <w:bCs/>
          <w:color w:val="auto"/>
          <w:sz w:val="24"/>
          <w:szCs w:val="24"/>
          <w:highlight w:val="none"/>
        </w:rPr>
        <w:t>。</w:t>
      </w:r>
    </w:p>
    <w:p w14:paraId="04D86712">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15D1F92">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3.投诉书应简要列明质疑事项，质疑函、质疑答复等作为附件材料提供。</w:t>
      </w:r>
    </w:p>
    <w:p w14:paraId="43A8D729">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4.投诉书的投诉事项应具体、明确，并有必要的事实依据和法律依据。</w:t>
      </w:r>
    </w:p>
    <w:p w14:paraId="34B41E98">
      <w:pPr>
        <w:pStyle w:val="19"/>
        <w:spacing w:line="360" w:lineRule="auto"/>
        <w:ind w:left="25" w:leftChars="12" w:firstLine="354" w:firstLineChars="147"/>
        <w:outlineLvl w:val="2"/>
        <w:rPr>
          <w:rFonts w:ascii="楷体" w:hAnsi="楷体" w:eastAsia="楷体" w:cs="宋体"/>
          <w:b/>
          <w:color w:val="auto"/>
          <w:sz w:val="24"/>
          <w:szCs w:val="24"/>
          <w:highlight w:val="none"/>
        </w:rPr>
      </w:pPr>
      <w:r>
        <w:rPr>
          <w:rFonts w:ascii="楷体" w:hAnsi="楷体" w:eastAsia="楷体" w:cs="宋体"/>
          <w:b/>
          <w:color w:val="auto"/>
          <w:sz w:val="24"/>
          <w:szCs w:val="24"/>
          <w:highlight w:val="none"/>
        </w:rPr>
        <w:t>5.投诉书的投诉请求应与投诉事项相关。</w:t>
      </w:r>
    </w:p>
    <w:p w14:paraId="2D9056D1">
      <w:pPr>
        <w:pStyle w:val="19"/>
        <w:spacing w:line="360" w:lineRule="auto"/>
        <w:ind w:left="25" w:leftChars="12" w:firstLine="354" w:firstLineChars="147"/>
        <w:rPr>
          <w:rFonts w:ascii="楷体" w:hAnsi="楷体" w:eastAsia="楷体" w:cs="宋体"/>
          <w:b/>
          <w:color w:val="auto"/>
          <w:sz w:val="24"/>
          <w:szCs w:val="24"/>
          <w:highlight w:val="none"/>
        </w:rPr>
      </w:pPr>
      <w:r>
        <w:rPr>
          <w:rFonts w:ascii="楷体" w:hAnsi="楷体" w:eastAsia="楷体" w:cs="宋体"/>
          <w:b/>
          <w:color w:val="auto"/>
          <w:sz w:val="24"/>
          <w:szCs w:val="24"/>
          <w:highlight w:val="none"/>
        </w:rPr>
        <w:t>6.投诉人为法人或者其他组织的，投诉书应由法定代表人、主要负责人，或者其授权代表签字或者盖章，并加盖公章。</w:t>
      </w:r>
    </w:p>
    <w:p w14:paraId="28834987">
      <w:pPr>
        <w:pStyle w:val="19"/>
        <w:spacing w:line="360" w:lineRule="auto"/>
        <w:ind w:left="25" w:leftChars="12" w:firstLine="352" w:firstLineChars="147"/>
        <w:rPr>
          <w:rFonts w:hAnsi="宋体" w:cs="宋体"/>
          <w:color w:val="auto"/>
          <w:sz w:val="24"/>
          <w:szCs w:val="24"/>
          <w:highlight w:val="none"/>
        </w:rPr>
      </w:pPr>
    </w:p>
    <w:p w14:paraId="1CCCF26B">
      <w:pPr>
        <w:pStyle w:val="2"/>
        <w:spacing w:before="0" w:after="0" w:line="460" w:lineRule="exact"/>
        <w:jc w:val="center"/>
        <w:rPr>
          <w:rFonts w:ascii="宋体" w:hAnsi="宋体" w:cs="宋体"/>
          <w:color w:val="auto"/>
          <w:highlight w:val="none"/>
        </w:rPr>
      </w:pPr>
      <w:bookmarkStart w:id="136" w:name="_Toc13022"/>
      <w:r>
        <w:rPr>
          <w:rFonts w:hint="eastAsia" w:ascii="宋体" w:hAnsi="宋体" w:cs="宋体"/>
          <w:color w:val="auto"/>
          <w:highlight w:val="none"/>
        </w:rPr>
        <w:t>第六章 拟签订的合同文本</w:t>
      </w:r>
      <w:bookmarkEnd w:id="136"/>
    </w:p>
    <w:p w14:paraId="6FC2042B">
      <w:pPr>
        <w:jc w:val="center"/>
        <w:rPr>
          <w:b/>
          <w:bCs/>
          <w:color w:val="auto"/>
          <w:kern w:val="44"/>
          <w:sz w:val="44"/>
          <w:szCs w:val="44"/>
          <w:highlight w:val="none"/>
        </w:rPr>
      </w:pPr>
    </w:p>
    <w:p w14:paraId="6465EF9C">
      <w:pPr>
        <w:jc w:val="center"/>
        <w:rPr>
          <w:rFonts w:ascii="黑体" w:hAnsi="黑体" w:eastAsia="黑体"/>
          <w:color w:val="auto"/>
          <w:sz w:val="32"/>
          <w:szCs w:val="32"/>
          <w:highlight w:val="none"/>
        </w:rPr>
      </w:pPr>
      <w:r>
        <w:rPr>
          <w:rFonts w:hint="eastAsia"/>
          <w:b/>
          <w:bCs/>
          <w:color w:val="auto"/>
          <w:kern w:val="44"/>
          <w:sz w:val="44"/>
          <w:szCs w:val="44"/>
          <w:highlight w:val="none"/>
        </w:rPr>
        <w:t>合同文本</w:t>
      </w:r>
    </w:p>
    <w:p w14:paraId="1D793AC1">
      <w:pPr>
        <w:spacing w:line="520" w:lineRule="exact"/>
        <w:rPr>
          <w:rFonts w:ascii="宋体" w:hAnsi="宋体" w:cs="Courier New"/>
          <w:b/>
          <w:color w:val="auto"/>
          <w:sz w:val="32"/>
          <w:szCs w:val="32"/>
          <w:highlight w:val="none"/>
        </w:rPr>
      </w:pPr>
      <w:r>
        <w:rPr>
          <w:rFonts w:hint="eastAsia" w:ascii="宋体" w:hAnsi="宋体" w:cs="宋体"/>
          <w:color w:val="auto"/>
          <w:sz w:val="24"/>
          <w:highlight w:val="none"/>
        </w:rPr>
        <w:t>项目名称：</w:t>
      </w:r>
    </w:p>
    <w:p w14:paraId="6CA36D6E">
      <w:pPr>
        <w:spacing w:line="360" w:lineRule="auto"/>
        <w:rPr>
          <w:rFonts w:ascii="宋体" w:hAnsi="宋体"/>
          <w:color w:val="auto"/>
          <w:sz w:val="24"/>
          <w:szCs w:val="32"/>
          <w:highlight w:val="none"/>
        </w:rPr>
      </w:pPr>
      <w:r>
        <w:rPr>
          <w:rFonts w:hint="eastAsia" w:ascii="宋体" w:hAnsi="宋体"/>
          <w:color w:val="auto"/>
          <w:sz w:val="24"/>
          <w:szCs w:val="32"/>
          <w:highlight w:val="none"/>
        </w:rPr>
        <w:t>合同编号：</w:t>
      </w:r>
    </w:p>
    <w:p w14:paraId="062AFA6C">
      <w:pPr>
        <w:spacing w:line="360" w:lineRule="auto"/>
        <w:rPr>
          <w:rFonts w:ascii="宋体" w:hAnsi="宋体"/>
          <w:color w:val="auto"/>
          <w:sz w:val="24"/>
          <w:szCs w:val="32"/>
          <w:highlight w:val="none"/>
        </w:rPr>
      </w:pPr>
      <w:r>
        <w:rPr>
          <w:rFonts w:hint="eastAsia" w:ascii="宋体" w:hAnsi="宋体"/>
          <w:color w:val="auto"/>
          <w:sz w:val="24"/>
          <w:szCs w:val="32"/>
          <w:highlight w:val="none"/>
        </w:rPr>
        <w:t>采购人（甲方）：</w:t>
      </w:r>
      <w:r>
        <w:rPr>
          <w:rFonts w:hint="eastAsia" w:ascii="宋体" w:hAnsi="宋体"/>
          <w:color w:val="auto"/>
          <w:sz w:val="24"/>
          <w:szCs w:val="32"/>
          <w:highlight w:val="none"/>
          <w:lang w:eastAsia="zh-CN"/>
        </w:rPr>
        <w:t>广西国际商务职业技术学院</w:t>
      </w:r>
      <w:r>
        <w:rPr>
          <w:rFonts w:hint="eastAsia" w:ascii="宋体" w:hAnsi="宋体"/>
          <w:color w:val="auto"/>
          <w:sz w:val="24"/>
          <w:szCs w:val="32"/>
          <w:highlight w:val="none"/>
        </w:rPr>
        <w:t xml:space="preserve">                      </w:t>
      </w:r>
    </w:p>
    <w:p w14:paraId="7B836BBA">
      <w:pPr>
        <w:spacing w:line="360" w:lineRule="auto"/>
        <w:rPr>
          <w:rFonts w:ascii="宋体" w:hAnsi="宋体"/>
          <w:color w:val="auto"/>
          <w:sz w:val="24"/>
          <w:szCs w:val="32"/>
          <w:highlight w:val="none"/>
        </w:rPr>
      </w:pPr>
      <w:r>
        <w:rPr>
          <w:rFonts w:hint="eastAsia" w:ascii="宋体" w:hAnsi="宋体"/>
          <w:color w:val="auto"/>
          <w:sz w:val="24"/>
          <w:szCs w:val="32"/>
          <w:highlight w:val="none"/>
        </w:rPr>
        <w:t xml:space="preserve">供应商（乙方）：          </w:t>
      </w:r>
    </w:p>
    <w:p w14:paraId="21841971">
      <w:pPr>
        <w:spacing w:line="360" w:lineRule="auto"/>
        <w:rPr>
          <w:rFonts w:ascii="宋体" w:hAnsi="宋体"/>
          <w:color w:val="auto"/>
          <w:sz w:val="24"/>
          <w:szCs w:val="32"/>
          <w:highlight w:val="none"/>
          <w:u w:val="single"/>
        </w:rPr>
      </w:pPr>
      <w:r>
        <w:rPr>
          <w:rFonts w:hint="eastAsia" w:ascii="宋体" w:hAnsi="宋体"/>
          <w:color w:val="auto"/>
          <w:sz w:val="24"/>
          <w:szCs w:val="32"/>
          <w:highlight w:val="none"/>
        </w:rPr>
        <w:t>签订地点：</w:t>
      </w:r>
    </w:p>
    <w:p w14:paraId="761CA322">
      <w:pPr>
        <w:spacing w:line="360" w:lineRule="auto"/>
        <w:ind w:firstLine="480" w:firstLineChars="200"/>
        <w:rPr>
          <w:rFonts w:ascii="宋体" w:hAnsi="宋体"/>
          <w:color w:val="auto"/>
          <w:sz w:val="24"/>
          <w:szCs w:val="32"/>
          <w:highlight w:val="none"/>
        </w:rPr>
      </w:pPr>
      <w:r>
        <w:rPr>
          <w:rFonts w:hint="eastAsia" w:ascii="宋体" w:hAnsi="宋体"/>
          <w:color w:val="auto"/>
          <w:sz w:val="24"/>
          <w:szCs w:val="32"/>
          <w:highlight w:val="none"/>
        </w:rPr>
        <w:t>根据《中华人民共和国政府采购法》《中华人民共和国民法典》等法律、法规规定，按照磋商文件规定条款和成交供应商响应文件及其承诺，甲乙双方签订本合同。</w:t>
      </w:r>
    </w:p>
    <w:p w14:paraId="6F8000AD">
      <w:pPr>
        <w:spacing w:line="360" w:lineRule="auto"/>
        <w:ind w:firstLine="482" w:firstLineChars="200"/>
        <w:outlineLvl w:val="1"/>
        <w:rPr>
          <w:rFonts w:ascii="宋体" w:hAnsi="宋体"/>
          <w:b/>
          <w:color w:val="auto"/>
          <w:sz w:val="24"/>
          <w:szCs w:val="32"/>
          <w:highlight w:val="none"/>
        </w:rPr>
      </w:pPr>
      <w:r>
        <w:rPr>
          <w:rFonts w:hint="eastAsia" w:ascii="宋体" w:hAnsi="宋体"/>
          <w:b/>
          <w:color w:val="auto"/>
          <w:sz w:val="24"/>
          <w:szCs w:val="32"/>
          <w:highlight w:val="none"/>
        </w:rPr>
        <w:t>第一条 合同标的</w:t>
      </w:r>
    </w:p>
    <w:p w14:paraId="6B96043A">
      <w:pPr>
        <w:pStyle w:val="79"/>
        <w:numPr>
          <w:ilvl w:val="0"/>
          <w:numId w:val="1"/>
        </w:numPr>
        <w:spacing w:line="360" w:lineRule="auto"/>
        <w:ind w:firstLineChars="0"/>
        <w:outlineLvl w:val="2"/>
        <w:rPr>
          <w:rFonts w:ascii="宋体" w:hAnsi="宋体"/>
          <w:color w:val="auto"/>
          <w:sz w:val="24"/>
          <w:szCs w:val="32"/>
          <w:highlight w:val="none"/>
        </w:rPr>
      </w:pPr>
      <w:r>
        <w:rPr>
          <w:rFonts w:hint="eastAsia" w:ascii="宋体" w:hAnsi="宋体"/>
          <w:color w:val="auto"/>
          <w:sz w:val="24"/>
          <w:szCs w:val="32"/>
          <w:highlight w:val="none"/>
        </w:rPr>
        <w:t>项目一览表</w:t>
      </w:r>
    </w:p>
    <w:tbl>
      <w:tblPr>
        <w:tblStyle w:val="31"/>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5A93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730CDDB3">
            <w:pPr>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30E5A0D">
            <w:pPr>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2400" w:type="dxa"/>
            <w:tcBorders>
              <w:top w:val="single" w:color="auto" w:sz="4" w:space="0"/>
              <w:left w:val="single" w:color="auto" w:sz="4" w:space="0"/>
              <w:bottom w:val="single" w:color="auto" w:sz="4" w:space="0"/>
              <w:right w:val="single" w:color="auto" w:sz="4" w:space="0"/>
            </w:tcBorders>
            <w:vAlign w:val="center"/>
          </w:tcPr>
          <w:p w14:paraId="6B2DF021">
            <w:pPr>
              <w:jc w:val="center"/>
              <w:rPr>
                <w:rFonts w:ascii="宋体" w:hAnsi="宋体" w:cs="宋体"/>
                <w:b/>
                <w:color w:val="auto"/>
                <w:szCs w:val="21"/>
                <w:highlight w:val="none"/>
              </w:rPr>
            </w:pPr>
            <w:r>
              <w:rPr>
                <w:rFonts w:hint="eastAsia" w:ascii="宋体" w:hAnsi="宋体" w:cs="宋体"/>
                <w:b/>
                <w:color w:val="auto"/>
                <w:szCs w:val="21"/>
                <w:highlight w:val="none"/>
              </w:rPr>
              <w:t>服务要求</w:t>
            </w:r>
          </w:p>
        </w:tc>
        <w:tc>
          <w:tcPr>
            <w:tcW w:w="1320" w:type="dxa"/>
            <w:tcBorders>
              <w:top w:val="single" w:color="auto" w:sz="4" w:space="0"/>
              <w:left w:val="single" w:color="auto" w:sz="4" w:space="0"/>
              <w:bottom w:val="single" w:color="auto" w:sz="4" w:space="0"/>
              <w:right w:val="single" w:color="auto" w:sz="4" w:space="0"/>
            </w:tcBorders>
            <w:vAlign w:val="center"/>
          </w:tcPr>
          <w:p w14:paraId="7D7CBCE6">
            <w:pPr>
              <w:jc w:val="center"/>
              <w:rPr>
                <w:rFonts w:ascii="宋体" w:hAnsi="宋体" w:cs="宋体"/>
                <w:b/>
                <w:color w:val="auto"/>
                <w:szCs w:val="21"/>
                <w:highlight w:val="none"/>
              </w:rPr>
            </w:pPr>
            <w:r>
              <w:rPr>
                <w:rFonts w:hint="eastAsia" w:ascii="宋体" w:hAnsi="宋体" w:cs="宋体"/>
                <w:b/>
                <w:color w:val="auto"/>
                <w:szCs w:val="21"/>
                <w:highlight w:val="none"/>
              </w:rPr>
              <w:t>数  量</w:t>
            </w:r>
          </w:p>
        </w:tc>
        <w:tc>
          <w:tcPr>
            <w:tcW w:w="1200" w:type="dxa"/>
            <w:tcBorders>
              <w:top w:val="single" w:color="auto" w:sz="4" w:space="0"/>
              <w:left w:val="single" w:color="auto" w:sz="4" w:space="0"/>
              <w:bottom w:val="single" w:color="auto" w:sz="4" w:space="0"/>
              <w:right w:val="single" w:color="auto" w:sz="4" w:space="0"/>
            </w:tcBorders>
            <w:vAlign w:val="center"/>
          </w:tcPr>
          <w:p w14:paraId="590E6E60">
            <w:pPr>
              <w:jc w:val="center"/>
              <w:rPr>
                <w:rFonts w:ascii="宋体" w:hAnsi="宋体" w:cs="宋体"/>
                <w:b/>
                <w:color w:val="auto"/>
                <w:szCs w:val="21"/>
                <w:highlight w:val="none"/>
              </w:rPr>
            </w:pPr>
            <w:r>
              <w:rPr>
                <w:rFonts w:hint="eastAsia" w:ascii="宋体" w:hAnsi="宋体" w:cs="宋体"/>
                <w:b/>
                <w:color w:val="auto"/>
                <w:szCs w:val="21"/>
                <w:highlight w:val="none"/>
              </w:rPr>
              <w:t>单位</w:t>
            </w:r>
          </w:p>
        </w:tc>
        <w:tc>
          <w:tcPr>
            <w:tcW w:w="1300" w:type="dxa"/>
            <w:tcBorders>
              <w:top w:val="single" w:color="auto" w:sz="4" w:space="0"/>
              <w:left w:val="single" w:color="auto" w:sz="4" w:space="0"/>
              <w:bottom w:val="single" w:color="auto" w:sz="4" w:space="0"/>
              <w:right w:val="single" w:color="auto" w:sz="4" w:space="0"/>
            </w:tcBorders>
            <w:vAlign w:val="center"/>
          </w:tcPr>
          <w:p w14:paraId="49BDD20C">
            <w:pPr>
              <w:jc w:val="center"/>
              <w:rPr>
                <w:rFonts w:ascii="宋体" w:hAnsi="宋体" w:cs="宋体"/>
                <w:b/>
                <w:color w:val="auto"/>
                <w:szCs w:val="21"/>
                <w:highlight w:val="none"/>
              </w:rPr>
            </w:pPr>
            <w:r>
              <w:rPr>
                <w:rFonts w:hint="eastAsia" w:ascii="宋体" w:hAnsi="宋体" w:cs="宋体"/>
                <w:b/>
                <w:color w:val="auto"/>
                <w:szCs w:val="21"/>
                <w:highlight w:val="none"/>
              </w:rPr>
              <w:t>单  价</w:t>
            </w:r>
          </w:p>
          <w:p w14:paraId="7E23E590">
            <w:pPr>
              <w:jc w:val="center"/>
              <w:rPr>
                <w:rFonts w:ascii="宋体" w:hAnsi="宋体" w:cs="宋体"/>
                <w:b/>
                <w:color w:val="auto"/>
                <w:szCs w:val="21"/>
                <w:highlight w:val="none"/>
              </w:rPr>
            </w:pPr>
            <w:r>
              <w:rPr>
                <w:rFonts w:hint="eastAsia" w:ascii="宋体" w:hAnsi="宋体" w:cs="宋体"/>
                <w:b/>
                <w:color w:val="auto"/>
                <w:szCs w:val="21"/>
                <w:highlight w:val="none"/>
              </w:rPr>
              <w:t>（元/人民币）</w:t>
            </w:r>
          </w:p>
        </w:tc>
        <w:tc>
          <w:tcPr>
            <w:tcW w:w="1207" w:type="dxa"/>
            <w:tcBorders>
              <w:top w:val="single" w:color="auto" w:sz="4" w:space="0"/>
              <w:left w:val="single" w:color="auto" w:sz="4" w:space="0"/>
              <w:bottom w:val="single" w:color="auto" w:sz="4" w:space="0"/>
              <w:right w:val="single" w:color="auto" w:sz="4" w:space="0"/>
            </w:tcBorders>
            <w:vAlign w:val="center"/>
          </w:tcPr>
          <w:p w14:paraId="6D6BC244">
            <w:pPr>
              <w:jc w:val="center"/>
              <w:rPr>
                <w:rFonts w:ascii="宋体" w:hAnsi="宋体" w:cs="宋体"/>
                <w:b/>
                <w:color w:val="auto"/>
                <w:szCs w:val="21"/>
                <w:highlight w:val="none"/>
              </w:rPr>
            </w:pPr>
            <w:r>
              <w:rPr>
                <w:rFonts w:hint="eastAsia" w:ascii="宋体" w:hAnsi="宋体" w:cs="宋体"/>
                <w:b/>
                <w:color w:val="auto"/>
                <w:szCs w:val="21"/>
                <w:highlight w:val="none"/>
              </w:rPr>
              <w:t>单项合计</w:t>
            </w:r>
          </w:p>
          <w:p w14:paraId="17C9E348">
            <w:pPr>
              <w:jc w:val="center"/>
              <w:rPr>
                <w:rFonts w:ascii="宋体" w:hAnsi="宋体" w:cs="宋体"/>
                <w:b/>
                <w:color w:val="auto"/>
                <w:szCs w:val="21"/>
                <w:highlight w:val="none"/>
              </w:rPr>
            </w:pPr>
            <w:r>
              <w:rPr>
                <w:rFonts w:hint="eastAsia" w:ascii="宋体" w:hAnsi="宋体" w:cs="宋体"/>
                <w:b/>
                <w:color w:val="auto"/>
                <w:szCs w:val="21"/>
                <w:highlight w:val="none"/>
              </w:rPr>
              <w:t>（元/人民币）</w:t>
            </w:r>
          </w:p>
        </w:tc>
      </w:tr>
      <w:tr w14:paraId="29BA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5B7859E6">
            <w:pPr>
              <w:spacing w:line="360" w:lineRule="auto"/>
              <w:jc w:val="center"/>
              <w:rPr>
                <w:rFonts w:ascii="宋体" w:hAnsi="宋体" w:cs="宋体"/>
                <w:color w:val="auto"/>
                <w:szCs w:val="21"/>
                <w:highlight w:val="none"/>
              </w:rPr>
            </w:pPr>
          </w:p>
        </w:tc>
        <w:tc>
          <w:tcPr>
            <w:tcW w:w="1213" w:type="dxa"/>
            <w:tcBorders>
              <w:top w:val="single" w:color="auto" w:sz="4" w:space="0"/>
              <w:left w:val="single" w:color="auto" w:sz="4" w:space="0"/>
              <w:bottom w:val="single" w:color="auto" w:sz="4" w:space="0"/>
              <w:right w:val="single" w:color="auto" w:sz="4" w:space="0"/>
            </w:tcBorders>
            <w:vAlign w:val="center"/>
          </w:tcPr>
          <w:p w14:paraId="413AA782">
            <w:pPr>
              <w:spacing w:line="360" w:lineRule="auto"/>
              <w:jc w:val="center"/>
              <w:rPr>
                <w:rFonts w:ascii="宋体" w:hAnsi="宋体" w:cs="宋体"/>
                <w:color w:val="auto"/>
                <w:szCs w:val="21"/>
                <w:highlight w:val="none"/>
              </w:rPr>
            </w:pPr>
          </w:p>
        </w:tc>
        <w:tc>
          <w:tcPr>
            <w:tcW w:w="2400" w:type="dxa"/>
            <w:tcBorders>
              <w:top w:val="single" w:color="auto" w:sz="4" w:space="0"/>
              <w:left w:val="single" w:color="auto" w:sz="4" w:space="0"/>
              <w:bottom w:val="single" w:color="auto" w:sz="4" w:space="0"/>
              <w:right w:val="single" w:color="auto" w:sz="4" w:space="0"/>
            </w:tcBorders>
            <w:vAlign w:val="center"/>
          </w:tcPr>
          <w:p w14:paraId="1B6F2DFC">
            <w:pPr>
              <w:spacing w:line="360" w:lineRule="auto"/>
              <w:jc w:val="center"/>
              <w:rPr>
                <w:rFonts w:ascii="宋体" w:hAnsi="宋体" w:cs="宋体"/>
                <w:color w:val="auto"/>
                <w:szCs w:val="21"/>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E2EB14B">
            <w:pPr>
              <w:spacing w:line="360" w:lineRule="auto"/>
              <w:jc w:val="center"/>
              <w:rPr>
                <w:rFonts w:ascii="宋体" w:hAnsi="宋体" w:cs="宋体"/>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vAlign w:val="center"/>
          </w:tcPr>
          <w:p w14:paraId="4B728B9A">
            <w:pPr>
              <w:spacing w:line="360" w:lineRule="auto"/>
              <w:jc w:val="center"/>
              <w:rPr>
                <w:rFonts w:ascii="宋体" w:hAnsi="宋体" w:cs="宋体"/>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2F4959E3">
            <w:pPr>
              <w:spacing w:line="360" w:lineRule="auto"/>
              <w:jc w:val="center"/>
              <w:rPr>
                <w:rFonts w:ascii="宋体" w:hAnsi="宋体" w:cs="宋体"/>
                <w:color w:val="auto"/>
                <w:szCs w:val="21"/>
                <w:highlight w:val="none"/>
              </w:rPr>
            </w:pPr>
          </w:p>
        </w:tc>
        <w:tc>
          <w:tcPr>
            <w:tcW w:w="1207" w:type="dxa"/>
            <w:tcBorders>
              <w:top w:val="single" w:color="auto" w:sz="4" w:space="0"/>
              <w:left w:val="single" w:color="auto" w:sz="4" w:space="0"/>
              <w:bottom w:val="single" w:color="auto" w:sz="4" w:space="0"/>
              <w:right w:val="single" w:color="auto" w:sz="4" w:space="0"/>
            </w:tcBorders>
            <w:vAlign w:val="center"/>
          </w:tcPr>
          <w:p w14:paraId="3EC4223F">
            <w:pPr>
              <w:spacing w:line="360" w:lineRule="auto"/>
              <w:jc w:val="center"/>
              <w:rPr>
                <w:rFonts w:ascii="宋体" w:hAnsi="宋体" w:cs="宋体"/>
                <w:color w:val="auto"/>
                <w:szCs w:val="21"/>
                <w:highlight w:val="none"/>
              </w:rPr>
            </w:pPr>
          </w:p>
        </w:tc>
      </w:tr>
      <w:tr w14:paraId="1A4D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trPr>
        <w:tc>
          <w:tcPr>
            <w:tcW w:w="9360" w:type="dxa"/>
            <w:gridSpan w:val="7"/>
            <w:tcBorders>
              <w:top w:val="single" w:color="auto" w:sz="4" w:space="0"/>
              <w:left w:val="single" w:color="auto" w:sz="4" w:space="0"/>
              <w:bottom w:val="single" w:color="auto" w:sz="4" w:space="0"/>
              <w:right w:val="single" w:color="auto" w:sz="4" w:space="0"/>
            </w:tcBorders>
            <w:vAlign w:val="center"/>
          </w:tcPr>
          <w:p w14:paraId="63F5DEC6">
            <w:pPr>
              <w:spacing w:line="360" w:lineRule="auto"/>
              <w:rPr>
                <w:rFonts w:ascii="宋体" w:hAnsi="宋体" w:cs="宋体"/>
                <w:color w:val="auto"/>
                <w:szCs w:val="21"/>
                <w:highlight w:val="none"/>
              </w:rPr>
            </w:pPr>
            <w:r>
              <w:rPr>
                <w:rFonts w:hint="eastAsia" w:ascii="宋体" w:hAnsi="宋体" w:cs="宋体"/>
                <w:color w:val="auto"/>
                <w:szCs w:val="21"/>
                <w:highlight w:val="none"/>
              </w:rPr>
              <w:t>合计金额（人民币大写）：</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（小写¥</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c>
      </w:tr>
    </w:tbl>
    <w:p w14:paraId="07A5136A">
      <w:pPr>
        <w:spacing w:line="360" w:lineRule="auto"/>
        <w:ind w:firstLine="420"/>
        <w:rPr>
          <w:rFonts w:ascii="宋体" w:hAnsi="宋体" w:cs="宋体"/>
          <w:color w:val="auto"/>
          <w:sz w:val="24"/>
          <w:highlight w:val="none"/>
        </w:rPr>
      </w:pPr>
      <w:r>
        <w:rPr>
          <w:rFonts w:hint="eastAsia" w:ascii="宋体" w:hAnsi="宋体" w:cs="宋体"/>
          <w:color w:val="auto"/>
          <w:sz w:val="24"/>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磋商文件对其另有规定的，从其规定。甲方不再支付合同合计金额以外的其他费用。</w:t>
      </w:r>
    </w:p>
    <w:p w14:paraId="3AC60D18">
      <w:pPr>
        <w:spacing w:line="360" w:lineRule="auto"/>
        <w:ind w:firstLine="420"/>
        <w:outlineLvl w:val="1"/>
        <w:rPr>
          <w:rFonts w:ascii="宋体" w:hAnsi="宋体"/>
          <w:b/>
          <w:color w:val="auto"/>
          <w:sz w:val="24"/>
          <w:highlight w:val="none"/>
        </w:rPr>
      </w:pPr>
      <w:r>
        <w:rPr>
          <w:rFonts w:hint="eastAsia" w:ascii="宋体" w:hAnsi="宋体"/>
          <w:b/>
          <w:color w:val="auto"/>
          <w:sz w:val="24"/>
          <w:highlight w:val="none"/>
        </w:rPr>
        <w:t>第二条 质量要求</w:t>
      </w:r>
    </w:p>
    <w:p w14:paraId="2C61EED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乙方所提供的服务及服务内容必须与响应文件承诺相一致，有国家强制性标准的，必须符合国家强制性标准的规定；没有国家强制性标准但有其他强制性标准的，必须符合其他强制性标准的规定。</w:t>
      </w:r>
    </w:p>
    <w:p w14:paraId="759F0105">
      <w:pPr>
        <w:spacing w:line="360" w:lineRule="auto"/>
        <w:ind w:firstLine="482" w:firstLineChars="200"/>
        <w:outlineLvl w:val="1"/>
        <w:rPr>
          <w:rFonts w:ascii="宋体" w:hAnsi="宋体"/>
          <w:color w:val="auto"/>
          <w:sz w:val="24"/>
          <w:highlight w:val="none"/>
        </w:rPr>
      </w:pPr>
      <w:r>
        <w:rPr>
          <w:rFonts w:hint="eastAsia" w:ascii="宋体" w:hAnsi="宋体"/>
          <w:b/>
          <w:color w:val="auto"/>
          <w:sz w:val="24"/>
          <w:highlight w:val="none"/>
        </w:rPr>
        <w:t>第三条 权利保证</w:t>
      </w:r>
    </w:p>
    <w:p w14:paraId="0C26F68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1.乙方应保证所提供服务在使用时不会侵犯任何第三方的专利权、商标权、工业设计权等知识产权及其他合法权利，且所有权、处分权等没有受到任何限制。</w:t>
      </w:r>
    </w:p>
    <w:p w14:paraId="7FD75BC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62154B57">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第四条 交付和验收等</w:t>
      </w:r>
    </w:p>
    <w:p w14:paraId="687FE29A">
      <w:pPr>
        <w:snapToGrid w:val="0"/>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1.交付时间：</w:t>
      </w:r>
      <w:r>
        <w:rPr>
          <w:rFonts w:hint="eastAsia" w:ascii="宋体" w:hAnsi="宋体"/>
          <w:color w:val="auto"/>
          <w:sz w:val="24"/>
          <w:highlight w:val="none"/>
          <w:u w:val="single"/>
        </w:rPr>
        <w:t xml:space="preserve">                   </w:t>
      </w:r>
    </w:p>
    <w:p w14:paraId="1540B8D4">
      <w:pPr>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交付地点：</w:t>
      </w:r>
      <w:r>
        <w:rPr>
          <w:rFonts w:hint="eastAsia" w:ascii="宋体" w:hAnsi="宋体"/>
          <w:b/>
          <w:color w:val="auto"/>
          <w:sz w:val="24"/>
          <w:highlight w:val="none"/>
          <w:u w:val="single"/>
        </w:rPr>
        <w:t>南宁市甲方指定地点。</w:t>
      </w:r>
    </w:p>
    <w:p w14:paraId="0ADB4FB9">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2.乙方应按响应文件的承诺向甲方提供相应的服务，并提供所服务内容的相关技术资料。</w:t>
      </w:r>
    </w:p>
    <w:p w14:paraId="21FD359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3.乙方提供不符合响应文件和本合同规定的服务成果，甲方有权拒绝接受。</w:t>
      </w:r>
    </w:p>
    <w:p w14:paraId="2DEEC48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4.乙方完成服务后应及时书面通知甲方进行验收，甲方应在收到通知后</w:t>
      </w:r>
      <w:r>
        <w:rPr>
          <w:rFonts w:ascii="宋体" w:hAnsi="宋体"/>
          <w:color w:val="auto"/>
          <w:sz w:val="24"/>
          <w:highlight w:val="none"/>
        </w:rPr>
        <w:t>5</w:t>
      </w:r>
      <w:r>
        <w:rPr>
          <w:rFonts w:hint="eastAsia" w:ascii="宋体" w:hAnsi="宋体"/>
          <w:color w:val="auto"/>
          <w:sz w:val="24"/>
          <w:highlight w:val="none"/>
        </w:rPr>
        <w:t>个工作日内组织开展验收。验收合格后由甲乙双方签署验收单并加盖采购人公章，甲乙双方各执壹份。</w:t>
      </w:r>
    </w:p>
    <w:p w14:paraId="27F9E15C">
      <w:pPr>
        <w:spacing w:line="360" w:lineRule="auto"/>
        <w:ind w:firstLine="480" w:firstLineChars="200"/>
        <w:rPr>
          <w:rFonts w:ascii="宋体" w:hAnsi="宋体"/>
          <w:color w:val="auto"/>
          <w:spacing w:val="-6"/>
          <w:sz w:val="24"/>
          <w:highlight w:val="none"/>
        </w:rPr>
      </w:pPr>
      <w:r>
        <w:rPr>
          <w:rFonts w:hint="eastAsia" w:ascii="宋体" w:hAnsi="宋体"/>
          <w:color w:val="auto"/>
          <w:sz w:val="24"/>
          <w:highlight w:val="none"/>
        </w:rPr>
        <w:t>5.甲乙双方应按照《广西壮族自治区政府采购项目履约验收管理办法》、双方</w:t>
      </w:r>
      <w:r>
        <w:rPr>
          <w:rFonts w:hint="eastAsia" w:ascii="宋体" w:hAnsi="宋体"/>
          <w:color w:val="auto"/>
          <w:spacing w:val="-6"/>
          <w:sz w:val="24"/>
          <w:highlight w:val="none"/>
        </w:rPr>
        <w:t>合同、投标文件验收。</w:t>
      </w:r>
    </w:p>
    <w:p w14:paraId="064CADFE">
      <w:pPr>
        <w:spacing w:line="360" w:lineRule="auto"/>
        <w:ind w:firstLine="480" w:firstLineChars="200"/>
        <w:rPr>
          <w:rFonts w:ascii="宋体" w:hAnsi="宋体"/>
          <w:color w:val="auto"/>
          <w:spacing w:val="-6"/>
          <w:sz w:val="24"/>
          <w:highlight w:val="none"/>
        </w:rPr>
      </w:pPr>
      <w:r>
        <w:rPr>
          <w:rFonts w:hint="eastAsia" w:ascii="宋体" w:hAnsi="宋体"/>
          <w:color w:val="auto"/>
          <w:sz w:val="24"/>
          <w:highlight w:val="none"/>
        </w:rPr>
        <w:t>6.甲方在验收后如发现乙方提供的服务成果不满足响应文件</w:t>
      </w:r>
      <w:r>
        <w:rPr>
          <w:rFonts w:hint="eastAsia" w:ascii="宋体" w:hAnsi="宋体"/>
          <w:color w:val="auto"/>
          <w:spacing w:val="-6"/>
          <w:sz w:val="24"/>
          <w:highlight w:val="none"/>
        </w:rPr>
        <w:t>及本合同规定的可暂缓向乙方付款，直到乙方及时完善并提交相应的服务成果且经甲方验收合格后，方可办理付款。</w:t>
      </w:r>
    </w:p>
    <w:p w14:paraId="7E4C3063">
      <w:pPr>
        <w:spacing w:line="360" w:lineRule="auto"/>
        <w:ind w:firstLine="456" w:firstLineChars="200"/>
        <w:rPr>
          <w:rFonts w:ascii="宋体" w:hAnsi="宋体"/>
          <w:color w:val="auto"/>
          <w:sz w:val="24"/>
          <w:highlight w:val="none"/>
        </w:rPr>
      </w:pPr>
      <w:r>
        <w:rPr>
          <w:rFonts w:hint="eastAsia" w:ascii="宋体" w:hAnsi="宋体"/>
          <w:color w:val="auto"/>
          <w:spacing w:val="-6"/>
          <w:sz w:val="24"/>
          <w:highlight w:val="none"/>
        </w:rPr>
        <w:t>7.甲方验收时以书面形式提出异议的，乙方应自收到甲方书面异议后5个</w:t>
      </w:r>
      <w:r>
        <w:rPr>
          <w:rFonts w:hint="eastAsia" w:ascii="宋体" w:hAnsi="宋体"/>
          <w:color w:val="auto"/>
          <w:sz w:val="24"/>
          <w:highlight w:val="none"/>
        </w:rPr>
        <w:t>工作日内及时予以解决，否则甲方有权不出具服务验收合格单。</w:t>
      </w:r>
    </w:p>
    <w:p w14:paraId="51D825C0">
      <w:pPr>
        <w:snapToGrid w:val="0"/>
        <w:spacing w:line="360" w:lineRule="auto"/>
        <w:ind w:left="-61" w:firstLine="514"/>
        <w:rPr>
          <w:rFonts w:ascii="宋体" w:hAnsi="宋体" w:cs="宋体"/>
          <w:color w:val="auto"/>
          <w:sz w:val="24"/>
          <w:highlight w:val="none"/>
        </w:rPr>
      </w:pPr>
      <w:r>
        <w:rPr>
          <w:rFonts w:ascii="宋体" w:hAnsi="宋体" w:cs="宋体"/>
          <w:color w:val="auto"/>
          <w:sz w:val="24"/>
          <w:highlight w:val="none"/>
        </w:rPr>
        <w:t>8.</w:t>
      </w:r>
      <w:r>
        <w:rPr>
          <w:rFonts w:hint="eastAsia" w:ascii="宋体" w:hAnsi="宋体" w:cs="宋体"/>
          <w:color w:val="auto"/>
          <w:sz w:val="24"/>
          <w:highlight w:val="none"/>
        </w:rPr>
        <w:t>验收时乙方必须在现场，验收完毕后作出验收结果报告；验收过程所产生的一切费用均由乙方承担。</w:t>
      </w:r>
    </w:p>
    <w:p w14:paraId="7571589F">
      <w:pPr>
        <w:pStyle w:val="13"/>
        <w:ind w:firstLine="480" w:firstLineChars="200"/>
        <w:outlineLvl w:val="2"/>
        <w:rPr>
          <w:color w:val="auto"/>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本合同的验收条款与采购需求商务条款中的验收要求互为补充。</w:t>
      </w:r>
    </w:p>
    <w:p w14:paraId="14C8B470">
      <w:pPr>
        <w:snapToGrid w:val="0"/>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第五条  售后服务及培训</w:t>
      </w:r>
    </w:p>
    <w:p w14:paraId="5E32A2B2">
      <w:pPr>
        <w:spacing w:line="360" w:lineRule="auto"/>
        <w:ind w:firstLine="456" w:firstLineChars="200"/>
        <w:rPr>
          <w:rFonts w:ascii="宋体" w:hAnsi="宋体"/>
          <w:color w:val="auto"/>
          <w:spacing w:val="-6"/>
          <w:sz w:val="24"/>
          <w:highlight w:val="none"/>
        </w:rPr>
      </w:pPr>
      <w:r>
        <w:rPr>
          <w:rFonts w:hint="eastAsia" w:ascii="宋体" w:hAnsi="宋体"/>
          <w:color w:val="auto"/>
          <w:spacing w:val="-6"/>
          <w:sz w:val="24"/>
          <w:highlight w:val="none"/>
        </w:rPr>
        <w:t>1.乙方应按照国家有关法律法规和本合同所附的《服务方案》要求为甲方提供相应的售后服务。</w:t>
      </w:r>
    </w:p>
    <w:p w14:paraId="22ACDC7F">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2.甲方应提供必要测试条件（如场地、电源、水源等）。</w:t>
      </w:r>
    </w:p>
    <w:p w14:paraId="6BFF9D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3.乙方负责甲方有关人员的培训。培训时间、地点：</w:t>
      </w:r>
      <w:r>
        <w:rPr>
          <w:rFonts w:hint="eastAsia" w:ascii="宋体" w:hAnsi="宋体"/>
          <w:color w:val="auto"/>
          <w:sz w:val="24"/>
          <w:highlight w:val="none"/>
          <w:u w:val="single"/>
        </w:rPr>
        <w:t>按照甲方需求和通知</w:t>
      </w:r>
      <w:r>
        <w:rPr>
          <w:rFonts w:hint="eastAsia" w:ascii="宋体" w:hAnsi="宋体"/>
          <w:color w:val="auto"/>
          <w:sz w:val="24"/>
          <w:highlight w:val="none"/>
        </w:rPr>
        <w:t>。</w:t>
      </w:r>
    </w:p>
    <w:p w14:paraId="59FB6439">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第六条 付款方式</w:t>
      </w:r>
    </w:p>
    <w:p w14:paraId="7AC06D7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分期支付</w:t>
      </w:r>
      <w:r>
        <w:rPr>
          <w:rFonts w:hint="eastAsia" w:ascii="宋体" w:hAnsi="宋体"/>
          <w:color w:val="auto"/>
          <w:sz w:val="24"/>
          <w:highlight w:val="none"/>
        </w:rPr>
        <w:t>：</w:t>
      </w:r>
      <w:r>
        <w:rPr>
          <w:rFonts w:hint="eastAsia" w:ascii="宋体" w:hAnsi="宋体"/>
          <w:color w:val="auto"/>
          <w:sz w:val="24"/>
          <w:highlight w:val="none"/>
          <w:u w:val="single"/>
        </w:rPr>
        <w:t>合同签订后30%。验收通过70%。合同签订后十五个工作日内，采购人支付合同总金额的30%；中标人通过验收后十五个工作日内即支付合同总金额的70%每次付款前，成交供应商需提供请款函及该支付金额的合法有效发票。</w:t>
      </w:r>
    </w:p>
    <w:p w14:paraId="3C5B9714">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第七条 履约保证金</w:t>
      </w:r>
    </w:p>
    <w:p w14:paraId="5F3008EA">
      <w:pPr>
        <w:spacing w:line="360" w:lineRule="auto"/>
        <w:ind w:firstLine="480" w:firstLineChars="200"/>
        <w:outlineLvl w:val="1"/>
        <w:rPr>
          <w:rFonts w:hint="eastAsia"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本项目无履约保证金</w:t>
      </w:r>
    </w:p>
    <w:p w14:paraId="31CE435B">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第八条  税费</w:t>
      </w:r>
    </w:p>
    <w:p w14:paraId="309AFCF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本合同执行中相关的一切税费均由乙方负担，合同另有约定的除外。</w:t>
      </w:r>
    </w:p>
    <w:p w14:paraId="77CAA05E">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第九条 违约责任</w:t>
      </w:r>
    </w:p>
    <w:p w14:paraId="1FFA4E5D">
      <w:pPr>
        <w:pStyle w:val="19"/>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w:t>
      </w:r>
      <w:r>
        <w:rPr>
          <w:rFonts w:hAnsi="宋体"/>
          <w:color w:val="auto"/>
          <w:sz w:val="24"/>
          <w:szCs w:val="24"/>
          <w:highlight w:val="none"/>
        </w:rPr>
        <w:t>.</w:t>
      </w:r>
      <w:r>
        <w:rPr>
          <w:rFonts w:hint="eastAsia" w:hAnsi="宋体"/>
          <w:color w:val="auto"/>
          <w:sz w:val="24"/>
          <w:szCs w:val="24"/>
          <w:highlight w:val="none"/>
        </w:rPr>
        <w:t>合同一方不履行合同义务、履行合同义务不符合约定或者违反合同项下所作保证的， 应向对方承担继续履行、采取改进、更换等补救措施或者赔偿损失等违约责任。</w:t>
      </w:r>
    </w:p>
    <w:p w14:paraId="30065FA6">
      <w:pPr>
        <w:pStyle w:val="19"/>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2.乙方提供的服务如侵犯了第三方合法权益而引发的任何纠纷或者诉讼，均由乙方负责交涉并承担全部责任。</w:t>
      </w:r>
    </w:p>
    <w:p w14:paraId="3E0F7356">
      <w:pPr>
        <w:pStyle w:val="19"/>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3</w:t>
      </w:r>
      <w:r>
        <w:rPr>
          <w:rFonts w:hint="eastAsia" w:hAnsi="宋体"/>
          <w:color w:val="auto"/>
          <w:sz w:val="24"/>
          <w:szCs w:val="24"/>
          <w:highlight w:val="none"/>
        </w:rPr>
        <w:t>.乙方未能按时交付服务的，应向甲方支付迟延交付违约金。迟延交付违约金的计算方法如下：</w:t>
      </w:r>
    </w:p>
    <w:p w14:paraId="62614431">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（1）从迟交的第1日到第3</w:t>
      </w:r>
      <w:r>
        <w:rPr>
          <w:rFonts w:hAnsi="宋体"/>
          <w:color w:val="auto"/>
          <w:sz w:val="24"/>
          <w:szCs w:val="24"/>
          <w:highlight w:val="none"/>
        </w:rPr>
        <w:t>0</w:t>
      </w:r>
      <w:r>
        <w:rPr>
          <w:rFonts w:hint="eastAsia" w:hAnsi="宋体"/>
          <w:color w:val="auto"/>
          <w:sz w:val="24"/>
          <w:szCs w:val="24"/>
          <w:highlight w:val="none"/>
        </w:rPr>
        <w:t>日，每日迟延交付违约金为合同总价的 1.5‰；</w:t>
      </w:r>
    </w:p>
    <w:p w14:paraId="721C8DB4">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（2）从迟交的第3</w:t>
      </w:r>
      <w:r>
        <w:rPr>
          <w:rFonts w:hAnsi="宋体"/>
          <w:color w:val="auto"/>
          <w:sz w:val="24"/>
          <w:szCs w:val="24"/>
          <w:highlight w:val="none"/>
        </w:rPr>
        <w:t>1</w:t>
      </w:r>
      <w:r>
        <w:rPr>
          <w:rFonts w:hint="eastAsia" w:hAnsi="宋体"/>
          <w:color w:val="auto"/>
          <w:sz w:val="24"/>
          <w:szCs w:val="24"/>
          <w:highlight w:val="none"/>
        </w:rPr>
        <w:t>日到第6</w:t>
      </w:r>
      <w:r>
        <w:rPr>
          <w:rFonts w:hAnsi="宋体"/>
          <w:color w:val="auto"/>
          <w:sz w:val="24"/>
          <w:szCs w:val="24"/>
          <w:highlight w:val="none"/>
        </w:rPr>
        <w:t>0</w:t>
      </w:r>
      <w:r>
        <w:rPr>
          <w:rFonts w:hint="eastAsia" w:hAnsi="宋体"/>
          <w:color w:val="auto"/>
          <w:sz w:val="24"/>
          <w:szCs w:val="24"/>
          <w:highlight w:val="none"/>
        </w:rPr>
        <w:t>日，每日迟延交付违约金为合同总价的 3‰；</w:t>
      </w:r>
    </w:p>
    <w:p w14:paraId="2C6948BC">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（3）从迟交的第6</w:t>
      </w:r>
      <w:r>
        <w:rPr>
          <w:rFonts w:hAnsi="宋体"/>
          <w:color w:val="auto"/>
          <w:sz w:val="24"/>
          <w:szCs w:val="24"/>
          <w:highlight w:val="none"/>
        </w:rPr>
        <w:t>1</w:t>
      </w:r>
      <w:r>
        <w:rPr>
          <w:rFonts w:hint="eastAsia" w:hAnsi="宋体"/>
          <w:color w:val="auto"/>
          <w:sz w:val="24"/>
          <w:szCs w:val="24"/>
          <w:highlight w:val="none"/>
        </w:rPr>
        <w:t>日起，每日迟延交付违约金为合同总价的 5‰。</w:t>
      </w:r>
    </w:p>
    <w:p w14:paraId="2FB1D541">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迟延交付违约金的总额不得超过合同总价的30% 。迟延交付违约金的支付不能免除乙方继续完成相关合同约定的服务的义务，但如迟延交付必然导致验收等工作推迟的，相关工作应相应顺延。</w:t>
      </w:r>
    </w:p>
    <w:p w14:paraId="05BA80AC">
      <w:pPr>
        <w:pStyle w:val="19"/>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4</w:t>
      </w:r>
      <w:r>
        <w:rPr>
          <w:rFonts w:hint="eastAsia" w:hAnsi="宋体"/>
          <w:color w:val="auto"/>
          <w:sz w:val="24"/>
          <w:szCs w:val="24"/>
          <w:highlight w:val="none"/>
        </w:rPr>
        <w:t>.甲方未能按合同约定支付合同价款的，应向乙方支付延迟付款违约金。迟延付款违约金的计算方法如下：</w:t>
      </w:r>
    </w:p>
    <w:p w14:paraId="5DAAE50E">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（1）从迟交的第1日到第3</w:t>
      </w:r>
      <w:r>
        <w:rPr>
          <w:rFonts w:hAnsi="宋体"/>
          <w:color w:val="auto"/>
          <w:sz w:val="24"/>
          <w:szCs w:val="24"/>
          <w:highlight w:val="none"/>
        </w:rPr>
        <w:t>0</w:t>
      </w:r>
      <w:r>
        <w:rPr>
          <w:rFonts w:hint="eastAsia" w:hAnsi="宋体"/>
          <w:color w:val="auto"/>
          <w:sz w:val="24"/>
          <w:szCs w:val="24"/>
          <w:highlight w:val="none"/>
        </w:rPr>
        <w:t>日，每日迟延付款违约金为迟延付款金额的1.5‰；</w:t>
      </w:r>
    </w:p>
    <w:p w14:paraId="3C1EBEC8">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（2）从迟交的第3</w:t>
      </w:r>
      <w:r>
        <w:rPr>
          <w:rFonts w:hAnsi="宋体"/>
          <w:color w:val="auto"/>
          <w:sz w:val="24"/>
          <w:szCs w:val="24"/>
          <w:highlight w:val="none"/>
        </w:rPr>
        <w:t>1</w:t>
      </w:r>
      <w:r>
        <w:rPr>
          <w:rFonts w:hint="eastAsia" w:hAnsi="宋体"/>
          <w:color w:val="auto"/>
          <w:sz w:val="24"/>
          <w:szCs w:val="24"/>
          <w:highlight w:val="none"/>
        </w:rPr>
        <w:t>日到第6</w:t>
      </w:r>
      <w:r>
        <w:rPr>
          <w:rFonts w:hAnsi="宋体"/>
          <w:color w:val="auto"/>
          <w:sz w:val="24"/>
          <w:szCs w:val="24"/>
          <w:highlight w:val="none"/>
        </w:rPr>
        <w:t>0</w:t>
      </w:r>
      <w:r>
        <w:rPr>
          <w:rFonts w:hint="eastAsia" w:hAnsi="宋体"/>
          <w:color w:val="auto"/>
          <w:sz w:val="24"/>
          <w:szCs w:val="24"/>
          <w:highlight w:val="none"/>
        </w:rPr>
        <w:t>日，每日迟延付款违约金为迟延付款金额的3‰；</w:t>
      </w:r>
    </w:p>
    <w:p w14:paraId="5AE854E3">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（3）从迟交的第6</w:t>
      </w:r>
      <w:r>
        <w:rPr>
          <w:rFonts w:hAnsi="宋体"/>
          <w:color w:val="auto"/>
          <w:sz w:val="24"/>
          <w:szCs w:val="24"/>
          <w:highlight w:val="none"/>
        </w:rPr>
        <w:t>1</w:t>
      </w:r>
      <w:r>
        <w:rPr>
          <w:rFonts w:hint="eastAsia" w:hAnsi="宋体"/>
          <w:color w:val="auto"/>
          <w:sz w:val="24"/>
          <w:szCs w:val="24"/>
          <w:highlight w:val="none"/>
        </w:rPr>
        <w:t>日起，每日迟延付款违约金为迟延付款金额的 5‰。</w:t>
      </w:r>
    </w:p>
    <w:p w14:paraId="558AA24A">
      <w:pPr>
        <w:pStyle w:val="19"/>
        <w:snapToGrid w:val="0"/>
        <w:spacing w:line="360" w:lineRule="auto"/>
        <w:ind w:firstLine="470" w:firstLineChars="196"/>
        <w:rPr>
          <w:rFonts w:hAnsi="宋体"/>
          <w:color w:val="auto"/>
          <w:sz w:val="24"/>
          <w:szCs w:val="24"/>
          <w:highlight w:val="none"/>
        </w:rPr>
      </w:pPr>
      <w:r>
        <w:rPr>
          <w:rFonts w:hint="eastAsia" w:hAnsi="宋体"/>
          <w:color w:val="auto"/>
          <w:sz w:val="24"/>
          <w:szCs w:val="24"/>
          <w:highlight w:val="none"/>
        </w:rPr>
        <w:t>迟延付款违约金的总额不得超过迟延付款金额的30% 。</w:t>
      </w:r>
    </w:p>
    <w:p w14:paraId="403FEF29">
      <w:pPr>
        <w:pStyle w:val="19"/>
        <w:snapToGrid w:val="0"/>
        <w:spacing w:line="360" w:lineRule="auto"/>
        <w:ind w:firstLine="470" w:firstLineChars="196"/>
        <w:rPr>
          <w:rFonts w:hAnsi="宋体"/>
          <w:color w:val="auto"/>
          <w:sz w:val="24"/>
          <w:szCs w:val="24"/>
          <w:highlight w:val="none"/>
        </w:rPr>
      </w:pPr>
      <w:r>
        <w:rPr>
          <w:rFonts w:hAnsi="宋体"/>
          <w:color w:val="auto"/>
          <w:sz w:val="24"/>
          <w:szCs w:val="24"/>
          <w:highlight w:val="none"/>
        </w:rPr>
        <w:t>5</w:t>
      </w:r>
      <w:r>
        <w:rPr>
          <w:rFonts w:hint="eastAsia" w:hAnsi="宋体"/>
          <w:color w:val="auto"/>
          <w:sz w:val="24"/>
          <w:szCs w:val="24"/>
          <w:highlight w:val="none"/>
        </w:rPr>
        <w:t>.乙方未按本合同和投标文件承诺提供售后服务的，乙方应按本合同总价的</w:t>
      </w:r>
      <w:r>
        <w:rPr>
          <w:rFonts w:hAnsi="宋体"/>
          <w:color w:val="auto"/>
          <w:sz w:val="24"/>
          <w:szCs w:val="24"/>
          <w:highlight w:val="none"/>
        </w:rPr>
        <w:t>5</w:t>
      </w:r>
      <w:r>
        <w:rPr>
          <w:rFonts w:hint="eastAsia" w:hAnsi="宋体"/>
          <w:color w:val="auto"/>
          <w:sz w:val="24"/>
          <w:szCs w:val="24"/>
          <w:highlight w:val="none"/>
        </w:rPr>
        <w:t>%向甲方支付违约金。</w:t>
      </w:r>
    </w:p>
    <w:p w14:paraId="5CA5BE08">
      <w:pPr>
        <w:pStyle w:val="19"/>
        <w:snapToGrid w:val="0"/>
        <w:spacing w:line="360" w:lineRule="auto"/>
        <w:ind w:firstLine="470" w:firstLineChars="196"/>
        <w:outlineLvl w:val="2"/>
        <w:rPr>
          <w:rFonts w:hAnsi="宋体"/>
          <w:color w:val="auto"/>
          <w:sz w:val="24"/>
          <w:szCs w:val="24"/>
          <w:highlight w:val="none"/>
        </w:rPr>
      </w:pPr>
      <w:r>
        <w:rPr>
          <w:rFonts w:hAnsi="宋体"/>
          <w:color w:val="auto"/>
          <w:sz w:val="24"/>
          <w:szCs w:val="24"/>
          <w:highlight w:val="none"/>
        </w:rPr>
        <w:t>6</w:t>
      </w:r>
      <w:r>
        <w:rPr>
          <w:rFonts w:hint="eastAsia" w:hAnsi="宋体"/>
          <w:color w:val="auto"/>
          <w:sz w:val="24"/>
          <w:szCs w:val="24"/>
          <w:highlight w:val="none"/>
        </w:rPr>
        <w:t>.</w:t>
      </w:r>
      <w:r>
        <w:rPr>
          <w:rFonts w:hint="eastAsia" w:hAnsi="宋体"/>
          <w:color w:val="auto"/>
          <w:sz w:val="24"/>
          <w:highlight w:val="none"/>
        </w:rPr>
        <w:t>乙方违约，甲方对本合同享有单方解除权。</w:t>
      </w:r>
    </w:p>
    <w:p w14:paraId="25C38484">
      <w:pPr>
        <w:pStyle w:val="19"/>
        <w:snapToGrid w:val="0"/>
        <w:spacing w:line="360" w:lineRule="auto"/>
        <w:ind w:firstLine="470" w:firstLineChars="196"/>
        <w:rPr>
          <w:rFonts w:hAnsi="宋体"/>
          <w:color w:val="auto"/>
          <w:sz w:val="24"/>
          <w:szCs w:val="24"/>
          <w:highlight w:val="none"/>
        </w:rPr>
      </w:pPr>
      <w:r>
        <w:rPr>
          <w:rFonts w:hAnsi="宋体"/>
          <w:color w:val="auto"/>
          <w:sz w:val="24"/>
          <w:highlight w:val="none"/>
        </w:rPr>
        <w:t>7</w:t>
      </w:r>
      <w:r>
        <w:rPr>
          <w:rFonts w:hint="eastAsia" w:hAnsi="宋体"/>
          <w:color w:val="auto"/>
          <w:sz w:val="24"/>
          <w:highlight w:val="none"/>
        </w:rPr>
        <w:t>.</w:t>
      </w:r>
      <w:r>
        <w:rPr>
          <w:rFonts w:hint="eastAsia" w:hAnsi="宋体"/>
          <w:color w:val="auto"/>
          <w:sz w:val="24"/>
          <w:szCs w:val="24"/>
          <w:highlight w:val="none"/>
        </w:rPr>
        <w:t>因某一方原因导致变更、中止或者终止本合同的，该方应当对另一方受到的损失予以赔偿或者补偿。</w:t>
      </w:r>
    </w:p>
    <w:p w14:paraId="78687654">
      <w:pPr>
        <w:pStyle w:val="19"/>
        <w:snapToGrid w:val="0"/>
        <w:spacing w:line="360" w:lineRule="auto"/>
        <w:ind w:firstLine="470" w:firstLineChars="196"/>
        <w:rPr>
          <w:rFonts w:hAnsi="宋体" w:cs="宋体"/>
          <w:color w:val="auto"/>
          <w:sz w:val="24"/>
          <w:szCs w:val="24"/>
          <w:highlight w:val="none"/>
        </w:rPr>
      </w:pPr>
      <w:r>
        <w:rPr>
          <w:rFonts w:hAnsi="宋体" w:cs="宋体"/>
          <w:color w:val="auto"/>
          <w:sz w:val="24"/>
          <w:szCs w:val="24"/>
          <w:highlight w:val="none"/>
        </w:rPr>
        <w:t>8</w:t>
      </w:r>
      <w:r>
        <w:rPr>
          <w:rFonts w:hint="eastAsia" w:hAnsi="宋体" w:cs="宋体"/>
          <w:color w:val="auto"/>
          <w:sz w:val="24"/>
          <w:szCs w:val="24"/>
          <w:highlight w:val="none"/>
        </w:rPr>
        <w:t>.乙方提供的服务在质量保证期内造成质量问题的，由乙方负责，费用从余款或者履约保证金中扣除，不足另补。</w:t>
      </w:r>
    </w:p>
    <w:p w14:paraId="7CD08670">
      <w:pPr>
        <w:pStyle w:val="19"/>
        <w:snapToGrid w:val="0"/>
        <w:spacing w:line="360" w:lineRule="auto"/>
        <w:ind w:firstLine="470" w:firstLineChars="196"/>
        <w:rPr>
          <w:rFonts w:hAnsi="宋体"/>
          <w:color w:val="auto"/>
          <w:sz w:val="24"/>
          <w:highlight w:val="none"/>
        </w:rPr>
      </w:pPr>
      <w:r>
        <w:rPr>
          <w:rFonts w:hAnsi="宋体"/>
          <w:color w:val="auto"/>
          <w:sz w:val="24"/>
          <w:highlight w:val="none"/>
        </w:rPr>
        <w:t>9</w:t>
      </w:r>
      <w:r>
        <w:rPr>
          <w:rFonts w:hint="eastAsia" w:hAnsi="宋体"/>
          <w:color w:val="auto"/>
          <w:sz w:val="24"/>
          <w:highlight w:val="none"/>
        </w:rPr>
        <w:t>.甲乙双方有其他违约行为的，由违约方向对方支付违约货款额的5%，违约货款额的5%不足以赔偿经济损失的，须按实际损失作出赔偿。</w:t>
      </w:r>
    </w:p>
    <w:p w14:paraId="1E73D5C7">
      <w:pPr>
        <w:spacing w:line="360" w:lineRule="auto"/>
        <w:ind w:firstLine="480" w:firstLineChars="200"/>
        <w:outlineLvl w:val="2"/>
        <w:rPr>
          <w:rFonts w:ascii="宋体" w:hAnsi="宋体"/>
          <w:color w:val="auto"/>
          <w:sz w:val="24"/>
          <w:highlight w:val="none"/>
        </w:rPr>
      </w:pPr>
      <w:r>
        <w:rPr>
          <w:rFonts w:ascii="宋体" w:hAnsi="宋体"/>
          <w:color w:val="auto"/>
          <w:sz w:val="24"/>
          <w:highlight w:val="none"/>
        </w:rPr>
        <w:t>10</w:t>
      </w:r>
      <w:r>
        <w:rPr>
          <w:rFonts w:hint="eastAsia" w:ascii="宋体" w:hAnsi="宋体"/>
          <w:color w:val="auto"/>
          <w:sz w:val="24"/>
          <w:highlight w:val="none"/>
        </w:rPr>
        <w:t>.其他违约责任按《中华人民共和国民法典》处理。</w:t>
      </w:r>
    </w:p>
    <w:p w14:paraId="3EAF9AC3">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第十条  不可抗力事件处理</w:t>
      </w:r>
    </w:p>
    <w:p w14:paraId="4373FF6E">
      <w:pPr>
        <w:spacing w:line="360" w:lineRule="auto"/>
        <w:ind w:firstLine="480" w:firstLineChars="200"/>
        <w:rPr>
          <w:rFonts w:ascii="宋体" w:hAnsi="宋体"/>
          <w:b/>
          <w:color w:val="auto"/>
          <w:sz w:val="24"/>
          <w:highlight w:val="none"/>
        </w:rPr>
      </w:pPr>
      <w:r>
        <w:rPr>
          <w:rFonts w:hint="eastAsia" w:ascii="宋体" w:hAnsi="宋体" w:cs="宋体"/>
          <w:color w:val="auto"/>
          <w:kern w:val="0"/>
          <w:sz w:val="24"/>
          <w:highlight w:val="none"/>
        </w:rPr>
        <w:t>1.在合同有效期内，任何一方因不可抗力事件导致不能履行合同，则合同履行期可延长，其延长期与不可抗力影响期相同。</w:t>
      </w:r>
    </w:p>
    <w:p w14:paraId="5113A95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2.不可抗力事件发生后，应立即通知对方，并寄送有关权威机构出具的证明。</w:t>
      </w:r>
    </w:p>
    <w:p w14:paraId="7A19FF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3.不可抗力事件延续</w:t>
      </w:r>
      <w:r>
        <w:rPr>
          <w:rFonts w:ascii="宋体" w:hAnsi="宋体"/>
          <w:color w:val="auto"/>
          <w:sz w:val="24"/>
          <w:highlight w:val="none"/>
        </w:rPr>
        <w:t>60</w:t>
      </w:r>
      <w:r>
        <w:rPr>
          <w:rFonts w:hint="eastAsia" w:ascii="宋体" w:hAnsi="宋体"/>
          <w:color w:val="auto"/>
          <w:sz w:val="24"/>
          <w:highlight w:val="none"/>
        </w:rPr>
        <w:t>天以上，双方应通过友好协商，确定是否继续履行合同。</w:t>
      </w:r>
    </w:p>
    <w:p w14:paraId="02B1DA07">
      <w:pPr>
        <w:spacing w:line="360" w:lineRule="auto"/>
        <w:ind w:firstLine="482" w:firstLineChars="200"/>
        <w:outlineLvl w:val="1"/>
        <w:rPr>
          <w:rFonts w:ascii="宋体" w:hAnsi="宋体"/>
          <w:color w:val="auto"/>
          <w:sz w:val="24"/>
          <w:highlight w:val="none"/>
        </w:rPr>
      </w:pPr>
      <w:r>
        <w:rPr>
          <w:rFonts w:hint="eastAsia" w:ascii="宋体" w:hAnsi="宋体"/>
          <w:b/>
          <w:color w:val="auto"/>
          <w:sz w:val="24"/>
          <w:highlight w:val="none"/>
        </w:rPr>
        <w:t>第十一条  合同争议解决</w:t>
      </w:r>
    </w:p>
    <w:p w14:paraId="45FA6F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1.因服务质量问题发生争议的，应邀请国家认可的质量检测机构进行鉴定。服务符合标准的，鉴定费由甲方承担；服务不符合标准的，鉴定费由乙方承担。</w:t>
      </w:r>
    </w:p>
    <w:p w14:paraId="13E5380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7E3054EF">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3.诉讼期间，本合同无争议部分须继续履行。</w:t>
      </w:r>
    </w:p>
    <w:p w14:paraId="3C7D1BA2">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第十二条  合同生效及其他</w:t>
      </w:r>
    </w:p>
    <w:p w14:paraId="2FA315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1.合同自双方法定代表人或者授权代表签字并加盖单位公章或合同专用章之日起生效（委托代理人签字的须后附授权委托书，格式自拟）。</w:t>
      </w:r>
    </w:p>
    <w:p w14:paraId="1C4E8B76">
      <w:pPr>
        <w:pStyle w:val="19"/>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301883ED">
      <w:pPr>
        <w:pStyle w:val="19"/>
        <w:snapToGrid w:val="0"/>
        <w:spacing w:line="460" w:lineRule="exact"/>
        <w:ind w:firstLine="480" w:firstLineChars="200"/>
        <w:rPr>
          <w:rFonts w:hAnsi="宋体" w:cs="宋体"/>
          <w:color w:val="auto"/>
          <w:sz w:val="24"/>
          <w:szCs w:val="24"/>
          <w:highlight w:val="none"/>
          <w:lang w:val="zh-CN"/>
        </w:rPr>
      </w:pPr>
      <w:r>
        <w:rPr>
          <w:rFonts w:hint="eastAsia" w:hAnsi="宋体" w:cs="宋体"/>
          <w:color w:val="auto"/>
          <w:kern w:val="2"/>
          <w:sz w:val="24"/>
          <w:szCs w:val="24"/>
          <w:highlight w:val="none"/>
        </w:rPr>
        <w:t>3</w:t>
      </w:r>
      <w:r>
        <w:rPr>
          <w:rFonts w:hAnsi="宋体" w:cs="宋体"/>
          <w:color w:val="auto"/>
          <w:kern w:val="2"/>
          <w:sz w:val="24"/>
          <w:szCs w:val="24"/>
          <w:highlight w:val="none"/>
        </w:rPr>
        <w:t>.</w:t>
      </w:r>
      <w:r>
        <w:rPr>
          <w:rFonts w:hint="eastAsia" w:hAnsi="宋体" w:cs="宋体"/>
          <w:color w:val="auto"/>
          <w:kern w:val="2"/>
          <w:sz w:val="24"/>
          <w:szCs w:val="24"/>
          <w:highlight w:val="none"/>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4E655598">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第十三条 合同的变更、终止与转让</w:t>
      </w:r>
    </w:p>
    <w:p w14:paraId="0DC7137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1.除《中华人民共和国政府采购法》第五十条规定的情形外，本合同一经签订，甲乙双方不得擅自变更、中止或者终止。</w:t>
      </w:r>
    </w:p>
    <w:p w14:paraId="5E8B1B54">
      <w:pPr>
        <w:spacing w:line="360" w:lineRule="auto"/>
        <w:ind w:firstLine="480" w:firstLineChars="200"/>
        <w:outlineLvl w:val="2"/>
        <w:rPr>
          <w:rFonts w:ascii="宋体" w:hAnsi="宋体"/>
          <w:color w:val="auto"/>
          <w:sz w:val="24"/>
          <w:highlight w:val="none"/>
        </w:rPr>
      </w:pPr>
      <w:r>
        <w:rPr>
          <w:rFonts w:hint="eastAsia" w:ascii="宋体" w:hAnsi="宋体"/>
          <w:color w:val="auto"/>
          <w:sz w:val="24"/>
          <w:highlight w:val="none"/>
        </w:rPr>
        <w:t>2.乙方不得擅自转让其应履行的合同义务。</w:t>
      </w:r>
    </w:p>
    <w:p w14:paraId="3AF9869A">
      <w:pPr>
        <w:spacing w:line="360" w:lineRule="auto"/>
        <w:ind w:firstLine="482" w:firstLineChars="200"/>
        <w:outlineLvl w:val="1"/>
        <w:rPr>
          <w:rFonts w:ascii="宋体" w:hAnsi="宋体"/>
          <w:b/>
          <w:color w:val="auto"/>
          <w:sz w:val="24"/>
          <w:highlight w:val="none"/>
        </w:rPr>
      </w:pPr>
      <w:r>
        <w:rPr>
          <w:rFonts w:hint="eastAsia" w:ascii="宋体" w:hAnsi="宋体"/>
          <w:b/>
          <w:color w:val="auto"/>
          <w:sz w:val="24"/>
          <w:highlight w:val="none"/>
        </w:rPr>
        <w:t>第十四条 签订本合同依据</w:t>
      </w:r>
    </w:p>
    <w:p w14:paraId="1DC36A1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成交</w:t>
      </w:r>
      <w:r>
        <w:rPr>
          <w:rFonts w:hint="eastAsia" w:ascii="宋体" w:hAnsi="宋体"/>
          <w:color w:val="auto"/>
          <w:sz w:val="24"/>
          <w:highlight w:val="none"/>
        </w:rPr>
        <w:t>通知书</w:t>
      </w:r>
    </w:p>
    <w:p w14:paraId="3EE4B95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2.采购需求</w:t>
      </w:r>
    </w:p>
    <w:p w14:paraId="7C56D38E">
      <w:pPr>
        <w:spacing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.竞争性磋商报价表</w:t>
      </w:r>
    </w:p>
    <w:p w14:paraId="6A44B36F">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.商务要求偏离表和服务需求偏离表</w:t>
      </w:r>
    </w:p>
    <w:p w14:paraId="30517D4A">
      <w:pPr>
        <w:spacing w:line="360" w:lineRule="auto"/>
        <w:ind w:firstLine="480" w:firstLineChars="200"/>
        <w:rPr>
          <w:rFonts w:ascii="宋体" w:hAns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.服务方案</w:t>
      </w:r>
    </w:p>
    <w:p w14:paraId="6BAF17D3">
      <w:pPr>
        <w:spacing w:line="360" w:lineRule="auto"/>
        <w:ind w:firstLine="480" w:firstLineChars="200"/>
        <w:rPr>
          <w:rFonts w:ascii="宋体" w:hAnsi="宋体"/>
          <w:color w:val="auto"/>
          <w:sz w:val="24"/>
          <w:highlight w:val="none"/>
        </w:rPr>
      </w:pPr>
      <w:r>
        <w:rPr>
          <w:rFonts w:ascii="宋体" w:hAnsi="宋体"/>
          <w:color w:val="auto"/>
          <w:sz w:val="24"/>
          <w:highlight w:val="none"/>
        </w:rPr>
        <w:t>6</w:t>
      </w:r>
      <w:r>
        <w:rPr>
          <w:rFonts w:hint="eastAsia" w:ascii="宋体" w:hAnsi="宋体"/>
          <w:color w:val="auto"/>
          <w:sz w:val="24"/>
          <w:highlight w:val="none"/>
        </w:rPr>
        <w:t>.响应文件中的其他相关文件</w:t>
      </w:r>
    </w:p>
    <w:p w14:paraId="254478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上述合同文件互相补充和解释。如果合同文件之间存在矛盾或者不一致之处，以上述文件的排列顺序在先者为准。</w:t>
      </w:r>
    </w:p>
    <w:p w14:paraId="60CE8FE8">
      <w:pPr>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 xml:space="preserve">第十五条 </w:t>
      </w:r>
      <w:r>
        <w:rPr>
          <w:rFonts w:hint="eastAsia" w:ascii="宋体" w:hAnsi="宋体"/>
          <w:color w:val="auto"/>
          <w:sz w:val="24"/>
          <w:highlight w:val="none"/>
        </w:rPr>
        <w:t>本合同一式柒份，具有同等法律效力，甲方</w:t>
      </w:r>
      <w:r>
        <w:rPr>
          <w:rFonts w:hint="eastAsia" w:ascii="宋体" w:hAnsi="宋体"/>
          <w:color w:val="auto"/>
          <w:sz w:val="24"/>
          <w:highlight w:val="none"/>
          <w:lang w:val="en-US" w:eastAsia="zh-CN"/>
        </w:rPr>
        <w:t>肆</w:t>
      </w:r>
      <w:r>
        <w:rPr>
          <w:rFonts w:hint="eastAsia" w:ascii="宋体" w:hAnsi="宋体"/>
          <w:color w:val="auto"/>
          <w:sz w:val="24"/>
          <w:highlight w:val="none"/>
        </w:rPr>
        <w:t>份，乙方</w:t>
      </w:r>
      <w:r>
        <w:rPr>
          <w:rFonts w:hint="eastAsia" w:ascii="宋体" w:hAnsi="宋体"/>
          <w:color w:val="auto"/>
          <w:sz w:val="24"/>
          <w:highlight w:val="none"/>
          <w:lang w:val="en-US" w:eastAsia="zh-CN"/>
        </w:rPr>
        <w:t>贰</w:t>
      </w:r>
      <w:r>
        <w:rPr>
          <w:rFonts w:hint="eastAsia" w:ascii="宋体" w:hAnsi="宋体"/>
          <w:color w:val="auto"/>
          <w:sz w:val="24"/>
          <w:highlight w:val="none"/>
        </w:rPr>
        <w:t>份，采购代理机构壹份。</w:t>
      </w:r>
    </w:p>
    <w:p w14:paraId="3E4362EB">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7B7E79DD">
      <w:pPr>
        <w:pStyle w:val="13"/>
        <w:rPr>
          <w:color w:val="auto"/>
          <w:highlight w:val="none"/>
        </w:rPr>
      </w:pP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580"/>
      </w:tblGrid>
      <w:tr w14:paraId="0096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BF2694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甲方：</w:t>
            </w:r>
            <w:bookmarkStart w:id="137" w:name="OLE_LINK1"/>
            <w:r>
              <w:rPr>
                <w:rFonts w:hint="eastAsia" w:ascii="宋体" w:hAnsi="宋体" w:cs="宋体"/>
                <w:color w:val="auto"/>
                <w:kern w:val="0"/>
                <w:sz w:val="24"/>
                <w:highlight w:val="none"/>
              </w:rPr>
              <w:t>（盖章）</w:t>
            </w:r>
            <w:bookmarkEnd w:id="137"/>
          </w:p>
          <w:p w14:paraId="34E6FC5A">
            <w:pPr>
              <w:snapToGrid w:val="0"/>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广西国际商务职业技术学院</w:t>
            </w:r>
          </w:p>
          <w:p w14:paraId="390CC61F">
            <w:pPr>
              <w:snapToGrid w:val="0"/>
              <w:spacing w:line="360" w:lineRule="auto"/>
              <w:ind w:firstLine="1080" w:firstLineChars="450"/>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tc>
        <w:tc>
          <w:tcPr>
            <w:tcW w:w="4580" w:type="dxa"/>
            <w:tcBorders>
              <w:top w:val="single" w:color="auto" w:sz="4" w:space="0"/>
              <w:left w:val="single" w:color="auto" w:sz="4" w:space="0"/>
              <w:bottom w:val="single" w:color="auto" w:sz="4" w:space="0"/>
              <w:right w:val="single" w:color="auto" w:sz="4" w:space="0"/>
            </w:tcBorders>
            <w:vAlign w:val="center"/>
          </w:tcPr>
          <w:p w14:paraId="4E60B10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乙方：   （盖章）              </w:t>
            </w:r>
          </w:p>
          <w:p w14:paraId="23BECC04">
            <w:pPr>
              <w:snapToGrid w:val="0"/>
              <w:spacing w:line="360" w:lineRule="auto"/>
              <w:rPr>
                <w:rFonts w:ascii="宋体" w:hAnsi="宋体" w:cs="宋体"/>
                <w:color w:val="auto"/>
                <w:kern w:val="0"/>
                <w:sz w:val="24"/>
                <w:highlight w:val="none"/>
              </w:rPr>
            </w:pPr>
          </w:p>
          <w:p w14:paraId="5E80F76F">
            <w:pPr>
              <w:snapToGrid w:val="0"/>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 xml:space="preserve"> 年   月   日</w:t>
            </w:r>
          </w:p>
        </w:tc>
      </w:tr>
      <w:tr w14:paraId="22FE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3A1D69D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单位地址：</w:t>
            </w:r>
          </w:p>
        </w:tc>
        <w:tc>
          <w:tcPr>
            <w:tcW w:w="4580" w:type="dxa"/>
            <w:tcBorders>
              <w:top w:val="single" w:color="auto" w:sz="4" w:space="0"/>
              <w:left w:val="single" w:color="auto" w:sz="4" w:space="0"/>
              <w:bottom w:val="single" w:color="auto" w:sz="4" w:space="0"/>
              <w:right w:val="single" w:color="auto" w:sz="4" w:space="0"/>
            </w:tcBorders>
            <w:vAlign w:val="center"/>
          </w:tcPr>
          <w:p w14:paraId="4D96ABC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单位地址： </w:t>
            </w:r>
          </w:p>
        </w:tc>
      </w:tr>
      <w:tr w14:paraId="258DF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233DA0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法定代表人（签字）：</w:t>
            </w:r>
          </w:p>
        </w:tc>
        <w:tc>
          <w:tcPr>
            <w:tcW w:w="4580" w:type="dxa"/>
            <w:tcBorders>
              <w:top w:val="single" w:color="auto" w:sz="4" w:space="0"/>
              <w:left w:val="single" w:color="auto" w:sz="4" w:space="0"/>
              <w:bottom w:val="single" w:color="auto" w:sz="4" w:space="0"/>
              <w:right w:val="single" w:color="auto" w:sz="4" w:space="0"/>
            </w:tcBorders>
            <w:vAlign w:val="center"/>
          </w:tcPr>
          <w:p w14:paraId="5EA9162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法定代表人（签字）：</w:t>
            </w:r>
          </w:p>
        </w:tc>
      </w:tr>
      <w:tr w14:paraId="371D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EEDA5E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委托代理人（签字）：</w:t>
            </w:r>
          </w:p>
        </w:tc>
        <w:tc>
          <w:tcPr>
            <w:tcW w:w="4580" w:type="dxa"/>
            <w:tcBorders>
              <w:top w:val="single" w:color="auto" w:sz="4" w:space="0"/>
              <w:left w:val="single" w:color="auto" w:sz="4" w:space="0"/>
              <w:bottom w:val="single" w:color="auto" w:sz="4" w:space="0"/>
              <w:right w:val="single" w:color="auto" w:sz="4" w:space="0"/>
            </w:tcBorders>
            <w:vAlign w:val="center"/>
          </w:tcPr>
          <w:p w14:paraId="42D14C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委托代理人（签字）:</w:t>
            </w:r>
          </w:p>
        </w:tc>
      </w:tr>
      <w:tr w14:paraId="09918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5A7D596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电话：</w:t>
            </w:r>
          </w:p>
        </w:tc>
        <w:tc>
          <w:tcPr>
            <w:tcW w:w="4580" w:type="dxa"/>
            <w:tcBorders>
              <w:top w:val="single" w:color="auto" w:sz="4" w:space="0"/>
              <w:left w:val="single" w:color="auto" w:sz="4" w:space="0"/>
              <w:bottom w:val="single" w:color="auto" w:sz="4" w:space="0"/>
              <w:right w:val="single" w:color="auto" w:sz="4" w:space="0"/>
            </w:tcBorders>
            <w:vAlign w:val="center"/>
          </w:tcPr>
          <w:p w14:paraId="5A0F3BB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电话： </w:t>
            </w:r>
          </w:p>
        </w:tc>
      </w:tr>
      <w:tr w14:paraId="2EBA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1FE325B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邮箱：</w:t>
            </w:r>
          </w:p>
        </w:tc>
        <w:tc>
          <w:tcPr>
            <w:tcW w:w="4580" w:type="dxa"/>
            <w:tcBorders>
              <w:top w:val="single" w:color="auto" w:sz="4" w:space="0"/>
              <w:left w:val="single" w:color="auto" w:sz="4" w:space="0"/>
              <w:bottom w:val="single" w:color="auto" w:sz="4" w:space="0"/>
              <w:right w:val="single" w:color="auto" w:sz="4" w:space="0"/>
            </w:tcBorders>
            <w:vAlign w:val="center"/>
          </w:tcPr>
          <w:p w14:paraId="0FFD2AE0">
            <w:pPr>
              <w:snapToGrid w:val="0"/>
              <w:spacing w:line="360" w:lineRule="auto"/>
              <w:rPr>
                <w:rFonts w:ascii="宋体" w:hAnsi="宋体" w:cs="宋体"/>
                <w:color w:val="auto"/>
                <w:kern w:val="0"/>
                <w:sz w:val="24"/>
                <w:highlight w:val="none"/>
              </w:rPr>
            </w:pPr>
            <w:r>
              <w:rPr>
                <w:rFonts w:hint="eastAsia" w:ascii="宋体" w:cs="宋体"/>
                <w:color w:val="auto"/>
                <w:kern w:val="0"/>
                <w:sz w:val="24"/>
                <w:highlight w:val="none"/>
              </w:rPr>
              <w:t xml:space="preserve">邮箱： </w:t>
            </w:r>
          </w:p>
        </w:tc>
      </w:tr>
      <w:tr w14:paraId="3A51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46D749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开户银行：</w:t>
            </w:r>
          </w:p>
        </w:tc>
        <w:tc>
          <w:tcPr>
            <w:tcW w:w="4580" w:type="dxa"/>
            <w:tcBorders>
              <w:top w:val="single" w:color="auto" w:sz="4" w:space="0"/>
              <w:left w:val="single" w:color="auto" w:sz="4" w:space="0"/>
              <w:bottom w:val="single" w:color="auto" w:sz="4" w:space="0"/>
              <w:right w:val="single" w:color="auto" w:sz="4" w:space="0"/>
            </w:tcBorders>
            <w:vAlign w:val="center"/>
          </w:tcPr>
          <w:p w14:paraId="5430896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开户银行： </w:t>
            </w:r>
          </w:p>
        </w:tc>
      </w:tr>
      <w:tr w14:paraId="7282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0CFC7A6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账号：</w:t>
            </w:r>
          </w:p>
        </w:tc>
        <w:tc>
          <w:tcPr>
            <w:tcW w:w="4580" w:type="dxa"/>
            <w:tcBorders>
              <w:top w:val="single" w:color="auto" w:sz="4" w:space="0"/>
              <w:left w:val="single" w:color="auto" w:sz="4" w:space="0"/>
              <w:bottom w:val="single" w:color="auto" w:sz="4" w:space="0"/>
              <w:right w:val="single" w:color="auto" w:sz="4" w:space="0"/>
            </w:tcBorders>
            <w:vAlign w:val="center"/>
          </w:tcPr>
          <w:p w14:paraId="27F539B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账号：</w:t>
            </w:r>
          </w:p>
        </w:tc>
      </w:tr>
      <w:tr w14:paraId="331A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80" w:type="dxa"/>
            <w:tcBorders>
              <w:top w:val="single" w:color="auto" w:sz="4" w:space="0"/>
              <w:left w:val="single" w:color="auto" w:sz="4" w:space="0"/>
              <w:bottom w:val="single" w:color="auto" w:sz="4" w:space="0"/>
              <w:right w:val="single" w:color="auto" w:sz="4" w:space="0"/>
            </w:tcBorders>
            <w:vAlign w:val="center"/>
          </w:tcPr>
          <w:p w14:paraId="67511AE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邮政编码：</w:t>
            </w:r>
          </w:p>
        </w:tc>
        <w:tc>
          <w:tcPr>
            <w:tcW w:w="4580" w:type="dxa"/>
            <w:tcBorders>
              <w:top w:val="single" w:color="auto" w:sz="4" w:space="0"/>
              <w:left w:val="single" w:color="auto" w:sz="4" w:space="0"/>
              <w:bottom w:val="single" w:color="auto" w:sz="4" w:space="0"/>
              <w:right w:val="single" w:color="auto" w:sz="4" w:space="0"/>
            </w:tcBorders>
            <w:vAlign w:val="center"/>
          </w:tcPr>
          <w:p w14:paraId="5E4C06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邮政编码： </w:t>
            </w:r>
          </w:p>
        </w:tc>
      </w:tr>
    </w:tbl>
    <w:p w14:paraId="6A14E17F">
      <w:pPr>
        <w:jc w:val="center"/>
        <w:rPr>
          <w:rFonts w:ascii="宋体" w:hAnsi="宋体" w:cs="@方正仿宋简体"/>
          <w:b/>
          <w:bCs/>
          <w:color w:val="auto"/>
          <w:kern w:val="0"/>
          <w:sz w:val="32"/>
          <w:szCs w:val="32"/>
          <w:highlight w:val="none"/>
        </w:rPr>
      </w:pPr>
    </w:p>
    <w:sectPr>
      <w:pgSz w:w="11906" w:h="16838"/>
      <w:pgMar w:top="1417" w:right="1417" w:bottom="1417" w:left="1417"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方正仿宋简体">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582B">
    <w:pPr>
      <w:pStyle w:val="23"/>
      <w:tabs>
        <w:tab w:val="clear" w:pos="4153"/>
      </w:tabs>
      <w:jc w:val="both"/>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097" name="文本框 6"/>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55C7271F">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WP1bRAAAAAgEAAA8AAAAAAAAAAQAgAAAAIgAA&#10;AGRycy9kb3ducmV2LnhtbFBLAQIUABQAAAAIAIdO4kDhqHzo1gEAAJsDAAAOAAAAAAAAAAEAIAAA&#10;ACABAABkcnMvZTJvRG9jLnhtbFBLBQYAAAAABgAGAFkBAABoBQAAAAA=&#10;">
              <v:fill on="f" focussize="0,0"/>
              <v:stroke on="f"/>
              <v:imagedata o:title=""/>
              <o:lock v:ext="edit" aspectratio="f"/>
              <v:textbox inset="0mm,0mm,0mm,0mm" style="mso-fit-shape-to-text:t;">
                <w:txbxContent>
                  <w:p w14:paraId="55C7271F">
                    <w:pPr>
                      <w:pStyle w:val="23"/>
                    </w:pPr>
                    <w:r>
                      <w:fldChar w:fldCharType="begin"/>
                    </w:r>
                    <w:r>
                      <w:instrText xml:space="preserve"> PAGE  \* MERGEFORMAT </w:instrText>
                    </w:r>
                    <w:r>
                      <w:fldChar w:fldCharType="separate"/>
                    </w:r>
                    <w:r>
                      <w:t>1</w:t>
                    </w:r>
                    <w:r>
                      <w:fldChar w:fldCharType="end"/>
                    </w:r>
                  </w:p>
                </w:txbxContent>
              </v:textbox>
            </v:rect>
          </w:pict>
        </mc:Fallback>
      </mc:AlternateContent>
    </w:r>
  </w:p>
  <w:p w14:paraId="52FA26DD">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710B">
    <w:pPr>
      <w:pStyle w:val="23"/>
      <w:tabs>
        <w:tab w:val="clear" w:pos="4153"/>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635" b="0"/>
              <wp:wrapNone/>
              <wp:docPr id="4098" name="文本框 5"/>
              <wp:cNvGraphicFramePr/>
              <a:graphic xmlns:a="http://schemas.openxmlformats.org/drawingml/2006/main">
                <a:graphicData uri="http://schemas.microsoft.com/office/word/2010/wordprocessingShape">
                  <wps:wsp>
                    <wps:cNvSpPr/>
                    <wps:spPr>
                      <a:xfrm>
                        <a:off x="0" y="0"/>
                        <a:ext cx="114934" cy="153035"/>
                      </a:xfrm>
                      <a:prstGeom prst="rect">
                        <a:avLst/>
                      </a:prstGeom>
                      <a:ln>
                        <a:noFill/>
                      </a:ln>
                    </wps:spPr>
                    <wps:txbx>
                      <w:txbxContent>
                        <w:p w14:paraId="2F672D77"/>
                      </w:txbxContent>
                    </wps:txbx>
                    <wps:bodyPr vert="horz" wrap="none" lIns="0" tIns="0" rIns="0" bIns="0" anchor="t" upright="1">
                      <a:spAutoFit/>
                    </wps:bodyPr>
                  </wps:wsp>
                </a:graphicData>
              </a:graphic>
            </wp:anchor>
          </w:drawing>
        </mc:Choice>
        <mc:Fallback>
          <w:pict>
            <v:rect id="文本框 5"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X+MR0QAAAAMBAAAPAAAAAAAAAAEAIAAAACIA&#10;AABkcnMvZG93bnJldi54bWxQSwECFAAUAAAACACHTuJAb3EmztcBAACcAwAADgAAAAAAAAABACAA&#10;AAAgAQAAZHJzL2Uyb0RvYy54bWxQSwUGAAAAAAYABgBZAQAAaQUAAAAA&#10;">
              <v:fill on="f" focussize="0,0"/>
              <v:stroke on="f"/>
              <v:imagedata o:title=""/>
              <o:lock v:ext="edit" aspectratio="f"/>
              <v:textbox inset="0mm,0mm,0mm,0mm" style="mso-fit-shape-to-text:t;">
                <w:txbxContent>
                  <w:p w14:paraId="2F672D77"/>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FF4E">
    <w:pPr>
      <w:pStyle w:val="2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1270" r="635" b="635"/>
              <wp:wrapNone/>
              <wp:docPr id="4099" name="文本框 4"/>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5CBD64D7">
                          <w:pPr>
                            <w:pStyle w:val="23"/>
                            <w:jc w:val="center"/>
                          </w:pPr>
                          <w:r>
                            <w:fldChar w:fldCharType="begin"/>
                          </w:r>
                          <w:r>
                            <w:instrText xml:space="preserve"> PAGE  \* MERGEFORMAT </w:instrText>
                          </w:r>
                          <w:r>
                            <w:fldChar w:fldCharType="separate"/>
                          </w:r>
                          <w:r>
                            <w:t>30</w:t>
                          </w:r>
                          <w:r>
                            <w:fldChar w:fldCharType="end"/>
                          </w:r>
                        </w:p>
                      </w:txbxContent>
                    </wps:txbx>
                    <wps:bodyPr vert="horz" wrap="none" lIns="0" tIns="0" rIns="0" bIns="0" anchor="t" upright="1">
                      <a:spAutoFit/>
                    </wps:bodyPr>
                  </wps:wsp>
                </a:graphicData>
              </a:graphic>
            </wp:anchor>
          </w:drawing>
        </mc:Choice>
        <mc:Fallback>
          <w:pict>
            <v:rect id="文本框 4"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Fj9W0QAAAAIBAAAPAAAAAAAAAAEAIAAAACIA&#10;AABkcnMvZG93bnJldi54bWxQSwECFAAUAAAACACHTuJAfpCp9tcBAACbAwAADgAAAAAAAAABACAA&#10;AAAgAQAAZHJzL2Uyb0RvYy54bWxQSwUGAAAAAAYABgBZAQAAaQUAAAAA&#10;">
              <v:fill on="f" focussize="0,0"/>
              <v:stroke on="f"/>
              <v:imagedata o:title=""/>
              <o:lock v:ext="edit" aspectratio="f"/>
              <v:textbox inset="0mm,0mm,0mm,0mm" style="mso-fit-shape-to-text:t;">
                <w:txbxContent>
                  <w:p w14:paraId="5CBD64D7">
                    <w:pPr>
                      <w:pStyle w:val="23"/>
                      <w:jc w:val="center"/>
                    </w:pPr>
                    <w:r>
                      <w:fldChar w:fldCharType="begin"/>
                    </w:r>
                    <w:r>
                      <w:instrText xml:space="preserve"> PAGE  \* MERGEFORMAT </w:instrText>
                    </w:r>
                    <w:r>
                      <w:fldChar w:fldCharType="separate"/>
                    </w:r>
                    <w:r>
                      <w:t>30</w:t>
                    </w:r>
                    <w:r>
                      <w:fldChar w:fldCharType="end"/>
                    </w:r>
                  </w:p>
                </w:txbxContent>
              </v:textbox>
            </v:rect>
          </w:pict>
        </mc:Fallback>
      </mc:AlternateContent>
    </w:r>
  </w:p>
  <w:p w14:paraId="7C65CA1C">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9F5A">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635" b="2540"/>
              <wp:wrapNone/>
              <wp:docPr id="4100" name="文本框 3"/>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4373AB3F">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WP1bRAAAAAgEAAA8AAAAAAAAAAQAgAAAAIgAA&#10;AGRycy9kb3ducmV2LnhtbFBLAQIUABQAAAAIAIdO4kAKRHzA1gEAAJsDAAAOAAAAAAAAAAEAIAAA&#10;ACABAABkcnMvZTJvRG9jLnhtbFBLBQYAAAAABgAGAFkBAABoBQAAAAA=&#10;">
              <v:fill on="f" focussize="0,0"/>
              <v:stroke on="f"/>
              <v:imagedata o:title=""/>
              <o:lock v:ext="edit" aspectratio="f"/>
              <v:textbox inset="0mm,0mm,0mm,0mm" style="mso-fit-shape-to-text:t;">
                <w:txbxContent>
                  <w:p w14:paraId="4373AB3F">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8BDF">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BE24F">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A8892">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E457">
    <w:pPr>
      <w:pStyle w:val="2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yYTkwZjE3MDRhN2IwZWMwOTg2ODMyNTE0M2NmZDgifQ=="/>
  </w:docVars>
  <w:rsids>
    <w:rsidRoot w:val="00000000"/>
    <w:rsid w:val="00324C81"/>
    <w:rsid w:val="022C0730"/>
    <w:rsid w:val="0EBD39D4"/>
    <w:rsid w:val="13F77AE2"/>
    <w:rsid w:val="1C68210B"/>
    <w:rsid w:val="20733ECA"/>
    <w:rsid w:val="22252D7A"/>
    <w:rsid w:val="233F7DA7"/>
    <w:rsid w:val="2A7C55A8"/>
    <w:rsid w:val="2B7B675F"/>
    <w:rsid w:val="350E58F0"/>
    <w:rsid w:val="35D15757"/>
    <w:rsid w:val="39F07CBA"/>
    <w:rsid w:val="3EDC792D"/>
    <w:rsid w:val="3F9D7F9C"/>
    <w:rsid w:val="3FFB3955"/>
    <w:rsid w:val="453F7AFB"/>
    <w:rsid w:val="493475DE"/>
    <w:rsid w:val="4E4C0585"/>
    <w:rsid w:val="4F2B1C96"/>
    <w:rsid w:val="509943B6"/>
    <w:rsid w:val="51E23674"/>
    <w:rsid w:val="541D642D"/>
    <w:rsid w:val="60680A3A"/>
    <w:rsid w:val="629B32A0"/>
    <w:rsid w:val="666E201C"/>
    <w:rsid w:val="68953657"/>
    <w:rsid w:val="6951757E"/>
    <w:rsid w:val="6D7D7659"/>
    <w:rsid w:val="6E1E4BB6"/>
    <w:rsid w:val="70581D05"/>
    <w:rsid w:val="74A0760B"/>
    <w:rsid w:val="75D25411"/>
    <w:rsid w:val="7B712AF8"/>
    <w:rsid w:val="7DAA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9" w:semiHidden="0" w:name="heading 5"/>
    <w:lsdException w:qFormat="1" w:uiPriority="0" w:name="heading 6"/>
    <w:lsdException w:qFormat="1" w:unhideWhenUsed="0" w:uiPriority="0" w:semiHidden="0" w:name="heading 7"/>
    <w:lsdException w:qFormat="1" w:unhideWhenUsed="0"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nhideWhenUsed="0" w:uiPriority="0" w:semiHidden="0" w:name="HTML Preformatted"/>
    <w:lsdException w:qFormat="1" w:unhideWhenUsed="0" w:uiPriority="99"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link w:val="47"/>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1"/>
    <w:next w:val="6"/>
    <w:link w:val="48"/>
    <w:qFormat/>
    <w:uiPriority w:val="9"/>
    <w:pPr>
      <w:keepNext/>
      <w:keepLines/>
      <w:spacing w:before="280" w:after="290" w:line="376" w:lineRule="auto"/>
      <w:outlineLvl w:val="4"/>
    </w:pPr>
    <w:rPr>
      <w:b/>
      <w:bCs/>
      <w:sz w:val="28"/>
      <w:szCs w:val="28"/>
    </w:rPr>
  </w:style>
  <w:style w:type="paragraph" w:styleId="7">
    <w:name w:val="heading 7"/>
    <w:basedOn w:val="1"/>
    <w:next w:val="1"/>
    <w:link w:val="49"/>
    <w:qFormat/>
    <w:uiPriority w:val="0"/>
    <w:pPr>
      <w:keepNext/>
      <w:keepLines/>
      <w:spacing w:before="240" w:after="64" w:line="320" w:lineRule="auto"/>
      <w:outlineLvl w:val="6"/>
    </w:pPr>
    <w:rPr>
      <w:b/>
      <w:bCs/>
      <w:sz w:val="24"/>
    </w:rPr>
  </w:style>
  <w:style w:type="paragraph" w:styleId="8">
    <w:name w:val="heading 8"/>
    <w:basedOn w:val="1"/>
    <w:next w:val="1"/>
    <w:link w:val="50"/>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qFormat/>
    <w:uiPriority w:val="1"/>
  </w:style>
  <w:style w:type="table" w:default="1" w:styleId="31">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9">
    <w:name w:val="index 8"/>
    <w:basedOn w:val="1"/>
    <w:next w:val="1"/>
    <w:qFormat/>
    <w:uiPriority w:val="0"/>
    <w:pPr>
      <w:ind w:left="2940"/>
    </w:pPr>
  </w:style>
  <w:style w:type="paragraph" w:styleId="10">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1">
    <w:name w:val="annotation text"/>
    <w:basedOn w:val="1"/>
    <w:link w:val="55"/>
    <w:qFormat/>
    <w:uiPriority w:val="0"/>
    <w:pPr>
      <w:jc w:val="left"/>
    </w:pPr>
  </w:style>
  <w:style w:type="paragraph" w:styleId="12">
    <w:name w:val="Body Text 3"/>
    <w:basedOn w:val="1"/>
    <w:link w:val="56"/>
    <w:qFormat/>
    <w:uiPriority w:val="99"/>
    <w:pPr>
      <w:spacing w:after="120"/>
    </w:pPr>
    <w:rPr>
      <w:sz w:val="16"/>
      <w:szCs w:val="16"/>
    </w:rPr>
  </w:style>
  <w:style w:type="paragraph" w:styleId="13">
    <w:name w:val="Body Text"/>
    <w:basedOn w:val="1"/>
    <w:next w:val="14"/>
    <w:link w:val="52"/>
    <w:qFormat/>
    <w:uiPriority w:val="0"/>
    <w:pPr>
      <w:spacing w:after="120"/>
    </w:pPr>
  </w:style>
  <w:style w:type="paragraph" w:styleId="14">
    <w:name w:val="Body Text First Indent 2"/>
    <w:basedOn w:val="15"/>
    <w:next w:val="17"/>
    <w:link w:val="63"/>
    <w:qFormat/>
    <w:uiPriority w:val="99"/>
    <w:pPr>
      <w:ind w:firstLine="420" w:firstLineChars="200"/>
    </w:pPr>
    <w:rPr>
      <w:rFonts w:ascii="宋体" w:hAnsi="Courier New"/>
      <w:spacing w:val="-4"/>
      <w:sz w:val="18"/>
    </w:rPr>
  </w:style>
  <w:style w:type="paragraph" w:styleId="15">
    <w:name w:val="Body Text Indent"/>
    <w:basedOn w:val="1"/>
    <w:next w:val="16"/>
    <w:link w:val="57"/>
    <w:qFormat/>
    <w:uiPriority w:val="0"/>
    <w:pPr>
      <w:ind w:firstLine="830" w:firstLineChars="352"/>
    </w:pPr>
    <w:rPr>
      <w:rFonts w:ascii="仿宋_GB2312" w:eastAsia="仿宋_GB2312"/>
      <w:kern w:val="0"/>
      <w:sz w:val="32"/>
      <w:szCs w:val="20"/>
    </w:rPr>
  </w:style>
  <w:style w:type="paragraph" w:styleId="16">
    <w:name w:val="envelope return"/>
    <w:basedOn w:val="1"/>
    <w:qFormat/>
    <w:uiPriority w:val="0"/>
    <w:pPr>
      <w:snapToGrid w:val="0"/>
    </w:pPr>
    <w:rPr>
      <w:rFonts w:ascii="Arial" w:hAnsi="Arial"/>
    </w:rPr>
  </w:style>
  <w:style w:type="paragraph" w:styleId="17">
    <w:name w:val="Body Text First Indent"/>
    <w:basedOn w:val="13"/>
    <w:next w:val="1"/>
    <w:qFormat/>
    <w:uiPriority w:val="0"/>
    <w:pPr>
      <w:ind w:firstLine="420" w:firstLineChars="100"/>
    </w:pPr>
    <w:rPr>
      <w:rFonts w:ascii="Tahoma" w:hAnsi="Tahoma"/>
      <w:sz w:val="24"/>
    </w:rPr>
  </w:style>
  <w:style w:type="paragraph" w:styleId="18">
    <w:name w:val="List 2"/>
    <w:basedOn w:val="1"/>
    <w:qFormat/>
    <w:uiPriority w:val="99"/>
    <w:pPr>
      <w:ind w:left="100" w:leftChars="200" w:hanging="200" w:hangingChars="200"/>
      <w:contextualSpacing/>
    </w:pPr>
  </w:style>
  <w:style w:type="paragraph" w:styleId="19">
    <w:name w:val="Plain Text"/>
    <w:basedOn w:val="1"/>
    <w:next w:val="4"/>
    <w:link w:val="59"/>
    <w:qFormat/>
    <w:uiPriority w:val="0"/>
    <w:rPr>
      <w:rFonts w:ascii="宋体" w:hAnsi="Courier New"/>
      <w:kern w:val="0"/>
      <w:sz w:val="20"/>
      <w:szCs w:val="21"/>
    </w:rPr>
  </w:style>
  <w:style w:type="paragraph" w:styleId="20">
    <w:name w:val="Date"/>
    <w:basedOn w:val="1"/>
    <w:next w:val="1"/>
    <w:link w:val="60"/>
    <w:qFormat/>
    <w:uiPriority w:val="99"/>
    <w:pPr>
      <w:ind w:left="100" w:leftChars="2500"/>
    </w:pPr>
  </w:style>
  <w:style w:type="paragraph" w:styleId="21">
    <w:name w:val="Body Text Indent 2"/>
    <w:basedOn w:val="1"/>
    <w:link w:val="91"/>
    <w:qFormat/>
    <w:uiPriority w:val="99"/>
    <w:pPr>
      <w:spacing w:after="120" w:line="480" w:lineRule="auto"/>
      <w:ind w:left="420" w:leftChars="200"/>
    </w:pPr>
  </w:style>
  <w:style w:type="paragraph" w:styleId="22">
    <w:name w:val="Balloon Text"/>
    <w:basedOn w:val="1"/>
    <w:link w:val="61"/>
    <w:qFormat/>
    <w:uiPriority w:val="0"/>
    <w:rPr>
      <w:sz w:val="18"/>
      <w:szCs w:val="18"/>
    </w:rPr>
  </w:style>
  <w:style w:type="paragraph" w:styleId="23">
    <w:name w:val="footer"/>
    <w:basedOn w:val="1"/>
    <w:link w:val="44"/>
    <w:qFormat/>
    <w:uiPriority w:val="99"/>
    <w:pPr>
      <w:tabs>
        <w:tab w:val="center" w:pos="4153"/>
        <w:tab w:val="right" w:pos="8306"/>
      </w:tabs>
      <w:snapToGrid w:val="0"/>
      <w:jc w:val="left"/>
    </w:pPr>
    <w:rPr>
      <w:rFonts w:ascii="Calibri" w:hAnsi="Calibri" w:eastAsia="宋体" w:cs="宋体"/>
      <w:sz w:val="18"/>
      <w:szCs w:val="18"/>
    </w:rPr>
  </w:style>
  <w:style w:type="paragraph" w:styleId="24">
    <w:name w:val="header"/>
    <w:basedOn w:val="1"/>
    <w:link w:val="43"/>
    <w:qFormat/>
    <w:uiPriority w:val="99"/>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25">
    <w:name w:val="toc 1"/>
    <w:basedOn w:val="1"/>
    <w:next w:val="1"/>
    <w:qFormat/>
    <w:uiPriority w:val="39"/>
  </w:style>
  <w:style w:type="paragraph" w:styleId="26">
    <w:name w:val="footnote text"/>
    <w:basedOn w:val="1"/>
    <w:link w:val="90"/>
    <w:qFormat/>
    <w:uiPriority w:val="99"/>
    <w:pPr>
      <w:snapToGrid w:val="0"/>
      <w:jc w:val="left"/>
    </w:pPr>
    <w:rPr>
      <w:sz w:val="18"/>
      <w:szCs w:val="18"/>
    </w:rPr>
  </w:style>
  <w:style w:type="paragraph" w:styleId="27">
    <w:name w:val="toc 2"/>
    <w:basedOn w:val="1"/>
    <w:next w:val="1"/>
    <w:qFormat/>
    <w:uiPriority w:val="39"/>
    <w:pPr>
      <w:tabs>
        <w:tab w:val="right" w:leader="dot" w:pos="8296"/>
      </w:tabs>
      <w:ind w:left="420" w:leftChars="200"/>
    </w:pPr>
  </w:style>
  <w:style w:type="paragraph" w:styleId="28">
    <w:name w:val="Normal (Web)"/>
    <w:basedOn w:val="1"/>
    <w:qFormat/>
    <w:uiPriority w:val="99"/>
    <w:rPr>
      <w:rFonts w:ascii="Calibri" w:hAnsi="Calibri"/>
      <w:kern w:val="0"/>
      <w:sz w:val="24"/>
    </w:rPr>
  </w:style>
  <w:style w:type="paragraph" w:styleId="29">
    <w:name w:val="Title"/>
    <w:basedOn w:val="1"/>
    <w:next w:val="1"/>
    <w:link w:val="53"/>
    <w:qFormat/>
    <w:uiPriority w:val="0"/>
    <w:pPr>
      <w:spacing w:before="240" w:after="60"/>
      <w:jc w:val="center"/>
      <w:outlineLvl w:val="0"/>
    </w:pPr>
    <w:rPr>
      <w:rFonts w:ascii="Arial" w:hAnsi="Arial" w:cs="Arial"/>
      <w:b/>
      <w:bCs/>
      <w:sz w:val="32"/>
      <w:szCs w:val="32"/>
    </w:rPr>
  </w:style>
  <w:style w:type="paragraph" w:styleId="30">
    <w:name w:val="annotation subject"/>
    <w:basedOn w:val="11"/>
    <w:next w:val="11"/>
    <w:link w:val="62"/>
    <w:qFormat/>
    <w:uiPriority w:val="99"/>
    <w:rPr>
      <w:b/>
      <w:bCs/>
    </w:rPr>
  </w:style>
  <w:style w:type="table" w:styleId="32">
    <w:name w:val="Table Grid"/>
    <w:basedOn w:val="3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22"/>
    <w:rPr>
      <w:b/>
      <w:bCs/>
    </w:rPr>
  </w:style>
  <w:style w:type="character" w:styleId="35">
    <w:name w:val="endnote reference"/>
    <w:qFormat/>
    <w:uiPriority w:val="99"/>
    <w:rPr>
      <w:vertAlign w:val="superscript"/>
    </w:rPr>
  </w:style>
  <w:style w:type="character" w:styleId="36">
    <w:name w:val="FollowedHyperlink"/>
    <w:basedOn w:val="33"/>
    <w:qFormat/>
    <w:uiPriority w:val="99"/>
    <w:rPr>
      <w:color w:val="4D7AD8"/>
      <w:u w:val="none"/>
    </w:rPr>
  </w:style>
  <w:style w:type="character" w:styleId="37">
    <w:name w:val="HTML Definition"/>
    <w:basedOn w:val="33"/>
    <w:qFormat/>
    <w:uiPriority w:val="99"/>
    <w:rPr>
      <w:i/>
      <w:iCs/>
    </w:rPr>
  </w:style>
  <w:style w:type="character" w:styleId="38">
    <w:name w:val="Hyperlink"/>
    <w:qFormat/>
    <w:uiPriority w:val="99"/>
    <w:rPr>
      <w:color w:val="0000FF"/>
      <w:u w:val="single"/>
    </w:rPr>
  </w:style>
  <w:style w:type="character" w:styleId="39">
    <w:name w:val="HTML Code"/>
    <w:basedOn w:val="33"/>
    <w:qFormat/>
    <w:uiPriority w:val="99"/>
    <w:rPr>
      <w:rFonts w:hint="default" w:ascii="Consolas" w:hAnsi="Consolas" w:eastAsia="Consolas" w:cs="Consolas"/>
      <w:sz w:val="21"/>
      <w:szCs w:val="21"/>
    </w:rPr>
  </w:style>
  <w:style w:type="character" w:styleId="40">
    <w:name w:val="annotation reference"/>
    <w:qFormat/>
    <w:uiPriority w:val="0"/>
    <w:rPr>
      <w:sz w:val="21"/>
      <w:szCs w:val="21"/>
    </w:rPr>
  </w:style>
  <w:style w:type="character" w:styleId="41">
    <w:name w:val="HTML Keyboard"/>
    <w:basedOn w:val="33"/>
    <w:qFormat/>
    <w:uiPriority w:val="99"/>
    <w:rPr>
      <w:rFonts w:ascii="Consolas" w:hAnsi="Consolas" w:eastAsia="Consolas" w:cs="Consolas"/>
      <w:sz w:val="21"/>
      <w:szCs w:val="21"/>
    </w:rPr>
  </w:style>
  <w:style w:type="character" w:styleId="42">
    <w:name w:val="HTML Sample"/>
    <w:basedOn w:val="33"/>
    <w:qFormat/>
    <w:uiPriority w:val="99"/>
    <w:rPr>
      <w:rFonts w:hint="default" w:ascii="Consolas" w:hAnsi="Consolas" w:eastAsia="Consolas" w:cs="Consolas"/>
      <w:sz w:val="21"/>
      <w:szCs w:val="21"/>
    </w:rPr>
  </w:style>
  <w:style w:type="character" w:customStyle="1" w:styleId="43">
    <w:name w:val="页眉 字符"/>
    <w:basedOn w:val="33"/>
    <w:link w:val="24"/>
    <w:qFormat/>
    <w:uiPriority w:val="99"/>
    <w:rPr>
      <w:sz w:val="18"/>
      <w:szCs w:val="18"/>
    </w:rPr>
  </w:style>
  <w:style w:type="character" w:customStyle="1" w:styleId="44">
    <w:name w:val="页脚 字符"/>
    <w:basedOn w:val="33"/>
    <w:link w:val="23"/>
    <w:qFormat/>
    <w:uiPriority w:val="99"/>
    <w:rPr>
      <w:sz w:val="18"/>
      <w:szCs w:val="18"/>
    </w:rPr>
  </w:style>
  <w:style w:type="character" w:customStyle="1" w:styleId="45">
    <w:name w:val="标题 1 字符"/>
    <w:basedOn w:val="33"/>
    <w:link w:val="2"/>
    <w:qFormat/>
    <w:uiPriority w:val="9"/>
    <w:rPr>
      <w:rFonts w:ascii="Times New Roman" w:hAnsi="Times New Roman" w:eastAsia="宋体" w:cs="Times New Roman"/>
      <w:b/>
      <w:bCs/>
      <w:kern w:val="44"/>
      <w:sz w:val="44"/>
      <w:szCs w:val="44"/>
    </w:rPr>
  </w:style>
  <w:style w:type="character" w:customStyle="1" w:styleId="46">
    <w:name w:val="标题 2 字符"/>
    <w:basedOn w:val="33"/>
    <w:link w:val="3"/>
    <w:qFormat/>
    <w:uiPriority w:val="0"/>
    <w:rPr>
      <w:rFonts w:ascii="Cambria" w:hAnsi="Cambria" w:eastAsia="宋体" w:cs="Times New Roman"/>
      <w:b/>
      <w:bCs/>
      <w:sz w:val="32"/>
      <w:szCs w:val="32"/>
    </w:rPr>
  </w:style>
  <w:style w:type="character" w:customStyle="1" w:styleId="47">
    <w:name w:val="标题 4 字符"/>
    <w:basedOn w:val="33"/>
    <w:link w:val="4"/>
    <w:qFormat/>
    <w:uiPriority w:val="0"/>
    <w:rPr>
      <w:rFonts w:ascii="Arial" w:hAnsi="Times New Roman" w:eastAsia="黑体" w:cs="Times New Roman"/>
      <w:kern w:val="0"/>
      <w:sz w:val="28"/>
      <w:szCs w:val="20"/>
    </w:rPr>
  </w:style>
  <w:style w:type="character" w:customStyle="1" w:styleId="48">
    <w:name w:val="标题 5 字符"/>
    <w:basedOn w:val="33"/>
    <w:link w:val="5"/>
    <w:qFormat/>
    <w:uiPriority w:val="9"/>
    <w:rPr>
      <w:rFonts w:ascii="Times New Roman" w:hAnsi="Times New Roman" w:eastAsia="宋体" w:cs="Times New Roman"/>
      <w:b/>
      <w:bCs/>
      <w:sz w:val="28"/>
      <w:szCs w:val="28"/>
    </w:rPr>
  </w:style>
  <w:style w:type="character" w:customStyle="1" w:styleId="49">
    <w:name w:val="标题 7 字符"/>
    <w:basedOn w:val="33"/>
    <w:link w:val="7"/>
    <w:qFormat/>
    <w:uiPriority w:val="0"/>
    <w:rPr>
      <w:rFonts w:ascii="Times New Roman" w:hAnsi="Times New Roman" w:eastAsia="宋体" w:cs="Times New Roman"/>
      <w:b/>
      <w:bCs/>
      <w:sz w:val="24"/>
      <w:szCs w:val="24"/>
    </w:rPr>
  </w:style>
  <w:style w:type="character" w:customStyle="1" w:styleId="50">
    <w:name w:val="标题 8 字符"/>
    <w:basedOn w:val="33"/>
    <w:link w:val="8"/>
    <w:qFormat/>
    <w:uiPriority w:val="9"/>
    <w:rPr>
      <w:rFonts w:ascii="等线 Light" w:hAnsi="等线 Light" w:eastAsia="等线 Light" w:cs="Times New Roman"/>
      <w:sz w:val="24"/>
      <w:szCs w:val="24"/>
    </w:rPr>
  </w:style>
  <w:style w:type="character" w:customStyle="1" w:styleId="51">
    <w:name w:val="正文文本 字符"/>
    <w:basedOn w:val="33"/>
    <w:qFormat/>
    <w:uiPriority w:val="0"/>
    <w:rPr>
      <w:rFonts w:ascii="Times New Roman" w:hAnsi="Times New Roman" w:eastAsia="宋体" w:cs="Times New Roman"/>
      <w:szCs w:val="24"/>
    </w:rPr>
  </w:style>
  <w:style w:type="character" w:customStyle="1" w:styleId="52">
    <w:name w:val="正文文本 字符1"/>
    <w:link w:val="13"/>
    <w:qFormat/>
    <w:uiPriority w:val="0"/>
    <w:rPr>
      <w:rFonts w:ascii="Times New Roman" w:hAnsi="Times New Roman" w:eastAsia="宋体" w:cs="Times New Roman"/>
      <w:szCs w:val="24"/>
    </w:rPr>
  </w:style>
  <w:style w:type="character" w:customStyle="1" w:styleId="53">
    <w:name w:val="标题 字符"/>
    <w:basedOn w:val="33"/>
    <w:link w:val="29"/>
    <w:qFormat/>
    <w:uiPriority w:val="0"/>
    <w:rPr>
      <w:rFonts w:ascii="Arial" w:hAnsi="Arial" w:eastAsia="宋体" w:cs="Arial"/>
      <w:b/>
      <w:bCs/>
      <w:sz w:val="32"/>
      <w:szCs w:val="32"/>
    </w:rPr>
  </w:style>
  <w:style w:type="character" w:customStyle="1" w:styleId="54">
    <w:name w:val="批注文字 字符"/>
    <w:basedOn w:val="33"/>
    <w:qFormat/>
    <w:uiPriority w:val="0"/>
    <w:rPr>
      <w:rFonts w:ascii="Times New Roman" w:hAnsi="Times New Roman" w:eastAsia="宋体" w:cs="Times New Roman"/>
      <w:szCs w:val="24"/>
    </w:rPr>
  </w:style>
  <w:style w:type="character" w:customStyle="1" w:styleId="55">
    <w:name w:val="批注文字 字符2"/>
    <w:link w:val="11"/>
    <w:qFormat/>
    <w:uiPriority w:val="0"/>
    <w:rPr>
      <w:rFonts w:ascii="Times New Roman" w:hAnsi="Times New Roman" w:eastAsia="宋体" w:cs="Times New Roman"/>
      <w:szCs w:val="24"/>
    </w:rPr>
  </w:style>
  <w:style w:type="character" w:customStyle="1" w:styleId="56">
    <w:name w:val="正文文本 3 字符"/>
    <w:basedOn w:val="33"/>
    <w:link w:val="12"/>
    <w:qFormat/>
    <w:uiPriority w:val="99"/>
    <w:rPr>
      <w:rFonts w:ascii="Times New Roman" w:hAnsi="Times New Roman" w:eastAsia="宋体" w:cs="Times New Roman"/>
      <w:sz w:val="16"/>
      <w:szCs w:val="16"/>
    </w:rPr>
  </w:style>
  <w:style w:type="character" w:customStyle="1" w:styleId="57">
    <w:name w:val="正文文本缩进 字符"/>
    <w:basedOn w:val="33"/>
    <w:link w:val="15"/>
    <w:qFormat/>
    <w:uiPriority w:val="0"/>
    <w:rPr>
      <w:rFonts w:ascii="仿宋_GB2312" w:hAnsi="Times New Roman" w:eastAsia="仿宋_GB2312" w:cs="Times New Roman"/>
      <w:kern w:val="0"/>
      <w:sz w:val="32"/>
      <w:szCs w:val="20"/>
    </w:rPr>
  </w:style>
  <w:style w:type="character" w:customStyle="1" w:styleId="58">
    <w:name w:val="纯文本 字符"/>
    <w:basedOn w:val="33"/>
    <w:qFormat/>
    <w:uiPriority w:val="0"/>
    <w:rPr>
      <w:rFonts w:ascii="宋体" w:hAnsi="Courier New" w:cs="Courier New"/>
      <w:szCs w:val="24"/>
    </w:rPr>
  </w:style>
  <w:style w:type="character" w:customStyle="1" w:styleId="59">
    <w:name w:val="纯文本 字符3"/>
    <w:link w:val="19"/>
    <w:qFormat/>
    <w:uiPriority w:val="0"/>
    <w:rPr>
      <w:rFonts w:ascii="宋体" w:hAnsi="Courier New" w:eastAsia="宋体" w:cs="Times New Roman"/>
      <w:kern w:val="0"/>
      <w:sz w:val="20"/>
      <w:szCs w:val="21"/>
    </w:rPr>
  </w:style>
  <w:style w:type="character" w:customStyle="1" w:styleId="60">
    <w:name w:val="日期 字符"/>
    <w:basedOn w:val="33"/>
    <w:link w:val="20"/>
    <w:qFormat/>
    <w:uiPriority w:val="99"/>
    <w:rPr>
      <w:rFonts w:ascii="Times New Roman" w:hAnsi="Times New Roman" w:eastAsia="宋体" w:cs="Times New Roman"/>
      <w:szCs w:val="24"/>
    </w:rPr>
  </w:style>
  <w:style w:type="character" w:customStyle="1" w:styleId="61">
    <w:name w:val="批注框文本 字符"/>
    <w:basedOn w:val="33"/>
    <w:link w:val="22"/>
    <w:qFormat/>
    <w:uiPriority w:val="0"/>
    <w:rPr>
      <w:rFonts w:ascii="Times New Roman" w:hAnsi="Times New Roman" w:eastAsia="宋体" w:cs="Times New Roman"/>
      <w:sz w:val="18"/>
      <w:szCs w:val="18"/>
    </w:rPr>
  </w:style>
  <w:style w:type="character" w:customStyle="1" w:styleId="62">
    <w:name w:val="批注主题 字符"/>
    <w:basedOn w:val="54"/>
    <w:link w:val="30"/>
    <w:qFormat/>
    <w:uiPriority w:val="99"/>
    <w:rPr>
      <w:rFonts w:ascii="Times New Roman" w:hAnsi="Times New Roman" w:eastAsia="宋体" w:cs="Times New Roman"/>
      <w:b/>
      <w:bCs/>
      <w:szCs w:val="24"/>
    </w:rPr>
  </w:style>
  <w:style w:type="character" w:customStyle="1" w:styleId="63">
    <w:name w:val="正文首行缩进 2 字符"/>
    <w:basedOn w:val="57"/>
    <w:link w:val="14"/>
    <w:qFormat/>
    <w:uiPriority w:val="99"/>
    <w:rPr>
      <w:rFonts w:ascii="宋体" w:hAnsi="Courier New" w:eastAsia="仿宋_GB2312" w:cs="Times New Roman"/>
      <w:spacing w:val="-4"/>
      <w:kern w:val="0"/>
      <w:sz w:val="18"/>
      <w:szCs w:val="20"/>
    </w:rPr>
  </w:style>
  <w:style w:type="character" w:customStyle="1" w:styleId="64">
    <w:name w:val="纯文本 字符1"/>
    <w:qFormat/>
    <w:uiPriority w:val="0"/>
    <w:rPr>
      <w:rFonts w:ascii="宋体" w:hAnsi="Courier New"/>
    </w:rPr>
  </w:style>
  <w:style w:type="character" w:customStyle="1" w:styleId="65">
    <w:name w:val="正文文本 Char"/>
    <w:qFormat/>
    <w:uiPriority w:val="0"/>
    <w:rPr>
      <w:rFonts w:ascii="Times New Roman" w:hAnsi="Times New Roman"/>
      <w:kern w:val="2"/>
      <w:sz w:val="21"/>
      <w:szCs w:val="24"/>
    </w:rPr>
  </w:style>
  <w:style w:type="character" w:customStyle="1" w:styleId="66">
    <w:name w:val="纯文本 字符2"/>
    <w:qFormat/>
    <w:uiPriority w:val="0"/>
    <w:rPr>
      <w:rFonts w:ascii="宋体" w:hAnsi="Courier New" w:eastAsia="宋体" w:cs="Courier New"/>
      <w:szCs w:val="21"/>
    </w:rPr>
  </w:style>
  <w:style w:type="character" w:customStyle="1" w:styleId="67">
    <w:name w:val="apple-style-span"/>
    <w:qFormat/>
    <w:uiPriority w:val="0"/>
  </w:style>
  <w:style w:type="character" w:customStyle="1" w:styleId="68">
    <w:name w:val="批注文字 Char"/>
    <w:qFormat/>
    <w:uiPriority w:val="0"/>
    <w:rPr>
      <w:rFonts w:ascii="Times New Roman" w:hAnsi="Times New Roman"/>
      <w:kern w:val="2"/>
      <w:sz w:val="21"/>
      <w:szCs w:val="24"/>
    </w:rPr>
  </w:style>
  <w:style w:type="character" w:customStyle="1" w:styleId="69">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0">
    <w:name w:val="textcontents"/>
    <w:qFormat/>
    <w:uiPriority w:val="0"/>
  </w:style>
  <w:style w:type="character" w:customStyle="1" w:styleId="71">
    <w:name w:val="标题 1 字符1"/>
    <w:qFormat/>
    <w:uiPriority w:val="0"/>
    <w:rPr>
      <w:b/>
      <w:bCs/>
      <w:kern w:val="44"/>
      <w:sz w:val="44"/>
      <w:szCs w:val="44"/>
    </w:rPr>
  </w:style>
  <w:style w:type="character" w:customStyle="1" w:styleId="72">
    <w:name w:val="批注文字 Char2"/>
    <w:qFormat/>
    <w:uiPriority w:val="0"/>
    <w:rPr>
      <w:rFonts w:ascii="Times New Roman" w:hAnsi="Times New Roman"/>
      <w:kern w:val="2"/>
      <w:sz w:val="21"/>
      <w:szCs w:val="24"/>
    </w:rPr>
  </w:style>
  <w:style w:type="character" w:customStyle="1" w:styleId="73">
    <w:name w:val="标题 2 Char"/>
    <w:qFormat/>
    <w:uiPriority w:val="0"/>
    <w:rPr>
      <w:rFonts w:ascii="Cambria" w:hAnsi="Cambria" w:eastAsia="宋体" w:cs="Times New Roman"/>
      <w:b/>
      <w:bCs/>
      <w:kern w:val="2"/>
      <w:sz w:val="32"/>
      <w:szCs w:val="32"/>
    </w:rPr>
  </w:style>
  <w:style w:type="character" w:customStyle="1" w:styleId="74">
    <w:name w:val="纯文本 Char"/>
    <w:qFormat/>
    <w:uiPriority w:val="0"/>
    <w:rPr>
      <w:rFonts w:ascii="宋体" w:hAnsi="Courier New" w:eastAsia="宋体" w:cs="Courier New"/>
      <w:szCs w:val="21"/>
    </w:rPr>
  </w:style>
  <w:style w:type="character" w:customStyle="1" w:styleId="75">
    <w:name w:val="标题 8 Char"/>
    <w:qFormat/>
    <w:uiPriority w:val="0"/>
    <w:rPr>
      <w:rFonts w:ascii="Arial" w:hAnsi="Arial" w:eastAsia="黑体"/>
      <w:kern w:val="2"/>
      <w:sz w:val="24"/>
      <w:szCs w:val="24"/>
    </w:rPr>
  </w:style>
  <w:style w:type="character" w:customStyle="1" w:styleId="76">
    <w:name w:val="font51"/>
    <w:qFormat/>
    <w:uiPriority w:val="0"/>
    <w:rPr>
      <w:rFonts w:hint="default" w:ascii="Times New Roman" w:hAnsi="Times New Roman" w:cs="Times New Roman"/>
      <w:b/>
      <w:color w:val="000000"/>
      <w:sz w:val="18"/>
      <w:szCs w:val="18"/>
      <w:u w:val="none"/>
    </w:rPr>
  </w:style>
  <w:style w:type="character" w:customStyle="1" w:styleId="77">
    <w:name w:val="批注文字 字符1"/>
    <w:qFormat/>
    <w:uiPriority w:val="0"/>
    <w:rPr>
      <w:rFonts w:ascii="Times New Roman" w:hAnsi="Times New Roman"/>
      <w:kern w:val="2"/>
      <w:sz w:val="21"/>
      <w:szCs w:val="24"/>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9">
    <w:name w:val="List Paragraph"/>
    <w:basedOn w:val="1"/>
    <w:qFormat/>
    <w:uiPriority w:val="34"/>
    <w:pPr>
      <w:ind w:firstLine="420" w:firstLineChars="200"/>
    </w:pPr>
  </w:style>
  <w:style w:type="paragraph" w:customStyle="1" w:styleId="8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1">
    <w:name w:val="Title1"/>
    <w:basedOn w:val="1"/>
    <w:next w:val="1"/>
    <w:qFormat/>
    <w:uiPriority w:val="0"/>
    <w:pPr>
      <w:jc w:val="center"/>
      <w:outlineLvl w:val="0"/>
    </w:pPr>
    <w:rPr>
      <w:rFonts w:ascii="Calibri Light" w:hAnsi="Calibri Light" w:eastAsia="Arial Unicode MS"/>
      <w:b/>
    </w:rPr>
  </w:style>
  <w:style w:type="paragraph" w:customStyle="1" w:styleId="82">
    <w:name w:val="默认段落字体 Para Char Char Char Char Char Char Char Char Char1 Char Char Char Char"/>
    <w:basedOn w:val="1"/>
    <w:qFormat/>
    <w:uiPriority w:val="0"/>
    <w:rPr>
      <w:rFonts w:ascii="Tahoma" w:hAnsi="Tahoma"/>
      <w:sz w:val="24"/>
      <w:szCs w:val="20"/>
    </w:rPr>
  </w:style>
  <w:style w:type="paragraph" w:customStyle="1" w:styleId="83">
    <w:name w:val="样式 0正文 + 首行缩进:  2 字符1"/>
    <w:basedOn w:val="1"/>
    <w:qFormat/>
    <w:uiPriority w:val="99"/>
    <w:pPr>
      <w:spacing w:line="360" w:lineRule="auto"/>
      <w:ind w:firstLine="200" w:firstLineChars="200"/>
    </w:pPr>
    <w:rPr>
      <w:szCs w:val="20"/>
    </w:rPr>
  </w:style>
  <w:style w:type="paragraph" w:customStyle="1" w:styleId="84">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正文-公11"/>
    <w:basedOn w:val="1"/>
    <w:qFormat/>
    <w:uiPriority w:val="0"/>
    <w:pPr>
      <w:ind w:firstLine="200" w:firstLineChars="200"/>
      <w:jc w:val="left"/>
    </w:pPr>
    <w:rPr>
      <w:rFonts w:eastAsia="仿宋_GB2312"/>
    </w:rPr>
  </w:style>
  <w:style w:type="paragraph" w:customStyle="1" w:styleId="87">
    <w:name w:val="my正文"/>
    <w:basedOn w:val="1"/>
    <w:link w:val="88"/>
    <w:qFormat/>
    <w:uiPriority w:val="0"/>
    <w:pPr>
      <w:spacing w:line="360" w:lineRule="auto"/>
      <w:ind w:firstLine="480" w:firstLineChars="200"/>
    </w:pPr>
    <w:rPr>
      <w:sz w:val="24"/>
      <w:lang w:val="zh-CN"/>
    </w:rPr>
  </w:style>
  <w:style w:type="character" w:customStyle="1" w:styleId="88">
    <w:name w:val="my正文 Char"/>
    <w:link w:val="87"/>
    <w:qFormat/>
    <w:uiPriority w:val="0"/>
    <w:rPr>
      <w:rFonts w:ascii="Times New Roman" w:hAnsi="Times New Roman" w:eastAsia="宋体" w:cs="Times New Roman"/>
      <w:sz w:val="24"/>
      <w:szCs w:val="24"/>
      <w:lang w:val="zh-CN"/>
    </w:rPr>
  </w:style>
  <w:style w:type="character" w:customStyle="1" w:styleId="89">
    <w:name w:val="纯文本 Char2"/>
    <w:qFormat/>
    <w:uiPriority w:val="0"/>
    <w:rPr>
      <w:rFonts w:ascii="宋体" w:hAnsi="Courier New" w:eastAsia="宋体" w:cs="Courier New"/>
      <w:szCs w:val="21"/>
    </w:rPr>
  </w:style>
  <w:style w:type="character" w:customStyle="1" w:styleId="90">
    <w:name w:val="脚注文本 字符"/>
    <w:basedOn w:val="33"/>
    <w:link w:val="26"/>
    <w:qFormat/>
    <w:uiPriority w:val="99"/>
    <w:rPr>
      <w:rFonts w:ascii="Times New Roman" w:hAnsi="Times New Roman" w:eastAsia="宋体" w:cs="Times New Roman"/>
      <w:sz w:val="18"/>
      <w:szCs w:val="18"/>
    </w:rPr>
  </w:style>
  <w:style w:type="character" w:customStyle="1" w:styleId="91">
    <w:name w:val="正文文本缩进 2 字符"/>
    <w:basedOn w:val="33"/>
    <w:link w:val="21"/>
    <w:qFormat/>
    <w:uiPriority w:val="99"/>
    <w:rPr>
      <w:rFonts w:ascii="Times New Roman" w:hAnsi="Times New Roman" w:eastAsia="宋体" w:cs="Times New Roman"/>
      <w:szCs w:val="24"/>
    </w:rPr>
  </w:style>
  <w:style w:type="character" w:customStyle="1" w:styleId="92">
    <w:name w:val="NormalCharacter"/>
    <w:qFormat/>
    <w:uiPriority w:val="0"/>
  </w:style>
  <w:style w:type="character" w:customStyle="1" w:styleId="93">
    <w:name w:val="not-pass-node"/>
    <w:basedOn w:val="33"/>
    <w:qFormat/>
    <w:uiPriority w:val="0"/>
    <w:rPr>
      <w:bdr w:val="single" w:color="5ABD6B" w:sz="6" w:space="0"/>
      <w:shd w:val="clear" w:color="auto" w:fill="BFF3C3"/>
    </w:rPr>
  </w:style>
  <w:style w:type="character" w:customStyle="1" w:styleId="94">
    <w:name w:val="ant-select-tree-checkbox"/>
    <w:basedOn w:val="33"/>
    <w:qFormat/>
    <w:uiPriority w:val="0"/>
  </w:style>
  <w:style w:type="character" w:customStyle="1" w:styleId="95">
    <w:name w:val="hover40"/>
    <w:basedOn w:val="33"/>
    <w:qFormat/>
    <w:uiPriority w:val="0"/>
    <w:rPr>
      <w:color w:val="009DFF"/>
    </w:rPr>
  </w:style>
  <w:style w:type="character" w:customStyle="1" w:styleId="96">
    <w:name w:val="hover41"/>
    <w:basedOn w:val="33"/>
    <w:qFormat/>
    <w:uiPriority w:val="0"/>
    <w:rPr>
      <w:color w:val="009DFF"/>
    </w:rPr>
  </w:style>
  <w:style w:type="character" w:customStyle="1" w:styleId="97">
    <w:name w:val="ant-tree-switcher"/>
    <w:basedOn w:val="33"/>
    <w:qFormat/>
    <w:uiPriority w:val="0"/>
  </w:style>
  <w:style w:type="character" w:customStyle="1" w:styleId="98">
    <w:name w:val="label16"/>
    <w:basedOn w:val="33"/>
    <w:qFormat/>
    <w:uiPriority w:val="0"/>
  </w:style>
  <w:style w:type="character" w:customStyle="1" w:styleId="99">
    <w:name w:val="label17"/>
    <w:basedOn w:val="33"/>
    <w:qFormat/>
    <w:uiPriority w:val="0"/>
  </w:style>
  <w:style w:type="character" w:customStyle="1" w:styleId="100">
    <w:name w:val="first-child"/>
    <w:basedOn w:val="33"/>
    <w:qFormat/>
    <w:uiPriority w:val="0"/>
  </w:style>
  <w:style w:type="character" w:customStyle="1" w:styleId="101">
    <w:name w:val="first-child1"/>
    <w:basedOn w:val="33"/>
    <w:qFormat/>
    <w:uiPriority w:val="0"/>
    <w:rPr>
      <w:color w:val="999999"/>
      <w:sz w:val="33"/>
      <w:szCs w:val="33"/>
    </w:rPr>
  </w:style>
  <w:style w:type="character" w:customStyle="1" w:styleId="102">
    <w:name w:val="first-child2"/>
    <w:basedOn w:val="33"/>
    <w:qFormat/>
    <w:uiPriority w:val="0"/>
  </w:style>
  <w:style w:type="character" w:customStyle="1" w:styleId="103">
    <w:name w:val="wea-thumbnails-doc-content-subtitle"/>
    <w:basedOn w:val="33"/>
    <w:qFormat/>
    <w:uiPriority w:val="0"/>
    <w:rPr>
      <w:color w:val="9A9A9A"/>
    </w:rPr>
  </w:style>
  <w:style w:type="character" w:customStyle="1" w:styleId="104">
    <w:name w:val="ant-radio+*"/>
    <w:basedOn w:val="33"/>
    <w:qFormat/>
    <w:uiPriority w:val="0"/>
  </w:style>
  <w:style w:type="character" w:customStyle="1" w:styleId="105">
    <w:name w:val="nth-child(2)"/>
    <w:basedOn w:val="33"/>
    <w:qFormat/>
    <w:uiPriority w:val="0"/>
  </w:style>
  <w:style w:type="character" w:customStyle="1" w:styleId="106">
    <w:name w:val="ant-select-tree-iconele"/>
    <w:basedOn w:val="33"/>
    <w:qFormat/>
    <w:uiPriority w:val="0"/>
  </w:style>
  <w:style w:type="character" w:customStyle="1" w:styleId="107">
    <w:name w:val="top-label"/>
    <w:basedOn w:val="33"/>
    <w:qFormat/>
    <w:uiPriority w:val="0"/>
  </w:style>
  <w:style w:type="character" w:customStyle="1" w:styleId="108">
    <w:name w:val="ant-table-row-expand-icon4"/>
    <w:basedOn w:val="33"/>
    <w:qFormat/>
    <w:uiPriority w:val="0"/>
    <w:rPr>
      <w:vanish/>
    </w:rPr>
  </w:style>
  <w:style w:type="character" w:customStyle="1" w:styleId="109">
    <w:name w:val="disabled4"/>
    <w:basedOn w:val="33"/>
    <w:qFormat/>
    <w:uiPriority w:val="0"/>
    <w:rPr>
      <w:color w:val="AAAAAA"/>
      <w:shd w:val="clear" w:color="auto" w:fill="F7F7F7"/>
    </w:rPr>
  </w:style>
  <w:style w:type="character" w:customStyle="1" w:styleId="110">
    <w:name w:val="tmpztreemove_arrow"/>
    <w:basedOn w:val="33"/>
    <w:qFormat/>
    <w:uiPriority w:val="0"/>
  </w:style>
  <w:style w:type="character" w:customStyle="1" w:styleId="111">
    <w:name w:val="ant-tree-checkbox7"/>
    <w:basedOn w:val="33"/>
    <w:qFormat/>
    <w:uiPriority w:val="0"/>
  </w:style>
  <w:style w:type="character" w:customStyle="1" w:styleId="112">
    <w:name w:val="ant-tree-iconele"/>
    <w:basedOn w:val="33"/>
    <w:qFormat/>
    <w:uiPriority w:val="0"/>
  </w:style>
  <w:style w:type="character" w:customStyle="1" w:styleId="113">
    <w:name w:val="ant-select-tree-switcher"/>
    <w:basedOn w:val="33"/>
    <w:qFormat/>
    <w:uiPriority w:val="0"/>
  </w:style>
  <w:style w:type="character" w:customStyle="1" w:styleId="114">
    <w:name w:val="button"/>
    <w:basedOn w:val="33"/>
    <w:qFormat/>
    <w:uiPriority w:val="0"/>
  </w:style>
  <w:style w:type="character" w:customStyle="1" w:styleId="115">
    <w:name w:val="button1"/>
    <w:basedOn w:val="33"/>
    <w:qFormat/>
    <w:uiPriority w:val="0"/>
  </w:style>
  <w:style w:type="character" w:customStyle="1" w:styleId="116">
    <w:name w:val="first-of-type"/>
    <w:basedOn w:val="33"/>
    <w:qFormat/>
    <w:uiPriority w:val="0"/>
    <w:rPr>
      <w:color w:val="FF0000"/>
    </w:rPr>
  </w:style>
  <w:style w:type="character" w:customStyle="1" w:styleId="117">
    <w:name w:val="first-of-type1"/>
    <w:basedOn w:val="33"/>
    <w:qFormat/>
    <w:uiPriority w:val="0"/>
    <w:rPr>
      <w:color w:val="FF0000"/>
    </w:rPr>
  </w:style>
  <w:style w:type="character" w:customStyle="1" w:styleId="118">
    <w:name w:val="first-of-type2"/>
    <w:basedOn w:val="33"/>
    <w:qFormat/>
    <w:uiPriority w:val="0"/>
    <w:rPr>
      <w:color w:val="FF0000"/>
    </w:rPr>
  </w:style>
  <w:style w:type="character" w:customStyle="1" w:styleId="119">
    <w:name w:val="current-node"/>
    <w:basedOn w:val="33"/>
    <w:qFormat/>
    <w:uiPriority w:val="0"/>
    <w:rPr>
      <w:bdr w:val="single" w:color="F5B87B" w:sz="6" w:space="0"/>
      <w:shd w:val="clear" w:color="auto" w:fill="FFE8CC"/>
    </w:rPr>
  </w:style>
  <w:style w:type="character" w:customStyle="1" w:styleId="120">
    <w:name w:val="auto-pass-node"/>
    <w:basedOn w:val="33"/>
    <w:qFormat/>
    <w:uiPriority w:val="0"/>
    <w:rPr>
      <w:bdr w:val="single" w:color="DC4446" w:sz="6" w:space="0"/>
      <w:shd w:val="clear" w:color="auto" w:fill="A9E2FF"/>
    </w:rPr>
  </w:style>
  <w:style w:type="character" w:customStyle="1" w:styleId="121">
    <w:name w:val="passed-node"/>
    <w:basedOn w:val="33"/>
    <w:qFormat/>
    <w:uiPriority w:val="0"/>
    <w:rPr>
      <w:bdr w:val="single" w:color="49A8D4" w:sz="6" w:space="0"/>
      <w:shd w:val="clear" w:color="auto" w:fill="A9E3FF"/>
    </w:rPr>
  </w:style>
  <w:style w:type="character" w:customStyle="1" w:styleId="122">
    <w:name w:val="last-child1"/>
    <w:basedOn w:val="33"/>
    <w:qFormat/>
    <w:uiPriority w:val="0"/>
  </w:style>
  <w:style w:type="character" w:customStyle="1" w:styleId="123">
    <w:name w:val="wea-dropdown-triangle2"/>
    <w:basedOn w:val="33"/>
    <w:qFormat/>
    <w:uiPriority w:val="0"/>
  </w:style>
  <w:style w:type="character" w:customStyle="1" w:styleId="124">
    <w:name w:val="isrevision"/>
    <w:basedOn w:val="33"/>
    <w:qFormat/>
    <w:uiPriority w:val="0"/>
    <w:rPr>
      <w:color w:val="000000"/>
      <w:sz w:val="18"/>
      <w:szCs w:val="18"/>
      <w:bdr w:val="single" w:color="E9E9E9" w:sz="6" w:space="0"/>
      <w:shd w:val="clear" w:color="auto" w:fill="FFFFFF"/>
    </w:rPr>
  </w:style>
  <w:style w:type="character" w:customStyle="1" w:styleId="125">
    <w:name w:val="font11"/>
    <w:basedOn w:val="33"/>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6da47c-f6ac-4a00-bc2e-65259e7c5611}">
  <ds:schemaRefs/>
</ds:datastoreItem>
</file>

<file path=docProps/app.xml><?xml version="1.0" encoding="utf-8"?>
<Properties xmlns="http://schemas.openxmlformats.org/officeDocument/2006/extended-properties" xmlns:vt="http://schemas.openxmlformats.org/officeDocument/2006/docPropsVTypes">
  <Template>Normal</Template>
  <Company>dell</Company>
  <Pages>122</Pages>
  <Words>10694</Words>
  <Characters>11581</Characters>
  <Paragraphs>2371</Paragraphs>
  <TotalTime>30</TotalTime>
  <ScaleCrop>false</ScaleCrop>
  <LinksUpToDate>false</LinksUpToDate>
  <CharactersWithSpaces>11769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2023-04-14T01:42:00Z</dcterms:created>
  <dc:creator>TSE James</dc:creator>
  <cp:lastModifiedBy>/</cp:lastModifiedBy>
  <dcterms:modified xsi:type="dcterms:W3CDTF">2025-10-14T06:00:21Z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71736C87F01C4B18B4D42DBFAA6F08E2_13</vt:lpwstr>
  </property>
  <property fmtid="{D5CDD505-2E9C-101B-9397-08002B2CF9AE}" pid="4" name="KSOTemplateDocerSaveRecord">
    <vt:lpwstr>eyJoZGlkIjoiNDZhMDIyNmU4ZTg3YTRlNjI0YTAzNjQwYjBlMDVmMzkiLCJ1c2VySWQiOiIyOTc2OTEyMjcifQ==</vt:lpwstr>
  </property>
</Properties>
</file>