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59C5A">
      <w:pPr>
        <w:snapToGrid w:val="0"/>
        <w:spacing w:before="120" w:beforeLines="50" w:line="360" w:lineRule="auto"/>
        <w:jc w:val="center"/>
        <w:rPr>
          <w:rFonts w:hint="eastAsia" w:ascii="宋体" w:hAnsi="宋体" w:eastAsia="宋体" w:cs="宋体"/>
          <w:b/>
          <w:color w:val="auto"/>
          <w:sz w:val="60"/>
          <w:szCs w:val="60"/>
          <w:highlight w:val="none"/>
          <w:lang w:eastAsia="zh-CN"/>
        </w:rPr>
      </w:pPr>
      <w:bookmarkStart w:id="0" w:name="_Toc434315322"/>
      <w:r>
        <w:rPr>
          <w:rFonts w:hint="eastAsia" w:ascii="宋体" w:hAnsi="宋体" w:cs="宋体"/>
          <w:b/>
          <w:color w:val="auto"/>
          <w:sz w:val="60"/>
          <w:szCs w:val="60"/>
          <w:highlight w:val="none"/>
          <w:lang w:eastAsia="zh-CN"/>
        </w:rPr>
        <w:t>广西合士嘉项目咨询有限公司</w:t>
      </w:r>
    </w:p>
    <w:p w14:paraId="13A040F1">
      <w:pPr>
        <w:pStyle w:val="13"/>
        <w:ind w:firstLine="105"/>
        <w:jc w:val="center"/>
        <w:rPr>
          <w:rFonts w:hint="eastAsia" w:hAnsi="宋体" w:cs="宋体"/>
          <w:color w:val="auto"/>
          <w:sz w:val="24"/>
          <w:szCs w:val="24"/>
          <w:highlight w:val="none"/>
        </w:rPr>
      </w:pPr>
    </w:p>
    <w:p w14:paraId="2E5ADC29">
      <w:pPr>
        <w:spacing w:line="360" w:lineRule="auto"/>
        <w:jc w:val="center"/>
        <w:rPr>
          <w:rFonts w:hint="eastAsia" w:ascii="宋体" w:hAnsi="宋体" w:cs="宋体"/>
          <w:color w:val="auto"/>
          <w:sz w:val="22"/>
          <w:szCs w:val="28"/>
          <w:highlight w:val="none"/>
        </w:rPr>
      </w:pPr>
    </w:p>
    <w:p w14:paraId="2B23DE09">
      <w:pPr>
        <w:spacing w:line="360" w:lineRule="auto"/>
        <w:jc w:val="left"/>
        <w:rPr>
          <w:rFonts w:hint="eastAsia" w:ascii="宋体" w:hAnsi="宋体" w:cs="宋体"/>
          <w:color w:val="auto"/>
          <w:highlight w:val="none"/>
        </w:rPr>
      </w:pPr>
    </w:p>
    <w:p w14:paraId="057AFCB5">
      <w:pPr>
        <w:spacing w:line="360" w:lineRule="auto"/>
        <w:jc w:val="center"/>
        <w:rPr>
          <w:rFonts w:hint="eastAsia" w:ascii="宋体" w:hAnsi="宋体" w:cs="宋体"/>
          <w:color w:val="auto"/>
          <w:highlight w:val="none"/>
        </w:rPr>
      </w:pPr>
    </w:p>
    <w:p w14:paraId="21D142A0">
      <w:pPr>
        <w:spacing w:line="360" w:lineRule="auto"/>
        <w:jc w:val="both"/>
        <w:rPr>
          <w:rFonts w:hint="eastAsia" w:ascii="宋体" w:hAnsi="宋体" w:cs="宋体"/>
          <w:color w:val="auto"/>
          <w:highlight w:val="none"/>
        </w:rPr>
      </w:pPr>
    </w:p>
    <w:p w14:paraId="2C8097DB">
      <w:pPr>
        <w:spacing w:line="360" w:lineRule="auto"/>
        <w:jc w:val="center"/>
        <w:rPr>
          <w:rFonts w:hint="eastAsia" w:ascii="宋体" w:hAnsi="宋体" w:cs="宋体"/>
          <w:b/>
          <w:color w:val="auto"/>
          <w:sz w:val="44"/>
          <w:szCs w:val="44"/>
          <w:highlight w:val="none"/>
        </w:rPr>
      </w:pPr>
    </w:p>
    <w:p w14:paraId="5DF72BC1">
      <w:pPr>
        <w:spacing w:before="120" w:beforeLines="50"/>
        <w:jc w:val="center"/>
        <w:rPr>
          <w:rFonts w:hint="eastAsia" w:ascii="宋体" w:hAnsi="宋体" w:cs="宋体"/>
          <w:color w:val="auto"/>
          <w:highlight w:val="none"/>
        </w:rPr>
      </w:pPr>
      <w:r>
        <w:rPr>
          <w:rFonts w:hint="eastAsia" w:ascii="宋体" w:hAnsi="宋体" w:cs="宋体"/>
          <w:b/>
          <w:color w:val="auto"/>
          <w:sz w:val="84"/>
          <w:szCs w:val="84"/>
          <w:highlight w:val="none"/>
          <w:lang w:val="en-US" w:eastAsia="zh-CN"/>
        </w:rPr>
        <w:t>竞争性磋商</w:t>
      </w:r>
      <w:r>
        <w:rPr>
          <w:rFonts w:hint="eastAsia" w:ascii="宋体" w:hAnsi="宋体" w:cs="宋体"/>
          <w:b/>
          <w:color w:val="auto"/>
          <w:sz w:val="84"/>
          <w:szCs w:val="84"/>
          <w:highlight w:val="none"/>
        </w:rPr>
        <w:t>文件</w:t>
      </w:r>
    </w:p>
    <w:p w14:paraId="70FDA0E9">
      <w:pPr>
        <w:pStyle w:val="29"/>
        <w:ind w:firstLine="640"/>
        <w:rPr>
          <w:rFonts w:hint="eastAsia" w:ascii="宋体" w:hAnsi="宋体" w:eastAsia="宋体" w:cs="宋体"/>
          <w:color w:val="auto"/>
          <w:highlight w:val="none"/>
        </w:rPr>
      </w:pPr>
    </w:p>
    <w:p w14:paraId="2CEE1D09">
      <w:pPr>
        <w:pStyle w:val="29"/>
        <w:ind w:firstLine="640"/>
        <w:rPr>
          <w:rFonts w:hint="eastAsia" w:ascii="宋体" w:hAnsi="宋体" w:eastAsia="宋体" w:cs="宋体"/>
          <w:color w:val="auto"/>
          <w:highlight w:val="none"/>
        </w:rPr>
      </w:pPr>
    </w:p>
    <w:p w14:paraId="1676968D">
      <w:pPr>
        <w:pStyle w:val="29"/>
        <w:ind w:firstLine="640"/>
        <w:rPr>
          <w:rFonts w:hint="eastAsia" w:ascii="宋体" w:hAnsi="宋体" w:eastAsia="宋体" w:cs="宋体"/>
          <w:color w:val="auto"/>
          <w:highlight w:val="none"/>
        </w:rPr>
      </w:pPr>
    </w:p>
    <w:p w14:paraId="2809A4F1">
      <w:pPr>
        <w:pStyle w:val="13"/>
        <w:snapToGrid w:val="0"/>
        <w:spacing w:line="672" w:lineRule="auto"/>
        <w:rPr>
          <w:rFonts w:hint="eastAsia" w:hAnsi="宋体" w:cs="宋体"/>
          <w:color w:val="auto"/>
          <w:w w:val="95"/>
          <w:sz w:val="30"/>
          <w:szCs w:val="30"/>
          <w:highlight w:val="none"/>
          <w:lang w:eastAsia="zh-CN"/>
        </w:rPr>
      </w:pPr>
    </w:p>
    <w:p w14:paraId="44D2BD80">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项目名称：</w:t>
      </w:r>
      <w:r>
        <w:rPr>
          <w:rFonts w:hint="eastAsia" w:ascii="宋体" w:hAnsi="宋体" w:eastAsia="宋体" w:cs="宋体"/>
          <w:b/>
          <w:bCs/>
          <w:color w:val="auto"/>
          <w:w w:val="95"/>
          <w:kern w:val="2"/>
          <w:sz w:val="30"/>
          <w:szCs w:val="30"/>
          <w:highlight w:val="none"/>
          <w:lang w:val="en-US" w:eastAsia="zh-CN" w:bidi="ar-SA"/>
        </w:rPr>
        <w:t>浦北县第四小学新运动场（岭头部分）土方平整工程</w:t>
      </w:r>
      <w:r>
        <w:rPr>
          <w:rFonts w:hint="eastAsia" w:ascii="宋体" w:hAnsi="宋体" w:eastAsia="宋体" w:cs="宋体"/>
          <w:b/>
          <w:bCs/>
          <w:color w:val="auto"/>
          <w:w w:val="95"/>
          <w:sz w:val="30"/>
          <w:szCs w:val="30"/>
          <w:highlight w:val="none"/>
          <w:lang w:val="en-US" w:eastAsia="zh-CN"/>
        </w:rPr>
        <w:t xml:space="preserve">           </w:t>
      </w:r>
    </w:p>
    <w:p w14:paraId="3A239202">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项目编号：</w:t>
      </w:r>
      <w:r>
        <w:rPr>
          <w:rFonts w:hint="eastAsia" w:ascii="宋体" w:hAnsi="宋体" w:eastAsia="宋体" w:cs="宋体"/>
          <w:b/>
          <w:bCs/>
          <w:color w:val="auto"/>
          <w:w w:val="95"/>
          <w:kern w:val="2"/>
          <w:sz w:val="30"/>
          <w:szCs w:val="30"/>
          <w:highlight w:val="none"/>
          <w:lang w:val="en-US" w:eastAsia="zh-CN" w:bidi="ar-SA"/>
        </w:rPr>
        <w:fldChar w:fldCharType="begin"/>
      </w:r>
      <w:r>
        <w:rPr>
          <w:rFonts w:hint="eastAsia" w:ascii="宋体" w:hAnsi="宋体" w:eastAsia="宋体" w:cs="宋体"/>
          <w:b/>
          <w:bCs/>
          <w:color w:val="auto"/>
          <w:w w:val="95"/>
          <w:kern w:val="2"/>
          <w:sz w:val="30"/>
          <w:szCs w:val="30"/>
          <w:highlight w:val="none"/>
          <w:lang w:val="en-US" w:eastAsia="zh-CN" w:bidi="ar-SA"/>
        </w:rPr>
        <w:instrText xml:space="preserve"> HYPERLINK "https://www.gcy.zfcg.gxzf.gov.cn/gaea/api/project/flow/redirect?projectId=7226394966767697997&amp;newUrl=https://www.gcy.zfcg.gxzf.gov.cn/micro-app-back-index/blank?_flow_type_=agency&amp;_flow_projectId_=7226394966767697997&amp;_jump_page_type_=project_procurement_management_flow&amp;_app_=zcy.procurement&amp;oldUrl=https://www.gcy.zfcg.gxzf.gov.cn/project-center/_procurement_/project-result-detail/7226394966767697997&amp;utm=web-project-center-front.42c12ca3.0.0.248a6330a4f411f0892ee95888171440" \t "https://www.gcy.zfcg.gxzf.gov.cn/project-center/_procurement_/self-project/_blank" </w:instrText>
      </w:r>
      <w:r>
        <w:rPr>
          <w:rFonts w:hint="eastAsia" w:ascii="宋体" w:hAnsi="宋体" w:eastAsia="宋体" w:cs="宋体"/>
          <w:b/>
          <w:bCs/>
          <w:color w:val="auto"/>
          <w:w w:val="95"/>
          <w:kern w:val="2"/>
          <w:sz w:val="30"/>
          <w:szCs w:val="30"/>
          <w:highlight w:val="none"/>
          <w:lang w:val="en-US" w:eastAsia="zh-CN" w:bidi="ar-SA"/>
        </w:rPr>
        <w:fldChar w:fldCharType="separate"/>
      </w:r>
      <w:r>
        <w:rPr>
          <w:rFonts w:hint="eastAsia" w:ascii="宋体" w:hAnsi="宋体" w:eastAsia="宋体" w:cs="宋体"/>
          <w:b/>
          <w:bCs/>
          <w:color w:val="auto"/>
          <w:w w:val="95"/>
          <w:kern w:val="2"/>
          <w:sz w:val="30"/>
          <w:szCs w:val="30"/>
          <w:highlight w:val="none"/>
          <w:lang w:val="en-US" w:eastAsia="zh-CN" w:bidi="ar-SA"/>
        </w:rPr>
        <w:t>QZZC2025-C2-220213-GXHS</w:t>
      </w:r>
      <w:r>
        <w:rPr>
          <w:rFonts w:hint="eastAsia" w:ascii="宋体" w:hAnsi="宋体" w:eastAsia="宋体" w:cs="宋体"/>
          <w:b/>
          <w:bCs/>
          <w:color w:val="auto"/>
          <w:w w:val="95"/>
          <w:kern w:val="2"/>
          <w:sz w:val="30"/>
          <w:szCs w:val="30"/>
          <w:highlight w:val="none"/>
          <w:lang w:val="en-US" w:eastAsia="zh-CN" w:bidi="ar-SA"/>
        </w:rPr>
        <w:fldChar w:fldCharType="end"/>
      </w:r>
      <w:r>
        <w:rPr>
          <w:rFonts w:hint="eastAsia" w:ascii="宋体" w:hAnsi="宋体" w:eastAsia="宋体" w:cs="宋体"/>
          <w:b/>
          <w:bCs/>
          <w:color w:val="auto"/>
          <w:w w:val="95"/>
          <w:sz w:val="30"/>
          <w:szCs w:val="30"/>
          <w:highlight w:val="none"/>
          <w:lang w:val="en-US" w:eastAsia="zh-CN"/>
        </w:rPr>
        <w:t xml:space="preserve">         </w:t>
      </w:r>
    </w:p>
    <w:p w14:paraId="44E35813">
      <w:pPr>
        <w:pStyle w:val="13"/>
        <w:snapToGrid w:val="0"/>
        <w:spacing w:line="672" w:lineRule="auto"/>
        <w:ind w:firstLine="1010" w:firstLineChars="353"/>
        <w:rPr>
          <w:rFonts w:hint="eastAsia" w:ascii="宋体" w:hAnsi="宋体" w:eastAsia="宋体" w:cs="宋体"/>
          <w:b/>
          <w:bCs/>
          <w:color w:val="auto"/>
          <w:w w:val="95"/>
          <w:sz w:val="30"/>
          <w:szCs w:val="30"/>
          <w:highlight w:val="none"/>
          <w:lang w:eastAsia="zh-CN"/>
        </w:rPr>
      </w:pPr>
    </w:p>
    <w:p w14:paraId="51309A1D">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采购人：浦北县</w:t>
      </w:r>
      <w:r>
        <w:rPr>
          <w:rFonts w:hint="eastAsia" w:ascii="宋体" w:hAnsi="宋体" w:eastAsia="宋体" w:cs="宋体"/>
          <w:b/>
          <w:bCs/>
          <w:color w:val="auto"/>
          <w:w w:val="95"/>
          <w:sz w:val="30"/>
          <w:szCs w:val="30"/>
          <w:highlight w:val="none"/>
          <w:lang w:val="en-US" w:eastAsia="zh-CN"/>
        </w:rPr>
        <w:t>小江街道办事处</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p>
    <w:p w14:paraId="04B60950">
      <w:pPr>
        <w:pStyle w:val="13"/>
        <w:snapToGrid w:val="0"/>
        <w:spacing w:line="672" w:lineRule="auto"/>
        <w:ind w:firstLine="1010" w:firstLineChars="353"/>
        <w:rPr>
          <w:rFonts w:hint="eastAsia" w:ascii="宋体" w:hAnsi="宋体" w:eastAsia="宋体" w:cs="宋体"/>
          <w:color w:val="auto"/>
          <w:w w:val="95"/>
          <w:sz w:val="30"/>
          <w:szCs w:val="30"/>
          <w:highlight w:val="none"/>
        </w:rPr>
      </w:pPr>
      <w:r>
        <w:rPr>
          <w:rFonts w:hint="eastAsia" w:ascii="宋体" w:hAnsi="宋体" w:eastAsia="宋体" w:cs="宋体"/>
          <w:b/>
          <w:bCs/>
          <w:color w:val="auto"/>
          <w:w w:val="95"/>
          <w:sz w:val="30"/>
          <w:szCs w:val="30"/>
          <w:highlight w:val="none"/>
          <w:lang w:eastAsia="zh-CN"/>
        </w:rPr>
        <w:t>采购代理机构：</w:t>
      </w:r>
      <w:r>
        <w:rPr>
          <w:rFonts w:hint="eastAsia" w:ascii="宋体" w:hAnsi="宋体" w:eastAsia="宋体" w:cs="宋体"/>
          <w:b/>
          <w:bCs/>
          <w:color w:val="auto"/>
          <w:w w:val="95"/>
          <w:sz w:val="30"/>
          <w:szCs w:val="30"/>
          <w:highlight w:val="none"/>
          <w:lang w:val="en-US" w:eastAsia="zh-CN"/>
        </w:rPr>
        <w:t>广西合士嘉项目咨询有限公司</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eastAsia="宋体" w:cs="宋体"/>
          <w:color w:val="auto"/>
          <w:w w:val="95"/>
          <w:sz w:val="30"/>
          <w:szCs w:val="30"/>
          <w:highlight w:val="none"/>
          <w:lang w:val="en-US" w:eastAsia="zh-CN"/>
        </w:rPr>
        <w:t xml:space="preserve">      </w:t>
      </w:r>
    </w:p>
    <w:p w14:paraId="2317D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w w:val="95"/>
          <w:sz w:val="30"/>
          <w:szCs w:val="30"/>
          <w:highlight w:val="none"/>
          <w:lang w:eastAsia="zh-CN"/>
        </w:rPr>
        <w:t>202</w:t>
      </w:r>
      <w:r>
        <w:rPr>
          <w:rFonts w:hint="eastAsia" w:ascii="宋体" w:hAnsi="宋体" w:cs="宋体"/>
          <w:b/>
          <w:bCs/>
          <w:color w:val="auto"/>
          <w:w w:val="95"/>
          <w:sz w:val="30"/>
          <w:szCs w:val="30"/>
          <w:highlight w:val="none"/>
          <w:lang w:val="en-US" w:eastAsia="zh-CN"/>
        </w:rPr>
        <w:t>5</w:t>
      </w:r>
      <w:r>
        <w:rPr>
          <w:rFonts w:hint="eastAsia" w:ascii="宋体" w:hAnsi="宋体" w:eastAsia="宋体" w:cs="宋体"/>
          <w:b/>
          <w:bCs/>
          <w:color w:val="auto"/>
          <w:w w:val="95"/>
          <w:sz w:val="30"/>
          <w:szCs w:val="30"/>
          <w:highlight w:val="none"/>
          <w:lang w:eastAsia="zh-CN"/>
        </w:rPr>
        <w:t>年</w:t>
      </w:r>
      <w:r>
        <w:rPr>
          <w:rFonts w:hint="eastAsia" w:ascii="宋体" w:hAnsi="宋体" w:eastAsia="宋体" w:cs="宋体"/>
          <w:b/>
          <w:bCs/>
          <w:color w:val="auto"/>
          <w:w w:val="95"/>
          <w:sz w:val="30"/>
          <w:szCs w:val="30"/>
          <w:highlight w:val="none"/>
          <w:lang w:val="en-US" w:eastAsia="zh-CN"/>
        </w:rPr>
        <w:t>1</w:t>
      </w:r>
      <w:r>
        <w:rPr>
          <w:rFonts w:hint="eastAsia" w:ascii="宋体" w:hAnsi="宋体" w:cs="宋体"/>
          <w:b/>
          <w:bCs/>
          <w:color w:val="auto"/>
          <w:w w:val="95"/>
          <w:sz w:val="30"/>
          <w:szCs w:val="30"/>
          <w:highlight w:val="none"/>
          <w:lang w:val="en-US" w:eastAsia="zh-CN"/>
        </w:rPr>
        <w:t>0</w:t>
      </w:r>
      <w:r>
        <w:rPr>
          <w:rFonts w:hint="eastAsia" w:ascii="宋体" w:hAnsi="宋体" w:eastAsia="宋体" w:cs="宋体"/>
          <w:b/>
          <w:bCs/>
          <w:color w:val="auto"/>
          <w:w w:val="95"/>
          <w:sz w:val="30"/>
          <w:szCs w:val="30"/>
          <w:highlight w:val="none"/>
          <w:lang w:eastAsia="zh-CN"/>
        </w:rPr>
        <w:t>月</w:t>
      </w:r>
      <w:r>
        <w:rPr>
          <w:rFonts w:hint="eastAsia" w:ascii="宋体" w:hAnsi="宋体" w:eastAsia="宋体" w:cs="宋体"/>
          <w:color w:val="auto"/>
          <w:sz w:val="30"/>
          <w:szCs w:val="30"/>
          <w:highlight w:val="none"/>
        </w:rPr>
        <w:br w:type="page"/>
      </w:r>
    </w:p>
    <w:p w14:paraId="623862DF">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宋体"/>
          <w:color w:val="auto"/>
          <w:highlight w:val="none"/>
        </w:rPr>
        <w:sectPr>
          <w:pgSz w:w="11906" w:h="16838"/>
          <w:pgMar w:top="1134" w:right="1134" w:bottom="1134" w:left="1417" w:header="850" w:footer="992" w:gutter="0"/>
          <w:cols w:space="720" w:num="1"/>
          <w:docGrid w:type="lines" w:linePitch="317" w:charSpace="0"/>
        </w:sectPr>
      </w:pPr>
    </w:p>
    <w:sdt>
      <w:sdtPr>
        <w:rPr>
          <w:rFonts w:ascii="宋体" w:hAnsi="宋体" w:eastAsia="宋体" w:cs="Times New Roman"/>
          <w:color w:val="auto"/>
          <w:kern w:val="2"/>
          <w:sz w:val="28"/>
          <w:szCs w:val="36"/>
          <w:highlight w:val="none"/>
          <w:lang w:val="en-US" w:eastAsia="zh-CN" w:bidi="ar-SA"/>
        </w:rPr>
        <w:id w:val="147475717"/>
        <w15:color w:val="DBDBDB"/>
        <w:docPartObj>
          <w:docPartGallery w:val="Table of Contents"/>
          <w:docPartUnique/>
        </w:docPartObj>
      </w:sdtPr>
      <w:sdtEndPr>
        <w:rPr>
          <w:rFonts w:ascii="宋体" w:hAnsi="宋体" w:eastAsia="宋体" w:cs="宋体"/>
          <w:color w:val="auto"/>
          <w:kern w:val="2"/>
          <w:sz w:val="28"/>
          <w:szCs w:val="40"/>
          <w:highlight w:val="none"/>
          <w:lang w:val="en-US" w:eastAsia="zh-CN" w:bidi="ar-SA"/>
        </w:rPr>
      </w:sdtEndPr>
      <w:sdtContent>
        <w:p w14:paraId="6C22FD5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color w:val="auto"/>
              <w:sz w:val="44"/>
              <w:szCs w:val="44"/>
              <w:highlight w:val="none"/>
            </w:rPr>
          </w:pPr>
          <w:r>
            <w:rPr>
              <w:rFonts w:ascii="宋体" w:hAnsi="宋体" w:eastAsia="宋体"/>
              <w:b/>
              <w:bCs/>
              <w:color w:val="auto"/>
              <w:sz w:val="44"/>
              <w:szCs w:val="44"/>
              <w:highlight w:val="none"/>
            </w:rPr>
            <w:t>目</w:t>
          </w:r>
          <w:r>
            <w:rPr>
              <w:rFonts w:hint="eastAsia" w:ascii="宋体" w:hAnsi="宋体"/>
              <w:b/>
              <w:bCs/>
              <w:color w:val="auto"/>
              <w:sz w:val="44"/>
              <w:szCs w:val="44"/>
              <w:highlight w:val="none"/>
              <w:lang w:val="en-US" w:eastAsia="zh-CN"/>
            </w:rPr>
            <w:t xml:space="preserve">  </w:t>
          </w:r>
          <w:r>
            <w:rPr>
              <w:rFonts w:ascii="宋体" w:hAnsi="宋体" w:eastAsia="宋体"/>
              <w:b/>
              <w:bCs/>
              <w:color w:val="auto"/>
              <w:sz w:val="44"/>
              <w:szCs w:val="44"/>
              <w:highlight w:val="none"/>
            </w:rPr>
            <w:t>录</w:t>
          </w:r>
        </w:p>
        <w:p w14:paraId="4C87B5D5">
          <w:pPr>
            <w:pStyle w:val="20"/>
            <w:tabs>
              <w:tab w:val="right" w:leader="dot" w:pos="9799"/>
            </w:tabs>
            <w:rPr>
              <w:rFonts w:hint="eastAsia" w:ascii="宋体" w:hAnsi="宋体" w:eastAsia="宋体" w:cs="宋体"/>
              <w:color w:val="auto"/>
              <w:sz w:val="28"/>
              <w:szCs w:val="36"/>
              <w:highlight w:val="none"/>
            </w:rPr>
          </w:pPr>
          <w:r>
            <w:rPr>
              <w:rFonts w:ascii="宋体" w:hAnsi="宋体" w:cs="宋体"/>
              <w:color w:val="auto"/>
              <w:sz w:val="32"/>
              <w:szCs w:val="40"/>
              <w:highlight w:val="none"/>
            </w:rPr>
            <w:fldChar w:fldCharType="begin"/>
          </w:r>
          <w:r>
            <w:rPr>
              <w:rFonts w:ascii="宋体" w:hAnsi="宋体" w:cs="宋体"/>
              <w:color w:val="auto"/>
              <w:sz w:val="32"/>
              <w:szCs w:val="40"/>
              <w:highlight w:val="none"/>
            </w:rPr>
            <w:instrText xml:space="preserve">TOC \o "1-1" \h \u </w:instrText>
          </w:r>
          <w:r>
            <w:rPr>
              <w:rFonts w:ascii="宋体" w:hAnsi="宋体" w:cs="宋体"/>
              <w:color w:val="auto"/>
              <w:sz w:val="32"/>
              <w:szCs w:val="40"/>
              <w:highlight w:val="none"/>
            </w:rPr>
            <w:fldChar w:fldCharType="separate"/>
          </w:r>
        </w:p>
        <w:p w14:paraId="5F4874C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_Toc29312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_Toc29312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FE6152B">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_Toc5416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第二章 </w:t>
          </w:r>
          <w:r>
            <w:rPr>
              <w:rFonts w:hint="eastAsia" w:ascii="宋体" w:hAnsi="宋体" w:cs="宋体"/>
              <w:bCs/>
              <w:color w:val="auto"/>
              <w:spacing w:val="-14"/>
              <w:kern w:val="0"/>
              <w:position w:val="-6"/>
              <w:sz w:val="24"/>
              <w:szCs w:val="24"/>
              <w:highlight w:val="none"/>
              <w:lang w:val="en-US" w:eastAsia="zh-CN"/>
            </w:rPr>
            <w:t xml:space="preserve">  供应商</w:t>
          </w:r>
          <w:r>
            <w:rPr>
              <w:rFonts w:hint="eastAsia" w:ascii="宋体" w:hAnsi="宋体" w:eastAsia="宋体" w:cs="宋体"/>
              <w:bCs/>
              <w:color w:val="auto"/>
              <w:spacing w:val="-14"/>
              <w:kern w:val="0"/>
              <w:position w:val="-6"/>
              <w:sz w:val="24"/>
              <w:szCs w:val="24"/>
              <w:highlight w:val="none"/>
            </w:rPr>
            <w:t>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C5B5D77">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第三章  </w:t>
          </w:r>
          <w:r>
            <w:rPr>
              <w:rFonts w:hint="eastAsia" w:ascii="宋体" w:hAnsi="宋体" w:cs="宋体"/>
              <w:bCs/>
              <w:color w:val="auto"/>
              <w:spacing w:val="-14"/>
              <w:kern w:val="0"/>
              <w:position w:val="-6"/>
              <w:sz w:val="24"/>
              <w:szCs w:val="24"/>
              <w:highlight w:val="none"/>
              <w:lang w:val="en-US" w:eastAsia="zh-CN"/>
            </w:rPr>
            <w:t xml:space="preserve"> </w:t>
          </w:r>
          <w:r>
            <w:rPr>
              <w:rFonts w:hint="eastAsia" w:ascii="宋体" w:hAnsi="宋体" w:eastAsia="宋体" w:cs="宋体"/>
              <w:bCs/>
              <w:color w:val="auto"/>
              <w:spacing w:val="-14"/>
              <w:kern w:val="0"/>
              <w:position w:val="-6"/>
              <w:sz w:val="24"/>
              <w:szCs w:val="24"/>
              <w:highlight w:val="none"/>
            </w:rPr>
            <w:t>项目基本情况及要求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095CD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_Toc20069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第四章</w:t>
          </w:r>
          <w:r>
            <w:rPr>
              <w:rFonts w:hint="eastAsia" w:ascii="宋体" w:hAnsi="宋体" w:eastAsia="宋体" w:cs="宋体"/>
              <w:bCs/>
              <w:color w:val="auto"/>
              <w:kern w:val="0"/>
              <w:sz w:val="24"/>
              <w:szCs w:val="24"/>
              <w:highlight w:val="none"/>
            </w:rPr>
            <w:t xml:space="preserve"> </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4EAC6F2">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_Toc15543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rPr>
            <w:t>第</w:t>
          </w:r>
          <w:r>
            <w:rPr>
              <w:rFonts w:hint="eastAsia" w:ascii="宋体" w:hAnsi="宋体" w:eastAsia="宋体" w:cs="宋体"/>
              <w:bCs/>
              <w:color w:val="auto"/>
              <w:kern w:val="0"/>
              <w:sz w:val="24"/>
              <w:szCs w:val="24"/>
              <w:highlight w:val="none"/>
              <w:lang w:val="en-US" w:eastAsia="zh-CN"/>
            </w:rPr>
            <w:t>五</w:t>
          </w:r>
          <w:r>
            <w:rPr>
              <w:rFonts w:hint="eastAsia" w:ascii="宋体" w:hAnsi="宋体" w:eastAsia="宋体" w:cs="宋体"/>
              <w:bCs/>
              <w:color w:val="auto"/>
              <w:kern w:val="0"/>
              <w:sz w:val="24"/>
              <w:szCs w:val="24"/>
              <w:highlight w:val="none"/>
            </w:rPr>
            <w:t>章</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 xml:space="preserve">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_Toc15543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9E53216">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pacing w:val="-14"/>
              <w:kern w:val="0"/>
              <w:position w:val="-6"/>
              <w:sz w:val="24"/>
              <w:szCs w:val="24"/>
              <w:highlight w:val="none"/>
            </w:rPr>
            <w:t xml:space="preserve">第六章 </w:t>
          </w:r>
          <w:r>
            <w:rPr>
              <w:rFonts w:hint="eastAsia" w:ascii="宋体" w:hAnsi="宋体" w:cs="宋体"/>
              <w:color w:val="auto"/>
              <w:spacing w:val="-14"/>
              <w:kern w:val="0"/>
              <w:position w:val="-6"/>
              <w:sz w:val="24"/>
              <w:szCs w:val="24"/>
              <w:highlight w:val="none"/>
              <w:lang w:val="en-US" w:eastAsia="zh-CN"/>
            </w:rPr>
            <w:t xml:space="preserve">  </w:t>
          </w:r>
          <w:r>
            <w:rPr>
              <w:rFonts w:hint="eastAsia" w:ascii="宋体" w:hAnsi="宋体" w:eastAsia="宋体" w:cs="宋体"/>
              <w:color w:val="auto"/>
              <w:spacing w:val="-14"/>
              <w:kern w:val="0"/>
              <w:position w:val="-6"/>
              <w:sz w:val="24"/>
              <w:szCs w:val="24"/>
              <w:highlight w:val="none"/>
            </w:rPr>
            <w:t>合同主要条款 (参考格式)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B1D5DCC">
          <w:pPr>
            <w:pStyle w:val="20"/>
            <w:tabs>
              <w:tab w:val="right" w:leader="dot" w:pos="9799"/>
            </w:tabs>
            <w:spacing w:line="360" w:lineRule="auto"/>
            <w:rPr>
              <w:color w:val="auto"/>
              <w:sz w:val="20"/>
              <w:szCs w:val="22"/>
              <w:highlight w:val="none"/>
            </w:rPr>
          </w:pPr>
        </w:p>
        <w:p w14:paraId="69EF90EE">
          <w:pPr>
            <w:pStyle w:val="20"/>
            <w:keepNext w:val="0"/>
            <w:keepLines w:val="0"/>
            <w:pageBreakBefore w:val="0"/>
            <w:tabs>
              <w:tab w:val="center" w:pos="4899"/>
            </w:tabs>
            <w:kinsoku/>
            <w:wordWrap/>
            <w:overflowPunct/>
            <w:topLinePunct w:val="0"/>
            <w:autoSpaceDE/>
            <w:autoSpaceDN/>
            <w:bidi w:val="0"/>
            <w:adjustRightInd/>
            <w:snapToGrid/>
            <w:spacing w:line="360" w:lineRule="auto"/>
            <w:textAlignment w:val="auto"/>
            <w:rPr>
              <w:rFonts w:ascii="宋体" w:hAnsi="宋体" w:cs="宋体"/>
              <w:color w:val="auto"/>
              <w:sz w:val="32"/>
              <w:szCs w:val="40"/>
              <w:highlight w:val="none"/>
            </w:rPr>
          </w:pPr>
          <w:r>
            <w:rPr>
              <w:rFonts w:ascii="宋体" w:hAnsi="宋体" w:cs="宋体"/>
              <w:color w:val="auto"/>
              <w:szCs w:val="40"/>
              <w:highlight w:val="none"/>
            </w:rPr>
            <w:fldChar w:fldCharType="end"/>
          </w:r>
          <w:r>
            <w:rPr>
              <w:rFonts w:hint="eastAsia" w:ascii="宋体" w:hAnsi="宋体" w:cs="宋体"/>
              <w:color w:val="auto"/>
              <w:szCs w:val="40"/>
              <w:highlight w:val="none"/>
              <w:lang w:eastAsia="zh-CN"/>
            </w:rPr>
            <w:tab/>
          </w:r>
        </w:p>
      </w:sdtContent>
    </w:sdt>
    <w:p w14:paraId="366B8D7B">
      <w:pPr>
        <w:pStyle w:val="10"/>
        <w:tabs>
          <w:tab w:val="left" w:pos="4386"/>
        </w:tabs>
        <w:autoSpaceDE/>
        <w:autoSpaceDN/>
        <w:adjustRightInd/>
        <w:spacing w:line="320" w:lineRule="exact"/>
        <w:jc w:val="left"/>
        <w:rPr>
          <w:rFonts w:hint="eastAsia" w:hAnsi="宋体" w:eastAsia="宋体" w:cs="宋体"/>
          <w:b/>
          <w:bCs/>
          <w:color w:val="auto"/>
          <w:spacing w:val="-14"/>
          <w:position w:val="-6"/>
          <w:sz w:val="36"/>
          <w:szCs w:val="36"/>
          <w:highlight w:val="none"/>
          <w:lang w:eastAsia="zh-CN"/>
        </w:rPr>
      </w:pPr>
      <w:r>
        <w:rPr>
          <w:rFonts w:hint="eastAsia" w:hAnsi="宋体" w:cs="宋体"/>
          <w:b/>
          <w:bCs/>
          <w:color w:val="auto"/>
          <w:spacing w:val="-14"/>
          <w:position w:val="-6"/>
          <w:sz w:val="36"/>
          <w:szCs w:val="36"/>
          <w:highlight w:val="none"/>
          <w:lang w:eastAsia="zh-CN"/>
        </w:rPr>
        <w:tab/>
      </w:r>
    </w:p>
    <w:p w14:paraId="3A74561A">
      <w:pPr>
        <w:tabs>
          <w:tab w:val="left" w:pos="6703"/>
        </w:tabs>
        <w:bidi w:val="0"/>
        <w:jc w:val="left"/>
        <w:rPr>
          <w:rFonts w:hint="eastAsia" w:eastAsia="宋体"/>
          <w:color w:val="auto"/>
          <w:highlight w:val="none"/>
          <w:lang w:eastAsia="zh-CN"/>
        </w:rPr>
        <w:sectPr>
          <w:headerReference r:id="rId3" w:type="default"/>
          <w:footerReference r:id="rId4" w:type="default"/>
          <w:pgSz w:w="11906" w:h="16838"/>
          <w:pgMar w:top="1440" w:right="1080" w:bottom="1440" w:left="460" w:header="851" w:footer="794" w:gutter="567"/>
          <w:pgNumType w:fmt="decimal" w:start="1"/>
          <w:cols w:space="720" w:num="1"/>
        </w:sectPr>
      </w:pPr>
      <w:r>
        <w:rPr>
          <w:rFonts w:hint="eastAsia"/>
          <w:color w:val="auto"/>
          <w:highlight w:val="none"/>
          <w:lang w:eastAsia="zh-CN"/>
        </w:rPr>
        <w:tab/>
      </w:r>
    </w:p>
    <w:p w14:paraId="569CBA14">
      <w:pPr>
        <w:pStyle w:val="2"/>
        <w:keepNext/>
        <w:keepLines/>
        <w:pageBreakBefore w:val="0"/>
        <w:widowControl w:val="0"/>
        <w:kinsoku/>
        <w:wordWrap/>
        <w:overflowPunct/>
        <w:topLinePunct w:val="0"/>
        <w:autoSpaceDE/>
        <w:autoSpaceDN/>
        <w:bidi w:val="0"/>
        <w:adjustRightInd/>
        <w:snapToGrid/>
        <w:spacing w:before="0" w:after="0" w:afterLines="50" w:line="520" w:lineRule="exact"/>
        <w:jc w:val="center"/>
        <w:textAlignment w:val="auto"/>
        <w:rPr>
          <w:rFonts w:hint="eastAsia"/>
          <w:color w:val="auto"/>
          <w:sz w:val="32"/>
          <w:szCs w:val="32"/>
          <w:highlight w:val="none"/>
          <w:lang w:eastAsia="zh-CN"/>
        </w:rPr>
      </w:pPr>
      <w:bookmarkStart w:id="1" w:name="_Toc29312"/>
      <w:r>
        <w:rPr>
          <w:rFonts w:hint="eastAsia"/>
          <w:color w:val="auto"/>
          <w:sz w:val="32"/>
          <w:szCs w:val="32"/>
          <w:highlight w:val="none"/>
        </w:rPr>
        <w:t>第一章</w:t>
      </w:r>
      <w:bookmarkEnd w:id="0"/>
      <w:bookmarkEnd w:id="1"/>
      <w:bookmarkStart w:id="2" w:name="_Toc434315323"/>
      <w:r>
        <w:rPr>
          <w:rFonts w:hint="eastAsia"/>
          <w:color w:val="auto"/>
          <w:sz w:val="32"/>
          <w:szCs w:val="32"/>
          <w:highlight w:val="none"/>
          <w:lang w:val="en-US" w:eastAsia="zh-CN"/>
        </w:rPr>
        <w:t xml:space="preserve">  竞争性</w:t>
      </w:r>
      <w:r>
        <w:rPr>
          <w:rFonts w:hint="eastAsia"/>
          <w:color w:val="auto"/>
          <w:sz w:val="32"/>
          <w:szCs w:val="32"/>
          <w:highlight w:val="none"/>
          <w:lang w:eastAsia="zh-CN"/>
        </w:rPr>
        <w:t>磋商公告</w:t>
      </w:r>
    </w:p>
    <w:p w14:paraId="75D176D6">
      <w:pPr>
        <w:keepNext w:val="0"/>
        <w:keepLines w:val="0"/>
        <w:pageBreakBefore w:val="0"/>
        <w:widowControl w:val="0"/>
        <w:kinsoku/>
        <w:wordWrap/>
        <w:overflowPunct/>
        <w:topLinePunct w:val="0"/>
        <w:autoSpaceDE/>
        <w:autoSpaceDN/>
        <w:bidi w:val="0"/>
        <w:adjustRightInd/>
        <w:snapToGrid/>
        <w:spacing w:after="0" w:afterLines="50" w:line="460" w:lineRule="exact"/>
        <w:ind w:firstLine="602" w:firstLineChars="200"/>
        <w:jc w:val="left"/>
        <w:textAlignment w:val="auto"/>
        <w:rPr>
          <w:color w:val="auto"/>
          <w:sz w:val="30"/>
          <w:szCs w:val="30"/>
          <w:highlight w:val="none"/>
        </w:rPr>
      </w:pPr>
      <w:r>
        <w:rPr>
          <w:rFonts w:hint="eastAsia" w:ascii="宋体" w:hAnsi="宋体"/>
          <w:b/>
          <w:color w:val="auto"/>
          <w:sz w:val="30"/>
          <w:szCs w:val="30"/>
          <w:highlight w:val="none"/>
          <w:lang w:val="en-US" w:eastAsia="zh-CN"/>
        </w:rPr>
        <w:t>广西合士嘉项目咨询有限公司</w:t>
      </w:r>
      <w:r>
        <w:rPr>
          <w:rFonts w:hint="eastAsia" w:ascii="宋体" w:hAnsi="宋体"/>
          <w:b/>
          <w:color w:val="auto"/>
          <w:sz w:val="30"/>
          <w:szCs w:val="30"/>
          <w:highlight w:val="none"/>
        </w:rPr>
        <w:t>关于</w:t>
      </w:r>
      <w:bookmarkStart w:id="3" w:name="_Toc2948"/>
      <w:r>
        <w:rPr>
          <w:rFonts w:hint="eastAsia" w:ascii="宋体" w:hAnsi="宋体" w:eastAsia="宋体" w:cs="Times New Roman"/>
          <w:b/>
          <w:color w:val="auto"/>
          <w:kern w:val="2"/>
          <w:sz w:val="30"/>
          <w:szCs w:val="30"/>
          <w:highlight w:val="none"/>
          <w:lang w:val="en-US" w:eastAsia="zh-CN" w:bidi="ar-SA"/>
        </w:rPr>
        <w:t>浦北县第四小学新运动场（岭头部分）土方平整工程</w:t>
      </w:r>
      <w:r>
        <w:rPr>
          <w:rFonts w:hint="eastAsia" w:ascii="宋体" w:hAnsi="宋体"/>
          <w:b/>
          <w:bCs/>
          <w:color w:val="auto"/>
          <w:sz w:val="30"/>
          <w:szCs w:val="30"/>
          <w:highlight w:val="none"/>
          <w:u w:val="none"/>
          <w:lang w:val="en-US" w:eastAsia="zh-CN"/>
        </w:rPr>
        <w:t>（</w:t>
      </w:r>
      <w:r>
        <w:rPr>
          <w:rFonts w:hint="eastAsia" w:ascii="宋体" w:hAnsi="宋体" w:eastAsia="宋体" w:cs="宋体"/>
          <w:b/>
          <w:bCs/>
          <w:color w:val="auto"/>
          <w:w w:val="95"/>
          <w:kern w:val="2"/>
          <w:sz w:val="30"/>
          <w:szCs w:val="30"/>
          <w:highlight w:val="none"/>
          <w:lang w:val="en-US" w:eastAsia="zh-CN" w:bidi="ar-SA"/>
        </w:rPr>
        <w:fldChar w:fldCharType="begin"/>
      </w:r>
      <w:r>
        <w:rPr>
          <w:rFonts w:hint="eastAsia" w:ascii="宋体" w:hAnsi="宋体" w:eastAsia="宋体" w:cs="宋体"/>
          <w:b/>
          <w:bCs/>
          <w:color w:val="auto"/>
          <w:w w:val="95"/>
          <w:kern w:val="2"/>
          <w:sz w:val="30"/>
          <w:szCs w:val="30"/>
          <w:highlight w:val="none"/>
          <w:lang w:val="en-US" w:eastAsia="zh-CN" w:bidi="ar-SA"/>
        </w:rPr>
        <w:instrText xml:space="preserve"> HYPERLINK "https://www.gcy.zfcg.gxzf.gov.cn/gaea/api/project/flow/redirect?projectId=7226394966767697997&amp;newUrl=https://www.gcy.zfcg.gxzf.gov.cn/micro-app-back-index/blank?_flow_type_=agency&amp;_flow_projectId_=7226394966767697997&amp;_jump_page_type_=project_procurement_management_flow&amp;_app_=zcy.procurement&amp;oldUrl=https://www.gcy.zfcg.gxzf.gov.cn/project-center/_procurement_/project-result-detail/7226394966767697997&amp;utm=web-project-center-front.42c12ca3.0.0.248a6330a4f411f0892ee95888171440" \t "https://www.gcy.zfcg.gxzf.gov.cn/project-center/_procurement_/self-project/_blank" </w:instrText>
      </w:r>
      <w:r>
        <w:rPr>
          <w:rFonts w:hint="eastAsia" w:ascii="宋体" w:hAnsi="宋体" w:eastAsia="宋体" w:cs="宋体"/>
          <w:b/>
          <w:bCs/>
          <w:color w:val="auto"/>
          <w:w w:val="95"/>
          <w:kern w:val="2"/>
          <w:sz w:val="30"/>
          <w:szCs w:val="30"/>
          <w:highlight w:val="none"/>
          <w:lang w:val="en-US" w:eastAsia="zh-CN" w:bidi="ar-SA"/>
        </w:rPr>
        <w:fldChar w:fldCharType="separate"/>
      </w:r>
      <w:r>
        <w:rPr>
          <w:rFonts w:hint="eastAsia" w:ascii="宋体" w:hAnsi="宋体" w:eastAsia="宋体" w:cs="宋体"/>
          <w:b/>
          <w:bCs/>
          <w:color w:val="auto"/>
          <w:w w:val="95"/>
          <w:kern w:val="2"/>
          <w:sz w:val="30"/>
          <w:szCs w:val="30"/>
          <w:highlight w:val="none"/>
          <w:lang w:val="en-US" w:eastAsia="zh-CN" w:bidi="ar-SA"/>
        </w:rPr>
        <w:t>QZZC2025-C2-220213-GXHS</w:t>
      </w:r>
      <w:r>
        <w:rPr>
          <w:rFonts w:hint="eastAsia" w:ascii="宋体" w:hAnsi="宋体" w:eastAsia="宋体" w:cs="宋体"/>
          <w:b/>
          <w:bCs/>
          <w:color w:val="auto"/>
          <w:w w:val="95"/>
          <w:kern w:val="2"/>
          <w:sz w:val="30"/>
          <w:szCs w:val="30"/>
          <w:highlight w:val="none"/>
          <w:lang w:val="en-US" w:eastAsia="zh-CN" w:bidi="ar-SA"/>
        </w:rPr>
        <w:fldChar w:fldCharType="end"/>
      </w:r>
      <w:r>
        <w:rPr>
          <w:rFonts w:hint="eastAsia" w:ascii="宋体" w:hAnsi="宋体"/>
          <w:b/>
          <w:bCs/>
          <w:color w:val="auto"/>
          <w:sz w:val="30"/>
          <w:szCs w:val="30"/>
          <w:highlight w:val="none"/>
          <w:u w:val="none"/>
          <w:lang w:val="en-US" w:eastAsia="zh-CN"/>
        </w:rPr>
        <w:t>）</w:t>
      </w:r>
      <w:r>
        <w:rPr>
          <w:rFonts w:hint="eastAsia" w:ascii="宋体" w:hAnsi="宋体"/>
          <w:b/>
          <w:color w:val="auto"/>
          <w:sz w:val="30"/>
          <w:szCs w:val="30"/>
          <w:highlight w:val="none"/>
          <w:u w:val="none"/>
          <w:lang w:val="en-US" w:eastAsia="zh-CN"/>
        </w:rPr>
        <w:t>竞争</w:t>
      </w:r>
      <w:r>
        <w:rPr>
          <w:rFonts w:hint="eastAsia" w:ascii="宋体" w:hAnsi="宋体" w:eastAsia="宋体"/>
          <w:b/>
          <w:color w:val="auto"/>
          <w:sz w:val="30"/>
          <w:szCs w:val="30"/>
          <w:highlight w:val="none"/>
          <w:lang w:val="en-US" w:eastAsia="zh-CN"/>
        </w:rPr>
        <w:t>性</w:t>
      </w:r>
      <w:r>
        <w:rPr>
          <w:rFonts w:hint="eastAsia" w:ascii="宋体" w:hAnsi="宋体" w:eastAsia="宋体"/>
          <w:b/>
          <w:color w:val="auto"/>
          <w:sz w:val="30"/>
          <w:szCs w:val="30"/>
          <w:highlight w:val="none"/>
          <w:lang w:eastAsia="zh-CN"/>
        </w:rPr>
        <w:t>磋商公告</w:t>
      </w:r>
      <w:bookmarkEnd w:id="3"/>
    </w:p>
    <w:tbl>
      <w:tblPr>
        <w:tblStyle w:val="30"/>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6"/>
      </w:tblGrid>
      <w:tr w14:paraId="3797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266" w:type="dxa"/>
          </w:tcPr>
          <w:p w14:paraId="08DBFB7F">
            <w:pPr>
              <w:spacing w:line="400" w:lineRule="exact"/>
              <w:rPr>
                <w:rFonts w:ascii="宋体" w:hAnsi="宋体" w:cs="宋体"/>
                <w:color w:val="auto"/>
                <w:szCs w:val="21"/>
                <w:highlight w:val="none"/>
              </w:rPr>
            </w:pPr>
            <w:r>
              <w:rPr>
                <w:rFonts w:hint="eastAsia" w:ascii="宋体" w:hAnsi="宋体" w:cs="宋体"/>
                <w:color w:val="auto"/>
                <w:szCs w:val="21"/>
                <w:highlight w:val="none"/>
              </w:rPr>
              <w:t>项目概况</w:t>
            </w:r>
          </w:p>
          <w:p w14:paraId="204D96C5">
            <w:pPr>
              <w:spacing w:line="400" w:lineRule="exact"/>
              <w:ind w:firstLine="420" w:firstLineChars="200"/>
              <w:rPr>
                <w:color w:val="auto"/>
                <w:highlight w:val="none"/>
              </w:rPr>
            </w:pPr>
            <w:r>
              <w:rPr>
                <w:rFonts w:hint="eastAsia" w:ascii="宋体" w:hAnsi="宋体" w:eastAsia="宋体" w:cs="宋体"/>
                <w:i w:val="0"/>
                <w:iCs w:val="0"/>
                <w:caps w:val="0"/>
                <w:color w:val="333333"/>
                <w:spacing w:val="0"/>
                <w:sz w:val="21"/>
                <w:szCs w:val="21"/>
                <w:u w:val="single"/>
                <w:shd w:val="clear" w:color="auto" w:fill="auto"/>
              </w:rPr>
              <w:t>浦北县第四小学新运动场（岭头部分）土方平整工程</w:t>
            </w:r>
            <w:r>
              <w:rPr>
                <w:rFonts w:hint="eastAsia" w:ascii="宋体" w:hAnsi="宋体" w:cs="宋体"/>
                <w:color w:val="auto"/>
                <w:szCs w:val="21"/>
                <w:highlight w:val="none"/>
              </w:rPr>
              <w:t>采购项目的潜在供应商应在</w:t>
            </w:r>
            <w:r>
              <w:rPr>
                <w:rFonts w:hint="eastAsia" w:ascii="宋体" w:hAnsi="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rPr>
              <w:t>获取</w:t>
            </w:r>
            <w:r>
              <w:rPr>
                <w:rFonts w:hint="eastAsia" w:ascii="宋体" w:hAnsi="宋体" w:cs="宋体"/>
                <w:color w:val="auto"/>
                <w:highlight w:val="none"/>
              </w:rPr>
              <w:t>采购文件</w:t>
            </w:r>
            <w:r>
              <w:rPr>
                <w:rFonts w:hint="eastAsia" w:ascii="宋体" w:hAnsi="宋体" w:cs="宋体"/>
                <w:color w:val="auto"/>
                <w:szCs w:val="21"/>
                <w:highlight w:val="none"/>
              </w:rPr>
              <w:t>，并于</w:t>
            </w:r>
            <w:r>
              <w:rPr>
                <w:rFonts w:hint="eastAsia" w:ascii="宋体" w:hAnsi="宋体" w:cs="宋体"/>
                <w:color w:val="auto"/>
                <w:szCs w:val="21"/>
                <w:highlight w:val="none"/>
                <w:u w:val="single"/>
                <w:lang w:val="en-US" w:eastAsia="zh-CN"/>
              </w:rPr>
              <w:t>2025年10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分（北京时间）</w:t>
            </w:r>
            <w:r>
              <w:rPr>
                <w:rFonts w:hint="eastAsia" w:ascii="宋体" w:hAnsi="宋体" w:cs="宋体"/>
                <w:color w:val="auto"/>
                <w:szCs w:val="21"/>
                <w:highlight w:val="none"/>
              </w:rPr>
              <w:t>前提交响应文件。</w:t>
            </w:r>
          </w:p>
        </w:tc>
      </w:tr>
    </w:tbl>
    <w:p w14:paraId="79A763E2">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4" w:name="_Toc28359012"/>
      <w:bookmarkStart w:id="5" w:name="_Toc35393798"/>
      <w:bookmarkStart w:id="6" w:name="_Toc9324"/>
      <w:bookmarkStart w:id="7" w:name="_Toc28359089"/>
      <w:bookmarkStart w:id="8" w:name="_Toc31859"/>
      <w:bookmarkStart w:id="9" w:name="_Toc35393629"/>
      <w:r>
        <w:rPr>
          <w:rFonts w:hint="eastAsia" w:ascii="宋体" w:hAnsi="宋体" w:eastAsia="宋体" w:cs="宋体"/>
          <w:bCs w:val="0"/>
          <w:color w:val="auto"/>
          <w:sz w:val="21"/>
          <w:szCs w:val="21"/>
          <w:highlight w:val="none"/>
        </w:rPr>
        <w:t>一、项目基本情况</w:t>
      </w:r>
      <w:bookmarkEnd w:id="4"/>
      <w:bookmarkEnd w:id="5"/>
      <w:bookmarkEnd w:id="6"/>
      <w:bookmarkEnd w:id="7"/>
      <w:bookmarkEnd w:id="8"/>
      <w:bookmarkEnd w:id="9"/>
    </w:p>
    <w:p w14:paraId="68CD892A">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gcy.zfcg.gxzf.gov.cn/gaea/api/project/flow/redirect?projectId=7226394966767697997&amp;newUrl=https://www.gcy.zfcg.gxzf.gov.cn/micro-app-back-index/blank?_flow_type_=agency&amp;_flow_projectId_=7226394966767697997&amp;_jump_page_type_=project_procurement_management_flow&amp;_app_=zcy.procurement&amp;oldUrl=https://www.gcy.zfcg.gxzf.gov.cn/project-center/_procurement_/project-result-detail/7226394966767697997&amp;utm=web-project-center-front.42c12ca3.0.0.248a6330a4f411f0892ee95888171440" \t "https://www.gcy.zfcg.gxzf.gov.cn/project-center/_procurement_/self-project/_blank"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QZZC2025-C2-220213-GXHS</w:t>
      </w:r>
      <w:r>
        <w:rPr>
          <w:rFonts w:hint="eastAsia" w:ascii="宋体" w:hAnsi="宋体" w:eastAsia="宋体" w:cs="宋体"/>
          <w:color w:val="auto"/>
          <w:kern w:val="2"/>
          <w:sz w:val="21"/>
          <w:szCs w:val="21"/>
          <w:highlight w:val="none"/>
          <w:lang w:val="en-US" w:eastAsia="zh-CN" w:bidi="ar-SA"/>
        </w:rPr>
        <w:fldChar w:fldCharType="end"/>
      </w:r>
    </w:p>
    <w:p w14:paraId="00434D8B">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项目名称：</w:t>
      </w:r>
      <w:r>
        <w:rPr>
          <w:rFonts w:hint="eastAsia" w:ascii="宋体" w:hAnsi="宋体" w:eastAsia="宋体" w:cs="宋体"/>
          <w:color w:val="auto"/>
          <w:kern w:val="2"/>
          <w:sz w:val="21"/>
          <w:szCs w:val="21"/>
          <w:highlight w:val="none"/>
          <w:lang w:val="en-US" w:eastAsia="zh-CN" w:bidi="ar-SA"/>
        </w:rPr>
        <w:t>浦北县第四小学新运动场（岭头部分）土方平整工程</w:t>
      </w:r>
    </w:p>
    <w:p w14:paraId="1D2CD459">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采购方式：</w:t>
      </w:r>
      <w:r>
        <w:rPr>
          <w:rFonts w:hint="eastAsia" w:ascii="宋体" w:hAnsi="宋体" w:cs="宋体"/>
          <w:color w:val="auto"/>
          <w:highlight w:val="none"/>
        </w:rPr>
        <w:t>竞争性磋商</w:t>
      </w:r>
    </w:p>
    <w:p w14:paraId="642C5130">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w:t>
      </w:r>
      <w:r>
        <w:rPr>
          <w:rFonts w:hint="eastAsia" w:ascii="宋体" w:hAnsi="宋体" w:cs="宋体"/>
          <w:color w:val="auto"/>
          <w:szCs w:val="21"/>
          <w:highlight w:val="none"/>
          <w:lang w:eastAsia="zh-CN"/>
        </w:rPr>
        <w:t>总</w:t>
      </w:r>
      <w:r>
        <w:rPr>
          <w:rFonts w:hint="eastAsia" w:ascii="宋体" w:hAnsi="宋体" w:cs="宋体"/>
          <w:color w:val="auto"/>
          <w:szCs w:val="21"/>
          <w:highlight w:val="none"/>
        </w:rPr>
        <w:t>金额（元）：</w:t>
      </w:r>
      <w:r>
        <w:rPr>
          <w:rFonts w:hint="eastAsia" w:ascii="宋体" w:hAnsi="宋体" w:eastAsia="宋体" w:cs="宋体"/>
          <w:color w:val="auto"/>
          <w:kern w:val="2"/>
          <w:sz w:val="21"/>
          <w:szCs w:val="21"/>
          <w:highlight w:val="none"/>
          <w:lang w:val="en-US" w:eastAsia="zh-CN" w:bidi="ar-SA"/>
        </w:rPr>
        <w:t>2009586.84</w:t>
      </w:r>
    </w:p>
    <w:p w14:paraId="55F7EFB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采购需求：具体详见竞争性磋商文件、工程量清单及施工图纸</w:t>
      </w:r>
    </w:p>
    <w:p w14:paraId="5805C00B">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标项名称:</w:t>
      </w:r>
      <w:r>
        <w:rPr>
          <w:rFonts w:hint="eastAsia" w:ascii="宋体" w:hAnsi="宋体" w:eastAsia="宋体" w:cs="宋体"/>
          <w:color w:val="auto"/>
          <w:kern w:val="2"/>
          <w:sz w:val="21"/>
          <w:szCs w:val="21"/>
          <w:highlight w:val="none"/>
          <w:lang w:val="en-US" w:eastAsia="zh-CN" w:bidi="ar-SA"/>
        </w:rPr>
        <w:t>浦北县第四小学新运动场（岭头部分）土方平整工程</w:t>
      </w:r>
    </w:p>
    <w:p w14:paraId="7245C092">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数量:不限</w:t>
      </w:r>
    </w:p>
    <w:p w14:paraId="4D4B275D">
      <w:pPr>
        <w:pageBreakBefore w:val="0"/>
        <w:widowControl w:val="0"/>
        <w:kinsoku/>
        <w:wordWrap/>
        <w:overflowPunct/>
        <w:topLinePunct w:val="0"/>
        <w:bidi w:val="0"/>
        <w:adjustRightInd/>
        <w:spacing w:line="420" w:lineRule="exact"/>
        <w:ind w:left="420" w:leftChars="200" w:firstLine="0" w:firstLineChars="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预算金额（元）:</w:t>
      </w:r>
      <w:r>
        <w:rPr>
          <w:rFonts w:hint="eastAsia" w:ascii="宋体" w:hAnsi="宋体" w:eastAsia="宋体" w:cs="宋体"/>
          <w:color w:val="auto"/>
          <w:kern w:val="2"/>
          <w:sz w:val="21"/>
          <w:szCs w:val="21"/>
          <w:highlight w:val="none"/>
          <w:lang w:val="en-US" w:eastAsia="zh-CN" w:bidi="ar-SA"/>
        </w:rPr>
        <w:t>2009586.84</w:t>
      </w:r>
    </w:p>
    <w:p w14:paraId="46FC48B4">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r>
        <w:rPr>
          <w:rFonts w:hint="eastAsia" w:ascii="宋体" w:hAnsi="宋体" w:eastAsia="宋体" w:cs="宋体"/>
          <w:color w:val="auto"/>
          <w:kern w:val="2"/>
          <w:sz w:val="21"/>
          <w:szCs w:val="21"/>
          <w:highlight w:val="none"/>
          <w:lang w:val="en-US" w:eastAsia="zh-CN" w:bidi="ar-SA"/>
        </w:rPr>
        <w:t>浦北县第四小学新运动场（岭头部分）土方平整工程</w:t>
      </w:r>
      <w:r>
        <w:rPr>
          <w:color w:val="auto"/>
        </w:rPr>
        <w:t>，具体内容</w:t>
      </w:r>
      <w:r>
        <w:rPr>
          <w:rFonts w:hint="eastAsia"/>
          <w:color w:val="auto"/>
          <w:lang w:val="en-US" w:eastAsia="zh-CN"/>
        </w:rPr>
        <w:t>详</w:t>
      </w:r>
      <w:r>
        <w:rPr>
          <w:color w:val="auto"/>
        </w:rPr>
        <w:t>见</w:t>
      </w:r>
      <w:r>
        <w:rPr>
          <w:rFonts w:hint="eastAsia"/>
          <w:color w:val="auto"/>
          <w:lang w:val="en-US" w:eastAsia="zh-CN"/>
        </w:rPr>
        <w:t>工程量清单</w:t>
      </w:r>
      <w:r>
        <w:rPr>
          <w:rFonts w:hint="eastAsia" w:ascii="宋体" w:hAnsi="宋体" w:cs="宋体"/>
          <w:color w:val="auto"/>
          <w:szCs w:val="21"/>
          <w:highlight w:val="none"/>
          <w:lang w:eastAsia="zh-CN"/>
        </w:rPr>
        <w:t>及施工图纸</w:t>
      </w:r>
      <w:r>
        <w:rPr>
          <w:rFonts w:hint="eastAsia" w:asciiTheme="minorEastAsia" w:hAnsiTheme="minorEastAsia" w:eastAsiaTheme="minorEastAsia" w:cstheme="minorEastAsia"/>
          <w:color w:val="auto"/>
          <w:sz w:val="21"/>
          <w:szCs w:val="21"/>
          <w:highlight w:val="none"/>
          <w:lang w:eastAsia="zh-CN"/>
        </w:rPr>
        <w:t>。</w:t>
      </w:r>
    </w:p>
    <w:p w14:paraId="00EAE829">
      <w:pPr>
        <w:pageBreakBefore w:val="0"/>
        <w:widowControl w:val="0"/>
        <w:kinsoku/>
        <w:wordWrap/>
        <w:overflowPunct/>
        <w:topLinePunct w:val="0"/>
        <w:bidi w:val="0"/>
        <w:adjustRightInd/>
        <w:spacing w:line="420" w:lineRule="exact"/>
        <w:ind w:firstLine="420" w:firstLineChars="200"/>
        <w:textAlignment w:val="auto"/>
        <w:rPr>
          <w:rFonts w:hint="default" w:ascii="宋体" w:hAnsi="宋体" w:cs="宋体"/>
          <w:color w:val="auto"/>
          <w:szCs w:val="21"/>
          <w:highlight w:val="none"/>
          <w:lang w:val="en-US"/>
        </w:rPr>
      </w:pPr>
      <w:r>
        <w:rPr>
          <w:rFonts w:hint="eastAsia" w:ascii="宋体" w:hAnsi="宋体" w:cs="宋体"/>
          <w:color w:val="auto"/>
          <w:szCs w:val="21"/>
          <w:highlight w:val="none"/>
        </w:rPr>
        <w:t>最高限价（如有）：</w:t>
      </w:r>
      <w:r>
        <w:rPr>
          <w:rFonts w:hint="eastAsia" w:ascii="宋体" w:hAnsi="宋体" w:eastAsia="宋体" w:cs="宋体"/>
          <w:color w:val="auto"/>
          <w:kern w:val="2"/>
          <w:sz w:val="21"/>
          <w:szCs w:val="21"/>
          <w:highlight w:val="none"/>
          <w:lang w:val="en-US" w:eastAsia="zh-CN" w:bidi="ar-SA"/>
        </w:rPr>
        <w:t>2009586.84</w:t>
      </w:r>
    </w:p>
    <w:p w14:paraId="0E19C71A">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FF0000"/>
          <w:szCs w:val="21"/>
          <w:highlight w:val="none"/>
          <w:lang w:eastAsia="zh-CN"/>
        </w:rPr>
      </w:pPr>
      <w:r>
        <w:rPr>
          <w:rFonts w:hint="eastAsia" w:ascii="宋体" w:hAnsi="宋体" w:cs="宋体"/>
          <w:color w:val="auto"/>
          <w:szCs w:val="21"/>
          <w:highlight w:val="none"/>
        </w:rPr>
        <w:t>合同履约期限：</w:t>
      </w:r>
      <w:r>
        <w:rPr>
          <w:rFonts w:hint="eastAsia" w:ascii="宋体" w:hAnsi="宋体" w:cs="宋体"/>
          <w:color w:val="auto"/>
          <w:szCs w:val="21"/>
          <w:highlight w:val="none"/>
          <w:lang w:eastAsia="zh-CN"/>
        </w:rPr>
        <w:t>施工工期</w:t>
      </w:r>
      <w:r>
        <w:rPr>
          <w:rFonts w:hint="eastAsia" w:ascii="宋体" w:hAnsi="宋体" w:cs="宋体"/>
          <w:color w:val="auto"/>
          <w:szCs w:val="21"/>
          <w:highlight w:val="none"/>
          <w:u w:val="single"/>
          <w:lang w:val="en-US" w:eastAsia="zh-CN"/>
        </w:rPr>
        <w:t>180</w:t>
      </w:r>
      <w:r>
        <w:rPr>
          <w:rFonts w:hint="eastAsia" w:ascii="宋体" w:hAnsi="宋体" w:cs="宋体"/>
          <w:color w:val="auto"/>
          <w:szCs w:val="21"/>
          <w:highlight w:val="none"/>
          <w:lang w:eastAsia="zh-CN"/>
        </w:rPr>
        <w:t>日历天</w:t>
      </w:r>
    </w:p>
    <w:p w14:paraId="4831FCCA">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本标项（否）接受联合体投标</w:t>
      </w:r>
    </w:p>
    <w:p w14:paraId="357DED70">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备注：</w:t>
      </w:r>
      <w:r>
        <w:rPr>
          <w:rFonts w:hint="eastAsia" w:ascii="宋体" w:hAnsi="宋体" w:cs="宋体"/>
          <w:color w:val="auto"/>
          <w:szCs w:val="21"/>
          <w:highlight w:val="none"/>
          <w:lang w:eastAsia="zh-CN"/>
        </w:rPr>
        <w:t>无</w:t>
      </w:r>
    </w:p>
    <w:p w14:paraId="246E7F65">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10" w:name="_Toc28359090"/>
      <w:bookmarkStart w:id="11" w:name="_Toc28359013"/>
      <w:bookmarkStart w:id="12" w:name="_Toc35393630"/>
      <w:bookmarkStart w:id="13" w:name="_Toc35393799"/>
      <w:bookmarkStart w:id="14" w:name="_Toc21513"/>
      <w:r>
        <w:rPr>
          <w:rFonts w:hint="eastAsia" w:ascii="宋体" w:hAnsi="宋体" w:eastAsia="宋体" w:cs="宋体"/>
          <w:bCs w:val="0"/>
          <w:color w:val="auto"/>
          <w:sz w:val="21"/>
          <w:szCs w:val="21"/>
          <w:highlight w:val="none"/>
        </w:rPr>
        <w:t>二、申请人的资格要求：</w:t>
      </w:r>
      <w:bookmarkEnd w:id="10"/>
      <w:bookmarkEnd w:id="11"/>
      <w:bookmarkEnd w:id="12"/>
      <w:bookmarkEnd w:id="13"/>
      <w:bookmarkEnd w:id="14"/>
    </w:p>
    <w:p w14:paraId="4B95C26B">
      <w:pPr>
        <w:pageBreakBefore w:val="0"/>
        <w:widowControl w:val="0"/>
        <w:kinsoku/>
        <w:wordWrap/>
        <w:overflowPunct/>
        <w:topLinePunct w:val="0"/>
        <w:bidi w:val="0"/>
        <w:adjustRightInd/>
        <w:snapToGrid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1.符合《中华人民共和国政府采购法》第二十二条规定</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4C789DA1">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p>
    <w:p w14:paraId="26BC1C0E">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bookmarkStart w:id="15" w:name="_Toc28359014"/>
      <w:bookmarkStart w:id="16" w:name="_Toc28359091"/>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04615475">
      <w:pPr>
        <w:pStyle w:val="3"/>
        <w:pageBreakBefore w:val="0"/>
        <w:widowControl w:val="0"/>
        <w:kinsoku/>
        <w:wordWrap/>
        <w:overflowPunct/>
        <w:topLinePunct w:val="0"/>
        <w:bidi w:val="0"/>
        <w:adjustRightInd/>
        <w:spacing w:line="420" w:lineRule="exact"/>
        <w:textAlignment w:val="auto"/>
        <w:outlineLvl w:val="0"/>
        <w:rPr>
          <w:rFonts w:hint="eastAsia" w:ascii="宋体" w:hAnsi="宋体" w:eastAsia="宋体" w:cs="宋体"/>
          <w:bCs w:val="0"/>
          <w:color w:val="auto"/>
          <w:sz w:val="21"/>
          <w:szCs w:val="21"/>
          <w:highlight w:val="none"/>
        </w:rPr>
      </w:pPr>
      <w:bookmarkStart w:id="17" w:name="_Toc13777"/>
      <w:bookmarkStart w:id="18" w:name="_Toc35393631"/>
      <w:bookmarkStart w:id="19" w:name="_Toc9125"/>
      <w:bookmarkStart w:id="20" w:name="_Toc35393800"/>
      <w:r>
        <w:rPr>
          <w:rFonts w:hint="eastAsia" w:ascii="宋体" w:hAnsi="宋体" w:eastAsia="宋体" w:cs="宋体"/>
          <w:bCs w:val="0"/>
          <w:color w:val="auto"/>
          <w:sz w:val="21"/>
          <w:szCs w:val="21"/>
          <w:highlight w:val="none"/>
        </w:rPr>
        <w:t>三、获取采购文件</w:t>
      </w:r>
      <w:bookmarkEnd w:id="15"/>
      <w:bookmarkEnd w:id="16"/>
      <w:bookmarkEnd w:id="17"/>
      <w:bookmarkEnd w:id="18"/>
      <w:bookmarkEnd w:id="19"/>
      <w:bookmarkEnd w:id="20"/>
    </w:p>
    <w:p w14:paraId="045C3038">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rPr>
        <w:t>时间：</w:t>
      </w:r>
      <w:r>
        <w:rPr>
          <w:rFonts w:hint="eastAsia" w:ascii="宋体" w:hAnsi="宋体" w:cs="宋体"/>
          <w:color w:val="auto"/>
          <w:szCs w:val="21"/>
          <w:highlight w:val="none"/>
          <w:u w:val="none"/>
          <w:lang w:val="en-US" w:eastAsia="zh-CN"/>
        </w:rPr>
        <w:t>2025</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10</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14</w:t>
      </w:r>
      <w:r>
        <w:rPr>
          <w:rFonts w:hint="eastAsia" w:ascii="宋体" w:hAnsi="宋体" w:cs="宋体"/>
          <w:color w:val="auto"/>
          <w:szCs w:val="21"/>
          <w:highlight w:val="none"/>
          <w:u w:val="none"/>
        </w:rPr>
        <w:t>日至</w:t>
      </w:r>
      <w:r>
        <w:rPr>
          <w:rFonts w:hint="eastAsia" w:ascii="宋体" w:hAnsi="宋体" w:cs="宋体"/>
          <w:color w:val="auto"/>
          <w:szCs w:val="21"/>
          <w:highlight w:val="none"/>
          <w:u w:val="none"/>
          <w:lang w:val="en-US" w:eastAsia="zh-CN"/>
        </w:rPr>
        <w:t>2025</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10</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22</w:t>
      </w:r>
      <w:r>
        <w:rPr>
          <w:rFonts w:hint="eastAsia" w:ascii="宋体" w:hAnsi="宋体" w:cs="宋体"/>
          <w:color w:val="auto"/>
          <w:szCs w:val="21"/>
          <w:highlight w:val="none"/>
          <w:u w:val="none"/>
        </w:rPr>
        <w:t>日，每天上午8:00至12:00，下午</w:t>
      </w:r>
      <w:r>
        <w:rPr>
          <w:rFonts w:hint="eastAsia" w:ascii="宋体" w:hAnsi="宋体" w:cs="宋体"/>
          <w:color w:val="auto"/>
          <w:szCs w:val="21"/>
          <w:highlight w:val="none"/>
          <w:u w:val="none"/>
          <w:lang w:val="en-US" w:eastAsia="zh-CN"/>
        </w:rPr>
        <w:t>15</w:t>
      </w:r>
      <w:r>
        <w:rPr>
          <w:rFonts w:hint="eastAsia" w:ascii="宋体" w:hAnsi="宋体" w:cs="宋体"/>
          <w:color w:val="auto"/>
          <w:szCs w:val="21"/>
          <w:highlight w:val="none"/>
          <w:u w:val="none"/>
        </w:rPr>
        <w:t>:00至</w:t>
      </w:r>
      <w:r>
        <w:rPr>
          <w:rFonts w:hint="eastAsia" w:ascii="宋体" w:hAnsi="宋体" w:cs="宋体"/>
          <w:color w:val="auto"/>
          <w:szCs w:val="21"/>
          <w:highlight w:val="none"/>
          <w:u w:val="none"/>
          <w:lang w:val="en-US" w:eastAsia="zh-CN"/>
        </w:rPr>
        <w:t>18</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val="en-US" w:eastAsia="zh-CN"/>
        </w:rPr>
        <w:t>00</w:t>
      </w:r>
      <w:r>
        <w:rPr>
          <w:rFonts w:hint="eastAsia" w:ascii="宋体" w:hAnsi="宋体" w:cs="宋体"/>
          <w:color w:val="auto"/>
          <w:szCs w:val="21"/>
          <w:highlight w:val="none"/>
          <w:u w:val="none"/>
        </w:rPr>
        <w:t>（北京时间，法定节假日除外）</w:t>
      </w:r>
      <w:r>
        <w:rPr>
          <w:rFonts w:hint="eastAsia" w:ascii="宋体" w:hAnsi="宋体" w:cs="宋体"/>
          <w:color w:val="auto"/>
          <w:szCs w:val="21"/>
          <w:highlight w:val="none"/>
          <w:u w:val="none"/>
          <w:lang w:eastAsia="zh-CN"/>
        </w:rPr>
        <w:t>。</w:t>
      </w:r>
    </w:p>
    <w:p w14:paraId="54C393B7">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iCs/>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rPr>
        <w:t>地</w:t>
      </w:r>
      <w:r>
        <w:rPr>
          <w:rFonts w:hint="eastAsia" w:ascii="宋体" w:hAnsi="宋体" w:cs="宋体"/>
          <w:color w:val="auto"/>
          <w:spacing w:val="0"/>
          <w:sz w:val="21"/>
          <w:szCs w:val="21"/>
          <w:highlight w:val="none"/>
          <w:u w:val="none"/>
          <w:lang w:eastAsia="zh-CN"/>
        </w:rPr>
        <w:t>点</w:t>
      </w:r>
      <w:r>
        <w:rPr>
          <w:rFonts w:hint="eastAsia" w:ascii="宋体" w:hAnsi="宋体" w:cs="宋体"/>
          <w:color w:val="auto"/>
          <w:spacing w:val="0"/>
          <w:sz w:val="21"/>
          <w:szCs w:val="21"/>
          <w:highlight w:val="none"/>
          <w:u w:val="none"/>
          <w:lang w:val="en-US" w:eastAsia="zh-CN"/>
        </w:rPr>
        <w:t>（网址）</w:t>
      </w:r>
      <w:r>
        <w:rPr>
          <w:rFonts w:hint="eastAsia" w:ascii="宋体" w:hAnsi="宋体" w:eastAsia="宋体" w:cs="宋体"/>
          <w:color w:val="auto"/>
          <w:spacing w:val="0"/>
          <w:sz w:val="21"/>
          <w:szCs w:val="21"/>
          <w:highlight w:val="none"/>
          <w:u w:val="none"/>
          <w:lang w:val="en-US" w:eastAsia="zh-CN"/>
        </w:rPr>
        <w:t>：</w:t>
      </w:r>
      <w:r>
        <w:rPr>
          <w:rFonts w:hint="eastAsia" w:ascii="宋体" w:hAnsi="宋体" w:cs="Times New Roman"/>
          <w:color w:val="auto"/>
          <w:szCs w:val="21"/>
          <w:highlight w:val="none"/>
          <w:u w:val="none"/>
          <w:lang w:eastAsia="zh-CN"/>
        </w:rPr>
        <w:t>广西政府采购云平台</w:t>
      </w:r>
      <w:r>
        <w:rPr>
          <w:rFonts w:hint="eastAsia" w:ascii="宋体" w:hAnsi="宋体" w:eastAsia="宋体" w:cs="Times New Roman"/>
          <w:color w:val="auto"/>
          <w:szCs w:val="21"/>
          <w:highlight w:val="none"/>
          <w:u w:val="none"/>
        </w:rPr>
        <w:t>（</w:t>
      </w:r>
      <w:r>
        <w:rPr>
          <w:rFonts w:hint="eastAsia" w:ascii="宋体" w:hAnsi="宋体" w:cs="Times New Roman"/>
          <w:color w:val="auto"/>
          <w:szCs w:val="21"/>
          <w:highlight w:val="none"/>
          <w:u w:val="none"/>
          <w:lang w:eastAsia="zh-CN"/>
        </w:rPr>
        <w:t>https://www.gcy.zfcg.gxzf.gov.cn</w:t>
      </w:r>
      <w:r>
        <w:rPr>
          <w:rFonts w:hint="eastAsia" w:ascii="宋体" w:hAnsi="宋体" w:eastAsia="宋体" w:cs="Times New Roman"/>
          <w:color w:val="auto"/>
          <w:szCs w:val="21"/>
          <w:highlight w:val="none"/>
          <w:u w:val="none"/>
        </w:rPr>
        <w:t>）</w:t>
      </w:r>
    </w:p>
    <w:p w14:paraId="322C17AD">
      <w:pPr>
        <w:keepNext w:val="0"/>
        <w:keepLines w:val="0"/>
        <w:pageBreakBefore w:val="0"/>
        <w:widowControl w:val="0"/>
        <w:kinsoku/>
        <w:wordWrap/>
        <w:overflowPunct/>
        <w:topLinePunct w:val="0"/>
        <w:autoSpaceDE/>
        <w:autoSpaceDN/>
        <w:bidi w:val="0"/>
        <w:adjustRightInd/>
        <w:snapToGrid w:val="0"/>
        <w:spacing w:line="420" w:lineRule="exact"/>
        <w:ind w:left="0" w:leftChars="0" w:firstLine="367" w:firstLineChars="175"/>
        <w:textAlignment w:val="auto"/>
        <w:rPr>
          <w:color w:val="auto"/>
          <w:highlight w:val="none"/>
        </w:rPr>
      </w:pPr>
      <w:r>
        <w:rPr>
          <w:rFonts w:hint="eastAsia" w:ascii="宋体" w:hAnsi="宋体"/>
          <w:color w:val="auto"/>
          <w:szCs w:val="21"/>
          <w:highlight w:val="none"/>
        </w:rPr>
        <w:t>方式</w:t>
      </w:r>
      <w:r>
        <w:rPr>
          <w:rFonts w:hint="eastAsia" w:ascii="宋体" w:hAnsi="宋体"/>
          <w:color w:val="auto"/>
          <w:szCs w:val="21"/>
          <w:highlight w:val="none"/>
          <w:lang w:eastAsia="zh-CN"/>
        </w:rPr>
        <w:t>：供应商登录广西政府采购云平台https://www.gcy.zfcg.gxzf.gov.cn/在线申请获取采购文件（进入“项目采购”应用，在获取采购文件菜单中选择项目，申请获取采购文件）。</w:t>
      </w:r>
    </w:p>
    <w:p w14:paraId="530E86D7">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21" w:name="_Toc28359015"/>
      <w:bookmarkStart w:id="22" w:name="_Toc28970"/>
      <w:bookmarkStart w:id="23" w:name="_Toc28359092"/>
      <w:bookmarkStart w:id="24" w:name="_Toc35393801"/>
      <w:bookmarkStart w:id="25" w:name="_Toc35393632"/>
      <w:bookmarkStart w:id="26" w:name="_Toc18110"/>
      <w:r>
        <w:rPr>
          <w:rFonts w:hint="eastAsia" w:ascii="宋体" w:hAnsi="宋体" w:eastAsia="宋体" w:cs="宋体"/>
          <w:bCs w:val="0"/>
          <w:color w:val="auto"/>
          <w:sz w:val="21"/>
          <w:szCs w:val="21"/>
          <w:highlight w:val="none"/>
        </w:rPr>
        <w:t>四、响应文件提交</w:t>
      </w:r>
      <w:bookmarkEnd w:id="21"/>
      <w:bookmarkEnd w:id="22"/>
      <w:bookmarkEnd w:id="23"/>
      <w:bookmarkEnd w:id="24"/>
      <w:bookmarkEnd w:id="25"/>
      <w:bookmarkEnd w:id="26"/>
    </w:p>
    <w:p w14:paraId="1FE2EE7E">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color w:val="auto"/>
          <w:szCs w:val="21"/>
          <w:highlight w:val="none"/>
          <w:u w:val="none"/>
          <w:lang w:eastAsia="zh-CN"/>
        </w:rPr>
      </w:pPr>
      <w:r>
        <w:rPr>
          <w:rFonts w:hint="eastAsia" w:ascii="宋体" w:hAnsi="宋体"/>
          <w:bCs/>
          <w:color w:val="auto"/>
          <w:szCs w:val="21"/>
          <w:highlight w:val="none"/>
          <w:u w:val="none"/>
        </w:rPr>
        <w:t>截止时间：</w:t>
      </w:r>
      <w:r>
        <w:rPr>
          <w:rFonts w:hint="eastAsia" w:ascii="宋体" w:hAnsi="宋体" w:cs="宋体"/>
          <w:color w:val="auto"/>
          <w:szCs w:val="21"/>
          <w:highlight w:val="none"/>
          <w:u w:val="single"/>
          <w:lang w:val="en-US" w:eastAsia="zh-CN"/>
        </w:rPr>
        <w:t>2025年10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5086416A">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ascii="宋体" w:hAnsi="宋体" w:cs="宋体"/>
          <w:bCs/>
          <w:color w:val="auto"/>
          <w:szCs w:val="21"/>
          <w:highlight w:val="none"/>
          <w:u w:val="none"/>
        </w:rPr>
      </w:pPr>
      <w:r>
        <w:rPr>
          <w:rFonts w:hint="eastAsia" w:ascii="宋体" w:hAnsi="宋体"/>
          <w:color w:val="auto"/>
          <w:szCs w:val="21"/>
          <w:highlight w:val="none"/>
          <w:u w:val="none"/>
        </w:rPr>
        <w:t>地点（网址）：</w:t>
      </w:r>
      <w:r>
        <w:rPr>
          <w:rFonts w:hint="eastAsia" w:ascii="宋体" w:hAnsi="宋体" w:cs="宋体"/>
          <w:bCs/>
          <w:color w:val="auto"/>
          <w:szCs w:val="21"/>
          <w:highlight w:val="none"/>
        </w:rPr>
        <w:t>通过</w:t>
      </w:r>
      <w:r>
        <w:rPr>
          <w:rFonts w:hint="eastAsia" w:ascii="宋体" w:hAnsi="宋体" w:cs="宋体"/>
          <w:color w:val="auto"/>
          <w:highlight w:val="none"/>
          <w:lang w:eastAsia="zh-CN"/>
        </w:rPr>
        <w:t>广西政府采购云平台</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https://www.gcy.zfcg.gxzf.gov.cn</w:t>
      </w:r>
      <w:r>
        <w:rPr>
          <w:rFonts w:hint="eastAsia" w:ascii="宋体" w:hAnsi="宋体" w:cs="宋体"/>
          <w:bCs/>
          <w:color w:val="auto"/>
          <w:szCs w:val="21"/>
          <w:highlight w:val="none"/>
        </w:rPr>
        <w:t>/）</w:t>
      </w:r>
      <w:r>
        <w:rPr>
          <w:rFonts w:hint="eastAsia" w:ascii="宋体" w:hAnsi="宋体" w:cs="宋体"/>
          <w:color w:val="auto"/>
          <w:szCs w:val="21"/>
          <w:highlight w:val="none"/>
        </w:rPr>
        <w:t>上传响应文件，并在线竞标。</w:t>
      </w:r>
    </w:p>
    <w:p w14:paraId="0368313F">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27" w:name="_Toc28359016"/>
      <w:bookmarkStart w:id="28" w:name="_Toc35393802"/>
      <w:bookmarkStart w:id="29" w:name="_Toc24973"/>
      <w:bookmarkStart w:id="30" w:name="_Toc3197"/>
      <w:bookmarkStart w:id="31" w:name="_Toc28359093"/>
      <w:bookmarkStart w:id="32" w:name="_Toc35393633"/>
      <w:r>
        <w:rPr>
          <w:rFonts w:hint="eastAsia" w:ascii="宋体" w:hAnsi="宋体" w:eastAsia="宋体" w:cs="宋体"/>
          <w:bCs w:val="0"/>
          <w:color w:val="auto"/>
          <w:sz w:val="21"/>
          <w:szCs w:val="21"/>
          <w:highlight w:val="none"/>
          <w:u w:val="none"/>
        </w:rPr>
        <w:t>五、响应文件开启</w:t>
      </w:r>
      <w:bookmarkEnd w:id="27"/>
      <w:bookmarkEnd w:id="28"/>
      <w:bookmarkEnd w:id="29"/>
      <w:bookmarkEnd w:id="30"/>
      <w:bookmarkEnd w:id="31"/>
      <w:bookmarkEnd w:id="32"/>
    </w:p>
    <w:p w14:paraId="53BDE901">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bCs/>
          <w:color w:val="auto"/>
          <w:szCs w:val="21"/>
          <w:highlight w:val="none"/>
          <w:u w:val="none"/>
          <w:lang w:eastAsia="zh-CN"/>
        </w:rPr>
      </w:pPr>
      <w:r>
        <w:rPr>
          <w:rFonts w:hint="eastAsia" w:ascii="宋体" w:hAnsi="宋体"/>
          <w:bCs/>
          <w:color w:val="auto"/>
          <w:szCs w:val="21"/>
          <w:highlight w:val="none"/>
          <w:u w:val="none"/>
        </w:rPr>
        <w:t>开启时间：</w:t>
      </w:r>
      <w:r>
        <w:rPr>
          <w:rFonts w:hint="eastAsia" w:ascii="宋体" w:hAnsi="宋体" w:cs="宋体"/>
          <w:color w:val="auto"/>
          <w:szCs w:val="21"/>
          <w:highlight w:val="none"/>
          <w:u w:val="single"/>
          <w:lang w:val="en-US" w:eastAsia="zh-CN"/>
        </w:rPr>
        <w:t>2025年10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4076178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bCs/>
          <w:color w:val="auto"/>
          <w:szCs w:val="21"/>
          <w:highlight w:val="none"/>
          <w:u w:val="none"/>
          <w:lang w:eastAsia="zh-CN"/>
        </w:rPr>
      </w:pPr>
      <w:r>
        <w:rPr>
          <w:rFonts w:hint="eastAsia" w:ascii="宋体" w:hAnsi="宋体"/>
          <w:bCs/>
          <w:color w:val="auto"/>
          <w:szCs w:val="21"/>
          <w:highlight w:val="none"/>
          <w:u w:val="none"/>
        </w:rPr>
        <w:t>地点：“</w:t>
      </w:r>
      <w:r>
        <w:rPr>
          <w:rFonts w:hint="eastAsia" w:ascii="宋体" w:hAnsi="宋体" w:cs="宋体"/>
          <w:color w:val="auto"/>
          <w:highlight w:val="none"/>
          <w:lang w:eastAsia="zh-CN"/>
        </w:rPr>
        <w:t>广西政府采购云平台</w:t>
      </w:r>
      <w:r>
        <w:rPr>
          <w:rFonts w:hint="eastAsia" w:ascii="宋体" w:hAnsi="宋体"/>
          <w:bCs/>
          <w:color w:val="auto"/>
          <w:szCs w:val="21"/>
          <w:highlight w:val="none"/>
          <w:u w:val="none"/>
        </w:rPr>
        <w:t>”平台电子开标大厅在线解密开启 </w:t>
      </w:r>
    </w:p>
    <w:p w14:paraId="38C8DE07">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33" w:name="_Toc17419"/>
      <w:bookmarkStart w:id="34" w:name="_Toc35393634"/>
      <w:bookmarkStart w:id="35" w:name="_Toc5452"/>
      <w:bookmarkStart w:id="36" w:name="_Toc35393803"/>
      <w:bookmarkStart w:id="37" w:name="_Toc28359094"/>
      <w:bookmarkStart w:id="38" w:name="_Toc28359017"/>
      <w:r>
        <w:rPr>
          <w:rFonts w:hint="eastAsia" w:ascii="宋体" w:hAnsi="宋体" w:eastAsia="宋体" w:cs="宋体"/>
          <w:bCs w:val="0"/>
          <w:color w:val="auto"/>
          <w:sz w:val="21"/>
          <w:szCs w:val="21"/>
          <w:highlight w:val="none"/>
          <w:u w:val="none"/>
        </w:rPr>
        <w:t>六、公告期限</w:t>
      </w:r>
      <w:bookmarkEnd w:id="33"/>
      <w:bookmarkEnd w:id="34"/>
      <w:bookmarkEnd w:id="35"/>
      <w:bookmarkEnd w:id="36"/>
      <w:bookmarkEnd w:id="37"/>
      <w:bookmarkEnd w:id="38"/>
    </w:p>
    <w:p w14:paraId="7C69D7BF">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14:paraId="3BE99A66">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39" w:name="_Toc26297"/>
      <w:bookmarkStart w:id="40" w:name="_Toc35393635"/>
      <w:bookmarkStart w:id="41" w:name="_Toc35393804"/>
      <w:bookmarkStart w:id="42" w:name="_Toc321"/>
      <w:r>
        <w:rPr>
          <w:rFonts w:hint="eastAsia" w:ascii="宋体" w:hAnsi="宋体" w:eastAsia="宋体" w:cs="宋体"/>
          <w:bCs w:val="0"/>
          <w:color w:val="auto"/>
          <w:sz w:val="21"/>
          <w:szCs w:val="21"/>
          <w:highlight w:val="none"/>
        </w:rPr>
        <w:t>七、其他补充事宜</w:t>
      </w:r>
      <w:bookmarkEnd w:id="39"/>
      <w:bookmarkEnd w:id="40"/>
      <w:bookmarkEnd w:id="41"/>
      <w:bookmarkEnd w:id="42"/>
    </w:p>
    <w:p w14:paraId="4DB948D9">
      <w:pPr>
        <w:spacing w:line="288" w:lineRule="auto"/>
        <w:ind w:firstLine="420" w:firstLineChars="200"/>
        <w:rPr>
          <w:rFonts w:hint="eastAsia" w:ascii="宋体" w:hAnsi="宋体" w:cs="宋体"/>
          <w:color w:val="auto"/>
          <w:szCs w:val="21"/>
          <w:highlight w:val="none"/>
        </w:rPr>
      </w:pPr>
      <w:bookmarkStart w:id="43" w:name="_Toc28359018"/>
      <w:bookmarkStart w:id="44" w:name="_Toc28359095"/>
      <w:bookmarkStart w:id="45" w:name="_Toc35393636"/>
      <w:bookmarkStart w:id="46" w:name="_Toc35393805"/>
      <w:r>
        <w:rPr>
          <w:rFonts w:hint="eastAsia" w:ascii="宋体" w:hAnsi="宋体" w:cs="宋体"/>
          <w:color w:val="auto"/>
          <w:szCs w:val="21"/>
          <w:highlight w:val="none"/>
        </w:rPr>
        <w:t>1.本项目为全流程电子化政府采购项目，供应商应按照本项目采购文件和</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的要求编制、加密并提交电子响应文件。未完成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供应商注册入驻并办理数字证书（CA认证）的供应商将无法参与本项目政府采购活动。供应商在使用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参与投标过程中遇到涉及平台使用的任何问题，</w:t>
      </w:r>
      <w:r>
        <w:rPr>
          <w:rFonts w:hint="eastAsia" w:ascii="宋体" w:hAnsi="宋体"/>
          <w:color w:val="auto"/>
          <w:szCs w:val="21"/>
          <w:highlight w:val="none"/>
        </w:rPr>
        <w:t>可致电</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技术支持热线咨询</w:t>
      </w:r>
      <w:r>
        <w:rPr>
          <w:rFonts w:hint="eastAsia" w:ascii="宋体" w:hAnsi="宋体" w:cs="宋体"/>
          <w:color w:val="auto"/>
          <w:szCs w:val="21"/>
          <w:highlight w:val="none"/>
        </w:rPr>
        <w:t>：</w:t>
      </w:r>
      <w:r>
        <w:rPr>
          <w:rFonts w:hint="eastAsia" w:ascii="宋体" w:hAnsi="宋体" w:cs="宋体"/>
          <w:color w:val="auto"/>
          <w:kern w:val="0"/>
          <w:szCs w:val="21"/>
          <w:highlight w:val="none"/>
        </w:rPr>
        <w:t>95763</w:t>
      </w:r>
      <w:r>
        <w:rPr>
          <w:rFonts w:hint="eastAsia" w:ascii="宋体"/>
          <w:color w:val="auto"/>
          <w:szCs w:val="21"/>
          <w:highlight w:val="none"/>
        </w:rPr>
        <w:t>。</w:t>
      </w:r>
    </w:p>
    <w:p w14:paraId="06C23CAD">
      <w:pPr>
        <w:spacing w:line="288"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（1）供应商应及时熟悉掌握电子标系统操作指南（见政采云电子卖场首页右上角—服务中心—帮助文档—项目采购）：https://service.zcygov.cn/#/knowledges/tree?tag=AG1DtGwBFdiHxlNdhY0r。</w:t>
      </w:r>
    </w:p>
    <w:p w14:paraId="200BEC1A">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（2）供应商应及时完成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供应商注册入驻和办理政采云CA证书申领和绑定（见广西壮族自治区政府采购网—办事服务—下载专区-政采云CA证书办理操作指南）。</w:t>
      </w:r>
    </w:p>
    <w:p w14:paraId="08397D04">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须通过政采云供应商客户端软件制作电子响应文件，政采云供应商客户端软件请供应商自行前往下载并安装（见广西壮族自治区政府采购网—办事服务—下载专区-广西壮族自治区全流程电子招投标项目管理系统--供应商客户端）。</w:t>
      </w:r>
    </w:p>
    <w:p w14:paraId="4A484690">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2.本项目需要落实的政府采购政策</w:t>
      </w:r>
    </w:p>
    <w:p w14:paraId="5723C82C">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01E4E8AC">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42C1937D">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1315D757">
      <w:pPr>
        <w:spacing w:line="288"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（4）政府采购促</w:t>
      </w:r>
      <w:r>
        <w:rPr>
          <w:rFonts w:hint="eastAsia" w:ascii="宋体" w:hAnsi="宋体" w:eastAsia="宋体" w:cs="宋体"/>
          <w:color w:val="auto"/>
          <w:szCs w:val="21"/>
          <w:highlight w:val="none"/>
        </w:rPr>
        <w:t>进残疾人就业政策。</w:t>
      </w:r>
    </w:p>
    <w:p w14:paraId="733863D1">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（5）政府采购支持监狱企业发展。</w:t>
      </w:r>
    </w:p>
    <w:p w14:paraId="7AC0010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3.网上查询地址</w:t>
      </w:r>
    </w:p>
    <w:p w14:paraId="71484790">
      <w:pPr>
        <w:spacing w:line="288" w:lineRule="auto"/>
        <w:ind w:firstLine="630" w:firstLineChars="300"/>
        <w:rPr>
          <w:rFonts w:hint="eastAsia" w:ascii="宋体" w:hAnsi="宋体" w:eastAsia="宋体" w:cs="宋体"/>
          <w:color w:val="auto"/>
          <w:szCs w:val="21"/>
          <w:highlight w:val="none"/>
          <w:lang w:eastAsia="zh-CN" w:bidi="ar"/>
        </w:rPr>
      </w:pPr>
      <w:r>
        <w:rPr>
          <w:rFonts w:hint="eastAsia" w:ascii="宋体" w:hAnsi="宋体" w:cs="宋体"/>
          <w:b w:val="0"/>
          <w:bCs w:val="0"/>
          <w:color w:val="auto"/>
        </w:rPr>
        <w:fldChar w:fldCharType="begin"/>
      </w:r>
      <w:r>
        <w:rPr>
          <w:rFonts w:hint="eastAsia" w:ascii="宋体" w:hAnsi="宋体" w:cs="宋体"/>
          <w:b w:val="0"/>
          <w:bCs w:val="0"/>
          <w:color w:val="auto"/>
        </w:rPr>
        <w:instrText xml:space="preserve"> HYPERLINK "http://zfcg.gxzf.gov.cn/（广西壮族自治区政府采购网）、http:/ggzy.jgswj.gxzf.gov.cn/pbggzy/全国公共资源交易平台（广西•浦北）、http:/ggzy.jgswj.gxzf.gov.cn/qzggzy/全国公共资源交易平台（广西•钦州）、http:/www.gxpb.gov.cn/zwgk/（浦北县人民政府网）" </w:instrText>
      </w:r>
      <w:r>
        <w:rPr>
          <w:rFonts w:hint="eastAsia" w:ascii="宋体" w:hAnsi="宋体" w:cs="宋体"/>
          <w:b w:val="0"/>
          <w:bCs w:val="0"/>
          <w:color w:val="auto"/>
        </w:rPr>
        <w:fldChar w:fldCharType="separate"/>
      </w:r>
      <w:r>
        <w:rPr>
          <w:rFonts w:hint="eastAsia" w:ascii="宋体" w:hAnsi="宋体" w:cs="宋体"/>
          <w:b w:val="0"/>
          <w:bCs w:val="0"/>
          <w:color w:val="auto"/>
        </w:rPr>
        <w:t>http://zfcg.gxzf.gov.cn/（广西壮族自治区政府采购网）、</w:t>
      </w:r>
      <w:r>
        <w:rPr>
          <w:rFonts w:hint="eastAsia" w:ascii="宋体" w:hAnsi="宋体" w:eastAsia="宋体" w:cs="宋体"/>
          <w:i w:val="0"/>
          <w:iCs w:val="0"/>
          <w:caps w:val="0"/>
          <w:color w:val="auto"/>
          <w:spacing w:val="0"/>
          <w:sz w:val="21"/>
          <w:szCs w:val="21"/>
        </w:rPr>
        <w:t>http://www.ccgp.gov.cn/（中国政府采购网）</w:t>
      </w:r>
      <w:r>
        <w:rPr>
          <w:rFonts w:hint="eastAsia" w:ascii="宋体" w:hAnsi="宋体" w:cs="宋体"/>
          <w:i w:val="0"/>
          <w:iCs w:val="0"/>
          <w:caps w:val="0"/>
          <w:color w:val="auto"/>
          <w:spacing w:val="0"/>
          <w:sz w:val="21"/>
          <w:szCs w:val="21"/>
          <w:lang w:eastAsia="zh-CN"/>
        </w:rPr>
        <w:t>、</w:t>
      </w:r>
      <w:r>
        <w:rPr>
          <w:rFonts w:hint="eastAsia" w:ascii="宋体" w:hAnsi="宋体" w:cs="宋体"/>
          <w:b w:val="0"/>
          <w:bCs w:val="0"/>
          <w:color w:val="auto"/>
        </w:rPr>
        <w:t>http://ggzy.jgswj.gxzf.gov.cn/pbggzy/</w:t>
      </w:r>
      <w:r>
        <w:rPr>
          <w:rFonts w:hint="eastAsia" w:ascii="宋体" w:hAnsi="宋体" w:cs="宋体"/>
          <w:b w:val="0"/>
          <w:bCs w:val="0"/>
          <w:color w:val="auto"/>
          <w:lang w:val="zh-CN"/>
        </w:rPr>
        <w:t>全国公共资源交易平台</w:t>
      </w:r>
      <w:r>
        <w:rPr>
          <w:rFonts w:hint="eastAsia" w:ascii="宋体" w:hAnsi="宋体" w:cs="宋体"/>
          <w:b w:val="0"/>
          <w:bCs w:val="0"/>
          <w:color w:val="auto"/>
        </w:rPr>
        <w:t>（</w:t>
      </w:r>
      <w:r>
        <w:rPr>
          <w:rFonts w:hint="eastAsia" w:ascii="宋体" w:hAnsi="宋体" w:cs="宋体"/>
          <w:b w:val="0"/>
          <w:bCs w:val="0"/>
          <w:color w:val="auto"/>
          <w:lang w:val="zh-CN"/>
        </w:rPr>
        <w:t>广西</w:t>
      </w:r>
      <w:r>
        <w:rPr>
          <w:rFonts w:hint="eastAsia" w:ascii="宋体" w:hAnsi="宋体" w:cs="宋体"/>
          <w:b w:val="0"/>
          <w:bCs w:val="0"/>
          <w:color w:val="auto"/>
        </w:rPr>
        <w:t>•</w:t>
      </w:r>
      <w:r>
        <w:rPr>
          <w:rFonts w:hint="eastAsia" w:ascii="宋体" w:hAnsi="宋体" w:cs="宋体"/>
          <w:b w:val="0"/>
          <w:bCs w:val="0"/>
          <w:color w:val="auto"/>
          <w:lang w:val="zh-CN"/>
        </w:rPr>
        <w:t>浦北</w:t>
      </w:r>
      <w:r>
        <w:rPr>
          <w:rFonts w:hint="eastAsia" w:ascii="宋体" w:hAnsi="宋体" w:cs="宋体"/>
          <w:b w:val="0"/>
          <w:bCs w:val="0"/>
          <w:color w:val="auto"/>
        </w:rPr>
        <w:t>）</w:t>
      </w:r>
      <w:r>
        <w:rPr>
          <w:rFonts w:hint="eastAsia" w:ascii="宋体" w:hAnsi="宋体" w:cs="宋体"/>
          <w:b w:val="0"/>
          <w:bCs w:val="0"/>
          <w:color w:val="auto"/>
          <w:lang w:val="zh-CN"/>
        </w:rPr>
        <w:t>、</w:t>
      </w:r>
      <w:r>
        <w:rPr>
          <w:rFonts w:hint="eastAsia" w:ascii="宋体" w:hAnsi="宋体" w:cs="宋体"/>
          <w:b w:val="0"/>
          <w:bCs w:val="0"/>
          <w:color w:val="auto"/>
        </w:rPr>
        <w:t>http://ggzy.jgswj.gxzf.gov.cn/qzggzy/</w:t>
      </w:r>
      <w:r>
        <w:rPr>
          <w:rFonts w:hint="eastAsia" w:ascii="宋体" w:hAnsi="宋体" w:cs="宋体"/>
          <w:b w:val="0"/>
          <w:bCs w:val="0"/>
          <w:color w:val="auto"/>
          <w:lang w:val="zh-CN"/>
        </w:rPr>
        <w:t>全国公共资源交易平台</w:t>
      </w:r>
      <w:r>
        <w:rPr>
          <w:rFonts w:hint="eastAsia" w:ascii="宋体" w:hAnsi="宋体" w:cs="宋体"/>
          <w:b w:val="0"/>
          <w:bCs w:val="0"/>
          <w:color w:val="auto"/>
        </w:rPr>
        <w:t>（</w:t>
      </w:r>
      <w:r>
        <w:rPr>
          <w:rFonts w:hint="eastAsia" w:ascii="宋体" w:hAnsi="宋体" w:cs="宋体"/>
          <w:b w:val="0"/>
          <w:bCs w:val="0"/>
          <w:color w:val="auto"/>
          <w:lang w:val="zh-CN"/>
        </w:rPr>
        <w:t>广西</w:t>
      </w:r>
      <w:r>
        <w:rPr>
          <w:rFonts w:hint="eastAsia" w:ascii="宋体" w:hAnsi="宋体" w:cs="宋体"/>
          <w:b w:val="0"/>
          <w:bCs w:val="0"/>
          <w:color w:val="auto"/>
        </w:rPr>
        <w:t>•</w:t>
      </w:r>
      <w:r>
        <w:rPr>
          <w:rFonts w:hint="eastAsia" w:ascii="宋体" w:hAnsi="宋体" w:cs="宋体"/>
          <w:b w:val="0"/>
          <w:bCs w:val="0"/>
          <w:color w:val="auto"/>
          <w:lang w:val="zh-CN"/>
        </w:rPr>
        <w:t>钦州</w:t>
      </w:r>
      <w:r>
        <w:rPr>
          <w:rFonts w:hint="eastAsia" w:ascii="宋体" w:hAnsi="宋体" w:cs="宋体"/>
          <w:b w:val="0"/>
          <w:bCs w:val="0"/>
          <w:color w:val="auto"/>
        </w:rPr>
        <w:t>）</w:t>
      </w:r>
      <w:r>
        <w:rPr>
          <w:rFonts w:hint="eastAsia" w:ascii="宋体" w:hAnsi="宋体" w:cs="宋体"/>
          <w:b w:val="0"/>
          <w:bCs w:val="0"/>
          <w:color w:val="auto"/>
          <w:lang w:eastAsia="zh-CN"/>
        </w:rPr>
        <w:t>。</w:t>
      </w:r>
      <w:r>
        <w:rPr>
          <w:rFonts w:hint="eastAsia" w:ascii="宋体" w:hAnsi="宋体" w:cs="宋体"/>
          <w:b w:val="0"/>
          <w:bCs w:val="0"/>
          <w:color w:val="auto"/>
        </w:rPr>
        <w:fldChar w:fldCharType="end"/>
      </w:r>
    </w:p>
    <w:p w14:paraId="24C7BB46">
      <w:pPr>
        <w:widowControl/>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bidi="ar"/>
        </w:rPr>
        <w:t>监督部门：浦北县政府采购监督管理办公室   联系电话：0777-8314622</w:t>
      </w:r>
    </w:p>
    <w:p w14:paraId="5D902FEB">
      <w:pPr>
        <w:pStyle w:val="3"/>
        <w:pageBreakBefore w:val="0"/>
        <w:widowControl w:val="0"/>
        <w:kinsoku/>
        <w:wordWrap/>
        <w:overflowPunct/>
        <w:topLinePunct w:val="0"/>
        <w:bidi w:val="0"/>
        <w:adjustRightInd/>
        <w:spacing w:line="360" w:lineRule="auto"/>
        <w:textAlignment w:val="auto"/>
        <w:outlineLvl w:val="0"/>
        <w:rPr>
          <w:rFonts w:hint="eastAsia" w:ascii="宋体" w:hAnsi="宋体" w:eastAsia="宋体" w:cs="宋体"/>
          <w:bCs w:val="0"/>
          <w:color w:val="auto"/>
          <w:sz w:val="21"/>
          <w:szCs w:val="21"/>
          <w:highlight w:val="none"/>
        </w:rPr>
      </w:pPr>
      <w:bookmarkStart w:id="47" w:name="_Toc23726"/>
      <w:bookmarkStart w:id="48" w:name="_Toc227"/>
      <w:r>
        <w:rPr>
          <w:rFonts w:hint="eastAsia" w:ascii="宋体" w:hAnsi="宋体" w:eastAsia="宋体" w:cs="宋体"/>
          <w:bCs w:val="0"/>
          <w:color w:val="auto"/>
          <w:sz w:val="21"/>
          <w:szCs w:val="21"/>
          <w:highlight w:val="none"/>
        </w:rPr>
        <w:t>八、凡对本次采购提出询问，请按以下方式联系</w:t>
      </w:r>
      <w:bookmarkEnd w:id="43"/>
      <w:bookmarkEnd w:id="44"/>
      <w:bookmarkEnd w:id="45"/>
      <w:bookmarkEnd w:id="46"/>
      <w:bookmarkEnd w:id="47"/>
      <w:bookmarkEnd w:id="48"/>
    </w:p>
    <w:p w14:paraId="420C2C69">
      <w:pPr>
        <w:pStyle w:val="3"/>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bookmarkStart w:id="49" w:name="_Toc28359019"/>
      <w:bookmarkStart w:id="50" w:name="_Toc28359096"/>
      <w:bookmarkStart w:id="51" w:name="_Toc35393637"/>
      <w:bookmarkStart w:id="52" w:name="_Toc35393806"/>
      <w:r>
        <w:rPr>
          <w:rFonts w:hint="eastAsia" w:asciiTheme="minorEastAsia" w:hAnsiTheme="minorEastAsia" w:eastAsiaTheme="minorEastAsia" w:cstheme="minorEastAsia"/>
          <w:b w:val="0"/>
          <w:bCs w:val="0"/>
          <w:color w:val="auto"/>
          <w:kern w:val="0"/>
          <w:sz w:val="21"/>
          <w:szCs w:val="21"/>
          <w:highlight w:val="none"/>
          <w:lang w:val="en-US" w:eastAsia="zh-CN" w:bidi="ar-SA"/>
        </w:rPr>
        <w:t>1.采购人信息</w:t>
      </w:r>
      <w:bookmarkEnd w:id="49"/>
      <w:bookmarkEnd w:id="50"/>
      <w:bookmarkEnd w:id="51"/>
      <w:bookmarkEnd w:id="52"/>
    </w:p>
    <w:p w14:paraId="78D1F2AE">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名    称：浦北县小江街道办事处  </w:t>
      </w:r>
    </w:p>
    <w:p w14:paraId="7EF11DBE">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地    址：浦北县小江街道希望街18号   </w:t>
      </w:r>
    </w:p>
    <w:p w14:paraId="1FE2F520">
      <w:pPr>
        <w:pageBreakBefore w:val="0"/>
        <w:widowControl w:val="0"/>
        <w:kinsoku/>
        <w:wordWrap/>
        <w:overflowPunct/>
        <w:topLinePunct w:val="0"/>
        <w:bidi w:val="0"/>
        <w:adjustRightInd/>
        <w:spacing w:line="360" w:lineRule="auto"/>
        <w:ind w:left="1041" w:leftChars="371" w:hanging="262" w:hangingChars="125"/>
        <w:jc w:val="left"/>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项目联系人：张松</w:t>
      </w:r>
    </w:p>
    <w:p w14:paraId="7E7E3DDF">
      <w:pPr>
        <w:pageBreakBefore w:val="0"/>
        <w:widowControl w:val="0"/>
        <w:kinsoku/>
        <w:wordWrap/>
        <w:overflowPunct/>
        <w:topLinePunct w:val="0"/>
        <w:bidi w:val="0"/>
        <w:adjustRightInd/>
        <w:spacing w:line="360" w:lineRule="auto"/>
        <w:ind w:left="1041" w:leftChars="371" w:hanging="262" w:hangingChars="125"/>
        <w:jc w:val="left"/>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项目联系方式：13977752755</w:t>
      </w:r>
    </w:p>
    <w:p w14:paraId="09FF9469">
      <w:pPr>
        <w:pStyle w:val="3"/>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bookmarkStart w:id="53" w:name="_Toc28359020"/>
      <w:bookmarkStart w:id="54" w:name="_Toc28359097"/>
      <w:bookmarkStart w:id="55" w:name="_Toc35393638"/>
      <w:bookmarkStart w:id="56" w:name="_Toc35393807"/>
      <w:r>
        <w:rPr>
          <w:rFonts w:hint="eastAsia" w:asciiTheme="minorEastAsia" w:hAnsiTheme="minorEastAsia" w:eastAsiaTheme="minorEastAsia" w:cstheme="minorEastAsia"/>
          <w:b w:val="0"/>
          <w:bCs w:val="0"/>
          <w:color w:val="auto"/>
          <w:kern w:val="0"/>
          <w:sz w:val="21"/>
          <w:szCs w:val="21"/>
          <w:highlight w:val="none"/>
          <w:lang w:val="en-US" w:eastAsia="zh-CN" w:bidi="ar-SA"/>
        </w:rPr>
        <w:t>2.采购代理机构信息</w:t>
      </w:r>
      <w:bookmarkEnd w:id="53"/>
      <w:bookmarkEnd w:id="54"/>
      <w:bookmarkEnd w:id="55"/>
      <w:bookmarkEnd w:id="56"/>
    </w:p>
    <w:p w14:paraId="0FD8FA0A">
      <w:pPr>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名称：广西合士嘉项目咨询有限公司　</w:t>
      </w:r>
    </w:p>
    <w:p w14:paraId="69E013BF">
      <w:pPr>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地址：</w:t>
      </w:r>
      <w:bookmarkStart w:id="57" w:name="_Toc35393808"/>
      <w:bookmarkStart w:id="58" w:name="_Toc35393639"/>
      <w:bookmarkStart w:id="59" w:name="_Toc28359021"/>
      <w:bookmarkStart w:id="60" w:name="_Toc28359098"/>
      <w:r>
        <w:rPr>
          <w:rFonts w:hint="eastAsia" w:asciiTheme="minorEastAsia" w:hAnsiTheme="minorEastAsia" w:eastAsiaTheme="minorEastAsia" w:cstheme="minorEastAsia"/>
          <w:b w:val="0"/>
          <w:bCs w:val="0"/>
          <w:color w:val="auto"/>
          <w:kern w:val="0"/>
          <w:sz w:val="21"/>
          <w:szCs w:val="21"/>
          <w:highlight w:val="none"/>
          <w:lang w:val="en-US" w:eastAsia="zh-CN" w:bidi="ar-SA"/>
        </w:rPr>
        <w:t>浦北新城17栋111商铺   </w:t>
      </w:r>
    </w:p>
    <w:p w14:paraId="16772E1E">
      <w:pPr>
        <w:pStyle w:val="3"/>
        <w:pageBreakBefore w:val="0"/>
        <w:widowControl w:val="0"/>
        <w:kinsoku/>
        <w:wordWrap/>
        <w:overflowPunct/>
        <w:topLinePunct w:val="0"/>
        <w:bidi w:val="0"/>
        <w:adjustRightInd/>
        <w:spacing w:line="360" w:lineRule="auto"/>
        <w:ind w:firstLine="630" w:firstLineChars="300"/>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项目联系人：谢明莉</w:t>
      </w:r>
      <w:r>
        <w:rPr>
          <w:rFonts w:hint="eastAsia" w:asciiTheme="minorEastAsia" w:hAnsiTheme="minorEastAsia" w:eastAsiaTheme="minorEastAsia" w:cstheme="minorEastAsia"/>
          <w:b w:val="0"/>
          <w:bCs w:val="0"/>
          <w:color w:val="auto"/>
          <w:kern w:val="0"/>
          <w:sz w:val="21"/>
          <w:szCs w:val="21"/>
          <w:highlight w:val="none"/>
          <w:lang w:val="en-US" w:eastAsia="zh-CN" w:bidi="ar-SA"/>
        </w:rPr>
        <w:tab/>
      </w:r>
    </w:p>
    <w:p w14:paraId="66E83CAD">
      <w:pPr>
        <w:pStyle w:val="3"/>
        <w:pageBreakBefore w:val="0"/>
        <w:widowControl w:val="0"/>
        <w:kinsoku/>
        <w:wordWrap/>
        <w:overflowPunct/>
        <w:topLinePunct w:val="0"/>
        <w:bidi w:val="0"/>
        <w:adjustRightInd/>
        <w:spacing w:line="360" w:lineRule="auto"/>
        <w:ind w:firstLine="630" w:firstLineChars="300"/>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项目联系方式：</w:t>
      </w:r>
      <w:bookmarkEnd w:id="57"/>
      <w:bookmarkEnd w:id="58"/>
      <w:bookmarkEnd w:id="59"/>
      <w:bookmarkEnd w:id="60"/>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0777-8318828                       </w:t>
      </w:r>
    </w:p>
    <w:p w14:paraId="67A4B298">
      <w:pPr>
        <w:pStyle w:val="49"/>
        <w:numPr>
          <w:ilvl w:val="0"/>
          <w:numId w:val="0"/>
        </w:numPr>
        <w:rPr>
          <w:rFonts w:hint="eastAsia"/>
          <w:color w:val="auto"/>
          <w:highlight w:val="none"/>
          <w:lang w:val="en-US" w:eastAsia="zh-CN"/>
        </w:rPr>
      </w:pPr>
      <w:r>
        <w:rPr>
          <w:rFonts w:hint="eastAsia"/>
          <w:color w:val="auto"/>
          <w:highlight w:val="none"/>
          <w:lang w:val="en-US" w:eastAsia="zh-CN"/>
        </w:rPr>
        <w:t xml:space="preserve"> </w:t>
      </w:r>
    </w:p>
    <w:p w14:paraId="171E7A06">
      <w:pPr>
        <w:pStyle w:val="49"/>
        <w:numPr>
          <w:ilvl w:val="0"/>
          <w:numId w:val="0"/>
        </w:numPr>
        <w:rPr>
          <w:rFonts w:hint="eastAsia"/>
          <w:color w:val="auto"/>
          <w:highlight w:val="none"/>
          <w:lang w:val="en-US" w:eastAsia="zh-CN"/>
        </w:rPr>
      </w:pPr>
    </w:p>
    <w:p w14:paraId="3BE00FC0">
      <w:pPr>
        <w:pStyle w:val="49"/>
        <w:numPr>
          <w:ilvl w:val="0"/>
          <w:numId w:val="0"/>
        </w:numPr>
        <w:rPr>
          <w:rFonts w:hint="default"/>
          <w:color w:val="auto"/>
          <w:highlight w:val="none"/>
          <w:lang w:val="en-US" w:eastAsia="zh-CN"/>
        </w:rPr>
      </w:pPr>
    </w:p>
    <w:p w14:paraId="027DCDC6">
      <w:pPr>
        <w:rPr>
          <w:rFonts w:hint="eastAsia" w:asciiTheme="minorEastAsia" w:hAnsiTheme="minorEastAsia" w:eastAsiaTheme="minorEastAsia" w:cstheme="minorEastAsia"/>
          <w:b w:val="0"/>
          <w:bCs w:val="0"/>
          <w:color w:val="auto"/>
          <w:kern w:val="0"/>
          <w:sz w:val="21"/>
          <w:szCs w:val="21"/>
          <w:highlight w:val="none"/>
          <w:lang w:val="en-US" w:eastAsia="zh-CN" w:bidi="ar-SA"/>
        </w:rPr>
      </w:pPr>
    </w:p>
    <w:p w14:paraId="2BFE53D7">
      <w:pPr>
        <w:pStyle w:val="49"/>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宋体" w:hAnsi="宋体" w:cs="宋体"/>
          <w:color w:val="auto"/>
          <w:highlight w:val="none"/>
        </w:rPr>
        <w:t xml:space="preserve">                                                    </w:t>
      </w:r>
      <w:r>
        <w:rPr>
          <w:rFonts w:hint="eastAsia" w:asciiTheme="minorEastAsia" w:hAnsiTheme="minorEastAsia" w:eastAsiaTheme="minorEastAsia" w:cstheme="minorEastAsia"/>
          <w:b w:val="0"/>
          <w:bCs w:val="0"/>
          <w:color w:val="auto"/>
          <w:kern w:val="0"/>
          <w:sz w:val="21"/>
          <w:szCs w:val="21"/>
          <w:highlight w:val="none"/>
          <w:lang w:val="en-US" w:eastAsia="zh-CN" w:bidi="ar-SA"/>
        </w:rPr>
        <w:t>广西合士嘉项目咨询有限公司　</w:t>
      </w:r>
    </w:p>
    <w:p w14:paraId="01AC1084">
      <w:pPr>
        <w:pStyle w:val="49"/>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                                                       </w:t>
      </w:r>
      <w:r>
        <w:rPr>
          <w:rFonts w:hint="eastAsia" w:asciiTheme="minorEastAsia" w:hAnsiTheme="minorEastAsia" w:eastAsiaTheme="minorEastAsia" w:cstheme="minorEastAsia"/>
          <w:b w:val="0"/>
          <w:bCs w:val="0"/>
          <w:color w:val="FF0000"/>
          <w:kern w:val="0"/>
          <w:sz w:val="21"/>
          <w:szCs w:val="21"/>
          <w:highlight w:val="none"/>
          <w:lang w:val="en-US" w:eastAsia="zh-CN" w:bidi="ar-SA"/>
        </w:rPr>
        <w:t xml:space="preserve">  </w:t>
      </w:r>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  2025年10月14日</w:t>
      </w:r>
    </w:p>
    <w:p w14:paraId="36EE35F4">
      <w:pPr>
        <w:pStyle w:val="49"/>
        <w:rPr>
          <w:rFonts w:hint="eastAsia" w:ascii="宋体" w:hAnsi="宋体" w:eastAsia="宋体" w:cs="宋体"/>
          <w:b w:val="0"/>
          <w:color w:val="auto"/>
          <w:sz w:val="21"/>
          <w:szCs w:val="21"/>
          <w:highlight w:val="none"/>
          <w:lang w:val="en-US" w:eastAsia="zh-CN"/>
        </w:rPr>
      </w:pPr>
    </w:p>
    <w:p w14:paraId="77014396">
      <w:pPr>
        <w:pStyle w:val="49"/>
        <w:rPr>
          <w:rFonts w:hint="default" w:ascii="宋体" w:hAnsi="宋体" w:eastAsia="宋体" w:cs="宋体"/>
          <w:b w:val="0"/>
          <w:color w:val="auto"/>
          <w:sz w:val="21"/>
          <w:szCs w:val="21"/>
          <w:highlight w:val="none"/>
          <w:lang w:val="en-US" w:eastAsia="zh-CN"/>
        </w:rPr>
      </w:pPr>
    </w:p>
    <w:p w14:paraId="31CB79C6">
      <w:pPr>
        <w:pStyle w:val="49"/>
        <w:rPr>
          <w:rFonts w:hint="eastAsia" w:ascii="宋体" w:hAnsi="宋体"/>
          <w:color w:val="auto"/>
          <w:szCs w:val="21"/>
          <w:highlight w:val="none"/>
        </w:rPr>
      </w:pPr>
    </w:p>
    <w:p w14:paraId="6879E2E4">
      <w:pPr>
        <w:rPr>
          <w:rFonts w:hint="eastAsia" w:ascii="宋体" w:hAnsi="宋体"/>
          <w:color w:val="auto"/>
          <w:szCs w:val="21"/>
          <w:highlight w:val="none"/>
        </w:rPr>
      </w:pPr>
      <w:r>
        <w:rPr>
          <w:rFonts w:hint="eastAsia" w:ascii="宋体" w:hAnsi="宋体"/>
          <w:color w:val="auto"/>
          <w:szCs w:val="21"/>
          <w:highlight w:val="none"/>
        </w:rPr>
        <w:br w:type="page"/>
      </w:r>
    </w:p>
    <w:p w14:paraId="16A07B6E">
      <w:pPr>
        <w:numPr>
          <w:ilvl w:val="0"/>
          <w:numId w:val="1"/>
        </w:numPr>
        <w:jc w:val="center"/>
        <w:outlineLvl w:val="0"/>
        <w:rPr>
          <w:rFonts w:ascii="宋体" w:hAnsi="宋体" w:cs="宋体"/>
          <w:b/>
          <w:bCs/>
          <w:color w:val="auto"/>
          <w:spacing w:val="-14"/>
          <w:kern w:val="0"/>
          <w:position w:val="-6"/>
          <w:sz w:val="36"/>
          <w:szCs w:val="36"/>
          <w:highlight w:val="none"/>
        </w:rPr>
      </w:pPr>
      <w:bookmarkStart w:id="61" w:name="_Toc5416"/>
      <w:r>
        <w:rPr>
          <w:rFonts w:hint="eastAsia" w:ascii="宋体" w:hAnsi="宋体" w:cs="宋体"/>
          <w:b/>
          <w:bCs/>
          <w:color w:val="auto"/>
          <w:spacing w:val="-14"/>
          <w:kern w:val="0"/>
          <w:position w:val="-6"/>
          <w:sz w:val="36"/>
          <w:szCs w:val="36"/>
          <w:highlight w:val="none"/>
          <w:lang w:eastAsia="zh-CN"/>
        </w:rPr>
        <w:t>供应商</w:t>
      </w:r>
      <w:r>
        <w:rPr>
          <w:rFonts w:hint="eastAsia" w:ascii="宋体" w:hAnsi="宋体" w:cs="宋体"/>
          <w:b/>
          <w:bCs/>
          <w:color w:val="auto"/>
          <w:spacing w:val="-14"/>
          <w:kern w:val="0"/>
          <w:position w:val="-6"/>
          <w:sz w:val="36"/>
          <w:szCs w:val="36"/>
          <w:highlight w:val="none"/>
        </w:rPr>
        <w:t>须知前附表</w:t>
      </w:r>
      <w:bookmarkEnd w:id="61"/>
    </w:p>
    <w:bookmarkEnd w:id="2"/>
    <w:tbl>
      <w:tblPr>
        <w:tblStyle w:val="30"/>
        <w:tblpPr w:leftFromText="180" w:rightFromText="180" w:vertAnchor="text" w:horzAnchor="page" w:tblpX="1215" w:tblpY="304"/>
        <w:tblOverlap w:val="never"/>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03"/>
        <w:gridCol w:w="7053"/>
      </w:tblGrid>
      <w:tr w14:paraId="6131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8" w:type="dxa"/>
            <w:tcBorders>
              <w:top w:val="single" w:color="auto" w:sz="4" w:space="0"/>
              <w:left w:val="single" w:color="auto" w:sz="4" w:space="0"/>
              <w:bottom w:val="single" w:color="auto" w:sz="4" w:space="0"/>
              <w:right w:val="single" w:color="auto" w:sz="4" w:space="0"/>
            </w:tcBorders>
            <w:vAlign w:val="center"/>
          </w:tcPr>
          <w:p w14:paraId="4C83D33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2103" w:type="dxa"/>
            <w:tcBorders>
              <w:top w:val="single" w:color="auto" w:sz="4" w:space="0"/>
              <w:left w:val="single" w:color="auto" w:sz="4" w:space="0"/>
              <w:bottom w:val="single" w:color="auto" w:sz="4" w:space="0"/>
              <w:right w:val="single" w:color="auto" w:sz="4" w:space="0"/>
            </w:tcBorders>
            <w:vAlign w:val="center"/>
          </w:tcPr>
          <w:p w14:paraId="19E3644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条款名称</w:t>
            </w:r>
          </w:p>
        </w:tc>
        <w:tc>
          <w:tcPr>
            <w:tcW w:w="7053" w:type="dxa"/>
            <w:tcBorders>
              <w:top w:val="single" w:color="auto" w:sz="4" w:space="0"/>
              <w:left w:val="single" w:color="auto" w:sz="4" w:space="0"/>
              <w:bottom w:val="single" w:color="auto" w:sz="4" w:space="0"/>
              <w:right w:val="single" w:color="auto" w:sz="4" w:space="0"/>
            </w:tcBorders>
            <w:vAlign w:val="center"/>
          </w:tcPr>
          <w:p w14:paraId="55B37039">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内容</w:t>
            </w:r>
          </w:p>
        </w:tc>
      </w:tr>
      <w:tr w14:paraId="5E88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vAlign w:val="center"/>
          </w:tcPr>
          <w:p w14:paraId="0CDED58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2103" w:type="dxa"/>
            <w:tcBorders>
              <w:top w:val="single" w:color="auto" w:sz="4" w:space="0"/>
              <w:left w:val="single" w:color="auto" w:sz="4" w:space="0"/>
              <w:bottom w:val="single" w:color="auto" w:sz="4" w:space="0"/>
              <w:right w:val="single" w:color="auto" w:sz="4" w:space="0"/>
            </w:tcBorders>
            <w:vAlign w:val="center"/>
          </w:tcPr>
          <w:p w14:paraId="5CABFD6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项目名称和编号</w:t>
            </w:r>
          </w:p>
        </w:tc>
        <w:tc>
          <w:tcPr>
            <w:tcW w:w="7053" w:type="dxa"/>
            <w:tcBorders>
              <w:top w:val="single" w:color="auto" w:sz="4" w:space="0"/>
              <w:left w:val="single" w:color="auto" w:sz="4" w:space="0"/>
              <w:bottom w:val="single" w:color="auto" w:sz="4" w:space="0"/>
              <w:right w:val="single" w:color="auto" w:sz="4" w:space="0"/>
            </w:tcBorders>
            <w:vAlign w:val="center"/>
          </w:tcPr>
          <w:p w14:paraId="6AB6D04D">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eastAsia="宋体" w:cs="宋体"/>
                <w:color w:val="auto"/>
                <w:kern w:val="2"/>
                <w:sz w:val="21"/>
                <w:szCs w:val="21"/>
                <w:highlight w:val="none"/>
                <w:lang w:val="en-US" w:eastAsia="zh-CN" w:bidi="ar-SA"/>
              </w:rPr>
              <w:t>浦北县第四小学新运动场（岭头部分）土方平整工程</w:t>
            </w:r>
          </w:p>
          <w:p w14:paraId="7AC15B8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编号：</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gcy.zfcg.gxzf.gov.cn/gaea/api/project/flow/redirect?projectId=7226394966767697997&amp;newUrl=https://www.gcy.zfcg.gxzf.gov.cn/micro-app-back-index/blank?_flow_type_=agency&amp;_flow_projectId_=7226394966767697997&amp;_jump_page_type_=project_procurement_management_flow&amp;_app_=zcy.procurement&amp;oldUrl=https://www.gcy.zfcg.gxzf.gov.cn/project-center/_procurement_/project-result-detail/7226394966767697997&amp;utm=web-project-center-front.42c12ca3.0.0.248a6330a4f411f0892ee95888171440" \t "https://www.gcy.zfcg.gxzf.gov.cn/project-center/_procurement_/self-project/_blank"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QZZC2025-C2-220213-GXHS</w:t>
            </w:r>
            <w:r>
              <w:rPr>
                <w:rFonts w:hint="eastAsia" w:ascii="宋体" w:hAnsi="宋体" w:eastAsia="宋体" w:cs="宋体"/>
                <w:color w:val="auto"/>
                <w:kern w:val="2"/>
                <w:sz w:val="21"/>
                <w:szCs w:val="21"/>
                <w:highlight w:val="none"/>
                <w:lang w:val="en-US" w:eastAsia="zh-CN" w:bidi="ar-SA"/>
              </w:rPr>
              <w:fldChar w:fldCharType="end"/>
            </w:r>
          </w:p>
        </w:tc>
      </w:tr>
      <w:tr w14:paraId="69C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48" w:type="dxa"/>
            <w:tcBorders>
              <w:top w:val="single" w:color="auto" w:sz="4" w:space="0"/>
              <w:left w:val="single" w:color="auto" w:sz="4" w:space="0"/>
              <w:bottom w:val="single" w:color="auto" w:sz="4" w:space="0"/>
              <w:right w:val="single" w:color="auto" w:sz="4" w:space="0"/>
            </w:tcBorders>
            <w:vAlign w:val="center"/>
          </w:tcPr>
          <w:p w14:paraId="5BD7E8B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c>
          <w:tcPr>
            <w:tcW w:w="2103" w:type="dxa"/>
            <w:tcBorders>
              <w:top w:val="single" w:color="auto" w:sz="4" w:space="0"/>
              <w:left w:val="single" w:color="auto" w:sz="4" w:space="0"/>
              <w:bottom w:val="single" w:color="auto" w:sz="4" w:space="0"/>
              <w:right w:val="single" w:color="auto" w:sz="4" w:space="0"/>
            </w:tcBorders>
            <w:vAlign w:val="center"/>
          </w:tcPr>
          <w:p w14:paraId="0D26F21F">
            <w:pPr>
              <w:pStyle w:val="13"/>
              <w:keepNext w:val="0"/>
              <w:keepLines w:val="0"/>
              <w:pageBreakBefore w:val="0"/>
              <w:widowControl w:val="0"/>
              <w:kinsoku/>
              <w:wordWrap/>
              <w:overflowPunct/>
              <w:topLinePunct w:val="0"/>
              <w:autoSpaceDE/>
              <w:autoSpaceDN/>
              <w:bidi w:val="0"/>
              <w:adjustRightInd/>
              <w:spacing w:line="400" w:lineRule="exact"/>
              <w:jc w:val="center"/>
              <w:textAlignment w:val="auto"/>
              <w:rPr>
                <w:rFonts w:hAnsi="宋体" w:cs="宋体"/>
                <w:color w:val="auto"/>
                <w:highlight w:val="none"/>
              </w:rPr>
            </w:pPr>
            <w:r>
              <w:rPr>
                <w:rFonts w:hint="eastAsia"/>
                <w:color w:val="auto"/>
                <w:highlight w:val="none"/>
                <w:lang w:eastAsia="zh-CN"/>
              </w:rPr>
              <w:t>供应商</w:t>
            </w:r>
            <w:r>
              <w:rPr>
                <w:rFonts w:hint="eastAsia"/>
                <w:color w:val="auto"/>
                <w:highlight w:val="none"/>
              </w:rPr>
              <w:t>资格</w:t>
            </w:r>
          </w:p>
        </w:tc>
        <w:tc>
          <w:tcPr>
            <w:tcW w:w="7053" w:type="dxa"/>
            <w:tcBorders>
              <w:top w:val="single" w:color="auto" w:sz="4" w:space="0"/>
              <w:left w:val="single" w:color="auto" w:sz="4" w:space="0"/>
              <w:bottom w:val="single" w:color="auto" w:sz="4" w:space="0"/>
              <w:right w:val="single" w:color="auto" w:sz="4" w:space="0"/>
            </w:tcBorders>
            <w:vAlign w:val="center"/>
          </w:tcPr>
          <w:p w14:paraId="70FECDB2">
            <w:pPr>
              <w:keepNext w:val="0"/>
              <w:keepLines w:val="0"/>
              <w:pageBreakBefore w:val="0"/>
              <w:widowControl w:val="0"/>
              <w:kinsoku/>
              <w:wordWrap/>
              <w:overflowPunct/>
              <w:topLinePunct w:val="0"/>
              <w:autoSpaceDE/>
              <w:autoSpaceDN/>
              <w:bidi w:val="0"/>
              <w:adjustRightInd/>
              <w:spacing w:line="400" w:lineRule="exact"/>
              <w:jc w:val="left"/>
              <w:textAlignment w:val="auto"/>
              <w:rPr>
                <w:color w:val="auto"/>
                <w:highlight w:val="none"/>
              </w:rPr>
            </w:pPr>
            <w:bookmarkStart w:id="62" w:name="OLE_LINK8"/>
            <w:r>
              <w:rPr>
                <w:rFonts w:hint="eastAsia"/>
                <w:color w:val="auto"/>
                <w:highlight w:val="none"/>
                <w:lang w:eastAsia="zh-CN"/>
              </w:rPr>
              <w:t>供应商</w:t>
            </w:r>
            <w:r>
              <w:rPr>
                <w:rFonts w:hint="eastAsia"/>
                <w:color w:val="auto"/>
                <w:highlight w:val="none"/>
              </w:rPr>
              <w:t>资格</w:t>
            </w:r>
            <w:r>
              <w:rPr>
                <w:rFonts w:hint="eastAsia"/>
                <w:color w:val="auto"/>
                <w:highlight w:val="none"/>
                <w:lang w:eastAsia="zh-CN"/>
              </w:rPr>
              <w:t>要求</w:t>
            </w:r>
            <w:r>
              <w:rPr>
                <w:rFonts w:hint="eastAsia"/>
                <w:color w:val="auto"/>
                <w:highlight w:val="none"/>
              </w:rPr>
              <w:t>：</w:t>
            </w:r>
          </w:p>
          <w:bookmarkEnd w:id="62"/>
          <w:p w14:paraId="1CCD932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 xml:space="preserve">1.符合《中华人民共和国政府采购法》第二十二条规定。 </w:t>
            </w:r>
          </w:p>
          <w:p w14:paraId="59E2B8B1">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p>
          <w:p w14:paraId="25D3E2C7">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4F424172">
            <w:pPr>
              <w:spacing w:line="360" w:lineRule="auto"/>
              <w:rPr>
                <w:rFonts w:ascii="宋体" w:hAnsi="宋体" w:cs="宋体"/>
                <w:color w:val="auto"/>
                <w:szCs w:val="21"/>
                <w:highlight w:val="none"/>
              </w:rPr>
            </w:pP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15A8087C">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单位负责人为同</w:t>
            </w:r>
            <w:r>
              <w:rPr>
                <w:rFonts w:hint="eastAsia" w:ascii="宋体" w:hAnsi="宋体" w:eastAsia="宋体" w:cs="宋体"/>
                <w:color w:val="auto"/>
                <w:szCs w:val="21"/>
                <w:highlight w:val="none"/>
              </w:rPr>
              <w:t>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D3D24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134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648" w:type="dxa"/>
            <w:tcBorders>
              <w:top w:val="single" w:color="auto" w:sz="4" w:space="0"/>
              <w:left w:val="single" w:color="auto" w:sz="4" w:space="0"/>
              <w:bottom w:val="single" w:color="auto" w:sz="4" w:space="0"/>
              <w:right w:val="single" w:color="auto" w:sz="4" w:space="0"/>
            </w:tcBorders>
            <w:vAlign w:val="center"/>
          </w:tcPr>
          <w:p w14:paraId="4254494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3</w:t>
            </w:r>
          </w:p>
        </w:tc>
        <w:tc>
          <w:tcPr>
            <w:tcW w:w="2103" w:type="dxa"/>
            <w:tcBorders>
              <w:top w:val="single" w:color="auto" w:sz="4" w:space="0"/>
              <w:left w:val="single" w:color="auto" w:sz="4" w:space="0"/>
              <w:bottom w:val="single" w:color="auto" w:sz="4" w:space="0"/>
              <w:right w:val="single" w:color="auto" w:sz="4" w:space="0"/>
            </w:tcBorders>
            <w:vAlign w:val="center"/>
          </w:tcPr>
          <w:p w14:paraId="4F0F644D">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lang w:eastAsia="zh-CN"/>
              </w:rPr>
              <w:t>竞标</w:t>
            </w:r>
            <w:r>
              <w:rPr>
                <w:rFonts w:hint="eastAsia" w:ascii="宋体" w:hAnsi="宋体" w:cs="宋体"/>
                <w:color w:val="auto"/>
                <w:szCs w:val="21"/>
                <w:highlight w:val="none"/>
              </w:rPr>
              <w:t>报价</w:t>
            </w:r>
          </w:p>
        </w:tc>
        <w:tc>
          <w:tcPr>
            <w:tcW w:w="7053" w:type="dxa"/>
            <w:tcBorders>
              <w:top w:val="single" w:color="auto" w:sz="4" w:space="0"/>
              <w:left w:val="single" w:color="auto" w:sz="4" w:space="0"/>
              <w:bottom w:val="single" w:color="auto" w:sz="4" w:space="0"/>
              <w:right w:val="single" w:color="auto" w:sz="4" w:space="0"/>
            </w:tcBorders>
            <w:vAlign w:val="center"/>
          </w:tcPr>
          <w:p w14:paraId="35EF1798">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竞标</w:t>
            </w:r>
            <w:r>
              <w:rPr>
                <w:rFonts w:hint="eastAsia" w:ascii="宋体" w:hAnsi="宋体" w:cs="宋体"/>
                <w:color w:val="auto"/>
                <w:highlight w:val="none"/>
                <w:lang w:eastAsia="zh-CN"/>
              </w:rPr>
              <w:t>报价：</w:t>
            </w:r>
          </w:p>
          <w:p w14:paraId="0C8138AC">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1.供应商必须就所投项目的全部内容作完整唯一报价，漏项报价的或有选择的或有条件的报价，其磋商将视为无效。</w:t>
            </w:r>
          </w:p>
          <w:p w14:paraId="17C27B3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 xml:space="preserve">磋商报价为二次报价，第二次报价为最后报价。                            </w:t>
            </w:r>
          </w:p>
          <w:p w14:paraId="29D1773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highlight w:val="none"/>
                <w:lang w:eastAsia="zh-CN"/>
              </w:rPr>
              <w:t>2.本项目报价采用综合单价的方式，合同价在合同实施期间因市场价格波动可调整合同价格，合同价含服务资料、人员成本、服务费、管理、材料、利润、税金、政策性文件规定及合同包含的应有风险、责任等各项应有费用。</w:t>
            </w:r>
          </w:p>
        </w:tc>
      </w:tr>
      <w:tr w14:paraId="0D0A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48" w:type="dxa"/>
            <w:tcBorders>
              <w:top w:val="single" w:color="auto" w:sz="4" w:space="0"/>
              <w:left w:val="single" w:color="auto" w:sz="4" w:space="0"/>
              <w:bottom w:val="single" w:color="auto" w:sz="4" w:space="0"/>
              <w:right w:val="single" w:color="auto" w:sz="4" w:space="0"/>
            </w:tcBorders>
            <w:vAlign w:val="center"/>
          </w:tcPr>
          <w:p w14:paraId="1C22F0B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4</w:t>
            </w:r>
          </w:p>
        </w:tc>
        <w:tc>
          <w:tcPr>
            <w:tcW w:w="2103" w:type="dxa"/>
            <w:tcBorders>
              <w:top w:val="single" w:color="auto" w:sz="4" w:space="0"/>
              <w:left w:val="single" w:color="auto" w:sz="4" w:space="0"/>
              <w:bottom w:val="single" w:color="auto" w:sz="4" w:space="0"/>
              <w:right w:val="single" w:color="auto" w:sz="4" w:space="0"/>
            </w:tcBorders>
            <w:vAlign w:val="center"/>
          </w:tcPr>
          <w:p w14:paraId="7D9F722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响应文件电子版</w:t>
            </w:r>
            <w:r>
              <w:rPr>
                <w:rFonts w:hint="eastAsia" w:ascii="宋体" w:hAnsi="宋体" w:cs="宋体"/>
                <w:color w:val="auto"/>
                <w:szCs w:val="21"/>
                <w:highlight w:val="none"/>
                <w:lang w:val="en-US" w:eastAsia="zh-CN"/>
              </w:rPr>
              <w:t>要</w:t>
            </w:r>
            <w:r>
              <w:rPr>
                <w:rFonts w:hint="eastAsia" w:ascii="宋体" w:hAnsi="宋体" w:cs="宋体"/>
                <w:color w:val="auto"/>
                <w:szCs w:val="21"/>
                <w:highlight w:val="none"/>
              </w:rPr>
              <w:t>求</w:t>
            </w:r>
          </w:p>
        </w:tc>
        <w:tc>
          <w:tcPr>
            <w:tcW w:w="7053" w:type="dxa"/>
            <w:tcBorders>
              <w:top w:val="single" w:color="auto" w:sz="4" w:space="0"/>
              <w:left w:val="single" w:color="auto" w:sz="4" w:space="0"/>
              <w:bottom w:val="single" w:color="auto" w:sz="4" w:space="0"/>
              <w:right w:val="single" w:color="auto" w:sz="4" w:space="0"/>
            </w:tcBorders>
            <w:vAlign w:val="center"/>
          </w:tcPr>
          <w:p w14:paraId="005B1117">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735E4E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.响应文件电子版密封方式：电子响应文件通过平台有效CA加密后在“政采云”平台</w:t>
            </w:r>
            <w:r>
              <w:rPr>
                <w:rFonts w:hint="eastAsia" w:ascii="宋体" w:hAnsi="宋体" w:cs="Courier New"/>
                <w:color w:val="auto"/>
                <w:szCs w:val="21"/>
                <w:highlight w:val="none"/>
                <w:lang w:eastAsia="zh-CN"/>
              </w:rPr>
              <w:t>递交</w:t>
            </w:r>
            <w:r>
              <w:rPr>
                <w:rFonts w:hint="eastAsia" w:ascii="宋体" w:hAnsi="宋体" w:cs="Courier New"/>
                <w:color w:val="auto"/>
                <w:szCs w:val="21"/>
                <w:highlight w:val="none"/>
              </w:rPr>
              <w:t>。</w:t>
            </w:r>
          </w:p>
        </w:tc>
      </w:tr>
      <w:tr w14:paraId="1DC1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8" w:type="dxa"/>
            <w:tcBorders>
              <w:top w:val="single" w:color="auto" w:sz="4" w:space="0"/>
              <w:left w:val="single" w:color="auto" w:sz="4" w:space="0"/>
              <w:bottom w:val="single" w:color="auto" w:sz="4" w:space="0"/>
              <w:right w:val="single" w:color="auto" w:sz="4" w:space="0"/>
            </w:tcBorders>
            <w:vAlign w:val="center"/>
          </w:tcPr>
          <w:p w14:paraId="11CFF7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3274F6F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7053" w:type="dxa"/>
            <w:tcBorders>
              <w:top w:val="single" w:color="auto" w:sz="4" w:space="0"/>
              <w:left w:val="single" w:color="auto" w:sz="4" w:space="0"/>
              <w:bottom w:val="single" w:color="auto" w:sz="4" w:space="0"/>
              <w:right w:val="single" w:color="auto" w:sz="4" w:space="0"/>
            </w:tcBorders>
            <w:vAlign w:val="center"/>
          </w:tcPr>
          <w:p w14:paraId="057E9B66">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本项目不接受</w:t>
            </w:r>
            <w:r>
              <w:rPr>
                <w:color w:val="auto"/>
                <w:spacing w:val="-3"/>
                <w:sz w:val="21"/>
                <w:highlight w:val="none"/>
              </w:rPr>
              <w:t>电子备份响应文件</w:t>
            </w:r>
            <w:r>
              <w:rPr>
                <w:rFonts w:hint="eastAsia"/>
                <w:color w:val="auto"/>
                <w:spacing w:val="-3"/>
                <w:sz w:val="21"/>
                <w:highlight w:val="none"/>
                <w:lang w:eastAsia="zh-CN"/>
              </w:rPr>
              <w:t>。</w:t>
            </w:r>
          </w:p>
          <w:p w14:paraId="2E07A5A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color w:val="auto"/>
                <w:szCs w:val="21"/>
                <w:highlight w:val="none"/>
                <w:lang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本项目接受</w:t>
            </w:r>
            <w:r>
              <w:rPr>
                <w:color w:val="auto"/>
                <w:spacing w:val="-3"/>
                <w:sz w:val="21"/>
                <w:highlight w:val="none"/>
              </w:rPr>
              <w:t>电子备份响应文件</w:t>
            </w:r>
            <w:r>
              <w:rPr>
                <w:rFonts w:hint="eastAsia" w:ascii="宋体" w:hAnsi="宋体"/>
                <w:color w:val="auto"/>
                <w:szCs w:val="21"/>
                <w:highlight w:val="none"/>
                <w:lang w:eastAsia="zh-CN"/>
              </w:rPr>
              <w:t>。</w:t>
            </w:r>
          </w:p>
          <w:p w14:paraId="273CB29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color w:val="auto"/>
                <w:spacing w:val="-3"/>
                <w:sz w:val="21"/>
                <w:highlight w:val="none"/>
              </w:rPr>
            </w:pPr>
            <w:r>
              <w:rPr>
                <w:color w:val="auto"/>
                <w:spacing w:val="-3"/>
                <w:sz w:val="21"/>
                <w:highlight w:val="none"/>
              </w:rPr>
              <w:t>供应商</w:t>
            </w:r>
            <w:r>
              <w:rPr>
                <w:rFonts w:hint="eastAsia"/>
                <w:color w:val="auto"/>
                <w:spacing w:val="-3"/>
                <w:sz w:val="21"/>
                <w:highlight w:val="none"/>
                <w:lang w:eastAsia="zh-CN"/>
              </w:rPr>
              <w:t>可根据自身情况自行准备</w:t>
            </w:r>
            <w:r>
              <w:rPr>
                <w:color w:val="auto"/>
                <w:spacing w:val="-3"/>
                <w:sz w:val="21"/>
                <w:highlight w:val="none"/>
              </w:rPr>
              <w:t xml:space="preserve">电子备份响应文件： </w:t>
            </w:r>
          </w:p>
          <w:p w14:paraId="2DB40E14">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ascii="Times New Roman" w:hAnsi="Times New Roman" w:eastAsia="宋体" w:cs="Times New Roman"/>
                <w:color w:val="auto"/>
                <w:spacing w:val="-3"/>
                <w:sz w:val="21"/>
                <w:highlight w:val="none"/>
              </w:rPr>
            </w:pPr>
            <w:r>
              <w:rPr>
                <w:color w:val="auto"/>
                <w:spacing w:val="-3"/>
                <w:sz w:val="21"/>
                <w:highlight w:val="none"/>
              </w:rPr>
              <w:t>电子备份响应文件</w:t>
            </w:r>
            <w:r>
              <w:rPr>
                <w:color w:val="auto"/>
                <w:spacing w:val="-7"/>
                <w:sz w:val="21"/>
                <w:highlight w:val="none"/>
              </w:rPr>
              <w:t>以</w:t>
            </w:r>
            <w:r>
              <w:rPr>
                <w:rFonts w:hint="eastAsia"/>
                <w:color w:val="auto"/>
                <w:spacing w:val="-7"/>
                <w:sz w:val="21"/>
                <w:highlight w:val="none"/>
                <w:lang w:eastAsia="zh-CN"/>
              </w:rPr>
              <w:t>邮件</w:t>
            </w:r>
            <w:r>
              <w:rPr>
                <w:color w:val="auto"/>
                <w:spacing w:val="-10"/>
                <w:sz w:val="21"/>
                <w:highlight w:val="none"/>
              </w:rPr>
              <w:t>形式提供。数量</w:t>
            </w:r>
            <w:r>
              <w:rPr>
                <w:rFonts w:ascii="Times New Roman" w:hAnsi="Times New Roman" w:eastAsia="宋体" w:cs="Times New Roman"/>
                <w:color w:val="auto"/>
                <w:spacing w:val="-3"/>
                <w:sz w:val="21"/>
                <w:highlight w:val="none"/>
              </w:rPr>
              <w:t>为1份。</w:t>
            </w:r>
          </w:p>
          <w:p w14:paraId="257E66E3">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hint="eastAsia" w:cs="Times New Roman"/>
                <w:color w:val="auto"/>
                <w:spacing w:val="-3"/>
                <w:sz w:val="21"/>
                <w:highlight w:val="none"/>
                <w:lang w:eastAsia="zh-CN"/>
              </w:rPr>
            </w:pPr>
            <w:r>
              <w:rPr>
                <w:rFonts w:hint="eastAsia" w:cs="Times New Roman"/>
                <w:color w:val="auto"/>
                <w:spacing w:val="-3"/>
                <w:sz w:val="21"/>
                <w:highlight w:val="none"/>
                <w:lang w:eastAsia="zh-CN"/>
              </w:rPr>
              <w:t>电子备份响应文件接收邮箱：</w:t>
            </w:r>
            <w:r>
              <w:rPr>
                <w:rFonts w:hint="eastAsia" w:cs="Times New Roman"/>
                <w:color w:val="auto"/>
                <w:spacing w:val="-3"/>
                <w:sz w:val="21"/>
                <w:highlight w:val="none"/>
                <w:lang w:val="en-US" w:eastAsia="zh-CN"/>
              </w:rPr>
              <w:t>303419912@qq.com</w:t>
            </w:r>
            <w:r>
              <w:rPr>
                <w:rFonts w:hint="eastAsia" w:cs="Times New Roman"/>
                <w:color w:val="auto"/>
                <w:spacing w:val="-3"/>
                <w:sz w:val="21"/>
                <w:highlight w:val="none"/>
                <w:lang w:eastAsia="zh-CN"/>
              </w:rPr>
              <w:t>。</w:t>
            </w:r>
          </w:p>
          <w:p w14:paraId="73A1B369">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Times New Roman" w:hAnsi="Times New Roman" w:eastAsia="宋体" w:cs="Times New Roman"/>
                <w:b w:val="0"/>
                <w:bCs w:val="0"/>
                <w:color w:val="auto"/>
                <w:spacing w:val="-3"/>
                <w:sz w:val="21"/>
                <w:highlight w:val="none"/>
                <w:lang w:eastAsia="zh-CN"/>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3</w:t>
            </w:r>
            <w:r>
              <w:rPr>
                <w:rFonts w:hint="eastAsia" w:ascii="Times New Roman" w:hAnsi="Times New Roman" w:eastAsia="宋体" w:cs="Times New Roman"/>
                <w:b w:val="0"/>
                <w:bCs w:val="0"/>
                <w:color w:val="auto"/>
                <w:spacing w:val="-3"/>
                <w:sz w:val="21"/>
                <w:highlight w:val="none"/>
                <w:lang w:eastAsia="zh-CN"/>
              </w:rPr>
              <w:t>）</w:t>
            </w:r>
            <w:r>
              <w:rPr>
                <w:rFonts w:hint="eastAsia" w:cs="Times New Roman"/>
                <w:color w:val="auto"/>
                <w:spacing w:val="-3"/>
                <w:sz w:val="21"/>
                <w:highlight w:val="none"/>
                <w:lang w:eastAsia="zh-CN"/>
              </w:rPr>
              <w:t>电子备份响应文件</w:t>
            </w:r>
            <w:r>
              <w:rPr>
                <w:rFonts w:hint="eastAsia" w:cs="Times New Roman"/>
                <w:b w:val="0"/>
                <w:bCs w:val="0"/>
                <w:color w:val="auto"/>
                <w:spacing w:val="-3"/>
                <w:sz w:val="21"/>
                <w:highlight w:val="none"/>
                <w:lang w:eastAsia="zh-CN"/>
              </w:rPr>
              <w:t>提交截止</w:t>
            </w:r>
            <w:r>
              <w:rPr>
                <w:rFonts w:hint="eastAsia" w:ascii="Times New Roman" w:hAnsi="Times New Roman" w:eastAsia="宋体" w:cs="Times New Roman"/>
                <w:b w:val="0"/>
                <w:bCs w:val="0"/>
                <w:color w:val="auto"/>
                <w:spacing w:val="-3"/>
                <w:sz w:val="21"/>
                <w:highlight w:val="none"/>
                <w:lang w:eastAsia="zh-CN"/>
              </w:rPr>
              <w:t>时间：</w:t>
            </w:r>
            <w:r>
              <w:rPr>
                <w:rFonts w:hint="eastAsia" w:cs="Times New Roman"/>
                <w:b w:val="0"/>
                <w:bCs w:val="0"/>
                <w:color w:val="auto"/>
                <w:spacing w:val="-3"/>
                <w:sz w:val="21"/>
                <w:highlight w:val="none"/>
                <w:lang w:eastAsia="zh-CN"/>
              </w:rPr>
              <w:t>与</w:t>
            </w:r>
            <w:r>
              <w:rPr>
                <w:rFonts w:hint="eastAsia" w:ascii="宋体" w:hAnsi="宋体" w:eastAsia="宋体" w:cs="宋体"/>
                <w:bCs w:val="0"/>
                <w:color w:val="auto"/>
                <w:sz w:val="21"/>
                <w:szCs w:val="21"/>
                <w:highlight w:val="none"/>
              </w:rPr>
              <w:t>响应文件提交</w:t>
            </w:r>
            <w:r>
              <w:rPr>
                <w:rFonts w:hint="eastAsia" w:ascii="宋体" w:hAnsi="宋体" w:eastAsia="宋体" w:cs="宋体"/>
                <w:bCs w:val="0"/>
                <w:color w:val="auto"/>
                <w:sz w:val="21"/>
                <w:szCs w:val="21"/>
                <w:highlight w:val="none"/>
                <w:lang w:eastAsia="zh-CN"/>
              </w:rPr>
              <w:t>截止时间一致，逾期提交的不予受理。</w:t>
            </w:r>
          </w:p>
          <w:p w14:paraId="29C4EC1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val="0"/>
                <w:bCs w:val="0"/>
                <w:color w:val="auto"/>
                <w:szCs w:val="21"/>
                <w:highlight w:val="none"/>
                <w:lang w:eastAsia="zh-CN"/>
              </w:rPr>
            </w:pPr>
            <w:r>
              <w:rPr>
                <w:rFonts w:hint="eastAsia" w:ascii="宋体" w:hAnsi="宋体" w:eastAsia="宋体" w:cs="Times New Roman"/>
                <w:b w:val="0"/>
                <w:bCs w:val="0"/>
                <w:color w:val="auto"/>
                <w:szCs w:val="21"/>
                <w:highlight w:val="none"/>
                <w:lang w:eastAsia="zh-CN"/>
              </w:rPr>
              <w:t>（</w:t>
            </w:r>
            <w:r>
              <w:rPr>
                <w:rFonts w:hint="eastAsia" w:ascii="宋体" w:hAnsi="宋体" w:cs="Times New Roman"/>
                <w:b w:val="0"/>
                <w:bCs w:val="0"/>
                <w:color w:val="auto"/>
                <w:szCs w:val="21"/>
                <w:highlight w:val="none"/>
                <w:lang w:val="en-US" w:eastAsia="zh-CN"/>
              </w:rPr>
              <w:t>4</w:t>
            </w:r>
            <w:r>
              <w:rPr>
                <w:rFonts w:hint="eastAsia" w:ascii="宋体" w:hAnsi="宋体" w:eastAsia="宋体" w:cs="Times New Roman"/>
                <w:b w:val="0"/>
                <w:bCs w:val="0"/>
                <w:color w:val="auto"/>
                <w:szCs w:val="21"/>
                <w:highlight w:val="none"/>
                <w:lang w:eastAsia="zh-CN"/>
              </w:rPr>
              <w:t>）供应商邮件发送的内容如下：</w:t>
            </w:r>
          </w:p>
          <w:p w14:paraId="7B15943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项目名称：</w:t>
            </w:r>
            <w:r>
              <w:rPr>
                <w:rFonts w:hint="eastAsia" w:ascii="宋体" w:hAnsi="宋体" w:eastAsia="宋体" w:cs="宋体"/>
                <w:b w:val="0"/>
                <w:bCs w:val="0"/>
                <w:color w:val="auto"/>
                <w:spacing w:val="0"/>
                <w:sz w:val="21"/>
                <w:szCs w:val="21"/>
                <w:highlight w:val="none"/>
                <w:u w:val="single"/>
                <w:lang w:val="en-US" w:eastAsia="zh-CN"/>
              </w:rPr>
              <w:t xml:space="preserve">                 </w:t>
            </w:r>
          </w:p>
          <w:p w14:paraId="6E3FAA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eastAsia="宋体" w:cs="宋体"/>
                <w:b w:val="0"/>
                <w:bCs w:val="0"/>
                <w:color w:val="auto"/>
                <w:spacing w:val="0"/>
                <w:sz w:val="21"/>
                <w:szCs w:val="21"/>
                <w:highlight w:val="none"/>
                <w:u w:val="none"/>
                <w:lang w:eastAsia="zh-CN"/>
              </w:rPr>
              <w:t>项目编号</w:t>
            </w:r>
            <w:r>
              <w:rPr>
                <w:rFonts w:hint="eastAsia" w:ascii="宋体" w:hAnsi="宋体" w:eastAsia="宋体" w:cs="宋体"/>
                <w:b w:val="0"/>
                <w:bCs w:val="0"/>
                <w:color w:val="auto"/>
                <w:spacing w:val="0"/>
                <w:sz w:val="21"/>
                <w:szCs w:val="21"/>
                <w:highlight w:val="none"/>
                <w:u w:val="single"/>
                <w:lang w:eastAsia="zh-CN"/>
              </w:rPr>
              <w:t>：</w:t>
            </w:r>
            <w:r>
              <w:rPr>
                <w:rFonts w:hint="eastAsia" w:ascii="宋体" w:hAnsi="宋体" w:eastAsia="宋体" w:cs="宋体"/>
                <w:b w:val="0"/>
                <w:bCs w:val="0"/>
                <w:color w:val="auto"/>
                <w:spacing w:val="0"/>
                <w:sz w:val="21"/>
                <w:szCs w:val="21"/>
                <w:highlight w:val="none"/>
                <w:u w:val="single"/>
                <w:lang w:val="en-US" w:eastAsia="zh-CN"/>
              </w:rPr>
              <w:t xml:space="preserve">                 </w:t>
            </w:r>
          </w:p>
          <w:p w14:paraId="3838716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cs="宋体"/>
                <w:b w:val="0"/>
                <w:bCs w:val="0"/>
                <w:color w:val="auto"/>
                <w:spacing w:val="0"/>
                <w:sz w:val="21"/>
                <w:szCs w:val="21"/>
                <w:highlight w:val="none"/>
                <w:u w:val="none"/>
                <w:lang w:eastAsia="zh-CN"/>
              </w:rPr>
              <w:t>分标号</w:t>
            </w:r>
            <w:r>
              <w:rPr>
                <w:rFonts w:hint="eastAsia" w:ascii="宋体" w:hAnsi="宋体" w:eastAsia="宋体" w:cs="宋体"/>
                <w:b w:val="0"/>
                <w:bCs w:val="0"/>
                <w:color w:val="auto"/>
                <w:spacing w:val="0"/>
                <w:sz w:val="21"/>
                <w:szCs w:val="21"/>
                <w:highlight w:val="none"/>
                <w:u w:val="none"/>
                <w:lang w:eastAsia="zh-CN"/>
              </w:rPr>
              <w:t>（如有）：</w:t>
            </w:r>
            <w:r>
              <w:rPr>
                <w:rFonts w:hint="eastAsia" w:ascii="宋体" w:hAnsi="宋体" w:eastAsia="宋体" w:cs="宋体"/>
                <w:b w:val="0"/>
                <w:bCs w:val="0"/>
                <w:color w:val="auto"/>
                <w:spacing w:val="0"/>
                <w:sz w:val="21"/>
                <w:szCs w:val="21"/>
                <w:highlight w:val="none"/>
                <w:u w:val="single"/>
                <w:lang w:val="en-US" w:eastAsia="zh-CN"/>
              </w:rPr>
              <w:t xml:space="preserve">                 </w:t>
            </w:r>
          </w:p>
          <w:p w14:paraId="6C4884E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供应商名称：</w:t>
            </w:r>
            <w:r>
              <w:rPr>
                <w:rFonts w:hint="eastAsia" w:ascii="宋体" w:hAnsi="宋体" w:eastAsia="宋体" w:cs="宋体"/>
                <w:b w:val="0"/>
                <w:bCs w:val="0"/>
                <w:color w:val="auto"/>
                <w:spacing w:val="0"/>
                <w:sz w:val="21"/>
                <w:szCs w:val="21"/>
                <w:highlight w:val="none"/>
                <w:u w:val="single"/>
                <w:lang w:val="en-US" w:eastAsia="zh-CN"/>
              </w:rPr>
              <w:t xml:space="preserve">                 </w:t>
            </w:r>
          </w:p>
          <w:p w14:paraId="16043C46">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法定代表人或其委托代理人姓名：</w:t>
            </w:r>
            <w:r>
              <w:rPr>
                <w:rFonts w:hint="eastAsia" w:ascii="宋体" w:hAnsi="宋体" w:eastAsia="宋体" w:cs="宋体"/>
                <w:b w:val="0"/>
                <w:bCs w:val="0"/>
                <w:color w:val="auto"/>
                <w:spacing w:val="0"/>
                <w:sz w:val="21"/>
                <w:szCs w:val="21"/>
                <w:highlight w:val="none"/>
                <w:u w:val="single"/>
                <w:lang w:val="en-US" w:eastAsia="zh-CN"/>
              </w:rPr>
              <w:t xml:space="preserve">                  </w:t>
            </w:r>
          </w:p>
          <w:p w14:paraId="497BB4CA">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Times New Roman"/>
                <w:b w:val="0"/>
                <w:bCs w:val="0"/>
                <w:color w:val="auto"/>
                <w:szCs w:val="21"/>
                <w:highlight w:val="none"/>
                <w:u w:val="single"/>
                <w:lang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法定代表人或其委托代理人手机号码：</w:t>
            </w:r>
            <w:r>
              <w:rPr>
                <w:rFonts w:hint="eastAsia" w:ascii="宋体" w:hAnsi="宋体" w:eastAsia="宋体" w:cs="宋体"/>
                <w:b w:val="0"/>
                <w:bCs w:val="0"/>
                <w:color w:val="auto"/>
                <w:spacing w:val="0"/>
                <w:sz w:val="21"/>
                <w:szCs w:val="21"/>
                <w:highlight w:val="none"/>
                <w:u w:val="single"/>
                <w:lang w:val="en-US" w:eastAsia="zh-CN"/>
              </w:rPr>
              <w:t xml:space="preserve">                  </w:t>
            </w:r>
          </w:p>
          <w:p w14:paraId="0CC0C34E">
            <w:pPr>
              <w:pStyle w:val="9"/>
              <w:keepNext w:val="0"/>
              <w:keepLines w:val="0"/>
              <w:pageBreakBefore w:val="0"/>
              <w:widowControl w:val="0"/>
              <w:kinsoku/>
              <w:wordWrap/>
              <w:overflowPunct/>
              <w:topLinePunct w:val="0"/>
              <w:autoSpaceDE/>
              <w:autoSpaceDN/>
              <w:bidi w:val="0"/>
              <w:adjustRightInd/>
              <w:spacing w:line="400" w:lineRule="exact"/>
              <w:ind w:left="0" w:leftChars="0"/>
              <w:textAlignment w:val="auto"/>
              <w:rPr>
                <w:rFonts w:hint="eastAsia" w:ascii="宋体" w:hAnsi="宋体" w:cs="宋体"/>
                <w:color w:val="auto"/>
                <w:szCs w:val="21"/>
                <w:highlight w:val="none"/>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5</w:t>
            </w:r>
            <w:r>
              <w:rPr>
                <w:rFonts w:hint="eastAsia" w:ascii="Times New Roman" w:hAnsi="Times New Roman" w:eastAsia="宋体" w:cs="Times New Roman"/>
                <w:b w:val="0"/>
                <w:bCs w:val="0"/>
                <w:color w:val="auto"/>
                <w:spacing w:val="-3"/>
                <w:sz w:val="21"/>
                <w:highlight w:val="none"/>
                <w:lang w:eastAsia="zh-CN"/>
              </w:rPr>
              <w:t>）</w:t>
            </w:r>
            <w:r>
              <w:rPr>
                <w:rFonts w:ascii="Times New Roman" w:hAnsi="Times New Roman" w:eastAsia="宋体" w:cs="Times New Roman"/>
                <w:b w:val="0"/>
                <w:bCs w:val="0"/>
                <w:color w:val="auto"/>
                <w:spacing w:val="-3"/>
                <w:sz w:val="21"/>
                <w:highlight w:val="none"/>
              </w:rPr>
              <w:t>响应文件启用顺序和效力：响应文件的启用，按先后顺位</w:t>
            </w:r>
            <w:r>
              <w:rPr>
                <w:rFonts w:ascii="Times New Roman" w:hAnsi="Times New Roman" w:eastAsia="宋体" w:cs="Times New Roman"/>
                <w:color w:val="auto"/>
                <w:spacing w:val="-3"/>
                <w:sz w:val="21"/>
                <w:highlight w:val="none"/>
              </w:rPr>
              <w:t>分别为</w:t>
            </w:r>
            <w:r>
              <w:rPr>
                <w:rFonts w:hint="eastAsia" w:cs="Times New Roman"/>
                <w:color w:val="auto"/>
                <w:spacing w:val="-3"/>
                <w:sz w:val="21"/>
                <w:highlight w:val="none"/>
                <w:lang w:eastAsia="zh-CN"/>
              </w:rPr>
              <w:t>广西政府采购云平台上传的加密</w:t>
            </w:r>
            <w:r>
              <w:rPr>
                <w:rFonts w:ascii="Times New Roman" w:hAnsi="Times New Roman" w:eastAsia="宋体" w:cs="Times New Roman"/>
                <w:color w:val="auto"/>
                <w:spacing w:val="-3"/>
                <w:sz w:val="21"/>
                <w:highlight w:val="none"/>
              </w:rPr>
              <w:t>电子响应文件、以</w:t>
            </w:r>
            <w:r>
              <w:rPr>
                <w:rFonts w:hint="eastAsia" w:cs="Times New Roman"/>
                <w:color w:val="auto"/>
                <w:spacing w:val="-3"/>
                <w:sz w:val="21"/>
                <w:highlight w:val="none"/>
                <w:lang w:eastAsia="zh-CN"/>
              </w:rPr>
              <w:t>邮件</w:t>
            </w:r>
            <w:r>
              <w:rPr>
                <w:rFonts w:ascii="Times New Roman" w:hAnsi="Times New Roman" w:eastAsia="宋体" w:cs="Times New Roman"/>
                <w:color w:val="auto"/>
                <w:spacing w:val="-3"/>
                <w:sz w:val="21"/>
                <w:highlight w:val="none"/>
              </w:rPr>
              <w:t>形式</w:t>
            </w:r>
            <w:r>
              <w:rPr>
                <w:rFonts w:hint="eastAsia" w:cs="Times New Roman"/>
                <w:color w:val="auto"/>
                <w:spacing w:val="-3"/>
                <w:sz w:val="21"/>
                <w:highlight w:val="none"/>
                <w:lang w:eastAsia="zh-CN"/>
              </w:rPr>
              <w:t>提交</w:t>
            </w:r>
            <w:r>
              <w:rPr>
                <w:rFonts w:ascii="Times New Roman" w:hAnsi="Times New Roman" w:eastAsia="宋体" w:cs="Times New Roman"/>
                <w:color w:val="auto"/>
                <w:spacing w:val="-3"/>
                <w:sz w:val="21"/>
                <w:highlight w:val="none"/>
              </w:rPr>
              <w:t>的电子备份响应文件。顺位在先的响应文件已按时解密的</w:t>
            </w:r>
            <w:r>
              <w:rPr>
                <w:rFonts w:hint="eastAsia" w:ascii="Times New Roman" w:hAnsi="Times New Roman" w:eastAsia="宋体" w:cs="Times New Roman"/>
                <w:color w:val="auto"/>
                <w:spacing w:val="-3"/>
                <w:sz w:val="21"/>
                <w:highlight w:val="none"/>
                <w:lang w:eastAsia="zh-CN"/>
              </w:rPr>
              <w:t>，</w:t>
            </w:r>
            <w:r>
              <w:rPr>
                <w:rFonts w:ascii="Times New Roman" w:hAnsi="Times New Roman" w:eastAsia="宋体" w:cs="Times New Roman"/>
                <w:color w:val="auto"/>
                <w:spacing w:val="-3"/>
                <w:sz w:val="21"/>
                <w:highlight w:val="none"/>
              </w:rPr>
              <w:t>下一顺位响应文件自动失效。在下一顺位的响应文件启用时，前一顺位的响应文件自动失效。</w:t>
            </w:r>
          </w:p>
        </w:tc>
      </w:tr>
      <w:tr w14:paraId="224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288D604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E345F55">
            <w:pPr>
              <w:keepNext w:val="0"/>
              <w:keepLines w:val="0"/>
              <w:pageBreakBefore w:val="0"/>
              <w:widowControl w:val="0"/>
              <w:kinsoku/>
              <w:wordWrap/>
              <w:overflowPunct/>
              <w:topLinePunct w:val="0"/>
              <w:autoSpaceDE/>
              <w:autoSpaceDN/>
              <w:bidi w:val="0"/>
              <w:adjustRightInd/>
              <w:spacing w:line="400" w:lineRule="exact"/>
              <w:jc w:val="center"/>
              <w:textAlignment w:val="auto"/>
              <w:rPr>
                <w:color w:val="auto"/>
                <w:highlight w:val="none"/>
              </w:rPr>
            </w:pPr>
            <w:r>
              <w:rPr>
                <w:rFonts w:hint="eastAsia"/>
                <w:color w:val="auto"/>
                <w:highlight w:val="none"/>
                <w:lang w:eastAsia="zh-CN"/>
              </w:rPr>
              <w:t>竞标</w:t>
            </w:r>
            <w:r>
              <w:rPr>
                <w:rFonts w:hint="eastAsia"/>
                <w:color w:val="auto"/>
                <w:highlight w:val="none"/>
              </w:rPr>
              <w:t>有效期</w:t>
            </w:r>
          </w:p>
        </w:tc>
        <w:tc>
          <w:tcPr>
            <w:tcW w:w="7053" w:type="dxa"/>
            <w:tcBorders>
              <w:top w:val="single" w:color="auto" w:sz="4" w:space="0"/>
              <w:left w:val="single" w:color="auto" w:sz="4" w:space="0"/>
              <w:bottom w:val="single" w:color="auto" w:sz="4" w:space="0"/>
              <w:right w:val="single" w:color="auto" w:sz="4" w:space="0"/>
            </w:tcBorders>
            <w:vAlign w:val="center"/>
          </w:tcPr>
          <w:p w14:paraId="31342416">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有效期：</w:t>
            </w: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截止日期后60天</w:t>
            </w:r>
          </w:p>
        </w:tc>
      </w:tr>
      <w:tr w14:paraId="4421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400506A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103" w:type="dxa"/>
            <w:tcBorders>
              <w:top w:val="single" w:color="auto" w:sz="4" w:space="0"/>
              <w:left w:val="single" w:color="auto" w:sz="4" w:space="0"/>
              <w:bottom w:val="single" w:color="auto" w:sz="4" w:space="0"/>
              <w:right w:val="single" w:color="auto" w:sz="4" w:space="0"/>
            </w:tcBorders>
            <w:vAlign w:val="center"/>
          </w:tcPr>
          <w:p w14:paraId="4B60DA8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磋商保证金</w:t>
            </w:r>
          </w:p>
        </w:tc>
        <w:tc>
          <w:tcPr>
            <w:tcW w:w="7053" w:type="dxa"/>
            <w:tcBorders>
              <w:top w:val="single" w:color="auto" w:sz="4" w:space="0"/>
              <w:left w:val="single" w:color="auto" w:sz="4" w:space="0"/>
              <w:bottom w:val="single" w:color="auto" w:sz="4" w:space="0"/>
              <w:right w:val="single" w:color="auto" w:sz="4" w:space="0"/>
            </w:tcBorders>
            <w:vAlign w:val="center"/>
          </w:tcPr>
          <w:p w14:paraId="0E589B79">
            <w:pPr>
              <w:pStyle w:val="13"/>
              <w:spacing w:line="288" w:lineRule="auto"/>
              <w:rPr>
                <w:rFonts w:hint="default" w:hAnsi="宋体" w:cs="宋体"/>
                <w:color w:val="auto"/>
                <w:kern w:val="0"/>
                <w:szCs w:val="21"/>
                <w:highlight w:val="none"/>
                <w:lang w:val="en-US" w:eastAsia="zh-CN"/>
              </w:rPr>
            </w:pPr>
            <w:r>
              <w:rPr>
                <w:rFonts w:hint="eastAsia" w:hAnsi="宋体" w:cs="宋体"/>
                <w:color w:val="auto"/>
                <w:kern w:val="0"/>
                <w:szCs w:val="21"/>
                <w:highlight w:val="none"/>
                <w:lang w:eastAsia="zh-CN"/>
              </w:rPr>
              <w:t>本项目是否要求收取磋商保证金：</w:t>
            </w:r>
            <w:r>
              <w:rPr>
                <w:rFonts w:hint="eastAsia" w:hAnsi="宋体" w:cs="宋体"/>
                <w:color w:val="auto"/>
                <w:kern w:val="0"/>
                <w:szCs w:val="21"/>
                <w:highlight w:val="none"/>
                <w:lang w:val="en-US" w:eastAsia="zh-CN"/>
              </w:rPr>
              <w:sym w:font="Wingdings" w:char="00A8"/>
            </w:r>
            <w:r>
              <w:rPr>
                <w:rFonts w:hint="eastAsia" w:hAnsi="宋体" w:cs="宋体"/>
                <w:color w:val="auto"/>
                <w:kern w:val="0"/>
                <w:szCs w:val="21"/>
                <w:highlight w:val="none"/>
                <w:lang w:val="en-US" w:eastAsia="zh-CN"/>
              </w:rPr>
              <w:t xml:space="preserve">要求   </w:t>
            </w:r>
            <w:r>
              <w:rPr>
                <w:rFonts w:hint="eastAsia" w:hAnsi="宋体" w:cs="宋体"/>
                <w:color w:val="auto"/>
                <w:kern w:val="0"/>
                <w:szCs w:val="21"/>
                <w:highlight w:val="none"/>
                <w:lang w:val="en-US" w:eastAsia="zh-CN"/>
              </w:rPr>
              <w:sym w:font="Wingdings" w:char="00FE"/>
            </w:r>
            <w:r>
              <w:rPr>
                <w:rFonts w:hint="eastAsia" w:hAnsi="宋体" w:cs="宋体"/>
                <w:color w:val="auto"/>
                <w:kern w:val="0"/>
                <w:szCs w:val="21"/>
                <w:highlight w:val="none"/>
                <w:lang w:val="en-US" w:eastAsia="zh-CN"/>
              </w:rPr>
              <w:t>不要求</w:t>
            </w:r>
          </w:p>
          <w:p w14:paraId="204187CB">
            <w:pPr>
              <w:pStyle w:val="13"/>
              <w:spacing w:line="288" w:lineRule="auto"/>
              <w:rPr>
                <w:rFonts w:hAnsi="宋体" w:cs="宋体"/>
                <w:color w:val="auto"/>
                <w:kern w:val="0"/>
                <w:szCs w:val="21"/>
                <w:highlight w:val="none"/>
              </w:rPr>
            </w:pP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w:t>
            </w:r>
            <w:bookmarkStart w:id="63" w:name="OLE_LINK18"/>
            <w:r>
              <w:rPr>
                <w:rFonts w:hint="eastAsia" w:hAnsi="宋体" w:cs="宋体"/>
                <w:color w:val="auto"/>
                <w:kern w:val="0"/>
                <w:szCs w:val="21"/>
                <w:highlight w:val="none"/>
              </w:rPr>
              <w:t>:</w:t>
            </w:r>
            <w:bookmarkEnd w:id="63"/>
            <w:r>
              <w:rPr>
                <w:rFonts w:hint="eastAsia" w:hAnsi="宋体"/>
                <w:color w:val="auto"/>
                <w:szCs w:val="21"/>
                <w:highlight w:val="none"/>
                <w:lang w:val="en-US" w:eastAsia="zh-CN"/>
              </w:rPr>
              <w:t>0元</w:t>
            </w:r>
            <w:r>
              <w:rPr>
                <w:rFonts w:hint="eastAsia" w:hAnsi="宋体" w:cs="宋体"/>
                <w:color w:val="auto"/>
                <w:kern w:val="0"/>
                <w:szCs w:val="21"/>
                <w:highlight w:val="none"/>
              </w:rPr>
              <w:t>。</w:t>
            </w:r>
          </w:p>
          <w:p w14:paraId="14707384">
            <w:pPr>
              <w:pStyle w:val="13"/>
              <w:spacing w:line="288" w:lineRule="auto"/>
              <w:rPr>
                <w:rFonts w:hAnsi="宋体" w:cs="宋体"/>
                <w:color w:val="auto"/>
                <w:kern w:val="0"/>
                <w:szCs w:val="21"/>
                <w:highlight w:val="none"/>
              </w:rPr>
            </w:pPr>
            <w:r>
              <w:rPr>
                <w:rFonts w:hint="eastAsia" w:hAnsi="宋体"/>
                <w:color w:val="auto"/>
                <w:szCs w:val="21"/>
                <w:highlight w:val="none"/>
                <w:lang w:eastAsia="zh-CN"/>
              </w:rPr>
              <w:t>磋商</w:t>
            </w:r>
            <w:r>
              <w:rPr>
                <w:rFonts w:hint="eastAsia" w:hAnsi="宋体"/>
                <w:color w:val="auto"/>
                <w:szCs w:val="21"/>
                <w:highlight w:val="none"/>
              </w:rPr>
              <w:t>保证金缴纳形式：银行转账、支票、汇票、本票或者银行、保险机构出具的保函，禁止采用现钞方式。</w:t>
            </w:r>
          </w:p>
          <w:p w14:paraId="4ACB0CF6">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采用银行转账方式的，</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标人将</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保证金从</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标人基本账户转出交至以下指定的</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保证金专用账户，且提交到指定账户时间不得迟于</w:t>
            </w:r>
            <w:r>
              <w:rPr>
                <w:rFonts w:hint="eastAsia" w:hAnsi="宋体" w:cs="宋体"/>
                <w:color w:val="auto"/>
                <w:kern w:val="0"/>
                <w:szCs w:val="21"/>
                <w:highlight w:val="none"/>
                <w:lang w:eastAsia="zh-CN"/>
              </w:rPr>
              <w:t>响应文件提交</w:t>
            </w:r>
            <w:r>
              <w:rPr>
                <w:rFonts w:hint="eastAsia" w:hAnsi="宋体" w:cs="宋体"/>
                <w:color w:val="auto"/>
                <w:kern w:val="0"/>
                <w:szCs w:val="21"/>
                <w:highlight w:val="none"/>
              </w:rPr>
              <w:t>截止时间（以到账为准）:</w:t>
            </w:r>
          </w:p>
          <w:p w14:paraId="208699D8">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开户行：</w:t>
            </w:r>
          </w:p>
          <w:p w14:paraId="0E463C5B">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户名：</w:t>
            </w:r>
          </w:p>
          <w:p w14:paraId="3967C5E8">
            <w:pPr>
              <w:pStyle w:val="13"/>
              <w:spacing w:line="288" w:lineRule="auto"/>
              <w:rPr>
                <w:rFonts w:hint="eastAsia" w:eastAsia="宋体"/>
                <w:color w:val="auto"/>
                <w:highlight w:val="none"/>
                <w:lang w:eastAsia="zh-CN"/>
              </w:rPr>
            </w:pPr>
            <w:r>
              <w:rPr>
                <w:rFonts w:hint="eastAsia" w:hAnsi="宋体" w:cs="宋体"/>
                <w:color w:val="auto"/>
                <w:kern w:val="0"/>
                <w:szCs w:val="21"/>
                <w:highlight w:val="none"/>
              </w:rPr>
              <w:t xml:space="preserve">账号： </w:t>
            </w:r>
          </w:p>
        </w:tc>
      </w:tr>
      <w:tr w14:paraId="73BC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0681B2C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103" w:type="dxa"/>
            <w:tcBorders>
              <w:top w:val="single" w:color="auto" w:sz="4" w:space="0"/>
              <w:left w:val="single" w:color="auto" w:sz="4" w:space="0"/>
              <w:bottom w:val="single" w:color="auto" w:sz="4" w:space="0"/>
              <w:right w:val="single" w:color="auto" w:sz="4" w:space="0"/>
            </w:tcBorders>
            <w:vAlign w:val="center"/>
          </w:tcPr>
          <w:p w14:paraId="0DF3CEA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hAnsi="宋体" w:cs="宋体"/>
                <w:color w:val="auto"/>
                <w:highlight w:val="none"/>
                <w:lang w:eastAsia="zh-CN"/>
              </w:rPr>
              <w:t>响应</w:t>
            </w:r>
            <w:r>
              <w:rPr>
                <w:rFonts w:hint="eastAsia" w:hAnsi="宋体" w:cs="宋体"/>
                <w:color w:val="auto"/>
                <w:highlight w:val="none"/>
              </w:rPr>
              <w:t>文件递交截止时间和地点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782DA1E5">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17F3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6A6975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2103" w:type="dxa"/>
            <w:tcBorders>
              <w:top w:val="single" w:color="auto" w:sz="4" w:space="0"/>
              <w:left w:val="single" w:color="auto" w:sz="4" w:space="0"/>
              <w:bottom w:val="single" w:color="auto" w:sz="4" w:space="0"/>
              <w:right w:val="single" w:color="auto" w:sz="4" w:space="0"/>
            </w:tcBorders>
            <w:vAlign w:val="center"/>
          </w:tcPr>
          <w:p w14:paraId="79FFC9D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highlight w:val="none"/>
              </w:rPr>
              <w:t>评标委员会的组建</w:t>
            </w:r>
          </w:p>
        </w:tc>
        <w:tc>
          <w:tcPr>
            <w:tcW w:w="7053" w:type="dxa"/>
            <w:tcBorders>
              <w:top w:val="single" w:color="auto" w:sz="4" w:space="0"/>
              <w:left w:val="single" w:color="auto" w:sz="4" w:space="0"/>
              <w:bottom w:val="single" w:color="auto" w:sz="4" w:space="0"/>
              <w:right w:val="single" w:color="auto" w:sz="4" w:space="0"/>
            </w:tcBorders>
            <w:vAlign w:val="center"/>
          </w:tcPr>
          <w:p w14:paraId="56F81525">
            <w:pPr>
              <w:pStyle w:val="13"/>
              <w:keepNext w:val="0"/>
              <w:keepLines w:val="0"/>
              <w:pageBreakBefore w:val="0"/>
              <w:widowControl w:val="0"/>
              <w:kinsoku/>
              <w:wordWrap/>
              <w:overflowPunct/>
              <w:topLinePunct w:val="0"/>
              <w:autoSpaceDE/>
              <w:autoSpaceDN/>
              <w:bidi w:val="0"/>
              <w:adjustRightInd/>
              <w:spacing w:line="400" w:lineRule="exact"/>
              <w:jc w:val="left"/>
              <w:textAlignment w:val="auto"/>
              <w:rPr>
                <w:rFonts w:hAnsi="宋体" w:cs="宋体"/>
                <w:color w:val="auto"/>
                <w:highlight w:val="none"/>
              </w:rPr>
            </w:pPr>
            <w:r>
              <w:rPr>
                <w:rFonts w:hint="eastAsia" w:hAnsi="宋体" w:cs="宋体"/>
                <w:color w:val="auto"/>
                <w:highlight w:val="none"/>
              </w:rPr>
              <w:t>评标委员会构成：</w:t>
            </w:r>
            <w:r>
              <w:rPr>
                <w:rFonts w:hint="eastAsia" w:hAnsi="宋体" w:cs="宋体"/>
                <w:color w:val="auto"/>
                <w:highlight w:val="none"/>
                <w:lang w:val="en-US" w:eastAsia="zh-CN"/>
              </w:rPr>
              <w:t>3</w:t>
            </w:r>
            <w:r>
              <w:rPr>
                <w:rFonts w:hint="eastAsia" w:hAnsi="宋体" w:cs="宋体"/>
                <w:color w:val="auto"/>
                <w:highlight w:val="none"/>
              </w:rPr>
              <w:t>人，其中采购单位代表</w:t>
            </w:r>
            <w:r>
              <w:rPr>
                <w:rFonts w:hint="eastAsia" w:hAnsi="宋体" w:cs="宋体"/>
                <w:color w:val="auto"/>
                <w:highlight w:val="none"/>
                <w:lang w:val="en-US" w:eastAsia="zh-CN"/>
              </w:rPr>
              <w:t>1</w:t>
            </w:r>
            <w:r>
              <w:rPr>
                <w:rFonts w:hint="eastAsia" w:hAnsi="宋体" w:cs="宋体"/>
                <w:color w:val="auto"/>
                <w:highlight w:val="none"/>
              </w:rPr>
              <w:t>人，专家</w:t>
            </w:r>
            <w:r>
              <w:rPr>
                <w:rFonts w:hint="eastAsia" w:hAnsi="宋体" w:cs="宋体"/>
                <w:color w:val="auto"/>
                <w:highlight w:val="none"/>
                <w:lang w:val="en-US" w:eastAsia="zh-CN"/>
              </w:rPr>
              <w:t>2</w:t>
            </w:r>
            <w:r>
              <w:rPr>
                <w:rFonts w:hint="eastAsia" w:hAnsi="宋体" w:cs="宋体"/>
                <w:color w:val="auto"/>
                <w:highlight w:val="none"/>
              </w:rPr>
              <w:t>人；</w:t>
            </w:r>
          </w:p>
          <w:p w14:paraId="3F766FB7">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评标专家确定方式：随机抽取。</w:t>
            </w:r>
          </w:p>
        </w:tc>
      </w:tr>
      <w:tr w14:paraId="5F90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C434C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103" w:type="dxa"/>
            <w:tcBorders>
              <w:top w:val="single" w:color="auto" w:sz="4" w:space="0"/>
              <w:left w:val="single" w:color="auto" w:sz="4" w:space="0"/>
              <w:bottom w:val="single" w:color="auto" w:sz="4" w:space="0"/>
              <w:right w:val="single" w:color="auto" w:sz="4" w:space="0"/>
            </w:tcBorders>
            <w:vAlign w:val="center"/>
          </w:tcPr>
          <w:p w14:paraId="710176F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0B7561CC">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3542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5FC1C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p>
        </w:tc>
        <w:tc>
          <w:tcPr>
            <w:tcW w:w="2103" w:type="dxa"/>
            <w:tcBorders>
              <w:top w:val="single" w:color="auto" w:sz="4" w:space="0"/>
              <w:left w:val="single" w:color="auto" w:sz="4" w:space="0"/>
              <w:bottom w:val="single" w:color="auto" w:sz="4" w:space="0"/>
              <w:right w:val="single" w:color="auto" w:sz="4" w:space="0"/>
            </w:tcBorders>
            <w:vAlign w:val="center"/>
          </w:tcPr>
          <w:p w14:paraId="431A8F6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评标方法</w:t>
            </w:r>
          </w:p>
        </w:tc>
        <w:tc>
          <w:tcPr>
            <w:tcW w:w="7053" w:type="dxa"/>
            <w:tcBorders>
              <w:top w:val="single" w:color="auto" w:sz="4" w:space="0"/>
              <w:left w:val="single" w:color="auto" w:sz="4" w:space="0"/>
              <w:bottom w:val="single" w:color="auto" w:sz="4" w:space="0"/>
              <w:right w:val="single" w:color="auto" w:sz="4" w:space="0"/>
            </w:tcBorders>
            <w:vAlign w:val="center"/>
          </w:tcPr>
          <w:p w14:paraId="5A19D22F">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olor w:val="auto"/>
                <w:szCs w:val="21"/>
                <w:highlight w:val="none"/>
              </w:rPr>
              <w:t>评标方法：</w:t>
            </w:r>
            <w:r>
              <w:rPr>
                <w:rFonts w:hint="eastAsia"/>
                <w:color w:val="auto"/>
                <w:highlight w:val="none"/>
              </w:rPr>
              <w:t>综合评分法</w:t>
            </w:r>
          </w:p>
        </w:tc>
      </w:tr>
      <w:tr w14:paraId="67AD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48" w:type="dxa"/>
            <w:tcBorders>
              <w:top w:val="single" w:color="auto" w:sz="4" w:space="0"/>
              <w:left w:val="single" w:color="auto" w:sz="4" w:space="0"/>
              <w:bottom w:val="single" w:color="auto" w:sz="4" w:space="0"/>
              <w:right w:val="single" w:color="auto" w:sz="4" w:space="0"/>
            </w:tcBorders>
            <w:vAlign w:val="center"/>
          </w:tcPr>
          <w:p w14:paraId="35C6C43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2103" w:type="dxa"/>
            <w:tcBorders>
              <w:top w:val="single" w:color="auto" w:sz="4" w:space="0"/>
              <w:left w:val="single" w:color="auto" w:sz="4" w:space="0"/>
              <w:bottom w:val="single" w:color="auto" w:sz="4" w:space="0"/>
              <w:right w:val="single" w:color="auto" w:sz="4" w:space="0"/>
            </w:tcBorders>
            <w:vAlign w:val="center"/>
          </w:tcPr>
          <w:p w14:paraId="32ADB941">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7053" w:type="dxa"/>
            <w:tcBorders>
              <w:top w:val="single" w:color="auto" w:sz="4" w:space="0"/>
              <w:left w:val="single" w:color="auto" w:sz="4" w:space="0"/>
              <w:bottom w:val="single" w:color="auto" w:sz="4" w:space="0"/>
              <w:right w:val="single" w:color="auto" w:sz="4" w:space="0"/>
            </w:tcBorders>
            <w:vAlign w:val="center"/>
          </w:tcPr>
          <w:p w14:paraId="58AFE3BA">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7A91EA2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color w:val="auto"/>
                <w:szCs w:val="21"/>
                <w:highlight w:val="none"/>
              </w:rPr>
            </w:pPr>
            <w:r>
              <w:rPr>
                <w:rFonts w:hint="eastAsia" w:ascii="宋体" w:hAnsi="宋体" w:cs="宋体"/>
                <w:color w:val="auto"/>
                <w:szCs w:val="21"/>
                <w:highlight w:val="none"/>
              </w:rPr>
              <w:t>服务需求评审中允许负偏离的非实质性条款数为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4E09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648" w:type="dxa"/>
            <w:tcBorders>
              <w:top w:val="single" w:color="auto" w:sz="4" w:space="0"/>
              <w:left w:val="single" w:color="auto" w:sz="4" w:space="0"/>
              <w:bottom w:val="single" w:color="auto" w:sz="4" w:space="0"/>
              <w:right w:val="single" w:color="auto" w:sz="4" w:space="0"/>
            </w:tcBorders>
            <w:vAlign w:val="center"/>
          </w:tcPr>
          <w:p w14:paraId="0C1EBF3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p>
        </w:tc>
        <w:tc>
          <w:tcPr>
            <w:tcW w:w="2103" w:type="dxa"/>
            <w:tcBorders>
              <w:top w:val="single" w:color="auto" w:sz="4" w:space="0"/>
              <w:left w:val="single" w:color="auto" w:sz="4" w:space="0"/>
              <w:bottom w:val="single" w:color="auto" w:sz="4" w:space="0"/>
              <w:right w:val="single" w:color="auto" w:sz="4" w:space="0"/>
            </w:tcBorders>
            <w:vAlign w:val="center"/>
          </w:tcPr>
          <w:p w14:paraId="3B37A42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履约保证金</w:t>
            </w:r>
          </w:p>
        </w:tc>
        <w:tc>
          <w:tcPr>
            <w:tcW w:w="7053" w:type="dxa"/>
            <w:tcBorders>
              <w:top w:val="single" w:color="auto" w:sz="4" w:space="0"/>
              <w:left w:val="single" w:color="auto" w:sz="4" w:space="0"/>
              <w:bottom w:val="single" w:color="auto" w:sz="4" w:space="0"/>
              <w:right w:val="single" w:color="auto" w:sz="4" w:space="0"/>
            </w:tcBorders>
            <w:vAlign w:val="center"/>
          </w:tcPr>
          <w:p w14:paraId="71773BFD">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14:paraId="7220552C">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p>
          <w:p w14:paraId="1EEDF657">
            <w:pPr>
              <w:keepNext w:val="0"/>
              <w:keepLines w:val="0"/>
              <w:pageBreakBefore w:val="0"/>
              <w:widowControl w:val="0"/>
              <w:kinsoku/>
              <w:wordWrap/>
              <w:overflowPunct/>
              <w:topLinePunct w:val="0"/>
              <w:bidi w:val="0"/>
              <w:adjustRightInd/>
              <w:spacing w:line="336"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b/>
                <w:color w:val="auto"/>
                <w:szCs w:val="21"/>
                <w:highlight w:val="none"/>
              </w:rPr>
              <w:t>（注：履约保证金不超过</w:t>
            </w:r>
            <w:r>
              <w:rPr>
                <w:rFonts w:hint="eastAsia"/>
                <w:b/>
                <w:color w:val="auto"/>
                <w:highlight w:val="none"/>
              </w:rPr>
              <w:t>政府采购合同金额的</w:t>
            </w:r>
            <w:r>
              <w:rPr>
                <w:rFonts w:ascii="宋体" w:hAnsi="宋体" w:cs="宋体"/>
                <w:b/>
                <w:color w:val="auto"/>
                <w:szCs w:val="21"/>
                <w:highlight w:val="none"/>
              </w:rPr>
              <w:t>5</w:t>
            </w:r>
            <w:r>
              <w:rPr>
                <w:rFonts w:hint="eastAsia" w:ascii="宋体" w:hAnsi="宋体" w:cs="宋体"/>
                <w:b/>
                <w:color w:val="auto"/>
                <w:szCs w:val="21"/>
                <w:highlight w:val="none"/>
              </w:rPr>
              <w:t>%，对中小企业收取的履约保证金数额不得超过政府采购合同金额的2%。采购人可根据供应商的资信等情况减免履约保证金。）</w:t>
            </w:r>
          </w:p>
          <w:p w14:paraId="08F7789C">
            <w:pPr>
              <w:keepNext w:val="0"/>
              <w:keepLines w:val="0"/>
              <w:pageBreakBefore w:val="0"/>
              <w:widowControl w:val="0"/>
              <w:kinsoku/>
              <w:wordWrap/>
              <w:overflowPunct/>
              <w:topLinePunct w:val="0"/>
              <w:bidi w:val="0"/>
              <w:adjustRightInd/>
              <w:spacing w:line="336" w:lineRule="auto"/>
              <w:contextualSpacing/>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w:t>
            </w:r>
          </w:p>
        </w:tc>
      </w:tr>
      <w:tr w14:paraId="100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8" w:type="dxa"/>
            <w:tcBorders>
              <w:top w:val="single" w:color="auto" w:sz="4" w:space="0"/>
              <w:left w:val="single" w:color="auto" w:sz="4" w:space="0"/>
              <w:bottom w:val="single" w:color="auto" w:sz="4" w:space="0"/>
              <w:right w:val="single" w:color="auto" w:sz="4" w:space="0"/>
            </w:tcBorders>
            <w:vAlign w:val="center"/>
          </w:tcPr>
          <w:p w14:paraId="41D91B8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p>
        </w:tc>
        <w:tc>
          <w:tcPr>
            <w:tcW w:w="2103" w:type="dxa"/>
            <w:tcBorders>
              <w:top w:val="single" w:color="auto" w:sz="4" w:space="0"/>
              <w:left w:val="single" w:color="auto" w:sz="4" w:space="0"/>
              <w:bottom w:val="single" w:color="auto" w:sz="4" w:space="0"/>
              <w:right w:val="single" w:color="auto" w:sz="4" w:space="0"/>
            </w:tcBorders>
            <w:vAlign w:val="center"/>
          </w:tcPr>
          <w:p w14:paraId="11388E3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采购预算价</w:t>
            </w:r>
          </w:p>
        </w:tc>
        <w:tc>
          <w:tcPr>
            <w:tcW w:w="7053" w:type="dxa"/>
            <w:tcBorders>
              <w:top w:val="single" w:color="auto" w:sz="4" w:space="0"/>
              <w:left w:val="single" w:color="auto" w:sz="4" w:space="0"/>
              <w:bottom w:val="single" w:color="auto" w:sz="4" w:space="0"/>
              <w:right w:val="single" w:color="auto" w:sz="4" w:space="0"/>
            </w:tcBorders>
            <w:vAlign w:val="center"/>
          </w:tcPr>
          <w:p w14:paraId="78C2D84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本项目采购预算价：</w:t>
            </w:r>
            <w:r>
              <w:rPr>
                <w:rFonts w:hint="eastAsia" w:ascii="宋体" w:hAnsi="宋体" w:eastAsia="宋体" w:cs="宋体"/>
                <w:b w:val="0"/>
                <w:bCs w:val="0"/>
                <w:i w:val="0"/>
                <w:iCs w:val="0"/>
                <w:caps w:val="0"/>
                <w:color w:val="auto"/>
                <w:spacing w:val="0"/>
                <w:sz w:val="21"/>
                <w:szCs w:val="21"/>
                <w:shd w:val="clear" w:color="auto" w:fill="auto"/>
              </w:rPr>
              <w:t>2009586.84</w:t>
            </w:r>
            <w:r>
              <w:rPr>
                <w:rFonts w:hint="eastAsia" w:asciiTheme="minorEastAsia" w:hAnsiTheme="minorEastAsia" w:eastAsiaTheme="minorEastAsia" w:cstheme="minorEastAsia"/>
                <w:b w:val="0"/>
                <w:bCs w:val="0"/>
                <w:color w:val="auto"/>
                <w:spacing w:val="-3"/>
                <w:kern w:val="2"/>
                <w:sz w:val="21"/>
                <w:szCs w:val="21"/>
                <w:highlight w:val="none"/>
                <w:lang w:val="en-US" w:eastAsia="zh-CN"/>
              </w:rPr>
              <w:t>元</w:t>
            </w:r>
          </w:p>
        </w:tc>
      </w:tr>
      <w:tr w14:paraId="5ED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48" w:type="dxa"/>
            <w:tcBorders>
              <w:top w:val="single" w:color="auto" w:sz="4" w:space="0"/>
              <w:left w:val="single" w:color="auto" w:sz="4" w:space="0"/>
              <w:bottom w:val="single" w:color="auto" w:sz="4" w:space="0"/>
              <w:right w:val="single" w:color="auto" w:sz="4" w:space="0"/>
            </w:tcBorders>
            <w:vAlign w:val="center"/>
          </w:tcPr>
          <w:p w14:paraId="5D73402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2A9C3C08">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接收质疑函方式</w:t>
            </w:r>
          </w:p>
        </w:tc>
        <w:tc>
          <w:tcPr>
            <w:tcW w:w="7053" w:type="dxa"/>
            <w:tcBorders>
              <w:top w:val="single" w:color="auto" w:sz="4" w:space="0"/>
              <w:left w:val="single" w:color="auto" w:sz="4" w:space="0"/>
              <w:bottom w:val="single" w:color="auto" w:sz="4" w:space="0"/>
              <w:right w:val="single" w:color="auto" w:sz="4" w:space="0"/>
            </w:tcBorders>
            <w:vAlign w:val="center"/>
          </w:tcPr>
          <w:p w14:paraId="2FBCFAA8">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ascii="宋体" w:hAnsi="宋体" w:cs="宋体"/>
                <w:color w:val="auto"/>
                <w:szCs w:val="21"/>
                <w:highlight w:val="none"/>
              </w:rPr>
            </w:pPr>
            <w:r>
              <w:rPr>
                <w:rFonts w:hint="eastAsia" w:ascii="宋体" w:hAnsi="宋体"/>
                <w:color w:val="auto"/>
                <w:szCs w:val="21"/>
                <w:highlight w:val="none"/>
              </w:rPr>
              <w:t>以书面形式</w:t>
            </w:r>
          </w:p>
        </w:tc>
      </w:tr>
      <w:tr w14:paraId="2FC8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5304080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0BF83C6">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质疑联系部门及联系方式</w:t>
            </w:r>
          </w:p>
        </w:tc>
        <w:tc>
          <w:tcPr>
            <w:tcW w:w="7053" w:type="dxa"/>
            <w:tcBorders>
              <w:top w:val="single" w:color="auto" w:sz="4" w:space="0"/>
              <w:left w:val="single" w:color="auto" w:sz="4" w:space="0"/>
              <w:bottom w:val="single" w:color="auto" w:sz="4" w:space="0"/>
              <w:right w:val="single" w:color="auto" w:sz="4" w:space="0"/>
            </w:tcBorders>
            <w:vAlign w:val="center"/>
          </w:tcPr>
          <w:p w14:paraId="58959E24">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default" w:ascii="宋体" w:hAnsi="宋体"/>
                <w:color w:val="auto"/>
                <w:szCs w:val="21"/>
                <w:highlight w:val="none"/>
                <w:u w:val="none"/>
                <w:lang w:val="en-US"/>
              </w:rPr>
            </w:pPr>
            <w:r>
              <w:rPr>
                <w:rFonts w:hint="eastAsia" w:ascii="宋体" w:hAnsi="宋体"/>
                <w:color w:val="auto"/>
                <w:szCs w:val="21"/>
                <w:highlight w:val="none"/>
                <w:u w:val="none"/>
                <w:lang w:eastAsia="zh-CN"/>
              </w:rPr>
              <w:t>广西合士嘉项目咨询有限公司</w:t>
            </w:r>
          </w:p>
          <w:p w14:paraId="4F00B3CE">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宋体" w:hAnsi="宋体" w:eastAsia="宋体"/>
                <w:color w:val="auto"/>
                <w:szCs w:val="21"/>
                <w:highlight w:val="none"/>
                <w:u w:val="none"/>
                <w:lang w:val="en-US" w:eastAsia="zh-CN"/>
              </w:rPr>
            </w:pPr>
            <w:r>
              <w:rPr>
                <w:rFonts w:ascii="宋体" w:hAnsi="宋体"/>
                <w:color w:val="auto"/>
                <w:szCs w:val="21"/>
                <w:highlight w:val="none"/>
                <w:u w:val="none"/>
              </w:rPr>
              <w:t>联系电话</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0777-8318828</w:t>
            </w:r>
          </w:p>
          <w:p w14:paraId="7C5570ED">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Ansi="宋体"/>
                <w:b/>
                <w:color w:val="auto"/>
                <w:highlight w:val="none"/>
              </w:rPr>
            </w:pPr>
            <w:r>
              <w:rPr>
                <w:rFonts w:ascii="宋体" w:hAnsi="宋体"/>
                <w:color w:val="auto"/>
                <w:szCs w:val="21"/>
                <w:highlight w:val="none"/>
                <w:u w:val="none"/>
              </w:rPr>
              <w:t>通讯地址</w:t>
            </w:r>
            <w:r>
              <w:rPr>
                <w:rFonts w:hint="eastAsia" w:ascii="宋体" w:hAnsi="宋体"/>
                <w:color w:val="auto"/>
                <w:szCs w:val="21"/>
                <w:highlight w:val="none"/>
                <w:u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bidi="ar-SA"/>
              </w:rPr>
              <w:t>浦北新城17栋111商铺 </w:t>
            </w:r>
          </w:p>
        </w:tc>
      </w:tr>
      <w:tr w14:paraId="152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48" w:type="dxa"/>
            <w:tcBorders>
              <w:top w:val="single" w:color="auto" w:sz="4" w:space="0"/>
              <w:left w:val="single" w:color="auto" w:sz="4" w:space="0"/>
              <w:bottom w:val="single" w:color="auto" w:sz="4" w:space="0"/>
              <w:right w:val="single" w:color="auto" w:sz="4" w:space="0"/>
            </w:tcBorders>
            <w:vAlign w:val="center"/>
          </w:tcPr>
          <w:p w14:paraId="31B024D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103" w:type="dxa"/>
            <w:tcBorders>
              <w:top w:val="single" w:color="auto" w:sz="4" w:space="0"/>
              <w:left w:val="single" w:color="auto" w:sz="4" w:space="0"/>
              <w:bottom w:val="single" w:color="auto" w:sz="4" w:space="0"/>
              <w:right w:val="single" w:color="auto" w:sz="4" w:space="0"/>
            </w:tcBorders>
            <w:vAlign w:val="center"/>
          </w:tcPr>
          <w:p w14:paraId="48F185CD">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hAnsi="宋体"/>
                <w:color w:val="auto"/>
                <w:highlight w:val="none"/>
              </w:rPr>
              <w:t>现场提交质疑办理业务时间</w:t>
            </w:r>
          </w:p>
        </w:tc>
        <w:tc>
          <w:tcPr>
            <w:tcW w:w="7053" w:type="dxa"/>
            <w:tcBorders>
              <w:top w:val="single" w:color="auto" w:sz="4" w:space="0"/>
              <w:left w:val="single" w:color="auto" w:sz="4" w:space="0"/>
              <w:bottom w:val="single" w:color="auto" w:sz="4" w:space="0"/>
              <w:right w:val="single" w:color="auto" w:sz="4" w:space="0"/>
            </w:tcBorders>
            <w:vAlign w:val="center"/>
          </w:tcPr>
          <w:p w14:paraId="6472249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Ansi="宋体"/>
                <w:b/>
                <w:color w:val="auto"/>
                <w:highlight w:val="none"/>
              </w:rPr>
            </w:pPr>
            <w:r>
              <w:rPr>
                <w:rFonts w:hint="eastAsia" w:hAnsi="宋体"/>
                <w:color w:val="auto"/>
                <w:highlight w:val="none"/>
              </w:rPr>
              <w:t>质疑期内每个工作日</w:t>
            </w:r>
            <w:r>
              <w:rPr>
                <w:rFonts w:hint="eastAsia" w:hAnsi="宋体"/>
                <w:color w:val="auto"/>
                <w:highlight w:val="none"/>
                <w:u w:val="single"/>
              </w:rPr>
              <w:t>08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rPr>
              <w:t>15</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p>
        </w:tc>
      </w:tr>
      <w:tr w14:paraId="581F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43BA813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2103" w:type="dxa"/>
            <w:tcBorders>
              <w:top w:val="single" w:color="auto" w:sz="4" w:space="0"/>
              <w:left w:val="single" w:color="auto" w:sz="4" w:space="0"/>
              <w:bottom w:val="single" w:color="auto" w:sz="4" w:space="0"/>
              <w:right w:val="single" w:color="auto" w:sz="4" w:space="0"/>
            </w:tcBorders>
            <w:vAlign w:val="center"/>
          </w:tcPr>
          <w:p w14:paraId="1DF3AD8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hAnsi="宋体"/>
                <w:color w:val="auto"/>
                <w:highlight w:val="none"/>
              </w:rPr>
            </w:pPr>
            <w:r>
              <w:rPr>
                <w:rFonts w:hint="eastAsia" w:ascii="宋体" w:hAnsi="宋体" w:cs="宋体"/>
                <w:color w:val="auto"/>
                <w:szCs w:val="21"/>
                <w:highlight w:val="none"/>
              </w:rPr>
              <w:t>采购代理费</w:t>
            </w:r>
          </w:p>
        </w:tc>
        <w:tc>
          <w:tcPr>
            <w:tcW w:w="7053" w:type="dxa"/>
            <w:tcBorders>
              <w:top w:val="single" w:color="auto" w:sz="4" w:space="0"/>
              <w:left w:val="single" w:color="auto" w:sz="4" w:space="0"/>
              <w:bottom w:val="single" w:color="auto" w:sz="4" w:space="0"/>
              <w:right w:val="single" w:color="auto" w:sz="4" w:space="0"/>
            </w:tcBorders>
            <w:vAlign w:val="center"/>
          </w:tcPr>
          <w:p w14:paraId="523E948E">
            <w:pPr>
              <w:pStyle w:val="13"/>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textAlignment w:val="auto"/>
              <w:rPr>
                <w:rFonts w:hint="eastAsia" w:ascii="宋体" w:hAnsi="宋体" w:cs="宋体"/>
                <w:b w:val="0"/>
                <w:bCs/>
                <w:color w:val="auto"/>
                <w:szCs w:val="21"/>
                <w:highlight w:val="none"/>
              </w:rPr>
            </w:pPr>
            <w:r>
              <w:rPr>
                <w:rFonts w:hint="eastAsia" w:hAnsi="宋体" w:cs="宋体"/>
                <w:color w:val="auto"/>
                <w:sz w:val="21"/>
                <w:highlight w:val="none"/>
                <w:lang w:val="en-US" w:eastAsia="zh-CN"/>
              </w:rPr>
              <w:t>代理服务费：</w:t>
            </w:r>
            <w:r>
              <w:rPr>
                <w:rFonts w:hint="eastAsia" w:ascii="宋体" w:hAnsi="宋体" w:cs="宋体"/>
                <w:b w:val="0"/>
                <w:bCs/>
                <w:color w:val="auto"/>
                <w:szCs w:val="21"/>
                <w:highlight w:val="none"/>
                <w:lang w:val="en-US" w:eastAsia="zh-CN"/>
              </w:rPr>
              <w:t>按国家计委计价格[2002]1980号和发改办[2003]857号文规定</w:t>
            </w:r>
            <w:r>
              <w:rPr>
                <w:rFonts w:hint="eastAsia" w:hAnsi="宋体" w:cs="宋体"/>
                <w:b w:val="0"/>
                <w:bCs/>
                <w:color w:val="auto"/>
                <w:szCs w:val="21"/>
                <w:highlight w:val="none"/>
                <w:lang w:val="en-US" w:eastAsia="zh-CN"/>
              </w:rPr>
              <w:t>标准</w:t>
            </w:r>
            <w:r>
              <w:rPr>
                <w:rFonts w:hint="eastAsia" w:ascii="宋体" w:hAnsi="宋体" w:cs="宋体"/>
                <w:b w:val="0"/>
                <w:bCs/>
                <w:color w:val="auto"/>
                <w:szCs w:val="21"/>
                <w:highlight w:val="none"/>
                <w:lang w:val="en-US" w:eastAsia="zh-CN"/>
              </w:rPr>
              <w:t>收</w:t>
            </w:r>
            <w:r>
              <w:rPr>
                <w:rFonts w:hint="eastAsia" w:ascii="宋体" w:hAnsi="宋体" w:cs="宋体"/>
                <w:b w:val="0"/>
                <w:bCs/>
                <w:color w:val="auto"/>
                <w:szCs w:val="21"/>
                <w:highlight w:val="none"/>
                <w:u w:val="none"/>
                <w:lang w:val="en-US" w:eastAsia="zh-CN"/>
              </w:rPr>
              <w:t>取</w:t>
            </w:r>
            <w:r>
              <w:rPr>
                <w:rFonts w:hint="eastAsia" w:hAnsi="宋体" w:cs="宋体"/>
                <w:b w:val="0"/>
                <w:bCs/>
                <w:color w:val="auto"/>
                <w:szCs w:val="21"/>
                <w:highlight w:val="none"/>
                <w:u w:val="none"/>
                <w:lang w:val="en-US" w:eastAsia="zh-CN"/>
              </w:rPr>
              <w:t>后</w:t>
            </w:r>
            <w:r>
              <w:rPr>
                <w:rFonts w:hint="eastAsia" w:ascii="宋体" w:hAnsi="宋体" w:eastAsia="宋体" w:cs="宋体"/>
                <w:color w:val="auto"/>
                <w:sz w:val="21"/>
                <w:szCs w:val="21"/>
                <w:u w:val="none"/>
              </w:rPr>
              <w:t>再下浮20%</w:t>
            </w:r>
            <w:r>
              <w:rPr>
                <w:rFonts w:hint="eastAsia" w:ascii="宋体" w:hAnsi="宋体" w:cs="宋体"/>
                <w:b w:val="0"/>
                <w:bCs/>
                <w:color w:val="auto"/>
                <w:szCs w:val="21"/>
                <w:highlight w:val="none"/>
                <w:u w:val="none"/>
              </w:rPr>
              <w:t>，</w:t>
            </w:r>
            <w:r>
              <w:rPr>
                <w:rFonts w:hint="eastAsia" w:ascii="宋体" w:hAnsi="宋体" w:cs="宋体"/>
                <w:b w:val="0"/>
                <w:bCs/>
                <w:color w:val="auto"/>
                <w:szCs w:val="21"/>
                <w:highlight w:val="none"/>
                <w:u w:val="none"/>
                <w:lang w:val="en-US" w:eastAsia="zh-CN"/>
              </w:rPr>
              <w:t>由招</w:t>
            </w:r>
            <w:r>
              <w:rPr>
                <w:rFonts w:hint="eastAsia" w:ascii="宋体" w:hAnsi="宋体" w:cs="宋体"/>
                <w:b w:val="0"/>
                <w:bCs/>
                <w:color w:val="auto"/>
                <w:szCs w:val="21"/>
                <w:highlight w:val="none"/>
                <w:lang w:val="en-US" w:eastAsia="zh-CN"/>
              </w:rPr>
              <w:t>标代理机构向成交供应商收取。即按成交金额100万元以下为1.0%，100-500万元为0.7%，并且按差额定率累进法计算。</w:t>
            </w:r>
            <w:r>
              <w:rPr>
                <w:rFonts w:hint="eastAsia" w:ascii="宋体" w:hAnsi="宋体" w:cs="宋体"/>
                <w:b w:val="0"/>
                <w:bCs/>
                <w:color w:val="auto"/>
                <w:szCs w:val="21"/>
                <w:highlight w:val="none"/>
              </w:rPr>
              <w:t>由成交人领取成交通知书前，向代理机构一次性付清。</w:t>
            </w:r>
          </w:p>
          <w:p w14:paraId="32093FA1">
            <w:pPr>
              <w:pStyle w:val="13"/>
              <w:keepNext w:val="0"/>
              <w:keepLines w:val="0"/>
              <w:pageBreakBefore w:val="0"/>
              <w:widowControl w:val="0"/>
              <w:numPr>
                <w:numId w:val="0"/>
              </w:numPr>
              <w:kinsoku/>
              <w:wordWrap/>
              <w:overflowPunct/>
              <w:topLinePunct w:val="0"/>
              <w:autoSpaceDE/>
              <w:autoSpaceDN/>
              <w:bidi w:val="0"/>
              <w:adjustRightInd/>
              <w:snapToGrid w:val="0"/>
              <w:spacing w:line="360" w:lineRule="auto"/>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 代理服务费收取银行账户：</w:t>
            </w:r>
          </w:p>
          <w:p w14:paraId="76DF6CA4">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7ACF92CF">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08EC60C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rPr>
            </w:pPr>
            <w:r>
              <w:rPr>
                <w:rFonts w:hint="eastAsia" w:hAnsi="宋体"/>
                <w:color w:val="auto"/>
                <w:highlight w:val="none"/>
              </w:rPr>
              <w:t>银行账号：</w:t>
            </w:r>
            <w:r>
              <w:rPr>
                <w:rFonts w:hint="eastAsia" w:hAnsi="宋体"/>
                <w:color w:val="auto"/>
                <w:highlight w:val="none"/>
                <w:lang w:val="en-US" w:eastAsia="zh-CN"/>
              </w:rPr>
              <w:t>45050110120500000903</w:t>
            </w:r>
          </w:p>
        </w:tc>
      </w:tr>
      <w:tr w14:paraId="200F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084A769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2103" w:type="dxa"/>
            <w:tcBorders>
              <w:top w:val="single" w:color="auto" w:sz="4" w:space="0"/>
              <w:left w:val="single" w:color="auto" w:sz="4" w:space="0"/>
              <w:bottom w:val="single" w:color="auto" w:sz="4" w:space="0"/>
              <w:right w:val="single" w:color="auto" w:sz="4" w:space="0"/>
            </w:tcBorders>
            <w:vAlign w:val="center"/>
          </w:tcPr>
          <w:p w14:paraId="24AD8C30">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hAnsi="宋体"/>
                <w:color w:val="auto"/>
                <w:highlight w:val="none"/>
              </w:rPr>
              <w:t>解释</w:t>
            </w:r>
          </w:p>
        </w:tc>
        <w:tc>
          <w:tcPr>
            <w:tcW w:w="7053" w:type="dxa"/>
            <w:tcBorders>
              <w:top w:val="single" w:color="auto" w:sz="4" w:space="0"/>
              <w:left w:val="single" w:color="auto" w:sz="4" w:space="0"/>
              <w:bottom w:val="single" w:color="auto" w:sz="4" w:space="0"/>
              <w:right w:val="single" w:color="auto" w:sz="4" w:space="0"/>
            </w:tcBorders>
            <w:vAlign w:val="center"/>
          </w:tcPr>
          <w:p w14:paraId="4579AAA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b/>
                <w:color w:val="auto"/>
                <w:sz w:val="21"/>
                <w:highlight w:val="none"/>
                <w:lang w:val="en-US" w:eastAsia="zh-CN"/>
              </w:rPr>
            </w:pPr>
            <w:r>
              <w:rPr>
                <w:rFonts w:hint="eastAsia" w:hAnsi="宋体" w:cs="宋体"/>
                <w:b/>
                <w:color w:val="auto"/>
                <w:sz w:val="21"/>
                <w:highlight w:val="none"/>
                <w:lang w:val="en-US" w:eastAsia="zh-CN"/>
              </w:rPr>
              <w:t>解释权：</w:t>
            </w:r>
            <w:r>
              <w:rPr>
                <w:rFonts w:hAnsi="宋体" w:cs="宋体"/>
                <w:color w:val="auto"/>
                <w:sz w:val="21"/>
                <w:highlight w:val="none"/>
                <w:lang w:val="en-US" w:eastAsia="zh-CN"/>
              </w:rPr>
              <w:t>构成本</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的各个组成文件应互为解释，互为说明；除</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中有特别规定外，仅适用于</w:t>
            </w:r>
            <w:r>
              <w:rPr>
                <w:rFonts w:hint="eastAsia" w:hAnsi="宋体" w:cs="宋体"/>
                <w:color w:val="auto"/>
                <w:sz w:val="21"/>
                <w:highlight w:val="none"/>
                <w:lang w:val="en-US" w:eastAsia="zh-CN"/>
              </w:rPr>
              <w:t>竞标</w:t>
            </w:r>
            <w:r>
              <w:rPr>
                <w:rFonts w:hAnsi="宋体" w:cs="宋体"/>
                <w:color w:val="auto"/>
                <w:sz w:val="21"/>
                <w:highlight w:val="none"/>
                <w:lang w:val="en-US" w:eastAsia="zh-CN"/>
              </w:rPr>
              <w:t>阶段的规定，按</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w:t>
            </w:r>
            <w:r>
              <w:rPr>
                <w:rFonts w:hint="eastAsia" w:hAnsi="宋体" w:cs="宋体"/>
                <w:color w:val="auto"/>
                <w:sz w:val="21"/>
                <w:highlight w:val="none"/>
                <w:lang w:val="en-US" w:eastAsia="zh-CN"/>
              </w:rPr>
              <w:t>竞争性磋商</w:t>
            </w:r>
            <w:r>
              <w:rPr>
                <w:rFonts w:hAnsi="宋体" w:cs="宋体"/>
                <w:color w:val="auto"/>
                <w:sz w:val="21"/>
                <w:highlight w:val="none"/>
                <w:lang w:val="en-US" w:eastAsia="zh-CN"/>
              </w:rPr>
              <w:t>公告、</w:t>
            </w:r>
            <w:r>
              <w:rPr>
                <w:rFonts w:hint="eastAsia" w:hAnsi="宋体" w:cs="宋体"/>
                <w:color w:val="auto"/>
                <w:sz w:val="21"/>
                <w:highlight w:val="none"/>
                <w:lang w:val="en-US" w:eastAsia="zh-CN"/>
              </w:rPr>
              <w:t>供应商</w:t>
            </w:r>
            <w:r>
              <w:rPr>
                <w:rFonts w:hAnsi="宋体" w:cs="宋体"/>
                <w:color w:val="auto"/>
                <w:sz w:val="21"/>
                <w:highlight w:val="none"/>
                <w:lang w:val="en-US" w:eastAsia="zh-CN"/>
              </w:rPr>
              <w:t>须知</w:t>
            </w:r>
            <w:r>
              <w:rPr>
                <w:rFonts w:hint="eastAsia" w:hAnsi="宋体" w:cs="宋体"/>
                <w:color w:val="auto"/>
                <w:sz w:val="21"/>
                <w:highlight w:val="none"/>
                <w:lang w:val="en-US" w:eastAsia="zh-CN"/>
              </w:rPr>
              <w:t>、采购需求</w:t>
            </w:r>
            <w:r>
              <w:rPr>
                <w:rFonts w:hAnsi="宋体" w:cs="宋体"/>
                <w:color w:val="auto"/>
                <w:sz w:val="21"/>
                <w:highlight w:val="none"/>
                <w:lang w:val="en-US" w:eastAsia="zh-CN"/>
              </w:rPr>
              <w:t>、</w:t>
            </w:r>
            <w:r>
              <w:rPr>
                <w:rFonts w:hint="eastAsia" w:hAnsi="宋体" w:cs="宋体"/>
                <w:color w:val="auto"/>
                <w:sz w:val="21"/>
                <w:highlight w:val="none"/>
                <w:lang w:val="en-US" w:eastAsia="zh-CN"/>
              </w:rPr>
              <w:t>评审程序、评审方法和评审标准</w:t>
            </w:r>
            <w:r>
              <w:rPr>
                <w:rFonts w:hAnsi="宋体" w:cs="宋体"/>
                <w:color w:val="auto"/>
                <w:sz w:val="21"/>
                <w:highlight w:val="none"/>
                <w:lang w:val="en-US" w:eastAsia="zh-CN"/>
              </w:rPr>
              <w:t>、</w:t>
            </w:r>
            <w:r>
              <w:rPr>
                <w:rFonts w:hint="eastAsia" w:hAnsi="宋体" w:cs="宋体"/>
                <w:color w:val="auto"/>
                <w:sz w:val="21"/>
                <w:highlight w:val="none"/>
                <w:lang w:val="en-US" w:eastAsia="zh-CN"/>
              </w:rPr>
              <w:t>响应</w:t>
            </w:r>
            <w:r>
              <w:rPr>
                <w:rFonts w:hAnsi="宋体" w:cs="宋体"/>
                <w:color w:val="auto"/>
                <w:sz w:val="21"/>
                <w:highlight w:val="none"/>
                <w:lang w:val="en-US" w:eastAsia="zh-CN"/>
              </w:rPr>
              <w:t>文件格式</w:t>
            </w:r>
            <w:r>
              <w:rPr>
                <w:rFonts w:hint="eastAsia" w:hAnsi="宋体" w:cs="宋体"/>
                <w:color w:val="auto"/>
                <w:sz w:val="21"/>
                <w:highlight w:val="none"/>
                <w:lang w:val="en-US" w:eastAsia="zh-CN"/>
              </w:rPr>
              <w:t>、合同文本</w:t>
            </w:r>
            <w:r>
              <w:rPr>
                <w:rFonts w:hAnsi="宋体" w:cs="宋体"/>
                <w:color w:val="auto"/>
                <w:sz w:val="21"/>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与同步更新的</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不一致时以</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为准。按本款前述规定仍不能形成结论的，</w:t>
            </w:r>
            <w:r>
              <w:rPr>
                <w:rFonts w:hAnsi="宋体" w:cs="宋体"/>
                <w:b/>
                <w:color w:val="auto"/>
                <w:sz w:val="21"/>
                <w:highlight w:val="none"/>
                <w:lang w:val="en-US" w:eastAsia="zh-CN"/>
              </w:rPr>
              <w:t>由</w:t>
            </w:r>
            <w:r>
              <w:rPr>
                <w:rFonts w:hint="eastAsia" w:hAnsi="宋体" w:cs="宋体"/>
                <w:b/>
                <w:color w:val="auto"/>
                <w:sz w:val="21"/>
                <w:highlight w:val="none"/>
                <w:lang w:val="en-US" w:eastAsia="zh-CN"/>
              </w:rPr>
              <w:t>采购</w:t>
            </w:r>
            <w:r>
              <w:rPr>
                <w:rFonts w:hAnsi="宋体" w:cs="宋体"/>
                <w:b/>
                <w:color w:val="auto"/>
                <w:sz w:val="21"/>
                <w:highlight w:val="none"/>
                <w:lang w:val="en-US" w:eastAsia="zh-CN"/>
              </w:rPr>
              <w:t>人</w:t>
            </w:r>
            <w:r>
              <w:rPr>
                <w:rFonts w:hint="eastAsia" w:hAnsi="宋体" w:cs="宋体"/>
                <w:b/>
                <w:color w:val="auto"/>
                <w:sz w:val="21"/>
                <w:highlight w:val="none"/>
                <w:lang w:val="en-US" w:eastAsia="zh-CN"/>
              </w:rPr>
              <w:t>或者采购代理机构</w:t>
            </w:r>
            <w:r>
              <w:rPr>
                <w:rFonts w:hAnsi="宋体" w:cs="宋体"/>
                <w:b/>
                <w:color w:val="auto"/>
                <w:sz w:val="21"/>
                <w:highlight w:val="none"/>
                <w:lang w:val="en-US" w:eastAsia="zh-CN"/>
              </w:rPr>
              <w:t>负责解释。</w:t>
            </w:r>
          </w:p>
          <w:p w14:paraId="4853A467">
            <w:pPr>
              <w:pStyle w:val="13"/>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b/>
                <w:color w:val="auto"/>
                <w:sz w:val="21"/>
                <w:highlight w:val="none"/>
                <w:lang w:val="en-US" w:eastAsia="zh-CN"/>
              </w:rPr>
              <w:t>法律责任：</w:t>
            </w:r>
            <w:r>
              <w:rPr>
                <w:rFonts w:hint="eastAsia" w:hAnsi="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511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185DAED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2103" w:type="dxa"/>
            <w:tcBorders>
              <w:top w:val="single" w:color="auto" w:sz="4" w:space="0"/>
              <w:left w:val="single" w:color="auto" w:sz="4" w:space="0"/>
              <w:bottom w:val="single" w:color="auto" w:sz="4" w:space="0"/>
              <w:right w:val="single" w:color="auto" w:sz="4" w:space="0"/>
            </w:tcBorders>
            <w:vAlign w:val="center"/>
          </w:tcPr>
          <w:p w14:paraId="764B3D0F">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53" w:type="dxa"/>
            <w:tcBorders>
              <w:top w:val="single" w:color="auto" w:sz="4" w:space="0"/>
              <w:left w:val="single" w:color="auto" w:sz="4" w:space="0"/>
              <w:bottom w:val="single" w:color="auto" w:sz="4" w:space="0"/>
              <w:right w:val="single" w:color="auto" w:sz="4" w:space="0"/>
            </w:tcBorders>
            <w:vAlign w:val="center"/>
          </w:tcPr>
          <w:p w14:paraId="352F5D5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A0C6AA8">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本磋商文件所称的“电子签章”、“电子签名”，是指经“政采云”平台认可的CA认证的电子签名数据为表现形式的印章，可用于签署电子响应文件，电子印章与实物印章具有同等法律效力，不因其采用电子化表现形式而否定其法律效力。</w:t>
            </w:r>
          </w:p>
          <w:p w14:paraId="5E90F315">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191267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4</w:t>
            </w:r>
            <w:r>
              <w:rPr>
                <w:rFonts w:hAnsi="宋体" w:cs="宋体"/>
                <w:color w:val="auto"/>
                <w:sz w:val="21"/>
                <w:highlight w:val="none"/>
                <w:lang w:val="en-US" w:eastAsia="zh-CN"/>
              </w:rPr>
              <w:t>.</w:t>
            </w:r>
            <w:r>
              <w:rPr>
                <w:rFonts w:hint="eastAsia" w:hAnsi="宋体" w:cs="宋体"/>
                <w:color w:val="auto"/>
                <w:sz w:val="21"/>
                <w:highlight w:val="none"/>
                <w:lang w:val="en-US" w:eastAsia="zh-CN"/>
              </w:rPr>
              <w:t>自然人竞标的，磋商文件规定盖公章处由自然人摁手指指印。</w:t>
            </w:r>
          </w:p>
          <w:p w14:paraId="3C5941CF">
            <w:pPr>
              <w:pStyle w:val="13"/>
              <w:keepNext w:val="0"/>
              <w:keepLines w:val="0"/>
              <w:pageBreakBefore w:val="0"/>
              <w:widowControl w:val="0"/>
              <w:kinsoku/>
              <w:wordWrap/>
              <w:overflowPunct/>
              <w:topLinePunct w:val="0"/>
              <w:autoSpaceDE/>
              <w:autoSpaceDN/>
              <w:bidi w:val="0"/>
              <w:adjustRightInd/>
              <w:snapToGrid/>
              <w:spacing w:line="38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color w:val="auto"/>
                <w:sz w:val="21"/>
                <w:highlight w:val="none"/>
                <w:lang w:val="en-US" w:eastAsia="zh-CN"/>
              </w:rPr>
              <w:t>5</w:t>
            </w:r>
            <w:r>
              <w:rPr>
                <w:rFonts w:hAnsi="宋体" w:cs="宋体"/>
                <w:color w:val="auto"/>
                <w:sz w:val="21"/>
                <w:highlight w:val="none"/>
                <w:lang w:val="en-US" w:eastAsia="zh-CN"/>
              </w:rPr>
              <w:t>.</w:t>
            </w:r>
            <w:r>
              <w:rPr>
                <w:rFonts w:hint="eastAsia" w:hAnsi="宋体" w:cs="宋体"/>
                <w:color w:val="auto"/>
                <w:sz w:val="21"/>
                <w:highlight w:val="none"/>
                <w:lang w:val="en-US" w:eastAsia="zh-CN"/>
              </w:rPr>
              <w:t>本磋商文件所称的“以上”“以下”“以内”“届满”，包括本数；所称的“不满”“超过”“以外”，不包括本数。</w:t>
            </w:r>
          </w:p>
        </w:tc>
      </w:tr>
      <w:tr w14:paraId="00BF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48" w:type="dxa"/>
            <w:tcBorders>
              <w:top w:val="single" w:color="auto" w:sz="4" w:space="0"/>
              <w:left w:val="single" w:color="auto" w:sz="4" w:space="0"/>
              <w:bottom w:val="single" w:color="auto" w:sz="4" w:space="0"/>
              <w:right w:val="single" w:color="auto" w:sz="4" w:space="0"/>
            </w:tcBorders>
            <w:vAlign w:val="center"/>
          </w:tcPr>
          <w:p w14:paraId="4B7C0D04">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2103" w:type="dxa"/>
            <w:tcBorders>
              <w:top w:val="single" w:color="auto" w:sz="4" w:space="0"/>
              <w:left w:val="single" w:color="auto" w:sz="4" w:space="0"/>
              <w:bottom w:val="single" w:color="auto" w:sz="4" w:space="0"/>
              <w:right w:val="single" w:color="auto" w:sz="4" w:space="0"/>
            </w:tcBorders>
            <w:vAlign w:val="center"/>
          </w:tcPr>
          <w:p w14:paraId="24B88041">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eastAsia="宋体" w:cs="宋体"/>
                <w:b/>
                <w:color w:val="auto"/>
                <w:spacing w:val="0"/>
                <w:szCs w:val="21"/>
                <w:highlight w:val="none"/>
              </w:rPr>
              <w:t>特别说明</w:t>
            </w:r>
          </w:p>
        </w:tc>
        <w:tc>
          <w:tcPr>
            <w:tcW w:w="7053" w:type="dxa"/>
            <w:tcBorders>
              <w:top w:val="single" w:color="auto" w:sz="4" w:space="0"/>
              <w:left w:val="single" w:color="auto" w:sz="4" w:space="0"/>
              <w:bottom w:val="single" w:color="auto" w:sz="4" w:space="0"/>
              <w:right w:val="single" w:color="auto" w:sz="4" w:space="0"/>
            </w:tcBorders>
            <w:vAlign w:val="center"/>
          </w:tcPr>
          <w:p w14:paraId="0C852962">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lang w:eastAsia="zh-CN"/>
              </w:rPr>
            </w:pPr>
            <w:r>
              <w:rPr>
                <w:rFonts w:hint="eastAsia"/>
                <w:color w:val="auto"/>
                <w:highlight w:val="none"/>
              </w:rPr>
              <w:t>（1）</w:t>
            </w:r>
            <w:r>
              <w:rPr>
                <w:rFonts w:hint="eastAsia"/>
                <w:color w:val="auto"/>
                <w:highlight w:val="none"/>
                <w:lang w:eastAsia="zh-CN"/>
              </w:rPr>
              <w:t>响应文件</w:t>
            </w:r>
            <w:r>
              <w:rPr>
                <w:rFonts w:hint="eastAsia"/>
                <w:color w:val="auto"/>
                <w:highlight w:val="none"/>
              </w:rPr>
              <w:t>中须加盖供应商公章位置均采用CA签章，并根据“政府采购项目电子交易管理操作指南-供应商”及本</w:t>
            </w:r>
            <w:r>
              <w:rPr>
                <w:rFonts w:hint="eastAsia"/>
                <w:color w:val="auto"/>
                <w:highlight w:val="none"/>
                <w:lang w:eastAsia="zh-CN"/>
              </w:rPr>
              <w:t>竞争性磋商文件</w:t>
            </w:r>
            <w:r>
              <w:rPr>
                <w:rFonts w:hint="eastAsia"/>
                <w:color w:val="auto"/>
                <w:highlight w:val="none"/>
              </w:rPr>
              <w:t>规定的</w:t>
            </w:r>
            <w:r>
              <w:rPr>
                <w:rFonts w:hint="eastAsia"/>
                <w:color w:val="auto"/>
                <w:highlight w:val="none"/>
                <w:lang w:eastAsia="zh-CN"/>
              </w:rPr>
              <w:t>要求</w:t>
            </w:r>
            <w:r>
              <w:rPr>
                <w:rFonts w:hint="eastAsia"/>
                <w:color w:val="auto"/>
                <w:highlight w:val="none"/>
              </w:rPr>
              <w:t>编制</w:t>
            </w:r>
            <w:r>
              <w:rPr>
                <w:rFonts w:hint="eastAsia"/>
                <w:color w:val="auto"/>
                <w:highlight w:val="none"/>
                <w:lang w:eastAsia="zh-CN"/>
              </w:rPr>
              <w:t>响应文件</w:t>
            </w:r>
            <w:r>
              <w:rPr>
                <w:rFonts w:hint="eastAsia"/>
                <w:color w:val="auto"/>
                <w:highlight w:val="none"/>
              </w:rPr>
              <w:t>并进行关联定位，以便</w:t>
            </w:r>
            <w:r>
              <w:rPr>
                <w:rFonts w:hint="eastAsia"/>
                <w:color w:val="auto"/>
                <w:highlight w:val="none"/>
                <w:lang w:eastAsia="zh-CN"/>
              </w:rPr>
              <w:t>磋商小组</w:t>
            </w:r>
            <w:r>
              <w:rPr>
                <w:rFonts w:hint="eastAsia"/>
                <w:color w:val="auto"/>
                <w:highlight w:val="none"/>
              </w:rPr>
              <w:t>在评审时，点击评分项可直接定位到该评分项内容。如对</w:t>
            </w:r>
            <w:r>
              <w:rPr>
                <w:rFonts w:hint="eastAsia"/>
                <w:color w:val="auto"/>
                <w:highlight w:val="none"/>
                <w:lang w:eastAsia="zh-CN"/>
              </w:rPr>
              <w:t>竞争性磋商文件</w:t>
            </w:r>
            <w:r>
              <w:rPr>
                <w:rFonts w:hint="eastAsia"/>
                <w:color w:val="auto"/>
                <w:highlight w:val="none"/>
              </w:rPr>
              <w:t>的某项要求，供应商的</w:t>
            </w:r>
            <w:r>
              <w:rPr>
                <w:rFonts w:hint="eastAsia"/>
                <w:color w:val="auto"/>
                <w:highlight w:val="none"/>
                <w:lang w:eastAsia="zh-CN"/>
              </w:rPr>
              <w:t>响应文件</w:t>
            </w:r>
            <w:r>
              <w:rPr>
                <w:rFonts w:hint="eastAsia"/>
                <w:color w:val="auto"/>
                <w:highlight w:val="none"/>
              </w:rPr>
              <w:t>未能关联定位提供相应的内容与其对应，</w:t>
            </w:r>
            <w:r>
              <w:rPr>
                <w:rFonts w:hint="eastAsia"/>
                <w:color w:val="auto"/>
                <w:highlight w:val="none"/>
                <w:lang w:eastAsia="zh-CN"/>
              </w:rPr>
              <w:t>则磋商小组在评审时如做出对供应商不利的评审由供应商自行承担。响应文件如内容不完整、编排混乱导致响应文件被误读、 漏读，或者在按磋商文件规定的部位查找不到相关内容的，由供应商自行承担。</w:t>
            </w:r>
          </w:p>
          <w:p w14:paraId="6EADC5C6">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rPr>
            </w:pPr>
            <w:r>
              <w:rPr>
                <w:rFonts w:hint="eastAsia"/>
                <w:color w:val="auto"/>
                <w:highlight w:val="none"/>
                <w:lang w:eastAsia="zh-CN"/>
              </w:rPr>
              <w:t>（2）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color w:val="auto"/>
                <w:highlight w:val="none"/>
              </w:rPr>
              <w:t>。</w:t>
            </w:r>
          </w:p>
          <w:p w14:paraId="427BD920">
            <w:pPr>
              <w:pStyle w:val="47"/>
              <w:keepNext w:val="0"/>
              <w:keepLines w:val="0"/>
              <w:pageBreakBefore w:val="0"/>
              <w:widowControl w:val="0"/>
              <w:kinsoku/>
              <w:wordWrap/>
              <w:overflowPunct/>
              <w:topLinePunct w:val="0"/>
              <w:autoSpaceDE/>
              <w:autoSpaceDN/>
              <w:bidi w:val="0"/>
              <w:adjustRightInd/>
              <w:snapToGrid/>
              <w:spacing w:before="0" w:after="0" w:line="380" w:lineRule="exact"/>
              <w:ind w:left="0" w:leftChars="0" w:firstLine="0" w:firstLineChars="0"/>
              <w:textAlignment w:val="auto"/>
              <w:rPr>
                <w:rFonts w:hint="eastAsia"/>
                <w:color w:val="auto"/>
                <w:highlight w:val="none"/>
                <w:lang w:val="en-US" w:eastAsia="zh-CN"/>
              </w:rPr>
            </w:pPr>
            <w:r>
              <w:rPr>
                <w:rFonts w:hint="eastAsia" w:ascii="Times New Roman" w:eastAsia="宋体" w:cs="Times New Roman"/>
                <w:bCs w:val="0"/>
                <w:color w:val="auto"/>
                <w:spacing w:val="0"/>
                <w:kern w:val="2"/>
                <w:sz w:val="21"/>
                <w:szCs w:val="24"/>
                <w:highlight w:val="none"/>
                <w:lang w:val="en-US" w:eastAsia="zh-CN" w:bidi="ar-SA"/>
              </w:rPr>
              <w:t>（3）补充事项：</w:t>
            </w:r>
            <w:r>
              <w:rPr>
                <w:rFonts w:hint="eastAsia" w:ascii="Times New Roman" w:hAnsi="Times New Roman" w:eastAsia="宋体" w:cs="Times New Roman"/>
                <w:bCs w:val="0"/>
                <w:color w:val="auto"/>
                <w:spacing w:val="0"/>
                <w:kern w:val="2"/>
                <w:sz w:val="21"/>
                <w:szCs w:val="24"/>
                <w:highlight w:val="none"/>
                <w:lang w:val="en-US" w:eastAsia="zh-CN" w:bidi="ar-SA"/>
              </w:rPr>
              <w:t>成交</w:t>
            </w:r>
            <w:r>
              <w:rPr>
                <w:rFonts w:hint="eastAsia" w:ascii="Times New Roman" w:eastAsia="宋体" w:cs="Times New Roman"/>
                <w:bCs w:val="0"/>
                <w:color w:val="auto"/>
                <w:spacing w:val="0"/>
                <w:kern w:val="2"/>
                <w:sz w:val="21"/>
                <w:szCs w:val="24"/>
                <w:highlight w:val="none"/>
                <w:lang w:val="en-US" w:eastAsia="zh-CN" w:bidi="ar-SA"/>
              </w:rPr>
              <w:t>供应商</w:t>
            </w:r>
            <w:r>
              <w:rPr>
                <w:rFonts w:hint="eastAsia" w:ascii="Times New Roman" w:hAnsi="Times New Roman" w:eastAsia="宋体" w:cs="Times New Roman"/>
                <w:bCs w:val="0"/>
                <w:color w:val="auto"/>
                <w:spacing w:val="0"/>
                <w:kern w:val="2"/>
                <w:sz w:val="21"/>
                <w:szCs w:val="24"/>
                <w:highlight w:val="none"/>
                <w:lang w:val="en-US" w:eastAsia="zh-CN" w:bidi="ar-SA"/>
              </w:rPr>
              <w:t>需在确定成交3日内打印盖章响应文件</w:t>
            </w:r>
            <w:r>
              <w:rPr>
                <w:rFonts w:hint="eastAsia" w:ascii="Times New Roman" w:eastAsia="宋体" w:cs="Times New Roman"/>
                <w:bCs w:val="0"/>
                <w:color w:val="auto"/>
                <w:spacing w:val="0"/>
                <w:kern w:val="2"/>
                <w:sz w:val="21"/>
                <w:szCs w:val="24"/>
                <w:highlight w:val="none"/>
                <w:lang w:val="en-US" w:eastAsia="zh-CN" w:bidi="ar-SA"/>
              </w:rPr>
              <w:t>（一式</w:t>
            </w:r>
            <w:r>
              <w:rPr>
                <w:rFonts w:hint="eastAsia" w:ascii="Times New Roman" w:cs="Times New Roman"/>
                <w:bCs w:val="0"/>
                <w:color w:val="auto"/>
                <w:spacing w:val="0"/>
                <w:kern w:val="2"/>
                <w:sz w:val="21"/>
                <w:szCs w:val="24"/>
                <w:highlight w:val="none"/>
                <w:lang w:val="en-US" w:eastAsia="zh-CN" w:bidi="ar-SA"/>
              </w:rPr>
              <w:t>四</w:t>
            </w:r>
            <w:r>
              <w:rPr>
                <w:rFonts w:hint="eastAsia" w:ascii="Times New Roman" w:eastAsia="宋体" w:cs="Times New Roman"/>
                <w:bCs w:val="0"/>
                <w:color w:val="auto"/>
                <w:spacing w:val="0"/>
                <w:kern w:val="2"/>
                <w:sz w:val="21"/>
                <w:szCs w:val="24"/>
                <w:highlight w:val="none"/>
                <w:lang w:val="en-US" w:eastAsia="zh-CN" w:bidi="ar-SA"/>
              </w:rPr>
              <w:t>份）</w:t>
            </w:r>
            <w:r>
              <w:rPr>
                <w:rFonts w:hint="eastAsia" w:ascii="Times New Roman" w:hAnsi="Times New Roman" w:eastAsia="宋体" w:cs="Times New Roman"/>
                <w:bCs w:val="0"/>
                <w:color w:val="auto"/>
                <w:spacing w:val="0"/>
                <w:kern w:val="2"/>
                <w:sz w:val="21"/>
                <w:szCs w:val="24"/>
                <w:highlight w:val="none"/>
                <w:lang w:val="en-US" w:eastAsia="zh-CN" w:bidi="ar-SA"/>
              </w:rPr>
              <w:t>提供给代理机构，作为成果文件装订使用。</w:t>
            </w:r>
          </w:p>
        </w:tc>
      </w:tr>
    </w:tbl>
    <w:p w14:paraId="1B3EDFE3">
      <w:pPr>
        <w:pStyle w:val="15"/>
        <w:ind w:left="0" w:leftChars="0" w:firstLine="0" w:firstLineChars="0"/>
        <w:rPr>
          <w:rFonts w:hint="eastAsia"/>
          <w:color w:val="auto"/>
          <w:highlight w:val="none"/>
          <w:lang w:val="en-US" w:eastAsia="zh-CN"/>
        </w:rPr>
      </w:pPr>
      <w:bookmarkStart w:id="64" w:name="_Toc8441"/>
      <w:bookmarkStart w:id="65" w:name="_Toc16298"/>
    </w:p>
    <w:p w14:paraId="504BB4EA">
      <w:pPr>
        <w:pStyle w:val="2"/>
        <w:keepNext/>
        <w:keepLines/>
        <w:pageBreakBefore w:val="0"/>
        <w:widowControl w:val="0"/>
        <w:kinsoku/>
        <w:wordWrap/>
        <w:overflowPunct/>
        <w:topLinePunct w:val="0"/>
        <w:autoSpaceDE/>
        <w:autoSpaceDN/>
        <w:bidi w:val="0"/>
        <w:adjustRightInd/>
        <w:snapToGrid/>
        <w:spacing w:before="0" w:beforeLines="50" w:after="0" w:line="600" w:lineRule="exact"/>
        <w:jc w:val="center"/>
        <w:textAlignment w:val="auto"/>
        <w:rPr>
          <w:rFonts w:ascii="宋体" w:hAnsi="宋体" w:cs="宋体"/>
          <w:b/>
          <w:bCs w:val="0"/>
          <w:color w:val="auto"/>
          <w:szCs w:val="21"/>
          <w:highlight w:val="none"/>
        </w:rPr>
      </w:pPr>
      <w:r>
        <w:rPr>
          <w:rFonts w:hint="eastAsia" w:ascii="宋体" w:hAnsi="宋体" w:cs="宋体"/>
          <w:b/>
          <w:bCs w:val="0"/>
          <w:color w:val="auto"/>
          <w:sz w:val="32"/>
          <w:szCs w:val="32"/>
          <w:highlight w:val="none"/>
          <w:lang w:val="en-US" w:eastAsia="zh-CN"/>
        </w:rPr>
        <w:t>供应商</w:t>
      </w:r>
      <w:r>
        <w:rPr>
          <w:rFonts w:hint="eastAsia" w:ascii="宋体" w:hAnsi="宋体" w:cs="宋体"/>
          <w:b/>
          <w:bCs w:val="0"/>
          <w:color w:val="auto"/>
          <w:sz w:val="32"/>
          <w:szCs w:val="32"/>
          <w:highlight w:val="none"/>
        </w:rPr>
        <w:t>须知</w:t>
      </w:r>
      <w:bookmarkEnd w:id="64"/>
      <w:bookmarkEnd w:id="65"/>
    </w:p>
    <w:p w14:paraId="6EB3A529">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auto"/>
          <w:szCs w:val="21"/>
          <w:highlight w:val="none"/>
        </w:rPr>
      </w:pPr>
      <w:r>
        <w:rPr>
          <w:rFonts w:hint="eastAsia" w:ascii="宋体" w:hAnsi="宋体" w:cs="宋体"/>
          <w:b/>
          <w:color w:val="auto"/>
          <w:szCs w:val="21"/>
          <w:highlight w:val="none"/>
        </w:rPr>
        <w:t>一、总则</w:t>
      </w:r>
    </w:p>
    <w:p w14:paraId="5CFFBC8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1.适用范围</w:t>
      </w:r>
    </w:p>
    <w:p w14:paraId="69779A9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1.1 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622A67F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 本竞争性磋商文件适用于本项目的所有采购程序和环节 (法律、法规另有规定的，从其规定) 。</w:t>
      </w:r>
    </w:p>
    <w:p w14:paraId="695E7B2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2.定义</w:t>
      </w:r>
    </w:p>
    <w:p w14:paraId="3ED2C6E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693526F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2.2“采购代理机构”是指政府采购代理机构 (以下简称采购代理机构) 是指集中采购机构以外、受采购人委托从事政府采购代理业务的社会中介机构。</w:t>
      </w:r>
    </w:p>
    <w:p w14:paraId="7A6731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75E91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2.4“工程”是指建设工程，包括建筑物和构筑物的新建、改建、扩建、装修、拆除、修缮等。</w:t>
      </w:r>
    </w:p>
    <w:p w14:paraId="509658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2.5“竞标”是指供应商按照本项目竞争性磋商公告规定的方式获取竞争性磋商文件、提交响应文件并希望获得标的的行为。</w:t>
      </w:r>
    </w:p>
    <w:p w14:paraId="2FE510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2.6“响应文件”是指：供应商根据本竞争性磋商文件要求，编制包含资格证明、报价商务技术等所有内容的文件。</w:t>
      </w:r>
    </w:p>
    <w:p w14:paraId="47316F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2.7“实质性要求”是指竞争性磋商文件中已经指明不满足则响应文件按无效响应处理的条款，或不能负偏离的条款，或采购需求中带“▲”的条款。</w:t>
      </w:r>
    </w:p>
    <w:p w14:paraId="3ADCD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2.8“正偏离”，是指响应文件对竞争性磋商文件“采购需求”中有关条款作出的响应优于条款要求并有利于采购人的情形。</w:t>
      </w:r>
    </w:p>
    <w:p w14:paraId="0E3132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2.9“负偏离”，是指响应文件对竞争性磋商文件“采购需求”中有关条款作出的响应不满足条款要求导致采购人要求不能得到满足的情形。</w:t>
      </w:r>
    </w:p>
    <w:p w14:paraId="59B38E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29DB43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 (包括电报、电传、传真、电子数据交换和电子邮件) 等可以有形地表现所载内容的形式。</w:t>
      </w:r>
    </w:p>
    <w:p w14:paraId="3E5CEA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2.12“首次报价”是指供应商提交的首次响应文件中的报价。                     </w:t>
      </w:r>
    </w:p>
    <w:p w14:paraId="009ECA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2.13“评审价”是指供应商提交的最后报价并经修正和政策功能价格扣除后的价格。</w:t>
      </w:r>
    </w:p>
    <w:p w14:paraId="4FAA1DA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3.供应商的资格条件</w:t>
      </w:r>
    </w:p>
    <w:p w14:paraId="585720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51A1C75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4.竞标费用</w:t>
      </w:r>
    </w:p>
    <w:p w14:paraId="171E18B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供应商应承担参与本次采购活动有关的所有费用，包括但不限于获取磋商文件、勘查现场、编制和提交响应文件、参加磋商与应答、签订合同等，不论磋商结果如何，均应自行承担。  </w:t>
      </w:r>
    </w:p>
    <w:p w14:paraId="46E04B1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5.联合体竞标</w:t>
      </w:r>
    </w:p>
    <w:p w14:paraId="6FEBCB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 本项目不接受联合体竞标。</w:t>
      </w:r>
    </w:p>
    <w:p w14:paraId="1A854E3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6.转包与分包</w:t>
      </w:r>
    </w:p>
    <w:p w14:paraId="45133F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6.1 本项目不允许转包。</w:t>
      </w:r>
    </w:p>
    <w:p w14:paraId="4B5EF2A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7.特别说明</w:t>
      </w:r>
    </w:p>
    <w:p w14:paraId="12CB06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7.1 如果本磋商文件要求供应商提供资格、信誉、荣誉、业绩与企业认证等材料的，则供应商所提供的以上材料必须为供应商所拥有。</w:t>
      </w:r>
    </w:p>
    <w:p w14:paraId="53EDEEC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7.2 供应商应仔细阅读竞争性磋商文件的所有内容，按照竞争性磋商文件的要求提交响应文件，并对所提供的全部资料的真实性承担法律责任。</w:t>
      </w:r>
    </w:p>
    <w:p w14:paraId="071B456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7.3 供应商在磋商活动中提供任何疑似虚假材料，将报监管部门查处；签订合同后发现的， 成交供应商须依照《中华人民共和国消费者权益保护法》规定赔偿采购人，且民事赔偿并不免除违法供应商的行政与刑事责任。</w:t>
      </w:r>
    </w:p>
    <w:p w14:paraId="2331C3C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7.4 在政府采购活动中，采购人员及相关人员与供应商有下列利害关系之一的，应当回避：</w:t>
      </w:r>
    </w:p>
    <w:p w14:paraId="1F76E4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参加采购活动前 3 年内与供应商存在劳动关系；</w:t>
      </w:r>
    </w:p>
    <w:p w14:paraId="63AFC3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参加采购活动前 3 年内担任供应商的董事、监事；</w:t>
      </w:r>
    </w:p>
    <w:p w14:paraId="37CA34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参加采购活动前 3 年内是供应商的控股股东或者实际控制人；</w:t>
      </w:r>
    </w:p>
    <w:p w14:paraId="2DF213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与供应商的法定代表人或负责人有夫妻、直系血亲、三代以内旁系血亲或者近姻亲关系；</w:t>
      </w:r>
    </w:p>
    <w:p w14:paraId="139BFA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与供应商有其他可能影响政府采购活动公平、公正进行的关系。</w:t>
      </w:r>
    </w:p>
    <w:p w14:paraId="271748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 机构书面提出回避申请，并说明理由。采购人或者采购代理机构应当及时询问被申请回避人员，有利害关系的被申请回避人员应当回避。</w:t>
      </w:r>
    </w:p>
    <w:p w14:paraId="697E1295">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7.5 有下列情形之一的视为供应商相互串通竞标，响应文件将被视为无效：</w:t>
      </w:r>
    </w:p>
    <w:p w14:paraId="60F43F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不同供应商的响应文件由同一单位或者个人编制；或者不同供应商报名的 IP地址一致的；</w:t>
      </w:r>
    </w:p>
    <w:p w14:paraId="556F66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不同供应商委托同一单位或者个人办理磋商事宜；</w:t>
      </w:r>
    </w:p>
    <w:p w14:paraId="7EE766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不同的供应商的响应文件载明的项目管理员为同一个人；</w:t>
      </w:r>
    </w:p>
    <w:p w14:paraId="091C2F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不同供应商的响应文件异常一致或者报价呈规律性差异；</w:t>
      </w:r>
    </w:p>
    <w:p w14:paraId="649C06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不同供应商的响应文件相互混装；</w:t>
      </w:r>
    </w:p>
    <w:p w14:paraId="0AFC5D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不同供应商的磋商保证金从同一单位或者个人账户转出。</w:t>
      </w:r>
    </w:p>
    <w:p w14:paraId="4B7B52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7.6 供应商有下列情形之一的，属于恶意串通行为：</w:t>
      </w:r>
    </w:p>
    <w:p w14:paraId="6698F7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供应商直接或者间接从采购人或者采购代理机构处获得其他供应商的相关信息并修改其响应文件；</w:t>
      </w:r>
    </w:p>
    <w:p w14:paraId="780CF4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供应商按照采购人或者采购代理机构的授意撤换、修改响应文件；</w:t>
      </w:r>
    </w:p>
    <w:p w14:paraId="3B8C8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供应商之间协商报价、技术方案等响应文件或者响应文件的实质性内容；</w:t>
      </w:r>
    </w:p>
    <w:p w14:paraId="7EAD7A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属于同一集团、协会、商会等组织成员的供应商按照该组织要求协同参加政府采购活动；</w:t>
      </w:r>
    </w:p>
    <w:p w14:paraId="25407B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供应商之间事先约定一致抬高或者压低报价，或者在政府采购活动中事先约定轮流以高价位或者低价位成交，或者事先约定由某一特定供应商成交，然后再参加竞标；</w:t>
      </w:r>
    </w:p>
    <w:p w14:paraId="731E5A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供应商之间商定部分供应商放弃参加政府采购活动或者放弃成交；</w:t>
      </w:r>
    </w:p>
    <w:p w14:paraId="2B1C7C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 供应商与采购人或者采购代理机构之间、供应商相互之间，为谋求特定供应商成交或者排斥其他供应商的其他串通行为。</w:t>
      </w:r>
    </w:p>
    <w:p w14:paraId="6CC1B0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7.7 关联供应商不得参加同一合同项下政府采购活动，否则响应文件将被视为无效：</w:t>
      </w:r>
    </w:p>
    <w:p w14:paraId="6D79BC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单位负责人为同一人或者存在直接控股、管理关系的不同的供应商，不得参加同一合同项下的政府采购活动。</w:t>
      </w:r>
    </w:p>
    <w:p w14:paraId="1F5FE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二、响应文件的编制</w:t>
      </w:r>
    </w:p>
    <w:p w14:paraId="21E9B6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8.响应文件的编制原则</w:t>
      </w:r>
    </w:p>
    <w:p w14:paraId="4FD55A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供应商应当按照竞争性磋商文件的要求编制响应文件，并对其提交的响应文件的真实性、合法性承担法律责任。响应文件应当对竞争性磋商文件作出实质性响应。</w:t>
      </w:r>
    </w:p>
    <w:p w14:paraId="65FBEA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 响应文件编制基本要求</w:t>
      </w:r>
    </w:p>
    <w:p w14:paraId="3E73505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9.1 本项目实行电子开评标，供应商应准备电子磋商响应文件。供应商应仔细阅读竞争性磋商采购文件，在充分了解采购的内容、服务要求和商务条款以及实质性要求和条件后，编写响应文件。电子响应文件按</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要求及本竞争性磋商采购文件要求制作、加密并递交。具体操作流程可参考《</w:t>
      </w:r>
      <w:r>
        <w:rPr>
          <w:rFonts w:hint="eastAsia" w:ascii="宋体" w:hAnsi="宋体" w:cs="宋体"/>
          <w:b w:val="0"/>
          <w:bCs/>
          <w:color w:val="auto"/>
          <w:szCs w:val="21"/>
          <w:highlight w:val="none"/>
          <w:lang w:val="en-US" w:eastAsia="zh-CN"/>
        </w:rPr>
        <w:t>政府采购项目电子交易管理操作指南-供应商</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指南可</w:t>
      </w:r>
      <w:r>
        <w:rPr>
          <w:rFonts w:hint="eastAsia" w:ascii="宋体" w:hAnsi="宋体" w:cs="宋体"/>
          <w:b w:val="0"/>
          <w:bCs/>
          <w:color w:val="auto"/>
          <w:szCs w:val="21"/>
          <w:highlight w:val="none"/>
        </w:rPr>
        <w:t>在“http://zfcg.gxzf.gov.cn/PurchaseAdvisory/ImportantNotice/2866753.html”下载。</w:t>
      </w:r>
    </w:p>
    <w:p w14:paraId="718AB6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9.2 供应商提交的竞争性磋商响应文件以及供应商与</w:t>
      </w:r>
      <w:r>
        <w:rPr>
          <w:rFonts w:hint="eastAsia" w:ascii="宋体" w:hAnsi="宋体" w:cs="宋体"/>
          <w:b w:val="0"/>
          <w:bCs/>
          <w:color w:val="auto"/>
          <w:szCs w:val="21"/>
          <w:highlight w:val="none"/>
          <w:lang w:eastAsia="zh-CN"/>
        </w:rPr>
        <w:t>广西合士嘉项目咨询有限公司</w:t>
      </w:r>
      <w:r>
        <w:rPr>
          <w:rFonts w:hint="eastAsia" w:ascii="宋体" w:hAnsi="宋体" w:cs="宋体"/>
          <w:b w:val="0"/>
          <w:bCs/>
          <w:color w:val="auto"/>
          <w:szCs w:val="21"/>
          <w:highlight w:val="none"/>
        </w:rPr>
        <w:t>和采购人就有关磋商的所有来往函电均应使用中文。供应商提交的支持文件和印刷的文献可以使用别的语言，但其相应内容必须附有中文翻译文本，在解释竞争性磋商响应文件时以翻译文本为准。</w:t>
      </w:r>
    </w:p>
    <w:p w14:paraId="371874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9.3 供应商应认真阅读、并充分理解本文件的全部内容 (包括所有的补充、修改内容)，承诺并履行本文件中各项条款规定及要求。</w:t>
      </w:r>
    </w:p>
    <w:p w14:paraId="022BE4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9.4 竞争性磋商响应文件必须按本文件的全部内容，包括所有的补充通知及附件进行编制。</w:t>
      </w:r>
    </w:p>
    <w:p w14:paraId="61EE4A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9.5 如因供应商只填写和提供了本文件要求的部分内容和附件，而给评审造成困难，其可能导致的结果和责任由供应商自行承担。</w:t>
      </w:r>
    </w:p>
    <w:p w14:paraId="75096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val="0"/>
          <w:color w:val="auto"/>
          <w:szCs w:val="21"/>
          <w:highlight w:val="none"/>
          <w:lang w:eastAsia="zh-CN"/>
        </w:rPr>
      </w:pPr>
      <w:r>
        <w:rPr>
          <w:rFonts w:hint="eastAsia" w:ascii="宋体" w:hAnsi="宋体" w:cs="宋体"/>
          <w:b w:val="0"/>
          <w:bCs/>
          <w:color w:val="auto"/>
          <w:szCs w:val="21"/>
          <w:highlight w:val="none"/>
        </w:rPr>
        <w:t>9.6 响应文件的组成：响应文件应分为资格证明文件、报价文件、商务技术文件三个部分组成。</w:t>
      </w:r>
      <w:r>
        <w:rPr>
          <w:rFonts w:hint="eastAsia" w:ascii="宋体" w:hAnsi="宋体" w:cs="宋体"/>
          <w:b/>
          <w:bCs w:val="0"/>
          <w:color w:val="auto"/>
          <w:szCs w:val="21"/>
          <w:highlight w:val="none"/>
          <w:lang w:eastAsia="zh-CN"/>
        </w:rPr>
        <w:t>以下注明“</w:t>
      </w:r>
      <w:r>
        <w:rPr>
          <w:rFonts w:hint="eastAsia" w:ascii="宋体" w:hAnsi="宋体" w:cs="宋体"/>
          <w:color w:val="auto"/>
          <w:szCs w:val="21"/>
          <w:highlight w:val="none"/>
        </w:rPr>
        <w:t>▲</w:t>
      </w:r>
      <w:r>
        <w:rPr>
          <w:rFonts w:hint="eastAsia" w:ascii="宋体" w:hAnsi="宋体" w:cs="宋体"/>
          <w:b/>
          <w:bCs w:val="0"/>
          <w:color w:val="auto"/>
          <w:szCs w:val="21"/>
          <w:highlight w:val="none"/>
          <w:lang w:eastAsia="zh-CN"/>
        </w:rPr>
        <w:t>”的必须提供，否则竞标无效。</w:t>
      </w:r>
    </w:p>
    <w:p w14:paraId="3C75F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1.资格证明文件</w:t>
      </w:r>
    </w:p>
    <w:p w14:paraId="61FB2CBD">
      <w:pPr>
        <w:pStyle w:val="9"/>
        <w:spacing w:line="360" w:lineRule="auto"/>
        <w:ind w:firstLine="420" w:firstLineChars="200"/>
        <w:rPr>
          <w:rFonts w:hint="eastAsia" w:ascii="宋体" w:hAnsi="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(1)</w:t>
      </w:r>
      <w:r>
        <w:rPr>
          <w:rFonts w:hint="eastAsia" w:ascii="宋体" w:hAnsi="宋体" w:cs="宋体"/>
          <w:color w:val="auto"/>
          <w:szCs w:val="21"/>
          <w:highlight w:val="none"/>
          <w:lang w:val="en-US" w:eastAsia="zh-CN"/>
        </w:rPr>
        <w:t>供应商为法人或者其他组织的提供其营业执照等证明文件复印件（如营业执照或者事业单位法人证书或者执业许可证或者登记证书等）；</w:t>
      </w:r>
    </w:p>
    <w:p w14:paraId="6CC5258F">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p>
    <w:p w14:paraId="0C3ED04B">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p>
    <w:p w14:paraId="46A3D03B">
      <w:pPr>
        <w:spacing w:line="360" w:lineRule="auto"/>
        <w:ind w:firstLine="420" w:firstLineChars="200"/>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w:t>
      </w:r>
      <w:r>
        <w:rPr>
          <w:rFonts w:hint="eastAsia" w:ascii="宋体" w:hAnsi="宋体" w:cs="宋体"/>
          <w:color w:val="auto"/>
          <w:szCs w:val="21"/>
          <w:highlight w:val="none"/>
        </w:rPr>
        <w:t>供应商</w:t>
      </w:r>
      <w:r>
        <w:rPr>
          <w:rFonts w:hint="eastAsia"/>
          <w:color w:val="auto"/>
          <w:szCs w:val="21"/>
          <w:highlight w:val="none"/>
        </w:rPr>
        <w:t>财务状况报告（</w:t>
      </w:r>
      <w:r>
        <w:rPr>
          <w:rFonts w:hint="eastAsia"/>
          <w:color w:val="auto"/>
          <w:szCs w:val="21"/>
          <w:highlight w:val="none"/>
          <w:u w:val="single"/>
          <w:lang w:val="en-US" w:eastAsia="zh-CN"/>
        </w:rPr>
        <w:t>2023年或</w:t>
      </w:r>
      <w:r>
        <w:rPr>
          <w:rFonts w:hint="eastAsia"/>
          <w:color w:val="auto"/>
          <w:szCs w:val="21"/>
          <w:highlight w:val="none"/>
          <w:u w:val="single"/>
        </w:rPr>
        <w:t>202</w:t>
      </w:r>
      <w:r>
        <w:rPr>
          <w:rFonts w:hint="eastAsia"/>
          <w:color w:val="auto"/>
          <w:szCs w:val="21"/>
          <w:highlight w:val="none"/>
          <w:u w:val="single"/>
          <w:lang w:val="en-US" w:eastAsia="zh-CN"/>
        </w:rPr>
        <w:t>4</w:t>
      </w:r>
      <w:r>
        <w:rPr>
          <w:rFonts w:hint="eastAsia"/>
          <w:color w:val="auto"/>
          <w:szCs w:val="21"/>
          <w:highlight w:val="none"/>
        </w:rPr>
        <w:t>年度财务报表复印件，或者银行出具的资信证明，或者中国人民银行征信中心出具的信用报告；供应商属于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color w:val="auto"/>
          <w:szCs w:val="21"/>
          <w:highlight w:val="none"/>
        </w:rPr>
        <w:t>；</w:t>
      </w:r>
    </w:p>
    <w:p w14:paraId="162487A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color w:val="auto"/>
          <w:szCs w:val="21"/>
          <w:highlight w:val="none"/>
        </w:rPr>
        <w:t>竞标声明（格式后附）；</w:t>
      </w:r>
    </w:p>
    <w:p w14:paraId="32D16DFB">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color w:val="auto"/>
          <w:szCs w:val="21"/>
          <w:highlight w:val="none"/>
        </w:rPr>
        <w:t>供应商直接控股、管理关系信息表（格式后附）；</w:t>
      </w:r>
    </w:p>
    <w:p w14:paraId="4C01E7DA">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7</w:t>
      </w:r>
      <w:r>
        <w:rPr>
          <w:rFonts w:hint="eastAsia" w:ascii="宋体" w:hAnsi="宋体" w:cs="宋体"/>
          <w:b w:val="0"/>
          <w:bCs/>
          <w:color w:val="auto"/>
          <w:szCs w:val="21"/>
          <w:highlight w:val="none"/>
        </w:rPr>
        <w:t>)</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r>
        <w:rPr>
          <w:rFonts w:hint="eastAsia" w:ascii="宋体" w:hAnsi="宋体"/>
          <w:color w:val="auto"/>
          <w:szCs w:val="21"/>
          <w:highlight w:val="none"/>
          <w:lang w:val="en-US" w:eastAsia="zh-CN"/>
        </w:rPr>
        <w:t>[</w:t>
      </w:r>
      <w:r>
        <w:rPr>
          <w:rFonts w:hint="eastAsia" w:ascii="宋体" w:hAnsi="宋体"/>
          <w:color w:val="auto"/>
          <w:szCs w:val="21"/>
          <w:highlight w:val="none"/>
        </w:rPr>
        <w:t>供应商必须在响应文件中提供《</w:t>
      </w:r>
      <w:r>
        <w:rPr>
          <w:rFonts w:hint="eastAsia" w:ascii="宋体" w:hAnsi="宋体"/>
          <w:bCs/>
          <w:color w:val="auto"/>
          <w:szCs w:val="21"/>
          <w:highlight w:val="none"/>
        </w:rPr>
        <w:t>中小企业声明函（工程）</w:t>
      </w:r>
      <w:r>
        <w:rPr>
          <w:rFonts w:hint="eastAsia" w:ascii="宋体" w:hAnsi="宋体"/>
          <w:color w:val="auto"/>
          <w:szCs w:val="21"/>
          <w:highlight w:val="none"/>
        </w:rPr>
        <w:t>》</w:t>
      </w:r>
      <w:r>
        <w:rPr>
          <w:rFonts w:hint="eastAsia"/>
          <w:color w:val="auto"/>
          <w:szCs w:val="22"/>
          <w:highlight w:val="none"/>
        </w:rPr>
        <w:t>或残疾人福利性单位声明函或监狱企业证明材料</w:t>
      </w:r>
      <w:r>
        <w:rPr>
          <w:rFonts w:hint="eastAsia"/>
          <w:color w:val="auto"/>
          <w:szCs w:val="22"/>
          <w:highlight w:val="none"/>
          <w:lang w:val="en-US" w:eastAsia="zh-CN"/>
        </w:rPr>
        <w:t>]；</w:t>
      </w:r>
    </w:p>
    <w:p w14:paraId="4D459439">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val="en-US" w:eastAsia="zh-CN"/>
        </w:rPr>
        <w:t>8</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eastAsia="zh-CN"/>
        </w:rPr>
        <w:t>特定资格证明材料：</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21D7FD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9</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针对资格证明需要说明的其他证明文件和说明。(格式自拟)</w:t>
      </w:r>
    </w:p>
    <w:p w14:paraId="59060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rPr>
        <w:t>.报价文件</w:t>
      </w:r>
    </w:p>
    <w:p w14:paraId="5863F8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(1)磋商函；</w:t>
      </w:r>
    </w:p>
    <w:p w14:paraId="69108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(2)磋商函附录</w:t>
      </w:r>
      <w:r>
        <w:rPr>
          <w:rFonts w:hint="eastAsia" w:ascii="宋体" w:hAnsi="宋体" w:cs="宋体"/>
          <w:b/>
          <w:bCs w:val="0"/>
          <w:color w:val="auto"/>
          <w:szCs w:val="21"/>
          <w:highlight w:val="none"/>
          <w:lang w:eastAsia="zh-CN"/>
        </w:rPr>
        <w:t>；</w:t>
      </w:r>
    </w:p>
    <w:p w14:paraId="05BB57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(3)竞标报价表</w:t>
      </w:r>
      <w:r>
        <w:rPr>
          <w:rFonts w:hint="eastAsia" w:ascii="宋体" w:hAnsi="宋体" w:cs="宋体"/>
          <w:b w:val="0"/>
          <w:bCs/>
          <w:color w:val="auto"/>
          <w:szCs w:val="21"/>
          <w:highlight w:val="none"/>
          <w:lang w:eastAsia="zh-CN"/>
        </w:rPr>
        <w:t>；</w:t>
      </w:r>
    </w:p>
    <w:p w14:paraId="748CED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)已标价工程量清单；</w:t>
      </w:r>
    </w:p>
    <w:p w14:paraId="4728A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针对报价需要说明的其他文件和说明(格式自拟)</w:t>
      </w:r>
      <w:r>
        <w:rPr>
          <w:rFonts w:hint="eastAsia" w:ascii="宋体" w:hAnsi="宋体" w:cs="宋体"/>
          <w:b w:val="0"/>
          <w:bCs/>
          <w:color w:val="auto"/>
          <w:szCs w:val="21"/>
          <w:highlight w:val="none"/>
          <w:lang w:eastAsia="zh-CN"/>
        </w:rPr>
        <w:t>。</w:t>
      </w:r>
    </w:p>
    <w:p w14:paraId="24652F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.商务技术文件</w:t>
      </w:r>
    </w:p>
    <w:p w14:paraId="0A9555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(1)无串通竞标行为的承诺函（格式后附）；</w:t>
      </w:r>
    </w:p>
    <w:p w14:paraId="4F64FC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(2)法定代表人身份证明书及法定代表人有效身份证正反面复印件（格式后附）；</w:t>
      </w:r>
    </w:p>
    <w:p w14:paraId="3B213B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(3)授权委托书及委托代理人有效身份证正反面复印件（格式后附）；</w:t>
      </w:r>
      <w:r>
        <w:rPr>
          <w:rFonts w:hint="eastAsia" w:ascii="宋体" w:hAnsi="宋体" w:cs="宋体"/>
          <w:b/>
          <w:bCs w:val="0"/>
          <w:color w:val="auto"/>
          <w:szCs w:val="21"/>
          <w:highlight w:val="none"/>
        </w:rPr>
        <w:t>（委托时必须提供）</w:t>
      </w:r>
    </w:p>
    <w:p w14:paraId="3EE824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)施工组织设计；</w:t>
      </w:r>
    </w:p>
    <w:p w14:paraId="6E0970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)项目管理机构配备情况表；</w:t>
      </w:r>
    </w:p>
    <w:p w14:paraId="41CFA3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针对商务技术需要说明的其他文件和说明(格式自拟) ；</w:t>
      </w:r>
    </w:p>
    <w:p w14:paraId="5666CDE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特别说明：</w:t>
      </w:r>
      <w:r>
        <w:rPr>
          <w:rFonts w:hint="eastAsia" w:ascii="宋体" w:hAnsi="宋体" w:cs="宋体"/>
          <w:b/>
          <w:bCs w:val="0"/>
          <w:color w:val="auto"/>
          <w:szCs w:val="21"/>
          <w:highlight w:val="none"/>
          <w:lang w:eastAsia="zh-CN"/>
        </w:rPr>
        <w:t>①</w:t>
      </w:r>
      <w:r>
        <w:rPr>
          <w:rFonts w:hint="eastAsia" w:ascii="宋体" w:hAnsi="宋体" w:cs="宋体"/>
          <w:b/>
          <w:bCs w:val="0"/>
          <w:color w:val="auto"/>
          <w:szCs w:val="21"/>
          <w:highlight w:val="none"/>
        </w:rPr>
        <w:t>电子磋商响应文件中所</w:t>
      </w:r>
      <w:r>
        <w:rPr>
          <w:rFonts w:hint="eastAsia" w:ascii="宋体" w:hAnsi="宋体" w:cs="宋体"/>
          <w:b/>
          <w:bCs w:val="0"/>
          <w:i w:val="0"/>
          <w:iCs w:val="0"/>
          <w:color w:val="auto"/>
          <w:szCs w:val="21"/>
          <w:highlight w:val="none"/>
        </w:rPr>
        <w:t>须加盖公章部分均采用CA签章</w:t>
      </w:r>
      <w:r>
        <w:rPr>
          <w:rFonts w:hint="eastAsia" w:ascii="宋体" w:hAnsi="宋体" w:cs="宋体"/>
          <w:b/>
          <w:bCs w:val="0"/>
          <w:color w:val="auto"/>
          <w:szCs w:val="21"/>
          <w:highlight w:val="none"/>
        </w:rPr>
        <w:t>。若竞争性磋商响应文件中有专门标注的某关联点，并要求供应商在电子投标系统中作出磋商响应的，如供应商未对关联点进行响应或者在响应文件其它内容进行描述，造成电子评审不能查询的责任由供应商自行承担。</w:t>
      </w:r>
    </w:p>
    <w:p w14:paraId="2FD045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②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ascii="宋体" w:hAnsi="宋体" w:cs="宋体"/>
          <w:b/>
          <w:bCs w:val="0"/>
          <w:color w:val="auto"/>
          <w:szCs w:val="21"/>
          <w:highlight w:val="none"/>
        </w:rPr>
        <w:t>。</w:t>
      </w:r>
    </w:p>
    <w:p w14:paraId="07580F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③</w:t>
      </w:r>
      <w:r>
        <w:rPr>
          <w:rFonts w:hint="eastAsia" w:ascii="宋体" w:hAnsi="宋体" w:cs="宋体"/>
          <w:b/>
          <w:bCs w:val="0"/>
          <w:color w:val="auto"/>
          <w:szCs w:val="21"/>
          <w:highlight w:val="none"/>
        </w:rPr>
        <w:t>竞争性磋商采购文件要求提供的各种复印件，须加盖供应商CA签章，否则其磋商无效。</w:t>
      </w:r>
    </w:p>
    <w:p w14:paraId="2C8888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9.7 响应文件有效期：见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72E081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9.8 磋商保证金：见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2988AD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 计量单位</w:t>
      </w:r>
    </w:p>
    <w:p w14:paraId="2AAC5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10.1 磋商文件已有明确规定的，使用磋商文件规定的计量单位；磋商文件没有规定的，应采用</w:t>
      </w:r>
      <w:r>
        <w:rPr>
          <w:rFonts w:hint="eastAsia" w:ascii="宋体" w:hAnsi="宋体" w:cs="宋体"/>
          <w:b w:val="0"/>
          <w:bCs/>
          <w:color w:val="auto"/>
          <w:szCs w:val="21"/>
          <w:highlight w:val="none"/>
          <w:lang w:eastAsia="zh-CN"/>
        </w:rPr>
        <w:t>国家</w:t>
      </w:r>
      <w:r>
        <w:rPr>
          <w:rFonts w:hint="eastAsia" w:ascii="宋体" w:hAnsi="宋体" w:cs="宋体"/>
          <w:b w:val="0"/>
          <w:bCs/>
          <w:color w:val="auto"/>
          <w:szCs w:val="21"/>
          <w:highlight w:val="none"/>
        </w:rPr>
        <w:t>法定计量单位，货币种类为人民币，否则视同未响应。</w:t>
      </w:r>
    </w:p>
    <w:p w14:paraId="6D8761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三、磋商报价及采购预算</w:t>
      </w:r>
    </w:p>
    <w:p w14:paraId="1C59DE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11.1对于本文件中未列明，而供应商认为必需的费用也需列入总报价。在合同实施时，采购人将不予支付成交供应商没有列入的项目费用，并认为此项目的费用已包括在总报价中。</w:t>
      </w:r>
    </w:p>
    <w:p w14:paraId="66BF26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11.2供应商必须就所磋商的采购项目的全部内容作完整唯一报价，漏项报价的或有选择的或有条件的报价，其竞标将视为无效。</w:t>
      </w:r>
    </w:p>
    <w:p w14:paraId="05597F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11.3本项目磋商报价费用指按照采购需求完成该项目的所有服务工作的费用总和。</w:t>
      </w:r>
    </w:p>
    <w:p w14:paraId="344B0A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11.4供应商应在磋商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除上述原因以外，如果因供应商原因引起的报价失误，并在磋商时被接受，其后果由供应商自负。</w:t>
      </w:r>
    </w:p>
    <w:p w14:paraId="76A54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四、响应文件的份数、封装和递交</w:t>
      </w:r>
    </w:p>
    <w:p w14:paraId="73C5C5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 竞争性磋商响应文件的份数：电子</w:t>
      </w:r>
      <w:r>
        <w:rPr>
          <w:rFonts w:hint="eastAsia" w:ascii="宋体" w:hAnsi="宋体" w:cs="宋体"/>
          <w:b w:val="0"/>
          <w:bCs/>
          <w:color w:val="auto"/>
          <w:szCs w:val="21"/>
          <w:highlight w:val="none"/>
          <w:lang w:eastAsia="zh-CN"/>
        </w:rPr>
        <w:t>加密</w:t>
      </w:r>
      <w:r>
        <w:rPr>
          <w:rFonts w:hint="eastAsia" w:ascii="宋体" w:hAnsi="宋体" w:cs="宋体"/>
          <w:b w:val="0"/>
          <w:bCs/>
          <w:color w:val="auto"/>
          <w:szCs w:val="21"/>
          <w:highlight w:val="none"/>
        </w:rPr>
        <w:t>响应文件一份</w:t>
      </w:r>
      <w:r>
        <w:rPr>
          <w:rFonts w:hint="eastAsia" w:ascii="宋体" w:hAnsi="宋体" w:cs="宋体"/>
          <w:b w:val="0"/>
          <w:bCs/>
          <w:color w:val="auto"/>
          <w:szCs w:val="21"/>
          <w:highlight w:val="none"/>
          <w:lang w:eastAsia="zh-CN"/>
        </w:rPr>
        <w:t>；</w:t>
      </w:r>
      <w:r>
        <w:rPr>
          <w:color w:val="auto"/>
          <w:spacing w:val="-3"/>
          <w:sz w:val="21"/>
          <w:highlight w:val="none"/>
        </w:rPr>
        <w:t>电子备份响应文件</w:t>
      </w:r>
      <w:r>
        <w:rPr>
          <w:rFonts w:hint="eastAsia"/>
          <w:color w:val="auto"/>
          <w:spacing w:val="-3"/>
          <w:sz w:val="21"/>
          <w:highlight w:val="none"/>
          <w:lang w:eastAsia="zh-CN"/>
        </w:rPr>
        <w:t>一份</w:t>
      </w:r>
      <w:r>
        <w:rPr>
          <w:rFonts w:hint="eastAsia" w:ascii="宋体" w:hAnsi="宋体" w:cs="宋体"/>
          <w:b w:val="0"/>
          <w:bCs/>
          <w:color w:val="auto"/>
          <w:szCs w:val="21"/>
          <w:highlight w:val="none"/>
        </w:rPr>
        <w:t>。</w:t>
      </w:r>
    </w:p>
    <w:p w14:paraId="28510A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12.1 电子磋商响应文件中须加盖供应商公章位置均采用CA签章，并根据“政府采购项目电子交易管理操作指南-供应商”及本竞争性磋商采购文件规定的格式和顺序编制电子磋商响 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漏读，或者在按采购文件规定的部 位查找不到相关内容的，由供应商自行承担。</w:t>
      </w:r>
    </w:p>
    <w:p w14:paraId="628F6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 响应文件的递交</w:t>
      </w:r>
    </w:p>
    <w:p w14:paraId="1E653A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13.1 所有竞争性响应文件应于“第二章 磋商须知及前附表”中规定的截止时间前递交到规定地点。</w:t>
      </w:r>
    </w:p>
    <w:p w14:paraId="4D877D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进行电子投标应安装客户端软件，并按照采购文件和电子交易平台的要求编制并加密响应文件。供应商未按规定加密的磋商响应文件，电子交易平台将拒收。供应商应当在递交截止时间前完成磋商响应文件的传输递交，并可以补充、修改或者撤回磋商响应文件。补充或 者修改磋商响应文件的，应当先行撤回原文件，补充、修改后重新传输递交。递交截止时间前未完成传输的，视为撤回磋商响应文件。递交截止时间后递交的磋商响应文件，电子交易平台将拒收。</w:t>
      </w:r>
    </w:p>
    <w:p w14:paraId="590BE9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13.2 迟交的响应文件</w:t>
      </w:r>
    </w:p>
    <w:p w14:paraId="2E842C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采购人或采购代理人按照规定有权拒绝或原封退回在其规定的递交响应文件截止时间之后收到的任何响应文件。</w:t>
      </w:r>
    </w:p>
    <w:p w14:paraId="428497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五、竞争性磋商 (简称磋商) 与评审</w:t>
      </w:r>
    </w:p>
    <w:p w14:paraId="7B1E13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14.磋商小组成立及响应文件的开启</w:t>
      </w:r>
    </w:p>
    <w:p w14:paraId="58815C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14.1 磋商小组由采购人代表和评审专家共 3 人以上单数组成，具体人数见“供应商须知前附表”，其中评审专家人数不得少于磋商小组成员总数的 2/3。采购人代表不得以评审专家身份参加本部门或本单位采购项目的评审。采购代理机构人员不得参加本机构代理的采购项目的评审。达到公开招标数额标准的货物或者服务采购项目，或者达到公开招标规模标准的政府 采购工程，经批准采用竞争性磋商方式采购的，磋商小组由 5 人以上单数组成。</w:t>
      </w:r>
    </w:p>
    <w:p w14:paraId="08DAD6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14.2 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 强的采购项目，评审专家中应当包含 1 名法律专家。</w:t>
      </w:r>
    </w:p>
    <w:p w14:paraId="1504B5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14.3 响应文件的开启：具体详见“供应商须知前附表”。</w:t>
      </w:r>
    </w:p>
    <w:p w14:paraId="448C8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15.响应文件评审程序</w:t>
      </w:r>
    </w:p>
    <w:p w14:paraId="472F0C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 资格审查</w:t>
      </w:r>
    </w:p>
    <w:p w14:paraId="06B02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15.1.1 响应文件开启后， 由磋商小组依法对供应商的资格证明文件进行审查。</w:t>
      </w:r>
    </w:p>
    <w:p w14:paraId="680688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15.1.2 通过资格审查的合格供应商不足3 家的，不得进入符合性审查环节，采购人或采购代理机构应当重新开展采购活动。</w:t>
      </w:r>
    </w:p>
    <w:p w14:paraId="5C9414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 符合性审查</w:t>
      </w:r>
    </w:p>
    <w:p w14:paraId="39A75A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15.2.1 由磋商小组通过资格审查的合格供应商的响应文件的竞标报价、商务、技术等实质性要求进行符合性审查，以确定其是否满足竞争性磋商文件的实质性要求。</w:t>
      </w:r>
    </w:p>
    <w:p w14:paraId="78FF6F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7D0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15.2.3 磋商小组要求供应商澄清、说明或者更正响应文件应当要求供应商在合理时间内通过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的方式形式作出。供应商的澄清、说明或者更正 必须通过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以书面形式按照磋商小组的要求作出明确的澄清、说明或者更正，未按磋 商小组的要求作出明确澄清、说明或者更正的供应商的响应文件将按照有利于采购人的原则由 磋商小组进行判定。供应商的澄清、说明或者更正必须由法定代表人或者其委托代理人签字或者加盖 CA 签章。 由委托代理人签字的，若委托代理人不是响应文件中授权的委托代理人时， 必须同时出示有效的法定代表人授权委托书原件。供应商为自然人的，必须由本人签字并附身份证明。</w:t>
      </w:r>
    </w:p>
    <w:p w14:paraId="3C1674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15.2.4 首次响应文件中报价出现前后不一致的，按照下列规定修正：</w:t>
      </w:r>
    </w:p>
    <w:p w14:paraId="5CFB69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响应文件中报价表内容与响应文件中相应内容不一致的，以报价表为准；</w:t>
      </w:r>
    </w:p>
    <w:p w14:paraId="5F5158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大写金额和小写金额不一致的，以大写金额为准；</w:t>
      </w:r>
    </w:p>
    <w:p w14:paraId="36408C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单价金额小数点或者百分比有明显错位的，以报价表的总价为准，并修改单价；</w:t>
      </w:r>
    </w:p>
    <w:p w14:paraId="00E324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总价金额与按单价汇总金额不一致的，以单价金额计算结果为准。</w:t>
      </w:r>
    </w:p>
    <w:p w14:paraId="080895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同时出现两种以上不一致的，按照以上(1)- (4) 规定的顺序逐条进行修正。修正后的报价经供应商确认后产生约束力，供应商不确认的，其响应文件按无效响应处理。</w:t>
      </w:r>
    </w:p>
    <w:p w14:paraId="71E6C0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15.2.5 磋商小组成员应当按照客观、公正、审慎的原则，根据第四章“评审程序、评审方法和评审标准”进行独立评审。磋商小组对响应文件进行评审，未实质性响应竞争性磋商文 件的响应文件按无效响应处理， 由磋商小组告知提交响应文件的供应商。</w:t>
      </w:r>
    </w:p>
    <w:p w14:paraId="768978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15.2.6 通过符合性审查的合格供应商不足3家的，不得进入磋商环节，采购人或采购代理机构应当重新开展采购活动。</w:t>
      </w:r>
    </w:p>
    <w:p w14:paraId="424398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16.磋商</w:t>
      </w:r>
    </w:p>
    <w:p w14:paraId="19559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 磋商小组按照“供应商须知前附表”确定的顺序，集中与单一供应商分别进行磋商，并予所有参加磋商的供应商平等的磋商机会。符合磋商资格的供应商必须实时关注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rPr>
        <w:tab/>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开标信息，在接到磋商通知后规定时间内参加磋商，未在规定时间内参加磋商的视同放弃参加磋商权利，其响应文件按无效响应处理。</w:t>
      </w:r>
    </w:p>
    <w:p w14:paraId="13B96B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16.2 在磋商过程中，磋商小组可以根据磋商文件和磋商情况实质性变动采购需求中的技术、服务要求以及合同草案条款，但不得变动磋商文件中的其他内容。实质性变动的内容，须经采购人代表确认。可能实质性变动的内容详见“供应商须知前附表”。</w:t>
      </w:r>
    </w:p>
    <w:p w14:paraId="2F0515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16.3 对竞争性磋商文件作出的实质性变动是竞争性磋商文件的有效组成部分， 由磋商小组及时以书面形式同时通知所有参加磋商的供应商。</w:t>
      </w:r>
    </w:p>
    <w:p w14:paraId="7AD9B1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16.4 供应商必须按照磋商文件的变动情况和磋商小组的要求重新提交响应文件，并由其法定代表人或者授权代表签字或者加盖 CA 签章在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由委托代理人签字的，若委托代理人不是响应文件中授权的委托代理人时，必须同时出示有效的法定代表人授权委托书原件。供应商为自然人的，必须由本人签字并附身份证明。参加磋商的供应商未在规定时间内重新提交响应文件的，视同退出磋商。</w:t>
      </w:r>
    </w:p>
    <w:p w14:paraId="08E16F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16.5 磋商中，磋商的任何一方不得透露与磋商有关的其他供应商的技术资料、价格和其他信息。</w:t>
      </w:r>
    </w:p>
    <w:p w14:paraId="234444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16.6 采购代理机构对磋商过程和重要磋商内容进行记录，磋商双方应在记录上签字确认。</w:t>
      </w:r>
    </w:p>
    <w:p w14:paraId="2A74E0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16.7 磋商过程中重新提交的响应文件，供应商可以在开启前补充、修改。</w:t>
      </w:r>
    </w:p>
    <w:p w14:paraId="3DE5A6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16.8 根据《财政部关于政府采购竞争性磋商采购方式管理暂行办法有关问题的补充通知》 (财库〔2015〕124 号) 的规定，采用竞争性磋商采购方式采购的政府购买服务项目(含政府和社会资本合作项目) ，在采购过程中符合要求的供应商 (社会资本)只有 2 家的，竞争性磋商采购活动可以继续进行。采购过程中符合要求的供应商(社会资本)只有 1 家的，采购人(项目实施机构)或者采购代理机构应当终止竞争性磋商采购活动，发布项目终止公告并说明原因，重新开展采购活动。</w:t>
      </w:r>
    </w:p>
    <w:p w14:paraId="385BEE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16.9 对磋商过程提交的响应文件进行有效性、完整性和响应程度审查，通过审查的合格供应商不足 3 家的，除本须知正文第 16.8 条的情形外，采购人或采购代理机构应当重新开展采购活动。</w:t>
      </w:r>
    </w:p>
    <w:p w14:paraId="0968EE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16.10 本项目所有响应文件的首次报价及所有磋商报价均不公布。最后磋商结束后，磋商小组不得再与供应商进行任何形式的商谈。</w:t>
      </w:r>
    </w:p>
    <w:p w14:paraId="6D6D60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17.最后报价</w:t>
      </w:r>
    </w:p>
    <w:p w14:paraId="17EB22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17.1 磋商文件能够详细列明采购标的的技术、服务要求的，磋商结束后，由磋商小组要求所有继续参加磋商的供应商在规定时间内在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提交最后报价，提交最后报价的供应商不得少于 3 家，除本章第 4.3 条外，否则必须重新采购。</w:t>
      </w:r>
    </w:p>
    <w:p w14:paraId="7B1A23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17.2 磋商文件不能详细列明采购标的的技术、服务要求，需经磋商由供应商提供最后设计方案或者解决方案的，磋商结束后， 由磋商小组按照少数服从多数的原则投票推荐 3 家以上供应商的设计方案或者解决方案，并要求其在规定时间内在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w:t>
      </w:r>
    </w:p>
    <w:p w14:paraId="5AAD5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①最后报价与首次报价相比无调整的：供应商提交的最后报价只须注明与首次报价相同。</w:t>
      </w:r>
    </w:p>
    <w:p w14:paraId="7E2E02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等完成本工程并经验收合格至达到质量保修期限所需的费用、合理利润及风险。如磋商文件或磋商程中明确供应商应提供技术服务及其它服务的 (如检测费、验收发生的费 用)，相应费用也应包括在最后报价中。最后报价不允许采用汇总后优惠、打折的形式，否则 其报价无效并作无效响应处理。供应商在报价时可只报总价，但必须将包含已标价工程量清单 的最后报价在规定时间内在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提交，逾期则最后报价无效，以首次报价为准。</w:t>
      </w:r>
    </w:p>
    <w:p w14:paraId="1E1A64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 2 家。</w:t>
      </w:r>
    </w:p>
    <w:p w14:paraId="335F4B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17.4 已经提交响应文件的供应商，在提交最后报价之前，可以根据磋商情况退出磋商，退出磋商的供应商的响应文件按无效响应处理。采购人、采购代理机构将退还退出磋商的供应商的保证金。</w:t>
      </w:r>
    </w:p>
    <w:p w14:paraId="494483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17.5 供应商未在规定时间内提交最后报价的，视同退出磋商。</w:t>
      </w:r>
    </w:p>
    <w:p w14:paraId="0411B9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17.6 磋商小组收齐某一分标最后报价后统一开启，磋商小组对最后报价进行有效性、完整性和响应程度的审查。</w:t>
      </w:r>
    </w:p>
    <w:p w14:paraId="5F1958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17.7 响应文件最后报价出现前后不一致的，按照本正文第 25.2.4 条的规定修正。</w:t>
      </w:r>
    </w:p>
    <w:p w14:paraId="085085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17.8 修正后的报价出现下列情形的，按无效响应处理：</w:t>
      </w:r>
    </w:p>
    <w:p w14:paraId="79BDC9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供应商不确认的；</w:t>
      </w:r>
    </w:p>
    <w:p w14:paraId="45AD7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经供应商确认修正后的竞标报价 (包含首次报价、最后报价) 超过所竞标规定的采购预算金额或者最高限价的 (如本项目公布了最高限价) ；</w:t>
      </w:r>
    </w:p>
    <w:p w14:paraId="6217AD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经供应商确认修正后的竞标报价 (包含首次报价、最后报价) 超过分项采购预算金额或者最高限价的 (如本项目公布了最高限价) 。</w:t>
      </w:r>
    </w:p>
    <w:p w14:paraId="3E982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17.9 经供应商确认修正后的最后报价作为评审及签订合同的依据。</w:t>
      </w:r>
    </w:p>
    <w:p w14:paraId="17860F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 xml:space="preserve">17.10 最后报价结束后，磋商小组不得再与供应商进行任何形式的商谈。 </w:t>
      </w:r>
    </w:p>
    <w:p w14:paraId="6B684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18.比较与评价</w:t>
      </w:r>
    </w:p>
    <w:p w14:paraId="226B97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18.1 评审方法：综合评分法。</w:t>
      </w:r>
    </w:p>
    <w:p w14:paraId="473E69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18.2 经磋商确定最终采购需求和提交最后报价的供应商后， 由磋商小组采用综合评分法对提交最后报价的供应商的响应文件和最后报价进行综合评分。详见第四章“评审程序、评审方法和评审标准”。</w:t>
      </w:r>
    </w:p>
    <w:p w14:paraId="1EE957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18.3 评审时，磋商小组各成员应当独立对每个有效的响应文件进行评价、打分，然后汇总每个供应商每项评分因素的得分。</w:t>
      </w:r>
    </w:p>
    <w:p w14:paraId="7077AD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磋商小组按照竞争性磋商文件中规定的评审标准计算各供应商的报价得分。项目评审过程中，不得去掉最后报价中的最高报价和最低报价。</w:t>
      </w:r>
    </w:p>
    <w:p w14:paraId="43096D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各供应商的得分为磋商小组所有成员的有效评分的算术平均数。</w:t>
      </w:r>
    </w:p>
    <w:p w14:paraId="5480F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18.4 评审价为供应商的最后报价进行政策性扣除后的价格，评审价只是作为评审时使用。最终成交供应商的成交金额等于最后报价 (如有修正，以确认修正后的最后报价为准) 。</w:t>
      </w:r>
    </w:p>
    <w:p w14:paraId="665C1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18.5 由磋商小组根据综合评分情况，按照评审得分由高到低顺序推荐 3 名以上成交候选供应商，并编写评审报告。符合本须知正文第 17.3 条情形的，可以推荐 2 家成交候选供应商。评审得分相同的，按照最后报价由低到高的顺序推荐。评审得分且最后报价相同的，按照技术 指标优劣顺序推荐。</w:t>
      </w:r>
    </w:p>
    <w:p w14:paraId="6748E5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88981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特别说明：政采云公司如对电子化磋商及评审程序有调整的，按调整后的程序操作。</w:t>
      </w:r>
    </w:p>
    <w:p w14:paraId="2A61E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采购过程中出现以下情形，导致电子交易平台无法正常运行，或者无法保证电子交 易的公平、公正和安全时，采购组织机构可中止电子交易活动：</w:t>
      </w:r>
    </w:p>
    <w:p w14:paraId="057232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18.6.1 电子交易平台发生故障而无法登录访问的；</w:t>
      </w:r>
    </w:p>
    <w:p w14:paraId="3FBF28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18.6.2 电子交易平台应用或数据库出现错误，不能进行正常操作的；</w:t>
      </w:r>
    </w:p>
    <w:p w14:paraId="29B273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18.6.3 电子交易平台发现严重安全漏洞，有潜在泄密危险的；</w:t>
      </w:r>
    </w:p>
    <w:p w14:paraId="723596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18.6.4 病毒发作导致不能进行正常操作的；</w:t>
      </w:r>
    </w:p>
    <w:p w14:paraId="5CE4EB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18.6.5 其他无法保证电子交易的公平、公正和安全的情况。</w:t>
      </w:r>
    </w:p>
    <w:p w14:paraId="67B74B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18.6.6 出现前款规定情形，不影响采购公平、公正性的，采购组织机构可以待上述情形消除后继续组织电子交易活动，也可以决定某些环节以纸质形式进行；影响或可能影响采购公平、公正性的，应当重新采购。</w:t>
      </w:r>
    </w:p>
    <w:p w14:paraId="41C9E2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六、确定成交供应商办法及结果公告</w:t>
      </w:r>
    </w:p>
    <w:p w14:paraId="4C50FC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19.1 采购代理机构应当在评审结束后 2 个工作日内将评审报告送采购人确认。采购人应当在收到评审报告后 2 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E5A44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19.2 采购代理机构应当在成交供应商确定后 2 个工作日内，在省级以上财政部门指定的媒体上公告成交结果，同时向成交供应商发出成交通知书。采购人或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争性磋商文件一并保存。</w:t>
      </w:r>
    </w:p>
    <w:p w14:paraId="155B1F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B27A2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19.4 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5D3D2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七、履约保证金</w:t>
      </w:r>
    </w:p>
    <w:p w14:paraId="069055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20.履约保证金：</w:t>
      </w:r>
      <w:r>
        <w:rPr>
          <w:rFonts w:hint="eastAsia" w:ascii="宋体" w:hAnsi="宋体" w:cs="宋体"/>
          <w:b w:val="0"/>
          <w:bCs/>
          <w:color w:val="auto"/>
          <w:szCs w:val="21"/>
          <w:highlight w:val="none"/>
          <w:lang w:val="en-US" w:eastAsia="zh-CN"/>
        </w:rPr>
        <w:t>详见须知前附表</w:t>
      </w:r>
      <w:r>
        <w:rPr>
          <w:rFonts w:hint="eastAsia" w:ascii="宋体" w:hAnsi="宋体" w:cs="宋体"/>
          <w:b w:val="0"/>
          <w:bCs/>
          <w:color w:val="auto"/>
          <w:szCs w:val="21"/>
          <w:highlight w:val="none"/>
        </w:rPr>
        <w:t>。</w:t>
      </w:r>
    </w:p>
    <w:p w14:paraId="6D21D8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八、签订合同</w:t>
      </w:r>
    </w:p>
    <w:p w14:paraId="50FA52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宋体" w:hAnsi="宋体" w:cs="宋体"/>
          <w:b w:val="0"/>
          <w:bCs/>
          <w:color w:val="auto"/>
          <w:szCs w:val="21"/>
          <w:highlight w:val="none"/>
        </w:rPr>
        <w:t>21.1 成交供应商在收到成交通知书后，按规定与采购人签订采购合同。采购代理机构将在评标结束 2个工作日内将评标结果送采购人，采购人在2个工作日内按照采购结果报告中推荐的排名第一的成交候选供应商为成交人。对中标、成交结果公告无异议的项目在中标、成交通知书发出之日起25日内和中标、成交供应商签订政府采购合同，倡导各采购人尽量压缩合同签订时间。</w:t>
      </w:r>
    </w:p>
    <w:p w14:paraId="440BB4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21.2 成交供应商拒绝签订采购合同的，采购人可以按本项目确定成交供应商办法确定其他供应商作为成交供应商并签订采购合同，也可以重新开展采购活动。拒绝签订采购合同的成交供应商不得参加对该项目重新开展的采购活动。</w:t>
      </w:r>
    </w:p>
    <w:p w14:paraId="2197EB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九、政府采购合同公告</w:t>
      </w:r>
    </w:p>
    <w:p w14:paraId="4772A9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22.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AFE27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十、适用法律</w:t>
      </w:r>
    </w:p>
    <w:p w14:paraId="49D88D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23.本项目适用于《中华人民共和国政府采购法》《中华人民共和国政府采购法实施条例》</w:t>
      </w:r>
    </w:p>
    <w:p w14:paraId="64BFFD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《政府采购竞争性磋商采购方式管理暂行办法》《财政部关于政府采购竞争性磋商采购方式管理暂行办法有关问题的补充通知》及本项目本级和上级财政部门政府采购有关规定。</w:t>
      </w:r>
    </w:p>
    <w:p w14:paraId="732EB7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十一、其他事项</w:t>
      </w:r>
    </w:p>
    <w:p w14:paraId="6AADDE3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24.1 招标代理服务费</w:t>
      </w:r>
    </w:p>
    <w:p w14:paraId="3742D9E5">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本项目的招标代理服务费</w:t>
      </w:r>
      <w:r>
        <w:rPr>
          <w:rFonts w:hint="eastAsia" w:ascii="宋体" w:hAnsi="宋体" w:cs="宋体"/>
          <w:b w:val="0"/>
          <w:bCs/>
          <w:color w:val="auto"/>
          <w:szCs w:val="21"/>
          <w:highlight w:val="none"/>
          <w:lang w:val="en-US" w:eastAsia="zh-CN"/>
        </w:rPr>
        <w:t>按国家计委计价格[2002]1980号和发改办[2003]857号文规定</w:t>
      </w:r>
      <w:r>
        <w:rPr>
          <w:rFonts w:hint="eastAsia" w:hAnsi="宋体" w:cs="宋体"/>
          <w:b w:val="0"/>
          <w:bCs/>
          <w:color w:val="auto"/>
          <w:szCs w:val="21"/>
          <w:highlight w:val="none"/>
          <w:lang w:val="en-US" w:eastAsia="zh-CN"/>
        </w:rPr>
        <w:t>标准</w:t>
      </w:r>
      <w:r>
        <w:rPr>
          <w:rFonts w:hint="eastAsia" w:ascii="宋体" w:hAnsi="宋体" w:cs="宋体"/>
          <w:b w:val="0"/>
          <w:bCs/>
          <w:color w:val="auto"/>
          <w:szCs w:val="21"/>
          <w:highlight w:val="none"/>
          <w:lang w:val="en-US" w:eastAsia="zh-CN"/>
        </w:rPr>
        <w:t>收</w:t>
      </w:r>
      <w:r>
        <w:rPr>
          <w:rFonts w:hint="eastAsia" w:ascii="宋体" w:hAnsi="宋体" w:cs="宋体"/>
          <w:b w:val="0"/>
          <w:bCs/>
          <w:color w:val="auto"/>
          <w:szCs w:val="21"/>
          <w:highlight w:val="none"/>
          <w:u w:val="none"/>
          <w:lang w:val="en-US" w:eastAsia="zh-CN"/>
        </w:rPr>
        <w:t>取</w:t>
      </w:r>
      <w:r>
        <w:rPr>
          <w:rFonts w:hint="eastAsia" w:hAnsi="宋体" w:cs="宋体"/>
          <w:b w:val="0"/>
          <w:bCs/>
          <w:color w:val="auto"/>
          <w:szCs w:val="21"/>
          <w:highlight w:val="none"/>
          <w:u w:val="none"/>
          <w:lang w:val="en-US" w:eastAsia="zh-CN"/>
        </w:rPr>
        <w:t>后</w:t>
      </w:r>
      <w:r>
        <w:rPr>
          <w:rFonts w:hint="eastAsia" w:ascii="宋体" w:hAnsi="宋体" w:eastAsia="宋体" w:cs="宋体"/>
          <w:color w:val="auto"/>
          <w:sz w:val="21"/>
          <w:szCs w:val="21"/>
          <w:u w:val="none"/>
        </w:rPr>
        <w:t>再下浮20%</w:t>
      </w:r>
      <w:r>
        <w:rPr>
          <w:rFonts w:hint="eastAsia" w:ascii="宋体" w:hAnsi="宋体" w:cs="宋体"/>
          <w:b w:val="0"/>
          <w:bCs/>
          <w:color w:val="auto"/>
          <w:szCs w:val="21"/>
          <w:highlight w:val="none"/>
          <w:u w:val="none"/>
        </w:rPr>
        <w:t>，</w:t>
      </w:r>
      <w:r>
        <w:rPr>
          <w:rFonts w:hint="eastAsia" w:ascii="宋体" w:hAnsi="宋体" w:cs="宋体"/>
          <w:b w:val="0"/>
          <w:bCs/>
          <w:color w:val="auto"/>
          <w:szCs w:val="21"/>
          <w:highlight w:val="none"/>
          <w:u w:val="none"/>
          <w:lang w:val="en-US" w:eastAsia="zh-CN"/>
        </w:rPr>
        <w:t>由招</w:t>
      </w:r>
      <w:r>
        <w:rPr>
          <w:rFonts w:hint="eastAsia" w:ascii="宋体" w:hAnsi="宋体" w:cs="宋体"/>
          <w:b w:val="0"/>
          <w:bCs/>
          <w:color w:val="auto"/>
          <w:szCs w:val="21"/>
          <w:highlight w:val="none"/>
          <w:lang w:val="en-US" w:eastAsia="zh-CN"/>
        </w:rPr>
        <w:t>标代理机构向成交供应商收取。即按成交金额100万元以下为1.0%，100-500万元为0.7%，并且按差额定率累进法计算。</w:t>
      </w:r>
      <w:r>
        <w:rPr>
          <w:rFonts w:hint="eastAsia" w:ascii="宋体" w:hAnsi="宋体" w:cs="宋体"/>
          <w:b w:val="0"/>
          <w:bCs/>
          <w:color w:val="auto"/>
          <w:szCs w:val="21"/>
          <w:highlight w:val="none"/>
        </w:rPr>
        <w:t>由成交人领取成交通知书前，向代理机构一次性付清。</w:t>
      </w:r>
    </w:p>
    <w:p w14:paraId="36A4C3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代理服务费专用</w:t>
      </w:r>
      <w:r>
        <w:rPr>
          <w:rFonts w:hint="eastAsia" w:ascii="宋体" w:hAnsi="宋体" w:cs="宋体"/>
          <w:b w:val="0"/>
          <w:bCs/>
          <w:color w:val="auto"/>
          <w:szCs w:val="21"/>
          <w:highlight w:val="none"/>
          <w:lang w:eastAsia="zh-CN"/>
        </w:rPr>
        <w:t>账</w:t>
      </w:r>
      <w:r>
        <w:rPr>
          <w:rFonts w:hint="eastAsia" w:ascii="宋体" w:hAnsi="宋体" w:cs="宋体"/>
          <w:b w:val="0"/>
          <w:bCs/>
          <w:color w:val="auto"/>
          <w:szCs w:val="21"/>
          <w:highlight w:val="none"/>
        </w:rPr>
        <w:t>户：</w:t>
      </w:r>
    </w:p>
    <w:p w14:paraId="67965377">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61C38933">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124B205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lang w:val="en-US" w:eastAsia="zh-CN"/>
        </w:rPr>
      </w:pPr>
      <w:r>
        <w:rPr>
          <w:rFonts w:hint="eastAsia" w:hAnsi="宋体"/>
          <w:color w:val="auto"/>
          <w:highlight w:val="none"/>
        </w:rPr>
        <w:t>银行账号：</w:t>
      </w:r>
      <w:r>
        <w:rPr>
          <w:rFonts w:hint="eastAsia" w:hAnsi="宋体"/>
          <w:color w:val="auto"/>
          <w:highlight w:val="none"/>
          <w:lang w:val="en-US" w:eastAsia="zh-CN"/>
        </w:rPr>
        <w:t>45050110120500000903</w:t>
      </w:r>
    </w:p>
    <w:p w14:paraId="1DFC88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代理服务费收费计算标准：</w:t>
      </w:r>
    </w:p>
    <w:tbl>
      <w:tblPr>
        <w:tblStyle w:val="61"/>
        <w:tblW w:w="82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579"/>
        <w:gridCol w:w="1579"/>
        <w:gridCol w:w="1581"/>
      </w:tblGrid>
      <w:tr w14:paraId="5177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3474" w:type="dxa"/>
            <w:tcBorders>
              <w:tl2br w:val="single" w:color="000000" w:sz="4" w:space="0"/>
            </w:tcBorders>
            <w:vAlign w:val="center"/>
          </w:tcPr>
          <w:p w14:paraId="50B2BA22">
            <w:pPr>
              <w:keepNext w:val="0"/>
              <w:keepLines w:val="0"/>
              <w:pageBreakBefore w:val="0"/>
              <w:widowControl w:val="0"/>
              <w:kinsoku/>
              <w:wordWrap/>
              <w:overflowPunct/>
              <w:topLinePunct w:val="0"/>
              <w:autoSpaceDE/>
              <w:autoSpaceDN/>
              <w:bidi w:val="0"/>
              <w:adjustRightInd/>
              <w:snapToGrid/>
              <w:spacing w:line="400" w:lineRule="exact"/>
              <w:ind w:left="1702" w:firstLine="1040" w:firstLineChars="500"/>
              <w:jc w:val="left"/>
              <w:textAlignment w:val="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费率</w:t>
            </w:r>
          </w:p>
          <w:p w14:paraId="792CB833">
            <w:pPr>
              <w:keepNext w:val="0"/>
              <w:keepLines w:val="0"/>
              <w:pageBreakBefore w:val="0"/>
              <w:widowControl w:val="0"/>
              <w:kinsoku/>
              <w:wordWrap/>
              <w:overflowPunct/>
              <w:topLinePunct w:val="0"/>
              <w:autoSpaceDE/>
              <w:autoSpaceDN/>
              <w:bidi w:val="0"/>
              <w:adjustRightInd/>
              <w:snapToGrid/>
              <w:spacing w:line="400" w:lineRule="exact"/>
              <w:ind w:left="118"/>
              <w:jc w:val="left"/>
              <w:textAlignment w:val="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金</w:t>
            </w:r>
            <w:r>
              <w:rPr>
                <w:rFonts w:ascii="宋体" w:hAnsi="宋体" w:eastAsia="宋体" w:cs="宋体"/>
                <w:color w:val="auto"/>
                <w:spacing w:val="3"/>
                <w:sz w:val="21"/>
                <w:szCs w:val="21"/>
                <w:highlight w:val="none"/>
              </w:rPr>
              <w:t>额</w:t>
            </w:r>
          </w:p>
        </w:tc>
        <w:tc>
          <w:tcPr>
            <w:tcW w:w="1579" w:type="dxa"/>
            <w:vAlign w:val="center"/>
          </w:tcPr>
          <w:p w14:paraId="4F0E72E4">
            <w:pPr>
              <w:keepNext w:val="0"/>
              <w:keepLines w:val="0"/>
              <w:pageBreakBefore w:val="0"/>
              <w:widowControl w:val="0"/>
              <w:kinsoku/>
              <w:wordWrap/>
              <w:overflowPunct/>
              <w:topLinePunct w:val="0"/>
              <w:autoSpaceDE/>
              <w:autoSpaceDN/>
              <w:bidi w:val="0"/>
              <w:adjustRightInd/>
              <w:snapToGrid/>
              <w:spacing w:line="400" w:lineRule="exact"/>
              <w:ind w:left="578"/>
              <w:jc w:val="center"/>
              <w:textAlignment w:val="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货物类</w:t>
            </w:r>
          </w:p>
        </w:tc>
        <w:tc>
          <w:tcPr>
            <w:tcW w:w="1579" w:type="dxa"/>
            <w:vAlign w:val="center"/>
          </w:tcPr>
          <w:p w14:paraId="33AEBF72">
            <w:pPr>
              <w:keepNext w:val="0"/>
              <w:keepLines w:val="0"/>
              <w:pageBreakBefore w:val="0"/>
              <w:widowControl w:val="0"/>
              <w:kinsoku/>
              <w:wordWrap/>
              <w:overflowPunct/>
              <w:topLinePunct w:val="0"/>
              <w:autoSpaceDE/>
              <w:autoSpaceDN/>
              <w:bidi w:val="0"/>
              <w:adjustRightInd/>
              <w:snapToGrid/>
              <w:spacing w:line="400" w:lineRule="exact"/>
              <w:ind w:left="458"/>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服务</w:t>
            </w:r>
            <w:r>
              <w:rPr>
                <w:rFonts w:ascii="宋体" w:hAnsi="宋体" w:eastAsia="宋体" w:cs="宋体"/>
                <w:color w:val="auto"/>
                <w:spacing w:val="6"/>
                <w:sz w:val="21"/>
                <w:szCs w:val="21"/>
                <w:highlight w:val="none"/>
              </w:rPr>
              <w:t>类</w:t>
            </w:r>
          </w:p>
        </w:tc>
        <w:tc>
          <w:tcPr>
            <w:tcW w:w="1581" w:type="dxa"/>
            <w:vAlign w:val="center"/>
          </w:tcPr>
          <w:p w14:paraId="1F1D95CD">
            <w:pPr>
              <w:keepNext w:val="0"/>
              <w:keepLines w:val="0"/>
              <w:pageBreakBefore w:val="0"/>
              <w:widowControl w:val="0"/>
              <w:kinsoku/>
              <w:wordWrap/>
              <w:overflowPunct/>
              <w:topLinePunct w:val="0"/>
              <w:autoSpaceDE/>
              <w:autoSpaceDN/>
              <w:bidi w:val="0"/>
              <w:adjustRightInd/>
              <w:snapToGrid/>
              <w:spacing w:line="400" w:lineRule="exact"/>
              <w:ind w:left="468"/>
              <w:jc w:val="center"/>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工程类</w:t>
            </w:r>
          </w:p>
        </w:tc>
      </w:tr>
      <w:tr w14:paraId="2CC2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056170ED">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0</w:t>
            </w:r>
            <w:r>
              <w:rPr>
                <w:rFonts w:ascii="宋体" w:hAnsi="宋体" w:eastAsia="宋体" w:cs="宋体"/>
                <w:color w:val="auto"/>
                <w:spacing w:val="-2"/>
                <w:sz w:val="21"/>
                <w:szCs w:val="21"/>
                <w:highlight w:val="none"/>
              </w:rPr>
              <w:t>0 万元以下</w:t>
            </w:r>
          </w:p>
        </w:tc>
        <w:tc>
          <w:tcPr>
            <w:tcW w:w="1579" w:type="dxa"/>
            <w:vAlign w:val="center"/>
          </w:tcPr>
          <w:p w14:paraId="6FA7EFCB">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79" w:type="dxa"/>
            <w:vAlign w:val="center"/>
          </w:tcPr>
          <w:p w14:paraId="31EE3482">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81" w:type="dxa"/>
            <w:vAlign w:val="center"/>
          </w:tcPr>
          <w:p w14:paraId="3DA2FF3C">
            <w:pPr>
              <w:spacing w:before="33" w:line="271" w:lineRule="exact"/>
              <w:ind w:left="342"/>
              <w:jc w:val="center"/>
              <w:rPr>
                <w:rFonts w:ascii="宋体" w:hAnsi="宋体" w:eastAsia="宋体" w:cs="宋体"/>
                <w:color w:val="auto"/>
                <w:sz w:val="21"/>
                <w:szCs w:val="21"/>
                <w:highlight w:val="none"/>
              </w:rPr>
            </w:pPr>
            <w:r>
              <w:rPr>
                <w:rFonts w:ascii="宋体" w:hAnsi="宋体" w:eastAsia="宋体" w:cs="宋体"/>
                <w:color w:val="auto"/>
                <w:spacing w:val="-2"/>
                <w:position w:val="1"/>
                <w:sz w:val="21"/>
                <w:szCs w:val="21"/>
                <w:highlight w:val="none"/>
              </w:rPr>
              <w:t>1</w:t>
            </w:r>
            <w:r>
              <w:rPr>
                <w:rFonts w:ascii="宋体" w:hAnsi="宋体" w:eastAsia="宋体" w:cs="宋体"/>
                <w:color w:val="auto"/>
                <w:spacing w:val="-1"/>
                <w:position w:val="1"/>
                <w:sz w:val="21"/>
                <w:szCs w:val="21"/>
                <w:highlight w:val="none"/>
              </w:rPr>
              <w:t>.0%</w:t>
            </w:r>
          </w:p>
        </w:tc>
      </w:tr>
      <w:tr w14:paraId="6FE19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5A6C87AE">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1</w:t>
            </w:r>
            <w:r>
              <w:rPr>
                <w:rFonts w:ascii="宋体" w:hAnsi="宋体" w:eastAsia="宋体" w:cs="宋体"/>
                <w:color w:val="auto"/>
                <w:spacing w:val="8"/>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 万元</w:t>
            </w:r>
          </w:p>
        </w:tc>
        <w:tc>
          <w:tcPr>
            <w:tcW w:w="1579" w:type="dxa"/>
            <w:vAlign w:val="center"/>
          </w:tcPr>
          <w:p w14:paraId="3CC1554A">
            <w:pPr>
              <w:spacing w:before="33" w:line="270"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1.1</w:t>
            </w:r>
            <w:r>
              <w:rPr>
                <w:rFonts w:ascii="宋体" w:hAnsi="宋体" w:eastAsia="宋体" w:cs="宋体"/>
                <w:color w:val="auto"/>
                <w:position w:val="1"/>
                <w:sz w:val="21"/>
                <w:szCs w:val="21"/>
                <w:highlight w:val="none"/>
              </w:rPr>
              <w:t>%</w:t>
            </w:r>
          </w:p>
        </w:tc>
        <w:tc>
          <w:tcPr>
            <w:tcW w:w="1579" w:type="dxa"/>
            <w:vAlign w:val="center"/>
          </w:tcPr>
          <w:p w14:paraId="1A8000E2">
            <w:pPr>
              <w:spacing w:before="33"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81" w:type="dxa"/>
            <w:vAlign w:val="center"/>
          </w:tcPr>
          <w:p w14:paraId="3AA245AE">
            <w:pPr>
              <w:spacing w:before="33"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.7%</w:t>
            </w:r>
          </w:p>
        </w:tc>
      </w:tr>
      <w:tr w14:paraId="5C7E1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1DF97852">
            <w:pPr>
              <w:spacing w:before="32"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5</w:t>
            </w:r>
            <w:r>
              <w:rPr>
                <w:rFonts w:ascii="宋体" w:hAnsi="宋体" w:eastAsia="宋体" w:cs="宋体"/>
                <w:color w:val="auto"/>
                <w:spacing w:val="9"/>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9"/>
                <w:sz w:val="21"/>
                <w:szCs w:val="21"/>
                <w:highlight w:val="none"/>
              </w:rPr>
              <w:t>1000 万元</w:t>
            </w:r>
          </w:p>
        </w:tc>
        <w:tc>
          <w:tcPr>
            <w:tcW w:w="1579" w:type="dxa"/>
            <w:vAlign w:val="center"/>
          </w:tcPr>
          <w:p w14:paraId="68F7183E">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79" w:type="dxa"/>
            <w:vAlign w:val="center"/>
          </w:tcPr>
          <w:p w14:paraId="305B90D4">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0.45</w:t>
            </w:r>
            <w:r>
              <w:rPr>
                <w:rFonts w:ascii="宋体" w:hAnsi="宋体" w:eastAsia="宋体" w:cs="宋体"/>
                <w:color w:val="auto"/>
                <w:spacing w:val="2"/>
                <w:position w:val="1"/>
                <w:sz w:val="21"/>
                <w:szCs w:val="21"/>
                <w:highlight w:val="none"/>
              </w:rPr>
              <w:t>%</w:t>
            </w:r>
          </w:p>
        </w:tc>
        <w:tc>
          <w:tcPr>
            <w:tcW w:w="1581" w:type="dxa"/>
            <w:vAlign w:val="center"/>
          </w:tcPr>
          <w:p w14:paraId="5B2E1B83">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0.55</w:t>
            </w:r>
            <w:r>
              <w:rPr>
                <w:rFonts w:ascii="宋体" w:hAnsi="宋体" w:eastAsia="宋体" w:cs="宋体"/>
                <w:color w:val="auto"/>
                <w:spacing w:val="2"/>
                <w:position w:val="1"/>
                <w:sz w:val="21"/>
                <w:szCs w:val="21"/>
                <w:highlight w:val="none"/>
              </w:rPr>
              <w:t>%</w:t>
            </w:r>
          </w:p>
        </w:tc>
      </w:tr>
      <w:tr w14:paraId="448F1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7EC05D43">
            <w:pPr>
              <w:spacing w:before="32"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1000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5000万</w:t>
            </w:r>
            <w:r>
              <w:rPr>
                <w:rFonts w:ascii="宋体" w:hAnsi="宋体" w:eastAsia="宋体" w:cs="宋体"/>
                <w:color w:val="auto"/>
                <w:spacing w:val="7"/>
                <w:sz w:val="21"/>
                <w:szCs w:val="21"/>
                <w:highlight w:val="none"/>
              </w:rPr>
              <w:t>元</w:t>
            </w:r>
          </w:p>
        </w:tc>
        <w:tc>
          <w:tcPr>
            <w:tcW w:w="1579" w:type="dxa"/>
            <w:vAlign w:val="center"/>
          </w:tcPr>
          <w:p w14:paraId="012EF291">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w:t>
            </w:r>
            <w:r>
              <w:rPr>
                <w:rFonts w:ascii="宋体" w:hAnsi="宋体" w:eastAsia="宋体" w:cs="宋体"/>
                <w:color w:val="auto"/>
                <w:spacing w:val="2"/>
                <w:position w:val="1"/>
                <w:sz w:val="21"/>
                <w:szCs w:val="21"/>
                <w:highlight w:val="none"/>
              </w:rPr>
              <w:t>%</w:t>
            </w:r>
          </w:p>
        </w:tc>
        <w:tc>
          <w:tcPr>
            <w:tcW w:w="1579" w:type="dxa"/>
            <w:vAlign w:val="center"/>
          </w:tcPr>
          <w:p w14:paraId="14F69EB9">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81" w:type="dxa"/>
            <w:vAlign w:val="center"/>
          </w:tcPr>
          <w:p w14:paraId="5CD051BB">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0.35</w:t>
            </w:r>
            <w:r>
              <w:rPr>
                <w:rFonts w:ascii="宋体" w:hAnsi="宋体" w:eastAsia="宋体" w:cs="宋体"/>
                <w:color w:val="auto"/>
                <w:spacing w:val="2"/>
                <w:position w:val="1"/>
                <w:sz w:val="21"/>
                <w:szCs w:val="21"/>
                <w:highlight w:val="none"/>
              </w:rPr>
              <w:t>%</w:t>
            </w:r>
          </w:p>
        </w:tc>
      </w:tr>
      <w:tr w14:paraId="1641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3B872B18">
            <w:pPr>
              <w:spacing w:before="34"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5</w:t>
            </w:r>
            <w:r>
              <w:rPr>
                <w:rFonts w:ascii="宋体" w:hAnsi="宋体" w:eastAsia="宋体" w:cs="宋体"/>
                <w:color w:val="auto"/>
                <w:spacing w:val="5"/>
                <w:sz w:val="21"/>
                <w:szCs w:val="21"/>
                <w:highlight w:val="none"/>
              </w:rPr>
              <w:t>000万元</w:t>
            </w:r>
            <w:r>
              <w:rPr>
                <w:rFonts w:hint="eastAsia" w:ascii="宋体" w:hAnsi="宋体" w:cs="宋体"/>
                <w:color w:val="auto"/>
                <w:spacing w:val="8"/>
                <w:sz w:val="21"/>
                <w:szCs w:val="21"/>
                <w:highlight w:val="none"/>
                <w:lang w:eastAsia="zh-CN"/>
              </w:rPr>
              <w:t>～</w:t>
            </w:r>
            <w:r>
              <w:rPr>
                <w:rFonts w:ascii="宋体" w:hAnsi="宋体" w:eastAsia="宋体" w:cs="宋体"/>
                <w:color w:val="auto"/>
                <w:spacing w:val="5"/>
                <w:sz w:val="21"/>
                <w:szCs w:val="21"/>
                <w:highlight w:val="none"/>
              </w:rPr>
              <w:t>1亿元</w:t>
            </w:r>
          </w:p>
        </w:tc>
        <w:tc>
          <w:tcPr>
            <w:tcW w:w="1579" w:type="dxa"/>
            <w:vAlign w:val="center"/>
          </w:tcPr>
          <w:p w14:paraId="71A2F206">
            <w:pPr>
              <w:spacing w:before="34"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79" w:type="dxa"/>
            <w:vAlign w:val="center"/>
          </w:tcPr>
          <w:p w14:paraId="5BBD9DC9">
            <w:pPr>
              <w:spacing w:before="34"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0.1</w:t>
            </w:r>
            <w:r>
              <w:rPr>
                <w:rFonts w:ascii="宋体" w:hAnsi="宋体" w:eastAsia="宋体" w:cs="宋体"/>
                <w:color w:val="auto"/>
                <w:spacing w:val="2"/>
                <w:position w:val="1"/>
                <w:sz w:val="21"/>
                <w:szCs w:val="21"/>
                <w:highlight w:val="none"/>
              </w:rPr>
              <w:t>%</w:t>
            </w:r>
          </w:p>
        </w:tc>
        <w:tc>
          <w:tcPr>
            <w:tcW w:w="1581" w:type="dxa"/>
            <w:vAlign w:val="center"/>
          </w:tcPr>
          <w:p w14:paraId="790E6724">
            <w:pPr>
              <w:spacing w:before="34"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.2%</w:t>
            </w:r>
          </w:p>
        </w:tc>
      </w:tr>
      <w:tr w14:paraId="52E42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3474" w:type="dxa"/>
            <w:vAlign w:val="center"/>
          </w:tcPr>
          <w:p w14:paraId="63E8A3D8">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1</w:t>
            </w:r>
            <w:r>
              <w:rPr>
                <w:rFonts w:hint="eastAsia" w:ascii="宋体" w:hAnsi="宋体" w:cs="宋体"/>
                <w:color w:val="auto"/>
                <w:spacing w:val="8"/>
                <w:sz w:val="21"/>
                <w:szCs w:val="21"/>
                <w:highlight w:val="none"/>
                <w:lang w:eastAsia="zh-CN"/>
              </w:rPr>
              <w:t>～</w:t>
            </w:r>
            <w:r>
              <w:rPr>
                <w:rFonts w:ascii="宋体" w:hAnsi="宋体" w:eastAsia="宋体" w:cs="宋体"/>
                <w:color w:val="auto"/>
                <w:spacing w:val="10"/>
                <w:sz w:val="21"/>
                <w:szCs w:val="21"/>
                <w:highlight w:val="none"/>
              </w:rPr>
              <w:t>5亿元</w:t>
            </w:r>
          </w:p>
        </w:tc>
        <w:tc>
          <w:tcPr>
            <w:tcW w:w="1579" w:type="dxa"/>
            <w:vAlign w:val="center"/>
          </w:tcPr>
          <w:p w14:paraId="67673F94">
            <w:pPr>
              <w:spacing w:before="33" w:line="270"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79" w:type="dxa"/>
            <w:vAlign w:val="center"/>
          </w:tcPr>
          <w:p w14:paraId="5EFC7FA1">
            <w:pPr>
              <w:spacing w:before="33"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81" w:type="dxa"/>
            <w:vAlign w:val="center"/>
          </w:tcPr>
          <w:p w14:paraId="5AD3AD23">
            <w:pPr>
              <w:spacing w:before="33" w:line="270"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r>
      <w:tr w14:paraId="4DE9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3474" w:type="dxa"/>
            <w:vAlign w:val="center"/>
          </w:tcPr>
          <w:p w14:paraId="66FF08B4">
            <w:pPr>
              <w:spacing w:before="36"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5</w:t>
            </w:r>
            <w:r>
              <w:rPr>
                <w:rFonts w:hint="eastAsia" w:ascii="宋体" w:hAnsi="宋体" w:cs="宋体"/>
                <w:color w:val="auto"/>
                <w:spacing w:val="8"/>
                <w:sz w:val="21"/>
                <w:szCs w:val="21"/>
                <w:highlight w:val="none"/>
                <w:lang w:eastAsia="zh-CN"/>
              </w:rPr>
              <w:t>～</w:t>
            </w:r>
            <w:r>
              <w:rPr>
                <w:rFonts w:ascii="宋体" w:hAnsi="宋体" w:eastAsia="宋体" w:cs="宋体"/>
                <w:color w:val="auto"/>
                <w:spacing w:val="11"/>
                <w:sz w:val="21"/>
                <w:szCs w:val="21"/>
                <w:highlight w:val="none"/>
              </w:rPr>
              <w:t>10亿元</w:t>
            </w:r>
          </w:p>
        </w:tc>
        <w:tc>
          <w:tcPr>
            <w:tcW w:w="1579" w:type="dxa"/>
            <w:vAlign w:val="center"/>
          </w:tcPr>
          <w:p w14:paraId="7148B3EE">
            <w:pPr>
              <w:spacing w:before="36" w:line="270" w:lineRule="exact"/>
              <w:ind w:left="220"/>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79" w:type="dxa"/>
            <w:vAlign w:val="center"/>
          </w:tcPr>
          <w:p w14:paraId="7D307C0B">
            <w:pPr>
              <w:spacing w:before="36"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81" w:type="dxa"/>
            <w:vAlign w:val="center"/>
          </w:tcPr>
          <w:p w14:paraId="27966A38">
            <w:pPr>
              <w:spacing w:before="36" w:line="270" w:lineRule="exact"/>
              <w:ind w:left="223"/>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r>
    </w:tbl>
    <w:p w14:paraId="2870F2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注：招标代理服务收费按差额定率累进法计算。</w:t>
      </w:r>
    </w:p>
    <w:p w14:paraId="3C6DA6D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24.2.解释权</w:t>
      </w:r>
    </w:p>
    <w:p w14:paraId="10D14C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解释权属本采购代理机构。</w:t>
      </w:r>
    </w:p>
    <w:p w14:paraId="7753F6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 询问、质疑和投诉</w:t>
      </w:r>
    </w:p>
    <w:p w14:paraId="32927E1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24.3.1 供应商对政府采购活动事项有疑问的，可以向采购人、采购代理机构提出询问，采购人或者采购代理机构应当在 3个工作日内对供应商依法提出的询问作出答复。</w:t>
      </w:r>
    </w:p>
    <w:p w14:paraId="759EE7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24.3.2 供应商认为竞争性磋商文件、采购过程或成交结果使自己的合法权益受到损害的，应当在知道或者应知其权益受到损害之日起七个工作日内，以书面形式向采购人、采购代理机构提出质疑，接收质疑函的方式、联系部门、联系电话和通讯地址等信息详见“供应商须知前 附表”。具体质疑起算时间如下：</w:t>
      </w:r>
    </w:p>
    <w:p w14:paraId="005BF2F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对可以质疑的竞争性磋商文件提出质疑的，为收到竞争性磋商文件之日或竞争性磋商公告期限届满之日；</w:t>
      </w:r>
    </w:p>
    <w:p w14:paraId="29F9D61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对采购过程提出质疑的，为各采购程序环节结束之日；</w:t>
      </w:r>
    </w:p>
    <w:p w14:paraId="336C05B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对成交结果提出质疑的，为成交结果公告期限届满之日。</w:t>
      </w:r>
    </w:p>
    <w:p w14:paraId="3D496E2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供应商对采购人或采购代理机构的质疑答复不满意或者采购人或采购代理机构未在规定时间内作出答复的，可以在答复期满后十五个工作日内向同级采购监管部门投诉。</w:t>
      </w:r>
    </w:p>
    <w:p w14:paraId="7B488D1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24.3.3 供应商提出的询问或者质疑超出采购人对采购代理机构委托授权范围的，采购代理机构应当告知供应商向采购人提出。政府采购评审专家应当配合采购人或者采购代理机构答复供应商的询问和质疑。</w:t>
      </w:r>
    </w:p>
    <w:p w14:paraId="08BE020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24.3.4 质疑、投诉应当采用书面形式，质疑函、投诉书均应明确阐述竞争性磋商文件、采购过程或成交结果中使自己合法权益受到损害的实质性内容，提供相关事实、法律依据和证据及其来源或线索，便于有关单位调查、答复和处理。</w:t>
      </w:r>
    </w:p>
    <w:p w14:paraId="1598CA9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供应商提出质疑应当提交质疑函和必要的证明材料，针对同一采购程序环节的质疑必须在法定质疑期内一次性提出。质疑函应当包括下列内容：</w:t>
      </w:r>
    </w:p>
    <w:p w14:paraId="00EAD71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供应商的姓名或者名称、地址、邮编、联系人及联系电话；</w:t>
      </w:r>
    </w:p>
    <w:p w14:paraId="1AB2469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质疑项目的名称、编号；</w:t>
      </w:r>
    </w:p>
    <w:p w14:paraId="0170D72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具体、明确的质疑事项和与质疑事项相关的请求；</w:t>
      </w:r>
    </w:p>
    <w:p w14:paraId="58B8C87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事实依据；</w:t>
      </w:r>
    </w:p>
    <w:p w14:paraId="13DB56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(5) 必要的法律依据；</w:t>
      </w:r>
    </w:p>
    <w:p w14:paraId="6680808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(6) 提出质疑的日期。</w:t>
      </w:r>
    </w:p>
    <w:p w14:paraId="2C10DA5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供应商为自然人的，应当由本人签字；供应商为法人或者其他组织的，应当由法定代表人、主要负责人，或者其委托代理人签字或者盖章，并加盖公章。</w:t>
      </w:r>
    </w:p>
    <w:p w14:paraId="331A63A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24.3.5 采购人、采购代理机构认为供应商质疑不成立，或者成立但未对成交结果构成影响的，继续开展采购活动；认为供应商质疑成立且影响或者可能影响成交结果的，按照下列情况处理：</w:t>
      </w:r>
    </w:p>
    <w:p w14:paraId="394D9EA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对竞争性磋商文件提出的质疑，依法通过澄清或者修改可以继续开展采购活动的，澄清或者修改竞争性磋商文件后继续开展采购活动；否则应当在修改竞争性磋商文件后重新开展采购活动。</w:t>
      </w:r>
    </w:p>
    <w:p w14:paraId="14C62C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对采购过程、成交结果提出的质疑，合格供应商符合法定数量时，可以从合格的成交候选人中另行确定成交供应商的，应当依法另行确定成交供应商；否则应当重新开展采购活动。</w:t>
      </w:r>
    </w:p>
    <w:p w14:paraId="5AF48A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质疑答复导致成交结果改变的，采购人或者采购代理机构应当将有关情况书面报告本级财政部门。</w:t>
      </w:r>
    </w:p>
    <w:p w14:paraId="3C8D593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24.3.6 投诉的权利。质疑供应商对采购人、采购代理机构的答复不满意，或者采购人、采购代理机构未在规定时间内作出答复的，可以在答复期满后15个工作日内向《政府采购质疑和投诉办法》(财政部令第94号) 第六条规定的财政部门提起投诉。</w:t>
      </w:r>
    </w:p>
    <w:p w14:paraId="50D7A78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所有与本磋商文件有关的函件请按下列通讯地址联系：</w:t>
      </w:r>
    </w:p>
    <w:p w14:paraId="748847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lang w:eastAsia="zh-CN"/>
        </w:rPr>
      </w:pPr>
      <w:r>
        <w:rPr>
          <w:rFonts w:hint="eastAsia" w:ascii="宋体" w:hAnsi="宋体" w:cs="宋体"/>
          <w:b w:val="0"/>
          <w:bCs/>
          <w:color w:val="auto"/>
          <w:szCs w:val="21"/>
          <w:highlight w:val="none"/>
        </w:rPr>
        <w:t>通讯地址：</w:t>
      </w:r>
      <w:r>
        <w:rPr>
          <w:rFonts w:hint="eastAsia" w:asciiTheme="minorEastAsia" w:hAnsiTheme="minorEastAsia" w:eastAsiaTheme="minorEastAsia" w:cstheme="minorEastAsia"/>
          <w:b w:val="0"/>
          <w:bCs w:val="0"/>
          <w:color w:val="auto"/>
          <w:kern w:val="0"/>
          <w:sz w:val="21"/>
          <w:szCs w:val="21"/>
          <w:highlight w:val="none"/>
          <w:lang w:val="en-US" w:eastAsia="zh-CN" w:bidi="ar-SA"/>
        </w:rPr>
        <w:t>浦北新城17栋111商铺 </w:t>
      </w:r>
    </w:p>
    <w:p w14:paraId="5F4E1BB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rPr>
        <w:t xml:space="preserve">电话： </w:t>
      </w:r>
      <w:r>
        <w:rPr>
          <w:rFonts w:hint="eastAsia" w:ascii="宋体" w:hAnsi="宋体" w:cs="宋体"/>
          <w:b w:val="0"/>
          <w:bCs/>
          <w:color w:val="auto"/>
          <w:szCs w:val="21"/>
          <w:highlight w:val="none"/>
          <w:lang w:eastAsia="zh-CN"/>
        </w:rPr>
        <w:t>0777-8318828</w:t>
      </w:r>
    </w:p>
    <w:p w14:paraId="2724EE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val="0"/>
          <w:bCs/>
          <w:color w:val="auto"/>
          <w:szCs w:val="21"/>
          <w:highlight w:val="none"/>
        </w:rPr>
      </w:pPr>
    </w:p>
    <w:p w14:paraId="3E5245B9">
      <w:pPr>
        <w:pStyle w:val="15"/>
        <w:rPr>
          <w:rFonts w:ascii="宋体" w:hAnsi="宋体" w:cs="宋体"/>
          <w:b w:val="0"/>
          <w:bCs/>
          <w:color w:val="auto"/>
          <w:szCs w:val="21"/>
          <w:highlight w:val="none"/>
        </w:rPr>
      </w:pPr>
    </w:p>
    <w:p w14:paraId="07186405">
      <w:pPr>
        <w:pStyle w:val="15"/>
        <w:rPr>
          <w:rFonts w:ascii="宋体" w:hAnsi="宋体" w:cs="宋体"/>
          <w:b w:val="0"/>
          <w:bCs/>
          <w:color w:val="auto"/>
          <w:szCs w:val="21"/>
          <w:highlight w:val="none"/>
        </w:rPr>
      </w:pPr>
    </w:p>
    <w:p w14:paraId="3C04ACD2">
      <w:pPr>
        <w:pStyle w:val="15"/>
        <w:rPr>
          <w:rFonts w:ascii="宋体" w:hAnsi="宋体" w:cs="宋体"/>
          <w:b w:val="0"/>
          <w:bCs/>
          <w:color w:val="auto"/>
          <w:szCs w:val="21"/>
          <w:highlight w:val="none"/>
        </w:rPr>
      </w:pPr>
    </w:p>
    <w:p w14:paraId="2E59EF2A">
      <w:pPr>
        <w:pStyle w:val="15"/>
        <w:rPr>
          <w:rFonts w:ascii="宋体" w:hAnsi="宋体" w:cs="宋体"/>
          <w:b w:val="0"/>
          <w:bCs/>
          <w:color w:val="auto"/>
          <w:szCs w:val="21"/>
          <w:highlight w:val="none"/>
        </w:rPr>
      </w:pPr>
    </w:p>
    <w:p w14:paraId="12DD1D63">
      <w:pPr>
        <w:pStyle w:val="15"/>
        <w:rPr>
          <w:rFonts w:ascii="宋体" w:hAnsi="宋体" w:cs="宋体"/>
          <w:b w:val="0"/>
          <w:bCs/>
          <w:color w:val="auto"/>
          <w:szCs w:val="21"/>
          <w:highlight w:val="none"/>
        </w:rPr>
      </w:pPr>
    </w:p>
    <w:p w14:paraId="5736B50C">
      <w:pPr>
        <w:pStyle w:val="15"/>
        <w:rPr>
          <w:rFonts w:ascii="宋体" w:hAnsi="宋体" w:cs="宋体"/>
          <w:b w:val="0"/>
          <w:bCs/>
          <w:color w:val="auto"/>
          <w:szCs w:val="21"/>
          <w:highlight w:val="none"/>
        </w:rPr>
      </w:pPr>
    </w:p>
    <w:p w14:paraId="2818574C">
      <w:pPr>
        <w:pStyle w:val="15"/>
        <w:rPr>
          <w:rFonts w:ascii="宋体" w:hAnsi="宋体" w:cs="宋体"/>
          <w:b w:val="0"/>
          <w:bCs/>
          <w:color w:val="auto"/>
          <w:szCs w:val="21"/>
          <w:highlight w:val="none"/>
        </w:rPr>
      </w:pPr>
    </w:p>
    <w:p w14:paraId="59614304">
      <w:pPr>
        <w:pStyle w:val="15"/>
        <w:rPr>
          <w:rFonts w:ascii="宋体" w:hAnsi="宋体" w:cs="宋体"/>
          <w:b w:val="0"/>
          <w:bCs/>
          <w:color w:val="auto"/>
          <w:szCs w:val="21"/>
          <w:highlight w:val="none"/>
        </w:rPr>
      </w:pPr>
    </w:p>
    <w:p w14:paraId="1D83B409">
      <w:pPr>
        <w:pStyle w:val="15"/>
        <w:ind w:left="0" w:leftChars="0" w:firstLine="0" w:firstLineChars="0"/>
        <w:rPr>
          <w:rFonts w:ascii="宋体" w:hAnsi="宋体" w:cs="宋体"/>
          <w:b w:val="0"/>
          <w:bCs/>
          <w:color w:val="auto"/>
          <w:szCs w:val="21"/>
          <w:highlight w:val="none"/>
        </w:rPr>
      </w:pPr>
    </w:p>
    <w:p w14:paraId="69A8C732">
      <w:pPr>
        <w:jc w:val="center"/>
        <w:outlineLvl w:val="0"/>
        <w:rPr>
          <w:rFonts w:hint="eastAsia" w:ascii="宋体" w:hAnsi="宋体" w:cs="宋体"/>
          <w:b/>
          <w:bCs/>
          <w:color w:val="auto"/>
          <w:spacing w:val="-14"/>
          <w:kern w:val="0"/>
          <w:position w:val="-6"/>
          <w:sz w:val="36"/>
          <w:szCs w:val="36"/>
          <w:highlight w:val="none"/>
        </w:rPr>
      </w:pPr>
      <w:bookmarkStart w:id="66" w:name="_Toc26558"/>
    </w:p>
    <w:p w14:paraId="37FBB12C">
      <w:pPr>
        <w:jc w:val="center"/>
        <w:outlineLvl w:val="0"/>
        <w:rPr>
          <w:rFonts w:hint="eastAsia" w:ascii="宋体" w:hAnsi="宋体" w:cs="宋体"/>
          <w:b/>
          <w:bCs/>
          <w:color w:val="auto"/>
          <w:spacing w:val="-14"/>
          <w:kern w:val="0"/>
          <w:position w:val="-6"/>
          <w:sz w:val="36"/>
          <w:szCs w:val="36"/>
          <w:highlight w:val="none"/>
        </w:rPr>
      </w:pPr>
    </w:p>
    <w:p w14:paraId="2E5C68F9">
      <w:pPr>
        <w:jc w:val="center"/>
        <w:outlineLvl w:val="0"/>
        <w:rPr>
          <w:rFonts w:hint="eastAsia" w:ascii="宋体" w:hAnsi="宋体" w:cs="宋体"/>
          <w:b/>
          <w:bCs/>
          <w:color w:val="auto"/>
          <w:spacing w:val="-14"/>
          <w:kern w:val="0"/>
          <w:position w:val="-6"/>
          <w:sz w:val="36"/>
          <w:szCs w:val="36"/>
          <w:highlight w:val="none"/>
        </w:rPr>
      </w:pPr>
      <w:r>
        <w:rPr>
          <w:rFonts w:hint="eastAsia" w:ascii="宋体" w:hAnsi="宋体" w:cs="宋体"/>
          <w:b/>
          <w:bCs/>
          <w:color w:val="auto"/>
          <w:spacing w:val="-14"/>
          <w:kern w:val="0"/>
          <w:position w:val="-6"/>
          <w:sz w:val="36"/>
          <w:szCs w:val="36"/>
          <w:highlight w:val="none"/>
        </w:rPr>
        <w:t>第三章  项目基本情况及要求</w:t>
      </w:r>
      <w:bookmarkEnd w:id="66"/>
    </w:p>
    <w:p w14:paraId="1474B845">
      <w:pPr>
        <w:pStyle w:val="47"/>
        <w:ind w:firstLine="915"/>
        <w:rPr>
          <w:color w:val="auto"/>
          <w:highlight w:val="none"/>
        </w:rPr>
      </w:pPr>
    </w:p>
    <w:p w14:paraId="43807E3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2D9A0EB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 xml:space="preserve">.商务条款评审中允许负偏离的非实质性条款数为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8714A70">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 xml:space="preserve">服务需求评审中允许负偏离的非实质性条款数为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3396659">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供应商必须自行为其竞标产品侵犯他人的知识产权或者专利成果的行为承担相应法律责任。</w:t>
      </w:r>
    </w:p>
    <w:p w14:paraId="2556A13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本项目所属行业：建筑业</w:t>
      </w:r>
    </w:p>
    <w:tbl>
      <w:tblPr>
        <w:tblStyle w:val="30"/>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1399"/>
        <w:gridCol w:w="585"/>
        <w:gridCol w:w="851"/>
        <w:gridCol w:w="4194"/>
        <w:gridCol w:w="1387"/>
      </w:tblGrid>
      <w:tr w14:paraId="07810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89" w:type="dxa"/>
            <w:noWrap w:val="0"/>
            <w:vAlign w:val="center"/>
          </w:tcPr>
          <w:p w14:paraId="6B0F3544">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gridSpan w:val="2"/>
            <w:noWrap w:val="0"/>
            <w:vAlign w:val="center"/>
          </w:tcPr>
          <w:p w14:paraId="36D7F20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center"/>
          </w:tcPr>
          <w:p w14:paraId="44F98147">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4194" w:type="dxa"/>
            <w:noWrap w:val="0"/>
            <w:vAlign w:val="center"/>
          </w:tcPr>
          <w:p w14:paraId="78EABDD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具体</w:t>
            </w:r>
            <w:r>
              <w:rPr>
                <w:rFonts w:hint="eastAsia" w:ascii="宋体" w:hAnsi="宋体" w:cs="宋体"/>
                <w:color w:val="auto"/>
                <w:szCs w:val="21"/>
                <w:highlight w:val="none"/>
              </w:rPr>
              <w:t>要求</w:t>
            </w:r>
          </w:p>
        </w:tc>
        <w:tc>
          <w:tcPr>
            <w:tcW w:w="1387" w:type="dxa"/>
            <w:noWrap w:val="0"/>
            <w:vAlign w:val="center"/>
          </w:tcPr>
          <w:p w14:paraId="737FD601">
            <w:pPr>
              <w:tabs>
                <w:tab w:val="left" w:pos="180"/>
                <w:tab w:val="left" w:pos="1620"/>
              </w:tabs>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最高限价（元）</w:t>
            </w:r>
          </w:p>
        </w:tc>
      </w:tr>
      <w:tr w14:paraId="03F2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389" w:type="dxa"/>
            <w:noWrap w:val="0"/>
            <w:vAlign w:val="center"/>
          </w:tcPr>
          <w:p w14:paraId="543035F0">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84" w:type="dxa"/>
            <w:gridSpan w:val="2"/>
            <w:noWrap w:val="0"/>
            <w:vAlign w:val="center"/>
          </w:tcPr>
          <w:p w14:paraId="43010E36">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SA"/>
              </w:rPr>
              <w:t>浦北县第四小学新运动场（岭头部分）土方平整工程</w:t>
            </w:r>
            <w:r>
              <w:rPr>
                <w:rFonts w:hint="eastAsia" w:ascii="宋体" w:hAnsi="宋体" w:eastAsia="宋体" w:cs="宋体"/>
                <w:color w:val="auto"/>
                <w:w w:val="95"/>
                <w:sz w:val="30"/>
                <w:szCs w:val="30"/>
                <w:highlight w:val="none"/>
                <w:lang w:eastAsia="zh-CN"/>
              </w:rPr>
              <w:t xml:space="preserve"> </w:t>
            </w:r>
            <w:r>
              <w:rPr>
                <w:rFonts w:hint="eastAsia" w:ascii="宋体" w:hAnsi="宋体" w:cs="宋体"/>
                <w:color w:val="auto"/>
                <w:szCs w:val="21"/>
                <w:highlight w:val="none"/>
              </w:rPr>
              <w:t xml:space="preserve">             </w:t>
            </w:r>
          </w:p>
        </w:tc>
        <w:tc>
          <w:tcPr>
            <w:tcW w:w="851" w:type="dxa"/>
            <w:noWrap w:val="0"/>
            <w:vAlign w:val="center"/>
          </w:tcPr>
          <w:p w14:paraId="3667892A">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4194" w:type="dxa"/>
            <w:noWrap w:val="0"/>
            <w:vAlign w:val="center"/>
          </w:tcPr>
          <w:p w14:paraId="2EB52D8F">
            <w:pPr>
              <w:pStyle w:val="5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、工程概况：</w:t>
            </w:r>
            <w:r>
              <w:rPr>
                <w:rFonts w:hint="eastAsia" w:ascii="宋体" w:hAnsi="宋体" w:eastAsia="宋体" w:cs="宋体"/>
                <w:color w:val="auto"/>
                <w:kern w:val="2"/>
                <w:sz w:val="21"/>
                <w:szCs w:val="21"/>
                <w:highlight w:val="none"/>
                <w:lang w:val="en-US" w:eastAsia="zh-CN" w:bidi="ar-SA"/>
              </w:rPr>
              <w:t>浦北县第四小学新运动场（岭头部分）土方平整工程</w:t>
            </w:r>
            <w:r>
              <w:rPr>
                <w:rFonts w:hint="eastAsia" w:ascii="宋体" w:hAnsi="宋体" w:eastAsia="宋体" w:cs="宋体"/>
                <w:color w:val="auto"/>
                <w:szCs w:val="21"/>
                <w:highlight w:val="none"/>
                <w:lang w:eastAsia="zh-CN"/>
              </w:rPr>
              <w:t>，包含施工图纸范围内的工程，</w:t>
            </w:r>
            <w:r>
              <w:rPr>
                <w:rFonts w:hint="eastAsia" w:ascii="宋体" w:hAnsi="宋体" w:eastAsia="宋体" w:cs="宋体"/>
                <w:color w:val="auto"/>
                <w:szCs w:val="21"/>
                <w:highlight w:val="none"/>
              </w:rPr>
              <w:t>具体详见工程量清单及</w:t>
            </w:r>
            <w:r>
              <w:rPr>
                <w:rFonts w:hint="eastAsia" w:ascii="宋体" w:hAnsi="宋体" w:cs="宋体"/>
                <w:color w:val="auto"/>
                <w:szCs w:val="21"/>
                <w:highlight w:val="none"/>
                <w:lang w:eastAsia="zh-CN"/>
              </w:rPr>
              <w:t>施工</w:t>
            </w:r>
            <w:r>
              <w:rPr>
                <w:rFonts w:hint="eastAsia" w:ascii="宋体" w:hAnsi="宋体" w:eastAsia="宋体" w:cs="宋体"/>
                <w:color w:val="auto"/>
                <w:szCs w:val="21"/>
                <w:highlight w:val="none"/>
              </w:rPr>
              <w:t>图纸。</w:t>
            </w:r>
          </w:p>
          <w:p w14:paraId="2B66A56F">
            <w:pPr>
              <w:pStyle w:val="5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、工程质量要求：达到国家施工验收规范合格标准要求。</w:t>
            </w:r>
          </w:p>
          <w:p w14:paraId="0A91FAA4">
            <w:pPr>
              <w:pStyle w:val="50"/>
              <w:spacing w:line="360" w:lineRule="auto"/>
              <w:ind w:firstLine="0" w:firstLineChars="0"/>
              <w:rPr>
                <w:rFonts w:hint="eastAsia"/>
                <w:color w:val="auto"/>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、具体需求</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及</w:t>
            </w:r>
            <w:r>
              <w:rPr>
                <w:rFonts w:hint="eastAsia" w:ascii="宋体" w:hAnsi="宋体" w:cs="宋体"/>
                <w:color w:val="auto"/>
                <w:szCs w:val="21"/>
                <w:highlight w:val="none"/>
              </w:rPr>
              <w:t>编制说明详见工程量清单（另册发放）</w:t>
            </w:r>
          </w:p>
        </w:tc>
        <w:tc>
          <w:tcPr>
            <w:tcW w:w="1387" w:type="dxa"/>
            <w:noWrap w:val="0"/>
            <w:vAlign w:val="center"/>
          </w:tcPr>
          <w:p w14:paraId="72B582DF">
            <w:pPr>
              <w:pStyle w:val="50"/>
              <w:spacing w:line="360" w:lineRule="auto"/>
              <w:ind w:firstLine="0" w:firstLineChars="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2009586.84</w:t>
            </w:r>
          </w:p>
        </w:tc>
      </w:tr>
      <w:tr w14:paraId="2BB2D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6"/>
            <w:tcBorders>
              <w:top w:val="single" w:color="auto" w:sz="4" w:space="0"/>
              <w:left w:val="single" w:color="auto" w:sz="4" w:space="0"/>
              <w:bottom w:val="single" w:color="auto" w:sz="4" w:space="0"/>
              <w:right w:val="single" w:color="auto" w:sz="4" w:space="0"/>
            </w:tcBorders>
            <w:noWrap w:val="0"/>
            <w:vAlign w:val="top"/>
          </w:tcPr>
          <w:p w14:paraId="748DA74F">
            <w:pPr>
              <w:spacing w:line="360" w:lineRule="auto"/>
              <w:rPr>
                <w:rFonts w:ascii="宋体" w:hAnsi="宋体"/>
                <w:color w:val="auto"/>
                <w:szCs w:val="21"/>
                <w:highlight w:val="none"/>
              </w:rPr>
            </w:pPr>
            <w:r>
              <w:rPr>
                <w:rFonts w:hint="eastAsia" w:ascii="宋体" w:hAnsi="宋体"/>
                <w:b/>
                <w:color w:val="auto"/>
                <w:szCs w:val="21"/>
                <w:highlight w:val="none"/>
              </w:rPr>
              <w:t>商务要求</w:t>
            </w:r>
          </w:p>
        </w:tc>
      </w:tr>
      <w:tr w14:paraId="5569C6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968DA0F">
            <w:pPr>
              <w:spacing w:line="360" w:lineRule="auto"/>
              <w:jc w:val="center"/>
              <w:rPr>
                <w:rFonts w:ascii="宋体" w:hAnsi="宋体"/>
                <w:b/>
                <w:color w:val="auto"/>
                <w:szCs w:val="21"/>
                <w:highlight w:val="none"/>
              </w:rPr>
            </w:pPr>
            <w:r>
              <w:rPr>
                <w:rFonts w:hint="eastAsia" w:ascii="宋体" w:hAnsi="宋体"/>
                <w:b/>
                <w:color w:val="auto"/>
                <w:szCs w:val="21"/>
                <w:highlight w:val="none"/>
                <w:lang w:val="en-US" w:eastAsia="zh-CN"/>
              </w:rPr>
              <w:t>合同履约期限</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47D01D4">
            <w:pPr>
              <w:jc w:val="both"/>
              <w:rPr>
                <w:rFonts w:ascii="宋体" w:hAnsi="宋体"/>
                <w:b/>
                <w:color w:val="auto"/>
                <w:szCs w:val="21"/>
                <w:highlight w:val="none"/>
              </w:rPr>
            </w:pPr>
            <w:r>
              <w:rPr>
                <w:rFonts w:hint="eastAsia" w:ascii="宋体" w:hAnsi="宋体" w:eastAsia="宋体" w:cs="宋体"/>
                <w:b w:val="0"/>
                <w:bCs w:val="0"/>
                <w:color w:val="auto"/>
                <w:kern w:val="0"/>
                <w:sz w:val="21"/>
                <w:szCs w:val="21"/>
                <w:highlight w:val="none"/>
                <w:lang w:val="en-US" w:eastAsia="zh-CN"/>
              </w:rPr>
              <w:t>施工工期</w:t>
            </w:r>
            <w:r>
              <w:rPr>
                <w:rFonts w:hint="eastAsia" w:ascii="宋体" w:hAnsi="宋体" w:cs="宋体"/>
                <w:b w:val="0"/>
                <w:bCs w:val="0"/>
                <w:color w:val="auto"/>
                <w:kern w:val="0"/>
                <w:sz w:val="21"/>
                <w:szCs w:val="21"/>
                <w:highlight w:val="none"/>
                <w:lang w:val="en-US" w:eastAsia="zh-CN"/>
              </w:rPr>
              <w:t>180</w:t>
            </w:r>
            <w:r>
              <w:rPr>
                <w:rFonts w:hint="eastAsia" w:ascii="宋体" w:hAnsi="宋体" w:eastAsia="宋体" w:cs="宋体"/>
                <w:b w:val="0"/>
                <w:bCs w:val="0"/>
                <w:color w:val="auto"/>
                <w:kern w:val="0"/>
                <w:sz w:val="21"/>
                <w:szCs w:val="21"/>
                <w:highlight w:val="none"/>
                <w:lang w:val="en-US" w:eastAsia="zh-CN"/>
              </w:rPr>
              <w:t>日历天</w:t>
            </w:r>
          </w:p>
        </w:tc>
      </w:tr>
      <w:tr w14:paraId="0FC79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0DA07B5F">
            <w:pPr>
              <w:spacing w:line="360" w:lineRule="auto"/>
              <w:jc w:val="center"/>
              <w:rPr>
                <w:rFonts w:hint="eastAsia" w:ascii="宋体" w:hAnsi="宋体"/>
                <w:color w:val="auto"/>
                <w:szCs w:val="21"/>
                <w:highlight w:val="none"/>
              </w:rPr>
            </w:pPr>
            <w:r>
              <w:rPr>
                <w:rFonts w:hint="eastAsia" w:ascii="宋体" w:hAnsi="宋体"/>
                <w:color w:val="auto"/>
                <w:szCs w:val="21"/>
                <w:highlight w:val="none"/>
              </w:rPr>
              <w:t>建设地点</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39C944F2">
            <w:pPr>
              <w:spacing w:line="360" w:lineRule="auto"/>
              <w:jc w:val="both"/>
              <w:rPr>
                <w:rFonts w:hint="eastAsia" w:ascii="宋体" w:hAnsi="宋体"/>
                <w:color w:val="auto"/>
                <w:szCs w:val="21"/>
                <w:highlight w:val="none"/>
              </w:rPr>
            </w:pPr>
            <w:r>
              <w:rPr>
                <w:rFonts w:hint="eastAsia" w:ascii="宋体" w:hAnsi="宋体" w:cs="宋体"/>
                <w:b w:val="0"/>
                <w:bCs w:val="0"/>
                <w:color w:val="auto"/>
                <w:kern w:val="0"/>
                <w:sz w:val="21"/>
                <w:szCs w:val="21"/>
                <w:highlight w:val="none"/>
                <w:lang w:eastAsia="zh-CN"/>
              </w:rPr>
              <w:t>浦北县</w:t>
            </w:r>
            <w:r>
              <w:rPr>
                <w:rFonts w:hint="eastAsia" w:ascii="宋体" w:hAnsi="宋体" w:cs="宋体"/>
                <w:b w:val="0"/>
                <w:bCs w:val="0"/>
                <w:color w:val="auto"/>
                <w:kern w:val="0"/>
                <w:sz w:val="21"/>
                <w:szCs w:val="21"/>
                <w:highlight w:val="none"/>
                <w:lang w:val="en-US" w:eastAsia="zh-CN"/>
              </w:rPr>
              <w:t>内</w:t>
            </w:r>
          </w:p>
        </w:tc>
      </w:tr>
      <w:tr w14:paraId="4E365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DB4A1A1">
            <w:pPr>
              <w:spacing w:line="360" w:lineRule="auto"/>
              <w:jc w:val="center"/>
              <w:rPr>
                <w:rFonts w:ascii="宋体" w:hAnsi="宋体"/>
                <w:b/>
                <w:color w:val="auto"/>
                <w:szCs w:val="21"/>
                <w:highlight w:val="none"/>
              </w:rPr>
            </w:pPr>
            <w:r>
              <w:rPr>
                <w:rFonts w:hint="eastAsia" w:ascii="宋体" w:hAnsi="宋体"/>
                <w:color w:val="auto"/>
                <w:szCs w:val="21"/>
                <w:highlight w:val="none"/>
              </w:rPr>
              <w:t>合同签订时间</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8F33CA2">
            <w:pPr>
              <w:spacing w:line="360" w:lineRule="auto"/>
              <w:jc w:val="both"/>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hint="eastAsia" w:ascii="宋体" w:hAnsi="宋体"/>
                <w:color w:val="auto"/>
                <w:szCs w:val="21"/>
                <w:highlight w:val="none"/>
                <w:u w:val="single"/>
              </w:rPr>
              <w:t xml:space="preserve">  25  </w:t>
            </w:r>
            <w:r>
              <w:rPr>
                <w:rFonts w:hint="eastAsia" w:ascii="宋体" w:hAnsi="宋体"/>
                <w:color w:val="auto"/>
                <w:szCs w:val="21"/>
                <w:highlight w:val="none"/>
              </w:rPr>
              <w:t>日内。（最迟不能超过25日）</w:t>
            </w:r>
          </w:p>
        </w:tc>
      </w:tr>
      <w:tr w14:paraId="40F7B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C5EFC80">
            <w:pPr>
              <w:spacing w:line="360" w:lineRule="auto"/>
              <w:jc w:val="center"/>
              <w:rPr>
                <w:rFonts w:ascii="宋体" w:hAnsi="宋体"/>
                <w:b/>
                <w:color w:val="auto"/>
                <w:szCs w:val="21"/>
                <w:highlight w:val="none"/>
              </w:rPr>
            </w:pPr>
            <w:r>
              <w:rPr>
                <w:rFonts w:hint="eastAsia" w:ascii="宋体" w:hAnsi="宋体"/>
                <w:color w:val="auto"/>
                <w:szCs w:val="21"/>
                <w:highlight w:val="none"/>
              </w:rPr>
              <w:t>付款条件（进度和方式）</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33FDF440">
            <w:pPr>
              <w:keepNext w:val="0"/>
              <w:keepLines w:val="0"/>
              <w:pageBreakBefore w:val="0"/>
              <w:widowControl w:val="0"/>
              <w:shd w:val="clear"/>
              <w:kinsoku/>
              <w:wordWrap/>
              <w:overflowPunct/>
              <w:topLinePunct w:val="0"/>
              <w:autoSpaceDE/>
              <w:autoSpaceDN/>
              <w:bidi w:val="0"/>
              <w:adjustRightInd/>
              <w:snapToGrid/>
              <w:spacing w:line="336" w:lineRule="auto"/>
              <w:jc w:val="both"/>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①项目实质性开工</w:t>
            </w:r>
            <w:r>
              <w:rPr>
                <w:rFonts w:hint="eastAsia" w:ascii="宋体" w:hAnsi="宋体"/>
                <w:color w:val="auto"/>
                <w:szCs w:val="21"/>
                <w:highlight w:val="none"/>
                <w:lang w:val="en-US" w:eastAsia="zh-CN"/>
              </w:rPr>
              <w:t>7天</w:t>
            </w:r>
            <w:r>
              <w:rPr>
                <w:rFonts w:hint="eastAsia" w:ascii="宋体" w:hAnsi="宋体"/>
                <w:color w:val="auto"/>
                <w:szCs w:val="21"/>
                <w:highlight w:val="none"/>
                <w:lang w:eastAsia="zh-CN"/>
              </w:rPr>
              <w:t>后，可以向财政</w:t>
            </w:r>
            <w:r>
              <w:rPr>
                <w:rFonts w:hint="eastAsia" w:ascii="宋体" w:hAnsi="宋体"/>
                <w:color w:val="auto"/>
                <w:szCs w:val="21"/>
                <w:highlight w:val="none"/>
                <w:lang w:val="en-US" w:eastAsia="zh-CN"/>
              </w:rPr>
              <w:t>部门</w:t>
            </w:r>
            <w:r>
              <w:rPr>
                <w:rFonts w:hint="eastAsia" w:ascii="宋体" w:hAnsi="宋体"/>
                <w:color w:val="auto"/>
                <w:szCs w:val="21"/>
                <w:highlight w:val="none"/>
                <w:lang w:eastAsia="zh-CN"/>
              </w:rPr>
              <w:t>申请不高于合同价</w:t>
            </w:r>
            <w:r>
              <w:rPr>
                <w:rFonts w:hint="eastAsia" w:ascii="宋体" w:hAnsi="宋体"/>
                <w:color w:val="auto"/>
                <w:szCs w:val="21"/>
                <w:highlight w:val="none"/>
                <w:lang w:val="en-US" w:eastAsia="zh-CN"/>
              </w:rPr>
              <w:t>30%项目</w:t>
            </w:r>
            <w:r>
              <w:rPr>
                <w:rFonts w:hint="eastAsia" w:ascii="宋体" w:hAnsi="宋体"/>
                <w:color w:val="auto"/>
                <w:szCs w:val="21"/>
                <w:highlight w:val="none"/>
                <w:lang w:eastAsia="zh-CN"/>
              </w:rPr>
              <w:t>预付款，预付款应当用于材料、工程设备、施工设备的采购及修建临时工程、组织施工队伍进场等。预付款在第一次进度付款中扣回。</w:t>
            </w:r>
          </w:p>
          <w:p w14:paraId="7651407A">
            <w:pPr>
              <w:spacing w:line="360" w:lineRule="auto"/>
              <w:jc w:val="both"/>
              <w:rPr>
                <w:rFonts w:hint="default" w:ascii="宋体" w:hAnsi="宋体"/>
                <w:b/>
                <w:color w:val="auto"/>
                <w:szCs w:val="21"/>
                <w:highlight w:val="none"/>
                <w:lang w:val="en-US"/>
              </w:rPr>
            </w:pPr>
            <w:r>
              <w:rPr>
                <w:rFonts w:hint="eastAsia" w:ascii="宋体" w:hAnsi="宋体"/>
                <w:color w:val="auto"/>
                <w:szCs w:val="21"/>
                <w:highlight w:val="none"/>
                <w:lang w:eastAsia="zh-CN"/>
              </w:rPr>
              <w:t>②</w:t>
            </w:r>
            <w:r>
              <w:rPr>
                <w:rFonts w:hint="eastAsia" w:ascii="宋体" w:hAnsi="宋体"/>
                <w:color w:val="auto"/>
                <w:szCs w:val="21"/>
                <w:highlight w:val="none"/>
                <w:lang w:val="en-US" w:eastAsia="zh-CN"/>
              </w:rPr>
              <w:t>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tc>
      </w:tr>
      <w:tr w14:paraId="11F60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14031B28">
            <w:pPr>
              <w:spacing w:line="360" w:lineRule="auto"/>
              <w:jc w:val="center"/>
              <w:rPr>
                <w:rFonts w:hint="eastAsia" w:ascii="宋体" w:hAnsi="宋体"/>
                <w:color w:val="auto"/>
                <w:szCs w:val="21"/>
                <w:highlight w:val="none"/>
              </w:rPr>
            </w:pPr>
            <w:r>
              <w:rPr>
                <w:rFonts w:hint="eastAsia" w:ascii="宋体" w:hAnsi="宋体"/>
                <w:b w:val="0"/>
                <w:bCs/>
                <w:color w:val="auto"/>
                <w:szCs w:val="21"/>
                <w:highlight w:val="none"/>
              </w:rPr>
              <w:t>验收标准</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2D6220B1">
            <w:pPr>
              <w:spacing w:line="360" w:lineRule="auto"/>
              <w:jc w:val="both"/>
              <w:rPr>
                <w:rFonts w:hint="eastAsia" w:ascii="宋体" w:hAnsi="宋体" w:eastAsia="宋体"/>
                <w:color w:val="auto"/>
                <w:szCs w:val="21"/>
                <w:highlight w:val="none"/>
                <w:lang w:val="en-US" w:eastAsia="zh-CN"/>
              </w:rPr>
            </w:pPr>
            <w:r>
              <w:rPr>
                <w:rFonts w:hint="eastAsia" w:ascii="宋体" w:hAnsi="宋体" w:eastAsia="宋体" w:cs="宋体"/>
                <w:b w:val="0"/>
                <w:bCs w:val="0"/>
                <w:color w:val="auto"/>
                <w:kern w:val="0"/>
                <w:sz w:val="21"/>
                <w:szCs w:val="21"/>
                <w:highlight w:val="none"/>
              </w:rPr>
              <w:t>达到国家施工验收规范合格标准</w:t>
            </w:r>
            <w:r>
              <w:rPr>
                <w:rFonts w:hint="eastAsia" w:ascii="宋体" w:hAnsi="宋体" w:cs="宋体"/>
                <w:b w:val="0"/>
                <w:bCs w:val="0"/>
                <w:color w:val="auto"/>
                <w:kern w:val="0"/>
                <w:sz w:val="21"/>
                <w:szCs w:val="21"/>
                <w:highlight w:val="none"/>
                <w:lang w:val="en-US" w:eastAsia="zh-CN"/>
              </w:rPr>
              <w:t>。</w:t>
            </w:r>
          </w:p>
        </w:tc>
      </w:tr>
    </w:tbl>
    <w:p w14:paraId="4EEC0C52">
      <w:pPr>
        <w:pStyle w:val="13"/>
        <w:numPr>
          <w:ilvl w:val="0"/>
          <w:numId w:val="0"/>
        </w:numPr>
        <w:spacing w:line="360" w:lineRule="auto"/>
        <w:ind w:leftChars="0"/>
        <w:jc w:val="both"/>
        <w:outlineLvl w:val="9"/>
        <w:rPr>
          <w:rFonts w:hint="eastAsia" w:ascii="黑体" w:hAnsi="宋体" w:eastAsia="黑体" w:cs="Times New Roman"/>
          <w:b/>
          <w:bCs/>
          <w:color w:val="auto"/>
          <w:kern w:val="0"/>
          <w:sz w:val="36"/>
          <w:szCs w:val="36"/>
          <w:highlight w:val="none"/>
          <w:lang w:val="en-US" w:eastAsia="zh-CN"/>
        </w:rPr>
      </w:pPr>
      <w:bookmarkStart w:id="67" w:name="_Toc20069"/>
    </w:p>
    <w:p w14:paraId="3F1C6CDE">
      <w:pPr>
        <w:jc w:val="center"/>
        <w:outlineLvl w:val="9"/>
        <w:rPr>
          <w:rFonts w:hint="eastAsia" w:ascii="黑体" w:hAnsi="宋体" w:eastAsia="黑体" w:cs="Times New Roman"/>
          <w:b/>
          <w:bCs/>
          <w:color w:val="auto"/>
          <w:kern w:val="0"/>
          <w:sz w:val="36"/>
          <w:szCs w:val="36"/>
          <w:highlight w:val="none"/>
        </w:rPr>
      </w:pPr>
      <w:r>
        <w:rPr>
          <w:rFonts w:hint="eastAsia" w:ascii="黑体" w:hAnsi="宋体" w:eastAsia="黑体" w:cs="Times New Roman"/>
          <w:b/>
          <w:bCs/>
          <w:color w:val="auto"/>
          <w:kern w:val="0"/>
          <w:sz w:val="36"/>
          <w:szCs w:val="36"/>
          <w:highlight w:val="none"/>
          <w:lang w:val="en-US" w:eastAsia="zh-CN"/>
        </w:rPr>
        <w:t>第四章</w:t>
      </w:r>
      <w:r>
        <w:rPr>
          <w:rFonts w:hint="eastAsia" w:ascii="黑体" w:hAnsi="宋体" w:eastAsia="黑体" w:cs="Times New Roman"/>
          <w:b/>
          <w:bCs/>
          <w:color w:val="auto"/>
          <w:kern w:val="0"/>
          <w:sz w:val="36"/>
          <w:szCs w:val="36"/>
          <w:highlight w:val="none"/>
        </w:rPr>
        <w:t xml:space="preserve"> 评审标准</w:t>
      </w:r>
      <w:bookmarkEnd w:id="67"/>
    </w:p>
    <w:p w14:paraId="3CE64135">
      <w:pPr>
        <w:pStyle w:val="5"/>
        <w:numPr>
          <w:ilvl w:val="0"/>
          <w:numId w:val="0"/>
        </w:numPr>
        <w:spacing w:line="360" w:lineRule="auto"/>
        <w:ind w:leftChars="0"/>
        <w:jc w:val="both"/>
        <w:rPr>
          <w:rFonts w:hint="eastAsia"/>
          <w:color w:val="auto"/>
          <w:sz w:val="24"/>
          <w:szCs w:val="24"/>
          <w:highlight w:val="none"/>
        </w:rPr>
      </w:pPr>
      <w:r>
        <w:rPr>
          <w:rFonts w:hint="eastAsia"/>
          <w:color w:val="auto"/>
          <w:sz w:val="24"/>
          <w:szCs w:val="24"/>
          <w:highlight w:val="none"/>
        </w:rPr>
        <w:t>一、评审程序和评审方法</w:t>
      </w:r>
    </w:p>
    <w:p w14:paraId="1BDBBCC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auto"/>
          <w:highlight w:val="none"/>
        </w:rPr>
      </w:pPr>
      <w:r>
        <w:rPr>
          <w:rFonts w:hint="eastAsia"/>
          <w:b/>
          <w:bCs/>
          <w:color w:val="auto"/>
          <w:highlight w:val="none"/>
        </w:rPr>
        <w:t>1.资格审查</w:t>
      </w:r>
    </w:p>
    <w:p w14:paraId="735ACD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 响应文件开启后，磋商小组依法对供应商的资格证明文件进行审查。</w:t>
      </w:r>
    </w:p>
    <w:p w14:paraId="77A15C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注：采购人或者采购代理机构在资格审查结束前，对供应商进行信用查询。</w:t>
      </w:r>
    </w:p>
    <w:p w14:paraId="721F11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( 1 ) 查询渠道：“信用中国 ” 网站 (www.creditchina.gov.cn) 、 中国政府采购网 (www.ccgp.gov.cn)。</w:t>
      </w:r>
    </w:p>
    <w:p w14:paraId="53881C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信用查询截止时点：资格审查结束前。</w:t>
      </w:r>
    </w:p>
    <w:p w14:paraId="414473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查询记录和证据留存方式：在查询网站中直接打印查询记录，打印材料作为评审资料保存。</w:t>
      </w:r>
    </w:p>
    <w:p w14:paraId="53AD0F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信用信息使用规则：对在“信用中国”网站(www.creditchina.gov.cn) 、中国府采购网(www.ccgp.gov.cn)被列入失信被执行人、重大税收违法案件当事人名单、政府采购严重违 法失信行为记录名单及其他不符合《中华人民共和国政府采购法》第二十二条规定条件的供应商，资格审查不通过，不得参与政府采购活动。</w:t>
      </w:r>
    </w:p>
    <w:p w14:paraId="16F97A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 资格审查标准为本磋商文件中载明对供应商资格要求的条件。资格审查采用合格制，凡符合磋商文件规定的供应商资格要求的响应文件均通过资格审查。</w:t>
      </w:r>
    </w:p>
    <w:p w14:paraId="7DE5B6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 供应商有下列情形之一的，资格审查不通过，其响应文件按无效响应处理：</w:t>
      </w:r>
    </w:p>
    <w:p w14:paraId="581F3C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不具备磋商文件中规定的资格要求的；</w:t>
      </w:r>
    </w:p>
    <w:p w14:paraId="6319C0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响应文件未提供任一项“供应商须知前附表”资格证明文件规定的“必须提供”的文件资料的；</w:t>
      </w:r>
    </w:p>
    <w:p w14:paraId="61E7CE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响应文件提供的资格证明文件出现任一项不符合“供应商须知前附表”资格证明文件规定的“必须提供”的文件资料要求或者无效的。</w:t>
      </w:r>
    </w:p>
    <w:p w14:paraId="29E080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1.4 通过资格审查的合格供应商不足 3 家的，不得进入符合性审查环节，采购人或者采购代理机构应当重新开展采购活动。</w:t>
      </w:r>
    </w:p>
    <w:p w14:paraId="39CF52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2.符合性审查</w:t>
      </w:r>
    </w:p>
    <w:p w14:paraId="36B616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2.1 由磋商小组对通过资格审查的合格供应商的响应文件的竞标报价、商务、技术等实质性要求进行符合性审查，以确定其是否满足磋商文件的实质性要求。</w:t>
      </w:r>
    </w:p>
    <w:p w14:paraId="369D35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AA2E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2.3 磋商小组要求供应商澄清、说明或者更正响应文件应当要求供应商在合理时间内通过</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的方式形式作出。供应商的澄清、说明或者更正必须 通过</w:t>
      </w:r>
      <w:r>
        <w:rPr>
          <w:rFonts w:hint="eastAsia"/>
          <w:color w:val="auto"/>
          <w:highlight w:val="none"/>
          <w:lang w:eastAsia="zh-CN"/>
        </w:rPr>
        <w:t>广西政府采购云平台</w:t>
      </w:r>
      <w:r>
        <w:rPr>
          <w:rFonts w:hint="eastAsia"/>
          <w:color w:val="auto"/>
          <w:highlight w:val="none"/>
        </w:rPr>
        <w:t>以书面形式按照磋商小组的要求作出明确的澄清、说明或者更正，未按磋商小 组的要求作出明确澄清、说明或者更正的供应商的响应文件将按照有利于采购人的原则由磋商 小组进行判定。供应商的澄清、说明或者更正必须由法定代表人或者其委托代理人签字或者加 盖 CA 签章。 由委托代理人签字的，若委托代理人不是响应文件中授权的委托代理人时，必须同时出示有效的法定代表人授权委托书原件。供应商为自然人的，必须由本人签字并附身份证明。</w:t>
      </w:r>
    </w:p>
    <w:p w14:paraId="05B293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 首次响应文件报价出现前后不一致的，按照下列规定修正：</w:t>
      </w:r>
    </w:p>
    <w:p w14:paraId="51CFB4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响应文件中报价表内容与响应文件中相应内容不一致的，以报价表为准；</w:t>
      </w:r>
    </w:p>
    <w:p w14:paraId="54211C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大写金额和小写金额不一致的，以大写金额为准；</w:t>
      </w:r>
    </w:p>
    <w:p w14:paraId="2E1F18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单价金额小数点或者百分比有明显错位的，以报价表的总价为准，并修改单价；</w:t>
      </w:r>
    </w:p>
    <w:p w14:paraId="751A5B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总价金额与按单价汇总金额不一致的，以单价金额计算结果为准。</w:t>
      </w:r>
    </w:p>
    <w:p w14:paraId="1774E6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同时出现两种以上不一致的，按照以上 (1) - (4) 规定的顺序逐条进行修正。修正后的报价经供应商确认后产生约束力，供应商不确认的，其响应文件按无效响应处理。</w:t>
      </w:r>
    </w:p>
    <w:p w14:paraId="3B5A2A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2.5 商务技术报价评审</w:t>
      </w:r>
    </w:p>
    <w:p w14:paraId="6B45ED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在评审时，如发现下列情形之一的，将被视为响应文件无效处理：</w:t>
      </w:r>
    </w:p>
    <w:p w14:paraId="421719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商务技术评审</w:t>
      </w:r>
    </w:p>
    <w:p w14:paraId="564851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响应文件未按磋商文件要求签署、盖章；</w:t>
      </w:r>
    </w:p>
    <w:p w14:paraId="6BB73C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委托代理人未能出具有效身份证明或者出具的身份证明与授权委托书中的信息不符；</w:t>
      </w:r>
    </w:p>
    <w:p w14:paraId="554AC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响应文件未提供任一项“供应商须知前附表” 报价商务技术文件中“必须提供”或者“委托时必须提供”的文件资料；响应文件提供的报价商务技术文件出现任一项不符合“供应商须知前附表”报价商务技术文件中 “必须提供”或者“委托时必须提供”文件资料要求 的规定或者提供的报价商务技术文件无效。</w:t>
      </w:r>
    </w:p>
    <w:p w14:paraId="1E22BC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商务条款中标“▲”的条款发生负偏离的或者允许负偏离的条款数超过“供应商须知前附表”规定项数的或者标明实质性的要求发生负偏离；</w:t>
      </w:r>
    </w:p>
    <w:p w14:paraId="613C91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未对竞标有效期作出响应或者响应文件承诺的竞标有效期不满足磋商文件要求；</w:t>
      </w:r>
    </w:p>
    <w:p w14:paraId="011CC6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响应文件的实质性内容未使用中文表述、使用计量单位不符合磋商文件要求；</w:t>
      </w:r>
    </w:p>
    <w:p w14:paraId="4BF808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7) 响应文件中的文件资料因填写不齐全或者内容虚假或者出现其他情形而导致被磋商小组认定无效；</w:t>
      </w:r>
    </w:p>
    <w:p w14:paraId="052C97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8) 响应文件含有采购人不能接受的附加条件；</w:t>
      </w:r>
    </w:p>
    <w:p w14:paraId="1E7206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9) 属于“供应商须知正文”第 7.7 条情形；</w:t>
      </w:r>
    </w:p>
    <w:p w14:paraId="12E69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10) 技术需求允许负偏离的条款数超过“供应商须知前附表”规定项数；</w:t>
      </w:r>
    </w:p>
    <w:p w14:paraId="3C9670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 虚假竞标，或者出现其他情形而导致被磋商小组认定无效；</w:t>
      </w:r>
    </w:p>
    <w:p w14:paraId="07E02C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 竞标技术方案不明确，磋商文件未允许但响应文件中存在一个或者一个以上备选 (替代) 竞标方案；</w:t>
      </w:r>
    </w:p>
    <w:p w14:paraId="338FCB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13)响应文件标注的项目名称或者项目编号与竞争性磋商文件标注的项目名称或者项目编号不一致的；</w:t>
      </w:r>
    </w:p>
    <w:p w14:paraId="762359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14) 未响应磋商文件实质性要求；</w:t>
      </w:r>
    </w:p>
    <w:p w14:paraId="750256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15) 法律、法规和磋商文件规定的其他无效情形。</w:t>
      </w:r>
    </w:p>
    <w:p w14:paraId="087111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报价评审</w:t>
      </w:r>
    </w:p>
    <w:p w14:paraId="70F0DE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响应文件未提供“供应商须知前附表” 报价商务技术文件中规定的；</w:t>
      </w:r>
    </w:p>
    <w:p w14:paraId="6383C1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未采用人民币报价或者未按照磋商文件标明的币种报价；</w:t>
      </w:r>
    </w:p>
    <w:p w14:paraId="06A3A5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供应商未就所磋商分标进行报价或者存在漏项报价；供应商未就所磋商分标的单项内容作唯一报价；供应商未就所磋商分标的全部内容作唯一总价报价；供应商响应文件中存在有选择、有条件报价的 (磋商文件允许有备选方案或者其他约定的除外) ；</w:t>
      </w:r>
    </w:p>
    <w:p w14:paraId="79EE0A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磋商报价 (包含首次报价、最后报价) 超过的采购预算金额或者最高限价的 (如本项目公布了最高限价) ；磋商报价 (包含首次报价、最后报价) 超过磋商文件分项采购预算金额或者最高限价的 (如本项目公布了最高限价) ；</w:t>
      </w:r>
    </w:p>
    <w:p w14:paraId="16D26E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修正后的报价，供应商不确认的；或者经供应商确认修正后的磋商报价(包含首次报价、最后报价)超过所磋商分标规定的采购预算金额或者最高限价(如本项目公布了最高限价)；或者经供应商确认修正后磋商报价 (包含首次报价、最后报价) 超过磋商文件分项采购预算金额或者最高限价的 (如本项目公布了最高限价) 。</w:t>
      </w:r>
    </w:p>
    <w:p w14:paraId="6C9B80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响应文件响应的标的数量及单位与竞争性磋商采购文件要求实质性不一致的。</w:t>
      </w:r>
    </w:p>
    <w:p w14:paraId="0D7C30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2.6 磋商小组对响应文件进行评审，未实质性响应磋商文件的响应文件按无效处理，磋商小组应当将资格和符合性不通过的情况告知有关供应商。磋商小组从符合磋商文件规定的相应资格条件的供应商名单中确定不少于 3 家的供应商参加磋商。</w:t>
      </w:r>
    </w:p>
    <w:p w14:paraId="6821A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2.7 通过符合性审查的合格供应商不足3家的，不得进入磋商环节，采购人或者采购代理机构应当重新开展采购活动。</w:t>
      </w:r>
    </w:p>
    <w:p w14:paraId="22A1C9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3.磋商程序</w:t>
      </w:r>
    </w:p>
    <w:p w14:paraId="34B31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3.1 磋商小组按照“供应商须知前附表”确定的顺序，集中与单一供应商分别进行磋商，并给予所有参加磋商的供应商平等的磋商机会。符合磋商资格的供应商必须实时关注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开标信息，在接到磋商通知后规定时间内参加磋商，未在规定时间内参加磋商的视同放弃参加磋商权利，其响应文件按无效响应处理。</w:t>
      </w:r>
    </w:p>
    <w:p w14:paraId="281D3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3.2 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2F500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3.3 对磋商文件作出的实质性变动是磋商文件的有效组成部分，由磋商小组及时以书面形式同时通知所有参加磋商的供应商。</w:t>
      </w:r>
    </w:p>
    <w:p w14:paraId="5D921B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3.4 供应商必须按照磋商文件的变动情况和磋商小组的要求重新提交响应文件，并由其法定代表人或者授权代表签字或者加盖 CA 签章在</w:t>
      </w:r>
      <w:r>
        <w:rPr>
          <w:rFonts w:hint="eastAsia"/>
          <w:color w:val="auto"/>
          <w:highlight w:val="none"/>
          <w:lang w:eastAsia="zh-CN"/>
        </w:rPr>
        <w:t>广西政府采购云平台</w:t>
      </w:r>
      <w:r>
        <w:rPr>
          <w:rFonts w:hint="eastAsia"/>
          <w:color w:val="auto"/>
          <w:highlight w:val="none"/>
        </w:rPr>
        <w:t>(</w:t>
      </w:r>
      <w:r>
        <w:rPr>
          <w:rFonts w:hint="eastAsia"/>
          <w:color w:val="auto"/>
          <w:highlight w:val="none"/>
          <w:lang w:eastAsia="zh-CN"/>
        </w:rPr>
        <w:t>https://www.gcy.zfcg.gxzf.gov.cn</w:t>
      </w:r>
      <w:r>
        <w:rPr>
          <w:rFonts w:hint="eastAsia"/>
          <w:color w:val="auto"/>
          <w:highlight w:val="none"/>
        </w:rPr>
        <w:t>/)提交。由委托代理人签字的，若委托代理人不是响应文件中授权的委托代理人时，必须同时出示有效 的法定代表人授权委托书原件。供应商为自然人的，必须由本人签字并附身份证明。参加磋商 的供应商未在规定时间内重新提交响应文件的，视同退出磋商。</w:t>
      </w:r>
    </w:p>
    <w:p w14:paraId="718EA0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3.5 磋商中，磋商的任何一方不得透露与磋商有关的其他供应商的技术资料、价格和其他信息。</w:t>
      </w:r>
    </w:p>
    <w:p w14:paraId="0549D5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3.6 采购代理机构对磋商过程和重要磋商内容进行记录，磋商双方在记录上签字确认。</w:t>
      </w:r>
    </w:p>
    <w:p w14:paraId="12357A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3.7 磋商过程中重新提交的响应文件，供应商可以在开启前补充、修改。</w:t>
      </w:r>
    </w:p>
    <w:p w14:paraId="4F9F0B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3.8 对磋商过程提交的响应文件进行有效性、完整性和响应程度审查，通过审查的合格供应商不足 3 家的，采购人或者采购代理机构应当重新开展采购活动。</w:t>
      </w:r>
    </w:p>
    <w:p w14:paraId="42143D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3.9 本项目所有响应文件的首次报价及所有磋商报价均不公布。最后磋商结束后，磋商小组不得再与供应商进行任何形式的商谈。</w:t>
      </w:r>
    </w:p>
    <w:p w14:paraId="220AFD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最后报价</w:t>
      </w:r>
    </w:p>
    <w:p w14:paraId="5A718E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 磋商文件能够详细列明采购标的的技术、服务要求的，磋商结束后，由磋商小组要求所有继续参加磋商的供应商在规定时间内在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提交最后报价，提交最后报价的供应商不得少于 3 家，除本章第 4.3 条外，否则必须重新采购。</w:t>
      </w:r>
    </w:p>
    <w:p w14:paraId="615406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4.2 磋商文件不能详细列明采购标的的技术、服务要求，需经磋商由供应商提供最后设计方案或者解决方案的，磋商结束后，由磋商小组按照少数服从多数的原则投票推荐 3 家以上供应商的设计方案或者解决方案，并要求其在规定时间内在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w:t>
      </w:r>
    </w:p>
    <w:p w14:paraId="440D17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①最后报价与首次报价相比无调整的：供应商提交的最后报价只须注明与首次报价相同。</w:t>
      </w:r>
    </w:p>
    <w:p w14:paraId="205B72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 如磋商文件或磋商程中明确供应商应提供技术服务及其它服务的 (如检测费、验收发生的费 用) ，相应费用也应包括在最后报价中。最后报价不允许采用汇总后优惠、打折的形式，否则其报价无效并作无效响应处理。供应商在报价时可只报总价，但必须将包含已标价工程量清单的最后报价在规定时间内在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提交，逾期则最后报价无效，以首次报价为准。</w:t>
      </w:r>
    </w:p>
    <w:p w14:paraId="4C829C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第三条第四项“市场竞争不充分的科研项目，以及需要扶持的科技成果转化项目”的，提交最后报价的供应商可以为2 家。</w:t>
      </w:r>
    </w:p>
    <w:p w14:paraId="2A955C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4.4 已经提交响应文件的供应商，在提交最后报价之前，可以根据磋商情况退出磋商，退出磋商的供应商的响应文件按无效响应处理。采购人、采购代理机构将退还退出磋商的供应商的保证金。</w:t>
      </w:r>
    </w:p>
    <w:p w14:paraId="7C3B64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4.5 供应商未在规定时间内提交最后报价的，视同退出磋商。</w:t>
      </w:r>
    </w:p>
    <w:p w14:paraId="01CDB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4.6 磋商小组收齐某一分标最后报价后统一开启，磋商小组对最后报价进行有效性、完整性和响应程度的审查。</w:t>
      </w:r>
    </w:p>
    <w:p w14:paraId="3E379B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4.7 响应文件最后报价出现前后不一致的，按照本正文第 25.2.4 条的规定修正。</w:t>
      </w:r>
    </w:p>
    <w:p w14:paraId="1A64D2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4.8 修正后的报价出现下列情形的，按无效响应处理：</w:t>
      </w:r>
    </w:p>
    <w:p w14:paraId="0BD8A7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供应商不确认的；</w:t>
      </w:r>
    </w:p>
    <w:p w14:paraId="3F2BED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经供应商确认修正后的竞标报价 (包含首次报价、最后报价) 超过所竞标规定的采购预算金额或者最高限价的 (如本项目公布了最高限价) ；</w:t>
      </w:r>
    </w:p>
    <w:p w14:paraId="1ED72A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经供应商确认修正后的竞标报价 (包含首次报价、最后报价) 超过分项采购预算金额或者最高限价的 (如本项目公布了最高限价) 。</w:t>
      </w:r>
    </w:p>
    <w:p w14:paraId="57160B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4.9 经供应商确认修正后的最后报价作为评审及签订合同的依据。</w:t>
      </w:r>
    </w:p>
    <w:p w14:paraId="7AF704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4.10 最后报价结束后，磋商小组不得再与供应商进行任何形式的商谈。</w:t>
      </w:r>
    </w:p>
    <w:p w14:paraId="5A8C7D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5.比较与评价</w:t>
      </w:r>
    </w:p>
    <w:p w14:paraId="1FE864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5.1 评审方法：综合评分法。</w:t>
      </w:r>
    </w:p>
    <w:p w14:paraId="7477B8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5.2 经磋商确定最终采购需求和提交最后报价的供应商后，由磋商小组采用综合评分法对提交最后报价的供应商的响应文件和最后报价进行综合评分。</w:t>
      </w:r>
    </w:p>
    <w:p w14:paraId="5C048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5.3 评审时，磋商小组各成员应当独立对每个有效响应的文件进行评价、打分，然后汇总每个供应商每项评分因素的得分。</w:t>
      </w:r>
    </w:p>
    <w:p w14:paraId="367F2E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磋商小组按照磋商文件中规定的评审标准计算各供应商的报价得分。项目评审过程中，不得去掉最后报价中的最高报价和最低报价。</w:t>
      </w:r>
    </w:p>
    <w:p w14:paraId="31790A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各供应商的得分为磋商小组所有成员的有效评分的算术平均数。</w:t>
      </w:r>
    </w:p>
    <w:p w14:paraId="0E5B7D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5.4 评审价为供应商的最后报价进行政策性扣除后的价格，评审价只是作为评审时使用。最终成交供应商的成交金额等于最后报价 (如有修正，以确认修正后的最后报价为准) 。</w:t>
      </w:r>
    </w:p>
    <w:p w14:paraId="3B1D8F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5.5 由磋商小组根据综合评分情况，按照评审得分由高到低顺序推荐3名以上成交候选供应商，并编写评审报告。符合本章第 4.3 条情形的，可以推荐2家成交候选供应商。评审得分相同的，按照最后报价由低到高的顺序推荐。评审得分且最后报价相同的，按照技术指标优劣顺序推荐。</w:t>
      </w:r>
    </w:p>
    <w:p w14:paraId="151EF5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44F03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highlight w:val="none"/>
          <w:lang w:eastAsia="zh-CN"/>
        </w:rPr>
      </w:pPr>
      <w:r>
        <w:rPr>
          <w:rFonts w:hint="eastAsia"/>
          <w:b/>
          <w:bCs/>
          <w:color w:val="auto"/>
          <w:highlight w:val="none"/>
        </w:rPr>
        <w:t>二、评定标准</w:t>
      </w:r>
      <w:r>
        <w:rPr>
          <w:rFonts w:hint="eastAsia"/>
          <w:b/>
          <w:bCs/>
          <w:color w:val="auto"/>
          <w:highlight w:val="none"/>
          <w:lang w:eastAsia="zh-CN"/>
        </w:rPr>
        <w:t>（</w:t>
      </w:r>
      <w:r>
        <w:rPr>
          <w:rFonts w:hint="eastAsia"/>
          <w:b/>
          <w:bCs/>
          <w:color w:val="auto"/>
          <w:highlight w:val="none"/>
        </w:rPr>
        <w:t>综合评分法</w:t>
      </w:r>
      <w:r>
        <w:rPr>
          <w:rFonts w:hint="eastAsia"/>
          <w:b/>
          <w:bCs/>
          <w:color w:val="auto"/>
          <w:highlight w:val="none"/>
          <w:lang w:eastAsia="zh-CN"/>
        </w:rPr>
        <w:t>）</w:t>
      </w:r>
    </w:p>
    <w:p w14:paraId="7859B0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对进入详评的，磋商小组将以竞争性磋商文件 、响应文件为评定依据，采用百分制综合评分法；计分办法</w:t>
      </w:r>
      <w:r>
        <w:rPr>
          <w:rFonts w:hint="eastAsia"/>
          <w:color w:val="auto"/>
          <w:highlight w:val="none"/>
          <w:lang w:eastAsia="zh-CN"/>
        </w:rPr>
        <w:t>（按四舍五入取至百分位）</w:t>
      </w:r>
      <w:r>
        <w:rPr>
          <w:rFonts w:hint="eastAsia"/>
          <w:color w:val="auto"/>
          <w:highlight w:val="none"/>
        </w:rPr>
        <w:t>。</w:t>
      </w:r>
    </w:p>
    <w:tbl>
      <w:tblPr>
        <w:tblStyle w:val="3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47"/>
        <w:gridCol w:w="6459"/>
        <w:gridCol w:w="851"/>
      </w:tblGrid>
      <w:tr w14:paraId="3E16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5335B00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3683292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D42C60A">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915F7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433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C6A0628">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1968FD75">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价格分</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F6DE7B9">
            <w:pPr>
              <w:widowControl/>
              <w:spacing w:line="360" w:lineRule="auto"/>
              <w:jc w:val="center"/>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（1）本项目执行专门面向中小企业政策，不再执行价格扣除政策。</w:t>
            </w:r>
          </w:p>
          <w:p w14:paraId="4C2ED697">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（2）以进入比较与评价环节的最低的评审价为基准价，基准价得分为</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30分 。</w:t>
            </w:r>
          </w:p>
          <w:p w14:paraId="789D5A7A">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（3）价格分计算公式：</w:t>
            </w:r>
          </w:p>
          <w:p w14:paraId="6DD8DF4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报价得分=（基准价/最后报价）×</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 xml:space="preserve">30分 </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DC9EF9">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 xml:space="preserve"> 30分</w:t>
            </w:r>
          </w:p>
        </w:tc>
      </w:tr>
      <w:tr w14:paraId="4C7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35A770BD">
            <w:pPr>
              <w:widowControl/>
              <w:spacing w:line="360" w:lineRule="auto"/>
              <w:jc w:val="center"/>
              <w:rPr>
                <w:rFonts w:hint="eastAsia" w:ascii="宋体" w:hAnsi="宋体" w:cs="Tahoma"/>
                <w:color w:val="auto"/>
                <w:kern w:val="0"/>
                <w:szCs w:val="21"/>
                <w:highlight w:val="none"/>
              </w:rPr>
            </w:pPr>
            <w:r>
              <w:rPr>
                <w:rFonts w:hint="eastAsia" w:ascii="宋体" w:hAnsi="宋体"/>
                <w:bCs/>
                <w:color w:val="auto"/>
                <w:kern w:val="0"/>
                <w:szCs w:val="21"/>
                <w:highlight w:val="none"/>
              </w:rPr>
              <w:t>2</w:t>
            </w:r>
          </w:p>
        </w:tc>
        <w:tc>
          <w:tcPr>
            <w:tcW w:w="1247" w:type="dxa"/>
            <w:noWrap w:val="0"/>
            <w:vAlign w:val="center"/>
          </w:tcPr>
          <w:p w14:paraId="587B5FD1">
            <w:pPr>
              <w:widowControl/>
              <w:spacing w:line="480" w:lineRule="exact"/>
              <w:jc w:val="center"/>
              <w:rPr>
                <w:rFonts w:hint="eastAsia" w:ascii="宋体" w:hAnsi="宋体" w:cs="Tahoma"/>
                <w:color w:val="auto"/>
                <w:kern w:val="0"/>
                <w:szCs w:val="21"/>
                <w:highlight w:val="none"/>
              </w:rPr>
            </w:pPr>
            <w:r>
              <w:rPr>
                <w:rFonts w:hint="eastAsia" w:ascii="宋体" w:hAnsi="宋体"/>
                <w:bCs/>
                <w:color w:val="auto"/>
                <w:kern w:val="0"/>
                <w:szCs w:val="21"/>
                <w:highlight w:val="none"/>
              </w:rPr>
              <w:t>技术分</w:t>
            </w:r>
          </w:p>
        </w:tc>
        <w:tc>
          <w:tcPr>
            <w:tcW w:w="7310" w:type="dxa"/>
            <w:gridSpan w:val="2"/>
            <w:noWrap w:val="0"/>
            <w:vAlign w:val="top"/>
          </w:tcPr>
          <w:p w14:paraId="5504871E">
            <w:pPr>
              <w:widowControl/>
              <w:spacing w:line="480" w:lineRule="exact"/>
              <w:jc w:val="center"/>
              <w:rPr>
                <w:rFonts w:hint="eastAsia" w:ascii="宋体" w:hAnsi="宋体"/>
                <w:bCs/>
                <w:color w:val="auto"/>
                <w:szCs w:val="21"/>
                <w:highlight w:val="none"/>
              </w:rPr>
            </w:pPr>
            <w:r>
              <w:rPr>
                <w:rFonts w:hint="eastAsia" w:ascii="宋体" w:hAnsi="宋体"/>
                <w:bCs/>
                <w:color w:val="auto"/>
                <w:szCs w:val="21"/>
                <w:highlight w:val="none"/>
              </w:rPr>
              <w:t>评审因素</w:t>
            </w:r>
          </w:p>
        </w:tc>
      </w:tr>
      <w:tr w14:paraId="20F7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79D7D9AA">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.1</w:t>
            </w:r>
          </w:p>
        </w:tc>
        <w:tc>
          <w:tcPr>
            <w:tcW w:w="1247" w:type="dxa"/>
            <w:noWrap w:val="0"/>
            <w:vAlign w:val="center"/>
          </w:tcPr>
          <w:p w14:paraId="6C29B225">
            <w:pPr>
              <w:adjustRightInd w:val="0"/>
              <w:spacing w:line="48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技术分</w:t>
            </w:r>
          </w:p>
        </w:tc>
        <w:tc>
          <w:tcPr>
            <w:tcW w:w="6459" w:type="dxa"/>
            <w:noWrap w:val="0"/>
            <w:vAlign w:val="center"/>
          </w:tcPr>
          <w:p w14:paraId="59D8D1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w:t>
            </w:r>
            <w:r>
              <w:rPr>
                <w:rFonts w:hint="eastAsia"/>
                <w:b/>
                <w:bCs/>
                <w:color w:val="auto"/>
                <w:highlight w:val="none"/>
              </w:rPr>
              <w:t>拟投入人员配备情况 (满分3分)</w:t>
            </w:r>
          </w:p>
          <w:p w14:paraId="45A8337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基本人员要求：拟派驻本项目的技术负责人应具有工程类中级及以上职称</w:t>
            </w:r>
            <w:r>
              <w:rPr>
                <w:rFonts w:hint="eastAsia" w:ascii="宋体" w:hAnsi="宋体" w:eastAsia="宋体" w:cs="宋体"/>
                <w:color w:val="auto"/>
                <w:szCs w:val="21"/>
                <w:highlight w:val="none"/>
                <w:lang w:eastAsia="zh-CN"/>
              </w:rPr>
              <w:t>证书</w:t>
            </w:r>
            <w:r>
              <w:rPr>
                <w:rFonts w:hint="eastAsia" w:ascii="宋体" w:hAnsi="宋体" w:eastAsia="宋体" w:cs="宋体"/>
                <w:color w:val="auto"/>
                <w:szCs w:val="21"/>
                <w:highlight w:val="none"/>
              </w:rPr>
              <w:t>，安全员、施工员、质检员、材料员应具有相应岗位资格证书，且拟投入的项目管理人员符合国家及广西壮族自治区的规定，否则不得分。</w:t>
            </w:r>
          </w:p>
          <w:p w14:paraId="0914609C">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分)：投入人员齐备、搭配合理科学，完全满足施工需要。</w:t>
            </w:r>
          </w:p>
          <w:p w14:paraId="5CE8E8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分)：投入人员基本齐备、搭配合理，满足施工需要。</w:t>
            </w:r>
          </w:p>
          <w:p w14:paraId="5B9045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中(1分)：投入人员基本齐备、搭配一般，基本满足施工需要。</w:t>
            </w:r>
          </w:p>
          <w:p w14:paraId="0258909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分)：投入人员不齐备、不能满足施工需要。</w:t>
            </w:r>
          </w:p>
          <w:p w14:paraId="27197E3B">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）总体概述（满分</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分）</w:t>
            </w:r>
          </w:p>
          <w:p w14:paraId="765D1EE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分）：对项目总体有深刻认识，表述清晰、完整、严谨、合理，措施先进、具体、有效、成熟，采用了己论证的新技术、新工艺、新材料、新设备；施工段划分呼应总体表述，划分清晰、合理，符合规范要求。</w:t>
            </w:r>
          </w:p>
          <w:p w14:paraId="72AAAE6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分）：对项目总体有一定认识，表述清晰、完整，措施具体有效；施工段划分呼应总体表述，划分清晰，符合规范要求。</w:t>
            </w:r>
          </w:p>
          <w:p w14:paraId="0BDDEF0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分）：对项目总体有认识，有一定的措施但部分不具体；施工段划分较合理，符合规范要求。</w:t>
            </w:r>
          </w:p>
          <w:p w14:paraId="087B7346">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分)：对项目认识不足，表述不清晰，措施不具体；施工段划分不合理</w:t>
            </w:r>
            <w:r>
              <w:rPr>
                <w:rFonts w:hint="eastAsia" w:ascii="宋体" w:hAnsi="宋体" w:cs="宋体"/>
                <w:color w:val="auto"/>
                <w:szCs w:val="21"/>
                <w:highlight w:val="none"/>
                <w:lang w:val="en-US" w:eastAsia="zh-CN"/>
              </w:rPr>
              <w:t>。</w:t>
            </w:r>
          </w:p>
          <w:p w14:paraId="7009ABD0">
            <w:pPr>
              <w:numPr>
                <w:ilvl w:val="0"/>
                <w:numId w:val="2"/>
              </w:numPr>
              <w:spacing w:line="400" w:lineRule="exact"/>
              <w:ind w:left="0" w:leftChars="0" w:firstLine="0" w:firstLineChars="0"/>
              <w:rPr>
                <w:rFonts w:hint="eastAsia" w:ascii="宋体" w:hAnsi="宋体" w:cs="宋体"/>
                <w:b/>
                <w:color w:val="auto"/>
                <w:szCs w:val="21"/>
                <w:highlight w:val="none"/>
              </w:rPr>
            </w:pPr>
            <w:r>
              <w:rPr>
                <w:rFonts w:hint="eastAsia"/>
                <w:b/>
                <w:bCs/>
                <w:color w:val="auto"/>
                <w:highlight w:val="none"/>
              </w:rPr>
              <w:t>主要施工方法</w:t>
            </w:r>
            <w:r>
              <w:rPr>
                <w:rFonts w:hint="eastAsia" w:ascii="宋体" w:hAnsi="宋体" w:cs="宋体"/>
                <w:b/>
                <w:color w:val="auto"/>
                <w:szCs w:val="21"/>
                <w:highlight w:val="none"/>
              </w:rPr>
              <w:t>（满分8分）</w:t>
            </w:r>
          </w:p>
          <w:p w14:paraId="585E651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 ：各主要分部施工方法针对性强，施工技术方案详尽周密，工艺先进、方法科学、可行，能很好的指导具体施工并确保安全。</w:t>
            </w:r>
          </w:p>
          <w:p w14:paraId="520DDD04">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分</w:t>
            </w:r>
            <w:r>
              <w:rPr>
                <w:rFonts w:hint="eastAsia" w:ascii="宋体" w:hAnsi="宋体" w:eastAsia="宋体" w:cs="宋体"/>
                <w:color w:val="auto"/>
                <w:szCs w:val="21"/>
                <w:highlight w:val="none"/>
              </w:rPr>
              <w:t>) ：各主要分部施工方法符合项目实际，施工技术方案齐全，工艺成熟、方法合理、可行，能指导具体施工并确保安全。</w:t>
            </w:r>
          </w:p>
          <w:p w14:paraId="42C632C8">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 ：各主要分部施工方法基本符合项目实际，施工技术方案基本齐全，方法基本合理、基本可行，基本能指导具体施工并确保安全。</w:t>
            </w:r>
          </w:p>
          <w:p w14:paraId="636070FE">
            <w:pPr>
              <w:spacing w:line="400" w:lineRule="exact"/>
              <w:ind w:firstLine="420" w:firstLineChars="200"/>
              <w:rPr>
                <w:rFonts w:hint="eastAsia" w:ascii="宋体" w:hAnsi="宋体" w:cs="宋体"/>
                <w:b/>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 ：各主要分部施工方法针</w:t>
            </w:r>
            <w:r>
              <w:rPr>
                <w:rFonts w:hint="eastAsia"/>
                <w:color w:val="auto"/>
                <w:highlight w:val="none"/>
              </w:rPr>
              <w:t>对性差，施工技术方案差，工艺落后、方法不合理，不能指导具体施工和确保安全。</w:t>
            </w:r>
          </w:p>
          <w:p w14:paraId="603F19A7">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）劳动力和材料投入计划及其保证措施（满分7分）</w:t>
            </w:r>
          </w:p>
          <w:p w14:paraId="20C83A6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优(7分)：投入计划与进度计划呼应，较好满足施工需要，调配投入计划合理、准确。</w:t>
            </w:r>
          </w:p>
          <w:p w14:paraId="5907D1F9">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良(5分)：投入计划与进度计划呼应，基本满足施工需要，调配投入计划基本合理、准确</w:t>
            </w:r>
            <w:r>
              <w:rPr>
                <w:rFonts w:hint="eastAsia" w:ascii="宋体" w:hAnsi="宋体" w:cs="宋体"/>
                <w:color w:val="auto"/>
                <w:szCs w:val="21"/>
                <w:highlight w:val="none"/>
                <w:lang w:val="en-US" w:eastAsia="zh-CN"/>
              </w:rPr>
              <w:t>。</w:t>
            </w:r>
          </w:p>
          <w:p w14:paraId="76F4EEB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中(3分)：投入计划与进度计划呼应，基本满足施工需要，调配投入计划基本合理。</w:t>
            </w:r>
          </w:p>
          <w:p w14:paraId="37EF2AD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差(1分)：投入计划与进度计划不呼应，调配投入计划不合理，不能满足施工需要。</w:t>
            </w:r>
          </w:p>
          <w:p w14:paraId="02A2EB2E">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）机械设备投入计划（满分</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分）</w:t>
            </w:r>
          </w:p>
          <w:p w14:paraId="218E1A9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分)：投入计划与进度计划呼应，较好满足施工需要，采用先进机械设备。</w:t>
            </w:r>
          </w:p>
          <w:p w14:paraId="36BA65F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分)：投入计划与进度计划呼应，满足施工需要。</w:t>
            </w:r>
          </w:p>
          <w:p w14:paraId="58FA92A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w:t>
            </w:r>
          </w:p>
          <w:p w14:paraId="2E806D2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差(1分)：投入计划与进度计划不呼应，不能满足施工需要。</w:t>
            </w:r>
          </w:p>
          <w:p w14:paraId="5D4FB19F">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）施工平面布置和临时设施布置（满分8分）</w:t>
            </w:r>
          </w:p>
          <w:p w14:paraId="74C8378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优(8分)：总体布置有针对性、合理，较好满足施工需要，符合安全、文明生产要求。</w:t>
            </w:r>
          </w:p>
          <w:p w14:paraId="65C5BEF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良(6分)：总体布置合理，能满足施工需要，基本符合安全、文明生产要求。</w:t>
            </w:r>
          </w:p>
          <w:p w14:paraId="66EA9C5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中(4分)：总体布置基本合理，基本满足施工需要。</w:t>
            </w:r>
          </w:p>
          <w:p w14:paraId="6667B75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差(2分)：总体布置不合理，不符合安全、文明生产要求。</w:t>
            </w:r>
          </w:p>
          <w:p w14:paraId="406896D2">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）关键施工技术、工艺及工程项目实施的重点、难点分析和解决方案（满分8分）</w:t>
            </w:r>
          </w:p>
          <w:p w14:paraId="319CEF9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优(8分)：对项目关键技术、工艺有深入的表述，对重点、难点有先进合理的施工措施并有可行的安全措施，解决方案完整、经济、安全、切实可行，措施得力。</w:t>
            </w:r>
          </w:p>
          <w:p w14:paraId="4BE30B5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良(6分)：对项目关键技术、工艺有深入的表述，对重点、难点有合理的建议，解决方案经济、安全、基本可行。</w:t>
            </w:r>
          </w:p>
          <w:p w14:paraId="58DA6F0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中(4分)：对项目关键技术有一定了解，对重点、难点有建议，解决方案基本可行。</w:t>
            </w:r>
          </w:p>
          <w:p w14:paraId="67D6D4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差(2分)：对项目关键技术有表述，对重点、难点有建议，解诀方案不可行。</w:t>
            </w:r>
          </w:p>
          <w:p w14:paraId="3A3AD5B9">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）安全文明施工措施（满分8分）</w:t>
            </w:r>
          </w:p>
          <w:p w14:paraId="2035D89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优(8分)：针对项目实际情况，有先进、具体、完整、可行的实施措施，采用规范正确、清晰。</w:t>
            </w:r>
          </w:p>
          <w:p w14:paraId="44A8B6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良(5分)：针对项目实际情况，有合理的措施且具体、完整，采用规范正确。</w:t>
            </w:r>
          </w:p>
          <w:p w14:paraId="0DB05D8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中(3分)：有基本合理的措施，采用规范正确。</w:t>
            </w:r>
          </w:p>
          <w:p w14:paraId="1A9F96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差(1分)：安全文明措施不得力，采用规范不正确。</w:t>
            </w:r>
          </w:p>
          <w:p w14:paraId="7258DA36">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）质量保证（满分8分）</w:t>
            </w:r>
          </w:p>
          <w:p w14:paraId="000907D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优(8分)：应用新技术、新工艺、新材料、新设备，针对项目实际提出先进、可行、具体的保证措施，超过招标文件的质量要求及施工验收规范要求。</w:t>
            </w:r>
          </w:p>
          <w:p w14:paraId="19D8868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良(5分)：针对项目实际提出先进、可行、具体的保证措施，满足招标文件的质量要求。</w:t>
            </w:r>
          </w:p>
          <w:p w14:paraId="3C1531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中(3分)：具体措施可行，满足招标文件的质量要求。</w:t>
            </w:r>
          </w:p>
          <w:p w14:paraId="0A17445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差(1分)：措施不可行，不能满足文件中质量要求。</w:t>
            </w:r>
          </w:p>
          <w:p w14:paraId="2B59C9F4">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10</w:t>
            </w:r>
            <w:r>
              <w:rPr>
                <w:rFonts w:hint="eastAsia" w:ascii="宋体" w:hAnsi="宋体" w:cs="宋体"/>
                <w:b/>
                <w:color w:val="auto"/>
                <w:szCs w:val="21"/>
                <w:highlight w:val="none"/>
              </w:rPr>
              <w:t>）违约责任承诺（满分</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分）</w:t>
            </w:r>
          </w:p>
          <w:p w14:paraId="3660B9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详细、完善</w:t>
            </w:r>
            <w:r>
              <w:rPr>
                <w:rFonts w:hint="eastAsia" w:ascii="宋体" w:hAnsi="宋体" w:cs="宋体"/>
                <w:color w:val="auto"/>
                <w:szCs w:val="21"/>
                <w:highlight w:val="none"/>
              </w:rPr>
              <w:t>。</w:t>
            </w:r>
          </w:p>
          <w:p w14:paraId="7F9CEC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基本完整</w:t>
            </w:r>
            <w:r>
              <w:rPr>
                <w:rFonts w:hint="eastAsia" w:ascii="宋体" w:hAnsi="宋体" w:cs="宋体"/>
                <w:color w:val="auto"/>
                <w:szCs w:val="21"/>
                <w:highlight w:val="none"/>
              </w:rPr>
              <w:t xml:space="preserve">。 </w:t>
            </w:r>
          </w:p>
          <w:p w14:paraId="2225E4E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分)：有违约责任承诺</w:t>
            </w:r>
            <w:r>
              <w:rPr>
                <w:rFonts w:hint="eastAsia" w:ascii="宋体" w:hAnsi="宋体" w:cs="宋体"/>
                <w:color w:val="auto"/>
                <w:szCs w:val="21"/>
                <w:highlight w:val="none"/>
                <w:lang w:eastAsia="zh-CN"/>
              </w:rPr>
              <w:t>，内容简单、不全面</w:t>
            </w:r>
            <w:r>
              <w:rPr>
                <w:rFonts w:hint="eastAsia" w:ascii="宋体" w:hAnsi="宋体" w:cs="宋体"/>
                <w:color w:val="auto"/>
                <w:szCs w:val="21"/>
                <w:highlight w:val="none"/>
              </w:rPr>
              <w:t>。</w:t>
            </w:r>
          </w:p>
          <w:p w14:paraId="28EF9C7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分)：无违约责任承诺。</w:t>
            </w:r>
          </w:p>
        </w:tc>
        <w:tc>
          <w:tcPr>
            <w:tcW w:w="851" w:type="dxa"/>
            <w:noWrap w:val="0"/>
            <w:vAlign w:val="center"/>
          </w:tcPr>
          <w:p w14:paraId="56CD8B8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70分</w:t>
            </w:r>
          </w:p>
        </w:tc>
      </w:tr>
      <w:tr w14:paraId="7256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9A419D4">
            <w:pPr>
              <w:pStyle w:val="13"/>
              <w:spacing w:line="360" w:lineRule="auto"/>
              <w:ind w:firstLine="420" w:firstLineChars="200"/>
              <w:rPr>
                <w:rFonts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总得分＝1＋2</w:t>
            </w:r>
          </w:p>
        </w:tc>
        <w:tc>
          <w:tcPr>
            <w:tcW w:w="851" w:type="dxa"/>
            <w:noWrap w:val="0"/>
            <w:vAlign w:val="center"/>
          </w:tcPr>
          <w:p w14:paraId="26530229">
            <w:pPr>
              <w:widowControl/>
              <w:spacing w:line="360" w:lineRule="auto"/>
              <w:jc w:val="center"/>
              <w:rPr>
                <w:rFonts w:ascii="宋体" w:hAnsi="宋体" w:cs="Tahoma"/>
                <w:color w:val="auto"/>
                <w:kern w:val="0"/>
                <w:szCs w:val="21"/>
                <w:highlight w:val="none"/>
              </w:rPr>
            </w:pPr>
          </w:p>
        </w:tc>
      </w:tr>
    </w:tbl>
    <w:p w14:paraId="73493D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p>
    <w:p w14:paraId="635E9B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三、成交候选供应商推荐原则</w:t>
      </w:r>
    </w:p>
    <w:p w14:paraId="5171CA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(一) 磋商小组将根据总得分由高到低对供应商排列次序 (得分相同时，以最终报价由低到高顺序排列；得分相同且最终报价相同的，按技术指标优劣顺序排列) ，并推荐前三名为成交候选人。采购人应当确定磋商小组推荐排名第一的成交候选人为成交供应商。</w:t>
      </w:r>
    </w:p>
    <w:p w14:paraId="4864E3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(二) 成交供应商放弃成交、因不可抗力提出不能履行合同，或者采购文件规定应当提交履约保证金而在规定的期限内未能提交的，采购人可以确定排名第二的成交候选人为成交供应商，也可以重新开展采购活动，以此类推。拒绝签订政府采购合同的成交供应商不得参加对该项目重新开展的采购活动。</w:t>
      </w:r>
    </w:p>
    <w:p w14:paraId="254D75BF">
      <w:pPr>
        <w:pStyle w:val="49"/>
        <w:rPr>
          <w:rFonts w:hint="eastAsia" w:ascii="黑体" w:hAnsi="宋体" w:eastAsia="黑体" w:cs="Times New Roman"/>
          <w:b/>
          <w:bCs/>
          <w:color w:val="auto"/>
          <w:kern w:val="0"/>
          <w:sz w:val="36"/>
          <w:szCs w:val="36"/>
          <w:highlight w:val="none"/>
        </w:rPr>
      </w:pPr>
    </w:p>
    <w:p w14:paraId="2E1603C0">
      <w:pPr>
        <w:pStyle w:val="49"/>
        <w:rPr>
          <w:rFonts w:hint="eastAsia" w:ascii="黑体" w:hAnsi="宋体" w:eastAsia="黑体" w:cs="Times New Roman"/>
          <w:b/>
          <w:bCs/>
          <w:color w:val="auto"/>
          <w:kern w:val="0"/>
          <w:sz w:val="36"/>
          <w:szCs w:val="36"/>
          <w:highlight w:val="none"/>
        </w:rPr>
      </w:pPr>
    </w:p>
    <w:p w14:paraId="4AA7B390">
      <w:pPr>
        <w:pStyle w:val="49"/>
        <w:rPr>
          <w:rFonts w:hint="eastAsia" w:ascii="黑体" w:hAnsi="宋体" w:eastAsia="黑体" w:cs="Times New Roman"/>
          <w:b/>
          <w:bCs/>
          <w:color w:val="auto"/>
          <w:kern w:val="0"/>
          <w:sz w:val="36"/>
          <w:szCs w:val="36"/>
          <w:highlight w:val="none"/>
        </w:rPr>
      </w:pPr>
    </w:p>
    <w:p w14:paraId="2CB86984">
      <w:pPr>
        <w:pStyle w:val="49"/>
        <w:rPr>
          <w:rFonts w:hint="eastAsia" w:ascii="黑体" w:hAnsi="宋体" w:eastAsia="黑体" w:cs="Times New Roman"/>
          <w:b/>
          <w:bCs/>
          <w:color w:val="auto"/>
          <w:kern w:val="0"/>
          <w:sz w:val="36"/>
          <w:szCs w:val="36"/>
          <w:highlight w:val="none"/>
        </w:rPr>
      </w:pPr>
    </w:p>
    <w:p w14:paraId="2B71DB3C">
      <w:pPr>
        <w:pStyle w:val="49"/>
        <w:rPr>
          <w:rFonts w:hint="eastAsia" w:ascii="黑体" w:hAnsi="宋体" w:eastAsia="黑体" w:cs="Times New Roman"/>
          <w:b/>
          <w:bCs/>
          <w:color w:val="auto"/>
          <w:kern w:val="0"/>
          <w:sz w:val="36"/>
          <w:szCs w:val="36"/>
          <w:highlight w:val="none"/>
        </w:rPr>
      </w:pPr>
    </w:p>
    <w:p w14:paraId="1515771F">
      <w:pPr>
        <w:pStyle w:val="13"/>
        <w:spacing w:line="400" w:lineRule="exact"/>
        <w:jc w:val="center"/>
        <w:outlineLvl w:val="9"/>
        <w:rPr>
          <w:rFonts w:hint="eastAsia" w:ascii="黑体" w:hAnsi="宋体" w:eastAsia="黑体" w:cs="Times New Roman"/>
          <w:b/>
          <w:bCs/>
          <w:color w:val="auto"/>
          <w:kern w:val="0"/>
          <w:sz w:val="36"/>
          <w:szCs w:val="36"/>
          <w:highlight w:val="none"/>
        </w:rPr>
      </w:pPr>
    </w:p>
    <w:p w14:paraId="1088C73C">
      <w:pPr>
        <w:rPr>
          <w:rFonts w:hint="eastAsia" w:ascii="黑体" w:hAnsi="宋体" w:eastAsia="黑体" w:cs="Times New Roman"/>
          <w:b/>
          <w:bCs/>
          <w:color w:val="auto"/>
          <w:kern w:val="0"/>
          <w:sz w:val="36"/>
          <w:szCs w:val="36"/>
          <w:highlight w:val="none"/>
        </w:rPr>
      </w:pPr>
      <w:bookmarkStart w:id="68" w:name="_Toc15543"/>
      <w:r>
        <w:rPr>
          <w:rFonts w:hint="eastAsia" w:ascii="黑体" w:hAnsi="宋体" w:eastAsia="黑体" w:cs="Times New Roman"/>
          <w:b/>
          <w:bCs/>
          <w:color w:val="auto"/>
          <w:kern w:val="0"/>
          <w:sz w:val="36"/>
          <w:szCs w:val="36"/>
          <w:highlight w:val="none"/>
        </w:rPr>
        <w:br w:type="page"/>
      </w:r>
    </w:p>
    <w:p w14:paraId="6D66A23D">
      <w:pPr>
        <w:pStyle w:val="13"/>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黑体" w:hAnsi="宋体" w:eastAsia="黑体" w:cs="Times New Roman"/>
          <w:b/>
          <w:bCs/>
          <w:color w:val="auto"/>
          <w:kern w:val="0"/>
          <w:sz w:val="36"/>
          <w:szCs w:val="36"/>
          <w:highlight w:val="none"/>
        </w:rPr>
      </w:pPr>
      <w:r>
        <w:rPr>
          <w:rFonts w:hint="eastAsia" w:ascii="黑体" w:hAnsi="宋体" w:eastAsia="黑体" w:cs="Times New Roman"/>
          <w:b/>
          <w:bCs/>
          <w:color w:val="auto"/>
          <w:kern w:val="0"/>
          <w:sz w:val="36"/>
          <w:szCs w:val="36"/>
          <w:highlight w:val="none"/>
        </w:rPr>
        <w:t>第</w:t>
      </w:r>
      <w:r>
        <w:rPr>
          <w:rFonts w:hint="eastAsia" w:ascii="黑体" w:hAnsi="宋体" w:eastAsia="黑体" w:cs="Times New Roman"/>
          <w:b/>
          <w:bCs/>
          <w:color w:val="auto"/>
          <w:kern w:val="0"/>
          <w:sz w:val="36"/>
          <w:szCs w:val="36"/>
          <w:highlight w:val="none"/>
          <w:lang w:val="en-US" w:eastAsia="zh-CN"/>
        </w:rPr>
        <w:t>五</w:t>
      </w:r>
      <w:r>
        <w:rPr>
          <w:rFonts w:hint="eastAsia" w:ascii="黑体" w:hAnsi="宋体" w:eastAsia="黑体" w:cs="Times New Roman"/>
          <w:b/>
          <w:bCs/>
          <w:color w:val="auto"/>
          <w:kern w:val="0"/>
          <w:sz w:val="36"/>
          <w:szCs w:val="36"/>
          <w:highlight w:val="none"/>
        </w:rPr>
        <w:t>章  响应文件（格式）</w:t>
      </w:r>
      <w:bookmarkEnd w:id="68"/>
    </w:p>
    <w:p w14:paraId="38467F13">
      <w:pPr>
        <w:autoSpaceDE w:val="0"/>
        <w:autoSpaceDN w:val="0"/>
        <w:adjustRightInd w:val="0"/>
        <w:spacing w:line="360" w:lineRule="auto"/>
        <w:rPr>
          <w:rFonts w:ascii="宋体" w:cs="宋体"/>
          <w:color w:val="auto"/>
          <w:szCs w:val="21"/>
          <w:highlight w:val="none"/>
          <w:lang w:val="zh-CN"/>
        </w:rPr>
      </w:pPr>
    </w:p>
    <w:p w14:paraId="25E2C035">
      <w:pPr>
        <w:rPr>
          <w:rFonts w:hint="eastAsia"/>
          <w:b/>
          <w:color w:val="auto"/>
          <w:sz w:val="32"/>
          <w:szCs w:val="32"/>
          <w:highlight w:val="none"/>
        </w:rPr>
      </w:pPr>
      <w:bookmarkStart w:id="69" w:name="_Toc35611516"/>
      <w:bookmarkStart w:id="70" w:name="_Toc71366186"/>
      <w:bookmarkStart w:id="71" w:name="_Toc35611438"/>
      <w:bookmarkStart w:id="72" w:name="_Toc44229899"/>
      <w:bookmarkStart w:id="73" w:name="_Toc31728084"/>
      <w:bookmarkStart w:id="74" w:name="_Toc31723070"/>
      <w:r>
        <w:rPr>
          <w:rFonts w:hint="eastAsia"/>
          <w:b/>
          <w:color w:val="auto"/>
          <w:sz w:val="32"/>
          <w:szCs w:val="32"/>
          <w:highlight w:val="none"/>
        </w:rPr>
        <w:t>一、资格证明文件格式</w:t>
      </w:r>
      <w:bookmarkEnd w:id="69"/>
      <w:bookmarkEnd w:id="70"/>
      <w:bookmarkEnd w:id="71"/>
      <w:bookmarkEnd w:id="72"/>
      <w:bookmarkEnd w:id="73"/>
      <w:bookmarkEnd w:id="74"/>
    </w:p>
    <w:p w14:paraId="336F37BB">
      <w:pPr>
        <w:snapToGrid w:val="0"/>
        <w:spacing w:before="156"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1B194CA9">
      <w:pPr>
        <w:snapToGrid w:val="0"/>
        <w:spacing w:before="156" w:beforeLines="50" w:after="50"/>
        <w:jc w:val="center"/>
        <w:rPr>
          <w:rFonts w:ascii="宋体" w:hAnsi="宋体"/>
          <w:color w:val="auto"/>
          <w:sz w:val="44"/>
          <w:szCs w:val="44"/>
          <w:highlight w:val="none"/>
        </w:rPr>
      </w:pPr>
    </w:p>
    <w:p w14:paraId="289A40DF">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29C49C48">
      <w:pPr>
        <w:snapToGrid w:val="0"/>
        <w:spacing w:before="156" w:beforeLines="50" w:after="50"/>
        <w:rPr>
          <w:rFonts w:hint="eastAsia" w:ascii="宋体" w:hAnsi="宋体"/>
          <w:color w:val="auto"/>
          <w:sz w:val="24"/>
          <w:szCs w:val="20"/>
          <w:highlight w:val="none"/>
        </w:rPr>
      </w:pPr>
    </w:p>
    <w:p w14:paraId="61EE87C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7C0BCE9C">
      <w:pPr>
        <w:snapToGrid w:val="0"/>
        <w:spacing w:before="156" w:beforeLines="50" w:after="50"/>
        <w:rPr>
          <w:rFonts w:hint="eastAsia" w:ascii="宋体" w:hAnsi="宋体"/>
          <w:bCs/>
          <w:color w:val="auto"/>
          <w:sz w:val="24"/>
          <w:szCs w:val="20"/>
          <w:highlight w:val="none"/>
        </w:rPr>
      </w:pPr>
    </w:p>
    <w:p w14:paraId="2C946104">
      <w:pPr>
        <w:snapToGrid w:val="0"/>
        <w:spacing w:before="156" w:beforeLines="50" w:after="50"/>
        <w:rPr>
          <w:rFonts w:hint="eastAsia" w:ascii="宋体" w:hAnsi="宋体"/>
          <w:bCs/>
          <w:color w:val="auto"/>
          <w:sz w:val="24"/>
          <w:szCs w:val="20"/>
          <w:highlight w:val="none"/>
        </w:rPr>
      </w:pPr>
    </w:p>
    <w:p w14:paraId="214D6B89">
      <w:pPr>
        <w:snapToGrid w:val="0"/>
        <w:spacing w:before="156" w:beforeLines="50" w:after="50"/>
        <w:rPr>
          <w:rFonts w:hint="eastAsia" w:ascii="宋体" w:hAnsi="宋体"/>
          <w:bCs/>
          <w:color w:val="auto"/>
          <w:sz w:val="24"/>
          <w:szCs w:val="20"/>
          <w:highlight w:val="none"/>
        </w:rPr>
      </w:pPr>
    </w:p>
    <w:p w14:paraId="13B4D47F">
      <w:pPr>
        <w:snapToGrid w:val="0"/>
        <w:spacing w:before="156" w:beforeLines="50" w:after="50"/>
        <w:rPr>
          <w:rFonts w:hint="eastAsia" w:ascii="宋体" w:hAnsi="宋体"/>
          <w:bCs/>
          <w:color w:val="auto"/>
          <w:sz w:val="24"/>
          <w:szCs w:val="20"/>
          <w:highlight w:val="none"/>
        </w:rPr>
      </w:pPr>
    </w:p>
    <w:p w14:paraId="5DC6FF0E">
      <w:pPr>
        <w:snapToGrid w:val="0"/>
        <w:spacing w:before="156" w:beforeLines="50" w:after="50"/>
        <w:rPr>
          <w:rFonts w:hint="eastAsia" w:ascii="宋体" w:hAnsi="宋体"/>
          <w:bCs/>
          <w:color w:val="auto"/>
          <w:sz w:val="24"/>
          <w:szCs w:val="20"/>
          <w:highlight w:val="none"/>
        </w:rPr>
      </w:pPr>
    </w:p>
    <w:p w14:paraId="1A61DFB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7973365">
      <w:pPr>
        <w:snapToGrid w:val="0"/>
        <w:spacing w:before="156" w:beforeLines="50" w:after="50"/>
        <w:ind w:firstLine="720" w:firstLineChars="225"/>
        <w:rPr>
          <w:rFonts w:hint="eastAsia" w:ascii="宋体" w:hAnsi="宋体" w:cs="仿宋_GB2312"/>
          <w:bCs/>
          <w:color w:val="auto"/>
          <w:sz w:val="32"/>
          <w:szCs w:val="32"/>
          <w:highlight w:val="none"/>
        </w:rPr>
      </w:pPr>
    </w:p>
    <w:p w14:paraId="5302C0E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54D9E1">
      <w:pPr>
        <w:snapToGrid w:val="0"/>
        <w:spacing w:before="156" w:beforeLines="50" w:after="50"/>
        <w:ind w:firstLine="720" w:firstLineChars="225"/>
        <w:rPr>
          <w:rFonts w:hint="eastAsia" w:ascii="宋体" w:hAnsi="宋体" w:cs="仿宋_GB2312"/>
          <w:bCs/>
          <w:color w:val="auto"/>
          <w:sz w:val="32"/>
          <w:szCs w:val="32"/>
          <w:highlight w:val="none"/>
        </w:rPr>
      </w:pPr>
    </w:p>
    <w:p w14:paraId="646F6430">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820519C">
      <w:pPr>
        <w:pStyle w:val="8"/>
        <w:snapToGrid w:val="0"/>
        <w:spacing w:before="50" w:after="50"/>
        <w:rPr>
          <w:rFonts w:hint="eastAsia" w:ascii="宋体" w:hAnsi="宋体" w:cs="仿宋_GB2312"/>
          <w:bCs/>
          <w:color w:val="auto"/>
          <w:sz w:val="32"/>
          <w:szCs w:val="32"/>
          <w:highlight w:val="none"/>
        </w:rPr>
      </w:pPr>
    </w:p>
    <w:p w14:paraId="67995E09">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2A30D3E">
      <w:pPr>
        <w:snapToGrid w:val="0"/>
        <w:spacing w:before="156" w:beforeLines="50" w:after="50"/>
        <w:ind w:firstLine="640" w:firstLineChars="200"/>
        <w:rPr>
          <w:rFonts w:hint="eastAsia" w:ascii="宋体" w:hAnsi="宋体" w:cs="仿宋_GB2312"/>
          <w:bCs/>
          <w:color w:val="auto"/>
          <w:sz w:val="32"/>
          <w:szCs w:val="32"/>
          <w:highlight w:val="none"/>
        </w:rPr>
      </w:pPr>
    </w:p>
    <w:p w14:paraId="436F6E7E">
      <w:pPr>
        <w:pStyle w:val="8"/>
        <w:snapToGrid w:val="0"/>
        <w:spacing w:before="50" w:after="50"/>
        <w:ind w:firstLine="720" w:firstLineChars="225"/>
        <w:rPr>
          <w:rFonts w:hint="eastAsia" w:ascii="宋体" w:hAnsi="宋体" w:cs="仿宋_GB2312"/>
          <w:bCs/>
          <w:color w:val="auto"/>
          <w:sz w:val="32"/>
          <w:szCs w:val="32"/>
          <w:highlight w:val="none"/>
        </w:rPr>
      </w:pPr>
    </w:p>
    <w:p w14:paraId="4C4F85BC">
      <w:pPr>
        <w:pStyle w:val="8"/>
        <w:snapToGrid w:val="0"/>
        <w:spacing w:before="50" w:after="50"/>
        <w:ind w:firstLine="1280" w:firstLineChars="400"/>
        <w:rPr>
          <w:rFonts w:hint="eastAsia" w:ascii="宋体" w:hAnsi="宋体" w:cs="仿宋_GB2312"/>
          <w:bCs/>
          <w:color w:val="auto"/>
          <w:sz w:val="32"/>
          <w:szCs w:val="32"/>
          <w:highlight w:val="none"/>
        </w:rPr>
      </w:pPr>
    </w:p>
    <w:p w14:paraId="3360E55B">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D85CDAC">
      <w:pPr>
        <w:snapToGrid w:val="0"/>
        <w:spacing w:before="156"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6DB1A41C">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bookmarkStart w:id="563" w:name="_GoBack"/>
      <w:bookmarkEnd w:id="563"/>
    </w:p>
    <w:p w14:paraId="0C9771CC">
      <w:pPr>
        <w:snapToGrid w:val="0"/>
        <w:spacing w:before="156"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058F62CC">
      <w:pPr>
        <w:spacing w:line="300" w:lineRule="auto"/>
        <w:rPr>
          <w:rFonts w:hint="eastAsia" w:ascii="宋体" w:hAnsi="宋体"/>
          <w:color w:val="auto"/>
          <w:szCs w:val="21"/>
          <w:highlight w:val="none"/>
        </w:rPr>
      </w:pPr>
    </w:p>
    <w:p w14:paraId="266306C8">
      <w:pPr>
        <w:spacing w:line="300" w:lineRule="auto"/>
        <w:rPr>
          <w:rFonts w:hint="eastAsia" w:ascii="宋体" w:hAnsi="宋体"/>
          <w:color w:val="auto"/>
          <w:szCs w:val="21"/>
          <w:highlight w:val="none"/>
        </w:rPr>
      </w:pPr>
    </w:p>
    <w:p w14:paraId="51B4178F">
      <w:pPr>
        <w:spacing w:line="300" w:lineRule="auto"/>
        <w:rPr>
          <w:rFonts w:hint="eastAsia" w:ascii="宋体" w:hAnsi="宋体"/>
          <w:color w:val="auto"/>
          <w:szCs w:val="21"/>
          <w:highlight w:val="none"/>
        </w:rPr>
      </w:pPr>
    </w:p>
    <w:p w14:paraId="6566B894">
      <w:pPr>
        <w:spacing w:line="300" w:lineRule="auto"/>
        <w:rPr>
          <w:rFonts w:hint="eastAsia" w:ascii="宋体" w:hAnsi="宋体"/>
          <w:color w:val="auto"/>
          <w:szCs w:val="21"/>
          <w:highlight w:val="none"/>
        </w:rPr>
      </w:pPr>
    </w:p>
    <w:p w14:paraId="543BF478">
      <w:pPr>
        <w:spacing w:line="300" w:lineRule="auto"/>
        <w:rPr>
          <w:rFonts w:hint="eastAsia" w:ascii="宋体" w:hAnsi="宋体"/>
          <w:color w:val="auto"/>
          <w:szCs w:val="21"/>
          <w:highlight w:val="none"/>
        </w:rPr>
      </w:pPr>
    </w:p>
    <w:p w14:paraId="442B53F4">
      <w:pPr>
        <w:spacing w:line="300" w:lineRule="auto"/>
        <w:rPr>
          <w:rFonts w:hint="eastAsia" w:ascii="宋体" w:hAnsi="宋体"/>
          <w:color w:val="auto"/>
          <w:szCs w:val="21"/>
          <w:highlight w:val="none"/>
        </w:rPr>
      </w:pPr>
    </w:p>
    <w:p w14:paraId="7DF7C3CC">
      <w:pPr>
        <w:spacing w:line="300" w:lineRule="auto"/>
        <w:rPr>
          <w:rFonts w:hint="eastAsia" w:ascii="宋体" w:hAnsi="宋体"/>
          <w:color w:val="auto"/>
          <w:szCs w:val="21"/>
          <w:highlight w:val="none"/>
        </w:rPr>
      </w:pPr>
    </w:p>
    <w:p w14:paraId="648A0167">
      <w:pPr>
        <w:spacing w:line="300" w:lineRule="auto"/>
        <w:rPr>
          <w:rFonts w:hint="eastAsia" w:ascii="宋体" w:hAnsi="宋体"/>
          <w:color w:val="auto"/>
          <w:szCs w:val="21"/>
          <w:highlight w:val="none"/>
        </w:rPr>
      </w:pPr>
    </w:p>
    <w:p w14:paraId="4B93804F">
      <w:pPr>
        <w:spacing w:line="300" w:lineRule="auto"/>
        <w:rPr>
          <w:rFonts w:hint="eastAsia" w:ascii="宋体" w:hAnsi="宋体"/>
          <w:color w:val="auto"/>
          <w:szCs w:val="21"/>
          <w:highlight w:val="none"/>
        </w:rPr>
      </w:pPr>
    </w:p>
    <w:p w14:paraId="721120A7">
      <w:pPr>
        <w:spacing w:line="300" w:lineRule="auto"/>
        <w:rPr>
          <w:rFonts w:hint="eastAsia" w:ascii="宋体" w:hAnsi="宋体"/>
          <w:color w:val="auto"/>
          <w:szCs w:val="21"/>
          <w:highlight w:val="none"/>
        </w:rPr>
      </w:pPr>
    </w:p>
    <w:p w14:paraId="62932D9D">
      <w:pPr>
        <w:spacing w:line="300" w:lineRule="auto"/>
        <w:rPr>
          <w:rFonts w:hint="eastAsia" w:ascii="宋体" w:hAnsi="宋体"/>
          <w:color w:val="auto"/>
          <w:szCs w:val="21"/>
          <w:highlight w:val="none"/>
        </w:rPr>
      </w:pPr>
    </w:p>
    <w:p w14:paraId="7E1AEAE8">
      <w:pPr>
        <w:spacing w:line="300" w:lineRule="auto"/>
        <w:rPr>
          <w:rFonts w:hint="eastAsia" w:ascii="宋体" w:hAnsi="宋体"/>
          <w:color w:val="auto"/>
          <w:szCs w:val="21"/>
          <w:highlight w:val="none"/>
        </w:rPr>
      </w:pPr>
    </w:p>
    <w:p w14:paraId="2FC3A428">
      <w:pPr>
        <w:spacing w:line="300" w:lineRule="auto"/>
        <w:rPr>
          <w:rFonts w:hint="eastAsia" w:ascii="宋体" w:hAnsi="宋体"/>
          <w:color w:val="auto"/>
          <w:szCs w:val="21"/>
          <w:highlight w:val="none"/>
        </w:rPr>
      </w:pPr>
    </w:p>
    <w:p w14:paraId="3EA255BA">
      <w:pPr>
        <w:spacing w:line="300" w:lineRule="auto"/>
        <w:rPr>
          <w:rFonts w:hint="eastAsia" w:ascii="宋体" w:hAnsi="宋体"/>
          <w:color w:val="auto"/>
          <w:szCs w:val="21"/>
          <w:highlight w:val="none"/>
        </w:rPr>
      </w:pPr>
    </w:p>
    <w:p w14:paraId="1D02BDEC">
      <w:pPr>
        <w:spacing w:line="300" w:lineRule="auto"/>
        <w:rPr>
          <w:rFonts w:hint="eastAsia" w:ascii="宋体" w:hAnsi="宋体"/>
          <w:color w:val="auto"/>
          <w:szCs w:val="21"/>
          <w:highlight w:val="none"/>
        </w:rPr>
      </w:pPr>
    </w:p>
    <w:p w14:paraId="380A6599">
      <w:pPr>
        <w:spacing w:line="360" w:lineRule="auto"/>
        <w:jc w:val="center"/>
        <w:rPr>
          <w:rFonts w:hint="eastAsia" w:ascii="宋体" w:hAnsi="宋体"/>
          <w:b/>
          <w:color w:val="auto"/>
          <w:sz w:val="32"/>
          <w:szCs w:val="32"/>
          <w:highlight w:val="none"/>
        </w:rPr>
      </w:pPr>
      <w:r>
        <w:rPr>
          <w:rFonts w:ascii="宋体" w:hAnsi="宋体"/>
          <w:color w:val="auto"/>
          <w:szCs w:val="21"/>
          <w:highlight w:val="none"/>
        </w:rPr>
        <w:br w:type="page"/>
      </w:r>
      <w:r>
        <w:rPr>
          <w:rFonts w:hint="eastAsia" w:ascii="宋体" w:hAnsi="宋体"/>
          <w:b/>
          <w:color w:val="auto"/>
          <w:sz w:val="32"/>
          <w:szCs w:val="32"/>
          <w:highlight w:val="none"/>
        </w:rPr>
        <w:t>竞标声明</w:t>
      </w:r>
      <w:r>
        <w:rPr>
          <w:rFonts w:hint="eastAsia" w:ascii="宋体" w:hAnsi="宋体"/>
          <w:b/>
          <w:color w:val="auto"/>
          <w:sz w:val="32"/>
          <w:szCs w:val="32"/>
          <w:highlight w:val="none"/>
          <w:lang w:eastAsia="zh-CN"/>
        </w:rPr>
        <w:t>（格式）</w:t>
      </w:r>
    </w:p>
    <w:p w14:paraId="6541CE55">
      <w:pPr>
        <w:spacing w:line="320" w:lineRule="exact"/>
        <w:jc w:val="center"/>
        <w:rPr>
          <w:rFonts w:hint="eastAsia" w:ascii="宋体" w:hAnsi="宋体"/>
          <w:color w:val="auto"/>
          <w:sz w:val="24"/>
          <w:szCs w:val="20"/>
          <w:highlight w:val="none"/>
        </w:rPr>
      </w:pPr>
    </w:p>
    <w:p w14:paraId="4C298C02">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31841E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31060D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5AF4179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CF72E3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F47F3A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253A3BA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7721CF2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7EC07EF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203604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622D72F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06F0651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119B214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408117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6A25A8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51FE28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E5276A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7DE5EE6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412CFC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226B11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B976E8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0E32431">
      <w:pPr>
        <w:pStyle w:val="13"/>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947D694">
      <w:pPr>
        <w:pStyle w:val="13"/>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4AE8B7D">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58C50A54">
      <w:pPr>
        <w:pStyle w:val="12"/>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9105D3E">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682ECAF0">
      <w:pPr>
        <w:spacing w:line="360" w:lineRule="auto"/>
        <w:ind w:firstLine="482" w:firstLineChars="200"/>
        <w:contextualSpacing/>
        <w:jc w:val="left"/>
        <w:rPr>
          <w:rFonts w:hint="eastAsia"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55BE8AE3">
      <w:pPr>
        <w:spacing w:line="360" w:lineRule="auto"/>
        <w:contextualSpacing/>
        <w:jc w:val="left"/>
        <w:rPr>
          <w:rFonts w:hint="eastAsia" w:ascii="宋体" w:hAnsi="宋体" w:cs="宋体"/>
          <w:color w:val="auto"/>
          <w:szCs w:val="21"/>
          <w:highlight w:val="none"/>
        </w:rPr>
      </w:pPr>
    </w:p>
    <w:p w14:paraId="5067BCBB">
      <w:pPr>
        <w:spacing w:line="360" w:lineRule="auto"/>
        <w:ind w:firstLine="1800" w:firstLineChars="750"/>
        <w:contextualSpacing/>
        <w:rPr>
          <w:rFonts w:hint="eastAsia"/>
          <w:color w:val="auto"/>
          <w:sz w:val="24"/>
          <w:szCs w:val="24"/>
          <w:highlight w:val="none"/>
        </w:rPr>
      </w:pPr>
      <w:r>
        <w:rPr>
          <w:rFonts w:hint="eastAsia" w:ascii="宋体" w:hAnsi="宋体" w:eastAsia="宋体" w:cs="Times New Roman"/>
          <w:color w:val="auto"/>
          <w:sz w:val="24"/>
          <w:szCs w:val="24"/>
          <w:highlight w:val="none"/>
        </w:rPr>
        <w:t>法定代表人（签字或者盖章</w:t>
      </w:r>
      <w:r>
        <w:rPr>
          <w:rFonts w:hint="eastAsia" w:ascii="宋体" w:hAnsi="宋体"/>
          <w:color w:val="auto"/>
          <w:sz w:val="24"/>
          <w:szCs w:val="24"/>
          <w:highlight w:val="none"/>
        </w:rPr>
        <w:t>或者电子签名</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 xml:space="preserve">                                     </w:t>
      </w:r>
    </w:p>
    <w:p w14:paraId="56535888">
      <w:pPr>
        <w:spacing w:line="360" w:lineRule="auto"/>
        <w:ind w:firstLine="4320" w:firstLineChars="1800"/>
        <w:contextualSpacing/>
        <w:rPr>
          <w:rFonts w:hint="eastAsia" w:ascii="宋体" w:hAnsi="宋体" w:cs="宋体"/>
          <w:color w:val="auto"/>
          <w:sz w:val="24"/>
          <w:szCs w:val="24"/>
          <w:highlight w:val="none"/>
          <w:u w:val="single"/>
        </w:rPr>
      </w:pPr>
      <w:r>
        <w:rPr>
          <w:rFonts w:hint="eastAsia" w:ascii="宋体" w:hAnsi="宋体" w:eastAsia="宋体" w:cs="Times New Roman"/>
          <w:color w:val="auto"/>
          <w:sz w:val="24"/>
          <w:szCs w:val="24"/>
          <w:highlight w:val="none"/>
        </w:rPr>
        <w:t>供应商（电子签章）</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ascii="宋体" w:hAnsi="宋体" w:cs="宋体"/>
          <w:color w:val="auto"/>
          <w:sz w:val="24"/>
          <w:szCs w:val="24"/>
          <w:highlight w:val="none"/>
        </w:rPr>
        <w:t xml:space="preserve">    </w:t>
      </w:r>
    </w:p>
    <w:p w14:paraId="3517C71D">
      <w:pPr>
        <w:pStyle w:val="12"/>
        <w:tabs>
          <w:tab w:val="left" w:pos="939"/>
        </w:tabs>
        <w:spacing w:line="360" w:lineRule="auto"/>
        <w:ind w:left="0" w:leftChars="0" w:firstLine="480" w:firstLineChars="200"/>
        <w:rPr>
          <w:rFonts w:hint="eastAsia"/>
          <w:color w:val="auto"/>
          <w:sz w:val="24"/>
          <w:szCs w:val="24"/>
          <w:highlight w:val="none"/>
        </w:rPr>
      </w:pPr>
      <w:r>
        <w:rPr>
          <w:rFonts w:hint="eastAsia" w:ascii="宋体" w:hAnsi="宋体" w:cs="宋体"/>
          <w:color w:val="auto"/>
          <w:sz w:val="24"/>
          <w:szCs w:val="24"/>
          <w:highlight w:val="none"/>
        </w:rPr>
        <w:t xml:space="preserve">                                                        </w:t>
      </w:r>
      <w:r>
        <w:rPr>
          <w:rFonts w:hint="eastAsia"/>
          <w:color w:val="auto"/>
          <w:sz w:val="24"/>
          <w:szCs w:val="24"/>
          <w:highlight w:val="none"/>
        </w:rPr>
        <w:t xml:space="preserve"> 年    月    日</w:t>
      </w:r>
    </w:p>
    <w:p w14:paraId="2C6B06D4">
      <w:pPr>
        <w:spacing w:line="320" w:lineRule="exact"/>
        <w:jc w:val="left"/>
        <w:rPr>
          <w:rFonts w:hint="eastAsia" w:ascii="宋体" w:hAnsi="宋体"/>
          <w:color w:val="auto"/>
          <w:szCs w:val="21"/>
          <w:highlight w:val="none"/>
        </w:rPr>
      </w:pPr>
    </w:p>
    <w:p w14:paraId="20DBD6D1">
      <w:pPr>
        <w:spacing w:line="320" w:lineRule="exact"/>
        <w:jc w:val="center"/>
        <w:rPr>
          <w:rFonts w:hint="eastAsia" w:ascii="宋体" w:hAnsi="宋体"/>
          <w:b/>
          <w:color w:val="auto"/>
          <w:sz w:val="32"/>
          <w:szCs w:val="32"/>
          <w:highlight w:val="none"/>
        </w:rPr>
      </w:pPr>
    </w:p>
    <w:p w14:paraId="5AD2FC65">
      <w:pPr>
        <w:spacing w:line="320" w:lineRule="exact"/>
        <w:jc w:val="center"/>
        <w:rPr>
          <w:rFonts w:hint="eastAsia" w:ascii="宋体" w:hAnsi="宋体"/>
          <w:b/>
          <w:color w:val="auto"/>
          <w:sz w:val="32"/>
          <w:szCs w:val="32"/>
          <w:highlight w:val="none"/>
        </w:rPr>
      </w:pPr>
    </w:p>
    <w:p w14:paraId="508B6A50">
      <w:pPr>
        <w:spacing w:line="320" w:lineRule="exact"/>
        <w:jc w:val="center"/>
        <w:rPr>
          <w:rFonts w:hint="eastAsia" w:ascii="宋体" w:hAnsi="宋体"/>
          <w:b/>
          <w:color w:val="auto"/>
          <w:sz w:val="32"/>
          <w:szCs w:val="32"/>
          <w:highlight w:val="none"/>
        </w:rPr>
      </w:pPr>
    </w:p>
    <w:p w14:paraId="551D167A">
      <w:pPr>
        <w:spacing w:line="320" w:lineRule="exact"/>
        <w:jc w:val="center"/>
        <w:rPr>
          <w:rFonts w:hint="eastAsia" w:ascii="宋体" w:hAnsi="宋体"/>
          <w:b/>
          <w:color w:val="auto"/>
          <w:sz w:val="32"/>
          <w:szCs w:val="32"/>
          <w:highlight w:val="none"/>
        </w:rPr>
      </w:pPr>
    </w:p>
    <w:p w14:paraId="5F01839C">
      <w:pPr>
        <w:spacing w:line="320" w:lineRule="exact"/>
        <w:jc w:val="center"/>
        <w:rPr>
          <w:rFonts w:hint="eastAsia" w:ascii="宋体" w:hAnsi="宋体"/>
          <w:b/>
          <w:color w:val="auto"/>
          <w:sz w:val="32"/>
          <w:szCs w:val="32"/>
          <w:highlight w:val="none"/>
        </w:rPr>
      </w:pPr>
    </w:p>
    <w:p w14:paraId="79551BE0">
      <w:pPr>
        <w:spacing w:line="320" w:lineRule="exact"/>
        <w:jc w:val="center"/>
        <w:rPr>
          <w:rFonts w:hint="eastAsia" w:ascii="宋体" w:hAnsi="宋体"/>
          <w:b/>
          <w:color w:val="auto"/>
          <w:sz w:val="32"/>
          <w:szCs w:val="32"/>
          <w:highlight w:val="none"/>
        </w:rPr>
      </w:pPr>
    </w:p>
    <w:p w14:paraId="6804311B">
      <w:pPr>
        <w:spacing w:line="320" w:lineRule="exact"/>
        <w:jc w:val="center"/>
        <w:rPr>
          <w:rFonts w:hint="eastAsia" w:ascii="宋体" w:hAnsi="宋体"/>
          <w:b/>
          <w:color w:val="auto"/>
          <w:sz w:val="32"/>
          <w:szCs w:val="32"/>
          <w:highlight w:val="none"/>
        </w:rPr>
      </w:pPr>
    </w:p>
    <w:p w14:paraId="64B9226F">
      <w:pPr>
        <w:spacing w:line="320" w:lineRule="exact"/>
        <w:jc w:val="center"/>
        <w:rPr>
          <w:rFonts w:hint="eastAsia" w:ascii="宋体" w:hAnsi="宋体"/>
          <w:b/>
          <w:color w:val="auto"/>
          <w:sz w:val="32"/>
          <w:szCs w:val="32"/>
          <w:highlight w:val="none"/>
        </w:rPr>
      </w:pPr>
    </w:p>
    <w:p w14:paraId="1B0D2C32">
      <w:pPr>
        <w:spacing w:line="320" w:lineRule="exact"/>
        <w:jc w:val="center"/>
        <w:rPr>
          <w:rFonts w:hint="eastAsia" w:ascii="宋体" w:hAnsi="宋体"/>
          <w:b/>
          <w:color w:val="auto"/>
          <w:sz w:val="32"/>
          <w:szCs w:val="32"/>
          <w:highlight w:val="none"/>
        </w:rPr>
      </w:pPr>
    </w:p>
    <w:p w14:paraId="4F2D2A0A">
      <w:pPr>
        <w:spacing w:line="320" w:lineRule="exact"/>
        <w:jc w:val="center"/>
        <w:rPr>
          <w:rFonts w:hint="eastAsia" w:ascii="宋体" w:hAnsi="宋体"/>
          <w:b/>
          <w:color w:val="auto"/>
          <w:sz w:val="32"/>
          <w:szCs w:val="32"/>
          <w:highlight w:val="none"/>
        </w:rPr>
      </w:pPr>
    </w:p>
    <w:p w14:paraId="3B854333">
      <w:pPr>
        <w:spacing w:line="320" w:lineRule="exact"/>
        <w:jc w:val="center"/>
        <w:rPr>
          <w:rFonts w:hint="eastAsia" w:ascii="宋体" w:hAnsi="宋体"/>
          <w:b/>
          <w:color w:val="auto"/>
          <w:sz w:val="32"/>
          <w:szCs w:val="32"/>
          <w:highlight w:val="none"/>
        </w:rPr>
      </w:pPr>
    </w:p>
    <w:p w14:paraId="4BC6A9F7">
      <w:pPr>
        <w:spacing w:line="320" w:lineRule="exact"/>
        <w:jc w:val="center"/>
        <w:rPr>
          <w:rFonts w:hint="eastAsia" w:ascii="宋体" w:hAnsi="宋体"/>
          <w:b/>
          <w:color w:val="auto"/>
          <w:sz w:val="32"/>
          <w:szCs w:val="32"/>
          <w:highlight w:val="none"/>
        </w:rPr>
      </w:pPr>
    </w:p>
    <w:p w14:paraId="3974E744">
      <w:pPr>
        <w:spacing w:line="320" w:lineRule="exact"/>
        <w:jc w:val="center"/>
        <w:rPr>
          <w:rFonts w:hint="eastAsia" w:ascii="宋体" w:hAnsi="宋体"/>
          <w:b/>
          <w:color w:val="auto"/>
          <w:sz w:val="32"/>
          <w:szCs w:val="32"/>
          <w:highlight w:val="none"/>
        </w:rPr>
      </w:pPr>
    </w:p>
    <w:p w14:paraId="4391EB6F">
      <w:pPr>
        <w:spacing w:line="320" w:lineRule="exact"/>
        <w:jc w:val="center"/>
        <w:rPr>
          <w:rFonts w:hint="eastAsia" w:ascii="宋体" w:hAnsi="宋体"/>
          <w:b/>
          <w:color w:val="auto"/>
          <w:sz w:val="32"/>
          <w:szCs w:val="32"/>
          <w:highlight w:val="none"/>
        </w:rPr>
      </w:pPr>
    </w:p>
    <w:p w14:paraId="6A6BB8A6">
      <w:pPr>
        <w:spacing w:line="320" w:lineRule="exact"/>
        <w:jc w:val="center"/>
        <w:rPr>
          <w:rFonts w:hint="eastAsia" w:ascii="宋体" w:hAnsi="宋体"/>
          <w:b/>
          <w:color w:val="auto"/>
          <w:sz w:val="32"/>
          <w:szCs w:val="32"/>
          <w:highlight w:val="none"/>
        </w:rPr>
      </w:pPr>
    </w:p>
    <w:p w14:paraId="0DB71451">
      <w:pPr>
        <w:spacing w:line="320" w:lineRule="exact"/>
        <w:jc w:val="center"/>
        <w:rPr>
          <w:rFonts w:hint="eastAsia" w:ascii="宋体" w:hAnsi="宋体"/>
          <w:b/>
          <w:color w:val="auto"/>
          <w:sz w:val="32"/>
          <w:szCs w:val="32"/>
          <w:highlight w:val="none"/>
        </w:rPr>
      </w:pPr>
    </w:p>
    <w:p w14:paraId="7FDEBBAE">
      <w:pPr>
        <w:spacing w:line="320" w:lineRule="exact"/>
        <w:jc w:val="center"/>
        <w:rPr>
          <w:rFonts w:hint="eastAsia" w:ascii="宋体" w:hAnsi="宋体"/>
          <w:b/>
          <w:color w:val="auto"/>
          <w:sz w:val="32"/>
          <w:szCs w:val="32"/>
          <w:highlight w:val="none"/>
        </w:rPr>
      </w:pPr>
    </w:p>
    <w:p w14:paraId="23DB4F32">
      <w:pPr>
        <w:spacing w:line="320" w:lineRule="exact"/>
        <w:jc w:val="center"/>
        <w:rPr>
          <w:rFonts w:hint="eastAsia" w:ascii="宋体" w:hAnsi="宋体"/>
          <w:b/>
          <w:color w:val="auto"/>
          <w:sz w:val="32"/>
          <w:szCs w:val="32"/>
          <w:highlight w:val="none"/>
        </w:rPr>
      </w:pPr>
    </w:p>
    <w:p w14:paraId="769D2844">
      <w:pPr>
        <w:spacing w:line="320" w:lineRule="exact"/>
        <w:jc w:val="center"/>
        <w:rPr>
          <w:rFonts w:hint="eastAsia" w:ascii="宋体" w:hAnsi="宋体"/>
          <w:b/>
          <w:color w:val="auto"/>
          <w:sz w:val="32"/>
          <w:szCs w:val="32"/>
          <w:highlight w:val="none"/>
        </w:rPr>
      </w:pPr>
    </w:p>
    <w:p w14:paraId="18235DD2">
      <w:pPr>
        <w:spacing w:line="320" w:lineRule="exact"/>
        <w:jc w:val="center"/>
        <w:rPr>
          <w:rFonts w:hint="eastAsia" w:ascii="宋体" w:hAnsi="宋体"/>
          <w:b/>
          <w:color w:val="auto"/>
          <w:sz w:val="32"/>
          <w:szCs w:val="32"/>
          <w:highlight w:val="none"/>
        </w:rPr>
      </w:pPr>
    </w:p>
    <w:p w14:paraId="399BFE39">
      <w:pPr>
        <w:spacing w:line="320" w:lineRule="exact"/>
        <w:jc w:val="center"/>
        <w:rPr>
          <w:rFonts w:hint="eastAsia" w:ascii="宋体" w:hAnsi="宋体"/>
          <w:b/>
          <w:color w:val="auto"/>
          <w:sz w:val="32"/>
          <w:szCs w:val="32"/>
          <w:highlight w:val="none"/>
        </w:rPr>
      </w:pPr>
    </w:p>
    <w:p w14:paraId="1F35B4A7">
      <w:pPr>
        <w:spacing w:line="320" w:lineRule="exact"/>
        <w:jc w:val="center"/>
        <w:rPr>
          <w:rFonts w:hint="eastAsia" w:ascii="宋体" w:hAnsi="宋体"/>
          <w:b/>
          <w:color w:val="auto"/>
          <w:sz w:val="32"/>
          <w:szCs w:val="32"/>
          <w:highlight w:val="none"/>
        </w:rPr>
      </w:pPr>
    </w:p>
    <w:p w14:paraId="04EB00BE">
      <w:pPr>
        <w:spacing w:line="320" w:lineRule="exact"/>
        <w:jc w:val="both"/>
        <w:rPr>
          <w:rFonts w:hint="eastAsia" w:ascii="宋体" w:hAnsi="宋体"/>
          <w:b/>
          <w:color w:val="auto"/>
          <w:sz w:val="32"/>
          <w:szCs w:val="32"/>
          <w:highlight w:val="none"/>
        </w:rPr>
      </w:pPr>
    </w:p>
    <w:p w14:paraId="67833BA9">
      <w:pPr>
        <w:spacing w:line="320" w:lineRule="exact"/>
        <w:jc w:val="center"/>
        <w:rPr>
          <w:rFonts w:hint="eastAsia" w:ascii="宋体" w:hAnsi="宋体"/>
          <w:b/>
          <w:color w:val="auto"/>
          <w:sz w:val="32"/>
          <w:szCs w:val="32"/>
          <w:highlight w:val="none"/>
        </w:rPr>
      </w:pPr>
    </w:p>
    <w:p w14:paraId="0A00F529">
      <w:pPr>
        <w:spacing w:line="320" w:lineRule="exact"/>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供应商直接控股、管理关系信息表</w:t>
      </w:r>
      <w:r>
        <w:rPr>
          <w:rFonts w:hint="eastAsia" w:ascii="宋体" w:hAnsi="宋体"/>
          <w:b/>
          <w:color w:val="auto"/>
          <w:sz w:val="32"/>
          <w:szCs w:val="32"/>
          <w:highlight w:val="none"/>
          <w:lang w:eastAsia="zh-CN"/>
        </w:rPr>
        <w:t>（格式）</w:t>
      </w:r>
    </w:p>
    <w:p w14:paraId="20237677">
      <w:pPr>
        <w:spacing w:line="360" w:lineRule="auto"/>
        <w:contextualSpacing/>
        <w:jc w:val="center"/>
        <w:rPr>
          <w:rFonts w:hint="eastAsia" w:ascii="宋体" w:hAnsi="宋体"/>
          <w:b/>
          <w:color w:val="auto"/>
          <w:sz w:val="32"/>
          <w:szCs w:val="32"/>
          <w:highlight w:val="none"/>
        </w:rPr>
      </w:pPr>
    </w:p>
    <w:p w14:paraId="4943686A">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r>
        <w:rPr>
          <w:rFonts w:hint="eastAsia" w:ascii="宋体" w:hAnsi="宋体"/>
          <w:b/>
          <w:color w:val="auto"/>
          <w:sz w:val="32"/>
          <w:szCs w:val="32"/>
          <w:highlight w:val="none"/>
          <w:lang w:eastAsia="zh-CN"/>
        </w:rPr>
        <w:t>（格式）</w:t>
      </w:r>
    </w:p>
    <w:p w14:paraId="46240DEE">
      <w:pPr>
        <w:spacing w:line="360" w:lineRule="auto"/>
        <w:contextualSpacing/>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6AC308">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52C84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81D958">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DF3663">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D17E6">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CF4BF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4BCCBD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924C80">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5F7DE6">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6F900E">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ABF49A">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AB3DFB">
            <w:pPr>
              <w:widowControl/>
              <w:spacing w:line="360" w:lineRule="auto"/>
              <w:contextualSpacing/>
              <w:jc w:val="center"/>
              <w:rPr>
                <w:rFonts w:hint="eastAsia" w:ascii="宋体" w:hAnsi="宋体" w:cs="宋体"/>
                <w:color w:val="auto"/>
                <w:kern w:val="0"/>
                <w:sz w:val="24"/>
                <w:highlight w:val="none"/>
              </w:rPr>
            </w:pPr>
          </w:p>
        </w:tc>
      </w:tr>
      <w:tr w14:paraId="71389C0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E28C63">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EDC068">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C55F15">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37776E">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D76B59">
            <w:pPr>
              <w:widowControl/>
              <w:spacing w:line="360" w:lineRule="auto"/>
              <w:contextualSpacing/>
              <w:jc w:val="center"/>
              <w:rPr>
                <w:rFonts w:hint="eastAsia" w:ascii="宋体" w:hAnsi="宋体" w:cs="宋体"/>
                <w:color w:val="auto"/>
                <w:kern w:val="0"/>
                <w:sz w:val="24"/>
                <w:highlight w:val="none"/>
              </w:rPr>
            </w:pPr>
          </w:p>
        </w:tc>
      </w:tr>
      <w:tr w14:paraId="67DC25F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BB3C51">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E98F47">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B46737">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3F8A0B">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454F2B">
            <w:pPr>
              <w:widowControl/>
              <w:spacing w:line="360" w:lineRule="auto"/>
              <w:contextualSpacing/>
              <w:jc w:val="center"/>
              <w:rPr>
                <w:rFonts w:hint="eastAsia" w:ascii="宋体" w:hAnsi="宋体" w:cs="宋体"/>
                <w:color w:val="auto"/>
                <w:kern w:val="0"/>
                <w:sz w:val="24"/>
                <w:highlight w:val="none"/>
              </w:rPr>
            </w:pPr>
          </w:p>
        </w:tc>
      </w:tr>
      <w:tr w14:paraId="6A79F94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DD448F">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712D00">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3B250B">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E884F">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70CD3C">
            <w:pPr>
              <w:widowControl/>
              <w:spacing w:line="360" w:lineRule="auto"/>
              <w:contextualSpacing/>
              <w:jc w:val="center"/>
              <w:rPr>
                <w:rFonts w:hint="eastAsia" w:ascii="宋体" w:hAnsi="宋体" w:cs="宋体"/>
                <w:color w:val="auto"/>
                <w:kern w:val="0"/>
                <w:sz w:val="24"/>
                <w:highlight w:val="none"/>
              </w:rPr>
            </w:pPr>
          </w:p>
        </w:tc>
      </w:tr>
    </w:tbl>
    <w:p w14:paraId="5EBD092C">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0B0F2A4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2467D1E">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0D21F86">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A9E27B4">
      <w:pPr>
        <w:spacing w:line="360" w:lineRule="auto"/>
        <w:ind w:firstLine="420" w:firstLineChars="200"/>
        <w:contextualSpacing/>
        <w:jc w:val="left"/>
        <w:rPr>
          <w:rFonts w:ascii="宋体" w:hAnsi="宋体" w:cs="宋体"/>
          <w:color w:val="auto"/>
          <w:szCs w:val="21"/>
          <w:highlight w:val="none"/>
        </w:rPr>
      </w:pPr>
    </w:p>
    <w:p w14:paraId="542AD9DC">
      <w:pPr>
        <w:spacing w:line="360" w:lineRule="auto"/>
        <w:ind w:firstLine="560" w:firstLineChars="200"/>
        <w:contextualSpacing/>
        <w:jc w:val="left"/>
        <w:rPr>
          <w:rFonts w:hint="eastAsia" w:ascii="宋体" w:hAnsi="宋体" w:cs="宋体"/>
          <w:color w:val="auto"/>
          <w:sz w:val="28"/>
          <w:szCs w:val="28"/>
          <w:highlight w:val="none"/>
        </w:rPr>
      </w:pPr>
    </w:p>
    <w:p w14:paraId="2CCFA867">
      <w:pPr>
        <w:spacing w:line="360" w:lineRule="auto"/>
        <w:ind w:right="480"/>
        <w:contextualSpacing/>
        <w:jc w:val="center"/>
        <w:rPr>
          <w:rFonts w:hint="eastAsia" w:ascii="宋体" w:hAnsi="宋体" w:cs="宋体"/>
          <w:color w:val="auto"/>
          <w:sz w:val="24"/>
          <w:szCs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法定代表人或者委托代理人</w:t>
      </w:r>
      <w:r>
        <w:rPr>
          <w:rFonts w:hint="eastAsia" w:ascii="宋体" w:hAnsi="宋体"/>
          <w:color w:val="auto"/>
          <w:sz w:val="24"/>
          <w:szCs w:val="24"/>
          <w:highlight w:val="none"/>
        </w:rPr>
        <w:t>（签字或者电子签名）</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6B3E6682">
      <w:pPr>
        <w:spacing w:line="360" w:lineRule="auto"/>
        <w:ind w:right="480" w:firstLine="3000" w:firstLineChars="1250"/>
        <w:contextualSpacing/>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w:t>
      </w:r>
      <w:r>
        <w:rPr>
          <w:rFonts w:hint="eastAsia" w:ascii="宋体" w:hAnsi="宋体"/>
          <w:color w:val="auto"/>
          <w:sz w:val="24"/>
          <w:szCs w:val="24"/>
          <w:highlight w:val="none"/>
        </w:rPr>
        <w:t>（电子签章）</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p>
    <w:p w14:paraId="3A856EFC">
      <w:pPr>
        <w:spacing w:line="360" w:lineRule="auto"/>
        <w:ind w:firstLine="480" w:firstLineChars="200"/>
        <w:contextualSpacing/>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年    月    日</w:t>
      </w:r>
    </w:p>
    <w:p w14:paraId="3CD1DE68">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13312A92">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r>
        <w:rPr>
          <w:rFonts w:hint="eastAsia" w:ascii="宋体" w:hAnsi="宋体"/>
          <w:b/>
          <w:color w:val="auto"/>
          <w:sz w:val="32"/>
          <w:szCs w:val="32"/>
          <w:highlight w:val="none"/>
          <w:lang w:eastAsia="zh-CN"/>
        </w:rPr>
        <w:t>（格式）</w:t>
      </w:r>
    </w:p>
    <w:p w14:paraId="0EE7FB50">
      <w:pPr>
        <w:snapToGrid w:val="0"/>
        <w:spacing w:line="360" w:lineRule="auto"/>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E978C70">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884226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4C617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7F37EF">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8E79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29B8042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257A9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3F95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5E32B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7B43D3">
            <w:pPr>
              <w:widowControl/>
              <w:spacing w:line="360" w:lineRule="auto"/>
              <w:contextualSpacing/>
              <w:jc w:val="center"/>
              <w:rPr>
                <w:rFonts w:ascii="宋体" w:hAnsi="宋体" w:cs="宋体"/>
                <w:color w:val="auto"/>
                <w:kern w:val="0"/>
                <w:sz w:val="24"/>
                <w:highlight w:val="none"/>
              </w:rPr>
            </w:pPr>
          </w:p>
        </w:tc>
      </w:tr>
      <w:tr w14:paraId="1964262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67D9F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F57529">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42B1E9">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BA430">
            <w:pPr>
              <w:widowControl/>
              <w:spacing w:line="360" w:lineRule="auto"/>
              <w:contextualSpacing/>
              <w:jc w:val="center"/>
              <w:rPr>
                <w:rFonts w:ascii="宋体" w:hAnsi="宋体" w:cs="宋体"/>
                <w:color w:val="auto"/>
                <w:kern w:val="0"/>
                <w:sz w:val="24"/>
                <w:highlight w:val="none"/>
              </w:rPr>
            </w:pPr>
          </w:p>
        </w:tc>
      </w:tr>
      <w:tr w14:paraId="2E14813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15E169">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886A81">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9523D">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69F4D8">
            <w:pPr>
              <w:widowControl/>
              <w:spacing w:line="360" w:lineRule="auto"/>
              <w:contextualSpacing/>
              <w:jc w:val="center"/>
              <w:rPr>
                <w:rFonts w:ascii="宋体" w:hAnsi="宋体" w:cs="宋体"/>
                <w:color w:val="auto"/>
                <w:kern w:val="0"/>
                <w:sz w:val="24"/>
                <w:highlight w:val="none"/>
              </w:rPr>
            </w:pPr>
          </w:p>
        </w:tc>
      </w:tr>
      <w:tr w14:paraId="4C18435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F193C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A7757">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F06C0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4AC39B">
            <w:pPr>
              <w:widowControl/>
              <w:spacing w:line="360" w:lineRule="auto"/>
              <w:contextualSpacing/>
              <w:jc w:val="center"/>
              <w:rPr>
                <w:rFonts w:ascii="宋体" w:hAnsi="宋体" w:cs="宋体"/>
                <w:color w:val="auto"/>
                <w:kern w:val="0"/>
                <w:sz w:val="24"/>
                <w:highlight w:val="none"/>
              </w:rPr>
            </w:pPr>
          </w:p>
        </w:tc>
      </w:tr>
    </w:tbl>
    <w:p w14:paraId="39C112DB">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40028320">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0D674E01">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1F42B7FA">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5616CEF4">
      <w:pPr>
        <w:spacing w:line="360" w:lineRule="auto"/>
        <w:contextualSpacing/>
        <w:jc w:val="left"/>
        <w:rPr>
          <w:rFonts w:hint="eastAsia" w:ascii="宋体" w:hAnsi="宋体"/>
          <w:color w:val="auto"/>
          <w:sz w:val="28"/>
          <w:szCs w:val="28"/>
          <w:highlight w:val="none"/>
        </w:rPr>
      </w:pPr>
    </w:p>
    <w:p w14:paraId="0100E825">
      <w:pPr>
        <w:spacing w:line="360" w:lineRule="auto"/>
        <w:contextualSpacing/>
        <w:jc w:val="left"/>
        <w:rPr>
          <w:rFonts w:hint="eastAsia" w:ascii="宋体" w:hAnsi="宋体"/>
          <w:color w:val="auto"/>
          <w:sz w:val="28"/>
          <w:szCs w:val="28"/>
          <w:highlight w:val="none"/>
        </w:rPr>
      </w:pPr>
    </w:p>
    <w:p w14:paraId="6C975D9A">
      <w:pPr>
        <w:spacing w:line="360" w:lineRule="auto"/>
        <w:contextualSpacing/>
        <w:jc w:val="left"/>
        <w:rPr>
          <w:rFonts w:hint="eastAsia"/>
          <w:color w:val="auto"/>
          <w:sz w:val="28"/>
          <w:szCs w:val="28"/>
          <w:highlight w:val="none"/>
        </w:rPr>
      </w:pPr>
    </w:p>
    <w:p w14:paraId="246E46DA">
      <w:pPr>
        <w:spacing w:line="360" w:lineRule="auto"/>
        <w:contextualSpacing/>
        <w:jc w:val="left"/>
        <w:rPr>
          <w:rFonts w:hint="eastAsia" w:ascii="宋体" w:hAnsi="宋体"/>
          <w:color w:val="auto"/>
          <w:sz w:val="28"/>
          <w:szCs w:val="28"/>
          <w:highlight w:val="none"/>
        </w:rPr>
      </w:pPr>
    </w:p>
    <w:p w14:paraId="147AE34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6F37940">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7E859707">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1E816D5A">
      <w:pPr>
        <w:pStyle w:val="12"/>
        <w:tabs>
          <w:tab w:val="left" w:pos="939"/>
        </w:tabs>
        <w:spacing w:line="360" w:lineRule="auto"/>
        <w:ind w:left="0" w:leftChars="0" w:firstLine="560" w:firstLineChars="200"/>
        <w:rPr>
          <w:rFonts w:ascii="宋体" w:hAnsi="宋体"/>
          <w:color w:val="auto"/>
          <w:sz w:val="28"/>
          <w:szCs w:val="28"/>
          <w:highlight w:val="none"/>
        </w:rPr>
      </w:pPr>
    </w:p>
    <w:p w14:paraId="08E22BA1">
      <w:pPr>
        <w:pStyle w:val="12"/>
        <w:tabs>
          <w:tab w:val="left" w:pos="939"/>
        </w:tabs>
        <w:spacing w:line="360" w:lineRule="auto"/>
        <w:rPr>
          <w:rFonts w:ascii="宋体" w:hAnsi="宋体"/>
          <w:color w:val="auto"/>
          <w:sz w:val="28"/>
          <w:szCs w:val="28"/>
          <w:highlight w:val="none"/>
        </w:rPr>
      </w:pPr>
    </w:p>
    <w:p w14:paraId="5448EBAB">
      <w:pPr>
        <w:pStyle w:val="12"/>
        <w:tabs>
          <w:tab w:val="left" w:pos="939"/>
        </w:tabs>
        <w:spacing w:line="360" w:lineRule="auto"/>
        <w:rPr>
          <w:rFonts w:ascii="宋体" w:hAnsi="宋体"/>
          <w:color w:val="auto"/>
          <w:sz w:val="28"/>
          <w:szCs w:val="28"/>
          <w:highlight w:val="none"/>
        </w:rPr>
      </w:pPr>
    </w:p>
    <w:p w14:paraId="707DAB15">
      <w:pPr>
        <w:pStyle w:val="12"/>
        <w:tabs>
          <w:tab w:val="left" w:pos="939"/>
        </w:tabs>
        <w:spacing w:line="360" w:lineRule="auto"/>
        <w:rPr>
          <w:rFonts w:ascii="宋体" w:hAnsi="宋体"/>
          <w:color w:val="auto"/>
          <w:sz w:val="28"/>
          <w:szCs w:val="28"/>
          <w:highlight w:val="none"/>
        </w:rPr>
      </w:pPr>
    </w:p>
    <w:p w14:paraId="7533F871">
      <w:pPr>
        <w:pStyle w:val="12"/>
        <w:tabs>
          <w:tab w:val="left" w:pos="939"/>
        </w:tabs>
        <w:spacing w:line="360" w:lineRule="auto"/>
        <w:rPr>
          <w:rFonts w:ascii="宋体" w:hAnsi="宋体"/>
          <w:color w:val="auto"/>
          <w:sz w:val="28"/>
          <w:szCs w:val="28"/>
          <w:highlight w:val="none"/>
        </w:rPr>
      </w:pPr>
    </w:p>
    <w:p w14:paraId="5E3E511D">
      <w:pPr>
        <w:pStyle w:val="12"/>
        <w:tabs>
          <w:tab w:val="left" w:pos="939"/>
        </w:tabs>
        <w:spacing w:line="360" w:lineRule="auto"/>
        <w:rPr>
          <w:rFonts w:ascii="宋体" w:hAnsi="宋体"/>
          <w:color w:val="auto"/>
          <w:sz w:val="28"/>
          <w:szCs w:val="28"/>
          <w:highlight w:val="none"/>
        </w:rPr>
      </w:pPr>
    </w:p>
    <w:p w14:paraId="728E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auto"/>
          <w:sz w:val="32"/>
          <w:szCs w:val="32"/>
          <w:highlight w:val="none"/>
        </w:rPr>
      </w:pPr>
      <w:bookmarkStart w:id="75" w:name="_Toc71365926"/>
      <w:r>
        <w:rPr>
          <w:rFonts w:hint="eastAsia" w:ascii="宋体" w:hAnsi="宋体" w:eastAsia="宋体" w:cs="Times New Roman"/>
          <w:b/>
          <w:color w:val="auto"/>
          <w:sz w:val="32"/>
          <w:szCs w:val="32"/>
          <w:highlight w:val="none"/>
        </w:rPr>
        <w:t>中小企业声明函（工程）</w:t>
      </w:r>
      <w:bookmarkEnd w:id="75"/>
    </w:p>
    <w:p w14:paraId="5AE7ED56">
      <w:pPr>
        <w:pStyle w:val="10"/>
        <w:spacing w:line="500" w:lineRule="exact"/>
        <w:ind w:right="142" w:firstLine="705" w:firstLineChars="294"/>
        <w:rPr>
          <w:rFonts w:ascii="宋体" w:hAnsi="宋体"/>
          <w:color w:val="auto"/>
          <w:sz w:val="24"/>
          <w:highlight w:val="none"/>
        </w:rPr>
      </w:pPr>
    </w:p>
    <w:p w14:paraId="4EEFB0A4">
      <w:pPr>
        <w:pStyle w:val="10"/>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41C72785">
      <w:pPr>
        <w:tabs>
          <w:tab w:val="left" w:pos="1384"/>
          <w:tab w:val="left" w:pos="4562"/>
          <w:tab w:val="left" w:pos="6803"/>
        </w:tabs>
        <w:spacing w:before="13" w:line="500" w:lineRule="exact"/>
        <w:ind w:right="142" w:firstLine="480" w:firstLineChars="200"/>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38F7419B">
      <w:pPr>
        <w:tabs>
          <w:tab w:val="left" w:pos="1065"/>
          <w:tab w:val="left" w:pos="4262"/>
          <w:tab w:val="left" w:pos="6477"/>
        </w:tabs>
        <w:spacing w:before="20" w:line="500" w:lineRule="exact"/>
        <w:ind w:right="84" w:firstLine="480" w:firstLineChars="200"/>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4C47783C">
      <w:pPr>
        <w:pStyle w:val="10"/>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73E27CF5">
      <w:pPr>
        <w:pStyle w:val="10"/>
        <w:spacing w:before="34" w:line="500" w:lineRule="exact"/>
        <w:ind w:right="142" w:firstLine="480" w:firstLineChars="200"/>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7D3CBB7F">
      <w:pPr>
        <w:pStyle w:val="10"/>
        <w:spacing w:before="25" w:line="500" w:lineRule="exact"/>
        <w:ind w:right="142" w:firstLine="480" w:firstLineChars="200"/>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72A16C32">
      <w:pPr>
        <w:pStyle w:val="10"/>
        <w:spacing w:before="56" w:line="500" w:lineRule="exact"/>
        <w:ind w:right="1808" w:firstLine="705" w:firstLineChars="294"/>
        <w:rPr>
          <w:rFonts w:hint="eastAsia" w:ascii="宋体" w:hAnsi="宋体"/>
          <w:color w:val="auto"/>
          <w:sz w:val="24"/>
          <w:highlight w:val="none"/>
        </w:rPr>
      </w:pPr>
    </w:p>
    <w:p w14:paraId="62C63EA5">
      <w:pPr>
        <w:pStyle w:val="10"/>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3B92CBD6">
      <w:pPr>
        <w:pStyle w:val="10"/>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30DB53E2">
      <w:pPr>
        <w:pStyle w:val="10"/>
        <w:spacing w:before="56" w:line="500" w:lineRule="exact"/>
        <w:ind w:right="1808" w:firstLine="5625" w:firstLineChars="2344"/>
        <w:rPr>
          <w:rFonts w:ascii="宋体" w:hAnsi="宋体"/>
          <w:color w:val="auto"/>
          <w:sz w:val="24"/>
          <w:highlight w:val="none"/>
        </w:rPr>
      </w:pPr>
    </w:p>
    <w:p w14:paraId="57261EAF">
      <w:pPr>
        <w:spacing w:line="520" w:lineRule="exact"/>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F0D6929">
      <w:pPr>
        <w:spacing w:line="520" w:lineRule="exact"/>
        <w:jc w:val="center"/>
        <w:rPr>
          <w:rFonts w:hint="eastAsia"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0"/>
          <w:szCs w:val="40"/>
          <w:highlight w:val="none"/>
        </w:rPr>
        <w:t>残疾人福利性单位声明函</w:t>
      </w:r>
    </w:p>
    <w:p w14:paraId="180F7C56">
      <w:pPr>
        <w:spacing w:line="360" w:lineRule="auto"/>
        <w:contextualSpacing/>
        <w:rPr>
          <w:rFonts w:hint="eastAsia" w:ascii="仿宋_GB2312" w:hAnsi="仿宋_GB2312" w:eastAsia="仿宋_GB2312" w:cs="仿宋_GB2312"/>
          <w:color w:val="auto"/>
          <w:sz w:val="32"/>
          <w:szCs w:val="32"/>
          <w:highlight w:val="none"/>
        </w:rPr>
      </w:pPr>
    </w:p>
    <w:p w14:paraId="1891036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03CDFD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4A907F4">
      <w:pPr>
        <w:spacing w:line="360" w:lineRule="auto"/>
        <w:contextualSpacing/>
        <w:rPr>
          <w:rFonts w:hint="eastAsia" w:ascii="宋体" w:hAnsi="宋体" w:cs="仿宋_GB2312"/>
          <w:color w:val="auto"/>
          <w:sz w:val="24"/>
          <w:highlight w:val="none"/>
        </w:rPr>
      </w:pPr>
    </w:p>
    <w:p w14:paraId="04B5B0E0">
      <w:pPr>
        <w:spacing w:line="360" w:lineRule="auto"/>
        <w:contextualSpacing/>
        <w:rPr>
          <w:rFonts w:hint="eastAsia" w:ascii="宋体" w:hAnsi="宋体" w:cs="仿宋_GB2312"/>
          <w:color w:val="auto"/>
          <w:sz w:val="24"/>
          <w:highlight w:val="none"/>
        </w:rPr>
      </w:pPr>
    </w:p>
    <w:p w14:paraId="15ED028A">
      <w:pPr>
        <w:spacing w:line="360" w:lineRule="auto"/>
        <w:contextualSpacing/>
        <w:rPr>
          <w:rFonts w:hint="eastAsia" w:ascii="宋体" w:hAnsi="宋体" w:cs="仿宋_GB2312"/>
          <w:color w:val="auto"/>
          <w:sz w:val="24"/>
          <w:highlight w:val="none"/>
        </w:rPr>
      </w:pPr>
    </w:p>
    <w:p w14:paraId="0B44A228">
      <w:pPr>
        <w:spacing w:line="360" w:lineRule="auto"/>
        <w:ind w:firstLine="4560" w:firstLineChars="19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4C140B48">
      <w:pPr>
        <w:spacing w:line="360" w:lineRule="auto"/>
        <w:ind w:firstLine="5040" w:firstLineChars="21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009235BC">
      <w:pPr>
        <w:spacing w:line="360" w:lineRule="auto"/>
        <w:contextualSpacing/>
        <w:rPr>
          <w:rFonts w:hint="eastAsia" w:ascii="宋体" w:hAnsi="宋体" w:cs="仿宋_GB2312"/>
          <w:color w:val="auto"/>
          <w:sz w:val="24"/>
          <w:highlight w:val="none"/>
        </w:rPr>
      </w:pPr>
    </w:p>
    <w:p w14:paraId="041FBEB6">
      <w:pPr>
        <w:spacing w:line="360" w:lineRule="auto"/>
        <w:contextualSpacing/>
        <w:rPr>
          <w:rFonts w:hint="eastAsia" w:ascii="宋体" w:hAnsi="宋体" w:cs="仿宋_GB2312"/>
          <w:color w:val="auto"/>
          <w:sz w:val="24"/>
          <w:highlight w:val="none"/>
        </w:rPr>
      </w:pPr>
    </w:p>
    <w:p w14:paraId="0A1CC478">
      <w:pPr>
        <w:spacing w:line="360" w:lineRule="auto"/>
        <w:contextualSpacing/>
        <w:rPr>
          <w:rFonts w:hint="eastAsia" w:ascii="宋体" w:hAnsi="宋体" w:cs="仿宋_GB2312"/>
          <w:color w:val="auto"/>
          <w:sz w:val="24"/>
          <w:highlight w:val="none"/>
        </w:rPr>
      </w:pPr>
    </w:p>
    <w:p w14:paraId="0B669026">
      <w:pPr>
        <w:pStyle w:val="12"/>
        <w:tabs>
          <w:tab w:val="left" w:pos="939"/>
        </w:tabs>
        <w:spacing w:line="360" w:lineRule="auto"/>
        <w:ind w:left="0" w:leftChars="0" w:firstLine="720" w:firstLineChars="300"/>
        <w:rPr>
          <w:rFonts w:hint="eastAsia"/>
          <w:color w:val="auto"/>
          <w:sz w:val="24"/>
          <w:szCs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r>
        <w:rPr>
          <w:rFonts w:ascii="宋体" w:hAnsi="宋体"/>
          <w:color w:val="auto"/>
          <w:sz w:val="28"/>
          <w:szCs w:val="28"/>
          <w:highlight w:val="none"/>
        </w:rPr>
        <w:br w:type="page"/>
      </w:r>
    </w:p>
    <w:p w14:paraId="4ECA3552">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5EFE14FE">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1547423C">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4C12D31E">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3758C758">
      <w:pPr>
        <w:snapToGrid w:val="0"/>
        <w:spacing w:before="156" w:beforeLines="50" w:after="50"/>
        <w:rPr>
          <w:rFonts w:hint="eastAsia" w:ascii="宋体" w:hAnsi="宋体"/>
          <w:color w:val="auto"/>
          <w:sz w:val="24"/>
          <w:szCs w:val="20"/>
          <w:highlight w:val="none"/>
        </w:rPr>
      </w:pPr>
    </w:p>
    <w:p w14:paraId="6EDD96EF">
      <w:pPr>
        <w:snapToGrid w:val="0"/>
        <w:spacing w:before="156" w:beforeLines="50" w:after="50"/>
        <w:rPr>
          <w:rFonts w:hint="eastAsia" w:ascii="宋体" w:hAnsi="宋体"/>
          <w:color w:val="auto"/>
          <w:sz w:val="24"/>
          <w:szCs w:val="20"/>
          <w:highlight w:val="none"/>
        </w:rPr>
      </w:pPr>
    </w:p>
    <w:p w14:paraId="2E6A320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6E0446BC">
      <w:pPr>
        <w:snapToGrid w:val="0"/>
        <w:spacing w:before="156" w:beforeLines="50" w:after="50"/>
        <w:rPr>
          <w:rFonts w:hint="eastAsia" w:ascii="宋体" w:hAnsi="宋体"/>
          <w:bCs/>
          <w:color w:val="auto"/>
          <w:sz w:val="24"/>
          <w:szCs w:val="20"/>
          <w:highlight w:val="none"/>
        </w:rPr>
      </w:pPr>
    </w:p>
    <w:p w14:paraId="535D5CAB">
      <w:pPr>
        <w:snapToGrid w:val="0"/>
        <w:spacing w:before="156" w:beforeLines="50" w:after="50"/>
        <w:rPr>
          <w:rFonts w:hint="eastAsia" w:ascii="宋体" w:hAnsi="宋体"/>
          <w:bCs/>
          <w:color w:val="auto"/>
          <w:sz w:val="24"/>
          <w:szCs w:val="20"/>
          <w:highlight w:val="none"/>
        </w:rPr>
      </w:pPr>
    </w:p>
    <w:p w14:paraId="0E1345DE">
      <w:pPr>
        <w:snapToGrid w:val="0"/>
        <w:spacing w:before="156" w:beforeLines="50" w:after="50"/>
        <w:rPr>
          <w:rFonts w:hint="eastAsia" w:ascii="宋体" w:hAnsi="宋体"/>
          <w:bCs/>
          <w:color w:val="auto"/>
          <w:sz w:val="24"/>
          <w:szCs w:val="20"/>
          <w:highlight w:val="none"/>
        </w:rPr>
      </w:pPr>
    </w:p>
    <w:p w14:paraId="2309A4FD">
      <w:pPr>
        <w:snapToGrid w:val="0"/>
        <w:spacing w:before="156" w:beforeLines="50" w:after="50"/>
        <w:rPr>
          <w:rFonts w:hint="eastAsia" w:ascii="宋体" w:hAnsi="宋体"/>
          <w:bCs/>
          <w:color w:val="auto"/>
          <w:sz w:val="24"/>
          <w:szCs w:val="20"/>
          <w:highlight w:val="none"/>
        </w:rPr>
      </w:pPr>
    </w:p>
    <w:p w14:paraId="5FA6BAB5">
      <w:pPr>
        <w:snapToGrid w:val="0"/>
        <w:spacing w:before="156" w:beforeLines="50" w:after="50"/>
        <w:rPr>
          <w:rFonts w:hint="eastAsia" w:ascii="宋体" w:hAnsi="宋体"/>
          <w:bCs/>
          <w:color w:val="auto"/>
          <w:sz w:val="24"/>
          <w:szCs w:val="20"/>
          <w:highlight w:val="none"/>
        </w:rPr>
      </w:pPr>
    </w:p>
    <w:p w14:paraId="023D990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E0643E">
      <w:pPr>
        <w:snapToGrid w:val="0"/>
        <w:spacing w:before="156" w:beforeLines="50" w:after="50"/>
        <w:ind w:firstLine="720" w:firstLineChars="225"/>
        <w:rPr>
          <w:rFonts w:hint="eastAsia" w:ascii="宋体" w:hAnsi="宋体" w:cs="仿宋_GB2312"/>
          <w:bCs/>
          <w:color w:val="auto"/>
          <w:sz w:val="32"/>
          <w:szCs w:val="32"/>
          <w:highlight w:val="none"/>
        </w:rPr>
      </w:pPr>
    </w:p>
    <w:p w14:paraId="66DCD30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7D054D7">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CD6473">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34281E0">
      <w:pPr>
        <w:pStyle w:val="8"/>
        <w:snapToGrid w:val="0"/>
        <w:spacing w:before="50" w:after="50"/>
        <w:rPr>
          <w:rFonts w:hint="eastAsia" w:ascii="宋体" w:hAnsi="宋体" w:cs="仿宋_GB2312"/>
          <w:bCs/>
          <w:color w:val="auto"/>
          <w:sz w:val="32"/>
          <w:szCs w:val="32"/>
          <w:highlight w:val="none"/>
        </w:rPr>
      </w:pPr>
    </w:p>
    <w:p w14:paraId="1C931513">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3F7739D">
      <w:pPr>
        <w:pStyle w:val="8"/>
        <w:snapToGrid w:val="0"/>
        <w:spacing w:before="50" w:after="50"/>
        <w:ind w:firstLine="640" w:firstLineChars="200"/>
        <w:rPr>
          <w:rFonts w:hint="eastAsia" w:ascii="宋体" w:hAnsi="宋体" w:cs="仿宋_GB2312"/>
          <w:bCs/>
          <w:color w:val="auto"/>
          <w:sz w:val="32"/>
          <w:szCs w:val="32"/>
          <w:highlight w:val="none"/>
        </w:rPr>
      </w:pPr>
    </w:p>
    <w:p w14:paraId="62E6443B">
      <w:pPr>
        <w:pStyle w:val="8"/>
        <w:snapToGrid w:val="0"/>
        <w:spacing w:before="50" w:after="50"/>
        <w:ind w:firstLine="720" w:firstLineChars="225"/>
        <w:rPr>
          <w:rFonts w:hint="eastAsia" w:ascii="宋体" w:hAnsi="宋体" w:cs="仿宋_GB2312"/>
          <w:bCs/>
          <w:color w:val="auto"/>
          <w:sz w:val="32"/>
          <w:szCs w:val="32"/>
          <w:highlight w:val="none"/>
        </w:rPr>
      </w:pPr>
    </w:p>
    <w:p w14:paraId="416AA8C1">
      <w:pPr>
        <w:pStyle w:val="8"/>
        <w:snapToGrid w:val="0"/>
        <w:spacing w:before="50" w:after="50"/>
        <w:ind w:firstLine="0"/>
        <w:rPr>
          <w:rFonts w:hint="eastAsia" w:ascii="宋体" w:hAnsi="宋体" w:cs="仿宋_GB2312"/>
          <w:bCs/>
          <w:color w:val="auto"/>
          <w:sz w:val="32"/>
          <w:szCs w:val="32"/>
          <w:highlight w:val="none"/>
        </w:rPr>
      </w:pPr>
    </w:p>
    <w:p w14:paraId="009A5E54">
      <w:pPr>
        <w:pStyle w:val="8"/>
        <w:snapToGrid w:val="0"/>
        <w:spacing w:before="50" w:after="50"/>
        <w:ind w:firstLine="1280" w:firstLineChars="400"/>
        <w:rPr>
          <w:rFonts w:hint="eastAsia" w:ascii="宋体" w:hAnsi="宋体" w:cs="仿宋_GB2312"/>
          <w:bCs/>
          <w:color w:val="auto"/>
          <w:sz w:val="32"/>
          <w:szCs w:val="32"/>
          <w:highlight w:val="none"/>
        </w:rPr>
      </w:pPr>
    </w:p>
    <w:p w14:paraId="236AFBD5">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E98E2DB">
      <w:pPr>
        <w:snapToGrid w:val="0"/>
        <w:spacing w:before="156"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77DB68F">
      <w:pPr>
        <w:autoSpaceDE w:val="0"/>
        <w:autoSpaceDN w:val="0"/>
        <w:adjustRightInd w:val="0"/>
        <w:spacing w:line="360" w:lineRule="auto"/>
        <w:ind w:firstLine="640" w:firstLineChars="200"/>
        <w:rPr>
          <w:rFonts w:ascii="宋体" w:hAnsi="宋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p>
    <w:p w14:paraId="7EF407A0">
      <w:pPr>
        <w:pStyle w:val="49"/>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heme="majorEastAsia" w:hAnsiTheme="majorEastAsia" w:eastAsiaTheme="majorEastAsia" w:cstheme="majorEastAsia"/>
          <w:b w:val="0"/>
          <w:bCs w:val="0"/>
          <w:color w:val="auto"/>
          <w:sz w:val="21"/>
          <w:szCs w:val="24"/>
          <w:highlight w:val="none"/>
        </w:rPr>
      </w:pPr>
      <w:r>
        <w:rPr>
          <w:rFonts w:hint="eastAsia" w:asciiTheme="majorEastAsia" w:hAnsiTheme="majorEastAsia" w:eastAsiaTheme="majorEastAsia" w:cstheme="majorEastAsia"/>
          <w:b/>
          <w:bCs/>
          <w:color w:val="auto"/>
          <w:sz w:val="32"/>
          <w:szCs w:val="32"/>
          <w:highlight w:val="none"/>
        </w:rPr>
        <w:t>磋商函</w:t>
      </w:r>
      <w:r>
        <w:rPr>
          <w:rFonts w:hint="eastAsia" w:asciiTheme="majorEastAsia" w:hAnsiTheme="majorEastAsia" w:eastAsiaTheme="majorEastAsia" w:cstheme="majorEastAsia"/>
          <w:b/>
          <w:bCs/>
          <w:color w:val="auto"/>
          <w:sz w:val="32"/>
          <w:szCs w:val="32"/>
          <w:highlight w:val="none"/>
          <w:lang w:eastAsia="zh-CN"/>
        </w:rPr>
        <w:t>（格式）</w:t>
      </w:r>
    </w:p>
    <w:p w14:paraId="6F814CEF">
      <w:pPr>
        <w:spacing w:line="360" w:lineRule="auto"/>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（采购人名称）</w:t>
      </w:r>
    </w:p>
    <w:p w14:paraId="37092B7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1、根据你方项目编号为</w:t>
      </w:r>
      <w:r>
        <w:rPr>
          <w:rFonts w:hint="eastAsia" w:asciiTheme="majorEastAsia" w:hAnsiTheme="majorEastAsia" w:eastAsiaTheme="majorEastAsia" w:cstheme="majorEastAsia"/>
          <w:b w:val="0"/>
          <w:bCs w:val="0"/>
          <w:color w:val="auto"/>
          <w:sz w:val="24"/>
          <w:szCs w:val="24"/>
          <w:highlight w:val="none"/>
          <w:u w:val="single"/>
        </w:rPr>
        <w:t xml:space="preserve">     (项目编号)    </w:t>
      </w:r>
      <w:r>
        <w:rPr>
          <w:rFonts w:hint="eastAsia" w:asciiTheme="majorEastAsia" w:hAnsiTheme="majorEastAsia" w:eastAsiaTheme="majorEastAsia" w:cstheme="majorEastAsia"/>
          <w:b w:val="0"/>
          <w:bCs w:val="0"/>
          <w:color w:val="auto"/>
          <w:sz w:val="24"/>
          <w:szCs w:val="24"/>
          <w:highlight w:val="none"/>
        </w:rPr>
        <w:t>的</w:t>
      </w:r>
      <w:r>
        <w:rPr>
          <w:rFonts w:hint="eastAsia" w:asciiTheme="majorEastAsia" w:hAnsiTheme="majorEastAsia" w:eastAsiaTheme="majorEastAsia" w:cstheme="majorEastAsia"/>
          <w:b w:val="0"/>
          <w:bCs w:val="0"/>
          <w:color w:val="auto"/>
          <w:sz w:val="24"/>
          <w:szCs w:val="24"/>
          <w:highlight w:val="none"/>
          <w:u w:val="single"/>
        </w:rPr>
        <w:t xml:space="preserve">    (项目名称)    </w:t>
      </w:r>
      <w:r>
        <w:rPr>
          <w:rFonts w:hint="eastAsia" w:asciiTheme="majorEastAsia" w:hAnsiTheme="majorEastAsia" w:eastAsiaTheme="majorEastAsia" w:cstheme="majorEastAsia"/>
          <w:b w:val="0"/>
          <w:bCs w:val="0"/>
          <w:color w:val="auto"/>
          <w:sz w:val="24"/>
          <w:szCs w:val="24"/>
          <w:highlight w:val="none"/>
        </w:rPr>
        <w:t>工程竞争性磋商文件，遵照《中华人民共和国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采购法实施条例》、《</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采购竞争性磋商采购方式管理暂行办法》等有关规定，经踏勘项目现场和研究上述竞争性磋商文件的磋商须知、合同 条款、图纸、工程建设标准和工程量清单及其他有关文件后，我方愿以人民币(大 写)</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default" w:ascii="Arial" w:hAnsi="Arial" w:cs="Arial" w:eastAsiaTheme="majorEastAsia"/>
          <w:b w:val="0"/>
          <w:bCs w:val="0"/>
          <w:color w:val="auto"/>
          <w:sz w:val="24"/>
          <w:szCs w:val="24"/>
          <w:highlight w:val="none"/>
          <w:u w:val="single"/>
        </w:rPr>
        <w:t>¥</w:t>
      </w:r>
      <w:r>
        <w:rPr>
          <w:rFonts w:hint="eastAsia" w:asciiTheme="majorEastAsia" w:hAnsiTheme="majorEastAsia" w:eastAsiaTheme="majorEastAsia" w:cstheme="majorEastAsia"/>
          <w:b w:val="0"/>
          <w:bCs w:val="0"/>
          <w:color w:val="auto"/>
          <w:sz w:val="24"/>
          <w:szCs w:val="24"/>
          <w:highlight w:val="none"/>
          <w:u w:val="single"/>
        </w:rPr>
        <w:t xml:space="preserve">    元)</w:t>
      </w:r>
      <w:r>
        <w:rPr>
          <w:rFonts w:hint="eastAsia" w:asciiTheme="majorEastAsia" w:hAnsiTheme="majorEastAsia" w:eastAsiaTheme="majorEastAsia" w:cstheme="majorEastAsia"/>
          <w:b w:val="0"/>
          <w:bCs w:val="0"/>
          <w:color w:val="auto"/>
          <w:sz w:val="24"/>
          <w:szCs w:val="24"/>
          <w:highlight w:val="none"/>
        </w:rPr>
        <w:t>的磋商报价并按上述图纸、合同条款、工程建设标准和工程量清单 (如有时) 的条件要求承包上述工程的施工、竣工，并承担任何质量缺陷保修责任。我方保证工程质量达到</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rPr>
        <w:t>等级。</w:t>
      </w:r>
    </w:p>
    <w:p w14:paraId="1EC8B3B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2、我方已详细审核全部竞争性磋商文件，包括修改文件 (如有时) 及有关附件。</w:t>
      </w:r>
    </w:p>
    <w:p w14:paraId="3B14EEC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3、我方承认磋商函附录是我方磋商函的组成部分。</w:t>
      </w:r>
    </w:p>
    <w:p w14:paraId="735BAC4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4、我方承诺已经具备《</w:t>
      </w:r>
      <w:r>
        <w:rPr>
          <w:rFonts w:hint="eastAsia" w:asciiTheme="majorEastAsia" w:hAnsiTheme="majorEastAsia" w:eastAsiaTheme="majorEastAsia" w:cstheme="majorEastAsia"/>
          <w:b w:val="0"/>
          <w:bCs w:val="0"/>
          <w:color w:val="auto"/>
          <w:sz w:val="24"/>
          <w:szCs w:val="24"/>
          <w:highlight w:val="none"/>
          <w:lang w:eastAsia="zh-CN"/>
        </w:rPr>
        <w:t>中华人民共和国政府采购法</w:t>
      </w:r>
      <w:r>
        <w:rPr>
          <w:rFonts w:hint="eastAsia" w:asciiTheme="majorEastAsia" w:hAnsiTheme="majorEastAsia" w:eastAsiaTheme="majorEastAsia" w:cstheme="majorEastAsia"/>
          <w:b w:val="0"/>
          <w:bCs w:val="0"/>
          <w:color w:val="auto"/>
          <w:sz w:val="24"/>
          <w:szCs w:val="24"/>
          <w:highlight w:val="none"/>
        </w:rPr>
        <w:t>》中规定的参加招标投标采购活动的供应商应当具备的条件：</w:t>
      </w:r>
    </w:p>
    <w:p w14:paraId="216EECC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 具有独立承担民事责任的能力；</w:t>
      </w:r>
    </w:p>
    <w:p w14:paraId="16E389BB">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 具有良好的商业信誉和健全的财务会计制度；</w:t>
      </w:r>
    </w:p>
    <w:p w14:paraId="0D517BD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 具有履行合同所必需的设备和专业技术能力；</w:t>
      </w:r>
    </w:p>
    <w:p w14:paraId="774BF9FA">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 有依法缴纳税收和社会保障资金的良好记录；</w:t>
      </w:r>
    </w:p>
    <w:p w14:paraId="1CF2E71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 参加招标投标采购活动前三年内，在经营活动中没有重大违法记录；</w:t>
      </w:r>
    </w:p>
    <w:p w14:paraId="05F93DC2">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 法律、行政法规规定的其他条件。</w:t>
      </w:r>
    </w:p>
    <w:p w14:paraId="149D0EB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5、一旦我方成交，我方保证按合同书中规定的工期</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none"/>
        </w:rPr>
        <w:t>日</w:t>
      </w:r>
      <w:r>
        <w:rPr>
          <w:rFonts w:hint="eastAsia" w:asciiTheme="majorEastAsia" w:hAnsiTheme="majorEastAsia" w:eastAsiaTheme="majorEastAsia" w:cstheme="majorEastAsia"/>
          <w:b w:val="0"/>
          <w:bCs w:val="0"/>
          <w:color w:val="auto"/>
          <w:sz w:val="24"/>
          <w:szCs w:val="24"/>
          <w:highlight w:val="none"/>
        </w:rPr>
        <w:t>历天内完成并移交全部工程。</w:t>
      </w:r>
    </w:p>
    <w:p w14:paraId="3CDD1E8D">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6、如果我方成交，我方将按照文件规定提交履约保证金作为履约担保。</w:t>
      </w:r>
    </w:p>
    <w:p w14:paraId="2788493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7、我方同意所提交的响应文件在竞争性磋商文件的“磋商须知”中第 11 条规定的响应文件有效期内有效，在此期间内如果成交，我方将受此约束。</w:t>
      </w:r>
    </w:p>
    <w:p w14:paraId="2495307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8、除非另外达成协议并生效，你方的成交通知书和本响应文件将成为约束双方的合同文件的组成部分。</w:t>
      </w:r>
    </w:p>
    <w:p w14:paraId="675628F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p>
    <w:p w14:paraId="523087E0">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供 应 商（电子签章）：</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single"/>
          <w:lang w:val="en-US" w:eastAsia="zh-CN"/>
        </w:rPr>
        <w:t xml:space="preserve">    </w:t>
      </w:r>
      <w:r>
        <w:rPr>
          <w:rFonts w:hint="eastAsia" w:asciiTheme="majorEastAsia" w:hAnsiTheme="majorEastAsia" w:eastAsiaTheme="majorEastAsia" w:cstheme="majorEastAsia"/>
          <w:b w:val="0"/>
          <w:bCs w:val="0"/>
          <w:color w:val="auto"/>
          <w:sz w:val="24"/>
          <w:szCs w:val="24"/>
          <w:highlight w:val="none"/>
          <w:u w:val="single"/>
        </w:rPr>
        <w:t xml:space="preserve">       </w:t>
      </w:r>
    </w:p>
    <w:p w14:paraId="747BD1E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法定代表人或其委托代理人</w:t>
      </w:r>
      <w:r>
        <w:rPr>
          <w:rFonts w:hint="eastAsia" w:ascii="宋体" w:hAnsi="宋体"/>
          <w:color w:val="auto"/>
          <w:sz w:val="24"/>
          <w:szCs w:val="24"/>
          <w:highlight w:val="none"/>
        </w:rPr>
        <w:t>（签字或者电子签名）</w:t>
      </w:r>
      <w:r>
        <w:rPr>
          <w:rFonts w:hint="eastAsia" w:asciiTheme="majorEastAsia" w:hAnsiTheme="majorEastAsia" w:eastAsiaTheme="majorEastAsia" w:cstheme="majorEastAsia"/>
          <w:b w:val="0"/>
          <w:bCs w:val="0"/>
          <w:color w:val="auto"/>
          <w:sz w:val="24"/>
          <w:szCs w:val="24"/>
          <w:highlight w:val="none"/>
        </w:rPr>
        <w:t xml:space="preserve">：    </w:t>
      </w:r>
    </w:p>
    <w:p w14:paraId="077A3DF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单位地址：     </w:t>
      </w:r>
    </w:p>
    <w:p w14:paraId="7CBE762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邮政编码：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电话：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传真：</w:t>
      </w:r>
    </w:p>
    <w:p w14:paraId="44C4337F">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开户银行名称：</w:t>
      </w:r>
    </w:p>
    <w:p w14:paraId="0F11C2E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开户银行账号：</w:t>
      </w:r>
    </w:p>
    <w:p w14:paraId="3756E1EC">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开户银行地址：</w:t>
      </w:r>
    </w:p>
    <w:p w14:paraId="09BF5666">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日期：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年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月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日</w:t>
      </w:r>
    </w:p>
    <w:p w14:paraId="4A6BD3C5">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Theme="majorEastAsia" w:hAnsiTheme="majorEastAsia" w:eastAsiaTheme="majorEastAsia" w:cstheme="majorEastAsia"/>
          <w:b w:val="0"/>
          <w:bCs w:val="0"/>
          <w:color w:val="auto"/>
          <w:sz w:val="21"/>
          <w:szCs w:val="24"/>
          <w:highlight w:val="none"/>
        </w:rPr>
      </w:pPr>
    </w:p>
    <w:p w14:paraId="66D8C64C">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rPr>
        <w:t>磋商函附录</w:t>
      </w:r>
      <w:r>
        <w:rPr>
          <w:rFonts w:hint="eastAsia" w:asciiTheme="majorEastAsia" w:hAnsiTheme="majorEastAsia" w:eastAsiaTheme="majorEastAsia" w:cstheme="majorEastAsia"/>
          <w:b/>
          <w:bCs/>
          <w:color w:val="auto"/>
          <w:sz w:val="28"/>
          <w:szCs w:val="28"/>
          <w:highlight w:val="none"/>
          <w:lang w:eastAsia="zh-CN"/>
        </w:rPr>
        <w:t>（格式）</w:t>
      </w:r>
    </w:p>
    <w:p w14:paraId="31CA80AE">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p>
    <w:tbl>
      <w:tblPr>
        <w:tblStyle w:val="61"/>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3424"/>
        <w:gridCol w:w="2818"/>
        <w:gridCol w:w="1696"/>
      </w:tblGrid>
      <w:tr w14:paraId="5279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6" w:type="dxa"/>
            <w:vAlign w:val="top"/>
          </w:tcPr>
          <w:p w14:paraId="60BCCFE5">
            <w:pPr>
              <w:spacing w:before="181" w:line="230" w:lineRule="auto"/>
              <w:ind w:left="29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序号</w:t>
            </w:r>
          </w:p>
        </w:tc>
        <w:tc>
          <w:tcPr>
            <w:tcW w:w="3424" w:type="dxa"/>
            <w:vAlign w:val="top"/>
          </w:tcPr>
          <w:p w14:paraId="0B62C712">
            <w:pPr>
              <w:spacing w:before="181" w:line="228" w:lineRule="auto"/>
              <w:ind w:left="129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条款内</w:t>
            </w:r>
            <w:r>
              <w:rPr>
                <w:rFonts w:hint="eastAsia" w:ascii="宋体" w:hAnsi="宋体" w:eastAsia="宋体" w:cs="宋体"/>
                <w:color w:val="auto"/>
                <w:spacing w:val="6"/>
                <w:sz w:val="21"/>
                <w:szCs w:val="21"/>
                <w:highlight w:val="none"/>
              </w:rPr>
              <w:t>容</w:t>
            </w:r>
          </w:p>
        </w:tc>
        <w:tc>
          <w:tcPr>
            <w:tcW w:w="2818" w:type="dxa"/>
            <w:vAlign w:val="top"/>
          </w:tcPr>
          <w:p w14:paraId="40723061">
            <w:pPr>
              <w:spacing w:before="181" w:line="228" w:lineRule="auto"/>
              <w:ind w:left="1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约定内容</w:t>
            </w:r>
          </w:p>
        </w:tc>
        <w:tc>
          <w:tcPr>
            <w:tcW w:w="1696" w:type="dxa"/>
            <w:vAlign w:val="top"/>
          </w:tcPr>
          <w:p w14:paraId="69126759">
            <w:pPr>
              <w:spacing w:before="181" w:line="230" w:lineRule="auto"/>
              <w:ind w:left="64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w:t>
            </w:r>
            <w:r>
              <w:rPr>
                <w:rFonts w:hint="eastAsia" w:ascii="宋体" w:hAnsi="宋体" w:eastAsia="宋体" w:cs="宋体"/>
                <w:color w:val="auto"/>
                <w:spacing w:val="3"/>
                <w:sz w:val="21"/>
                <w:szCs w:val="21"/>
                <w:highlight w:val="none"/>
              </w:rPr>
              <w:t>注</w:t>
            </w:r>
          </w:p>
        </w:tc>
      </w:tr>
      <w:tr w14:paraId="705FD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48E14579">
            <w:pPr>
              <w:spacing w:before="211" w:line="193" w:lineRule="auto"/>
              <w:ind w:left="4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24" w:type="dxa"/>
            <w:vAlign w:val="top"/>
          </w:tcPr>
          <w:p w14:paraId="79ED9351">
            <w:pPr>
              <w:spacing w:before="180" w:line="229" w:lineRule="auto"/>
              <w:ind w:left="13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项</w:t>
            </w:r>
            <w:r>
              <w:rPr>
                <w:rFonts w:hint="eastAsia" w:ascii="宋体" w:hAnsi="宋体" w:eastAsia="宋体" w:cs="宋体"/>
                <w:color w:val="auto"/>
                <w:spacing w:val="6"/>
                <w:sz w:val="21"/>
                <w:szCs w:val="21"/>
                <w:highlight w:val="none"/>
              </w:rPr>
              <w:t>目经理</w:t>
            </w:r>
          </w:p>
        </w:tc>
        <w:tc>
          <w:tcPr>
            <w:tcW w:w="2818" w:type="dxa"/>
            <w:vAlign w:val="top"/>
          </w:tcPr>
          <w:p w14:paraId="46289BC2">
            <w:pPr>
              <w:spacing w:before="180" w:line="228"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姓名：</w:t>
            </w:r>
          </w:p>
        </w:tc>
        <w:tc>
          <w:tcPr>
            <w:tcW w:w="1696" w:type="dxa"/>
            <w:vAlign w:val="top"/>
          </w:tcPr>
          <w:p w14:paraId="188426AF">
            <w:pPr>
              <w:rPr>
                <w:rFonts w:hint="eastAsia" w:ascii="宋体" w:hAnsi="宋体" w:eastAsia="宋体" w:cs="宋体"/>
                <w:color w:val="auto"/>
                <w:sz w:val="21"/>
                <w:szCs w:val="21"/>
                <w:highlight w:val="none"/>
              </w:rPr>
            </w:pPr>
          </w:p>
        </w:tc>
      </w:tr>
      <w:tr w14:paraId="3D1A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6" w:type="dxa"/>
            <w:vAlign w:val="top"/>
          </w:tcPr>
          <w:p w14:paraId="4CF6FF94">
            <w:pPr>
              <w:spacing w:before="211" w:line="192" w:lineRule="auto"/>
              <w:ind w:left="45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424" w:type="dxa"/>
            <w:vAlign w:val="top"/>
          </w:tcPr>
          <w:p w14:paraId="09236388">
            <w:pPr>
              <w:spacing w:before="179" w:line="228" w:lineRule="auto"/>
              <w:ind w:left="993"/>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响</w:t>
            </w:r>
            <w:r>
              <w:rPr>
                <w:rFonts w:hint="eastAsia" w:ascii="宋体" w:hAnsi="宋体" w:eastAsia="宋体" w:cs="宋体"/>
                <w:color w:val="auto"/>
                <w:spacing w:val="7"/>
                <w:sz w:val="21"/>
                <w:szCs w:val="21"/>
                <w:highlight w:val="none"/>
              </w:rPr>
              <w:t>应文件有效期</w:t>
            </w:r>
          </w:p>
        </w:tc>
        <w:tc>
          <w:tcPr>
            <w:tcW w:w="2818" w:type="dxa"/>
            <w:vAlign w:val="top"/>
          </w:tcPr>
          <w:p w14:paraId="3FCB2339">
            <w:pPr>
              <w:rPr>
                <w:rFonts w:hint="eastAsia" w:ascii="宋体" w:hAnsi="宋体" w:eastAsia="宋体" w:cs="宋体"/>
                <w:color w:val="auto"/>
                <w:sz w:val="21"/>
                <w:szCs w:val="21"/>
                <w:highlight w:val="none"/>
              </w:rPr>
            </w:pPr>
          </w:p>
        </w:tc>
        <w:tc>
          <w:tcPr>
            <w:tcW w:w="1696" w:type="dxa"/>
            <w:vAlign w:val="top"/>
          </w:tcPr>
          <w:p w14:paraId="42B19CD6">
            <w:pPr>
              <w:rPr>
                <w:rFonts w:hint="eastAsia" w:ascii="宋体" w:hAnsi="宋体" w:eastAsia="宋体" w:cs="宋体"/>
                <w:color w:val="auto"/>
                <w:sz w:val="21"/>
                <w:szCs w:val="21"/>
                <w:highlight w:val="none"/>
              </w:rPr>
            </w:pPr>
          </w:p>
        </w:tc>
      </w:tr>
      <w:tr w14:paraId="588B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2371AB0F">
            <w:pPr>
              <w:spacing w:before="212" w:line="190"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424" w:type="dxa"/>
            <w:vAlign w:val="top"/>
          </w:tcPr>
          <w:p w14:paraId="0A146CE7">
            <w:pPr>
              <w:spacing w:before="179" w:line="229" w:lineRule="auto"/>
              <w:ind w:left="151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工</w:t>
            </w:r>
            <w:r>
              <w:rPr>
                <w:rFonts w:hint="eastAsia" w:ascii="宋体" w:hAnsi="宋体" w:eastAsia="宋体" w:cs="宋体"/>
                <w:color w:val="auto"/>
                <w:spacing w:val="3"/>
                <w:sz w:val="21"/>
                <w:szCs w:val="21"/>
                <w:highlight w:val="none"/>
              </w:rPr>
              <w:t>期</w:t>
            </w:r>
          </w:p>
        </w:tc>
        <w:tc>
          <w:tcPr>
            <w:tcW w:w="2818" w:type="dxa"/>
            <w:vAlign w:val="top"/>
          </w:tcPr>
          <w:p w14:paraId="1BBA83E3">
            <w:pPr>
              <w:tabs>
                <w:tab w:val="left" w:pos="1506"/>
              </w:tabs>
              <w:spacing w:before="179" w:line="229" w:lineRule="auto"/>
              <w:ind w:left="8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
                <w:sz w:val="21"/>
                <w:szCs w:val="21"/>
                <w:highlight w:val="none"/>
              </w:rPr>
              <w:t>日历天</w:t>
            </w:r>
          </w:p>
        </w:tc>
        <w:tc>
          <w:tcPr>
            <w:tcW w:w="1696" w:type="dxa"/>
            <w:vAlign w:val="top"/>
          </w:tcPr>
          <w:p w14:paraId="55B6D6BB">
            <w:pPr>
              <w:rPr>
                <w:rFonts w:hint="eastAsia" w:ascii="宋体" w:hAnsi="宋体" w:eastAsia="宋体" w:cs="宋体"/>
                <w:color w:val="auto"/>
                <w:sz w:val="21"/>
                <w:szCs w:val="21"/>
                <w:highlight w:val="none"/>
              </w:rPr>
            </w:pPr>
          </w:p>
        </w:tc>
      </w:tr>
      <w:tr w14:paraId="6BF5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055B9B00">
            <w:pPr>
              <w:spacing w:before="215" w:line="192" w:lineRule="auto"/>
              <w:ind w:left="4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424" w:type="dxa"/>
            <w:vAlign w:val="top"/>
          </w:tcPr>
          <w:p w14:paraId="239BB345">
            <w:pPr>
              <w:spacing w:before="182" w:line="229" w:lineRule="auto"/>
              <w:ind w:left="119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质量保证金</w:t>
            </w:r>
          </w:p>
        </w:tc>
        <w:tc>
          <w:tcPr>
            <w:tcW w:w="2818" w:type="dxa"/>
            <w:vAlign w:val="top"/>
          </w:tcPr>
          <w:p w14:paraId="25532308">
            <w:pPr>
              <w:spacing w:before="182" w:line="227" w:lineRule="auto"/>
              <w:ind w:left="69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结</w:t>
            </w:r>
            <w:r>
              <w:rPr>
                <w:rFonts w:hint="eastAsia" w:ascii="宋体" w:hAnsi="宋体" w:eastAsia="宋体" w:cs="宋体"/>
                <w:color w:val="auto"/>
                <w:spacing w:val="5"/>
                <w:sz w:val="21"/>
                <w:szCs w:val="21"/>
                <w:highlight w:val="none"/>
              </w:rPr>
              <w:t>算价的</w:t>
            </w:r>
            <w:r>
              <w:rPr>
                <w:rFonts w:hint="eastAsia" w:ascii="宋体" w:hAnsi="宋体" w:eastAsia="宋体" w:cs="宋体"/>
                <w:color w:val="auto"/>
                <w:spacing w:val="5"/>
                <w:sz w:val="21"/>
                <w:szCs w:val="21"/>
                <w:highlight w:val="none"/>
                <w:u w:val="single" w:color="auto"/>
              </w:rPr>
              <w:t xml:space="preserve">  </w:t>
            </w:r>
            <w:r>
              <w:rPr>
                <w:rFonts w:hint="eastAsia" w:ascii="宋体"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rPr>
              <w:t>%</w:t>
            </w:r>
          </w:p>
        </w:tc>
        <w:tc>
          <w:tcPr>
            <w:tcW w:w="1696" w:type="dxa"/>
            <w:vAlign w:val="top"/>
          </w:tcPr>
          <w:p w14:paraId="1CEED63D">
            <w:pPr>
              <w:rPr>
                <w:rFonts w:hint="eastAsia" w:ascii="宋体" w:hAnsi="宋体" w:eastAsia="宋体" w:cs="宋体"/>
                <w:color w:val="auto"/>
                <w:sz w:val="21"/>
                <w:szCs w:val="21"/>
                <w:highlight w:val="none"/>
              </w:rPr>
            </w:pPr>
          </w:p>
        </w:tc>
      </w:tr>
      <w:tr w14:paraId="7A3BB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6CCCE75E">
            <w:pPr>
              <w:spacing w:before="215" w:line="189"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424" w:type="dxa"/>
            <w:vAlign w:val="top"/>
          </w:tcPr>
          <w:p w14:paraId="05BB475B">
            <w:pPr>
              <w:spacing w:before="181" w:line="229" w:lineRule="auto"/>
              <w:ind w:left="1297"/>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质量标准</w:t>
            </w:r>
          </w:p>
        </w:tc>
        <w:tc>
          <w:tcPr>
            <w:tcW w:w="2818" w:type="dxa"/>
            <w:vAlign w:val="top"/>
          </w:tcPr>
          <w:p w14:paraId="7471EF36">
            <w:pPr>
              <w:rPr>
                <w:rFonts w:hint="eastAsia" w:ascii="宋体" w:hAnsi="宋体" w:eastAsia="宋体" w:cs="宋体"/>
                <w:color w:val="auto"/>
                <w:sz w:val="21"/>
                <w:szCs w:val="21"/>
                <w:highlight w:val="none"/>
              </w:rPr>
            </w:pPr>
          </w:p>
        </w:tc>
        <w:tc>
          <w:tcPr>
            <w:tcW w:w="1696" w:type="dxa"/>
            <w:vAlign w:val="top"/>
          </w:tcPr>
          <w:p w14:paraId="59A9AC93">
            <w:pPr>
              <w:rPr>
                <w:rFonts w:hint="eastAsia" w:ascii="宋体" w:hAnsi="宋体" w:eastAsia="宋体" w:cs="宋体"/>
                <w:color w:val="auto"/>
                <w:sz w:val="21"/>
                <w:szCs w:val="21"/>
                <w:highlight w:val="none"/>
              </w:rPr>
            </w:pPr>
          </w:p>
        </w:tc>
      </w:tr>
      <w:tr w14:paraId="6AEC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3E112699">
            <w:pPr>
              <w:spacing w:before="215" w:line="189" w:lineRule="auto"/>
              <w:ind w:left="45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424" w:type="dxa"/>
            <w:vAlign w:val="top"/>
          </w:tcPr>
          <w:p w14:paraId="10BB8755">
            <w:pPr>
              <w:spacing w:before="181" w:line="229" w:lineRule="auto"/>
              <w:ind w:left="1297"/>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付款条件</w:t>
            </w:r>
          </w:p>
        </w:tc>
        <w:tc>
          <w:tcPr>
            <w:tcW w:w="2818" w:type="dxa"/>
            <w:vAlign w:val="top"/>
          </w:tcPr>
          <w:p w14:paraId="2F8F5914">
            <w:pPr>
              <w:rPr>
                <w:rFonts w:hint="eastAsia" w:ascii="宋体" w:hAnsi="宋体" w:eastAsia="宋体" w:cs="宋体"/>
                <w:color w:val="auto"/>
                <w:sz w:val="21"/>
                <w:szCs w:val="21"/>
                <w:highlight w:val="none"/>
              </w:rPr>
            </w:pPr>
          </w:p>
        </w:tc>
        <w:tc>
          <w:tcPr>
            <w:tcW w:w="1696" w:type="dxa"/>
            <w:vAlign w:val="top"/>
          </w:tcPr>
          <w:p w14:paraId="09EEFF89">
            <w:pPr>
              <w:rPr>
                <w:rFonts w:hint="eastAsia" w:ascii="宋体" w:hAnsi="宋体" w:eastAsia="宋体" w:cs="宋体"/>
                <w:color w:val="auto"/>
                <w:sz w:val="21"/>
                <w:szCs w:val="21"/>
                <w:highlight w:val="none"/>
              </w:rPr>
            </w:pPr>
          </w:p>
        </w:tc>
      </w:tr>
      <w:tr w14:paraId="6C4A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40FC1DE5">
            <w:pPr>
              <w:spacing w:before="181" w:line="325" w:lineRule="exact"/>
              <w:ind w:left="306"/>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3424" w:type="dxa"/>
            <w:vAlign w:val="top"/>
          </w:tcPr>
          <w:p w14:paraId="161A8AE4">
            <w:pPr>
              <w:spacing w:before="181" w:line="325" w:lineRule="exact"/>
              <w:ind w:left="1521"/>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2818" w:type="dxa"/>
            <w:vAlign w:val="top"/>
          </w:tcPr>
          <w:p w14:paraId="6B199D5F">
            <w:pPr>
              <w:rPr>
                <w:rFonts w:hint="eastAsia" w:ascii="宋体" w:hAnsi="宋体" w:eastAsia="宋体" w:cs="宋体"/>
                <w:color w:val="auto"/>
                <w:sz w:val="21"/>
                <w:szCs w:val="21"/>
                <w:highlight w:val="none"/>
              </w:rPr>
            </w:pPr>
          </w:p>
        </w:tc>
        <w:tc>
          <w:tcPr>
            <w:tcW w:w="1696" w:type="dxa"/>
            <w:vAlign w:val="top"/>
          </w:tcPr>
          <w:p w14:paraId="3F68DCC5">
            <w:pPr>
              <w:rPr>
                <w:rFonts w:hint="eastAsia" w:ascii="宋体" w:hAnsi="宋体" w:eastAsia="宋体" w:cs="宋体"/>
                <w:color w:val="auto"/>
                <w:sz w:val="21"/>
                <w:szCs w:val="21"/>
                <w:highlight w:val="none"/>
              </w:rPr>
            </w:pPr>
          </w:p>
        </w:tc>
      </w:tr>
      <w:tr w14:paraId="15E16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8934" w:type="dxa"/>
            <w:gridSpan w:val="4"/>
            <w:vAlign w:val="top"/>
          </w:tcPr>
          <w:p w14:paraId="6218BEA7">
            <w:pPr>
              <w:keepNext w:val="0"/>
              <w:keepLines w:val="0"/>
              <w:pageBreakBefore w:val="0"/>
              <w:widowControl w:val="0"/>
              <w:kinsoku/>
              <w:wordWrap/>
              <w:overflowPunct/>
              <w:topLinePunct w:val="0"/>
              <w:autoSpaceDE/>
              <w:autoSpaceDN/>
              <w:bidi w:val="0"/>
              <w:adjustRightInd/>
              <w:snapToGrid/>
              <w:spacing w:line="400" w:lineRule="exact"/>
              <w:ind w:left="119" w:right="102" w:firstLine="6"/>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备</w:t>
            </w:r>
            <w:r>
              <w:rPr>
                <w:rFonts w:hint="eastAsia" w:ascii="宋体" w:hAnsi="宋体" w:eastAsia="宋体" w:cs="宋体"/>
                <w:color w:val="auto"/>
                <w:spacing w:val="7"/>
                <w:sz w:val="21"/>
                <w:szCs w:val="21"/>
                <w:highlight w:val="none"/>
              </w:rPr>
              <w:t>注：供应商在响应竞争性磋商文件中规定的实质性要求和条件的基础上，可做出其他有利于采</w:t>
            </w:r>
            <w:r>
              <w:rPr>
                <w:rFonts w:hint="eastAsia" w:ascii="宋体" w:hAnsi="宋体" w:eastAsia="宋体" w:cs="宋体"/>
                <w:color w:val="auto"/>
                <w:spacing w:val="13"/>
                <w:sz w:val="21"/>
                <w:szCs w:val="21"/>
                <w:highlight w:val="none"/>
              </w:rPr>
              <w:t>购</w:t>
            </w:r>
            <w:r>
              <w:rPr>
                <w:rFonts w:hint="eastAsia" w:ascii="宋体" w:hAnsi="宋体" w:eastAsia="宋体" w:cs="宋体"/>
                <w:color w:val="auto"/>
                <w:spacing w:val="9"/>
                <w:sz w:val="21"/>
                <w:szCs w:val="21"/>
                <w:highlight w:val="none"/>
              </w:rPr>
              <w:t>单位的承诺。此类承诺可在本表中予以补充填写。</w:t>
            </w:r>
          </w:p>
        </w:tc>
      </w:tr>
    </w:tbl>
    <w:p w14:paraId="26545568">
      <w:pPr>
        <w:pStyle w:val="49"/>
        <w:keepNext w:val="0"/>
        <w:keepLines w:val="0"/>
        <w:pageBreakBefore w:val="0"/>
        <w:widowControl w:val="0"/>
        <w:kinsoku/>
        <w:wordWrap/>
        <w:overflowPunct/>
        <w:topLinePunct w:val="0"/>
        <w:autoSpaceDE w:val="0"/>
        <w:autoSpaceDN w:val="0"/>
        <w:bidi w:val="0"/>
        <w:adjustRightInd w:val="0"/>
        <w:snapToGrid/>
        <w:spacing w:line="360" w:lineRule="exact"/>
        <w:ind w:firstLine="482" w:firstLineChars="200"/>
        <w:jc w:val="both"/>
        <w:textAlignment w:val="auto"/>
        <w:rPr>
          <w:rFonts w:hint="eastAsia" w:asciiTheme="majorEastAsia" w:hAnsiTheme="majorEastAsia" w:eastAsiaTheme="majorEastAsia" w:cstheme="majorEastAsia"/>
          <w:b/>
          <w:bCs/>
          <w:color w:val="auto"/>
          <w:sz w:val="24"/>
          <w:szCs w:val="32"/>
          <w:highlight w:val="none"/>
        </w:rPr>
      </w:pPr>
    </w:p>
    <w:p w14:paraId="5CFF9BB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48350403">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6986668B">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6F3DF36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A633E9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96AC9CA">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1F6F65F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1DE731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F50A21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6BD5BE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77A516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DD7763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F371B6B">
      <w:pPr>
        <w:spacing w:line="360" w:lineRule="auto"/>
        <w:jc w:val="center"/>
        <w:rPr>
          <w:rFonts w:hint="eastAsia" w:ascii="方正小标宋简体" w:hAnsi="方正小标宋简体" w:eastAsia="方正小标宋简体" w:cs="方正小标宋简体"/>
          <w:bCs/>
          <w:color w:val="auto"/>
          <w:sz w:val="32"/>
          <w:szCs w:val="32"/>
          <w:highlight w:val="none"/>
        </w:rPr>
      </w:pPr>
      <w:r>
        <w:rPr>
          <w:rFonts w:hint="eastAsia" w:ascii="宋体" w:hAnsi="宋体" w:cs="方正小标宋简体"/>
          <w:b/>
          <w:bCs/>
          <w:color w:val="auto"/>
          <w:sz w:val="32"/>
          <w:szCs w:val="32"/>
          <w:highlight w:val="none"/>
        </w:rPr>
        <w:t>竞标报价表</w:t>
      </w:r>
      <w:r>
        <w:rPr>
          <w:rFonts w:hint="eastAsia" w:asciiTheme="majorEastAsia" w:hAnsiTheme="majorEastAsia" w:eastAsiaTheme="majorEastAsia" w:cstheme="majorEastAsia"/>
          <w:b/>
          <w:bCs/>
          <w:color w:val="auto"/>
          <w:sz w:val="28"/>
          <w:szCs w:val="28"/>
          <w:highlight w:val="none"/>
          <w:lang w:eastAsia="zh-CN"/>
        </w:rPr>
        <w:t>（格式）</w:t>
      </w:r>
    </w:p>
    <w:p w14:paraId="23CC9939">
      <w:pPr>
        <w:spacing w:line="440" w:lineRule="exact"/>
        <w:jc w:val="center"/>
        <w:rPr>
          <w:rFonts w:hint="eastAsia" w:ascii="方正小标宋简体" w:hAnsi="方正小标宋简体" w:eastAsia="方正小标宋简体" w:cs="方正小标宋简体"/>
          <w:bCs/>
          <w:color w:val="auto"/>
          <w:sz w:val="32"/>
          <w:szCs w:val="32"/>
          <w:highlight w:val="none"/>
        </w:rPr>
      </w:pPr>
    </w:p>
    <w:p w14:paraId="58F73104">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单位：元</w:t>
      </w:r>
    </w:p>
    <w:tbl>
      <w:tblPr>
        <w:tblStyle w:val="3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5366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1023BED">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7BB8C0F2">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lang w:eastAsia="zh-CN"/>
              </w:rPr>
              <w:t>标的</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98EE18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0FCCF1FA">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竞标报价（元）</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14CC7BA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0C62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409A049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41CCF834">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4F7C4EF1">
            <w:pPr>
              <w:spacing w:line="360" w:lineRule="auto"/>
              <w:contextualSpacing/>
              <w:jc w:val="center"/>
              <w:rPr>
                <w:rFonts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6EBDE8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A24DDA7">
            <w:pPr>
              <w:spacing w:line="360" w:lineRule="auto"/>
              <w:contextualSpacing/>
              <w:rPr>
                <w:rFonts w:ascii="宋体" w:hAnsi="宋体" w:cs="仿宋_GB2312"/>
                <w:color w:val="auto"/>
                <w:sz w:val="24"/>
                <w:highlight w:val="none"/>
              </w:rPr>
            </w:pPr>
          </w:p>
        </w:tc>
      </w:tr>
      <w:tr w14:paraId="064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813519D">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3A47A3CF">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278B2746">
            <w:pPr>
              <w:spacing w:line="360" w:lineRule="auto"/>
              <w:contextualSpacing/>
              <w:jc w:val="center"/>
              <w:rPr>
                <w:rFonts w:hint="eastAsia"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BFEBCB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4B9BB38">
            <w:pPr>
              <w:spacing w:line="360" w:lineRule="auto"/>
              <w:contextualSpacing/>
              <w:rPr>
                <w:rFonts w:ascii="宋体" w:hAnsi="宋体" w:cs="仿宋_GB2312"/>
                <w:color w:val="auto"/>
                <w:sz w:val="24"/>
                <w:highlight w:val="none"/>
              </w:rPr>
            </w:pPr>
          </w:p>
        </w:tc>
      </w:tr>
      <w:tr w14:paraId="37C6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3397D6D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BB180B9">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2FA5081D">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1C2CBF61">
      <w:pPr>
        <w:spacing w:line="360" w:lineRule="auto"/>
        <w:ind w:firstLine="480" w:firstLineChars="20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38F444A">
      <w:pPr>
        <w:spacing w:line="360" w:lineRule="auto"/>
        <w:ind w:firstLine="482" w:firstLineChars="200"/>
        <w:contextualSpacing/>
        <w:jc w:val="left"/>
        <w:rPr>
          <w:rFonts w:hint="default" w:ascii="宋体" w:hAnsi="宋体" w:cs="仿宋_GB2312"/>
          <w:b/>
          <w:bCs/>
          <w:color w:val="auto"/>
          <w:sz w:val="24"/>
          <w:highlight w:val="none"/>
          <w:lang w:val="en-US" w:eastAsia="zh-CN"/>
        </w:rPr>
      </w:pPr>
      <w:r>
        <w:rPr>
          <w:rFonts w:hint="eastAsia" w:ascii="宋体" w:hAnsi="宋体" w:cs="仿宋_GB2312"/>
          <w:b/>
          <w:bCs/>
          <w:color w:val="auto"/>
          <w:sz w:val="24"/>
          <w:highlight w:val="none"/>
          <w:lang w:val="en-US" w:eastAsia="zh-CN"/>
        </w:rPr>
        <w:t>3.</w:t>
      </w:r>
      <w:r>
        <w:rPr>
          <w:rFonts w:hint="eastAsia" w:ascii="宋体" w:hAnsi="宋体" w:eastAsia="宋体" w:cs="宋体"/>
          <w:b/>
          <w:bCs/>
          <w:color w:val="auto"/>
          <w:sz w:val="24"/>
          <w:szCs w:val="24"/>
          <w:highlight w:val="none"/>
          <w:lang w:val="en-US" w:eastAsia="zh-CN"/>
        </w:rPr>
        <w:t>在</w:t>
      </w:r>
      <w:r>
        <w:rPr>
          <w:rFonts w:hint="eastAsia" w:ascii="宋体" w:hAnsi="宋体" w:cs="宋体"/>
          <w:b/>
          <w:bCs/>
          <w:color w:val="auto"/>
          <w:sz w:val="24"/>
          <w:szCs w:val="24"/>
          <w:highlight w:val="none"/>
          <w:lang w:val="en-US" w:eastAsia="zh-CN"/>
        </w:rPr>
        <w:t>广西政府采购云平台</w:t>
      </w:r>
      <w:r>
        <w:rPr>
          <w:rFonts w:hint="eastAsia" w:ascii="宋体" w:hAnsi="宋体" w:eastAsia="宋体" w:cs="宋体"/>
          <w:b/>
          <w:bCs/>
          <w:color w:val="auto"/>
          <w:sz w:val="24"/>
          <w:szCs w:val="24"/>
          <w:highlight w:val="none"/>
          <w:lang w:val="en-US" w:eastAsia="zh-CN"/>
        </w:rPr>
        <w:t>评审过程中，</w:t>
      </w:r>
      <w:r>
        <w:rPr>
          <w:rFonts w:hint="eastAsia" w:ascii="宋体" w:hAnsi="宋体" w:cs="宋体"/>
          <w:b/>
          <w:bCs/>
          <w:color w:val="auto"/>
          <w:sz w:val="24"/>
          <w:szCs w:val="24"/>
          <w:highlight w:val="none"/>
          <w:lang w:val="en-US" w:eastAsia="zh-CN"/>
        </w:rPr>
        <w:t>供应商提交的</w:t>
      </w:r>
      <w:r>
        <w:rPr>
          <w:rFonts w:hint="eastAsia" w:ascii="宋体" w:hAnsi="宋体" w:cs="仿宋_GB2312"/>
          <w:b/>
          <w:bCs/>
          <w:color w:val="auto"/>
          <w:sz w:val="24"/>
          <w:highlight w:val="none"/>
        </w:rPr>
        <w:t>最后报价与首次报价相比有调整的</w:t>
      </w:r>
      <w:r>
        <w:rPr>
          <w:rFonts w:hint="eastAsia" w:ascii="宋体" w:hAnsi="宋体" w:cs="仿宋_GB2312"/>
          <w:b/>
          <w:bCs/>
          <w:color w:val="auto"/>
          <w:sz w:val="24"/>
          <w:highlight w:val="none"/>
          <w:lang w:eastAsia="zh-CN"/>
        </w:rPr>
        <w:t>，必须同时上传相对应的“已标价的工程量清单”作为附件，</w:t>
      </w:r>
      <w:r>
        <w:rPr>
          <w:rFonts w:hint="eastAsia" w:ascii="宋体" w:hAnsi="宋体" w:cs="仿宋_GB2312"/>
          <w:b/>
          <w:bCs/>
          <w:color w:val="auto"/>
          <w:sz w:val="24"/>
          <w:highlight w:val="none"/>
        </w:rPr>
        <w:t>否则其响应文件按无效处理。</w:t>
      </w:r>
    </w:p>
    <w:p w14:paraId="6E3B4EEE">
      <w:pPr>
        <w:spacing w:line="360" w:lineRule="auto"/>
        <w:ind w:right="-817" w:rightChars="-389"/>
        <w:contextualSpacing/>
        <w:rPr>
          <w:rFonts w:hint="eastAsia" w:ascii="宋体" w:hAnsi="宋体" w:cs="仿宋_GB2312"/>
          <w:color w:val="auto"/>
          <w:sz w:val="24"/>
          <w:highlight w:val="none"/>
        </w:rPr>
      </w:pPr>
    </w:p>
    <w:p w14:paraId="7D11366A">
      <w:pPr>
        <w:spacing w:line="360" w:lineRule="auto"/>
        <w:ind w:right="-817" w:rightChars="-389"/>
        <w:contextualSpacing/>
        <w:rPr>
          <w:rFonts w:hint="eastAsia" w:ascii="宋体" w:hAnsi="宋体" w:cs="仿宋_GB2312"/>
          <w:color w:val="auto"/>
          <w:sz w:val="24"/>
          <w:highlight w:val="none"/>
        </w:rPr>
      </w:pPr>
    </w:p>
    <w:p w14:paraId="6F0C3DD7">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BA38AFA">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8D7A73B">
      <w:pPr>
        <w:spacing w:line="360" w:lineRule="auto"/>
        <w:ind w:right="-817" w:rightChars="-389"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466BA2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D3EB9C7">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C10A20C">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3CCE371">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029D6BB">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23D44F33">
      <w:pPr>
        <w:pStyle w:val="49"/>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已标价工程量清单</w:t>
      </w:r>
    </w:p>
    <w:p w14:paraId="085517F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p>
    <w:p w14:paraId="68BC5B8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r>
        <w:rPr>
          <w:rFonts w:hint="eastAsia" w:ascii="宋体" w:hAnsi="宋体" w:eastAsia="宋体" w:cs="宋体"/>
          <w:b w:val="0"/>
          <w:bCs w:val="0"/>
          <w:color w:val="auto"/>
          <w:sz w:val="21"/>
          <w:szCs w:val="24"/>
          <w:highlight w:val="none"/>
        </w:rPr>
        <w:t>1、说明：已标价工程量清单按规范中的“工程量清单”中的相关清单表格式填写。构成合同文件的已标价工程量清单包括规范中的“工程量清单”有关工程量清单、磋商报价以及其他说明的内容。</w:t>
      </w:r>
    </w:p>
    <w:p w14:paraId="52E303E3">
      <w:pPr>
        <w:autoSpaceDE w:val="0"/>
        <w:autoSpaceDN w:val="0"/>
        <w:adjustRightInd w:val="0"/>
        <w:spacing w:line="360" w:lineRule="auto"/>
        <w:rPr>
          <w:rFonts w:ascii="宋体" w:hAnsi="宋体"/>
          <w:b/>
          <w:bCs/>
          <w:color w:val="auto"/>
          <w:sz w:val="32"/>
          <w:szCs w:val="32"/>
          <w:highlight w:val="none"/>
          <w:lang w:val="zh-CN"/>
        </w:rPr>
      </w:pPr>
    </w:p>
    <w:p w14:paraId="423A110C">
      <w:pPr>
        <w:autoSpaceDE w:val="0"/>
        <w:autoSpaceDN w:val="0"/>
        <w:adjustRightInd w:val="0"/>
        <w:spacing w:line="360" w:lineRule="auto"/>
        <w:rPr>
          <w:rFonts w:ascii="宋体" w:hAnsi="宋体"/>
          <w:b/>
          <w:bCs/>
          <w:color w:val="auto"/>
          <w:sz w:val="32"/>
          <w:szCs w:val="32"/>
          <w:highlight w:val="none"/>
          <w:lang w:val="zh-CN"/>
        </w:rPr>
      </w:pPr>
    </w:p>
    <w:p w14:paraId="24CBFCFB">
      <w:pPr>
        <w:autoSpaceDE w:val="0"/>
        <w:autoSpaceDN w:val="0"/>
        <w:adjustRightInd w:val="0"/>
        <w:spacing w:line="360" w:lineRule="auto"/>
        <w:rPr>
          <w:rFonts w:ascii="宋体" w:hAnsi="宋体"/>
          <w:b/>
          <w:bCs/>
          <w:color w:val="auto"/>
          <w:sz w:val="32"/>
          <w:szCs w:val="32"/>
          <w:highlight w:val="none"/>
          <w:lang w:val="zh-CN"/>
        </w:rPr>
      </w:pPr>
    </w:p>
    <w:p w14:paraId="12148EE7">
      <w:pPr>
        <w:autoSpaceDE w:val="0"/>
        <w:autoSpaceDN w:val="0"/>
        <w:adjustRightInd w:val="0"/>
        <w:spacing w:line="360" w:lineRule="auto"/>
        <w:rPr>
          <w:rFonts w:ascii="宋体" w:hAnsi="宋体"/>
          <w:b/>
          <w:bCs/>
          <w:color w:val="auto"/>
          <w:sz w:val="32"/>
          <w:szCs w:val="32"/>
          <w:highlight w:val="none"/>
          <w:lang w:val="zh-CN"/>
        </w:rPr>
      </w:pPr>
    </w:p>
    <w:p w14:paraId="2E1F6C39">
      <w:pPr>
        <w:autoSpaceDE w:val="0"/>
        <w:autoSpaceDN w:val="0"/>
        <w:adjustRightInd w:val="0"/>
        <w:spacing w:line="360" w:lineRule="auto"/>
        <w:rPr>
          <w:rFonts w:ascii="宋体" w:hAnsi="宋体"/>
          <w:b/>
          <w:bCs/>
          <w:color w:val="auto"/>
          <w:sz w:val="32"/>
          <w:szCs w:val="32"/>
          <w:highlight w:val="none"/>
          <w:lang w:val="zh-CN"/>
        </w:rPr>
      </w:pPr>
    </w:p>
    <w:p w14:paraId="7B0E2994">
      <w:pPr>
        <w:autoSpaceDE w:val="0"/>
        <w:autoSpaceDN w:val="0"/>
        <w:adjustRightInd w:val="0"/>
        <w:spacing w:line="360" w:lineRule="auto"/>
        <w:rPr>
          <w:rFonts w:ascii="宋体" w:hAnsi="宋体"/>
          <w:b/>
          <w:bCs/>
          <w:color w:val="auto"/>
          <w:sz w:val="32"/>
          <w:szCs w:val="32"/>
          <w:highlight w:val="none"/>
          <w:lang w:val="zh-CN"/>
        </w:rPr>
      </w:pPr>
    </w:p>
    <w:p w14:paraId="3FCA6BE7">
      <w:pPr>
        <w:autoSpaceDE w:val="0"/>
        <w:autoSpaceDN w:val="0"/>
        <w:adjustRightInd w:val="0"/>
        <w:spacing w:line="360" w:lineRule="auto"/>
        <w:rPr>
          <w:rFonts w:ascii="宋体" w:hAnsi="宋体"/>
          <w:b/>
          <w:bCs/>
          <w:color w:val="auto"/>
          <w:sz w:val="32"/>
          <w:szCs w:val="32"/>
          <w:highlight w:val="none"/>
          <w:lang w:val="zh-CN"/>
        </w:rPr>
      </w:pPr>
    </w:p>
    <w:p w14:paraId="7EDB48C4">
      <w:pPr>
        <w:autoSpaceDE w:val="0"/>
        <w:autoSpaceDN w:val="0"/>
        <w:adjustRightInd w:val="0"/>
        <w:spacing w:line="360" w:lineRule="auto"/>
        <w:rPr>
          <w:rFonts w:ascii="宋体" w:hAnsi="宋体"/>
          <w:b/>
          <w:bCs/>
          <w:color w:val="auto"/>
          <w:sz w:val="32"/>
          <w:szCs w:val="32"/>
          <w:highlight w:val="none"/>
          <w:lang w:val="zh-CN"/>
        </w:rPr>
      </w:pPr>
    </w:p>
    <w:p w14:paraId="441F10EC">
      <w:pPr>
        <w:autoSpaceDE w:val="0"/>
        <w:autoSpaceDN w:val="0"/>
        <w:adjustRightInd w:val="0"/>
        <w:spacing w:line="360" w:lineRule="auto"/>
        <w:rPr>
          <w:rFonts w:ascii="宋体" w:hAnsi="宋体"/>
          <w:b/>
          <w:bCs/>
          <w:color w:val="auto"/>
          <w:sz w:val="32"/>
          <w:szCs w:val="32"/>
          <w:highlight w:val="none"/>
          <w:lang w:val="zh-CN"/>
        </w:rPr>
      </w:pPr>
    </w:p>
    <w:p w14:paraId="48D6D716">
      <w:pPr>
        <w:autoSpaceDE w:val="0"/>
        <w:autoSpaceDN w:val="0"/>
        <w:adjustRightInd w:val="0"/>
        <w:spacing w:line="360" w:lineRule="auto"/>
        <w:rPr>
          <w:rFonts w:ascii="宋体" w:hAnsi="宋体"/>
          <w:b/>
          <w:bCs/>
          <w:color w:val="auto"/>
          <w:sz w:val="32"/>
          <w:szCs w:val="32"/>
          <w:highlight w:val="none"/>
          <w:lang w:val="zh-CN"/>
        </w:rPr>
      </w:pPr>
    </w:p>
    <w:p w14:paraId="549E176B">
      <w:pPr>
        <w:autoSpaceDE w:val="0"/>
        <w:autoSpaceDN w:val="0"/>
        <w:adjustRightInd w:val="0"/>
        <w:spacing w:line="360" w:lineRule="auto"/>
        <w:rPr>
          <w:rFonts w:ascii="宋体" w:hAnsi="宋体"/>
          <w:b/>
          <w:bCs/>
          <w:color w:val="auto"/>
          <w:sz w:val="32"/>
          <w:szCs w:val="32"/>
          <w:highlight w:val="none"/>
          <w:lang w:val="zh-CN"/>
        </w:rPr>
      </w:pPr>
    </w:p>
    <w:p w14:paraId="40753DC5">
      <w:pPr>
        <w:autoSpaceDE w:val="0"/>
        <w:autoSpaceDN w:val="0"/>
        <w:adjustRightInd w:val="0"/>
        <w:spacing w:line="360" w:lineRule="auto"/>
        <w:rPr>
          <w:rFonts w:ascii="宋体" w:hAnsi="宋体"/>
          <w:b/>
          <w:bCs/>
          <w:color w:val="auto"/>
          <w:sz w:val="32"/>
          <w:szCs w:val="32"/>
          <w:highlight w:val="none"/>
          <w:lang w:val="zh-CN"/>
        </w:rPr>
      </w:pPr>
    </w:p>
    <w:p w14:paraId="031102D5">
      <w:pPr>
        <w:autoSpaceDE w:val="0"/>
        <w:autoSpaceDN w:val="0"/>
        <w:adjustRightInd w:val="0"/>
        <w:spacing w:line="360" w:lineRule="auto"/>
        <w:rPr>
          <w:rFonts w:ascii="宋体" w:hAnsi="宋体"/>
          <w:b/>
          <w:bCs/>
          <w:color w:val="auto"/>
          <w:sz w:val="32"/>
          <w:szCs w:val="32"/>
          <w:highlight w:val="none"/>
          <w:lang w:val="zh-CN"/>
        </w:rPr>
      </w:pPr>
    </w:p>
    <w:p w14:paraId="1D0E72CF">
      <w:pPr>
        <w:autoSpaceDE w:val="0"/>
        <w:autoSpaceDN w:val="0"/>
        <w:adjustRightInd w:val="0"/>
        <w:spacing w:line="360" w:lineRule="auto"/>
        <w:rPr>
          <w:rFonts w:ascii="宋体" w:hAnsi="宋体"/>
          <w:b/>
          <w:bCs/>
          <w:color w:val="auto"/>
          <w:sz w:val="32"/>
          <w:szCs w:val="32"/>
          <w:highlight w:val="none"/>
          <w:lang w:val="zh-CN"/>
        </w:rPr>
      </w:pPr>
    </w:p>
    <w:p w14:paraId="41259A3B">
      <w:pPr>
        <w:autoSpaceDE w:val="0"/>
        <w:autoSpaceDN w:val="0"/>
        <w:adjustRightInd w:val="0"/>
        <w:spacing w:line="360" w:lineRule="auto"/>
        <w:rPr>
          <w:rFonts w:ascii="宋体" w:hAnsi="宋体"/>
          <w:b/>
          <w:bCs/>
          <w:color w:val="auto"/>
          <w:sz w:val="32"/>
          <w:szCs w:val="32"/>
          <w:highlight w:val="none"/>
          <w:lang w:val="zh-CN"/>
        </w:rPr>
      </w:pPr>
    </w:p>
    <w:p w14:paraId="37B78170">
      <w:pPr>
        <w:autoSpaceDE w:val="0"/>
        <w:autoSpaceDN w:val="0"/>
        <w:adjustRightInd w:val="0"/>
        <w:spacing w:line="360" w:lineRule="auto"/>
        <w:rPr>
          <w:rFonts w:ascii="宋体" w:hAnsi="宋体"/>
          <w:b/>
          <w:bCs/>
          <w:color w:val="auto"/>
          <w:sz w:val="32"/>
          <w:szCs w:val="32"/>
          <w:highlight w:val="none"/>
          <w:lang w:val="zh-CN"/>
        </w:rPr>
      </w:pPr>
    </w:p>
    <w:p w14:paraId="572A3419">
      <w:pPr>
        <w:autoSpaceDE w:val="0"/>
        <w:autoSpaceDN w:val="0"/>
        <w:adjustRightInd w:val="0"/>
        <w:spacing w:line="360" w:lineRule="auto"/>
        <w:rPr>
          <w:rFonts w:ascii="宋体" w:hAnsi="宋体"/>
          <w:b/>
          <w:bCs/>
          <w:color w:val="auto"/>
          <w:sz w:val="32"/>
          <w:szCs w:val="32"/>
          <w:highlight w:val="none"/>
          <w:lang w:val="zh-CN"/>
        </w:rPr>
      </w:pPr>
    </w:p>
    <w:p w14:paraId="3D3CE774">
      <w:pPr>
        <w:spacing w:line="360" w:lineRule="auto"/>
        <w:contextualSpacing/>
        <w:jc w:val="both"/>
        <w:rPr>
          <w:rFonts w:hint="eastAsia" w:ascii="宋体" w:hAnsi="宋体"/>
          <w:b/>
          <w:bCs/>
          <w:color w:val="auto"/>
          <w:sz w:val="32"/>
          <w:szCs w:val="32"/>
          <w:highlight w:val="none"/>
        </w:rPr>
      </w:pPr>
    </w:p>
    <w:p w14:paraId="2898D0AD">
      <w:pPr>
        <w:spacing w:line="360" w:lineRule="auto"/>
        <w:contextualSpacing/>
        <w:jc w:val="both"/>
        <w:rPr>
          <w:rFonts w:hint="eastAsia" w:ascii="宋体" w:hAnsi="宋体"/>
          <w:b/>
          <w:bCs/>
          <w:color w:val="auto"/>
          <w:sz w:val="32"/>
          <w:szCs w:val="32"/>
          <w:highlight w:val="none"/>
        </w:rPr>
      </w:pPr>
    </w:p>
    <w:p w14:paraId="4FEE6086">
      <w:pPr>
        <w:spacing w:line="360" w:lineRule="auto"/>
        <w:contextualSpacing/>
        <w:jc w:val="both"/>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2444178B">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75FAD473">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50B86914">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DAB5BD5">
      <w:pPr>
        <w:snapToGrid w:val="0"/>
        <w:spacing w:before="156" w:beforeLines="50" w:after="50"/>
        <w:rPr>
          <w:rFonts w:hint="eastAsia" w:ascii="宋体" w:hAnsi="宋体"/>
          <w:color w:val="auto"/>
          <w:sz w:val="24"/>
          <w:szCs w:val="20"/>
          <w:highlight w:val="none"/>
        </w:rPr>
      </w:pPr>
    </w:p>
    <w:p w14:paraId="265CDF50">
      <w:pPr>
        <w:snapToGrid w:val="0"/>
        <w:spacing w:before="156" w:beforeLines="50" w:after="50"/>
        <w:rPr>
          <w:rFonts w:hint="eastAsia" w:ascii="宋体" w:hAnsi="宋体"/>
          <w:color w:val="auto"/>
          <w:sz w:val="24"/>
          <w:szCs w:val="20"/>
          <w:highlight w:val="none"/>
        </w:rPr>
      </w:pPr>
    </w:p>
    <w:p w14:paraId="20844B5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29E72B55">
      <w:pPr>
        <w:snapToGrid w:val="0"/>
        <w:spacing w:before="156" w:beforeLines="50" w:after="50"/>
        <w:rPr>
          <w:rFonts w:hint="eastAsia" w:ascii="宋体" w:hAnsi="宋体"/>
          <w:bCs/>
          <w:color w:val="auto"/>
          <w:sz w:val="24"/>
          <w:szCs w:val="20"/>
          <w:highlight w:val="none"/>
        </w:rPr>
      </w:pPr>
    </w:p>
    <w:p w14:paraId="12723313">
      <w:pPr>
        <w:snapToGrid w:val="0"/>
        <w:spacing w:before="156" w:beforeLines="50" w:after="50"/>
        <w:rPr>
          <w:rFonts w:hint="eastAsia" w:ascii="宋体" w:hAnsi="宋体"/>
          <w:bCs/>
          <w:color w:val="auto"/>
          <w:sz w:val="24"/>
          <w:szCs w:val="20"/>
          <w:highlight w:val="none"/>
        </w:rPr>
      </w:pPr>
    </w:p>
    <w:p w14:paraId="13E30F5B">
      <w:pPr>
        <w:snapToGrid w:val="0"/>
        <w:spacing w:before="156" w:beforeLines="50" w:after="50"/>
        <w:rPr>
          <w:rFonts w:hint="eastAsia" w:ascii="宋体" w:hAnsi="宋体"/>
          <w:bCs/>
          <w:color w:val="auto"/>
          <w:sz w:val="24"/>
          <w:szCs w:val="20"/>
          <w:highlight w:val="none"/>
        </w:rPr>
      </w:pPr>
    </w:p>
    <w:p w14:paraId="1C59AC23">
      <w:pPr>
        <w:snapToGrid w:val="0"/>
        <w:spacing w:before="156" w:beforeLines="50" w:after="50"/>
        <w:rPr>
          <w:rFonts w:hint="eastAsia" w:ascii="宋体" w:hAnsi="宋体"/>
          <w:bCs/>
          <w:color w:val="auto"/>
          <w:sz w:val="24"/>
          <w:szCs w:val="20"/>
          <w:highlight w:val="none"/>
        </w:rPr>
      </w:pPr>
    </w:p>
    <w:p w14:paraId="2DB80ED6">
      <w:pPr>
        <w:snapToGrid w:val="0"/>
        <w:spacing w:before="156" w:beforeLines="50" w:after="50"/>
        <w:rPr>
          <w:rFonts w:hint="eastAsia" w:ascii="宋体" w:hAnsi="宋体"/>
          <w:bCs/>
          <w:color w:val="auto"/>
          <w:sz w:val="24"/>
          <w:szCs w:val="20"/>
          <w:highlight w:val="none"/>
        </w:rPr>
      </w:pPr>
    </w:p>
    <w:p w14:paraId="2117BFF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DE62AA1">
      <w:pPr>
        <w:snapToGrid w:val="0"/>
        <w:spacing w:before="156" w:beforeLines="50" w:after="50"/>
        <w:ind w:firstLine="720" w:firstLineChars="225"/>
        <w:rPr>
          <w:rFonts w:hint="eastAsia" w:ascii="宋体" w:hAnsi="宋体" w:cs="仿宋_GB2312"/>
          <w:bCs/>
          <w:color w:val="auto"/>
          <w:sz w:val="32"/>
          <w:szCs w:val="32"/>
          <w:highlight w:val="none"/>
        </w:rPr>
      </w:pPr>
    </w:p>
    <w:p w14:paraId="5B87FAA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F36F488">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3B4895">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DACDE0E">
      <w:pPr>
        <w:pStyle w:val="8"/>
        <w:snapToGrid w:val="0"/>
        <w:spacing w:before="50" w:after="50"/>
        <w:rPr>
          <w:rFonts w:hint="eastAsia" w:ascii="宋体" w:hAnsi="宋体" w:cs="仿宋_GB2312"/>
          <w:bCs/>
          <w:color w:val="auto"/>
          <w:sz w:val="32"/>
          <w:szCs w:val="32"/>
          <w:highlight w:val="none"/>
        </w:rPr>
      </w:pPr>
    </w:p>
    <w:p w14:paraId="3443F0CE">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5A1A7288">
      <w:pPr>
        <w:pStyle w:val="8"/>
        <w:snapToGrid w:val="0"/>
        <w:spacing w:before="50" w:after="50"/>
        <w:ind w:firstLine="640" w:firstLineChars="200"/>
        <w:rPr>
          <w:rFonts w:hint="eastAsia" w:ascii="宋体" w:hAnsi="宋体" w:cs="仿宋_GB2312"/>
          <w:bCs/>
          <w:color w:val="auto"/>
          <w:sz w:val="32"/>
          <w:szCs w:val="32"/>
          <w:highlight w:val="none"/>
        </w:rPr>
      </w:pPr>
    </w:p>
    <w:p w14:paraId="580B0C7B">
      <w:pPr>
        <w:pStyle w:val="8"/>
        <w:snapToGrid w:val="0"/>
        <w:spacing w:before="50" w:after="50"/>
        <w:ind w:firstLine="720" w:firstLineChars="225"/>
        <w:rPr>
          <w:rFonts w:hint="eastAsia" w:ascii="宋体" w:hAnsi="宋体" w:cs="仿宋_GB2312"/>
          <w:bCs/>
          <w:color w:val="auto"/>
          <w:sz w:val="32"/>
          <w:szCs w:val="32"/>
          <w:highlight w:val="none"/>
        </w:rPr>
      </w:pPr>
    </w:p>
    <w:p w14:paraId="70CAB850">
      <w:pPr>
        <w:pStyle w:val="8"/>
        <w:snapToGrid w:val="0"/>
        <w:spacing w:before="50" w:after="50"/>
        <w:ind w:firstLine="0"/>
        <w:rPr>
          <w:rFonts w:hint="eastAsia" w:ascii="宋体" w:hAnsi="宋体" w:cs="仿宋_GB2312"/>
          <w:bCs/>
          <w:color w:val="auto"/>
          <w:sz w:val="32"/>
          <w:szCs w:val="32"/>
          <w:highlight w:val="none"/>
        </w:rPr>
      </w:pPr>
    </w:p>
    <w:p w14:paraId="5C4EDC88">
      <w:pPr>
        <w:pStyle w:val="8"/>
        <w:snapToGrid w:val="0"/>
        <w:spacing w:before="50" w:after="50"/>
        <w:ind w:firstLine="1280" w:firstLineChars="400"/>
        <w:rPr>
          <w:rFonts w:hint="eastAsia" w:ascii="宋体" w:hAnsi="宋体" w:cs="仿宋_GB2312"/>
          <w:bCs/>
          <w:color w:val="auto"/>
          <w:sz w:val="32"/>
          <w:szCs w:val="32"/>
          <w:highlight w:val="none"/>
        </w:rPr>
      </w:pPr>
    </w:p>
    <w:p w14:paraId="2A27D214">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202435">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78119087">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7042E6">
      <w:pPr>
        <w:spacing w:line="400" w:lineRule="exact"/>
        <w:rPr>
          <w:rFonts w:hint="eastAsia" w:ascii="仿宋_GB2312" w:hAnsi="仿宋_GB2312" w:eastAsia="仿宋_GB2312" w:cs="仿宋_GB2312"/>
          <w:color w:val="auto"/>
          <w:sz w:val="32"/>
          <w:szCs w:val="32"/>
          <w:highlight w:val="none"/>
        </w:rPr>
      </w:pPr>
    </w:p>
    <w:p w14:paraId="7603801D">
      <w:pPr>
        <w:spacing w:line="520" w:lineRule="exact"/>
        <w:jc w:val="center"/>
        <w:rPr>
          <w:rFonts w:hint="eastAsia" w:ascii="仿宋_GB2312" w:hAnsi="仿宋_GB2312" w:eastAsia="方正小标宋简体" w:cs="仿宋_GB2312"/>
          <w:color w:val="auto"/>
          <w:sz w:val="24"/>
          <w:szCs w:val="24"/>
          <w:highlight w:val="none"/>
          <w:lang w:eastAsia="zh-CN"/>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36"/>
          <w:szCs w:val="36"/>
          <w:highlight w:val="none"/>
        </w:rPr>
        <w:t>无串通竞标行为的承诺函</w:t>
      </w:r>
      <w:r>
        <w:rPr>
          <w:rFonts w:hint="eastAsia" w:ascii="方正小标宋简体" w:hAnsi="方正小标宋简体" w:eastAsia="方正小标宋简体" w:cs="方正小标宋简体"/>
          <w:color w:val="auto"/>
          <w:sz w:val="36"/>
          <w:szCs w:val="36"/>
          <w:highlight w:val="none"/>
          <w:lang w:eastAsia="zh-CN"/>
        </w:rPr>
        <w:t>（格式）</w:t>
      </w:r>
    </w:p>
    <w:p w14:paraId="19077C8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8742652">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02328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2C4B96F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4C57B1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EDAA2C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007FB19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E031F5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3E46BC08">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712E286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24C69E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B3C928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79DC41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F6373D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32A7041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73356F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534B8CD">
      <w:pPr>
        <w:spacing w:line="360" w:lineRule="auto"/>
        <w:ind w:firstLine="480" w:firstLineChars="200"/>
        <w:contextualSpacing/>
        <w:rPr>
          <w:rFonts w:hint="eastAsia" w:ascii="宋体" w:hAnsi="宋体" w:cs="仿宋_GB2312"/>
          <w:color w:val="auto"/>
          <w:sz w:val="24"/>
          <w:highlight w:val="none"/>
        </w:rPr>
      </w:pPr>
    </w:p>
    <w:p w14:paraId="6F5B0CB0">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4449F783">
      <w:pPr>
        <w:spacing w:line="360" w:lineRule="auto"/>
        <w:contextualSpacing/>
        <w:rPr>
          <w:rFonts w:hint="eastAsia" w:ascii="宋体" w:hAnsi="宋体" w:cs="仿宋_GB2312"/>
          <w:color w:val="auto"/>
          <w:sz w:val="24"/>
          <w:highlight w:val="none"/>
        </w:rPr>
      </w:pPr>
    </w:p>
    <w:p w14:paraId="1C2FEB9B">
      <w:pPr>
        <w:spacing w:line="360" w:lineRule="auto"/>
        <w:contextualSpacing/>
        <w:rPr>
          <w:rFonts w:hint="eastAsia" w:ascii="宋体" w:hAnsi="宋体" w:cs="仿宋_GB2312"/>
          <w:color w:val="auto"/>
          <w:sz w:val="24"/>
          <w:highlight w:val="none"/>
        </w:rPr>
      </w:pPr>
    </w:p>
    <w:p w14:paraId="64BB47BA">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0D4B293">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638EDD1D">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205DFA58">
      <w:pPr>
        <w:spacing w:line="360" w:lineRule="auto"/>
        <w:ind w:left="540"/>
        <w:contextualSpacing/>
        <w:rPr>
          <w:rFonts w:hint="eastAsia" w:ascii="仿宋_GB2312" w:hAnsi="仿宋_GB2312" w:eastAsia="仿宋_GB2312" w:cs="仿宋_GB2312"/>
          <w:color w:val="auto"/>
          <w:sz w:val="32"/>
          <w:szCs w:val="32"/>
          <w:highlight w:val="none"/>
        </w:rPr>
      </w:pPr>
    </w:p>
    <w:p w14:paraId="28DA906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63AF5F90">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772C297">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787CC4A6">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E7D7F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635C1F46">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58772C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0A3C8221">
      <w:pPr>
        <w:spacing w:line="360" w:lineRule="auto"/>
        <w:ind w:left="540"/>
        <w:contextualSpacing/>
        <w:rPr>
          <w:rFonts w:hint="eastAsia" w:ascii="宋体" w:hAnsi="宋体" w:cs="仿宋_GB2312"/>
          <w:color w:val="auto"/>
          <w:sz w:val="24"/>
          <w:highlight w:val="none"/>
        </w:rPr>
      </w:pPr>
    </w:p>
    <w:p w14:paraId="0D740247">
      <w:pPr>
        <w:spacing w:line="360" w:lineRule="auto"/>
        <w:ind w:left="540"/>
        <w:contextualSpacing/>
        <w:rPr>
          <w:rFonts w:hint="eastAsia" w:ascii="宋体" w:hAnsi="宋体" w:cs="仿宋_GB2312"/>
          <w:color w:val="auto"/>
          <w:sz w:val="24"/>
          <w:highlight w:val="none"/>
        </w:rPr>
      </w:pPr>
    </w:p>
    <w:p w14:paraId="1B40C694">
      <w:pPr>
        <w:spacing w:line="360" w:lineRule="auto"/>
        <w:ind w:left="540"/>
        <w:contextualSpacing/>
        <w:rPr>
          <w:rFonts w:hint="eastAsia" w:ascii="宋体" w:hAnsi="宋体" w:cs="仿宋_GB2312"/>
          <w:color w:val="auto"/>
          <w:sz w:val="24"/>
          <w:highlight w:val="none"/>
        </w:rPr>
      </w:pPr>
    </w:p>
    <w:p w14:paraId="17DC9A2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18FFF8BF">
      <w:pPr>
        <w:spacing w:line="360" w:lineRule="auto"/>
        <w:ind w:left="540"/>
        <w:contextualSpacing/>
        <w:rPr>
          <w:rFonts w:hint="eastAsia" w:ascii="宋体" w:hAnsi="宋体" w:cs="仿宋_GB2312"/>
          <w:color w:val="auto"/>
          <w:sz w:val="24"/>
          <w:highlight w:val="none"/>
        </w:rPr>
      </w:pPr>
    </w:p>
    <w:p w14:paraId="4C4394C5">
      <w:pPr>
        <w:spacing w:line="360" w:lineRule="auto"/>
        <w:ind w:left="540"/>
        <w:contextualSpacing/>
        <w:rPr>
          <w:rFonts w:hint="eastAsia" w:ascii="宋体" w:hAnsi="宋体" w:cs="仿宋_GB2312"/>
          <w:color w:val="auto"/>
          <w:sz w:val="24"/>
          <w:highlight w:val="none"/>
        </w:rPr>
      </w:pPr>
    </w:p>
    <w:p w14:paraId="3255B10E">
      <w:pPr>
        <w:spacing w:line="360" w:lineRule="auto"/>
        <w:ind w:left="540" w:firstLine="3000" w:firstLineChars="125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8635F36">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1C4C3450">
      <w:pPr>
        <w:spacing w:line="360" w:lineRule="auto"/>
        <w:contextualSpacing/>
        <w:jc w:val="center"/>
        <w:rPr>
          <w:rFonts w:hint="eastAsia" w:ascii="宋体" w:hAnsi="宋体" w:cs="仿宋_GB2312"/>
          <w:b/>
          <w:color w:val="auto"/>
          <w:sz w:val="24"/>
          <w:highlight w:val="none"/>
        </w:rPr>
      </w:pPr>
    </w:p>
    <w:p w14:paraId="3F1DFBF3">
      <w:pPr>
        <w:adjustRightInd w:val="0"/>
        <w:snapToGrid w:val="0"/>
        <w:spacing w:line="300" w:lineRule="auto"/>
        <w:jc w:val="left"/>
        <w:rPr>
          <w:rFonts w:hint="eastAsia" w:ascii="宋体" w:hAnsi="宋体"/>
          <w:b/>
          <w:color w:val="auto"/>
          <w:szCs w:val="21"/>
          <w:highlight w:val="none"/>
        </w:rPr>
      </w:pPr>
    </w:p>
    <w:p w14:paraId="7314256A">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bookmarkStart w:id="76" w:name="_Hlk65853643"/>
      <w:r>
        <w:rPr>
          <w:rFonts w:hint="eastAsia" w:ascii="方正小标宋简体" w:hAnsi="方正小标宋简体" w:eastAsia="方正小标宋简体" w:cs="方正小标宋简体"/>
          <w:color w:val="auto"/>
          <w:sz w:val="44"/>
          <w:szCs w:val="44"/>
          <w:highlight w:val="none"/>
        </w:rPr>
        <w:t>授权委托书</w:t>
      </w:r>
    </w:p>
    <w:p w14:paraId="03C0C0B8">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48634FDF">
      <w:pPr>
        <w:spacing w:line="520" w:lineRule="exact"/>
        <w:rPr>
          <w:rFonts w:hint="eastAsia" w:ascii="仿宋_GB2312" w:hAnsi="仿宋_GB2312" w:eastAsia="仿宋_GB2312" w:cs="仿宋_GB2312"/>
          <w:color w:val="auto"/>
          <w:sz w:val="32"/>
          <w:szCs w:val="32"/>
          <w:highlight w:val="none"/>
        </w:rPr>
      </w:pPr>
    </w:p>
    <w:p w14:paraId="553B5D3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055C63C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098F494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45BEA84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38DD3BC">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09F739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056A5993">
      <w:pPr>
        <w:spacing w:line="360" w:lineRule="auto"/>
        <w:rPr>
          <w:rFonts w:hint="eastAsia" w:ascii="宋体" w:hAnsi="宋体" w:cs="仿宋_GB2312"/>
          <w:color w:val="auto"/>
          <w:sz w:val="24"/>
          <w:highlight w:val="none"/>
        </w:rPr>
      </w:pPr>
    </w:p>
    <w:p w14:paraId="1B7E98A8">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7D9C90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57B3E2A">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144CAE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341B8795">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3A82BC1C">
      <w:pPr>
        <w:spacing w:line="360" w:lineRule="auto"/>
        <w:rPr>
          <w:rFonts w:hint="eastAsia" w:ascii="宋体" w:hAnsi="宋体" w:cs="仿宋_GB2312"/>
          <w:color w:val="auto"/>
          <w:sz w:val="24"/>
          <w:highlight w:val="none"/>
        </w:rPr>
      </w:pPr>
    </w:p>
    <w:p w14:paraId="6CFCF6D0">
      <w:pPr>
        <w:spacing w:line="360" w:lineRule="auto"/>
        <w:rPr>
          <w:rFonts w:hint="eastAsia" w:ascii="宋体" w:hAnsi="宋体" w:cs="仿宋_GB2312"/>
          <w:color w:val="auto"/>
          <w:sz w:val="24"/>
          <w:highlight w:val="none"/>
        </w:rPr>
      </w:pPr>
    </w:p>
    <w:p w14:paraId="241AB722">
      <w:pPr>
        <w:spacing w:line="360" w:lineRule="auto"/>
        <w:rPr>
          <w:rFonts w:hint="eastAsia" w:ascii="宋体" w:hAnsi="宋体" w:cs="仿宋_GB2312"/>
          <w:color w:val="auto"/>
          <w:sz w:val="24"/>
          <w:highlight w:val="none"/>
        </w:rPr>
      </w:pPr>
    </w:p>
    <w:p w14:paraId="725A3874">
      <w:pPr>
        <w:spacing w:line="360" w:lineRule="auto"/>
        <w:rPr>
          <w:rFonts w:hint="eastAsia" w:ascii="宋体" w:hAnsi="宋体" w:cs="仿宋_GB2312"/>
          <w:color w:val="auto"/>
          <w:sz w:val="24"/>
          <w:highlight w:val="none"/>
        </w:rPr>
      </w:pPr>
    </w:p>
    <w:p w14:paraId="63E2A927">
      <w:pPr>
        <w:spacing w:line="360" w:lineRule="auto"/>
        <w:rPr>
          <w:rFonts w:hint="eastAsia" w:ascii="宋体" w:hAnsi="宋体" w:cs="仿宋_GB2312"/>
          <w:color w:val="auto"/>
          <w:sz w:val="24"/>
          <w:highlight w:val="none"/>
        </w:rPr>
      </w:pPr>
    </w:p>
    <w:p w14:paraId="6F6ECC6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32CEE9AD">
      <w:pPr>
        <w:spacing w:line="360" w:lineRule="auto"/>
        <w:ind w:firstLine="420" w:firstLineChars="200"/>
        <w:jc w:val="left"/>
        <w:rPr>
          <w:rFonts w:hint="eastAsia" w:ascii="仿宋_GB2312" w:hAnsi="仿宋_GB2312" w:eastAsia="仿宋_GB2312" w:cs="仿宋_GB2312"/>
          <w:color w:val="auto"/>
          <w:szCs w:val="21"/>
          <w:highlight w:val="none"/>
        </w:rPr>
      </w:pPr>
    </w:p>
    <w:p w14:paraId="5F18B168">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ascii="仿宋_GB2312" w:hAnsi="仿宋_GB2312" w:eastAsia="仿宋_GB2312" w:cs="仿宋_GB2312"/>
          <w:color w:val="auto"/>
          <w:szCs w:val="21"/>
          <w:highlight w:val="none"/>
        </w:rPr>
        <w:br w:type="page"/>
      </w:r>
      <w:bookmarkEnd w:id="76"/>
      <w:r>
        <w:rPr>
          <w:rFonts w:hint="eastAsia" w:ascii="方正小标宋简体" w:hAnsi="方正小标宋简体" w:eastAsia="方正小标宋简体" w:cs="方正小标宋简体"/>
          <w:bCs/>
          <w:color w:val="auto"/>
          <w:sz w:val="44"/>
          <w:szCs w:val="44"/>
          <w:highlight w:val="none"/>
        </w:rPr>
        <w:t>施工组织设计</w:t>
      </w:r>
    </w:p>
    <w:p w14:paraId="0A324C87">
      <w:pPr>
        <w:spacing w:line="500" w:lineRule="exact"/>
        <w:jc w:val="center"/>
        <w:rPr>
          <w:rFonts w:hint="eastAsia" w:ascii="方正小标宋简体" w:hAnsi="方正小标宋简体" w:eastAsia="方正小标宋简体" w:cs="方正小标宋简体"/>
          <w:bCs/>
          <w:color w:val="auto"/>
          <w:sz w:val="28"/>
          <w:szCs w:val="28"/>
          <w:highlight w:val="none"/>
        </w:rPr>
      </w:pPr>
      <w:r>
        <w:rPr>
          <w:rFonts w:hint="eastAsia" w:ascii="方正小标宋简体" w:hAnsi="方正小标宋简体" w:eastAsia="方正小标宋简体" w:cs="方正小标宋简体"/>
          <w:bCs/>
          <w:color w:val="auto"/>
          <w:sz w:val="28"/>
          <w:szCs w:val="28"/>
          <w:highlight w:val="none"/>
        </w:rPr>
        <w:t>（格式自拟）</w:t>
      </w:r>
    </w:p>
    <w:p w14:paraId="73F26317">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eastAsia="zh-CN"/>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36"/>
          <w:szCs w:val="36"/>
          <w:highlight w:val="none"/>
        </w:rPr>
        <w:t>项目管理机构配备情况表</w:t>
      </w:r>
      <w:r>
        <w:rPr>
          <w:rFonts w:hint="eastAsia" w:ascii="方正小标宋简体" w:hAnsi="方正小标宋简体" w:eastAsia="方正小标宋简体" w:cs="方正小标宋简体"/>
          <w:bCs/>
          <w:color w:val="auto"/>
          <w:sz w:val="36"/>
          <w:szCs w:val="36"/>
          <w:highlight w:val="none"/>
          <w:lang w:eastAsia="zh-CN"/>
        </w:rPr>
        <w:t>（格式）</w:t>
      </w:r>
    </w:p>
    <w:p w14:paraId="4413748F">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val="en-US" w:eastAsia="zh-CN"/>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7765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noWrap w:val="0"/>
            <w:vAlign w:val="center"/>
          </w:tcPr>
          <w:p w14:paraId="70324E6B">
            <w:pPr>
              <w:ind w:left="223" w:hanging="222" w:hangingChars="106"/>
              <w:jc w:val="center"/>
              <w:rPr>
                <w:color w:val="auto"/>
                <w:highlight w:val="none"/>
              </w:rPr>
            </w:pPr>
            <w:r>
              <w:rPr>
                <w:color w:val="auto"/>
                <w:highlight w:val="none"/>
              </w:rPr>
              <w:t>岗位</w:t>
            </w:r>
          </w:p>
        </w:tc>
        <w:tc>
          <w:tcPr>
            <w:tcW w:w="670" w:type="dxa"/>
            <w:vMerge w:val="restart"/>
            <w:noWrap w:val="0"/>
            <w:vAlign w:val="center"/>
          </w:tcPr>
          <w:p w14:paraId="3C8915D3">
            <w:pPr>
              <w:ind w:left="223" w:hanging="222" w:hangingChars="106"/>
              <w:jc w:val="center"/>
              <w:rPr>
                <w:color w:val="auto"/>
                <w:highlight w:val="none"/>
              </w:rPr>
            </w:pPr>
            <w:r>
              <w:rPr>
                <w:color w:val="auto"/>
                <w:highlight w:val="none"/>
              </w:rPr>
              <w:t>姓名</w:t>
            </w:r>
          </w:p>
        </w:tc>
        <w:tc>
          <w:tcPr>
            <w:tcW w:w="829" w:type="dxa"/>
            <w:vMerge w:val="restart"/>
            <w:noWrap w:val="0"/>
            <w:vAlign w:val="center"/>
          </w:tcPr>
          <w:p w14:paraId="60483673">
            <w:pPr>
              <w:jc w:val="center"/>
              <w:rPr>
                <w:color w:val="auto"/>
                <w:highlight w:val="none"/>
              </w:rPr>
            </w:pPr>
            <w:r>
              <w:rPr>
                <w:color w:val="auto"/>
                <w:highlight w:val="none"/>
              </w:rPr>
              <w:t>身份证号</w:t>
            </w:r>
          </w:p>
        </w:tc>
        <w:tc>
          <w:tcPr>
            <w:tcW w:w="816" w:type="dxa"/>
            <w:vMerge w:val="restart"/>
            <w:noWrap w:val="0"/>
            <w:vAlign w:val="center"/>
          </w:tcPr>
          <w:p w14:paraId="3DA57041">
            <w:pPr>
              <w:ind w:left="223" w:hanging="222" w:hangingChars="106"/>
              <w:jc w:val="center"/>
              <w:rPr>
                <w:color w:val="auto"/>
                <w:highlight w:val="none"/>
              </w:rPr>
            </w:pPr>
            <w:r>
              <w:rPr>
                <w:color w:val="auto"/>
                <w:highlight w:val="none"/>
              </w:rPr>
              <w:t>职称</w:t>
            </w:r>
          </w:p>
        </w:tc>
        <w:tc>
          <w:tcPr>
            <w:tcW w:w="4188" w:type="dxa"/>
            <w:gridSpan w:val="4"/>
            <w:noWrap w:val="0"/>
            <w:vAlign w:val="center"/>
          </w:tcPr>
          <w:p w14:paraId="2F26136D">
            <w:pPr>
              <w:ind w:left="223" w:hanging="222" w:hangingChars="106"/>
              <w:jc w:val="center"/>
              <w:rPr>
                <w:color w:val="auto"/>
                <w:highlight w:val="none"/>
              </w:rPr>
            </w:pPr>
            <w:r>
              <w:rPr>
                <w:color w:val="auto"/>
                <w:highlight w:val="none"/>
              </w:rPr>
              <w:t>执业或职业资格</w:t>
            </w:r>
          </w:p>
        </w:tc>
        <w:tc>
          <w:tcPr>
            <w:tcW w:w="2443" w:type="dxa"/>
            <w:gridSpan w:val="2"/>
            <w:noWrap w:val="0"/>
            <w:vAlign w:val="center"/>
          </w:tcPr>
          <w:p w14:paraId="3CD3EEB5">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180A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noWrap w:val="0"/>
            <w:vAlign w:val="center"/>
          </w:tcPr>
          <w:p w14:paraId="21DC7E95">
            <w:pPr>
              <w:ind w:left="223" w:hanging="222" w:hangingChars="106"/>
              <w:jc w:val="center"/>
              <w:rPr>
                <w:color w:val="auto"/>
                <w:highlight w:val="none"/>
              </w:rPr>
            </w:pPr>
          </w:p>
        </w:tc>
        <w:tc>
          <w:tcPr>
            <w:tcW w:w="670" w:type="dxa"/>
            <w:vMerge w:val="continue"/>
            <w:noWrap w:val="0"/>
            <w:vAlign w:val="center"/>
          </w:tcPr>
          <w:p w14:paraId="2A7810C9">
            <w:pPr>
              <w:ind w:left="223" w:hanging="222" w:hangingChars="106"/>
              <w:jc w:val="center"/>
              <w:rPr>
                <w:color w:val="auto"/>
                <w:highlight w:val="none"/>
              </w:rPr>
            </w:pPr>
          </w:p>
        </w:tc>
        <w:tc>
          <w:tcPr>
            <w:tcW w:w="829" w:type="dxa"/>
            <w:vMerge w:val="continue"/>
            <w:noWrap w:val="0"/>
            <w:vAlign w:val="center"/>
          </w:tcPr>
          <w:p w14:paraId="2941D2BE">
            <w:pPr>
              <w:ind w:left="223" w:hanging="222" w:hangingChars="106"/>
              <w:jc w:val="center"/>
              <w:rPr>
                <w:color w:val="auto"/>
                <w:highlight w:val="none"/>
              </w:rPr>
            </w:pPr>
          </w:p>
        </w:tc>
        <w:tc>
          <w:tcPr>
            <w:tcW w:w="816" w:type="dxa"/>
            <w:vMerge w:val="continue"/>
            <w:noWrap w:val="0"/>
            <w:vAlign w:val="center"/>
          </w:tcPr>
          <w:p w14:paraId="13F21535">
            <w:pPr>
              <w:ind w:left="223" w:hanging="222" w:hangingChars="106"/>
              <w:jc w:val="center"/>
              <w:rPr>
                <w:color w:val="auto"/>
                <w:highlight w:val="none"/>
              </w:rPr>
            </w:pPr>
          </w:p>
        </w:tc>
        <w:tc>
          <w:tcPr>
            <w:tcW w:w="1148" w:type="dxa"/>
            <w:noWrap w:val="0"/>
            <w:vAlign w:val="center"/>
          </w:tcPr>
          <w:p w14:paraId="48EE629C">
            <w:pPr>
              <w:ind w:left="223" w:hanging="222" w:hangingChars="106"/>
              <w:jc w:val="center"/>
              <w:rPr>
                <w:color w:val="auto"/>
                <w:highlight w:val="none"/>
              </w:rPr>
            </w:pPr>
            <w:r>
              <w:rPr>
                <w:color w:val="auto"/>
                <w:highlight w:val="none"/>
              </w:rPr>
              <w:t>证书名称</w:t>
            </w:r>
          </w:p>
        </w:tc>
        <w:tc>
          <w:tcPr>
            <w:tcW w:w="1148" w:type="dxa"/>
            <w:noWrap w:val="0"/>
            <w:vAlign w:val="center"/>
          </w:tcPr>
          <w:p w14:paraId="1D101348">
            <w:pPr>
              <w:ind w:left="223" w:hanging="222" w:hangingChars="106"/>
              <w:jc w:val="center"/>
              <w:rPr>
                <w:color w:val="auto"/>
                <w:highlight w:val="none"/>
              </w:rPr>
            </w:pPr>
            <w:r>
              <w:rPr>
                <w:color w:val="auto"/>
                <w:highlight w:val="none"/>
              </w:rPr>
              <w:t>级别</w:t>
            </w:r>
          </w:p>
        </w:tc>
        <w:tc>
          <w:tcPr>
            <w:tcW w:w="1148" w:type="dxa"/>
            <w:noWrap w:val="0"/>
            <w:vAlign w:val="center"/>
          </w:tcPr>
          <w:p w14:paraId="7C117A0D">
            <w:pPr>
              <w:ind w:left="223" w:hanging="222" w:hangingChars="106"/>
              <w:jc w:val="center"/>
              <w:rPr>
                <w:color w:val="auto"/>
                <w:highlight w:val="none"/>
              </w:rPr>
            </w:pPr>
            <w:r>
              <w:rPr>
                <w:color w:val="auto"/>
                <w:highlight w:val="none"/>
              </w:rPr>
              <w:t>证号</w:t>
            </w:r>
          </w:p>
        </w:tc>
        <w:tc>
          <w:tcPr>
            <w:tcW w:w="744" w:type="dxa"/>
            <w:noWrap w:val="0"/>
            <w:vAlign w:val="center"/>
          </w:tcPr>
          <w:p w14:paraId="00676FFE">
            <w:pPr>
              <w:ind w:left="223" w:hanging="222" w:hangingChars="106"/>
              <w:jc w:val="center"/>
              <w:rPr>
                <w:color w:val="auto"/>
                <w:highlight w:val="none"/>
              </w:rPr>
            </w:pPr>
            <w:r>
              <w:rPr>
                <w:color w:val="auto"/>
                <w:highlight w:val="none"/>
              </w:rPr>
              <w:t>专业</w:t>
            </w:r>
          </w:p>
        </w:tc>
        <w:tc>
          <w:tcPr>
            <w:tcW w:w="1167" w:type="dxa"/>
            <w:noWrap w:val="0"/>
            <w:vAlign w:val="center"/>
          </w:tcPr>
          <w:p w14:paraId="673B3A91">
            <w:pPr>
              <w:jc w:val="center"/>
              <w:rPr>
                <w:color w:val="auto"/>
                <w:highlight w:val="none"/>
              </w:rPr>
            </w:pPr>
            <w:r>
              <w:rPr>
                <w:rFonts w:hint="eastAsia"/>
                <w:color w:val="auto"/>
                <w:highlight w:val="none"/>
              </w:rPr>
              <w:t>完工/在建</w:t>
            </w:r>
          </w:p>
        </w:tc>
        <w:tc>
          <w:tcPr>
            <w:tcW w:w="1276" w:type="dxa"/>
            <w:noWrap w:val="0"/>
            <w:vAlign w:val="center"/>
          </w:tcPr>
          <w:p w14:paraId="5E1E2CAF">
            <w:pPr>
              <w:jc w:val="center"/>
              <w:rPr>
                <w:color w:val="auto"/>
                <w:highlight w:val="none"/>
              </w:rPr>
            </w:pPr>
            <w:r>
              <w:rPr>
                <w:color w:val="auto"/>
                <w:highlight w:val="none"/>
              </w:rPr>
              <w:t>主要项目</w:t>
            </w:r>
          </w:p>
          <w:p w14:paraId="3FA27097">
            <w:pPr>
              <w:jc w:val="center"/>
              <w:rPr>
                <w:color w:val="auto"/>
                <w:highlight w:val="none"/>
              </w:rPr>
            </w:pPr>
            <w:r>
              <w:rPr>
                <w:color w:val="auto"/>
                <w:highlight w:val="none"/>
              </w:rPr>
              <w:t>名称</w:t>
            </w:r>
          </w:p>
        </w:tc>
      </w:tr>
      <w:tr w14:paraId="08EA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89B4A55">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lang w:eastAsia="zh-CN"/>
              </w:rPr>
              <w:t>项目经理</w:t>
            </w:r>
          </w:p>
        </w:tc>
        <w:tc>
          <w:tcPr>
            <w:tcW w:w="670" w:type="dxa"/>
            <w:noWrap w:val="0"/>
            <w:vAlign w:val="center"/>
          </w:tcPr>
          <w:p w14:paraId="3F2CBF62">
            <w:pPr>
              <w:ind w:left="223" w:hanging="222" w:hangingChars="106"/>
              <w:jc w:val="center"/>
              <w:rPr>
                <w:color w:val="auto"/>
                <w:szCs w:val="21"/>
                <w:highlight w:val="none"/>
              </w:rPr>
            </w:pPr>
          </w:p>
        </w:tc>
        <w:tc>
          <w:tcPr>
            <w:tcW w:w="829" w:type="dxa"/>
            <w:noWrap w:val="0"/>
            <w:vAlign w:val="center"/>
          </w:tcPr>
          <w:p w14:paraId="70679AA3">
            <w:pPr>
              <w:ind w:left="223" w:hanging="222" w:hangingChars="106"/>
              <w:jc w:val="center"/>
              <w:rPr>
                <w:color w:val="auto"/>
                <w:szCs w:val="21"/>
                <w:highlight w:val="none"/>
              </w:rPr>
            </w:pPr>
          </w:p>
        </w:tc>
        <w:tc>
          <w:tcPr>
            <w:tcW w:w="816" w:type="dxa"/>
            <w:noWrap w:val="0"/>
            <w:vAlign w:val="center"/>
          </w:tcPr>
          <w:p w14:paraId="587A566A">
            <w:pPr>
              <w:ind w:left="223" w:hanging="222" w:hangingChars="106"/>
              <w:jc w:val="center"/>
              <w:rPr>
                <w:color w:val="auto"/>
                <w:szCs w:val="21"/>
                <w:highlight w:val="none"/>
              </w:rPr>
            </w:pPr>
          </w:p>
        </w:tc>
        <w:tc>
          <w:tcPr>
            <w:tcW w:w="1148" w:type="dxa"/>
            <w:noWrap w:val="0"/>
            <w:vAlign w:val="center"/>
          </w:tcPr>
          <w:p w14:paraId="1B046F6E">
            <w:pPr>
              <w:ind w:left="223" w:hanging="222" w:hangingChars="106"/>
              <w:jc w:val="center"/>
              <w:rPr>
                <w:color w:val="auto"/>
                <w:szCs w:val="21"/>
                <w:highlight w:val="none"/>
              </w:rPr>
            </w:pPr>
          </w:p>
        </w:tc>
        <w:tc>
          <w:tcPr>
            <w:tcW w:w="1148" w:type="dxa"/>
            <w:noWrap w:val="0"/>
            <w:vAlign w:val="center"/>
          </w:tcPr>
          <w:p w14:paraId="14C85ED9">
            <w:pPr>
              <w:ind w:left="223" w:hanging="222" w:hangingChars="106"/>
              <w:jc w:val="center"/>
              <w:rPr>
                <w:color w:val="auto"/>
                <w:szCs w:val="21"/>
                <w:highlight w:val="none"/>
              </w:rPr>
            </w:pPr>
          </w:p>
        </w:tc>
        <w:tc>
          <w:tcPr>
            <w:tcW w:w="1148" w:type="dxa"/>
            <w:noWrap w:val="0"/>
            <w:vAlign w:val="center"/>
          </w:tcPr>
          <w:p w14:paraId="1106C8F4">
            <w:pPr>
              <w:ind w:left="223" w:hanging="222" w:hangingChars="106"/>
              <w:jc w:val="center"/>
              <w:rPr>
                <w:color w:val="auto"/>
                <w:szCs w:val="21"/>
                <w:highlight w:val="none"/>
              </w:rPr>
            </w:pPr>
          </w:p>
        </w:tc>
        <w:tc>
          <w:tcPr>
            <w:tcW w:w="744" w:type="dxa"/>
            <w:noWrap w:val="0"/>
            <w:vAlign w:val="center"/>
          </w:tcPr>
          <w:p w14:paraId="5B3788A3">
            <w:pPr>
              <w:ind w:left="223" w:hanging="222" w:hangingChars="106"/>
              <w:jc w:val="center"/>
              <w:rPr>
                <w:color w:val="auto"/>
                <w:szCs w:val="21"/>
                <w:highlight w:val="none"/>
              </w:rPr>
            </w:pPr>
          </w:p>
        </w:tc>
        <w:tc>
          <w:tcPr>
            <w:tcW w:w="1167" w:type="dxa"/>
            <w:noWrap w:val="0"/>
            <w:vAlign w:val="center"/>
          </w:tcPr>
          <w:p w14:paraId="08AF73B5">
            <w:pPr>
              <w:ind w:left="223" w:hanging="222" w:hangingChars="106"/>
              <w:jc w:val="center"/>
              <w:rPr>
                <w:color w:val="auto"/>
                <w:szCs w:val="21"/>
                <w:highlight w:val="none"/>
              </w:rPr>
            </w:pPr>
          </w:p>
        </w:tc>
        <w:tc>
          <w:tcPr>
            <w:tcW w:w="1276" w:type="dxa"/>
            <w:noWrap w:val="0"/>
            <w:vAlign w:val="center"/>
          </w:tcPr>
          <w:p w14:paraId="47110ADE">
            <w:pPr>
              <w:ind w:left="223" w:hanging="222" w:hangingChars="106"/>
              <w:jc w:val="center"/>
              <w:rPr>
                <w:color w:val="auto"/>
                <w:szCs w:val="21"/>
                <w:highlight w:val="none"/>
              </w:rPr>
            </w:pPr>
          </w:p>
        </w:tc>
      </w:tr>
      <w:tr w14:paraId="7A73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7247ED21">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zh-CN" w:bidi="en-US"/>
              </w:rPr>
              <w:t>2.</w:t>
            </w:r>
            <w:r>
              <w:rPr>
                <w:color w:val="auto"/>
                <w:sz w:val="21"/>
                <w:szCs w:val="21"/>
                <w:highlight w:val="none"/>
                <w:lang w:eastAsia="zh-CN"/>
              </w:rPr>
              <w:t>技术负责人</w:t>
            </w:r>
            <w:r>
              <w:rPr>
                <w:rFonts w:hint="eastAsia"/>
                <w:color w:val="auto"/>
                <w:sz w:val="21"/>
                <w:szCs w:val="21"/>
                <w:highlight w:val="none"/>
                <w:lang w:eastAsia="zh-CN"/>
              </w:rPr>
              <w:t>（项目总工）</w:t>
            </w:r>
          </w:p>
        </w:tc>
        <w:tc>
          <w:tcPr>
            <w:tcW w:w="670" w:type="dxa"/>
            <w:noWrap w:val="0"/>
            <w:vAlign w:val="center"/>
          </w:tcPr>
          <w:p w14:paraId="53A052DE">
            <w:pPr>
              <w:ind w:left="223" w:hanging="222" w:hangingChars="106"/>
              <w:jc w:val="center"/>
              <w:rPr>
                <w:color w:val="auto"/>
                <w:szCs w:val="21"/>
                <w:highlight w:val="none"/>
              </w:rPr>
            </w:pPr>
          </w:p>
        </w:tc>
        <w:tc>
          <w:tcPr>
            <w:tcW w:w="829" w:type="dxa"/>
            <w:noWrap w:val="0"/>
            <w:vAlign w:val="center"/>
          </w:tcPr>
          <w:p w14:paraId="66A02149">
            <w:pPr>
              <w:ind w:left="223" w:hanging="222" w:hangingChars="106"/>
              <w:jc w:val="center"/>
              <w:rPr>
                <w:color w:val="auto"/>
                <w:szCs w:val="21"/>
                <w:highlight w:val="none"/>
              </w:rPr>
            </w:pPr>
          </w:p>
        </w:tc>
        <w:tc>
          <w:tcPr>
            <w:tcW w:w="816" w:type="dxa"/>
            <w:noWrap w:val="0"/>
            <w:vAlign w:val="center"/>
          </w:tcPr>
          <w:p w14:paraId="1A77B7F7">
            <w:pPr>
              <w:ind w:left="223" w:hanging="222" w:hangingChars="106"/>
              <w:jc w:val="center"/>
              <w:rPr>
                <w:color w:val="auto"/>
                <w:szCs w:val="21"/>
                <w:highlight w:val="none"/>
              </w:rPr>
            </w:pPr>
          </w:p>
        </w:tc>
        <w:tc>
          <w:tcPr>
            <w:tcW w:w="1148" w:type="dxa"/>
            <w:noWrap w:val="0"/>
            <w:vAlign w:val="center"/>
          </w:tcPr>
          <w:p w14:paraId="060745A4">
            <w:pPr>
              <w:ind w:left="223" w:hanging="222" w:hangingChars="106"/>
              <w:jc w:val="center"/>
              <w:rPr>
                <w:color w:val="auto"/>
                <w:szCs w:val="21"/>
                <w:highlight w:val="none"/>
              </w:rPr>
            </w:pPr>
          </w:p>
        </w:tc>
        <w:tc>
          <w:tcPr>
            <w:tcW w:w="1148" w:type="dxa"/>
            <w:noWrap w:val="0"/>
            <w:vAlign w:val="center"/>
          </w:tcPr>
          <w:p w14:paraId="401FE79C">
            <w:pPr>
              <w:ind w:left="223" w:hanging="222" w:hangingChars="106"/>
              <w:jc w:val="center"/>
              <w:rPr>
                <w:color w:val="auto"/>
                <w:szCs w:val="21"/>
                <w:highlight w:val="none"/>
              </w:rPr>
            </w:pPr>
          </w:p>
        </w:tc>
        <w:tc>
          <w:tcPr>
            <w:tcW w:w="1148" w:type="dxa"/>
            <w:noWrap w:val="0"/>
            <w:vAlign w:val="center"/>
          </w:tcPr>
          <w:p w14:paraId="49080E7B">
            <w:pPr>
              <w:ind w:left="223" w:hanging="222" w:hangingChars="106"/>
              <w:jc w:val="center"/>
              <w:rPr>
                <w:color w:val="auto"/>
                <w:szCs w:val="21"/>
                <w:highlight w:val="none"/>
              </w:rPr>
            </w:pPr>
          </w:p>
        </w:tc>
        <w:tc>
          <w:tcPr>
            <w:tcW w:w="744" w:type="dxa"/>
            <w:noWrap w:val="0"/>
            <w:vAlign w:val="center"/>
          </w:tcPr>
          <w:p w14:paraId="1EF603EE">
            <w:pPr>
              <w:ind w:left="223" w:hanging="222" w:hangingChars="106"/>
              <w:jc w:val="center"/>
              <w:rPr>
                <w:color w:val="auto"/>
                <w:szCs w:val="21"/>
                <w:highlight w:val="none"/>
              </w:rPr>
            </w:pPr>
          </w:p>
        </w:tc>
        <w:tc>
          <w:tcPr>
            <w:tcW w:w="1167" w:type="dxa"/>
            <w:noWrap w:val="0"/>
            <w:vAlign w:val="center"/>
          </w:tcPr>
          <w:p w14:paraId="602FDF1E">
            <w:pPr>
              <w:ind w:left="223" w:hanging="222" w:hangingChars="106"/>
              <w:jc w:val="center"/>
              <w:rPr>
                <w:color w:val="auto"/>
                <w:szCs w:val="21"/>
                <w:highlight w:val="none"/>
              </w:rPr>
            </w:pPr>
          </w:p>
        </w:tc>
        <w:tc>
          <w:tcPr>
            <w:tcW w:w="1276" w:type="dxa"/>
            <w:noWrap w:val="0"/>
            <w:vAlign w:val="center"/>
          </w:tcPr>
          <w:p w14:paraId="20BB1714">
            <w:pPr>
              <w:ind w:left="223" w:hanging="222" w:hangingChars="106"/>
              <w:jc w:val="center"/>
              <w:rPr>
                <w:color w:val="auto"/>
                <w:szCs w:val="21"/>
                <w:highlight w:val="none"/>
              </w:rPr>
            </w:pPr>
          </w:p>
        </w:tc>
      </w:tr>
      <w:tr w14:paraId="6368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2D46C3E">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lang w:eastAsia="zh-CN"/>
              </w:rPr>
              <w:t xml:space="preserve"> 施工员</w:t>
            </w:r>
          </w:p>
        </w:tc>
        <w:tc>
          <w:tcPr>
            <w:tcW w:w="670" w:type="dxa"/>
            <w:noWrap w:val="0"/>
            <w:vAlign w:val="center"/>
          </w:tcPr>
          <w:p w14:paraId="5E9CA0D8">
            <w:pPr>
              <w:ind w:left="223" w:hanging="222" w:hangingChars="106"/>
              <w:jc w:val="center"/>
              <w:rPr>
                <w:color w:val="auto"/>
                <w:szCs w:val="21"/>
                <w:highlight w:val="none"/>
              </w:rPr>
            </w:pPr>
          </w:p>
        </w:tc>
        <w:tc>
          <w:tcPr>
            <w:tcW w:w="829" w:type="dxa"/>
            <w:noWrap w:val="0"/>
            <w:vAlign w:val="center"/>
          </w:tcPr>
          <w:p w14:paraId="0E1B9B9F">
            <w:pPr>
              <w:ind w:left="223" w:hanging="222" w:hangingChars="106"/>
              <w:jc w:val="center"/>
              <w:rPr>
                <w:color w:val="auto"/>
                <w:szCs w:val="21"/>
                <w:highlight w:val="none"/>
              </w:rPr>
            </w:pPr>
          </w:p>
        </w:tc>
        <w:tc>
          <w:tcPr>
            <w:tcW w:w="816" w:type="dxa"/>
            <w:noWrap w:val="0"/>
            <w:vAlign w:val="center"/>
          </w:tcPr>
          <w:p w14:paraId="2FDF25B2">
            <w:pPr>
              <w:ind w:left="223" w:hanging="222" w:hangingChars="106"/>
              <w:jc w:val="center"/>
              <w:rPr>
                <w:color w:val="auto"/>
                <w:szCs w:val="21"/>
                <w:highlight w:val="none"/>
              </w:rPr>
            </w:pPr>
          </w:p>
        </w:tc>
        <w:tc>
          <w:tcPr>
            <w:tcW w:w="1148" w:type="dxa"/>
            <w:noWrap w:val="0"/>
            <w:vAlign w:val="center"/>
          </w:tcPr>
          <w:p w14:paraId="28B7D000">
            <w:pPr>
              <w:ind w:left="223" w:hanging="222" w:hangingChars="106"/>
              <w:jc w:val="center"/>
              <w:rPr>
                <w:color w:val="auto"/>
                <w:szCs w:val="21"/>
                <w:highlight w:val="none"/>
              </w:rPr>
            </w:pPr>
          </w:p>
        </w:tc>
        <w:tc>
          <w:tcPr>
            <w:tcW w:w="1148" w:type="dxa"/>
            <w:noWrap w:val="0"/>
            <w:vAlign w:val="center"/>
          </w:tcPr>
          <w:p w14:paraId="5DF499EC">
            <w:pPr>
              <w:ind w:left="223" w:hanging="222" w:hangingChars="106"/>
              <w:jc w:val="center"/>
              <w:rPr>
                <w:color w:val="auto"/>
                <w:szCs w:val="21"/>
                <w:highlight w:val="none"/>
              </w:rPr>
            </w:pPr>
          </w:p>
        </w:tc>
        <w:tc>
          <w:tcPr>
            <w:tcW w:w="1148" w:type="dxa"/>
            <w:noWrap w:val="0"/>
            <w:vAlign w:val="center"/>
          </w:tcPr>
          <w:p w14:paraId="1D749648">
            <w:pPr>
              <w:ind w:left="223" w:hanging="222" w:hangingChars="106"/>
              <w:jc w:val="center"/>
              <w:rPr>
                <w:color w:val="auto"/>
                <w:szCs w:val="21"/>
                <w:highlight w:val="none"/>
              </w:rPr>
            </w:pPr>
          </w:p>
        </w:tc>
        <w:tc>
          <w:tcPr>
            <w:tcW w:w="744" w:type="dxa"/>
            <w:noWrap w:val="0"/>
            <w:vAlign w:val="center"/>
          </w:tcPr>
          <w:p w14:paraId="7C0F151B">
            <w:pPr>
              <w:ind w:left="223" w:hanging="222" w:hangingChars="106"/>
              <w:jc w:val="center"/>
              <w:rPr>
                <w:color w:val="auto"/>
                <w:szCs w:val="21"/>
                <w:highlight w:val="none"/>
              </w:rPr>
            </w:pPr>
          </w:p>
        </w:tc>
        <w:tc>
          <w:tcPr>
            <w:tcW w:w="1167" w:type="dxa"/>
            <w:noWrap w:val="0"/>
            <w:vAlign w:val="center"/>
          </w:tcPr>
          <w:p w14:paraId="3AB71742">
            <w:pPr>
              <w:ind w:left="223" w:hanging="222" w:hangingChars="106"/>
              <w:jc w:val="center"/>
              <w:rPr>
                <w:color w:val="auto"/>
                <w:szCs w:val="21"/>
                <w:highlight w:val="none"/>
              </w:rPr>
            </w:pPr>
          </w:p>
        </w:tc>
        <w:tc>
          <w:tcPr>
            <w:tcW w:w="1276" w:type="dxa"/>
            <w:noWrap w:val="0"/>
            <w:vAlign w:val="center"/>
          </w:tcPr>
          <w:p w14:paraId="7D0385A8">
            <w:pPr>
              <w:ind w:left="223" w:hanging="222" w:hangingChars="106"/>
              <w:jc w:val="center"/>
              <w:rPr>
                <w:color w:val="auto"/>
                <w:szCs w:val="21"/>
                <w:highlight w:val="none"/>
              </w:rPr>
            </w:pPr>
          </w:p>
        </w:tc>
      </w:tr>
      <w:tr w14:paraId="73D4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3F957F78">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lang w:eastAsia="zh-CN"/>
              </w:rPr>
              <w:t>安全员</w:t>
            </w:r>
          </w:p>
        </w:tc>
        <w:tc>
          <w:tcPr>
            <w:tcW w:w="670" w:type="dxa"/>
            <w:noWrap w:val="0"/>
            <w:vAlign w:val="center"/>
          </w:tcPr>
          <w:p w14:paraId="0CE1922C">
            <w:pPr>
              <w:ind w:left="223" w:hanging="222" w:hangingChars="106"/>
              <w:jc w:val="center"/>
              <w:rPr>
                <w:color w:val="auto"/>
                <w:szCs w:val="21"/>
                <w:highlight w:val="none"/>
              </w:rPr>
            </w:pPr>
          </w:p>
        </w:tc>
        <w:tc>
          <w:tcPr>
            <w:tcW w:w="829" w:type="dxa"/>
            <w:noWrap w:val="0"/>
            <w:vAlign w:val="center"/>
          </w:tcPr>
          <w:p w14:paraId="2C01874B">
            <w:pPr>
              <w:ind w:left="223" w:hanging="222" w:hangingChars="106"/>
              <w:jc w:val="center"/>
              <w:rPr>
                <w:color w:val="auto"/>
                <w:szCs w:val="21"/>
                <w:highlight w:val="none"/>
              </w:rPr>
            </w:pPr>
          </w:p>
        </w:tc>
        <w:tc>
          <w:tcPr>
            <w:tcW w:w="816" w:type="dxa"/>
            <w:noWrap w:val="0"/>
            <w:vAlign w:val="center"/>
          </w:tcPr>
          <w:p w14:paraId="29133DBB">
            <w:pPr>
              <w:ind w:left="223" w:hanging="222" w:hangingChars="106"/>
              <w:jc w:val="center"/>
              <w:rPr>
                <w:color w:val="auto"/>
                <w:szCs w:val="21"/>
                <w:highlight w:val="none"/>
              </w:rPr>
            </w:pPr>
          </w:p>
        </w:tc>
        <w:tc>
          <w:tcPr>
            <w:tcW w:w="1148" w:type="dxa"/>
            <w:noWrap w:val="0"/>
            <w:vAlign w:val="center"/>
          </w:tcPr>
          <w:p w14:paraId="47F38EAD">
            <w:pPr>
              <w:ind w:left="223" w:hanging="222" w:hangingChars="106"/>
              <w:jc w:val="center"/>
              <w:rPr>
                <w:color w:val="auto"/>
                <w:szCs w:val="21"/>
                <w:highlight w:val="none"/>
              </w:rPr>
            </w:pPr>
          </w:p>
        </w:tc>
        <w:tc>
          <w:tcPr>
            <w:tcW w:w="1148" w:type="dxa"/>
            <w:noWrap w:val="0"/>
            <w:vAlign w:val="center"/>
          </w:tcPr>
          <w:p w14:paraId="04840509">
            <w:pPr>
              <w:ind w:left="223" w:hanging="222" w:hangingChars="106"/>
              <w:jc w:val="center"/>
              <w:rPr>
                <w:color w:val="auto"/>
                <w:szCs w:val="21"/>
                <w:highlight w:val="none"/>
              </w:rPr>
            </w:pPr>
          </w:p>
        </w:tc>
        <w:tc>
          <w:tcPr>
            <w:tcW w:w="1148" w:type="dxa"/>
            <w:noWrap w:val="0"/>
            <w:vAlign w:val="center"/>
          </w:tcPr>
          <w:p w14:paraId="41AF7658">
            <w:pPr>
              <w:ind w:left="223" w:hanging="222" w:hangingChars="106"/>
              <w:jc w:val="center"/>
              <w:rPr>
                <w:color w:val="auto"/>
                <w:szCs w:val="21"/>
                <w:highlight w:val="none"/>
              </w:rPr>
            </w:pPr>
          </w:p>
        </w:tc>
        <w:tc>
          <w:tcPr>
            <w:tcW w:w="744" w:type="dxa"/>
            <w:noWrap w:val="0"/>
            <w:vAlign w:val="center"/>
          </w:tcPr>
          <w:p w14:paraId="27E98756">
            <w:pPr>
              <w:ind w:left="223" w:hanging="222" w:hangingChars="106"/>
              <w:jc w:val="center"/>
              <w:rPr>
                <w:color w:val="auto"/>
                <w:szCs w:val="21"/>
                <w:highlight w:val="none"/>
              </w:rPr>
            </w:pPr>
          </w:p>
        </w:tc>
        <w:tc>
          <w:tcPr>
            <w:tcW w:w="1167" w:type="dxa"/>
            <w:noWrap w:val="0"/>
            <w:vAlign w:val="center"/>
          </w:tcPr>
          <w:p w14:paraId="76E95948">
            <w:pPr>
              <w:ind w:left="223" w:hanging="222" w:hangingChars="106"/>
              <w:jc w:val="center"/>
              <w:rPr>
                <w:color w:val="auto"/>
                <w:szCs w:val="21"/>
                <w:highlight w:val="none"/>
              </w:rPr>
            </w:pPr>
          </w:p>
        </w:tc>
        <w:tc>
          <w:tcPr>
            <w:tcW w:w="1276" w:type="dxa"/>
            <w:noWrap w:val="0"/>
            <w:vAlign w:val="center"/>
          </w:tcPr>
          <w:p w14:paraId="4D767B5F">
            <w:pPr>
              <w:ind w:left="223" w:hanging="222" w:hangingChars="106"/>
              <w:jc w:val="center"/>
              <w:rPr>
                <w:color w:val="auto"/>
                <w:szCs w:val="21"/>
                <w:highlight w:val="none"/>
              </w:rPr>
            </w:pPr>
          </w:p>
        </w:tc>
      </w:tr>
      <w:tr w14:paraId="456B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B37F5C4">
            <w:pPr>
              <w:jc w:val="left"/>
              <w:rPr>
                <w:color w:val="auto"/>
                <w:szCs w:val="21"/>
                <w:highlight w:val="none"/>
              </w:rPr>
            </w:pPr>
            <w:r>
              <w:rPr>
                <w:rFonts w:hint="eastAsia"/>
                <w:color w:val="auto"/>
                <w:szCs w:val="21"/>
                <w:highlight w:val="none"/>
              </w:rPr>
              <w:t>5.</w:t>
            </w:r>
            <w:r>
              <w:rPr>
                <w:color w:val="auto"/>
                <w:szCs w:val="21"/>
                <w:highlight w:val="none"/>
              </w:rPr>
              <w:t xml:space="preserve"> 质量员</w:t>
            </w:r>
          </w:p>
        </w:tc>
        <w:tc>
          <w:tcPr>
            <w:tcW w:w="670" w:type="dxa"/>
            <w:noWrap w:val="0"/>
            <w:vAlign w:val="center"/>
          </w:tcPr>
          <w:p w14:paraId="5807B0E8">
            <w:pPr>
              <w:ind w:left="223" w:hanging="222" w:hangingChars="106"/>
              <w:jc w:val="center"/>
              <w:rPr>
                <w:color w:val="auto"/>
                <w:szCs w:val="21"/>
                <w:highlight w:val="none"/>
              </w:rPr>
            </w:pPr>
          </w:p>
        </w:tc>
        <w:tc>
          <w:tcPr>
            <w:tcW w:w="829" w:type="dxa"/>
            <w:noWrap w:val="0"/>
            <w:vAlign w:val="center"/>
          </w:tcPr>
          <w:p w14:paraId="2D27B410">
            <w:pPr>
              <w:ind w:left="223" w:hanging="222" w:hangingChars="106"/>
              <w:jc w:val="center"/>
              <w:rPr>
                <w:color w:val="auto"/>
                <w:szCs w:val="21"/>
                <w:highlight w:val="none"/>
              </w:rPr>
            </w:pPr>
          </w:p>
        </w:tc>
        <w:tc>
          <w:tcPr>
            <w:tcW w:w="816" w:type="dxa"/>
            <w:noWrap w:val="0"/>
            <w:vAlign w:val="center"/>
          </w:tcPr>
          <w:p w14:paraId="73B12D13">
            <w:pPr>
              <w:ind w:left="223" w:hanging="222" w:hangingChars="106"/>
              <w:jc w:val="center"/>
              <w:rPr>
                <w:color w:val="auto"/>
                <w:szCs w:val="21"/>
                <w:highlight w:val="none"/>
              </w:rPr>
            </w:pPr>
          </w:p>
        </w:tc>
        <w:tc>
          <w:tcPr>
            <w:tcW w:w="1148" w:type="dxa"/>
            <w:noWrap w:val="0"/>
            <w:vAlign w:val="center"/>
          </w:tcPr>
          <w:p w14:paraId="0766DA87">
            <w:pPr>
              <w:ind w:left="223" w:hanging="222" w:hangingChars="106"/>
              <w:jc w:val="center"/>
              <w:rPr>
                <w:color w:val="auto"/>
                <w:szCs w:val="21"/>
                <w:highlight w:val="none"/>
              </w:rPr>
            </w:pPr>
          </w:p>
        </w:tc>
        <w:tc>
          <w:tcPr>
            <w:tcW w:w="1148" w:type="dxa"/>
            <w:noWrap w:val="0"/>
            <w:vAlign w:val="center"/>
          </w:tcPr>
          <w:p w14:paraId="7A605583">
            <w:pPr>
              <w:ind w:left="223" w:hanging="222" w:hangingChars="106"/>
              <w:jc w:val="center"/>
              <w:rPr>
                <w:color w:val="auto"/>
                <w:szCs w:val="21"/>
                <w:highlight w:val="none"/>
              </w:rPr>
            </w:pPr>
          </w:p>
        </w:tc>
        <w:tc>
          <w:tcPr>
            <w:tcW w:w="1148" w:type="dxa"/>
            <w:noWrap w:val="0"/>
            <w:vAlign w:val="center"/>
          </w:tcPr>
          <w:p w14:paraId="2A2ACFEB">
            <w:pPr>
              <w:ind w:left="223" w:hanging="222" w:hangingChars="106"/>
              <w:jc w:val="center"/>
              <w:rPr>
                <w:color w:val="auto"/>
                <w:szCs w:val="21"/>
                <w:highlight w:val="none"/>
              </w:rPr>
            </w:pPr>
          </w:p>
        </w:tc>
        <w:tc>
          <w:tcPr>
            <w:tcW w:w="744" w:type="dxa"/>
            <w:noWrap w:val="0"/>
            <w:vAlign w:val="center"/>
          </w:tcPr>
          <w:p w14:paraId="177CC2E1">
            <w:pPr>
              <w:ind w:left="223" w:hanging="222" w:hangingChars="106"/>
              <w:jc w:val="center"/>
              <w:rPr>
                <w:color w:val="auto"/>
                <w:szCs w:val="21"/>
                <w:highlight w:val="none"/>
              </w:rPr>
            </w:pPr>
          </w:p>
        </w:tc>
        <w:tc>
          <w:tcPr>
            <w:tcW w:w="1167" w:type="dxa"/>
            <w:noWrap w:val="0"/>
            <w:vAlign w:val="center"/>
          </w:tcPr>
          <w:p w14:paraId="42588B07">
            <w:pPr>
              <w:ind w:left="223" w:hanging="222" w:hangingChars="106"/>
              <w:jc w:val="center"/>
              <w:rPr>
                <w:color w:val="auto"/>
                <w:szCs w:val="21"/>
                <w:highlight w:val="none"/>
              </w:rPr>
            </w:pPr>
          </w:p>
        </w:tc>
        <w:tc>
          <w:tcPr>
            <w:tcW w:w="1276" w:type="dxa"/>
            <w:noWrap w:val="0"/>
            <w:vAlign w:val="center"/>
          </w:tcPr>
          <w:p w14:paraId="7206728A">
            <w:pPr>
              <w:ind w:left="223" w:hanging="222" w:hangingChars="106"/>
              <w:jc w:val="center"/>
              <w:rPr>
                <w:color w:val="auto"/>
                <w:szCs w:val="21"/>
                <w:highlight w:val="none"/>
              </w:rPr>
            </w:pPr>
          </w:p>
        </w:tc>
      </w:tr>
      <w:tr w14:paraId="62D7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F6887EA">
            <w:pPr>
              <w:jc w:val="left"/>
              <w:rPr>
                <w:color w:val="auto"/>
                <w:szCs w:val="21"/>
                <w:highlight w:val="none"/>
              </w:rPr>
            </w:pPr>
            <w:r>
              <w:rPr>
                <w:rFonts w:hint="eastAsia"/>
                <w:color w:val="auto"/>
                <w:szCs w:val="21"/>
                <w:highlight w:val="none"/>
              </w:rPr>
              <w:t>6.材料员</w:t>
            </w:r>
          </w:p>
        </w:tc>
        <w:tc>
          <w:tcPr>
            <w:tcW w:w="670" w:type="dxa"/>
            <w:noWrap w:val="0"/>
            <w:vAlign w:val="center"/>
          </w:tcPr>
          <w:p w14:paraId="19624A2A">
            <w:pPr>
              <w:ind w:left="223" w:hanging="222" w:hangingChars="106"/>
              <w:jc w:val="center"/>
              <w:rPr>
                <w:color w:val="auto"/>
                <w:szCs w:val="21"/>
                <w:highlight w:val="none"/>
              </w:rPr>
            </w:pPr>
          </w:p>
        </w:tc>
        <w:tc>
          <w:tcPr>
            <w:tcW w:w="829" w:type="dxa"/>
            <w:noWrap w:val="0"/>
            <w:vAlign w:val="center"/>
          </w:tcPr>
          <w:p w14:paraId="18D07678">
            <w:pPr>
              <w:ind w:left="223" w:hanging="222" w:hangingChars="106"/>
              <w:jc w:val="center"/>
              <w:rPr>
                <w:color w:val="auto"/>
                <w:szCs w:val="21"/>
                <w:highlight w:val="none"/>
              </w:rPr>
            </w:pPr>
          </w:p>
        </w:tc>
        <w:tc>
          <w:tcPr>
            <w:tcW w:w="816" w:type="dxa"/>
            <w:noWrap w:val="0"/>
            <w:vAlign w:val="center"/>
          </w:tcPr>
          <w:p w14:paraId="1E800958">
            <w:pPr>
              <w:ind w:left="223" w:hanging="222" w:hangingChars="106"/>
              <w:jc w:val="center"/>
              <w:rPr>
                <w:color w:val="auto"/>
                <w:szCs w:val="21"/>
                <w:highlight w:val="none"/>
              </w:rPr>
            </w:pPr>
          </w:p>
        </w:tc>
        <w:tc>
          <w:tcPr>
            <w:tcW w:w="1148" w:type="dxa"/>
            <w:noWrap w:val="0"/>
            <w:vAlign w:val="center"/>
          </w:tcPr>
          <w:p w14:paraId="40D3E135">
            <w:pPr>
              <w:ind w:left="223" w:hanging="222" w:hangingChars="106"/>
              <w:jc w:val="center"/>
              <w:rPr>
                <w:color w:val="auto"/>
                <w:szCs w:val="21"/>
                <w:highlight w:val="none"/>
              </w:rPr>
            </w:pPr>
          </w:p>
        </w:tc>
        <w:tc>
          <w:tcPr>
            <w:tcW w:w="1148" w:type="dxa"/>
            <w:noWrap w:val="0"/>
            <w:vAlign w:val="center"/>
          </w:tcPr>
          <w:p w14:paraId="3313A5F3">
            <w:pPr>
              <w:ind w:left="223" w:hanging="222" w:hangingChars="106"/>
              <w:jc w:val="center"/>
              <w:rPr>
                <w:color w:val="auto"/>
                <w:szCs w:val="21"/>
                <w:highlight w:val="none"/>
              </w:rPr>
            </w:pPr>
          </w:p>
        </w:tc>
        <w:tc>
          <w:tcPr>
            <w:tcW w:w="1148" w:type="dxa"/>
            <w:noWrap w:val="0"/>
            <w:vAlign w:val="center"/>
          </w:tcPr>
          <w:p w14:paraId="725B4B3E">
            <w:pPr>
              <w:ind w:left="223" w:hanging="222" w:hangingChars="106"/>
              <w:jc w:val="center"/>
              <w:rPr>
                <w:color w:val="auto"/>
                <w:szCs w:val="21"/>
                <w:highlight w:val="none"/>
              </w:rPr>
            </w:pPr>
          </w:p>
        </w:tc>
        <w:tc>
          <w:tcPr>
            <w:tcW w:w="744" w:type="dxa"/>
            <w:noWrap w:val="0"/>
            <w:vAlign w:val="center"/>
          </w:tcPr>
          <w:p w14:paraId="220A18F1">
            <w:pPr>
              <w:ind w:left="223" w:hanging="222" w:hangingChars="106"/>
              <w:jc w:val="center"/>
              <w:rPr>
                <w:color w:val="auto"/>
                <w:szCs w:val="21"/>
                <w:highlight w:val="none"/>
              </w:rPr>
            </w:pPr>
          </w:p>
        </w:tc>
        <w:tc>
          <w:tcPr>
            <w:tcW w:w="1167" w:type="dxa"/>
            <w:noWrap w:val="0"/>
            <w:vAlign w:val="center"/>
          </w:tcPr>
          <w:p w14:paraId="345FF41C">
            <w:pPr>
              <w:ind w:left="223" w:hanging="222" w:hangingChars="106"/>
              <w:jc w:val="center"/>
              <w:rPr>
                <w:color w:val="auto"/>
                <w:szCs w:val="21"/>
                <w:highlight w:val="none"/>
              </w:rPr>
            </w:pPr>
          </w:p>
        </w:tc>
        <w:tc>
          <w:tcPr>
            <w:tcW w:w="1276" w:type="dxa"/>
            <w:noWrap w:val="0"/>
            <w:vAlign w:val="center"/>
          </w:tcPr>
          <w:p w14:paraId="6C96712F">
            <w:pPr>
              <w:ind w:left="223" w:hanging="222" w:hangingChars="106"/>
              <w:jc w:val="center"/>
              <w:rPr>
                <w:color w:val="auto"/>
                <w:szCs w:val="21"/>
                <w:highlight w:val="none"/>
              </w:rPr>
            </w:pPr>
          </w:p>
        </w:tc>
      </w:tr>
      <w:tr w14:paraId="6A7F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01CE7293">
            <w:pPr>
              <w:ind w:left="223" w:hanging="222" w:hangingChars="106"/>
              <w:jc w:val="center"/>
              <w:rPr>
                <w:color w:val="auto"/>
                <w:szCs w:val="21"/>
                <w:highlight w:val="none"/>
              </w:rPr>
            </w:pPr>
          </w:p>
        </w:tc>
        <w:tc>
          <w:tcPr>
            <w:tcW w:w="670" w:type="dxa"/>
            <w:noWrap w:val="0"/>
            <w:vAlign w:val="center"/>
          </w:tcPr>
          <w:p w14:paraId="1FDD34BC">
            <w:pPr>
              <w:ind w:left="223" w:hanging="222" w:hangingChars="106"/>
              <w:jc w:val="center"/>
              <w:rPr>
                <w:color w:val="auto"/>
                <w:szCs w:val="21"/>
                <w:highlight w:val="none"/>
              </w:rPr>
            </w:pPr>
          </w:p>
        </w:tc>
        <w:tc>
          <w:tcPr>
            <w:tcW w:w="829" w:type="dxa"/>
            <w:noWrap w:val="0"/>
            <w:vAlign w:val="center"/>
          </w:tcPr>
          <w:p w14:paraId="33921F9E">
            <w:pPr>
              <w:ind w:left="223" w:hanging="222" w:hangingChars="106"/>
              <w:jc w:val="center"/>
              <w:rPr>
                <w:color w:val="auto"/>
                <w:szCs w:val="21"/>
                <w:highlight w:val="none"/>
              </w:rPr>
            </w:pPr>
          </w:p>
        </w:tc>
        <w:tc>
          <w:tcPr>
            <w:tcW w:w="816" w:type="dxa"/>
            <w:noWrap w:val="0"/>
            <w:vAlign w:val="center"/>
          </w:tcPr>
          <w:p w14:paraId="1FB5AC3E">
            <w:pPr>
              <w:ind w:left="223" w:hanging="222" w:hangingChars="106"/>
              <w:jc w:val="center"/>
              <w:rPr>
                <w:color w:val="auto"/>
                <w:szCs w:val="21"/>
                <w:highlight w:val="none"/>
              </w:rPr>
            </w:pPr>
          </w:p>
        </w:tc>
        <w:tc>
          <w:tcPr>
            <w:tcW w:w="1148" w:type="dxa"/>
            <w:noWrap w:val="0"/>
            <w:vAlign w:val="center"/>
          </w:tcPr>
          <w:p w14:paraId="1D444B83">
            <w:pPr>
              <w:ind w:left="223" w:hanging="222" w:hangingChars="106"/>
              <w:jc w:val="center"/>
              <w:rPr>
                <w:color w:val="auto"/>
                <w:szCs w:val="21"/>
                <w:highlight w:val="none"/>
              </w:rPr>
            </w:pPr>
          </w:p>
        </w:tc>
        <w:tc>
          <w:tcPr>
            <w:tcW w:w="1148" w:type="dxa"/>
            <w:noWrap w:val="0"/>
            <w:vAlign w:val="center"/>
          </w:tcPr>
          <w:p w14:paraId="180F8EAB">
            <w:pPr>
              <w:ind w:left="223" w:hanging="222" w:hangingChars="106"/>
              <w:jc w:val="center"/>
              <w:rPr>
                <w:color w:val="auto"/>
                <w:szCs w:val="21"/>
                <w:highlight w:val="none"/>
              </w:rPr>
            </w:pPr>
          </w:p>
        </w:tc>
        <w:tc>
          <w:tcPr>
            <w:tcW w:w="1148" w:type="dxa"/>
            <w:noWrap w:val="0"/>
            <w:vAlign w:val="center"/>
          </w:tcPr>
          <w:p w14:paraId="085BADB3">
            <w:pPr>
              <w:ind w:left="223" w:hanging="222" w:hangingChars="106"/>
              <w:jc w:val="center"/>
              <w:rPr>
                <w:color w:val="auto"/>
                <w:szCs w:val="21"/>
                <w:highlight w:val="none"/>
              </w:rPr>
            </w:pPr>
          </w:p>
        </w:tc>
        <w:tc>
          <w:tcPr>
            <w:tcW w:w="744" w:type="dxa"/>
            <w:noWrap w:val="0"/>
            <w:vAlign w:val="center"/>
          </w:tcPr>
          <w:p w14:paraId="2A841039">
            <w:pPr>
              <w:ind w:left="223" w:hanging="222" w:hangingChars="106"/>
              <w:jc w:val="center"/>
              <w:rPr>
                <w:color w:val="auto"/>
                <w:szCs w:val="21"/>
                <w:highlight w:val="none"/>
              </w:rPr>
            </w:pPr>
          </w:p>
        </w:tc>
        <w:tc>
          <w:tcPr>
            <w:tcW w:w="1167" w:type="dxa"/>
            <w:noWrap w:val="0"/>
            <w:vAlign w:val="center"/>
          </w:tcPr>
          <w:p w14:paraId="0FB406A3">
            <w:pPr>
              <w:ind w:left="223" w:hanging="222" w:hangingChars="106"/>
              <w:jc w:val="center"/>
              <w:rPr>
                <w:color w:val="auto"/>
                <w:szCs w:val="21"/>
                <w:highlight w:val="none"/>
              </w:rPr>
            </w:pPr>
          </w:p>
        </w:tc>
        <w:tc>
          <w:tcPr>
            <w:tcW w:w="1276" w:type="dxa"/>
            <w:noWrap w:val="0"/>
            <w:vAlign w:val="center"/>
          </w:tcPr>
          <w:p w14:paraId="33EEBCA3">
            <w:pPr>
              <w:ind w:left="223" w:hanging="222" w:hangingChars="106"/>
              <w:jc w:val="center"/>
              <w:rPr>
                <w:color w:val="auto"/>
                <w:szCs w:val="21"/>
                <w:highlight w:val="none"/>
              </w:rPr>
            </w:pPr>
          </w:p>
        </w:tc>
      </w:tr>
      <w:tr w14:paraId="2B8E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866" w:type="dxa"/>
            <w:gridSpan w:val="10"/>
            <w:noWrap w:val="0"/>
            <w:vAlign w:val="center"/>
          </w:tcPr>
          <w:p w14:paraId="1DFC27E8">
            <w:pPr>
              <w:ind w:firstLine="420" w:firstLineChars="200"/>
              <w:jc w:val="both"/>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4D3153F7">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E99752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350F9BF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供应商应当在本表后附所有管理人员的身份证、职称证、执业或职业资格证书、</w:t>
      </w:r>
      <w:r>
        <w:rPr>
          <w:rFonts w:hint="eastAsia" w:ascii="宋体" w:hAnsi="宋体"/>
          <w:color w:val="auto"/>
          <w:sz w:val="24"/>
          <w:szCs w:val="20"/>
          <w:highlight w:val="none"/>
          <w:lang w:val="en-US" w:eastAsia="zh-CN"/>
        </w:rPr>
        <w:t>2025年01月以来任意</w:t>
      </w:r>
      <w:r>
        <w:rPr>
          <w:rFonts w:hint="eastAsia" w:ascii="宋体" w:hAnsi="宋体"/>
          <w:color w:val="auto"/>
          <w:sz w:val="24"/>
          <w:szCs w:val="20"/>
          <w:highlight w:val="none"/>
        </w:rPr>
        <w:t>1个月在</w:t>
      </w:r>
      <w:r>
        <w:rPr>
          <w:rFonts w:hint="eastAsia" w:ascii="宋体" w:hAnsi="宋体"/>
          <w:color w:val="auto"/>
          <w:sz w:val="24"/>
          <w:szCs w:val="20"/>
          <w:highlight w:val="none"/>
          <w:lang w:eastAsia="zh-CN"/>
        </w:rPr>
        <w:t>供应商</w:t>
      </w:r>
      <w:r>
        <w:rPr>
          <w:rFonts w:hint="eastAsia" w:ascii="宋体" w:hAnsi="宋体"/>
          <w:color w:val="auto"/>
          <w:sz w:val="24"/>
          <w:szCs w:val="20"/>
          <w:highlight w:val="none"/>
        </w:rPr>
        <w:t>单位依法缴纳社会保险的证明材料的复印件并加盖供应商电子签章。</w:t>
      </w:r>
    </w:p>
    <w:p w14:paraId="0EDB680A">
      <w:pPr>
        <w:spacing w:line="360" w:lineRule="auto"/>
        <w:ind w:firstLine="480" w:firstLineChars="200"/>
        <w:contextualSpacing/>
        <w:jc w:val="left"/>
        <w:rPr>
          <w:rFonts w:hint="eastAsia" w:ascii="宋体" w:hAnsi="宋体"/>
          <w:color w:val="auto"/>
          <w:sz w:val="24"/>
          <w:szCs w:val="20"/>
          <w:highlight w:val="none"/>
        </w:rPr>
      </w:pPr>
    </w:p>
    <w:p w14:paraId="05E31E69">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70C501F">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4E7F7164">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7667DA6A">
      <w:pPr>
        <w:spacing w:before="100" w:line="225" w:lineRule="auto"/>
        <w:ind w:left="16"/>
        <w:outlineLvl w:val="9"/>
        <w:rPr>
          <w:rFonts w:ascii="Cambria" w:hAnsi="Cambria" w:eastAsia="Cambria" w:cs="Cambria"/>
          <w:color w:val="auto"/>
          <w:spacing w:val="-1"/>
          <w:sz w:val="31"/>
          <w:szCs w:val="31"/>
          <w:highlight w:val="none"/>
        </w:rPr>
      </w:pPr>
      <w:r>
        <w:rPr>
          <w:rFonts w:ascii="宋体" w:hAnsi="宋体"/>
          <w:b/>
          <w:color w:val="auto"/>
          <w:sz w:val="32"/>
          <w:szCs w:val="32"/>
          <w:highlight w:val="none"/>
        </w:rPr>
        <w:br w:type="page"/>
      </w:r>
    </w:p>
    <w:p w14:paraId="2C36C6D8">
      <w:pPr>
        <w:pStyle w:val="49"/>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附：大型、 中型和小型、微型企业划型标准</w:t>
      </w:r>
    </w:p>
    <w:p w14:paraId="2C6698EC">
      <w:pPr>
        <w:pStyle w:val="49"/>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根据(工信部联企业[2011]300 号)文</w:t>
      </w:r>
    </w:p>
    <w:tbl>
      <w:tblPr>
        <w:tblStyle w:val="61"/>
        <w:tblW w:w="8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1187"/>
        <w:gridCol w:w="900"/>
        <w:gridCol w:w="1399"/>
        <w:gridCol w:w="1535"/>
        <w:gridCol w:w="1295"/>
        <w:gridCol w:w="1004"/>
      </w:tblGrid>
      <w:tr w14:paraId="22DE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184" w:type="dxa"/>
            <w:vAlign w:val="top"/>
          </w:tcPr>
          <w:p w14:paraId="3EE06A54">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行业名称</w:t>
            </w:r>
          </w:p>
        </w:tc>
        <w:tc>
          <w:tcPr>
            <w:tcW w:w="1187" w:type="dxa"/>
            <w:vAlign w:val="top"/>
          </w:tcPr>
          <w:p w14:paraId="26DC48FD">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8"/>
                <w:sz w:val="23"/>
                <w:szCs w:val="23"/>
                <w:highlight w:val="none"/>
                <w14:textOutline w14:w="4358" w14:cap="sq" w14:cmpd="sng">
                  <w14:solidFill>
                    <w14:srgbClr w14:val="000000"/>
                  </w14:solidFill>
                  <w14:prstDash w14:val="solid"/>
                  <w14:bevel/>
                </w14:textOutline>
              </w:rPr>
              <w:t>指</w:t>
            </w: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标名称</w:t>
            </w:r>
          </w:p>
        </w:tc>
        <w:tc>
          <w:tcPr>
            <w:tcW w:w="900" w:type="dxa"/>
            <w:vAlign w:val="top"/>
          </w:tcPr>
          <w:p w14:paraId="43B51FD8">
            <w:pPr>
              <w:keepNext w:val="0"/>
              <w:keepLines w:val="0"/>
              <w:pageBreakBefore w:val="0"/>
              <w:widowControl w:val="0"/>
              <w:kinsoku/>
              <w:wordWrap/>
              <w:overflowPunct/>
              <w:topLinePunct w:val="0"/>
              <w:autoSpaceDE/>
              <w:autoSpaceDN/>
              <w:bidi w:val="0"/>
              <w:adjustRightInd/>
              <w:snapToGrid/>
              <w:spacing w:before="104" w:line="200" w:lineRule="exact"/>
              <w:ind w:left="228"/>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单</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位</w:t>
            </w:r>
          </w:p>
        </w:tc>
        <w:tc>
          <w:tcPr>
            <w:tcW w:w="1399" w:type="dxa"/>
            <w:vAlign w:val="top"/>
          </w:tcPr>
          <w:p w14:paraId="64613C90">
            <w:pPr>
              <w:keepNext w:val="0"/>
              <w:keepLines w:val="0"/>
              <w:pageBreakBefore w:val="0"/>
              <w:widowControl w:val="0"/>
              <w:kinsoku/>
              <w:wordWrap/>
              <w:overflowPunct/>
              <w:topLinePunct w:val="0"/>
              <w:autoSpaceDE/>
              <w:autoSpaceDN/>
              <w:bidi w:val="0"/>
              <w:adjustRightInd/>
              <w:snapToGrid/>
              <w:spacing w:before="104" w:line="200" w:lineRule="exact"/>
              <w:ind w:left="47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大</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型</w:t>
            </w:r>
          </w:p>
        </w:tc>
        <w:tc>
          <w:tcPr>
            <w:tcW w:w="1535" w:type="dxa"/>
            <w:vAlign w:val="top"/>
          </w:tcPr>
          <w:p w14:paraId="409FCD1D">
            <w:pPr>
              <w:keepNext w:val="0"/>
              <w:keepLines w:val="0"/>
              <w:pageBreakBefore w:val="0"/>
              <w:widowControl w:val="0"/>
              <w:kinsoku/>
              <w:wordWrap/>
              <w:overflowPunct/>
              <w:topLinePunct w:val="0"/>
              <w:autoSpaceDE/>
              <w:autoSpaceDN/>
              <w:bidi w:val="0"/>
              <w:adjustRightInd/>
              <w:snapToGrid/>
              <w:spacing w:before="104" w:line="200" w:lineRule="exact"/>
              <w:ind w:left="571"/>
              <w:textAlignment w:val="auto"/>
              <w:rPr>
                <w:rFonts w:ascii="仿宋" w:hAnsi="仿宋" w:eastAsia="仿宋" w:cs="仿宋"/>
                <w:color w:val="auto"/>
                <w:sz w:val="23"/>
                <w:szCs w:val="23"/>
                <w:highlight w:val="none"/>
              </w:rPr>
            </w:pPr>
            <w:r>
              <w:rPr>
                <w:rFonts w:ascii="仿宋" w:hAnsi="仿宋" w:eastAsia="仿宋" w:cs="仿宋"/>
                <w:color w:val="auto"/>
                <w:spacing w:val="-14"/>
                <w:sz w:val="23"/>
                <w:szCs w:val="23"/>
                <w:highlight w:val="none"/>
                <w14:textOutline w14:w="4358" w14:cap="sq" w14:cmpd="sng">
                  <w14:solidFill>
                    <w14:srgbClr w14:val="000000"/>
                  </w14:solidFill>
                  <w14:prstDash w14:val="solid"/>
                  <w14:bevel/>
                </w14:textOutline>
              </w:rPr>
              <w:t>中</w:t>
            </w:r>
            <w:r>
              <w:rPr>
                <w:rFonts w:ascii="仿宋" w:hAnsi="仿宋" w:eastAsia="仿宋" w:cs="仿宋"/>
                <w:color w:val="auto"/>
                <w:spacing w:val="-13"/>
                <w:sz w:val="23"/>
                <w:szCs w:val="23"/>
                <w:highlight w:val="none"/>
                <w14:textOutline w14:w="4358" w14:cap="sq" w14:cmpd="sng">
                  <w14:solidFill>
                    <w14:srgbClr w14:val="000000"/>
                  </w14:solidFill>
                  <w14:prstDash w14:val="solid"/>
                  <w14:bevel/>
                </w14:textOutline>
              </w:rPr>
              <w:t>型</w:t>
            </w:r>
          </w:p>
        </w:tc>
        <w:tc>
          <w:tcPr>
            <w:tcW w:w="1295" w:type="dxa"/>
            <w:vAlign w:val="top"/>
          </w:tcPr>
          <w:p w14:paraId="577428E7">
            <w:pPr>
              <w:keepNext w:val="0"/>
              <w:keepLines w:val="0"/>
              <w:pageBreakBefore w:val="0"/>
              <w:widowControl w:val="0"/>
              <w:kinsoku/>
              <w:wordWrap/>
              <w:overflowPunct/>
              <w:topLinePunct w:val="0"/>
              <w:autoSpaceDE/>
              <w:autoSpaceDN/>
              <w:bidi w:val="0"/>
              <w:adjustRightInd/>
              <w:snapToGrid/>
              <w:spacing w:before="105" w:line="200" w:lineRule="exact"/>
              <w:ind w:left="42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小型</w:t>
            </w:r>
          </w:p>
        </w:tc>
        <w:tc>
          <w:tcPr>
            <w:tcW w:w="1004" w:type="dxa"/>
            <w:vAlign w:val="top"/>
          </w:tcPr>
          <w:p w14:paraId="73B38A9A">
            <w:pPr>
              <w:keepNext w:val="0"/>
              <w:keepLines w:val="0"/>
              <w:pageBreakBefore w:val="0"/>
              <w:widowControl w:val="0"/>
              <w:kinsoku/>
              <w:wordWrap/>
              <w:overflowPunct/>
              <w:topLinePunct w:val="0"/>
              <w:autoSpaceDE/>
              <w:autoSpaceDN/>
              <w:bidi w:val="0"/>
              <w:adjustRightInd/>
              <w:snapToGrid/>
              <w:spacing w:before="104" w:line="200" w:lineRule="exact"/>
              <w:ind w:left="275"/>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微型</w:t>
            </w:r>
          </w:p>
        </w:tc>
      </w:tr>
      <w:tr w14:paraId="20CE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0947E730">
            <w:pPr>
              <w:keepNext w:val="0"/>
              <w:keepLines w:val="0"/>
              <w:pageBreakBefore w:val="0"/>
              <w:widowControl w:val="0"/>
              <w:kinsoku/>
              <w:wordWrap/>
              <w:overflowPunct/>
              <w:topLinePunct w:val="0"/>
              <w:autoSpaceDE/>
              <w:autoSpaceDN/>
              <w:bidi w:val="0"/>
              <w:adjustRightInd/>
              <w:snapToGrid/>
              <w:spacing w:before="99"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农林牧</w:t>
            </w:r>
            <w:r>
              <w:rPr>
                <w:rFonts w:ascii="仿宋" w:hAnsi="仿宋" w:eastAsia="仿宋" w:cs="仿宋"/>
                <w:color w:val="auto"/>
                <w:spacing w:val="5"/>
                <w:sz w:val="23"/>
                <w:szCs w:val="23"/>
                <w:highlight w:val="none"/>
              </w:rPr>
              <w:t>渔</w:t>
            </w:r>
          </w:p>
        </w:tc>
        <w:tc>
          <w:tcPr>
            <w:tcW w:w="1187" w:type="dxa"/>
            <w:vAlign w:val="top"/>
          </w:tcPr>
          <w:p w14:paraId="01EAB9AA">
            <w:pPr>
              <w:keepNext w:val="0"/>
              <w:keepLines w:val="0"/>
              <w:pageBreakBefore w:val="0"/>
              <w:widowControl w:val="0"/>
              <w:kinsoku/>
              <w:wordWrap/>
              <w:overflowPunct/>
              <w:topLinePunct w:val="0"/>
              <w:autoSpaceDE/>
              <w:autoSpaceDN/>
              <w:bidi w:val="0"/>
              <w:adjustRightInd/>
              <w:snapToGrid/>
              <w:spacing w:before="100"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3854BD2">
            <w:pPr>
              <w:keepNext w:val="0"/>
              <w:keepLines w:val="0"/>
              <w:pageBreakBefore w:val="0"/>
              <w:widowControl w:val="0"/>
              <w:kinsoku/>
              <w:wordWrap/>
              <w:overflowPunct/>
              <w:topLinePunct w:val="0"/>
              <w:autoSpaceDE/>
              <w:autoSpaceDN/>
              <w:bidi w:val="0"/>
              <w:adjustRightInd/>
              <w:snapToGrid/>
              <w:spacing w:before="100"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14BA72E">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w:t>
            </w:r>
            <w:r>
              <w:rPr>
                <w:rFonts w:ascii="仿宋" w:hAnsi="仿宋" w:eastAsia="仿宋" w:cs="仿宋"/>
                <w:color w:val="auto"/>
                <w:position w:val="1"/>
                <w:sz w:val="23"/>
                <w:szCs w:val="23"/>
                <w:highlight w:val="none"/>
              </w:rPr>
              <w:t>0000</w:t>
            </w:r>
          </w:p>
        </w:tc>
        <w:tc>
          <w:tcPr>
            <w:tcW w:w="1535" w:type="dxa"/>
            <w:vAlign w:val="top"/>
          </w:tcPr>
          <w:p w14:paraId="1D69B12A">
            <w:pPr>
              <w:keepNext w:val="0"/>
              <w:keepLines w:val="0"/>
              <w:pageBreakBefore w:val="0"/>
              <w:widowControl w:val="0"/>
              <w:kinsoku/>
              <w:wordWrap/>
              <w:overflowPunct/>
              <w:topLinePunct w:val="0"/>
              <w:autoSpaceDE/>
              <w:autoSpaceDN/>
              <w:bidi w:val="0"/>
              <w:adjustRightInd/>
              <w:snapToGrid/>
              <w:spacing w:before="141"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522E8B0">
            <w:pPr>
              <w:keepNext w:val="0"/>
              <w:keepLines w:val="0"/>
              <w:pageBreakBefore w:val="0"/>
              <w:widowControl w:val="0"/>
              <w:kinsoku/>
              <w:wordWrap/>
              <w:overflowPunct/>
              <w:topLinePunct w:val="0"/>
              <w:autoSpaceDE/>
              <w:autoSpaceDN/>
              <w:bidi w:val="0"/>
              <w:adjustRightInd/>
              <w:snapToGrid/>
              <w:spacing w:before="141" w:line="200" w:lineRule="exact"/>
              <w:ind w:left="298"/>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-500</w:t>
            </w:r>
          </w:p>
        </w:tc>
        <w:tc>
          <w:tcPr>
            <w:tcW w:w="1004" w:type="dxa"/>
            <w:vAlign w:val="top"/>
          </w:tcPr>
          <w:p w14:paraId="24262C57">
            <w:pPr>
              <w:keepNext w:val="0"/>
              <w:keepLines w:val="0"/>
              <w:pageBreakBefore w:val="0"/>
              <w:widowControl w:val="0"/>
              <w:kinsoku/>
              <w:wordWrap/>
              <w:overflowPunct/>
              <w:topLinePunct w:val="0"/>
              <w:autoSpaceDE/>
              <w:autoSpaceDN/>
              <w:bidi w:val="0"/>
              <w:adjustRightInd/>
              <w:snapToGrid/>
              <w:spacing w:before="10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3F79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749E327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394C18">
            <w:pPr>
              <w:keepNext w:val="0"/>
              <w:keepLines w:val="0"/>
              <w:pageBreakBefore w:val="0"/>
              <w:widowControl w:val="0"/>
              <w:kinsoku/>
              <w:wordWrap/>
              <w:overflowPunct/>
              <w:topLinePunct w:val="0"/>
              <w:autoSpaceDE/>
              <w:autoSpaceDN/>
              <w:bidi w:val="0"/>
              <w:adjustRightInd/>
              <w:snapToGrid/>
              <w:spacing w:before="7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工业</w:t>
            </w:r>
          </w:p>
        </w:tc>
        <w:tc>
          <w:tcPr>
            <w:tcW w:w="1187" w:type="dxa"/>
            <w:vAlign w:val="top"/>
          </w:tcPr>
          <w:p w14:paraId="6911ABD6">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819072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19A61A8D">
            <w:pPr>
              <w:keepNext w:val="0"/>
              <w:keepLines w:val="0"/>
              <w:pageBreakBefore w:val="0"/>
              <w:widowControl w:val="0"/>
              <w:kinsoku/>
              <w:wordWrap/>
              <w:overflowPunct/>
              <w:topLinePunct w:val="0"/>
              <w:autoSpaceDE/>
              <w:autoSpaceDN/>
              <w:bidi w:val="0"/>
              <w:adjustRightInd/>
              <w:snapToGrid/>
              <w:spacing w:before="101"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2B8DB635">
            <w:pPr>
              <w:keepNext w:val="0"/>
              <w:keepLines w:val="0"/>
              <w:pageBreakBefore w:val="0"/>
              <w:widowControl w:val="0"/>
              <w:kinsoku/>
              <w:wordWrap/>
              <w:overflowPunct/>
              <w:topLinePunct w:val="0"/>
              <w:autoSpaceDE/>
              <w:autoSpaceDN/>
              <w:bidi w:val="0"/>
              <w:adjustRightInd/>
              <w:snapToGrid/>
              <w:spacing w:before="142"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542E4372">
            <w:pPr>
              <w:keepNext w:val="0"/>
              <w:keepLines w:val="0"/>
              <w:pageBreakBefore w:val="0"/>
              <w:widowControl w:val="0"/>
              <w:kinsoku/>
              <w:wordWrap/>
              <w:overflowPunct/>
              <w:topLinePunct w:val="0"/>
              <w:autoSpaceDE/>
              <w:autoSpaceDN/>
              <w:bidi w:val="0"/>
              <w:adjustRightInd/>
              <w:snapToGrid/>
              <w:spacing w:before="142"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80D60F">
            <w:pPr>
              <w:keepNext w:val="0"/>
              <w:keepLines w:val="0"/>
              <w:pageBreakBefore w:val="0"/>
              <w:widowControl w:val="0"/>
              <w:kinsoku/>
              <w:wordWrap/>
              <w:overflowPunct/>
              <w:topLinePunct w:val="0"/>
              <w:autoSpaceDE/>
              <w:autoSpaceDN/>
              <w:bidi w:val="0"/>
              <w:adjustRightInd/>
              <w:snapToGrid/>
              <w:spacing w:before="101"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10CE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FC191A5">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30A90267">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04265DA6">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7AF3DF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4DE063B6">
            <w:pPr>
              <w:keepNext w:val="0"/>
              <w:keepLines w:val="0"/>
              <w:pageBreakBefore w:val="0"/>
              <w:widowControl w:val="0"/>
              <w:kinsoku/>
              <w:wordWrap/>
              <w:overflowPunct/>
              <w:topLinePunct w:val="0"/>
              <w:autoSpaceDE/>
              <w:autoSpaceDN/>
              <w:bidi w:val="0"/>
              <w:adjustRightInd/>
              <w:snapToGrid/>
              <w:spacing w:before="142"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2000-4000</w:t>
            </w:r>
            <w:r>
              <w:rPr>
                <w:rFonts w:ascii="仿宋" w:hAnsi="仿宋" w:eastAsia="仿宋" w:cs="仿宋"/>
                <w:color w:val="auto"/>
                <w:spacing w:val="2"/>
                <w:sz w:val="23"/>
                <w:szCs w:val="23"/>
                <w:highlight w:val="none"/>
              </w:rPr>
              <w:t>0</w:t>
            </w:r>
          </w:p>
        </w:tc>
        <w:tc>
          <w:tcPr>
            <w:tcW w:w="1295" w:type="dxa"/>
            <w:vAlign w:val="top"/>
          </w:tcPr>
          <w:p w14:paraId="262CC3A5">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00-2000</w:t>
            </w:r>
          </w:p>
        </w:tc>
        <w:tc>
          <w:tcPr>
            <w:tcW w:w="1004" w:type="dxa"/>
            <w:vAlign w:val="top"/>
          </w:tcPr>
          <w:p w14:paraId="25DFC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2A0E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3CF060E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3086906">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建</w:t>
            </w:r>
            <w:r>
              <w:rPr>
                <w:rFonts w:ascii="仿宋" w:hAnsi="仿宋" w:eastAsia="仿宋" w:cs="仿宋"/>
                <w:color w:val="auto"/>
                <w:spacing w:val="4"/>
                <w:sz w:val="23"/>
                <w:szCs w:val="23"/>
                <w:highlight w:val="none"/>
              </w:rPr>
              <w:t>筑业</w:t>
            </w:r>
          </w:p>
        </w:tc>
        <w:tc>
          <w:tcPr>
            <w:tcW w:w="1187" w:type="dxa"/>
            <w:vAlign w:val="top"/>
          </w:tcPr>
          <w:p w14:paraId="3A867AEC">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FB7FA22">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88009C5">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55F01891">
            <w:pPr>
              <w:keepNext w:val="0"/>
              <w:keepLines w:val="0"/>
              <w:pageBreakBefore w:val="0"/>
              <w:widowControl w:val="0"/>
              <w:kinsoku/>
              <w:wordWrap/>
              <w:overflowPunct/>
              <w:topLinePunct w:val="0"/>
              <w:autoSpaceDE/>
              <w:autoSpaceDN/>
              <w:bidi w:val="0"/>
              <w:adjustRightInd/>
              <w:snapToGrid/>
              <w:spacing w:before="141" w:line="200" w:lineRule="exact"/>
              <w:ind w:left="174"/>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6000-8000</w:t>
            </w:r>
            <w:r>
              <w:rPr>
                <w:rFonts w:ascii="仿宋" w:hAnsi="仿宋" w:eastAsia="仿宋" w:cs="仿宋"/>
                <w:color w:val="auto"/>
                <w:spacing w:val="3"/>
                <w:sz w:val="23"/>
                <w:szCs w:val="23"/>
                <w:highlight w:val="none"/>
              </w:rPr>
              <w:t>0</w:t>
            </w:r>
          </w:p>
        </w:tc>
        <w:tc>
          <w:tcPr>
            <w:tcW w:w="1295" w:type="dxa"/>
            <w:vAlign w:val="top"/>
          </w:tcPr>
          <w:p w14:paraId="3BCE43CB">
            <w:pPr>
              <w:keepNext w:val="0"/>
              <w:keepLines w:val="0"/>
              <w:pageBreakBefore w:val="0"/>
              <w:widowControl w:val="0"/>
              <w:kinsoku/>
              <w:wordWrap/>
              <w:overflowPunct/>
              <w:topLinePunct w:val="0"/>
              <w:autoSpaceDE/>
              <w:autoSpaceDN/>
              <w:bidi w:val="0"/>
              <w:adjustRightInd/>
              <w:snapToGrid/>
              <w:spacing w:before="141"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00-6000</w:t>
            </w:r>
          </w:p>
        </w:tc>
        <w:tc>
          <w:tcPr>
            <w:tcW w:w="1004" w:type="dxa"/>
            <w:vAlign w:val="top"/>
          </w:tcPr>
          <w:p w14:paraId="68F4A179">
            <w:pPr>
              <w:keepNext w:val="0"/>
              <w:keepLines w:val="0"/>
              <w:pageBreakBefore w:val="0"/>
              <w:widowControl w:val="0"/>
              <w:kinsoku/>
              <w:wordWrap/>
              <w:overflowPunct/>
              <w:topLinePunct w:val="0"/>
              <w:autoSpaceDE/>
              <w:autoSpaceDN/>
              <w:bidi w:val="0"/>
              <w:adjustRightInd/>
              <w:snapToGrid/>
              <w:spacing w:before="10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0B025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857264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6D564836">
            <w:pPr>
              <w:keepNext w:val="0"/>
              <w:keepLines w:val="0"/>
              <w:pageBreakBefore w:val="0"/>
              <w:widowControl w:val="0"/>
              <w:kinsoku/>
              <w:wordWrap/>
              <w:overflowPunct/>
              <w:topLinePunct w:val="0"/>
              <w:autoSpaceDE/>
              <w:autoSpaceDN/>
              <w:bidi w:val="0"/>
              <w:adjustRightInd/>
              <w:snapToGrid/>
              <w:spacing w:before="101"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6B26A31E">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2D38C9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29FA2A6E">
            <w:pPr>
              <w:keepNext w:val="0"/>
              <w:keepLines w:val="0"/>
              <w:pageBreakBefore w:val="0"/>
              <w:widowControl w:val="0"/>
              <w:kinsoku/>
              <w:wordWrap/>
              <w:overflowPunct/>
              <w:topLinePunct w:val="0"/>
              <w:autoSpaceDE/>
              <w:autoSpaceDN/>
              <w:bidi w:val="0"/>
              <w:adjustRightInd/>
              <w:snapToGrid/>
              <w:spacing w:before="142"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00-80000</w:t>
            </w:r>
          </w:p>
        </w:tc>
        <w:tc>
          <w:tcPr>
            <w:tcW w:w="1295" w:type="dxa"/>
            <w:vAlign w:val="top"/>
          </w:tcPr>
          <w:p w14:paraId="23368AB8">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00-5000</w:t>
            </w:r>
          </w:p>
        </w:tc>
        <w:tc>
          <w:tcPr>
            <w:tcW w:w="1004" w:type="dxa"/>
            <w:vAlign w:val="top"/>
          </w:tcPr>
          <w:p w14:paraId="21828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4166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25D046C1">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B31B8CC">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批</w:t>
            </w:r>
            <w:r>
              <w:rPr>
                <w:rFonts w:ascii="仿宋" w:hAnsi="仿宋" w:eastAsia="仿宋" w:cs="仿宋"/>
                <w:color w:val="auto"/>
                <w:spacing w:val="4"/>
                <w:sz w:val="23"/>
                <w:szCs w:val="23"/>
                <w:highlight w:val="none"/>
              </w:rPr>
              <w:t>发业</w:t>
            </w:r>
          </w:p>
        </w:tc>
        <w:tc>
          <w:tcPr>
            <w:tcW w:w="1187" w:type="dxa"/>
            <w:vAlign w:val="top"/>
          </w:tcPr>
          <w:p w14:paraId="6550BD44">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4D83FE3B">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F89AF0B">
            <w:pPr>
              <w:keepNext w:val="0"/>
              <w:keepLines w:val="0"/>
              <w:pageBreakBefore w:val="0"/>
              <w:widowControl w:val="0"/>
              <w:kinsoku/>
              <w:wordWrap/>
              <w:overflowPunct/>
              <w:topLinePunct w:val="0"/>
              <w:autoSpaceDE/>
              <w:autoSpaceDN/>
              <w:bidi w:val="0"/>
              <w:adjustRightInd/>
              <w:snapToGrid/>
              <w:spacing w:before="101"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36D2B848">
            <w:pPr>
              <w:keepNext w:val="0"/>
              <w:keepLines w:val="0"/>
              <w:pageBreakBefore w:val="0"/>
              <w:widowControl w:val="0"/>
              <w:kinsoku/>
              <w:wordWrap/>
              <w:overflowPunct/>
              <w:topLinePunct w:val="0"/>
              <w:autoSpaceDE/>
              <w:autoSpaceDN/>
              <w:bidi w:val="0"/>
              <w:adjustRightInd/>
              <w:snapToGrid/>
              <w:spacing w:before="142" w:line="200" w:lineRule="exact"/>
              <w:ind w:left="415"/>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20-200</w:t>
            </w:r>
          </w:p>
        </w:tc>
        <w:tc>
          <w:tcPr>
            <w:tcW w:w="1295" w:type="dxa"/>
            <w:vAlign w:val="top"/>
          </w:tcPr>
          <w:p w14:paraId="4E9D6F54">
            <w:pPr>
              <w:keepNext w:val="0"/>
              <w:keepLines w:val="0"/>
              <w:pageBreakBefore w:val="0"/>
              <w:widowControl w:val="0"/>
              <w:kinsoku/>
              <w:wordWrap/>
              <w:overflowPunct/>
              <w:topLinePunct w:val="0"/>
              <w:autoSpaceDE/>
              <w:autoSpaceDN/>
              <w:bidi w:val="0"/>
              <w:adjustRightInd/>
              <w:snapToGrid/>
              <w:spacing w:before="142" w:line="200" w:lineRule="exact"/>
              <w:ind w:left="418"/>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5-</w:t>
            </w:r>
            <w:r>
              <w:rPr>
                <w:rFonts w:ascii="仿宋" w:hAnsi="仿宋" w:eastAsia="仿宋" w:cs="仿宋"/>
                <w:color w:val="auto"/>
                <w:spacing w:val="1"/>
                <w:sz w:val="23"/>
                <w:szCs w:val="23"/>
                <w:highlight w:val="none"/>
              </w:rPr>
              <w:t>20</w:t>
            </w:r>
          </w:p>
        </w:tc>
        <w:tc>
          <w:tcPr>
            <w:tcW w:w="1004" w:type="dxa"/>
            <w:vAlign w:val="top"/>
          </w:tcPr>
          <w:p w14:paraId="7C9338DC">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pacing w:val="-7"/>
                <w:position w:val="2"/>
                <w:sz w:val="23"/>
                <w:szCs w:val="23"/>
                <w:highlight w:val="none"/>
              </w:rPr>
              <w:t>＜</w:t>
            </w:r>
            <w:r>
              <w:rPr>
                <w:rFonts w:ascii="仿宋" w:hAnsi="仿宋" w:eastAsia="仿宋" w:cs="仿宋"/>
                <w:color w:val="auto"/>
                <w:spacing w:val="-6"/>
                <w:position w:val="2"/>
                <w:sz w:val="23"/>
                <w:szCs w:val="23"/>
                <w:highlight w:val="none"/>
              </w:rPr>
              <w:t>5</w:t>
            </w:r>
          </w:p>
        </w:tc>
      </w:tr>
      <w:tr w14:paraId="2453B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69CA42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24276AD">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C4977A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662E654">
            <w:pPr>
              <w:keepNext w:val="0"/>
              <w:keepLines w:val="0"/>
              <w:pageBreakBefore w:val="0"/>
              <w:widowControl w:val="0"/>
              <w:kinsoku/>
              <w:wordWrap/>
              <w:overflowPunct/>
              <w:topLinePunct w:val="0"/>
              <w:autoSpaceDE/>
              <w:autoSpaceDN/>
              <w:bidi w:val="0"/>
              <w:adjustRightInd/>
              <w:snapToGrid/>
              <w:spacing w:before="102"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3D8EB7C4">
            <w:pPr>
              <w:keepNext w:val="0"/>
              <w:keepLines w:val="0"/>
              <w:pageBreakBefore w:val="0"/>
              <w:widowControl w:val="0"/>
              <w:kinsoku/>
              <w:wordWrap/>
              <w:overflowPunct/>
              <w:topLinePunct w:val="0"/>
              <w:autoSpaceDE/>
              <w:autoSpaceDN/>
              <w:bidi w:val="0"/>
              <w:adjustRightInd/>
              <w:snapToGrid/>
              <w:spacing w:before="143"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00-40000</w:t>
            </w:r>
          </w:p>
        </w:tc>
        <w:tc>
          <w:tcPr>
            <w:tcW w:w="1295" w:type="dxa"/>
            <w:vAlign w:val="top"/>
          </w:tcPr>
          <w:p w14:paraId="0887E8D8">
            <w:pPr>
              <w:keepNext w:val="0"/>
              <w:keepLines w:val="0"/>
              <w:pageBreakBefore w:val="0"/>
              <w:widowControl w:val="0"/>
              <w:kinsoku/>
              <w:wordWrap/>
              <w:overflowPunct/>
              <w:topLinePunct w:val="0"/>
              <w:autoSpaceDE/>
              <w:autoSpaceDN/>
              <w:bidi w:val="0"/>
              <w:adjustRightInd/>
              <w:snapToGrid/>
              <w:spacing w:before="14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004" w:type="dxa"/>
            <w:vAlign w:val="top"/>
          </w:tcPr>
          <w:p w14:paraId="40D84655">
            <w:pPr>
              <w:keepNext w:val="0"/>
              <w:keepLines w:val="0"/>
              <w:pageBreakBefore w:val="0"/>
              <w:widowControl w:val="0"/>
              <w:kinsoku/>
              <w:wordWrap/>
              <w:overflowPunct/>
              <w:topLinePunct w:val="0"/>
              <w:autoSpaceDE/>
              <w:autoSpaceDN/>
              <w:bidi w:val="0"/>
              <w:adjustRightInd/>
              <w:snapToGrid/>
              <w:spacing w:before="102"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w:t>
            </w:r>
            <w:r>
              <w:rPr>
                <w:rFonts w:ascii="仿宋" w:hAnsi="仿宋" w:eastAsia="仿宋" w:cs="仿宋"/>
                <w:color w:val="auto"/>
                <w:position w:val="2"/>
                <w:sz w:val="23"/>
                <w:szCs w:val="23"/>
                <w:highlight w:val="none"/>
              </w:rPr>
              <w:t>000</w:t>
            </w:r>
          </w:p>
        </w:tc>
      </w:tr>
      <w:tr w14:paraId="4368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169D66B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9E12E2A">
            <w:pPr>
              <w:keepNext w:val="0"/>
              <w:keepLines w:val="0"/>
              <w:pageBreakBefore w:val="0"/>
              <w:widowControl w:val="0"/>
              <w:kinsoku/>
              <w:wordWrap/>
              <w:overflowPunct/>
              <w:topLinePunct w:val="0"/>
              <w:autoSpaceDE/>
              <w:autoSpaceDN/>
              <w:bidi w:val="0"/>
              <w:adjustRightInd/>
              <w:snapToGrid/>
              <w:spacing w:before="75" w:line="200" w:lineRule="exact"/>
              <w:ind w:left="245"/>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零</w:t>
            </w:r>
            <w:r>
              <w:rPr>
                <w:rFonts w:ascii="仿宋" w:hAnsi="仿宋" w:eastAsia="仿宋" w:cs="仿宋"/>
                <w:color w:val="auto"/>
                <w:spacing w:val="4"/>
                <w:sz w:val="23"/>
                <w:szCs w:val="23"/>
                <w:highlight w:val="none"/>
              </w:rPr>
              <w:t>售业</w:t>
            </w:r>
          </w:p>
        </w:tc>
        <w:tc>
          <w:tcPr>
            <w:tcW w:w="1187" w:type="dxa"/>
            <w:vAlign w:val="top"/>
          </w:tcPr>
          <w:p w14:paraId="05171ED0">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4C3759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7CA0E12E">
            <w:pPr>
              <w:keepNext w:val="0"/>
              <w:keepLines w:val="0"/>
              <w:pageBreakBefore w:val="0"/>
              <w:widowControl w:val="0"/>
              <w:kinsoku/>
              <w:wordWrap/>
              <w:overflowPunct/>
              <w:topLinePunct w:val="0"/>
              <w:autoSpaceDE/>
              <w:autoSpaceDN/>
              <w:bidi w:val="0"/>
              <w:adjustRightInd/>
              <w:snapToGrid/>
              <w:spacing w:before="102"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220EE022">
            <w:pPr>
              <w:keepNext w:val="0"/>
              <w:keepLines w:val="0"/>
              <w:pageBreakBefore w:val="0"/>
              <w:widowControl w:val="0"/>
              <w:kinsoku/>
              <w:wordWrap/>
              <w:overflowPunct/>
              <w:topLinePunct w:val="0"/>
              <w:autoSpaceDE/>
              <w:autoSpaceDN/>
              <w:bidi w:val="0"/>
              <w:adjustRightInd/>
              <w:snapToGrid/>
              <w:spacing w:before="143" w:line="200" w:lineRule="exact"/>
              <w:ind w:left="41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-300</w:t>
            </w:r>
          </w:p>
        </w:tc>
        <w:tc>
          <w:tcPr>
            <w:tcW w:w="1295" w:type="dxa"/>
            <w:vAlign w:val="top"/>
          </w:tcPr>
          <w:p w14:paraId="0C0C720D">
            <w:pPr>
              <w:keepNext w:val="0"/>
              <w:keepLines w:val="0"/>
              <w:pageBreakBefore w:val="0"/>
              <w:widowControl w:val="0"/>
              <w:kinsoku/>
              <w:wordWrap/>
              <w:overflowPunct/>
              <w:topLinePunct w:val="0"/>
              <w:autoSpaceDE/>
              <w:autoSpaceDN/>
              <w:bidi w:val="0"/>
              <w:adjustRightInd/>
              <w:snapToGrid/>
              <w:spacing w:before="143" w:line="200" w:lineRule="exact"/>
              <w:ind w:left="37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-50</w:t>
            </w:r>
          </w:p>
        </w:tc>
        <w:tc>
          <w:tcPr>
            <w:tcW w:w="1004" w:type="dxa"/>
            <w:vAlign w:val="top"/>
          </w:tcPr>
          <w:p w14:paraId="596F935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6729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184" w:type="dxa"/>
            <w:vMerge w:val="continue"/>
            <w:tcBorders>
              <w:top w:val="nil"/>
            </w:tcBorders>
            <w:vAlign w:val="top"/>
          </w:tcPr>
          <w:p w14:paraId="47494F9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2BC9BB0">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ADCB8D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4B01E1A">
            <w:pPr>
              <w:keepNext w:val="0"/>
              <w:keepLines w:val="0"/>
              <w:pageBreakBefore w:val="0"/>
              <w:widowControl w:val="0"/>
              <w:kinsoku/>
              <w:wordWrap/>
              <w:overflowPunct/>
              <w:topLinePunct w:val="0"/>
              <w:autoSpaceDE/>
              <w:autoSpaceDN/>
              <w:bidi w:val="0"/>
              <w:adjustRightInd/>
              <w:snapToGrid/>
              <w:spacing w:before="101" w:line="200" w:lineRule="exact"/>
              <w:ind w:left="303"/>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w:t>
            </w:r>
            <w:r>
              <w:rPr>
                <w:rFonts w:ascii="仿宋" w:hAnsi="仿宋" w:eastAsia="仿宋" w:cs="仿宋"/>
                <w:color w:val="auto"/>
                <w:spacing w:val="1"/>
                <w:position w:val="1"/>
                <w:sz w:val="23"/>
                <w:szCs w:val="23"/>
                <w:highlight w:val="none"/>
              </w:rPr>
              <w:t>0000</w:t>
            </w:r>
          </w:p>
        </w:tc>
        <w:tc>
          <w:tcPr>
            <w:tcW w:w="1535" w:type="dxa"/>
            <w:vAlign w:val="top"/>
          </w:tcPr>
          <w:p w14:paraId="563DEEBA">
            <w:pPr>
              <w:keepNext w:val="0"/>
              <w:keepLines w:val="0"/>
              <w:pageBreakBefore w:val="0"/>
              <w:widowControl w:val="0"/>
              <w:kinsoku/>
              <w:wordWrap/>
              <w:overflowPunct/>
              <w:topLinePunct w:val="0"/>
              <w:autoSpaceDE/>
              <w:autoSpaceDN/>
              <w:bidi w:val="0"/>
              <w:adjustRightInd/>
              <w:snapToGrid/>
              <w:spacing w:before="142"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989294E">
            <w:pPr>
              <w:keepNext w:val="0"/>
              <w:keepLines w:val="0"/>
              <w:pageBreakBefore w:val="0"/>
              <w:widowControl w:val="0"/>
              <w:kinsoku/>
              <w:wordWrap/>
              <w:overflowPunct/>
              <w:topLinePunct w:val="0"/>
              <w:autoSpaceDE/>
              <w:autoSpaceDN/>
              <w:bidi w:val="0"/>
              <w:adjustRightInd/>
              <w:snapToGrid/>
              <w:spacing w:before="142"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00-500</w:t>
            </w:r>
          </w:p>
        </w:tc>
        <w:tc>
          <w:tcPr>
            <w:tcW w:w="1004" w:type="dxa"/>
            <w:vAlign w:val="top"/>
          </w:tcPr>
          <w:p w14:paraId="54C15A40">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5FE7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544F7D0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78836F09">
            <w:pPr>
              <w:keepNext w:val="0"/>
              <w:keepLines w:val="0"/>
              <w:pageBreakBefore w:val="0"/>
              <w:widowControl w:val="0"/>
              <w:kinsoku/>
              <w:wordWrap/>
              <w:overflowPunct/>
              <w:topLinePunct w:val="0"/>
              <w:autoSpaceDE/>
              <w:autoSpaceDN/>
              <w:bidi w:val="0"/>
              <w:adjustRightInd/>
              <w:snapToGrid/>
              <w:spacing w:before="75"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交</w:t>
            </w:r>
            <w:r>
              <w:rPr>
                <w:rFonts w:ascii="仿宋" w:hAnsi="仿宋" w:eastAsia="仿宋" w:cs="仿宋"/>
                <w:color w:val="auto"/>
                <w:spacing w:val="4"/>
                <w:sz w:val="23"/>
                <w:szCs w:val="23"/>
                <w:highlight w:val="none"/>
              </w:rPr>
              <w:t>通运输</w:t>
            </w:r>
          </w:p>
        </w:tc>
        <w:tc>
          <w:tcPr>
            <w:tcW w:w="1187" w:type="dxa"/>
            <w:vAlign w:val="top"/>
          </w:tcPr>
          <w:p w14:paraId="1CB5870C">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705F9D">
            <w:pPr>
              <w:keepNext w:val="0"/>
              <w:keepLines w:val="0"/>
              <w:pageBreakBefore w:val="0"/>
              <w:widowControl w:val="0"/>
              <w:kinsoku/>
              <w:wordWrap/>
              <w:overflowPunct/>
              <w:topLinePunct w:val="0"/>
              <w:autoSpaceDE/>
              <w:autoSpaceDN/>
              <w:bidi w:val="0"/>
              <w:adjustRightInd/>
              <w:snapToGrid/>
              <w:spacing w:before="102"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42F661B8">
            <w:pPr>
              <w:keepNext w:val="0"/>
              <w:keepLines w:val="0"/>
              <w:pageBreakBefore w:val="0"/>
              <w:widowControl w:val="0"/>
              <w:kinsoku/>
              <w:wordWrap/>
              <w:overflowPunct/>
              <w:topLinePunct w:val="0"/>
              <w:autoSpaceDE/>
              <w:autoSpaceDN/>
              <w:bidi w:val="0"/>
              <w:adjustRightInd/>
              <w:snapToGrid/>
              <w:spacing w:before="10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3CC06D40">
            <w:pPr>
              <w:keepNext w:val="0"/>
              <w:keepLines w:val="0"/>
              <w:pageBreakBefore w:val="0"/>
              <w:widowControl w:val="0"/>
              <w:kinsoku/>
              <w:wordWrap/>
              <w:overflowPunct/>
              <w:topLinePunct w:val="0"/>
              <w:autoSpaceDE/>
              <w:autoSpaceDN/>
              <w:bidi w:val="0"/>
              <w:adjustRightInd/>
              <w:snapToGrid/>
              <w:spacing w:before="143"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77708B1E">
            <w:pPr>
              <w:keepNext w:val="0"/>
              <w:keepLines w:val="0"/>
              <w:pageBreakBefore w:val="0"/>
              <w:widowControl w:val="0"/>
              <w:kinsoku/>
              <w:wordWrap/>
              <w:overflowPunct/>
              <w:topLinePunct w:val="0"/>
              <w:autoSpaceDE/>
              <w:autoSpaceDN/>
              <w:bidi w:val="0"/>
              <w:adjustRightInd/>
              <w:snapToGrid/>
              <w:spacing w:before="143"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26A6F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FCA4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36D29E66">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C88E15F">
            <w:pPr>
              <w:keepNext w:val="0"/>
              <w:keepLines w:val="0"/>
              <w:pageBreakBefore w:val="0"/>
              <w:widowControl w:val="0"/>
              <w:kinsoku/>
              <w:wordWrap/>
              <w:overflowPunct/>
              <w:topLinePunct w:val="0"/>
              <w:autoSpaceDE/>
              <w:autoSpaceDN/>
              <w:bidi w:val="0"/>
              <w:adjustRightInd/>
              <w:snapToGrid/>
              <w:spacing w:before="105"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A7FFBD0">
            <w:pPr>
              <w:keepNext w:val="0"/>
              <w:keepLines w:val="0"/>
              <w:pageBreakBefore w:val="0"/>
              <w:widowControl w:val="0"/>
              <w:kinsoku/>
              <w:wordWrap/>
              <w:overflowPunct/>
              <w:topLinePunct w:val="0"/>
              <w:autoSpaceDE/>
              <w:autoSpaceDN/>
              <w:bidi w:val="0"/>
              <w:adjustRightInd/>
              <w:snapToGrid/>
              <w:spacing w:before="105"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F11519F">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7A8E65CD">
            <w:pPr>
              <w:keepNext w:val="0"/>
              <w:keepLines w:val="0"/>
              <w:pageBreakBefore w:val="0"/>
              <w:widowControl w:val="0"/>
              <w:kinsoku/>
              <w:wordWrap/>
              <w:overflowPunct/>
              <w:topLinePunct w:val="0"/>
              <w:autoSpaceDE/>
              <w:autoSpaceDN/>
              <w:bidi w:val="0"/>
              <w:adjustRightInd/>
              <w:snapToGrid/>
              <w:spacing w:before="145"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30</w:t>
            </w:r>
            <w:r>
              <w:rPr>
                <w:rFonts w:ascii="仿宋" w:hAnsi="仿宋" w:eastAsia="仿宋" w:cs="仿宋"/>
                <w:color w:val="auto"/>
                <w:spacing w:val="3"/>
                <w:sz w:val="23"/>
                <w:szCs w:val="23"/>
                <w:highlight w:val="none"/>
              </w:rPr>
              <w:t>00-30000</w:t>
            </w:r>
          </w:p>
        </w:tc>
        <w:tc>
          <w:tcPr>
            <w:tcW w:w="1295" w:type="dxa"/>
            <w:vAlign w:val="top"/>
          </w:tcPr>
          <w:p w14:paraId="32E3DA0E">
            <w:pPr>
              <w:keepNext w:val="0"/>
              <w:keepLines w:val="0"/>
              <w:pageBreakBefore w:val="0"/>
              <w:widowControl w:val="0"/>
              <w:kinsoku/>
              <w:wordWrap/>
              <w:overflowPunct/>
              <w:topLinePunct w:val="0"/>
              <w:autoSpaceDE/>
              <w:autoSpaceDN/>
              <w:bidi w:val="0"/>
              <w:adjustRightInd/>
              <w:snapToGrid/>
              <w:spacing w:before="145" w:line="200" w:lineRule="exact"/>
              <w:ind w:left="17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2</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0-3000</w:t>
            </w:r>
          </w:p>
        </w:tc>
        <w:tc>
          <w:tcPr>
            <w:tcW w:w="1004" w:type="dxa"/>
            <w:vAlign w:val="top"/>
          </w:tcPr>
          <w:p w14:paraId="32213042">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＜20</w:t>
            </w:r>
            <w:r>
              <w:rPr>
                <w:rFonts w:ascii="仿宋" w:hAnsi="仿宋" w:eastAsia="仿宋" w:cs="仿宋"/>
                <w:color w:val="auto"/>
                <w:position w:val="2"/>
                <w:sz w:val="23"/>
                <w:szCs w:val="23"/>
                <w:highlight w:val="none"/>
              </w:rPr>
              <w:t>0</w:t>
            </w:r>
          </w:p>
        </w:tc>
      </w:tr>
      <w:tr w14:paraId="22E00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53BD441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764AE8">
            <w:pPr>
              <w:keepNext w:val="0"/>
              <w:keepLines w:val="0"/>
              <w:pageBreakBefore w:val="0"/>
              <w:widowControl w:val="0"/>
              <w:kinsoku/>
              <w:wordWrap/>
              <w:overflowPunct/>
              <w:topLinePunct w:val="0"/>
              <w:autoSpaceDE/>
              <w:autoSpaceDN/>
              <w:bidi w:val="0"/>
              <w:adjustRightInd/>
              <w:snapToGrid/>
              <w:spacing w:before="75" w:line="200" w:lineRule="exact"/>
              <w:ind w:left="369"/>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仓</w:t>
            </w:r>
            <w:r>
              <w:rPr>
                <w:rFonts w:ascii="仿宋" w:hAnsi="仿宋" w:eastAsia="仿宋" w:cs="仿宋"/>
                <w:color w:val="auto"/>
                <w:sz w:val="23"/>
                <w:szCs w:val="23"/>
                <w:highlight w:val="none"/>
              </w:rPr>
              <w:t>储</w:t>
            </w:r>
          </w:p>
        </w:tc>
        <w:tc>
          <w:tcPr>
            <w:tcW w:w="1187" w:type="dxa"/>
            <w:vAlign w:val="top"/>
          </w:tcPr>
          <w:p w14:paraId="64D0DB0B">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614409">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ED96396">
            <w:pPr>
              <w:keepNext w:val="0"/>
              <w:keepLines w:val="0"/>
              <w:pageBreakBefore w:val="0"/>
              <w:widowControl w:val="0"/>
              <w:kinsoku/>
              <w:wordWrap/>
              <w:overflowPunct/>
              <w:topLinePunct w:val="0"/>
              <w:autoSpaceDE/>
              <w:autoSpaceDN/>
              <w:bidi w:val="0"/>
              <w:adjustRightInd/>
              <w:snapToGrid/>
              <w:spacing w:before="104"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6229CD47">
            <w:pPr>
              <w:keepNext w:val="0"/>
              <w:keepLines w:val="0"/>
              <w:pageBreakBefore w:val="0"/>
              <w:widowControl w:val="0"/>
              <w:kinsoku/>
              <w:wordWrap/>
              <w:overflowPunct/>
              <w:topLinePunct w:val="0"/>
              <w:autoSpaceDE/>
              <w:autoSpaceDN/>
              <w:bidi w:val="0"/>
              <w:adjustRightInd/>
              <w:snapToGrid/>
              <w:spacing w:before="14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0978E460">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20-100</w:t>
            </w:r>
          </w:p>
        </w:tc>
        <w:tc>
          <w:tcPr>
            <w:tcW w:w="1004" w:type="dxa"/>
            <w:vAlign w:val="top"/>
          </w:tcPr>
          <w:p w14:paraId="4D513DE8">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0233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4DA80CB2">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F395766">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2A5105C">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CF0850">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BDB92CA">
            <w:pPr>
              <w:keepNext w:val="0"/>
              <w:keepLines w:val="0"/>
              <w:pageBreakBefore w:val="0"/>
              <w:widowControl w:val="0"/>
              <w:kinsoku/>
              <w:wordWrap/>
              <w:overflowPunct/>
              <w:topLinePunct w:val="0"/>
              <w:autoSpaceDE/>
              <w:autoSpaceDN/>
              <w:bidi w:val="0"/>
              <w:adjustRightInd/>
              <w:snapToGrid/>
              <w:spacing w:before="145"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00-30000</w:t>
            </w:r>
          </w:p>
        </w:tc>
        <w:tc>
          <w:tcPr>
            <w:tcW w:w="1295" w:type="dxa"/>
            <w:vAlign w:val="top"/>
          </w:tcPr>
          <w:p w14:paraId="31FE6107">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75A43AF">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7D7B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DCEF5D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0DFD49D">
            <w:pPr>
              <w:keepNext w:val="0"/>
              <w:keepLines w:val="0"/>
              <w:pageBreakBefore w:val="0"/>
              <w:widowControl w:val="0"/>
              <w:kinsoku/>
              <w:wordWrap/>
              <w:overflowPunct/>
              <w:topLinePunct w:val="0"/>
              <w:autoSpaceDE/>
              <w:autoSpaceDN/>
              <w:bidi w:val="0"/>
              <w:adjustRightInd/>
              <w:snapToGrid/>
              <w:spacing w:before="75" w:line="200" w:lineRule="exact"/>
              <w:ind w:left="262"/>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邮</w:t>
            </w:r>
            <w:r>
              <w:rPr>
                <w:rFonts w:ascii="仿宋" w:hAnsi="仿宋" w:eastAsia="仿宋" w:cs="仿宋"/>
                <w:color w:val="auto"/>
                <w:spacing w:val="-1"/>
                <w:sz w:val="23"/>
                <w:szCs w:val="23"/>
                <w:highlight w:val="none"/>
              </w:rPr>
              <w:t>政业</w:t>
            </w:r>
          </w:p>
        </w:tc>
        <w:tc>
          <w:tcPr>
            <w:tcW w:w="1187" w:type="dxa"/>
            <w:vAlign w:val="top"/>
          </w:tcPr>
          <w:p w14:paraId="2B892CAA">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92DC2CC">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DEDC692">
            <w:pPr>
              <w:keepNext w:val="0"/>
              <w:keepLines w:val="0"/>
              <w:pageBreakBefore w:val="0"/>
              <w:widowControl w:val="0"/>
              <w:kinsoku/>
              <w:wordWrap/>
              <w:overflowPunct/>
              <w:topLinePunct w:val="0"/>
              <w:autoSpaceDE/>
              <w:autoSpaceDN/>
              <w:bidi w:val="0"/>
              <w:adjustRightInd/>
              <w:snapToGrid/>
              <w:spacing w:before="10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70680819">
            <w:pPr>
              <w:keepNext w:val="0"/>
              <w:keepLines w:val="0"/>
              <w:pageBreakBefore w:val="0"/>
              <w:widowControl w:val="0"/>
              <w:kinsoku/>
              <w:wordWrap/>
              <w:overflowPunct/>
              <w:topLinePunct w:val="0"/>
              <w:autoSpaceDE/>
              <w:autoSpaceDN/>
              <w:bidi w:val="0"/>
              <w:adjustRightInd/>
              <w:snapToGrid/>
              <w:spacing w:before="145"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295" w:type="dxa"/>
            <w:vAlign w:val="top"/>
          </w:tcPr>
          <w:p w14:paraId="7F9452AA">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1CA30C6B">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3A7E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continue"/>
            <w:tcBorders>
              <w:top w:val="nil"/>
            </w:tcBorders>
            <w:vAlign w:val="top"/>
          </w:tcPr>
          <w:p w14:paraId="45DAC64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212EB8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7A38356">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CF98CAE">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4AB1951">
            <w:pPr>
              <w:keepNext w:val="0"/>
              <w:keepLines w:val="0"/>
              <w:pageBreakBefore w:val="0"/>
              <w:widowControl w:val="0"/>
              <w:kinsoku/>
              <w:wordWrap/>
              <w:overflowPunct/>
              <w:topLinePunct w:val="0"/>
              <w:autoSpaceDE/>
              <w:autoSpaceDN/>
              <w:bidi w:val="0"/>
              <w:adjustRightInd/>
              <w:snapToGrid/>
              <w:spacing w:before="145"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2000-3000</w:t>
            </w:r>
            <w:r>
              <w:rPr>
                <w:rFonts w:ascii="仿宋" w:hAnsi="仿宋" w:eastAsia="仿宋" w:cs="仿宋"/>
                <w:color w:val="auto"/>
                <w:spacing w:val="2"/>
                <w:sz w:val="23"/>
                <w:szCs w:val="23"/>
                <w:highlight w:val="none"/>
              </w:rPr>
              <w:t>0</w:t>
            </w:r>
          </w:p>
        </w:tc>
        <w:tc>
          <w:tcPr>
            <w:tcW w:w="1295" w:type="dxa"/>
            <w:vAlign w:val="top"/>
          </w:tcPr>
          <w:p w14:paraId="1D235F2D">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56C7EBA8">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96C1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4C6006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5809DD99">
            <w:pPr>
              <w:keepNext w:val="0"/>
              <w:keepLines w:val="0"/>
              <w:pageBreakBefore w:val="0"/>
              <w:widowControl w:val="0"/>
              <w:kinsoku/>
              <w:wordWrap/>
              <w:overflowPunct/>
              <w:topLinePunct w:val="0"/>
              <w:autoSpaceDE/>
              <w:autoSpaceDN/>
              <w:bidi w:val="0"/>
              <w:adjustRightInd/>
              <w:snapToGrid/>
              <w:spacing w:before="75"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住宿餐饮</w:t>
            </w:r>
          </w:p>
        </w:tc>
        <w:tc>
          <w:tcPr>
            <w:tcW w:w="1187" w:type="dxa"/>
            <w:vAlign w:val="top"/>
          </w:tcPr>
          <w:p w14:paraId="0B67F836">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438C2AF">
            <w:pPr>
              <w:keepNext w:val="0"/>
              <w:keepLines w:val="0"/>
              <w:pageBreakBefore w:val="0"/>
              <w:widowControl w:val="0"/>
              <w:kinsoku/>
              <w:wordWrap/>
              <w:overflowPunct/>
              <w:topLinePunct w:val="0"/>
              <w:autoSpaceDE/>
              <w:autoSpaceDN/>
              <w:bidi w:val="0"/>
              <w:adjustRightInd/>
              <w:snapToGrid/>
              <w:spacing w:before="103"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6975E3E0">
            <w:pPr>
              <w:keepNext w:val="0"/>
              <w:keepLines w:val="0"/>
              <w:pageBreakBefore w:val="0"/>
              <w:widowControl w:val="0"/>
              <w:kinsoku/>
              <w:wordWrap/>
              <w:overflowPunct/>
              <w:topLinePunct w:val="0"/>
              <w:autoSpaceDE/>
              <w:autoSpaceDN/>
              <w:bidi w:val="0"/>
              <w:adjustRightInd/>
              <w:snapToGrid/>
              <w:spacing w:before="103"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597608A8">
            <w:pPr>
              <w:keepNext w:val="0"/>
              <w:keepLines w:val="0"/>
              <w:pageBreakBefore w:val="0"/>
              <w:widowControl w:val="0"/>
              <w:kinsoku/>
              <w:wordWrap/>
              <w:overflowPunct/>
              <w:topLinePunct w:val="0"/>
              <w:autoSpaceDE/>
              <w:autoSpaceDN/>
              <w:bidi w:val="0"/>
              <w:adjustRightInd/>
              <w:snapToGrid/>
              <w:spacing w:before="14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8627993">
            <w:pPr>
              <w:keepNext w:val="0"/>
              <w:keepLines w:val="0"/>
              <w:pageBreakBefore w:val="0"/>
              <w:widowControl w:val="0"/>
              <w:kinsoku/>
              <w:wordWrap/>
              <w:overflowPunct/>
              <w:topLinePunct w:val="0"/>
              <w:autoSpaceDE/>
              <w:autoSpaceDN/>
              <w:bidi w:val="0"/>
              <w:adjustRightInd/>
              <w:snapToGrid/>
              <w:spacing w:before="144"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2679FAA">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13002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6EF7E36F">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9AB318C">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13DE49C">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2E45E88">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F9147A9">
            <w:pPr>
              <w:keepNext w:val="0"/>
              <w:keepLines w:val="0"/>
              <w:pageBreakBefore w:val="0"/>
              <w:widowControl w:val="0"/>
              <w:kinsoku/>
              <w:wordWrap/>
              <w:overflowPunct/>
              <w:topLinePunct w:val="0"/>
              <w:autoSpaceDE/>
              <w:autoSpaceDN/>
              <w:bidi w:val="0"/>
              <w:adjustRightInd/>
              <w:snapToGrid/>
              <w:spacing w:before="144"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2000-1000</w:t>
            </w:r>
            <w:r>
              <w:rPr>
                <w:rFonts w:ascii="仿宋" w:hAnsi="仿宋" w:eastAsia="仿宋" w:cs="仿宋"/>
                <w:color w:val="auto"/>
                <w:spacing w:val="2"/>
                <w:sz w:val="23"/>
                <w:szCs w:val="23"/>
                <w:highlight w:val="none"/>
              </w:rPr>
              <w:t>0</w:t>
            </w:r>
          </w:p>
        </w:tc>
        <w:tc>
          <w:tcPr>
            <w:tcW w:w="1295" w:type="dxa"/>
            <w:vAlign w:val="top"/>
          </w:tcPr>
          <w:p w14:paraId="2B24504C">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4E9973B1">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41CF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restart"/>
            <w:tcBorders>
              <w:bottom w:val="nil"/>
            </w:tcBorders>
            <w:vAlign w:val="top"/>
          </w:tcPr>
          <w:p w14:paraId="408F2780">
            <w:pPr>
              <w:keepNext w:val="0"/>
              <w:keepLines w:val="0"/>
              <w:pageBreakBefore w:val="0"/>
              <w:widowControl w:val="0"/>
              <w:kinsoku/>
              <w:wordWrap/>
              <w:overflowPunct/>
              <w:topLinePunct w:val="0"/>
              <w:autoSpaceDE/>
              <w:autoSpaceDN/>
              <w:bidi w:val="0"/>
              <w:adjustRightInd/>
              <w:snapToGrid/>
              <w:spacing w:before="172" w:line="200" w:lineRule="exact"/>
              <w:ind w:left="124" w:right="110" w:firstLine="124"/>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房地产</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开发经营</w:t>
            </w:r>
          </w:p>
        </w:tc>
        <w:tc>
          <w:tcPr>
            <w:tcW w:w="1187" w:type="dxa"/>
            <w:vAlign w:val="top"/>
          </w:tcPr>
          <w:p w14:paraId="495D7DC2">
            <w:pPr>
              <w:keepNext w:val="0"/>
              <w:keepLines w:val="0"/>
              <w:pageBreakBefore w:val="0"/>
              <w:widowControl w:val="0"/>
              <w:kinsoku/>
              <w:wordWrap/>
              <w:overflowPunct/>
              <w:topLinePunct w:val="0"/>
              <w:autoSpaceDE/>
              <w:autoSpaceDN/>
              <w:bidi w:val="0"/>
              <w:adjustRightInd/>
              <w:snapToGrid/>
              <w:spacing w:before="103"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72C2D12E">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B9432B">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85AB1A3">
            <w:pPr>
              <w:keepNext w:val="0"/>
              <w:keepLines w:val="0"/>
              <w:pageBreakBefore w:val="0"/>
              <w:widowControl w:val="0"/>
              <w:kinsoku/>
              <w:wordWrap/>
              <w:overflowPunct/>
              <w:topLinePunct w:val="0"/>
              <w:autoSpaceDE/>
              <w:autoSpaceDN/>
              <w:bidi w:val="0"/>
              <w:adjustRightInd/>
              <w:snapToGrid/>
              <w:spacing w:before="144"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00-10000</w:t>
            </w:r>
          </w:p>
        </w:tc>
        <w:tc>
          <w:tcPr>
            <w:tcW w:w="1295" w:type="dxa"/>
            <w:vAlign w:val="top"/>
          </w:tcPr>
          <w:p w14:paraId="11FF934A">
            <w:pPr>
              <w:keepNext w:val="0"/>
              <w:keepLines w:val="0"/>
              <w:pageBreakBefore w:val="0"/>
              <w:widowControl w:val="0"/>
              <w:kinsoku/>
              <w:wordWrap/>
              <w:overflowPunct/>
              <w:topLinePunct w:val="0"/>
              <w:autoSpaceDE/>
              <w:autoSpaceDN/>
              <w:bidi w:val="0"/>
              <w:adjustRightInd/>
              <w:snapToGrid/>
              <w:spacing w:before="103" w:line="200" w:lineRule="exact"/>
              <w:ind w:left="116"/>
              <w:textAlignment w:val="auto"/>
              <w:rPr>
                <w:rFonts w:ascii="仿宋" w:hAnsi="仿宋" w:eastAsia="仿宋" w:cs="仿宋"/>
                <w:color w:val="auto"/>
                <w:sz w:val="23"/>
                <w:szCs w:val="23"/>
                <w:highlight w:val="none"/>
              </w:rPr>
            </w:pPr>
            <w:r>
              <w:rPr>
                <w:rFonts w:ascii="仿宋" w:hAnsi="仿宋" w:eastAsia="仿宋" w:cs="仿宋"/>
                <w:color w:val="auto"/>
                <w:spacing w:val="6"/>
                <w:position w:val="1"/>
                <w:sz w:val="23"/>
                <w:szCs w:val="23"/>
                <w:highlight w:val="none"/>
              </w:rPr>
              <w:t>20</w:t>
            </w:r>
            <w:r>
              <w:rPr>
                <w:rFonts w:ascii="仿宋" w:hAnsi="仿宋" w:eastAsia="仿宋" w:cs="仿宋"/>
                <w:color w:val="auto"/>
                <w:spacing w:val="3"/>
                <w:position w:val="1"/>
                <w:sz w:val="23"/>
                <w:szCs w:val="23"/>
                <w:highlight w:val="none"/>
              </w:rPr>
              <w:t>00&lt;5000</w:t>
            </w:r>
          </w:p>
        </w:tc>
        <w:tc>
          <w:tcPr>
            <w:tcW w:w="1004" w:type="dxa"/>
            <w:vAlign w:val="top"/>
          </w:tcPr>
          <w:p w14:paraId="55DF6E51">
            <w:pPr>
              <w:keepNext w:val="0"/>
              <w:keepLines w:val="0"/>
              <w:pageBreakBefore w:val="0"/>
              <w:widowControl w:val="0"/>
              <w:kinsoku/>
              <w:wordWrap/>
              <w:overflowPunct/>
              <w:topLinePunct w:val="0"/>
              <w:autoSpaceDE/>
              <w:autoSpaceDN/>
              <w:bidi w:val="0"/>
              <w:adjustRightInd/>
              <w:snapToGrid/>
              <w:spacing w:before="103"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w:t>
            </w:r>
            <w:r>
              <w:rPr>
                <w:rFonts w:ascii="仿宋" w:hAnsi="仿宋" w:eastAsia="仿宋" w:cs="仿宋"/>
                <w:color w:val="auto"/>
                <w:position w:val="2"/>
                <w:sz w:val="23"/>
                <w:szCs w:val="23"/>
                <w:highlight w:val="none"/>
              </w:rPr>
              <w:t>000</w:t>
            </w:r>
          </w:p>
        </w:tc>
      </w:tr>
      <w:tr w14:paraId="5C6A0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7E02D71B">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44300B5">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BCAC04F">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0662BC4">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≥200000</w:t>
            </w:r>
          </w:p>
        </w:tc>
        <w:tc>
          <w:tcPr>
            <w:tcW w:w="1535" w:type="dxa"/>
            <w:vAlign w:val="top"/>
          </w:tcPr>
          <w:p w14:paraId="37DB6ADF">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0-200000</w:t>
            </w:r>
          </w:p>
        </w:tc>
        <w:tc>
          <w:tcPr>
            <w:tcW w:w="1295" w:type="dxa"/>
            <w:vAlign w:val="top"/>
          </w:tcPr>
          <w:p w14:paraId="25032F84">
            <w:pPr>
              <w:keepNext w:val="0"/>
              <w:keepLines w:val="0"/>
              <w:pageBreakBefore w:val="0"/>
              <w:widowControl w:val="0"/>
              <w:kinsoku/>
              <w:wordWrap/>
              <w:overflowPunct/>
              <w:topLinePunct w:val="0"/>
              <w:autoSpaceDE/>
              <w:autoSpaceDN/>
              <w:bidi w:val="0"/>
              <w:adjustRightInd/>
              <w:snapToGrid/>
              <w:spacing w:before="10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100&lt;10000</w:t>
            </w:r>
          </w:p>
        </w:tc>
        <w:tc>
          <w:tcPr>
            <w:tcW w:w="1004" w:type="dxa"/>
            <w:vAlign w:val="top"/>
          </w:tcPr>
          <w:p w14:paraId="5AE2AE60">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B86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trPr>
        <w:tc>
          <w:tcPr>
            <w:tcW w:w="1184" w:type="dxa"/>
            <w:vMerge w:val="restart"/>
            <w:tcBorders>
              <w:bottom w:val="nil"/>
            </w:tcBorders>
            <w:vAlign w:val="top"/>
          </w:tcPr>
          <w:p w14:paraId="688F8EB9">
            <w:pPr>
              <w:keepNext w:val="0"/>
              <w:keepLines w:val="0"/>
              <w:pageBreakBefore w:val="0"/>
              <w:widowControl w:val="0"/>
              <w:kinsoku/>
              <w:wordWrap/>
              <w:overflowPunct/>
              <w:topLinePunct w:val="0"/>
              <w:autoSpaceDE/>
              <w:autoSpaceDN/>
              <w:bidi w:val="0"/>
              <w:adjustRightInd/>
              <w:snapToGrid/>
              <w:spacing w:before="263"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物业管</w:t>
            </w:r>
            <w:r>
              <w:rPr>
                <w:rFonts w:ascii="仿宋" w:hAnsi="仿宋" w:eastAsia="仿宋" w:cs="仿宋"/>
                <w:color w:val="auto"/>
                <w:spacing w:val="5"/>
                <w:sz w:val="23"/>
                <w:szCs w:val="23"/>
                <w:highlight w:val="none"/>
              </w:rPr>
              <w:t>理</w:t>
            </w:r>
          </w:p>
        </w:tc>
        <w:tc>
          <w:tcPr>
            <w:tcW w:w="1187" w:type="dxa"/>
            <w:vAlign w:val="top"/>
          </w:tcPr>
          <w:p w14:paraId="62F2E2BF">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1939F93">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230CA95B">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00</w:t>
            </w:r>
          </w:p>
        </w:tc>
        <w:tc>
          <w:tcPr>
            <w:tcW w:w="1535" w:type="dxa"/>
            <w:vAlign w:val="top"/>
          </w:tcPr>
          <w:p w14:paraId="712EEC7E">
            <w:pPr>
              <w:keepNext w:val="0"/>
              <w:keepLines w:val="0"/>
              <w:pageBreakBefore w:val="0"/>
              <w:widowControl w:val="0"/>
              <w:kinsoku/>
              <w:wordWrap/>
              <w:overflowPunct/>
              <w:topLinePunct w:val="0"/>
              <w:autoSpaceDE/>
              <w:autoSpaceDN/>
              <w:bidi w:val="0"/>
              <w:adjustRightInd/>
              <w:snapToGrid/>
              <w:spacing w:before="81"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0898277A">
            <w:pPr>
              <w:keepNext w:val="0"/>
              <w:keepLines w:val="0"/>
              <w:pageBreakBefore w:val="0"/>
              <w:widowControl w:val="0"/>
              <w:kinsoku/>
              <w:wordWrap/>
              <w:overflowPunct/>
              <w:topLinePunct w:val="0"/>
              <w:autoSpaceDE/>
              <w:autoSpaceDN/>
              <w:bidi w:val="0"/>
              <w:adjustRightInd/>
              <w:snapToGrid/>
              <w:spacing w:before="81"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004" w:type="dxa"/>
            <w:vAlign w:val="top"/>
          </w:tcPr>
          <w:p w14:paraId="31B5F117">
            <w:pPr>
              <w:keepNext w:val="0"/>
              <w:keepLines w:val="0"/>
              <w:pageBreakBefore w:val="0"/>
              <w:widowControl w:val="0"/>
              <w:kinsoku/>
              <w:wordWrap/>
              <w:overflowPunct/>
              <w:topLinePunct w:val="0"/>
              <w:autoSpaceDE/>
              <w:autoSpaceDN/>
              <w:bidi w:val="0"/>
              <w:adjustRightInd/>
              <w:snapToGrid/>
              <w:spacing w:before="4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w:t>
            </w:r>
          </w:p>
        </w:tc>
      </w:tr>
      <w:tr w14:paraId="48E4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5C56BB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B8D9F8B">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2440A9F9">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7EB687C">
            <w:pPr>
              <w:keepNext w:val="0"/>
              <w:keepLines w:val="0"/>
              <w:pageBreakBefore w:val="0"/>
              <w:widowControl w:val="0"/>
              <w:kinsoku/>
              <w:wordWrap/>
              <w:overflowPunct/>
              <w:topLinePunct w:val="0"/>
              <w:autoSpaceDE/>
              <w:autoSpaceDN/>
              <w:bidi w:val="0"/>
              <w:adjustRightInd/>
              <w:snapToGrid/>
              <w:spacing w:before="103"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≥50</w:t>
            </w:r>
            <w:r>
              <w:rPr>
                <w:rFonts w:ascii="仿宋" w:hAnsi="仿宋" w:eastAsia="仿宋" w:cs="仿宋"/>
                <w:color w:val="auto"/>
                <w:position w:val="1"/>
                <w:sz w:val="23"/>
                <w:szCs w:val="23"/>
                <w:highlight w:val="none"/>
              </w:rPr>
              <w:t>00</w:t>
            </w:r>
          </w:p>
        </w:tc>
        <w:tc>
          <w:tcPr>
            <w:tcW w:w="1535" w:type="dxa"/>
            <w:vAlign w:val="top"/>
          </w:tcPr>
          <w:p w14:paraId="539F83BB">
            <w:pPr>
              <w:keepNext w:val="0"/>
              <w:keepLines w:val="0"/>
              <w:pageBreakBefore w:val="0"/>
              <w:widowControl w:val="0"/>
              <w:kinsoku/>
              <w:wordWrap/>
              <w:overflowPunct/>
              <w:topLinePunct w:val="0"/>
              <w:autoSpaceDE/>
              <w:autoSpaceDN/>
              <w:bidi w:val="0"/>
              <w:adjustRightInd/>
              <w:snapToGrid/>
              <w:spacing w:before="144"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295" w:type="dxa"/>
            <w:vAlign w:val="top"/>
          </w:tcPr>
          <w:p w14:paraId="7BDC924E">
            <w:pPr>
              <w:keepNext w:val="0"/>
              <w:keepLines w:val="0"/>
              <w:pageBreakBefore w:val="0"/>
              <w:widowControl w:val="0"/>
              <w:kinsoku/>
              <w:wordWrap/>
              <w:overflowPunct/>
              <w:topLinePunct w:val="0"/>
              <w:autoSpaceDE/>
              <w:autoSpaceDN/>
              <w:bidi w:val="0"/>
              <w:adjustRightInd/>
              <w:snapToGrid/>
              <w:spacing w:before="144" w:line="200" w:lineRule="exact"/>
              <w:ind w:left="118"/>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004" w:type="dxa"/>
            <w:vAlign w:val="top"/>
          </w:tcPr>
          <w:p w14:paraId="00DAE1AE">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＜50</w:t>
            </w:r>
            <w:r>
              <w:rPr>
                <w:rFonts w:ascii="仿宋" w:hAnsi="仿宋" w:eastAsia="仿宋" w:cs="仿宋"/>
                <w:color w:val="auto"/>
                <w:position w:val="2"/>
                <w:sz w:val="23"/>
                <w:szCs w:val="23"/>
                <w:highlight w:val="none"/>
              </w:rPr>
              <w:t>0</w:t>
            </w:r>
          </w:p>
        </w:tc>
      </w:tr>
      <w:tr w14:paraId="33426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184" w:type="dxa"/>
            <w:vMerge w:val="restart"/>
            <w:tcBorders>
              <w:bottom w:val="nil"/>
            </w:tcBorders>
            <w:vAlign w:val="top"/>
          </w:tcPr>
          <w:p w14:paraId="49828A21">
            <w:pPr>
              <w:keepNext w:val="0"/>
              <w:keepLines w:val="0"/>
              <w:pageBreakBefore w:val="0"/>
              <w:widowControl w:val="0"/>
              <w:kinsoku/>
              <w:wordWrap/>
              <w:overflowPunct/>
              <w:topLinePunct w:val="0"/>
              <w:autoSpaceDE/>
              <w:autoSpaceDN/>
              <w:bidi w:val="0"/>
              <w:adjustRightInd/>
              <w:snapToGrid/>
              <w:spacing w:before="263"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信息传输</w:t>
            </w:r>
          </w:p>
        </w:tc>
        <w:tc>
          <w:tcPr>
            <w:tcW w:w="1187" w:type="dxa"/>
            <w:vAlign w:val="top"/>
          </w:tcPr>
          <w:p w14:paraId="5BFE8451">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FAA50CB">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792B671">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≥20</w:t>
            </w:r>
            <w:r>
              <w:rPr>
                <w:rFonts w:ascii="仿宋" w:hAnsi="仿宋" w:eastAsia="仿宋" w:cs="仿宋"/>
                <w:color w:val="auto"/>
                <w:sz w:val="23"/>
                <w:szCs w:val="23"/>
                <w:highlight w:val="none"/>
              </w:rPr>
              <w:t>00</w:t>
            </w:r>
          </w:p>
        </w:tc>
        <w:tc>
          <w:tcPr>
            <w:tcW w:w="1535" w:type="dxa"/>
            <w:vAlign w:val="top"/>
          </w:tcPr>
          <w:p w14:paraId="37A9C3DE">
            <w:pPr>
              <w:keepNext w:val="0"/>
              <w:keepLines w:val="0"/>
              <w:pageBreakBefore w:val="0"/>
              <w:widowControl w:val="0"/>
              <w:kinsoku/>
              <w:wordWrap/>
              <w:overflowPunct/>
              <w:topLinePunct w:val="0"/>
              <w:autoSpaceDE/>
              <w:autoSpaceDN/>
              <w:bidi w:val="0"/>
              <w:adjustRightInd/>
              <w:snapToGrid/>
              <w:spacing w:before="8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24D8CE80">
            <w:pPr>
              <w:keepNext w:val="0"/>
              <w:keepLines w:val="0"/>
              <w:pageBreakBefore w:val="0"/>
              <w:widowControl w:val="0"/>
              <w:kinsoku/>
              <w:wordWrap/>
              <w:overflowPunct/>
              <w:topLinePunct w:val="0"/>
              <w:autoSpaceDE/>
              <w:autoSpaceDN/>
              <w:bidi w:val="0"/>
              <w:adjustRightInd/>
              <w:snapToGrid/>
              <w:spacing w:before="82"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5A69378A">
            <w:pPr>
              <w:keepNext w:val="0"/>
              <w:keepLines w:val="0"/>
              <w:pageBreakBefore w:val="0"/>
              <w:widowControl w:val="0"/>
              <w:kinsoku/>
              <w:wordWrap/>
              <w:overflowPunct/>
              <w:topLinePunct w:val="0"/>
              <w:autoSpaceDE/>
              <w:autoSpaceDN/>
              <w:bidi w:val="0"/>
              <w:adjustRightInd/>
              <w:snapToGrid/>
              <w:spacing w:before="4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355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438421C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1E0BCED">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FF98A82">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1250105A">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≥100000</w:t>
            </w:r>
          </w:p>
        </w:tc>
        <w:tc>
          <w:tcPr>
            <w:tcW w:w="1535" w:type="dxa"/>
            <w:vAlign w:val="top"/>
          </w:tcPr>
          <w:p w14:paraId="0AFE137C">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0-100000</w:t>
            </w:r>
          </w:p>
        </w:tc>
        <w:tc>
          <w:tcPr>
            <w:tcW w:w="1295" w:type="dxa"/>
            <w:vAlign w:val="top"/>
          </w:tcPr>
          <w:p w14:paraId="08A05E66">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116819F">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E11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2AA2ADDD">
            <w:pPr>
              <w:keepNext w:val="0"/>
              <w:keepLines w:val="0"/>
              <w:pageBreakBefore w:val="0"/>
              <w:widowControl w:val="0"/>
              <w:kinsoku/>
              <w:wordWrap/>
              <w:overflowPunct/>
              <w:topLinePunct w:val="0"/>
              <w:autoSpaceDE/>
              <w:autoSpaceDN/>
              <w:bidi w:val="0"/>
              <w:adjustRightInd/>
              <w:snapToGrid/>
              <w:spacing w:before="127" w:line="200" w:lineRule="exact"/>
              <w:ind w:left="124" w:right="110" w:firstLine="120"/>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软</w:t>
            </w:r>
            <w:r>
              <w:rPr>
                <w:rFonts w:ascii="仿宋" w:hAnsi="仿宋" w:eastAsia="仿宋" w:cs="仿宋"/>
                <w:color w:val="auto"/>
                <w:spacing w:val="4"/>
                <w:sz w:val="23"/>
                <w:szCs w:val="23"/>
                <w:highlight w:val="none"/>
              </w:rPr>
              <w:t>件和</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信息技术</w:t>
            </w:r>
          </w:p>
        </w:tc>
        <w:tc>
          <w:tcPr>
            <w:tcW w:w="1187" w:type="dxa"/>
            <w:vAlign w:val="top"/>
          </w:tcPr>
          <w:p w14:paraId="5A89B216">
            <w:pPr>
              <w:keepNext w:val="0"/>
              <w:keepLines w:val="0"/>
              <w:pageBreakBefore w:val="0"/>
              <w:widowControl w:val="0"/>
              <w:kinsoku/>
              <w:wordWrap/>
              <w:overflowPunct/>
              <w:topLinePunct w:val="0"/>
              <w:autoSpaceDE/>
              <w:autoSpaceDN/>
              <w:bidi w:val="0"/>
              <w:adjustRightInd/>
              <w:snapToGrid/>
              <w:spacing w:before="57"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75FC727A">
            <w:pPr>
              <w:keepNext w:val="0"/>
              <w:keepLines w:val="0"/>
              <w:pageBreakBefore w:val="0"/>
              <w:widowControl w:val="0"/>
              <w:kinsoku/>
              <w:wordWrap/>
              <w:overflowPunct/>
              <w:topLinePunct w:val="0"/>
              <w:autoSpaceDE/>
              <w:autoSpaceDN/>
              <w:bidi w:val="0"/>
              <w:adjustRightInd/>
              <w:snapToGrid/>
              <w:spacing w:before="57"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AF1897F">
            <w:pPr>
              <w:keepNext w:val="0"/>
              <w:keepLines w:val="0"/>
              <w:pageBreakBefore w:val="0"/>
              <w:widowControl w:val="0"/>
              <w:kinsoku/>
              <w:wordWrap/>
              <w:overflowPunct/>
              <w:topLinePunct w:val="0"/>
              <w:autoSpaceDE/>
              <w:autoSpaceDN/>
              <w:bidi w:val="0"/>
              <w:adjustRightInd/>
              <w:snapToGrid/>
              <w:spacing w:before="57"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2E1F339C">
            <w:pPr>
              <w:keepNext w:val="0"/>
              <w:keepLines w:val="0"/>
              <w:pageBreakBefore w:val="0"/>
              <w:widowControl w:val="0"/>
              <w:kinsoku/>
              <w:wordWrap/>
              <w:overflowPunct/>
              <w:topLinePunct w:val="0"/>
              <w:autoSpaceDE/>
              <w:autoSpaceDN/>
              <w:bidi w:val="0"/>
              <w:adjustRightInd/>
              <w:snapToGrid/>
              <w:spacing w:before="98"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47D1DF78">
            <w:pPr>
              <w:keepNext w:val="0"/>
              <w:keepLines w:val="0"/>
              <w:pageBreakBefore w:val="0"/>
              <w:widowControl w:val="0"/>
              <w:kinsoku/>
              <w:wordWrap/>
              <w:overflowPunct/>
              <w:topLinePunct w:val="0"/>
              <w:autoSpaceDE/>
              <w:autoSpaceDN/>
              <w:bidi w:val="0"/>
              <w:adjustRightInd/>
              <w:snapToGrid/>
              <w:spacing w:before="98"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06EEC185">
            <w:pPr>
              <w:keepNext w:val="0"/>
              <w:keepLines w:val="0"/>
              <w:pageBreakBefore w:val="0"/>
              <w:widowControl w:val="0"/>
              <w:kinsoku/>
              <w:wordWrap/>
              <w:overflowPunct/>
              <w:topLinePunct w:val="0"/>
              <w:autoSpaceDE/>
              <w:autoSpaceDN/>
              <w:bidi w:val="0"/>
              <w:adjustRightInd/>
              <w:snapToGrid/>
              <w:spacing w:before="57"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78848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172B7FF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E46FC0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BD079E0">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3B0C9F46">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511B8A33">
            <w:pPr>
              <w:keepNext w:val="0"/>
              <w:keepLines w:val="0"/>
              <w:pageBreakBefore w:val="0"/>
              <w:widowControl w:val="0"/>
              <w:kinsoku/>
              <w:wordWrap/>
              <w:overflowPunct/>
              <w:topLinePunct w:val="0"/>
              <w:autoSpaceDE/>
              <w:autoSpaceDN/>
              <w:bidi w:val="0"/>
              <w:adjustRightInd/>
              <w:snapToGrid/>
              <w:spacing w:before="144"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00-10000</w:t>
            </w:r>
          </w:p>
        </w:tc>
        <w:tc>
          <w:tcPr>
            <w:tcW w:w="1295" w:type="dxa"/>
            <w:vAlign w:val="top"/>
          </w:tcPr>
          <w:p w14:paraId="1022FC8B">
            <w:pPr>
              <w:keepNext w:val="0"/>
              <w:keepLines w:val="0"/>
              <w:pageBreakBefore w:val="0"/>
              <w:widowControl w:val="0"/>
              <w:kinsoku/>
              <w:wordWrap/>
              <w:overflowPunct/>
              <w:topLinePunct w:val="0"/>
              <w:autoSpaceDE/>
              <w:autoSpaceDN/>
              <w:bidi w:val="0"/>
              <w:adjustRightInd/>
              <w:snapToGrid/>
              <w:spacing w:before="144" w:line="200" w:lineRule="exact"/>
              <w:ind w:left="2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50-1000</w:t>
            </w:r>
          </w:p>
        </w:tc>
        <w:tc>
          <w:tcPr>
            <w:tcW w:w="1004" w:type="dxa"/>
            <w:vAlign w:val="top"/>
          </w:tcPr>
          <w:p w14:paraId="214156CC">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5B0A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84" w:type="dxa"/>
            <w:vMerge w:val="restart"/>
            <w:tcBorders>
              <w:bottom w:val="nil"/>
            </w:tcBorders>
            <w:vAlign w:val="top"/>
          </w:tcPr>
          <w:p w14:paraId="476FF08E">
            <w:pPr>
              <w:keepNext w:val="0"/>
              <w:keepLines w:val="0"/>
              <w:pageBreakBefore w:val="0"/>
              <w:widowControl w:val="0"/>
              <w:kinsoku/>
              <w:wordWrap/>
              <w:overflowPunct/>
              <w:topLinePunct w:val="0"/>
              <w:autoSpaceDE/>
              <w:autoSpaceDN/>
              <w:bidi w:val="0"/>
              <w:adjustRightInd/>
              <w:snapToGrid/>
              <w:spacing w:before="117" w:line="200" w:lineRule="exact"/>
              <w:ind w:left="133" w:right="110" w:firstLine="112"/>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租</w:t>
            </w:r>
            <w:r>
              <w:rPr>
                <w:rFonts w:ascii="仿宋" w:hAnsi="仿宋" w:eastAsia="仿宋" w:cs="仿宋"/>
                <w:color w:val="auto"/>
                <w:spacing w:val="4"/>
                <w:sz w:val="23"/>
                <w:szCs w:val="23"/>
                <w:highlight w:val="none"/>
              </w:rPr>
              <w:t>赁和</w:t>
            </w:r>
            <w:r>
              <w:rPr>
                <w:rFonts w:ascii="仿宋" w:hAnsi="仿宋" w:eastAsia="仿宋" w:cs="仿宋"/>
                <w:color w:val="auto"/>
                <w:sz w:val="23"/>
                <w:szCs w:val="23"/>
                <w:highlight w:val="none"/>
              </w:rPr>
              <w:t xml:space="preserve"> </w:t>
            </w:r>
            <w:r>
              <w:rPr>
                <w:rFonts w:ascii="仿宋" w:hAnsi="仿宋" w:eastAsia="仿宋" w:cs="仿宋"/>
                <w:color w:val="auto"/>
                <w:spacing w:val="4"/>
                <w:sz w:val="23"/>
                <w:szCs w:val="23"/>
                <w:highlight w:val="none"/>
              </w:rPr>
              <w:t>商务服</w:t>
            </w:r>
            <w:r>
              <w:rPr>
                <w:rFonts w:ascii="仿宋" w:hAnsi="仿宋" w:eastAsia="仿宋" w:cs="仿宋"/>
                <w:color w:val="auto"/>
                <w:spacing w:val="3"/>
                <w:sz w:val="23"/>
                <w:szCs w:val="23"/>
                <w:highlight w:val="none"/>
              </w:rPr>
              <w:t>务</w:t>
            </w:r>
          </w:p>
        </w:tc>
        <w:tc>
          <w:tcPr>
            <w:tcW w:w="1187" w:type="dxa"/>
            <w:vAlign w:val="top"/>
          </w:tcPr>
          <w:p w14:paraId="3C138A0F">
            <w:pPr>
              <w:keepNext w:val="0"/>
              <w:keepLines w:val="0"/>
              <w:pageBreakBefore w:val="0"/>
              <w:widowControl w:val="0"/>
              <w:kinsoku/>
              <w:wordWrap/>
              <w:overflowPunct/>
              <w:topLinePunct w:val="0"/>
              <w:autoSpaceDE/>
              <w:autoSpaceDN/>
              <w:bidi w:val="0"/>
              <w:adjustRightInd/>
              <w:snapToGrid/>
              <w:spacing w:before="48"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6F4F866C">
            <w:pPr>
              <w:keepNext w:val="0"/>
              <w:keepLines w:val="0"/>
              <w:pageBreakBefore w:val="0"/>
              <w:widowControl w:val="0"/>
              <w:kinsoku/>
              <w:wordWrap/>
              <w:overflowPunct/>
              <w:topLinePunct w:val="0"/>
              <w:autoSpaceDE/>
              <w:autoSpaceDN/>
              <w:bidi w:val="0"/>
              <w:adjustRightInd/>
              <w:snapToGrid/>
              <w:spacing w:before="48"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3DDD7617">
            <w:pPr>
              <w:keepNext w:val="0"/>
              <w:keepLines w:val="0"/>
              <w:pageBreakBefore w:val="0"/>
              <w:widowControl w:val="0"/>
              <w:kinsoku/>
              <w:wordWrap/>
              <w:overflowPunct/>
              <w:topLinePunct w:val="0"/>
              <w:autoSpaceDE/>
              <w:autoSpaceDN/>
              <w:bidi w:val="0"/>
              <w:adjustRightInd/>
              <w:snapToGrid/>
              <w:spacing w:before="48"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777170B6">
            <w:pPr>
              <w:keepNext w:val="0"/>
              <w:keepLines w:val="0"/>
              <w:pageBreakBefore w:val="0"/>
              <w:widowControl w:val="0"/>
              <w:kinsoku/>
              <w:wordWrap/>
              <w:overflowPunct/>
              <w:topLinePunct w:val="0"/>
              <w:autoSpaceDE/>
              <w:autoSpaceDN/>
              <w:bidi w:val="0"/>
              <w:adjustRightInd/>
              <w:snapToGrid/>
              <w:spacing w:before="89"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42555A1">
            <w:pPr>
              <w:keepNext w:val="0"/>
              <w:keepLines w:val="0"/>
              <w:pageBreakBefore w:val="0"/>
              <w:widowControl w:val="0"/>
              <w:kinsoku/>
              <w:wordWrap/>
              <w:overflowPunct/>
              <w:topLinePunct w:val="0"/>
              <w:autoSpaceDE/>
              <w:autoSpaceDN/>
              <w:bidi w:val="0"/>
              <w:adjustRightInd/>
              <w:snapToGrid/>
              <w:spacing w:before="89"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6EF0E3DC">
            <w:pPr>
              <w:keepNext w:val="0"/>
              <w:keepLines w:val="0"/>
              <w:pageBreakBefore w:val="0"/>
              <w:widowControl w:val="0"/>
              <w:kinsoku/>
              <w:wordWrap/>
              <w:overflowPunct/>
              <w:topLinePunct w:val="0"/>
              <w:autoSpaceDE/>
              <w:autoSpaceDN/>
              <w:bidi w:val="0"/>
              <w:adjustRightInd/>
              <w:snapToGrid/>
              <w:spacing w:before="48"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4B6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84" w:type="dxa"/>
            <w:vMerge w:val="continue"/>
            <w:tcBorders>
              <w:top w:val="nil"/>
            </w:tcBorders>
            <w:vAlign w:val="top"/>
          </w:tcPr>
          <w:p w14:paraId="5986254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1C60DB4E">
            <w:pPr>
              <w:keepNext w:val="0"/>
              <w:keepLines w:val="0"/>
              <w:pageBreakBefore w:val="0"/>
              <w:widowControl w:val="0"/>
              <w:kinsoku/>
              <w:wordWrap/>
              <w:overflowPunct/>
              <w:topLinePunct w:val="0"/>
              <w:autoSpaceDE/>
              <w:autoSpaceDN/>
              <w:bidi w:val="0"/>
              <w:adjustRightInd/>
              <w:snapToGrid/>
              <w:spacing w:before="102"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0E97DB55">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22DF7DD">
            <w:pPr>
              <w:keepNext w:val="0"/>
              <w:keepLines w:val="0"/>
              <w:pageBreakBefore w:val="0"/>
              <w:widowControl w:val="0"/>
              <w:kinsoku/>
              <w:wordWrap/>
              <w:overflowPunct/>
              <w:topLinePunct w:val="0"/>
              <w:autoSpaceDE/>
              <w:autoSpaceDN/>
              <w:bidi w:val="0"/>
              <w:adjustRightInd/>
              <w:snapToGrid/>
              <w:spacing w:before="102"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≥120000</w:t>
            </w:r>
          </w:p>
        </w:tc>
        <w:tc>
          <w:tcPr>
            <w:tcW w:w="1535" w:type="dxa"/>
            <w:vAlign w:val="top"/>
          </w:tcPr>
          <w:p w14:paraId="5A8CAD55">
            <w:pPr>
              <w:keepNext w:val="0"/>
              <w:keepLines w:val="0"/>
              <w:pageBreakBefore w:val="0"/>
              <w:widowControl w:val="0"/>
              <w:kinsoku/>
              <w:wordWrap/>
              <w:overflowPunct/>
              <w:topLinePunct w:val="0"/>
              <w:autoSpaceDE/>
              <w:autoSpaceDN/>
              <w:bidi w:val="0"/>
              <w:adjustRightInd/>
              <w:snapToGrid/>
              <w:spacing w:before="143" w:line="200" w:lineRule="exact"/>
              <w:ind w:left="11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8</w:t>
            </w:r>
            <w:r>
              <w:rPr>
                <w:rFonts w:ascii="仿宋" w:hAnsi="仿宋" w:eastAsia="仿宋" w:cs="仿宋"/>
                <w:color w:val="auto"/>
                <w:spacing w:val="4"/>
                <w:sz w:val="23"/>
                <w:szCs w:val="23"/>
                <w:highlight w:val="none"/>
              </w:rPr>
              <w:t>000-120000</w:t>
            </w:r>
          </w:p>
        </w:tc>
        <w:tc>
          <w:tcPr>
            <w:tcW w:w="1295" w:type="dxa"/>
            <w:vAlign w:val="top"/>
          </w:tcPr>
          <w:p w14:paraId="273D4913">
            <w:pPr>
              <w:keepNext w:val="0"/>
              <w:keepLines w:val="0"/>
              <w:pageBreakBefore w:val="0"/>
              <w:widowControl w:val="0"/>
              <w:kinsoku/>
              <w:wordWrap/>
              <w:overflowPunct/>
              <w:topLinePunct w:val="0"/>
              <w:autoSpaceDE/>
              <w:autoSpaceDN/>
              <w:bidi w:val="0"/>
              <w:adjustRightInd/>
              <w:snapToGrid/>
              <w:spacing w:before="143"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100-8</w:t>
            </w:r>
            <w:r>
              <w:rPr>
                <w:rFonts w:ascii="仿宋" w:hAnsi="仿宋" w:eastAsia="仿宋" w:cs="仿宋"/>
                <w:color w:val="auto"/>
                <w:spacing w:val="1"/>
                <w:sz w:val="23"/>
                <w:szCs w:val="23"/>
                <w:highlight w:val="none"/>
              </w:rPr>
              <w:t>000</w:t>
            </w:r>
          </w:p>
        </w:tc>
        <w:tc>
          <w:tcPr>
            <w:tcW w:w="1004" w:type="dxa"/>
            <w:vAlign w:val="top"/>
          </w:tcPr>
          <w:p w14:paraId="69515338">
            <w:pPr>
              <w:keepNext w:val="0"/>
              <w:keepLines w:val="0"/>
              <w:pageBreakBefore w:val="0"/>
              <w:widowControl w:val="0"/>
              <w:kinsoku/>
              <w:wordWrap/>
              <w:overflowPunct/>
              <w:topLinePunct w:val="0"/>
              <w:autoSpaceDE/>
              <w:autoSpaceDN/>
              <w:bidi w:val="0"/>
              <w:adjustRightInd/>
              <w:snapToGrid/>
              <w:spacing w:before="102"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267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84" w:type="dxa"/>
            <w:vAlign w:val="top"/>
          </w:tcPr>
          <w:p w14:paraId="264B9A1D">
            <w:pPr>
              <w:keepNext w:val="0"/>
              <w:keepLines w:val="0"/>
              <w:pageBreakBefore w:val="0"/>
              <w:widowControl w:val="0"/>
              <w:kinsoku/>
              <w:wordWrap/>
              <w:overflowPunct/>
              <w:topLinePunct w:val="0"/>
              <w:autoSpaceDE/>
              <w:autoSpaceDN/>
              <w:bidi w:val="0"/>
              <w:adjustRightInd/>
              <w:snapToGrid/>
              <w:spacing w:before="40" w:line="200" w:lineRule="exact"/>
              <w:ind w:left="259" w:right="110" w:hanging="133"/>
              <w:textAlignment w:val="auto"/>
              <w:rPr>
                <w:rFonts w:ascii="仿宋" w:hAnsi="仿宋" w:eastAsia="仿宋" w:cs="仿宋"/>
                <w:color w:val="auto"/>
                <w:sz w:val="23"/>
                <w:szCs w:val="23"/>
                <w:highlight w:val="none"/>
              </w:rPr>
            </w:pPr>
            <w:r>
              <w:rPr>
                <w:rFonts w:ascii="仿宋" w:hAnsi="仿宋" w:eastAsia="仿宋" w:cs="仿宋"/>
                <w:color w:val="auto"/>
                <w:spacing w:val="7"/>
                <w:sz w:val="23"/>
                <w:szCs w:val="23"/>
                <w:highlight w:val="none"/>
              </w:rPr>
              <w:t>其</w:t>
            </w:r>
            <w:r>
              <w:rPr>
                <w:rFonts w:ascii="仿宋" w:hAnsi="仿宋" w:eastAsia="仿宋" w:cs="仿宋"/>
                <w:color w:val="auto"/>
                <w:spacing w:val="5"/>
                <w:sz w:val="23"/>
                <w:szCs w:val="23"/>
                <w:highlight w:val="none"/>
              </w:rPr>
              <w:t>他未列</w:t>
            </w:r>
            <w:r>
              <w:rPr>
                <w:rFonts w:ascii="仿宋" w:hAnsi="仿宋" w:eastAsia="仿宋" w:cs="仿宋"/>
                <w:color w:val="auto"/>
                <w:sz w:val="23"/>
                <w:szCs w:val="23"/>
                <w:highlight w:val="none"/>
              </w:rPr>
              <w:t xml:space="preserve"> </w:t>
            </w:r>
            <w:r>
              <w:rPr>
                <w:rFonts w:ascii="仿宋" w:hAnsi="仿宋" w:eastAsia="仿宋" w:cs="仿宋"/>
                <w:color w:val="auto"/>
                <w:spacing w:val="-1"/>
                <w:sz w:val="23"/>
                <w:szCs w:val="23"/>
                <w:highlight w:val="none"/>
              </w:rPr>
              <w:t>明</w:t>
            </w:r>
            <w:r>
              <w:rPr>
                <w:rFonts w:ascii="仿宋" w:hAnsi="仿宋" w:eastAsia="仿宋" w:cs="仿宋"/>
                <w:color w:val="auto"/>
                <w:sz w:val="23"/>
                <w:szCs w:val="23"/>
                <w:highlight w:val="none"/>
              </w:rPr>
              <w:t>行业</w:t>
            </w:r>
          </w:p>
        </w:tc>
        <w:tc>
          <w:tcPr>
            <w:tcW w:w="1187" w:type="dxa"/>
            <w:vAlign w:val="top"/>
          </w:tcPr>
          <w:p w14:paraId="38D49394">
            <w:pPr>
              <w:keepNext w:val="0"/>
              <w:keepLines w:val="0"/>
              <w:pageBreakBefore w:val="0"/>
              <w:widowControl w:val="0"/>
              <w:kinsoku/>
              <w:wordWrap/>
              <w:overflowPunct/>
              <w:topLinePunct w:val="0"/>
              <w:autoSpaceDE/>
              <w:autoSpaceDN/>
              <w:bidi w:val="0"/>
              <w:adjustRightInd/>
              <w:snapToGrid/>
              <w:spacing w:before="195"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CC27C22">
            <w:pPr>
              <w:keepNext w:val="0"/>
              <w:keepLines w:val="0"/>
              <w:pageBreakBefore w:val="0"/>
              <w:widowControl w:val="0"/>
              <w:kinsoku/>
              <w:wordWrap/>
              <w:overflowPunct/>
              <w:topLinePunct w:val="0"/>
              <w:autoSpaceDE/>
              <w:autoSpaceDN/>
              <w:bidi w:val="0"/>
              <w:adjustRightInd/>
              <w:snapToGrid/>
              <w:spacing w:before="195"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E2C7DF1">
            <w:pPr>
              <w:keepNext w:val="0"/>
              <w:keepLines w:val="0"/>
              <w:pageBreakBefore w:val="0"/>
              <w:widowControl w:val="0"/>
              <w:kinsoku/>
              <w:wordWrap/>
              <w:overflowPunct/>
              <w:topLinePunct w:val="0"/>
              <w:autoSpaceDE/>
              <w:autoSpaceDN/>
              <w:bidi w:val="0"/>
              <w:adjustRightInd/>
              <w:snapToGrid/>
              <w:spacing w:before="195"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1E5069A2">
            <w:pPr>
              <w:keepNext w:val="0"/>
              <w:keepLines w:val="0"/>
              <w:pageBreakBefore w:val="0"/>
              <w:widowControl w:val="0"/>
              <w:kinsoku/>
              <w:wordWrap/>
              <w:overflowPunct/>
              <w:topLinePunct w:val="0"/>
              <w:autoSpaceDE/>
              <w:autoSpaceDN/>
              <w:bidi w:val="0"/>
              <w:adjustRightInd/>
              <w:snapToGrid/>
              <w:spacing w:before="236"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6DEC3EA8">
            <w:pPr>
              <w:keepNext w:val="0"/>
              <w:keepLines w:val="0"/>
              <w:pageBreakBefore w:val="0"/>
              <w:widowControl w:val="0"/>
              <w:kinsoku/>
              <w:wordWrap/>
              <w:overflowPunct/>
              <w:topLinePunct w:val="0"/>
              <w:autoSpaceDE/>
              <w:autoSpaceDN/>
              <w:bidi w:val="0"/>
              <w:adjustRightInd/>
              <w:snapToGrid/>
              <w:spacing w:before="236"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CEF4965">
            <w:pPr>
              <w:keepNext w:val="0"/>
              <w:keepLines w:val="0"/>
              <w:pageBreakBefore w:val="0"/>
              <w:widowControl w:val="0"/>
              <w:kinsoku/>
              <w:wordWrap/>
              <w:overflowPunct/>
              <w:topLinePunct w:val="0"/>
              <w:autoSpaceDE/>
              <w:autoSpaceDN/>
              <w:bidi w:val="0"/>
              <w:adjustRightInd/>
              <w:snapToGrid/>
              <w:spacing w:before="195"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bl>
    <w:p w14:paraId="0CED7246">
      <w:pPr>
        <w:widowControl/>
        <w:spacing w:line="360" w:lineRule="auto"/>
        <w:ind w:left="420" w:hanging="420" w:hanging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说明：</w:t>
      </w:r>
    </w:p>
    <w:p w14:paraId="595DC9A8">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1.大型、中型和小型企业须同时满足所列指标的下限，否则下划一档；微型企业只须满足所列指标中的一项即可。</w:t>
      </w:r>
    </w:p>
    <w:p w14:paraId="751AD0A0">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48D2A3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sz w:val="21"/>
          <w:szCs w:val="24"/>
          <w:highlight w:val="none"/>
          <w:lang w:eastAsia="zh-CN"/>
        </w:rPr>
      </w:pPr>
      <w:r>
        <w:rPr>
          <w:rFonts w:hint="eastAsia" w:ascii="宋体" w:hAnsi="宋体" w:cs="宋体"/>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47E95A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0C5655E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49073936">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587319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30A38AF">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7AE6FF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282AB4F3">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2DE9F5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2C36B1B">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F8D57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51C79A6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A8F6218">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299745">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97AF3B7">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1137034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7A1859E">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98A173D">
      <w:pPr>
        <w:pStyle w:val="47"/>
        <w:ind w:left="0" w:leftChars="0" w:firstLine="0" w:firstLineChars="0"/>
        <w:rPr>
          <w:color w:val="auto"/>
          <w:highlight w:val="none"/>
        </w:rPr>
      </w:pPr>
    </w:p>
    <w:p w14:paraId="78A81D20">
      <w:pPr>
        <w:pStyle w:val="2"/>
        <w:numPr>
          <w:ilvl w:val="0"/>
          <w:numId w:val="4"/>
        </w:numPr>
        <w:spacing w:line="560" w:lineRule="exact"/>
        <w:jc w:val="center"/>
        <w:rPr>
          <w:rFonts w:hint="eastAsia" w:ascii="宋体" w:hAnsi="宋体" w:cs="宋体"/>
          <w:color w:val="auto"/>
          <w:spacing w:val="-14"/>
          <w:kern w:val="0"/>
          <w:position w:val="-6"/>
          <w:sz w:val="36"/>
          <w:szCs w:val="36"/>
          <w:highlight w:val="none"/>
        </w:rPr>
      </w:pPr>
      <w:r>
        <w:rPr>
          <w:rFonts w:hint="eastAsia" w:ascii="宋体" w:hAnsi="宋体" w:cs="宋体"/>
          <w:color w:val="auto"/>
          <w:spacing w:val="-14"/>
          <w:kern w:val="0"/>
          <w:position w:val="-6"/>
          <w:sz w:val="36"/>
          <w:szCs w:val="36"/>
          <w:highlight w:val="none"/>
        </w:rPr>
        <w:t xml:space="preserve">   </w:t>
      </w:r>
      <w:bookmarkStart w:id="77" w:name="_Toc3612"/>
      <w:r>
        <w:rPr>
          <w:rFonts w:hint="eastAsia" w:ascii="宋体" w:hAnsi="宋体" w:cs="宋体"/>
          <w:color w:val="auto"/>
          <w:spacing w:val="-14"/>
          <w:kern w:val="0"/>
          <w:position w:val="-6"/>
          <w:sz w:val="36"/>
          <w:szCs w:val="36"/>
          <w:highlight w:val="none"/>
        </w:rPr>
        <w:t>合同主要条款 (参考格式)</w:t>
      </w:r>
      <w:bookmarkEnd w:id="77"/>
    </w:p>
    <w:p w14:paraId="7C6D8381">
      <w:pPr>
        <w:pStyle w:val="2"/>
        <w:numPr>
          <w:ilvl w:val="0"/>
          <w:numId w:val="0"/>
        </w:numPr>
        <w:spacing w:line="560" w:lineRule="exact"/>
        <w:jc w:val="center"/>
        <w:rPr>
          <w:rFonts w:hint="eastAsia" w:ascii="宋体" w:hAnsi="宋体" w:cs="宋体"/>
          <w:color w:val="auto"/>
          <w:spacing w:val="-14"/>
          <w:kern w:val="0"/>
          <w:position w:val="-6"/>
          <w:sz w:val="32"/>
          <w:szCs w:val="32"/>
          <w:highlight w:val="none"/>
        </w:rPr>
      </w:pPr>
      <w:bookmarkStart w:id="78" w:name="_Toc31567"/>
      <w:r>
        <w:rPr>
          <w:rFonts w:hint="eastAsia" w:ascii="宋体" w:hAnsi="宋体" w:cs="宋体"/>
          <w:color w:val="auto"/>
          <w:spacing w:val="-14"/>
          <w:kern w:val="0"/>
          <w:position w:val="-6"/>
          <w:sz w:val="32"/>
          <w:szCs w:val="32"/>
          <w:highlight w:val="none"/>
        </w:rPr>
        <w:t>(仅供参考，由双方按实际情况调整)</w:t>
      </w:r>
      <w:bookmarkEnd w:id="78"/>
    </w:p>
    <w:p w14:paraId="33980303">
      <w:pPr>
        <w:shd w:val="clear"/>
        <w:jc w:val="center"/>
        <w:rPr>
          <w:rFonts w:hint="eastAsia" w:ascii="宋体" w:hAnsi="宋体" w:eastAsia="宋体" w:cs="宋体"/>
          <w:b/>
          <w:bCs/>
          <w:color w:val="auto"/>
          <w:spacing w:val="20"/>
          <w:sz w:val="72"/>
          <w:szCs w:val="144"/>
          <w:highlight w:val="none"/>
        </w:rPr>
      </w:pPr>
    </w:p>
    <w:p w14:paraId="372DD0D7">
      <w:pPr>
        <w:shd w:val="clear"/>
        <w:jc w:val="center"/>
        <w:rPr>
          <w:rFonts w:ascii="宋体" w:hAnsi="宋体" w:eastAsia="宋体" w:cs="宋体"/>
          <w:b/>
          <w:bCs/>
          <w:color w:val="auto"/>
          <w:spacing w:val="20"/>
          <w:sz w:val="96"/>
          <w:szCs w:val="160"/>
          <w:highlight w:val="none"/>
        </w:rPr>
      </w:pPr>
      <w:r>
        <w:rPr>
          <w:rFonts w:hint="eastAsia" w:ascii="宋体" w:hAnsi="宋体" w:eastAsia="宋体" w:cs="宋体"/>
          <w:b/>
          <w:bCs/>
          <w:color w:val="auto"/>
          <w:spacing w:val="20"/>
          <w:sz w:val="72"/>
          <w:szCs w:val="144"/>
          <w:highlight w:val="none"/>
        </w:rPr>
        <w:t>施 工 承 包 合 同 书</w:t>
      </w:r>
    </w:p>
    <w:p w14:paraId="5B866917">
      <w:pPr>
        <w:shd w:val="clear"/>
        <w:jc w:val="center"/>
        <w:rPr>
          <w:rFonts w:ascii="宋体" w:hAnsi="宋体" w:eastAsia="宋体" w:cs="宋体"/>
          <w:color w:val="auto"/>
          <w:spacing w:val="20"/>
          <w:sz w:val="32"/>
          <w:szCs w:val="40"/>
          <w:highlight w:val="none"/>
        </w:rPr>
      </w:pPr>
    </w:p>
    <w:p w14:paraId="1029F71D">
      <w:pPr>
        <w:shd w:val="clear"/>
        <w:jc w:val="center"/>
        <w:rPr>
          <w:rFonts w:ascii="宋体" w:hAnsi="宋体" w:eastAsia="宋体" w:cs="宋体"/>
          <w:color w:val="auto"/>
          <w:spacing w:val="20"/>
          <w:sz w:val="32"/>
          <w:szCs w:val="40"/>
          <w:highlight w:val="none"/>
        </w:rPr>
      </w:pPr>
    </w:p>
    <w:p w14:paraId="5EBC7B98">
      <w:pPr>
        <w:shd w:val="clear"/>
        <w:jc w:val="center"/>
        <w:rPr>
          <w:rFonts w:ascii="宋体" w:hAnsi="宋体" w:eastAsia="宋体" w:cs="宋体"/>
          <w:color w:val="auto"/>
          <w:spacing w:val="20"/>
          <w:sz w:val="32"/>
          <w:szCs w:val="40"/>
          <w:highlight w:val="none"/>
        </w:rPr>
      </w:pPr>
    </w:p>
    <w:p w14:paraId="4A48E4D9">
      <w:pPr>
        <w:shd w:val="clear"/>
        <w:jc w:val="center"/>
        <w:rPr>
          <w:rFonts w:ascii="宋体" w:hAnsi="宋体" w:eastAsia="宋体" w:cs="宋体"/>
          <w:color w:val="auto"/>
          <w:spacing w:val="20"/>
          <w:sz w:val="32"/>
          <w:szCs w:val="40"/>
          <w:highlight w:val="none"/>
        </w:rPr>
      </w:pPr>
    </w:p>
    <w:p w14:paraId="64BE53BB">
      <w:pPr>
        <w:shd w:val="clear"/>
        <w:jc w:val="center"/>
        <w:rPr>
          <w:rFonts w:ascii="宋体" w:hAnsi="宋体" w:eastAsia="宋体" w:cs="宋体"/>
          <w:color w:val="auto"/>
          <w:spacing w:val="20"/>
          <w:sz w:val="32"/>
          <w:szCs w:val="40"/>
          <w:highlight w:val="none"/>
        </w:rPr>
      </w:pPr>
    </w:p>
    <w:p w14:paraId="59D1B06D">
      <w:pPr>
        <w:shd w:val="clear"/>
        <w:jc w:val="both"/>
        <w:rPr>
          <w:rFonts w:hint="default" w:ascii="宋体" w:hAnsi="宋体" w:eastAsia="宋体" w:cs="宋体"/>
          <w:b/>
          <w:bCs/>
          <w:color w:val="auto"/>
          <w:spacing w:val="20"/>
          <w:sz w:val="48"/>
          <w:szCs w:val="56"/>
          <w:highlight w:val="none"/>
          <w:lang w:val="en-US" w:eastAsia="zh-CN"/>
        </w:rPr>
      </w:pPr>
      <w:r>
        <w:rPr>
          <w:rFonts w:hint="eastAsia" w:ascii="宋体" w:hAnsi="宋体" w:eastAsia="宋体" w:cs="宋体"/>
          <w:color w:val="auto"/>
          <w:spacing w:val="20"/>
          <w:sz w:val="28"/>
          <w:szCs w:val="28"/>
          <w:highlight w:val="none"/>
        </w:rPr>
        <w:t>工程名称：</w:t>
      </w:r>
      <w:r>
        <w:rPr>
          <w:rFonts w:hint="eastAsia" w:ascii="宋体" w:hAnsi="宋体" w:eastAsia="宋体" w:cs="宋体"/>
          <w:color w:val="auto"/>
          <w:spacing w:val="0"/>
          <w:sz w:val="28"/>
          <w:szCs w:val="28"/>
          <w:highlight w:val="none"/>
          <w:u w:val="single"/>
          <w:lang w:val="en-US" w:eastAsia="zh-CN"/>
        </w:rPr>
        <w:t xml:space="preserve"> </w:t>
      </w:r>
      <w:r>
        <w:rPr>
          <w:rFonts w:hint="eastAsia" w:ascii="宋体" w:hAnsi="宋体" w:cs="宋体"/>
          <w:color w:val="auto"/>
          <w:spacing w:val="0"/>
          <w:sz w:val="28"/>
          <w:szCs w:val="28"/>
          <w:highlight w:val="none"/>
          <w:u w:val="single"/>
          <w:lang w:val="en-US" w:eastAsia="zh-CN"/>
        </w:rPr>
        <w:t xml:space="preserve">                                       </w:t>
      </w:r>
      <w:r>
        <w:rPr>
          <w:rFonts w:hint="eastAsia" w:ascii="宋体" w:hAnsi="宋体" w:eastAsia="宋体" w:cs="宋体"/>
          <w:color w:val="auto"/>
          <w:spacing w:val="0"/>
          <w:sz w:val="28"/>
          <w:szCs w:val="28"/>
          <w:highlight w:val="none"/>
          <w:u w:val="single"/>
          <w:lang w:val="en-US" w:eastAsia="zh-CN"/>
        </w:rPr>
        <w:t xml:space="preserve">   </w:t>
      </w:r>
    </w:p>
    <w:p w14:paraId="7EE99891">
      <w:pPr>
        <w:shd w:val="clear"/>
        <w:rPr>
          <w:rFonts w:ascii="宋体" w:hAnsi="宋体" w:eastAsia="宋体" w:cs="宋体"/>
          <w:color w:val="auto"/>
          <w:spacing w:val="20"/>
          <w:sz w:val="28"/>
          <w:szCs w:val="36"/>
          <w:highlight w:val="none"/>
        </w:rPr>
      </w:pPr>
    </w:p>
    <w:p w14:paraId="36D7339C">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发包人（甲方）：</w:t>
      </w:r>
      <w:r>
        <w:rPr>
          <w:rFonts w:hint="eastAsia" w:ascii="宋体" w:hAnsi="宋体" w:eastAsia="宋体" w:cs="宋体"/>
          <w:color w:val="auto"/>
          <w:spacing w:val="20"/>
          <w:sz w:val="28"/>
          <w:szCs w:val="36"/>
          <w:highlight w:val="none"/>
          <w:u w:val="single"/>
        </w:rPr>
        <w:t xml:space="preserve"> </w:t>
      </w:r>
      <w:r>
        <w:rPr>
          <w:rFonts w:hint="eastAsia" w:ascii="宋体" w:hAnsi="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5FB800FD">
      <w:pPr>
        <w:shd w:val="clear"/>
        <w:rPr>
          <w:rFonts w:ascii="宋体" w:hAnsi="宋体" w:eastAsia="宋体" w:cs="宋体"/>
          <w:color w:val="auto"/>
          <w:spacing w:val="20"/>
          <w:sz w:val="28"/>
          <w:szCs w:val="36"/>
          <w:highlight w:val="none"/>
        </w:rPr>
      </w:pPr>
    </w:p>
    <w:p w14:paraId="39C06BFF">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承包人（乙方）：</w:t>
      </w:r>
      <w:r>
        <w:rPr>
          <w:rFonts w:hint="eastAsia" w:ascii="宋体" w:hAnsi="宋体" w:eastAsia="宋体" w:cs="宋体"/>
          <w:color w:val="auto"/>
          <w:spacing w:val="20"/>
          <w:sz w:val="28"/>
          <w:szCs w:val="36"/>
          <w:highlight w:val="none"/>
          <w:u w:val="single"/>
        </w:rPr>
        <w:t xml:space="preserve"> </w:t>
      </w:r>
      <w:r>
        <w:rPr>
          <w:rFonts w:hint="eastAsia" w:ascii="宋体" w:hAnsi="宋体" w:eastAsia="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282D105C">
      <w:pPr>
        <w:shd w:val="clear"/>
        <w:rPr>
          <w:rFonts w:ascii="宋体" w:hAnsi="宋体" w:eastAsia="宋体" w:cs="宋体"/>
          <w:color w:val="auto"/>
          <w:spacing w:val="20"/>
          <w:sz w:val="28"/>
          <w:szCs w:val="36"/>
          <w:highlight w:val="none"/>
        </w:rPr>
      </w:pPr>
    </w:p>
    <w:p w14:paraId="259A7AAA">
      <w:pPr>
        <w:shd w:val="clear"/>
        <w:rPr>
          <w:rFonts w:ascii="宋体" w:hAnsi="宋体" w:eastAsia="宋体" w:cs="宋体"/>
          <w:color w:val="auto"/>
          <w:spacing w:val="20"/>
          <w:sz w:val="32"/>
          <w:szCs w:val="40"/>
          <w:highlight w:val="none"/>
        </w:rPr>
      </w:pPr>
      <w:r>
        <w:rPr>
          <w:rFonts w:hint="eastAsia" w:ascii="宋体" w:hAnsi="宋体" w:eastAsia="宋体" w:cs="宋体"/>
          <w:color w:val="auto"/>
          <w:spacing w:val="20"/>
          <w:sz w:val="32"/>
          <w:szCs w:val="40"/>
          <w:highlight w:val="none"/>
        </w:rPr>
        <w:t>日      期：</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 年</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月 </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日</w:t>
      </w:r>
    </w:p>
    <w:p w14:paraId="3DD700E7">
      <w:pPr>
        <w:shd w:val="clear"/>
        <w:ind w:firstLine="1080" w:firstLineChars="300"/>
        <w:rPr>
          <w:rFonts w:ascii="宋体" w:hAnsi="宋体" w:eastAsia="宋体" w:cs="宋体"/>
          <w:color w:val="auto"/>
          <w:spacing w:val="20"/>
          <w:sz w:val="32"/>
          <w:szCs w:val="40"/>
          <w:highlight w:val="none"/>
        </w:rPr>
      </w:pPr>
    </w:p>
    <w:p w14:paraId="60ABBF97">
      <w:pPr>
        <w:shd w:val="clear"/>
        <w:rPr>
          <w:rFonts w:ascii="宋体" w:hAnsi="宋体" w:eastAsia="宋体" w:cs="宋体"/>
          <w:color w:val="auto"/>
          <w:spacing w:val="20"/>
          <w:sz w:val="32"/>
          <w:szCs w:val="40"/>
          <w:highlight w:val="none"/>
        </w:rPr>
      </w:pPr>
    </w:p>
    <w:p w14:paraId="0FFEE25B">
      <w:pPr>
        <w:pStyle w:val="2"/>
        <w:numPr>
          <w:ilvl w:val="0"/>
          <w:numId w:val="5"/>
        </w:numPr>
        <w:shd w:val="clear"/>
        <w:jc w:val="center"/>
        <w:rPr>
          <w:rFonts w:ascii="宋体" w:hAnsi="宋体" w:eastAsia="宋体" w:cs="宋体"/>
          <w:color w:val="auto"/>
          <w:spacing w:val="20"/>
          <w:sz w:val="40"/>
          <w:szCs w:val="52"/>
          <w:highlight w:val="none"/>
        </w:rPr>
        <w:sectPr>
          <w:pgSz w:w="11906" w:h="16838"/>
          <w:pgMar w:top="1247" w:right="1417" w:bottom="1247" w:left="1417" w:header="851" w:footer="992" w:gutter="0"/>
          <w:cols w:space="0" w:num="1"/>
          <w:docGrid w:type="lines" w:linePitch="312" w:charSpace="0"/>
        </w:sectPr>
      </w:pPr>
      <w:bookmarkStart w:id="79" w:name="_Toc373227552"/>
      <w:bookmarkStart w:id="80" w:name="_Toc373478199"/>
      <w:bookmarkStart w:id="81" w:name="_Toc26265"/>
      <w:bookmarkStart w:id="82" w:name="_Toc12680"/>
      <w:bookmarkStart w:id="83" w:name="_Toc351203480"/>
      <w:bookmarkStart w:id="84" w:name="_Toc296890982"/>
      <w:bookmarkStart w:id="85" w:name="_Toc389065255"/>
      <w:bookmarkStart w:id="86" w:name="_Toc296503025"/>
    </w:p>
    <w:bookmarkEnd w:id="79"/>
    <w:bookmarkEnd w:id="80"/>
    <w:bookmarkEnd w:id="81"/>
    <w:bookmarkEnd w:id="82"/>
    <w:bookmarkEnd w:id="83"/>
    <w:bookmarkEnd w:id="84"/>
    <w:bookmarkEnd w:id="85"/>
    <w:bookmarkEnd w:id="86"/>
    <w:p w14:paraId="00DF143C">
      <w:pPr>
        <w:keepNext/>
        <w:keepLines/>
        <w:widowControl w:val="0"/>
        <w:numPr>
          <w:ilvl w:val="0"/>
          <w:numId w:val="5"/>
        </w:numPr>
        <w:spacing w:before="340" w:after="330" w:line="360" w:lineRule="auto"/>
        <w:ind w:firstLine="803"/>
        <w:jc w:val="center"/>
        <w:outlineLvl w:val="0"/>
        <w:rPr>
          <w:rFonts w:ascii="宋体" w:hAnsi="宋体" w:eastAsia="宋体" w:cs="宋体"/>
          <w:b/>
          <w:bCs/>
          <w:color w:val="auto"/>
          <w:spacing w:val="20"/>
          <w:kern w:val="44"/>
          <w:sz w:val="24"/>
          <w:szCs w:val="32"/>
          <w:lang w:val="en-US" w:eastAsia="zh-CN" w:bidi="ar-SA"/>
        </w:rPr>
      </w:pPr>
      <w:r>
        <w:rPr>
          <w:rFonts w:hint="eastAsia" w:ascii="宋体" w:hAnsi="宋体" w:eastAsia="宋体" w:cs="宋体"/>
          <w:b/>
          <w:bCs/>
          <w:color w:val="auto"/>
          <w:spacing w:val="20"/>
          <w:kern w:val="44"/>
          <w:sz w:val="36"/>
          <w:szCs w:val="48"/>
          <w:lang w:val="en-US" w:eastAsia="zh-CN" w:bidi="ar-SA"/>
        </w:rPr>
        <w:t>合同协议书</w:t>
      </w:r>
    </w:p>
    <w:p w14:paraId="098F510E">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发包人（全称）：</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755B126B">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承包人（全称）：</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1F51CA1F">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（以下称发包人）为实施</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，根据《中华人民共和国民法典》、《中华人民共和国建筑法》及有关法律规定，遵循平等、自愿、公平和诚实信用的原则，双方就</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工程施工及有关事项协商一致，共同达成如下协议：</w:t>
      </w:r>
      <w:bookmarkStart w:id="87" w:name="_Toc351203481"/>
    </w:p>
    <w:p w14:paraId="0F0A6630">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一、工程概况</w:t>
      </w:r>
      <w:bookmarkEnd w:id="87"/>
    </w:p>
    <w:p w14:paraId="4CF333B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1. 工程名称</w:t>
      </w:r>
      <w:r>
        <w:rPr>
          <w:rFonts w:hint="eastAsia" w:ascii="宋体" w:hAnsi="宋体" w:eastAsia="宋体" w:cs="宋体"/>
          <w:color w:val="auto"/>
          <w:spacing w:val="20"/>
          <w:sz w:val="24"/>
        </w:rPr>
        <w:t>：</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b/>
          <w:bCs/>
          <w:color w:val="auto"/>
          <w:spacing w:val="20"/>
          <w:sz w:val="24"/>
          <w:u w:val="single"/>
        </w:rPr>
        <w:t xml:space="preserve"> </w:t>
      </w:r>
      <w:r>
        <w:rPr>
          <w:rFonts w:hint="eastAsia" w:ascii="宋体" w:hAnsi="宋体" w:eastAsia="宋体" w:cs="宋体"/>
          <w:color w:val="auto"/>
          <w:spacing w:val="20"/>
          <w:sz w:val="24"/>
        </w:rPr>
        <w:t>。</w:t>
      </w:r>
    </w:p>
    <w:p w14:paraId="1397046E">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工程地点：</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64EC1326">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工程立项批准文号：</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78DFA1A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4. 资金来源：</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1EB58D98">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5. 工程内容</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w:t>
      </w:r>
    </w:p>
    <w:p w14:paraId="0545743D">
      <w:pPr>
        <w:keepNext w:val="0"/>
        <w:keepLines w:val="0"/>
        <w:pageBreakBefore w:val="0"/>
        <w:widowControl w:val="0"/>
        <w:kinsoku/>
        <w:wordWrap/>
        <w:overflowPunct/>
        <w:topLinePunct w:val="0"/>
        <w:bidi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6. 工程承包范围：</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7B988BD2">
      <w:pPr>
        <w:keepNext w:val="0"/>
        <w:keepLines w:val="0"/>
        <w:pageBreakBefore w:val="0"/>
        <w:widowControl w:val="0"/>
        <w:kinsoku/>
        <w:wordWrap/>
        <w:overflowPunct/>
        <w:topLinePunct w:val="0"/>
        <w:bidi w:val="0"/>
        <w:adjustRightInd w:val="0"/>
        <w:snapToGrid w:val="0"/>
        <w:spacing w:line="480" w:lineRule="exact"/>
        <w:ind w:firstLine="542" w:firstLineChars="193"/>
        <w:textAlignment w:val="auto"/>
        <w:outlineLvl w:val="0"/>
        <w:rPr>
          <w:rFonts w:ascii="宋体" w:hAnsi="宋体" w:eastAsia="宋体" w:cs="宋体"/>
          <w:b/>
          <w:bCs/>
          <w:color w:val="auto"/>
          <w:spacing w:val="20"/>
          <w:sz w:val="24"/>
        </w:rPr>
      </w:pPr>
      <w:bookmarkStart w:id="88" w:name="_Toc351203482"/>
      <w:r>
        <w:rPr>
          <w:rFonts w:hint="eastAsia" w:ascii="宋体" w:hAnsi="宋体" w:eastAsia="宋体" w:cs="宋体"/>
          <w:b/>
          <w:bCs/>
          <w:color w:val="auto"/>
          <w:spacing w:val="20"/>
          <w:sz w:val="24"/>
        </w:rPr>
        <w:t>二、合同工期</w:t>
      </w:r>
      <w:bookmarkEnd w:id="88"/>
    </w:p>
    <w:p w14:paraId="5EFC4EA8">
      <w:pPr>
        <w:keepNext w:val="0"/>
        <w:keepLines w:val="0"/>
        <w:pageBreakBefore w:val="0"/>
        <w:widowControl w:val="0"/>
        <w:kinsoku/>
        <w:wordWrap/>
        <w:overflowPunct/>
        <w:topLinePunct w:val="0"/>
        <w:bidi w:val="0"/>
        <w:adjustRightInd w:val="0"/>
        <w:snapToGrid w:val="0"/>
        <w:spacing w:line="480" w:lineRule="exact"/>
        <w:ind w:firstLine="56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计划开工日期：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日。（以总监理工程师开具并有发包人签认的开工令为准 ）</w:t>
      </w:r>
    </w:p>
    <w:p w14:paraId="5188B15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计划竣工日期：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w:t>
      </w:r>
    </w:p>
    <w:p w14:paraId="4500080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工期总日历天数：</w:t>
      </w:r>
      <w:r>
        <w:rPr>
          <w:rFonts w:hint="eastAsia" w:ascii="宋体" w:hAnsi="宋体" w:eastAsia="宋体" w:cs="宋体"/>
          <w:b/>
          <w:bCs/>
          <w:color w:val="auto"/>
          <w:spacing w:val="20"/>
          <w:sz w:val="24"/>
          <w:u w:val="single"/>
        </w:rPr>
        <w:t xml:space="preserve"> </w:t>
      </w:r>
      <w:r>
        <w:rPr>
          <w:rFonts w:hint="eastAsia" w:ascii="宋体" w:hAnsi="宋体" w:cs="宋体"/>
          <w:b/>
          <w:bCs/>
          <w:color w:val="auto"/>
          <w:spacing w:val="20"/>
          <w:sz w:val="24"/>
          <w:u w:val="single"/>
          <w:lang w:val="en-US" w:eastAsia="zh-CN"/>
        </w:rPr>
        <w:t xml:space="preserve">   </w:t>
      </w:r>
      <w:r>
        <w:rPr>
          <w:rFonts w:hint="eastAsia" w:ascii="宋体" w:hAnsi="宋体" w:eastAsia="宋体" w:cs="宋体"/>
          <w:color w:val="auto"/>
          <w:spacing w:val="20"/>
          <w:sz w:val="24"/>
        </w:rPr>
        <w:t>天。工期总日历天数与根据前述计划开竣工日期计算的工期天数不一致的，以工期总日历天数为准。</w:t>
      </w:r>
    </w:p>
    <w:p w14:paraId="10E74DDD">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89" w:name="_Toc351203483"/>
      <w:r>
        <w:rPr>
          <w:rFonts w:hint="eastAsia" w:ascii="宋体" w:hAnsi="宋体" w:eastAsia="宋体" w:cs="宋体"/>
          <w:b/>
          <w:bCs/>
          <w:color w:val="auto"/>
          <w:spacing w:val="20"/>
          <w:sz w:val="24"/>
        </w:rPr>
        <w:t>三、质量标准</w:t>
      </w:r>
      <w:bookmarkEnd w:id="89"/>
    </w:p>
    <w:p w14:paraId="3325E65A">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工程质量符合</w:t>
      </w:r>
      <w:r>
        <w:rPr>
          <w:rFonts w:hint="eastAsia" w:ascii="宋体" w:hAnsi="宋体" w:eastAsia="宋体" w:cs="宋体"/>
          <w:color w:val="auto"/>
          <w:spacing w:val="20"/>
          <w:sz w:val="24"/>
          <w:u w:val="single"/>
        </w:rPr>
        <w:t>《工程施工质量验收规范》合格</w:t>
      </w:r>
      <w:r>
        <w:rPr>
          <w:rFonts w:hint="eastAsia" w:ascii="宋体" w:hAnsi="宋体" w:eastAsia="宋体" w:cs="宋体"/>
          <w:color w:val="auto"/>
          <w:spacing w:val="20"/>
          <w:sz w:val="24"/>
        </w:rPr>
        <w:t>标准。</w:t>
      </w:r>
    </w:p>
    <w:p w14:paraId="7AF65131">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90" w:name="_Toc351203484"/>
      <w:r>
        <w:rPr>
          <w:rFonts w:hint="eastAsia" w:ascii="宋体" w:hAnsi="宋体" w:eastAsia="宋体" w:cs="宋体"/>
          <w:b/>
          <w:bCs/>
          <w:color w:val="auto"/>
          <w:spacing w:val="20"/>
          <w:sz w:val="24"/>
        </w:rPr>
        <w:t>四、签约合同价与合同价格形式</w:t>
      </w:r>
      <w:bookmarkEnd w:id="90"/>
    </w:p>
    <w:p w14:paraId="67803326">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cs="宋体"/>
          <w:color w:val="auto"/>
          <w:spacing w:val="20"/>
          <w:sz w:val="24"/>
          <w:lang w:val="en-US" w:eastAsia="zh-CN"/>
        </w:rPr>
        <w:t>1.</w:t>
      </w:r>
      <w:r>
        <w:rPr>
          <w:rFonts w:hint="eastAsia" w:ascii="宋体" w:hAnsi="宋体" w:eastAsia="宋体" w:cs="宋体"/>
          <w:color w:val="auto"/>
          <w:spacing w:val="20"/>
          <w:sz w:val="24"/>
        </w:rPr>
        <w:t>签约合同价为：</w:t>
      </w:r>
    </w:p>
    <w:p w14:paraId="0C94972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人民币（大写：</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r>
        <w:rPr>
          <w:rFonts w:hint="eastAsia" w:asciiTheme="minorEastAsia" w:hAnsiTheme="minorEastAsia" w:eastAsiaTheme="minorEastAsia" w:cstheme="minorEastAsia"/>
          <w:color w:val="auto"/>
          <w:spacing w:val="20"/>
          <w:sz w:val="24"/>
          <w:u w:val="single"/>
        </w:rPr>
        <w:t>（¥</w:t>
      </w:r>
      <w:r>
        <w:rPr>
          <w:rFonts w:hint="eastAsia" w:asciiTheme="minorEastAsia" w:hAnsiTheme="minorEastAsia" w:eastAsiaTheme="minorEastAsia" w:cstheme="minorEastAsia"/>
          <w:color w:val="auto"/>
          <w:spacing w:val="20"/>
          <w:sz w:val="24"/>
          <w:u w:val="single"/>
          <w:lang w:val="en-US" w:eastAsia="zh-CN"/>
        </w:rPr>
        <w:t xml:space="preserve">           </w:t>
      </w:r>
      <w:r>
        <w:rPr>
          <w:rFonts w:hint="eastAsia" w:asciiTheme="minorEastAsia" w:hAnsiTheme="minorEastAsia" w:eastAsiaTheme="minorEastAsia" w:cstheme="minorEastAsia"/>
          <w:color w:val="auto"/>
          <w:spacing w:val="20"/>
          <w:sz w:val="24"/>
          <w:u w:val="single"/>
        </w:rPr>
        <w:t>元</w:t>
      </w:r>
      <w:r>
        <w:rPr>
          <w:rFonts w:hint="eastAsia" w:asciiTheme="minorEastAsia" w:hAnsiTheme="minorEastAsia" w:eastAsiaTheme="minorEastAsia" w:cstheme="minorEastAsia"/>
          <w:color w:val="auto"/>
          <w:spacing w:val="20"/>
          <w:sz w:val="24"/>
        </w:rPr>
        <w:t>）；</w:t>
      </w:r>
    </w:p>
    <w:p w14:paraId="4E912729">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2. 合同价格形式：</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highlight w:val="none"/>
          <w:u w:val="single"/>
        </w:rPr>
        <w:t>综合单价</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7E610C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1" w:name="_Toc351203485"/>
      <w:r>
        <w:rPr>
          <w:rFonts w:hint="eastAsia" w:ascii="宋体" w:hAnsi="宋体" w:eastAsia="宋体" w:cs="宋体"/>
          <w:b/>
          <w:bCs/>
          <w:color w:val="auto"/>
          <w:spacing w:val="20"/>
          <w:sz w:val="24"/>
        </w:rPr>
        <w:t>五、</w:t>
      </w:r>
      <w:bookmarkEnd w:id="91"/>
      <w:r>
        <w:rPr>
          <w:rFonts w:hint="eastAsia" w:ascii="宋体" w:hAnsi="宋体" w:eastAsia="宋体" w:cs="宋体"/>
          <w:b/>
          <w:bCs/>
          <w:color w:val="auto"/>
          <w:spacing w:val="20"/>
          <w:sz w:val="24"/>
        </w:rPr>
        <w:t>项目经理</w:t>
      </w:r>
    </w:p>
    <w:p w14:paraId="2380A572">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承包人项目经理：</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29F1134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2" w:name="_Toc351203486"/>
      <w:r>
        <w:rPr>
          <w:rFonts w:hint="eastAsia" w:ascii="宋体" w:hAnsi="宋体" w:eastAsia="宋体" w:cs="宋体"/>
          <w:b/>
          <w:bCs/>
          <w:color w:val="auto"/>
          <w:spacing w:val="20"/>
          <w:sz w:val="24"/>
        </w:rPr>
        <w:t>六、合同文件构成</w:t>
      </w:r>
      <w:bookmarkEnd w:id="92"/>
    </w:p>
    <w:p w14:paraId="4287E321">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1.本协议书与下列文件一起构成合同文件：</w:t>
      </w:r>
    </w:p>
    <w:p w14:paraId="6C9D79A8">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（1）中标通知书（如有）；</w:t>
      </w:r>
    </w:p>
    <w:p w14:paraId="1406F16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（2）投标函及其附录（如有）； </w:t>
      </w:r>
    </w:p>
    <w:p w14:paraId="3EE2ECA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（3）专用合同条款及其附件；</w:t>
      </w:r>
    </w:p>
    <w:p w14:paraId="5EC0B193">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（4）通用合同条款；</w:t>
      </w:r>
    </w:p>
    <w:p w14:paraId="1BF6D01B">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（5）技术标准和要求；</w:t>
      </w:r>
    </w:p>
    <w:p w14:paraId="2D468266">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（6）已标价工程量清单或预算书； </w:t>
      </w:r>
    </w:p>
    <w:p w14:paraId="4C7559D1">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（7）图纸；</w:t>
      </w:r>
    </w:p>
    <w:p w14:paraId="5BD353D2">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（8）其他合同文件。</w:t>
      </w:r>
    </w:p>
    <w:p w14:paraId="17CE142C">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2.双方有关工程的洽商、变更等书面协议或文件视为本合同的组成部分。</w:t>
      </w:r>
    </w:p>
    <w:p w14:paraId="4AC49CBD">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上述各项合同文件包括合同当事人就该项合同文件所作出的补充和修改，属于同一类内容的文件，应以最新签署的为准。专用合同条款及其附件须经合同当事人签字或盖章。</w:t>
      </w:r>
    </w:p>
    <w:p w14:paraId="696BED3C">
      <w:pPr>
        <w:keepNext w:val="0"/>
        <w:keepLines w:val="0"/>
        <w:pageBreakBefore w:val="0"/>
        <w:widowControl w:val="0"/>
        <w:kinsoku/>
        <w:wordWrap/>
        <w:overflowPunct/>
        <w:topLinePunct w:val="0"/>
        <w:autoSpaceDE w:val="0"/>
        <w:autoSpaceDN w:val="0"/>
        <w:bidi w:val="0"/>
        <w:adjustRightInd w:val="0"/>
        <w:snapToGrid w:val="0"/>
        <w:spacing w:line="480" w:lineRule="exact"/>
        <w:ind w:firstLine="562" w:firstLineChars="200"/>
        <w:jc w:val="left"/>
        <w:textAlignment w:val="auto"/>
        <w:outlineLvl w:val="0"/>
        <w:rPr>
          <w:rFonts w:ascii="宋体" w:hAnsi="宋体" w:eastAsia="宋体" w:cs="宋体"/>
          <w:b/>
          <w:bCs/>
          <w:color w:val="auto"/>
          <w:spacing w:val="20"/>
          <w:sz w:val="24"/>
        </w:rPr>
      </w:pPr>
      <w:bookmarkStart w:id="93" w:name="_Toc351203487"/>
      <w:r>
        <w:rPr>
          <w:rFonts w:hint="eastAsia" w:ascii="宋体" w:hAnsi="宋体" w:eastAsia="宋体" w:cs="宋体"/>
          <w:b/>
          <w:bCs/>
          <w:color w:val="auto"/>
          <w:spacing w:val="20"/>
          <w:sz w:val="24"/>
        </w:rPr>
        <w:t>七、承诺</w:t>
      </w:r>
      <w:bookmarkEnd w:id="93"/>
    </w:p>
    <w:p w14:paraId="4D81D55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 发包人承诺按照法律规定履行项目审批手续、筹集工程建设资金并按照合同约定的期限和方式支付合同价款。</w:t>
      </w:r>
    </w:p>
    <w:p w14:paraId="2FB06C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承包人承诺按照法律规定及合同约定组织完成工程施工，确保工程质量和安全，不进行转包及违法分包。</w:t>
      </w:r>
    </w:p>
    <w:p w14:paraId="117A0A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发包人和承包人签订的合同，双方理解并承诺不再就同一工程另行签订与合同实质性内容相背离的协议。</w:t>
      </w:r>
      <w:bookmarkStart w:id="94" w:name="_Toc351203488"/>
    </w:p>
    <w:p w14:paraId="7FCD9F8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八、词语含义</w:t>
      </w:r>
      <w:bookmarkEnd w:id="94"/>
    </w:p>
    <w:p w14:paraId="24239A0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本协议书中词语含义与第二部分通用合同条款中赋予的含义相同。</w:t>
      </w:r>
    </w:p>
    <w:p w14:paraId="14F92A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5" w:name="_Toc351203489"/>
      <w:r>
        <w:rPr>
          <w:rFonts w:hint="eastAsia" w:ascii="宋体" w:hAnsi="宋体" w:eastAsia="宋体" w:cs="宋体"/>
          <w:b/>
          <w:bCs/>
          <w:color w:val="auto"/>
          <w:spacing w:val="20"/>
          <w:sz w:val="24"/>
        </w:rPr>
        <w:t>九、签订时间</w:t>
      </w:r>
      <w:bookmarkEnd w:id="95"/>
    </w:p>
    <w:p w14:paraId="4F6BF59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本合同于</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年</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月</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日签订。</w:t>
      </w:r>
    </w:p>
    <w:p w14:paraId="3CEB6BC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6" w:name="_Toc351203490"/>
      <w:r>
        <w:rPr>
          <w:rFonts w:hint="eastAsia" w:ascii="宋体" w:hAnsi="宋体" w:eastAsia="宋体" w:cs="宋体"/>
          <w:b/>
          <w:bCs/>
          <w:color w:val="auto"/>
          <w:spacing w:val="20"/>
          <w:sz w:val="24"/>
        </w:rPr>
        <w:t>十、签订地点</w:t>
      </w:r>
      <w:bookmarkEnd w:id="96"/>
    </w:p>
    <w:p w14:paraId="171E534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本合同在</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签订。</w:t>
      </w:r>
    </w:p>
    <w:p w14:paraId="7B26396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7" w:name="_Toc351203491"/>
      <w:r>
        <w:rPr>
          <w:rFonts w:hint="eastAsia" w:ascii="宋体" w:hAnsi="宋体" w:eastAsia="宋体" w:cs="宋体"/>
          <w:b/>
          <w:bCs/>
          <w:color w:val="auto"/>
          <w:spacing w:val="20"/>
          <w:sz w:val="24"/>
        </w:rPr>
        <w:t>十一、补充协议</w:t>
      </w:r>
      <w:bookmarkEnd w:id="97"/>
    </w:p>
    <w:p w14:paraId="7966A9B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合同未尽事宜，合同当事人另行签订补充协议，补充协议是合同的组成部分。</w:t>
      </w:r>
    </w:p>
    <w:p w14:paraId="70401B42">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8" w:name="_Toc351203492"/>
      <w:r>
        <w:rPr>
          <w:rFonts w:hint="eastAsia" w:ascii="宋体" w:hAnsi="宋体" w:eastAsia="宋体" w:cs="宋体"/>
          <w:b/>
          <w:bCs/>
          <w:color w:val="auto"/>
          <w:spacing w:val="20"/>
          <w:sz w:val="24"/>
        </w:rPr>
        <w:t>十二、合同生效</w:t>
      </w:r>
      <w:bookmarkEnd w:id="98"/>
    </w:p>
    <w:p w14:paraId="4A39D2B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本合同自</w:t>
      </w:r>
      <w:r>
        <w:rPr>
          <w:rFonts w:hint="eastAsia" w:ascii="宋体" w:hAnsi="宋体" w:eastAsia="宋体" w:cs="宋体"/>
          <w:bCs/>
          <w:color w:val="auto"/>
          <w:spacing w:val="20"/>
          <w:sz w:val="24"/>
          <w:u w:val="single"/>
        </w:rPr>
        <w:t xml:space="preserve">双方法定代表人或其授权代理人签字并加盖单位公章之日起 </w:t>
      </w:r>
      <w:r>
        <w:rPr>
          <w:rFonts w:hint="eastAsia" w:ascii="宋体" w:hAnsi="宋体" w:eastAsia="宋体" w:cs="宋体"/>
          <w:bCs/>
          <w:color w:val="auto"/>
          <w:spacing w:val="20"/>
          <w:sz w:val="24"/>
        </w:rPr>
        <w:t>生效。</w:t>
      </w:r>
    </w:p>
    <w:p w14:paraId="75C58D7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9" w:name="_Toc351203493"/>
      <w:r>
        <w:rPr>
          <w:rFonts w:hint="eastAsia" w:ascii="宋体" w:hAnsi="宋体" w:eastAsia="宋体" w:cs="宋体"/>
          <w:b/>
          <w:bCs/>
          <w:color w:val="auto"/>
          <w:spacing w:val="20"/>
          <w:sz w:val="24"/>
        </w:rPr>
        <w:t>十三、合同份数</w:t>
      </w:r>
      <w:bookmarkEnd w:id="99"/>
    </w:p>
    <w:p w14:paraId="002D97E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本合同一式</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肆</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份，均具有同等法律效力，发包人执</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贰</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份，承包人执</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贰</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w:t>
      </w:r>
    </w:p>
    <w:p w14:paraId="17996F69">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bookmarkStart w:id="100" w:name="_Toc16007"/>
      <w:bookmarkStart w:id="101" w:name="_Toc439779029"/>
      <w:bookmarkStart w:id="102" w:name="_Toc425437329"/>
      <w:bookmarkStart w:id="103" w:name="_Toc389065256"/>
      <w:bookmarkStart w:id="104" w:name="_Toc461982824"/>
      <w:bookmarkStart w:id="105" w:name="_Toc21285"/>
      <w:bookmarkStart w:id="106" w:name="_Toc373227691"/>
      <w:bookmarkStart w:id="107" w:name="_Toc351203632"/>
      <w:bookmarkStart w:id="108" w:name="_Toc373478338"/>
    </w:p>
    <w:p w14:paraId="0E247150">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710CCBA7">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15"/>
          <w:szCs w:val="15"/>
        </w:rPr>
      </w:pPr>
      <w:r>
        <w:rPr>
          <w:rFonts w:hint="eastAsia" w:ascii="宋体" w:hAnsi="宋体" w:eastAsia="宋体" w:cs="宋体"/>
          <w:color w:val="auto"/>
          <w:spacing w:val="20"/>
          <w:sz w:val="24"/>
        </w:rPr>
        <w:t>发包人：浦北县</w:t>
      </w:r>
      <w:r>
        <w:rPr>
          <w:rFonts w:hint="eastAsia" w:ascii="宋体" w:hAnsi="宋体" w:cs="宋体"/>
          <w:color w:val="auto"/>
          <w:spacing w:val="20"/>
          <w:sz w:val="24"/>
          <w:lang w:val="en-US" w:eastAsia="zh-CN"/>
        </w:rPr>
        <w:t>小江街道办事处</w:t>
      </w:r>
      <w:r>
        <w:rPr>
          <w:rFonts w:hint="eastAsia" w:ascii="宋体" w:hAnsi="宋体" w:eastAsia="宋体" w:cs="宋体"/>
          <w:color w:val="auto"/>
          <w:spacing w:val="20"/>
          <w:sz w:val="24"/>
        </w:rPr>
        <w:t xml:space="preserve">      承包人：</w:t>
      </w:r>
    </w:p>
    <w:p w14:paraId="2B32EC33">
      <w:pPr>
        <w:pageBreakBefore w:val="0"/>
        <w:widowControl w:val="0"/>
        <w:kinsoku/>
        <w:wordWrap/>
        <w:overflowPunct/>
        <w:topLinePunct w:val="0"/>
        <w:bidi w:val="0"/>
        <w:adjustRightInd w:val="0"/>
        <w:snapToGrid w:val="0"/>
        <w:spacing w:line="380" w:lineRule="exact"/>
        <w:ind w:firstLine="1540" w:firstLineChars="55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（公章）                    （公章）</w:t>
      </w:r>
    </w:p>
    <w:p w14:paraId="577DBA81">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p>
    <w:p w14:paraId="5A96DE0F">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法定代表人：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法定代表人：</w:t>
      </w:r>
    </w:p>
    <w:p w14:paraId="3DBFBDA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或其委托代理人：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或其委托代理人：</w:t>
      </w:r>
    </w:p>
    <w:p w14:paraId="1B8FCDB4">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E8F28F">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C3B51A">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地址：</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地址：</w:t>
      </w:r>
      <w:r>
        <w:rPr>
          <w:rFonts w:hint="eastAsia" w:eastAsia="宋体" w:cs="Times New Roman" w:asciiTheme="minorEastAsia" w:hAnsiTheme="minorEastAsia"/>
          <w:color w:val="auto"/>
          <w:sz w:val="24"/>
          <w:u w:val="single"/>
        </w:rPr>
        <w:t xml:space="preserve">                         </w:t>
      </w:r>
    </w:p>
    <w:p w14:paraId="0981CB55">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p>
    <w:p w14:paraId="0B885682">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电话（传真）：</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电话（传真）：</w:t>
      </w:r>
      <w:r>
        <w:rPr>
          <w:rFonts w:hint="eastAsia" w:ascii="宋体" w:hAnsi="宋体" w:eastAsia="宋体" w:cs="宋体"/>
          <w:color w:val="auto"/>
          <w:spacing w:val="20"/>
          <w:sz w:val="24"/>
          <w:u w:val="single"/>
        </w:rPr>
        <w:t xml:space="preserve">           </w:t>
      </w:r>
    </w:p>
    <w:p w14:paraId="0379B5F4">
      <w:pPr>
        <w:pageBreakBefore w:val="0"/>
        <w:widowControl w:val="0"/>
        <w:kinsoku/>
        <w:wordWrap/>
        <w:overflowPunct/>
        <w:topLinePunct w:val="0"/>
        <w:bidi w:val="0"/>
        <w:adjustRightInd w:val="0"/>
        <w:snapToGrid w:val="0"/>
        <w:spacing w:line="380" w:lineRule="exact"/>
        <w:ind w:left="6020" w:hanging="6020" w:hangingChars="2150"/>
        <w:textAlignment w:val="auto"/>
        <w:rPr>
          <w:rFonts w:ascii="宋体" w:hAnsi="宋体" w:eastAsia="宋体" w:cs="宋体"/>
          <w:color w:val="auto"/>
          <w:spacing w:val="20"/>
          <w:sz w:val="24"/>
        </w:rPr>
      </w:pPr>
      <w:r>
        <w:rPr>
          <w:rFonts w:hint="eastAsia" w:ascii="宋体" w:hAnsi="宋体" w:eastAsia="宋体" w:cs="宋体"/>
          <w:color w:val="auto"/>
          <w:spacing w:val="20"/>
          <w:sz w:val="24"/>
        </w:rPr>
        <w:t>开户银行：</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 xml:space="preserve">     开户银行：</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2C79015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账 号：</w:t>
      </w:r>
      <w:r>
        <w:rPr>
          <w:rFonts w:hint="eastAsia" w:ascii="宋体" w:hAnsi="宋体" w:eastAsia="宋体" w:cs="宋体"/>
          <w:color w:val="auto"/>
          <w:sz w:val="24"/>
          <w:u w:val="single"/>
        </w:rPr>
        <w:t xml:space="preserve"> </w:t>
      </w:r>
      <w:r>
        <w:rPr>
          <w:rFonts w:hint="eastAsia" w:asciiTheme="minorEastAsia" w:hAnsiTheme="minorEastAsia" w:eastAsiaTheme="minorEastAsia" w:cstheme="minorEastAsia"/>
          <w:color w:val="auto"/>
          <w:spacing w:val="20"/>
          <w:sz w:val="24"/>
          <w:u w:val="single"/>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账 号：</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4C9D4DD9">
      <w:pPr>
        <w:keepNext w:val="0"/>
        <w:keepLines w:val="0"/>
        <w:pageBreakBefore w:val="0"/>
        <w:widowControl w:val="0"/>
        <w:kinsoku/>
        <w:wordWrap/>
        <w:overflowPunct/>
        <w:topLinePunct w:val="0"/>
        <w:bidi w:val="0"/>
        <w:spacing w:before="340" w:after="330" w:line="380" w:lineRule="exact"/>
        <w:ind w:firstLine="642"/>
        <w:jc w:val="center"/>
        <w:textAlignment w:val="auto"/>
        <w:outlineLvl w:val="9"/>
        <w:rPr>
          <w:rFonts w:ascii="宋体" w:hAnsi="宋体" w:eastAsia="宋体" w:cs="宋体"/>
          <w:b/>
          <w:bCs/>
          <w:color w:val="auto"/>
          <w:spacing w:val="20"/>
          <w:kern w:val="44"/>
          <w:sz w:val="28"/>
          <w:szCs w:val="32"/>
          <w:lang w:val="en-US" w:eastAsia="zh-CN" w:bidi="ar-SA"/>
        </w:rPr>
      </w:pPr>
    </w:p>
    <w:p w14:paraId="39ED5B1B">
      <w:pPr>
        <w:pageBreakBefore w:val="0"/>
        <w:widowControl w:val="0"/>
        <w:kinsoku/>
        <w:wordWrap/>
        <w:overflowPunct/>
        <w:topLinePunct w:val="0"/>
        <w:bidi w:val="0"/>
        <w:spacing w:line="380" w:lineRule="exact"/>
        <w:ind w:firstLine="500"/>
        <w:textAlignment w:val="auto"/>
        <w:rPr>
          <w:rFonts w:ascii="宋体" w:hAnsi="宋体" w:eastAsia="宋体" w:cs="宋体"/>
          <w:color w:val="auto"/>
          <w:spacing w:val="20"/>
          <w:szCs w:val="32"/>
        </w:rPr>
      </w:pPr>
      <w:r>
        <w:rPr>
          <w:rFonts w:hint="eastAsia" w:ascii="宋体" w:hAnsi="宋体" w:eastAsia="宋体" w:cs="宋体"/>
          <w:color w:val="auto"/>
          <w:spacing w:val="20"/>
          <w:szCs w:val="32"/>
        </w:rPr>
        <w:br w:type="page"/>
      </w:r>
    </w:p>
    <w:p w14:paraId="68EE1545">
      <w:pPr>
        <w:keepNext w:val="0"/>
        <w:keepLines w:val="0"/>
        <w:pageBreakBefore w:val="0"/>
        <w:widowControl w:val="0"/>
        <w:kinsoku/>
        <w:wordWrap/>
        <w:overflowPunct/>
        <w:topLinePunct w:val="0"/>
        <w:bidi w:val="0"/>
        <w:spacing w:before="340" w:after="330" w:line="380" w:lineRule="exact"/>
        <w:ind w:firstLine="642"/>
        <w:jc w:val="center"/>
        <w:textAlignment w:val="auto"/>
        <w:outlineLvl w:val="0"/>
        <w:rPr>
          <w:rFonts w:ascii="宋体" w:hAnsi="宋体" w:eastAsia="宋体" w:cs="宋体"/>
          <w:b/>
          <w:bCs/>
          <w:color w:val="auto"/>
          <w:spacing w:val="20"/>
          <w:kern w:val="44"/>
          <w:sz w:val="28"/>
          <w:szCs w:val="32"/>
          <w:lang w:val="en-US" w:eastAsia="zh-CN" w:bidi="ar-SA"/>
        </w:rPr>
      </w:pPr>
      <w:r>
        <w:rPr>
          <w:rFonts w:hint="eastAsia" w:ascii="宋体" w:hAnsi="宋体" w:eastAsia="宋体" w:cs="宋体"/>
          <w:b/>
          <w:bCs/>
          <w:color w:val="auto"/>
          <w:spacing w:val="20"/>
          <w:kern w:val="44"/>
          <w:sz w:val="28"/>
          <w:szCs w:val="32"/>
          <w:lang w:val="en-US" w:eastAsia="zh-CN" w:bidi="ar-SA"/>
        </w:rPr>
        <w:t>第二部分 通用合同条款</w:t>
      </w:r>
      <w:bookmarkEnd w:id="100"/>
      <w:bookmarkEnd w:id="101"/>
      <w:bookmarkEnd w:id="102"/>
      <w:bookmarkEnd w:id="103"/>
      <w:bookmarkEnd w:id="104"/>
      <w:bookmarkEnd w:id="105"/>
    </w:p>
    <w:p w14:paraId="635EBAB6">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09" w:name="_Toc337558727"/>
      <w:bookmarkStart w:id="110" w:name="_Toc17965070"/>
      <w:bookmarkStart w:id="111" w:name="_Toc351203495"/>
      <w:bookmarkStart w:id="112" w:name="_Toc389065257"/>
      <w:bookmarkStart w:id="113" w:name="_Toc1320"/>
      <w:bookmarkStart w:id="114" w:name="_Toc439779030"/>
      <w:bookmarkStart w:id="115" w:name="_Toc425437330"/>
      <w:bookmarkStart w:id="116" w:name="_Toc25546"/>
      <w:bookmarkStart w:id="117" w:name="_Toc461982825"/>
      <w:r>
        <w:rPr>
          <w:rFonts w:ascii="Times New Roman" w:hAnsi="Times New Roman" w:eastAsia="黑体" w:cs="Times New Roman"/>
          <w:b/>
          <w:bCs/>
          <w:color w:val="auto"/>
          <w:kern w:val="2"/>
          <w:sz w:val="24"/>
          <w:szCs w:val="24"/>
          <w:highlight w:val="none"/>
          <w:lang w:val="en-US" w:eastAsia="zh-CN" w:bidi="ar-SA"/>
        </w:rPr>
        <w:t>1.</w:t>
      </w:r>
      <w:bookmarkStart w:id="118" w:name="_Toc303538973"/>
      <w:bookmarkEnd w:id="118"/>
      <w:bookmarkStart w:id="119" w:name="_Toc303538976"/>
      <w:bookmarkEnd w:id="119"/>
      <w:bookmarkStart w:id="120" w:name="_Toc303538972"/>
      <w:bookmarkEnd w:id="120"/>
      <w:bookmarkStart w:id="121" w:name="_Toc303538974"/>
      <w:bookmarkEnd w:id="121"/>
      <w:bookmarkStart w:id="122" w:name="_Toc303538975"/>
      <w:bookmarkEnd w:id="122"/>
      <w:bookmarkStart w:id="123" w:name="_Toc296503027"/>
      <w:bookmarkStart w:id="124" w:name="_Toc296346528"/>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一般约定</w:t>
      </w:r>
      <w:bookmarkEnd w:id="109"/>
      <w:bookmarkEnd w:id="110"/>
      <w:bookmarkEnd w:id="111"/>
      <w:bookmarkEnd w:id="123"/>
      <w:bookmarkEnd w:id="124"/>
    </w:p>
    <w:p w14:paraId="35498C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25" w:name="_Toc296346529"/>
      <w:bookmarkStart w:id="126" w:name="_Toc296503028"/>
      <w:bookmarkStart w:id="127" w:name="_Toc337558728"/>
      <w:bookmarkStart w:id="128" w:name="_Toc351203496"/>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Times New Roman"/>
          <w:color w:val="auto"/>
          <w:kern w:val="0"/>
          <w:sz w:val="24"/>
          <w:szCs w:val="24"/>
          <w:highlight w:val="none"/>
          <w:lang w:val="en-US" w:eastAsia="zh-CN" w:bidi="ar-SA"/>
        </w:rPr>
        <w:t>词语定义</w:t>
      </w:r>
      <w:bookmarkEnd w:id="125"/>
      <w:bookmarkEnd w:id="126"/>
      <w:bookmarkEnd w:id="127"/>
      <w:r>
        <w:rPr>
          <w:rFonts w:hint="eastAsia" w:ascii="Times New Roman" w:hAnsi="Times New Roman" w:eastAsia="Ђˎ̥" w:cs="Times New Roman"/>
          <w:color w:val="auto"/>
          <w:kern w:val="0"/>
          <w:sz w:val="24"/>
          <w:szCs w:val="24"/>
          <w:highlight w:val="none"/>
          <w:lang w:val="en-US" w:eastAsia="zh-CN" w:bidi="ar-SA"/>
        </w:rPr>
        <w:t>与解释</w:t>
      </w:r>
      <w:bookmarkEnd w:id="128"/>
    </w:p>
    <w:p w14:paraId="2A9781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合同协议书、通用合同条款、专用合同条款中的下列词语具有本款所赋予的含义：</w:t>
      </w:r>
    </w:p>
    <w:p w14:paraId="54FA86D8">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1.1.1 </w:t>
      </w:r>
      <w:r>
        <w:rPr>
          <w:rFonts w:hint="eastAsia" w:ascii="宋体" w:hAnsi="宋体" w:eastAsia="宋体" w:cs="Times New Roman"/>
          <w:color w:val="auto"/>
          <w:kern w:val="0"/>
          <w:sz w:val="24"/>
          <w:szCs w:val="24"/>
          <w:highlight w:val="none"/>
        </w:rPr>
        <w:t>合同</w:t>
      </w:r>
    </w:p>
    <w:p w14:paraId="01FF62D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合同：是指根据法律规定和合同当事人约定具有约束力的文件，构成合同的文件包括合同协议书、中标通知书（如果有）、投标函及其附录（如果有）、专用合同条款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、通用合同条款、技术标准和要求、图纸、已标价工程量清单或预算书以及其他合同文件。</w:t>
      </w:r>
    </w:p>
    <w:p w14:paraId="2B004E6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合同协议书：是指构成合同的由发包人和承包人共同签署的称为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合同协议书</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的书面文件。</w:t>
      </w:r>
    </w:p>
    <w:p w14:paraId="2CB655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中标通知书：是指构成合同的由发包人通知承包人中标的书面文件。</w:t>
      </w:r>
    </w:p>
    <w:p w14:paraId="2469E8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1.1.1.4 </w:t>
      </w:r>
      <w:r>
        <w:rPr>
          <w:rFonts w:hint="eastAsia" w:ascii="宋体" w:hAnsi="宋体" w:eastAsia="宋体" w:cs="Times New Roman"/>
          <w:color w:val="auto"/>
          <w:kern w:val="0"/>
          <w:sz w:val="24"/>
          <w:szCs w:val="24"/>
          <w:highlight w:val="none"/>
        </w:rPr>
        <w:t>投标函：是指构成合同的由承包人填写并签署的用于投标的称为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15733BA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1.1.1.5 </w:t>
      </w:r>
      <w:r>
        <w:rPr>
          <w:rFonts w:hint="eastAsia" w:ascii="宋体" w:hAnsi="宋体" w:eastAsia="宋体" w:cs="Times New Roman"/>
          <w:color w:val="auto"/>
          <w:kern w:val="0"/>
          <w:sz w:val="24"/>
          <w:szCs w:val="24"/>
          <w:highlight w:val="none"/>
        </w:rPr>
        <w:t>投标函附录：是指构成合同的附在投标函后的称为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投标函附录</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25BDF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1.1.1.6 </w:t>
      </w:r>
      <w:r>
        <w:rPr>
          <w:rFonts w:hint="eastAsia" w:ascii="宋体" w:hAnsi="宋体" w:eastAsia="宋体" w:cs="Times New Roman"/>
          <w:color w:val="auto"/>
          <w:kern w:val="0"/>
          <w:sz w:val="24"/>
          <w:szCs w:val="24"/>
          <w:highlight w:val="none"/>
        </w:rPr>
        <w:t>技术标准和要求：是指构成合同的施工应当遵守的或指导施工的国家、行业或地方的技术标准和要求，以及合同约定的技术标准和要求。</w:t>
      </w:r>
    </w:p>
    <w:p w14:paraId="00569FA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1.1.1.7 </w:t>
      </w:r>
      <w:r>
        <w:rPr>
          <w:rFonts w:hint="eastAsia" w:ascii="宋体" w:hAnsi="宋体" w:eastAsia="宋体" w:cs="Times New Roman"/>
          <w:color w:val="auto"/>
          <w:kern w:val="0"/>
          <w:sz w:val="24"/>
          <w:szCs w:val="24"/>
          <w:highlight w:val="none"/>
        </w:rPr>
        <w:t>图纸：是指构成合同的图纸，包括由发包人按照合同约定提供或经发包人批准的设计文件、施工图、鸟瞰图及模型等，以及在合同履行过程中形成的图纸文件。图纸应当按照法律规定审查合格。</w:t>
      </w:r>
    </w:p>
    <w:p w14:paraId="4C77E910">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1.1.1.8 </w:t>
      </w:r>
      <w:r>
        <w:rPr>
          <w:rFonts w:hint="eastAsia" w:ascii="宋体" w:hAnsi="宋体" w:eastAsia="宋体" w:cs="Times New Roman"/>
          <w:color w:val="auto"/>
          <w:kern w:val="0"/>
          <w:sz w:val="24"/>
          <w:szCs w:val="24"/>
          <w:highlight w:val="none"/>
        </w:rPr>
        <w:t>已标价工程量清单：是指构成合同的由承包人按照规定的格式和要求填写并标明价格的工程量清单，包括说明和表格。</w:t>
      </w:r>
    </w:p>
    <w:p w14:paraId="62258FDA">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1.1.1.9 </w:t>
      </w:r>
      <w:r>
        <w:rPr>
          <w:rFonts w:hint="eastAsia" w:ascii="宋体" w:hAnsi="宋体" w:eastAsia="宋体" w:cs="Times New Roman"/>
          <w:color w:val="auto"/>
          <w:kern w:val="0"/>
          <w:sz w:val="24"/>
          <w:szCs w:val="24"/>
          <w:highlight w:val="none"/>
        </w:rPr>
        <w:t>预算书：是指构成合同的由承包人按照发包人规定的格式和要求编制的工程预算文件。</w:t>
      </w:r>
    </w:p>
    <w:p w14:paraId="15C70E1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1.1.1.10 </w:t>
      </w:r>
      <w:r>
        <w:rPr>
          <w:rFonts w:hint="eastAsia" w:ascii="宋体" w:hAnsi="宋体" w:eastAsia="宋体" w:cs="Times New Roman"/>
          <w:color w:val="auto"/>
          <w:kern w:val="0"/>
          <w:sz w:val="24"/>
          <w:szCs w:val="24"/>
          <w:highlight w:val="none"/>
        </w:rPr>
        <w:t>其他合同文件：是指经合同当事人约定的与工程施工有关的具有合同约束力的文件或书面协议。合同当事人可以在专用合同条款中进行约定。</w:t>
      </w:r>
    </w:p>
    <w:p w14:paraId="26F2065F">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1.1.2 </w:t>
      </w:r>
      <w:r>
        <w:rPr>
          <w:rFonts w:hint="eastAsia" w:ascii="宋体" w:hAnsi="宋体" w:eastAsia="宋体" w:cs="Times New Roman"/>
          <w:color w:val="auto"/>
          <w:kern w:val="0"/>
          <w:sz w:val="24"/>
          <w:szCs w:val="24"/>
          <w:highlight w:val="none"/>
        </w:rPr>
        <w:t>合同当事人及其他相关方</w:t>
      </w:r>
    </w:p>
    <w:p w14:paraId="27483D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1.1.2.1 </w:t>
      </w:r>
      <w:r>
        <w:rPr>
          <w:rFonts w:hint="eastAsia" w:ascii="宋体" w:hAnsi="宋体" w:eastAsia="宋体" w:cs="Times New Roman"/>
          <w:color w:val="auto"/>
          <w:kern w:val="0"/>
          <w:sz w:val="24"/>
          <w:szCs w:val="24"/>
          <w:highlight w:val="none"/>
        </w:rPr>
        <w:t>合同当事人：是指发包人和（或）承包人。</w:t>
      </w:r>
    </w:p>
    <w:p w14:paraId="78014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1.1.2.2 </w:t>
      </w:r>
      <w:r>
        <w:rPr>
          <w:rFonts w:hint="eastAsia" w:ascii="宋体" w:hAnsi="宋体" w:eastAsia="宋体" w:cs="Times New Roman"/>
          <w:color w:val="auto"/>
          <w:kern w:val="0"/>
          <w:sz w:val="24"/>
          <w:szCs w:val="24"/>
          <w:highlight w:val="none"/>
        </w:rPr>
        <w:t>发包人：是指与承包人签订合同协议书的当事人及取得该当事人资格的合法继承人。</w:t>
      </w:r>
    </w:p>
    <w:p w14:paraId="1E1131C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1.1.2.3 </w:t>
      </w:r>
      <w:r>
        <w:rPr>
          <w:rFonts w:hint="eastAsia" w:ascii="宋体" w:hAnsi="宋体" w:eastAsia="宋体" w:cs="Times New Roman"/>
          <w:color w:val="auto"/>
          <w:kern w:val="0"/>
          <w:sz w:val="24"/>
          <w:szCs w:val="24"/>
          <w:highlight w:val="none"/>
        </w:rPr>
        <w:t>承包人：是指与发包人签订合同协议书的，具有相应工程施工承包资质的当事人及取得该当事人资格的合法继承人。</w:t>
      </w:r>
    </w:p>
    <w:p w14:paraId="774A723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1.1.2.4 </w:t>
      </w:r>
      <w:r>
        <w:rPr>
          <w:rFonts w:hint="eastAsia" w:ascii="宋体" w:hAnsi="宋体" w:eastAsia="宋体" w:cs="Times New Roman"/>
          <w:color w:val="auto"/>
          <w:kern w:val="0"/>
          <w:sz w:val="24"/>
          <w:szCs w:val="24"/>
          <w:highlight w:val="none"/>
        </w:rPr>
        <w:t>监理人：是指在专用合同条款中指明的，受发包人委托按照法律规定进行工程监督管理的法人或其他组织。</w:t>
      </w:r>
    </w:p>
    <w:p w14:paraId="1AC9A9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1.1.2.5 </w:t>
      </w:r>
      <w:r>
        <w:rPr>
          <w:rFonts w:hint="eastAsia" w:ascii="宋体" w:hAnsi="宋体" w:eastAsia="宋体" w:cs="Times New Roman"/>
          <w:color w:val="auto"/>
          <w:kern w:val="0"/>
          <w:sz w:val="24"/>
          <w:szCs w:val="24"/>
          <w:highlight w:val="none"/>
        </w:rPr>
        <w:t>设计人：是指在专用合同条款中指明的，受发包人委托负责工程设计并具备相应工程设计资质的法人或其他组织。</w:t>
      </w:r>
    </w:p>
    <w:p w14:paraId="3F9B771C">
      <w:pPr>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1.1.2.6 </w:t>
      </w:r>
      <w:r>
        <w:rPr>
          <w:rFonts w:hint="eastAsia" w:ascii="宋体" w:hAnsi="宋体" w:eastAsia="宋体" w:cs="Times New Roman"/>
          <w:color w:val="auto"/>
          <w:kern w:val="0"/>
          <w:sz w:val="24"/>
          <w:szCs w:val="24"/>
          <w:highlight w:val="none"/>
        </w:rPr>
        <w:t>分包人：</w:t>
      </w:r>
      <w:bookmarkStart w:id="129" w:name="#go5"/>
      <w:bookmarkEnd w:id="129"/>
      <w:r>
        <w:rPr>
          <w:rFonts w:hint="eastAsia" w:ascii="宋体" w:hAnsi="宋体" w:eastAsia="宋体" w:cs="Times New Roman"/>
          <w:color w:val="auto"/>
          <w:kern w:val="0"/>
          <w:sz w:val="24"/>
          <w:szCs w:val="24"/>
          <w:highlight w:val="none"/>
        </w:rPr>
        <w:t>是指按照法律规定和合同约定，分包部分工程或工作，并与承包人签订分包合同的具有相应资质的法人。</w:t>
      </w:r>
    </w:p>
    <w:p w14:paraId="7E75F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1.1.2.7 </w:t>
      </w:r>
      <w:r>
        <w:rPr>
          <w:rFonts w:hint="eastAsia" w:ascii="宋体" w:hAnsi="宋体" w:eastAsia="宋体" w:cs="Times New Roman"/>
          <w:color w:val="auto"/>
          <w:kern w:val="0"/>
          <w:sz w:val="24"/>
          <w:szCs w:val="24"/>
          <w:highlight w:val="none"/>
        </w:rPr>
        <w:t>发包人代表：是指由发包人任命并派驻施工现场在发包人授权范围内行使发包人权利的人。</w:t>
      </w:r>
    </w:p>
    <w:p w14:paraId="0A388D9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1.1.2.8 </w:t>
      </w:r>
      <w:r>
        <w:rPr>
          <w:rFonts w:hint="eastAsia" w:ascii="宋体" w:hAnsi="宋体" w:eastAsia="宋体" w:cs="Times New Roman"/>
          <w:color w:val="auto"/>
          <w:kern w:val="0"/>
          <w:sz w:val="24"/>
          <w:szCs w:val="24"/>
          <w:highlight w:val="none"/>
        </w:rPr>
        <w:t>项目经理：是指由承包人任命并派驻施工现场，在承包人授权范围内负责合同履行，且按照法律规定具有相应资格的项目负责人。</w:t>
      </w:r>
    </w:p>
    <w:p w14:paraId="33AD5D6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1.1.2.9 </w:t>
      </w:r>
      <w:r>
        <w:rPr>
          <w:rFonts w:hint="eastAsia" w:ascii="宋体" w:hAnsi="宋体" w:eastAsia="宋体" w:cs="Times New Roman"/>
          <w:color w:val="auto"/>
          <w:kern w:val="0"/>
          <w:sz w:val="24"/>
          <w:szCs w:val="24"/>
          <w:highlight w:val="none"/>
        </w:rPr>
        <w:t>总监理工程师：是指由监理人任命并派驻施工现场进行工程监理的总负责人。</w:t>
      </w:r>
    </w:p>
    <w:p w14:paraId="7EE5496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 </w:t>
      </w:r>
      <w:r>
        <w:rPr>
          <w:rFonts w:hint="eastAsia" w:ascii="宋体" w:hAnsi="宋体" w:eastAsia="宋体" w:cs="Times New Roman"/>
          <w:color w:val="auto"/>
          <w:kern w:val="0"/>
          <w:sz w:val="24"/>
          <w:szCs w:val="24"/>
          <w:highlight w:val="none"/>
        </w:rPr>
        <w:t>工程和设备</w:t>
      </w:r>
    </w:p>
    <w:p w14:paraId="77FA370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 </w:t>
      </w:r>
      <w:r>
        <w:rPr>
          <w:rFonts w:hint="eastAsia" w:ascii="宋体" w:hAnsi="宋体" w:eastAsia="宋体" w:cs="Times New Roman"/>
          <w:color w:val="auto"/>
          <w:kern w:val="0"/>
          <w:sz w:val="24"/>
          <w:szCs w:val="24"/>
          <w:highlight w:val="none"/>
        </w:rPr>
        <w:t>工程：是指与合同协议书中工程承包范围对应的永久工程和（或）临时工程。</w:t>
      </w:r>
    </w:p>
    <w:p w14:paraId="6B5EAB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1.1.3.2 </w:t>
      </w:r>
      <w:r>
        <w:rPr>
          <w:rFonts w:hint="eastAsia" w:ascii="宋体" w:hAnsi="宋体" w:eastAsia="宋体" w:cs="Times New Roman"/>
          <w:color w:val="auto"/>
          <w:kern w:val="0"/>
          <w:sz w:val="24"/>
          <w:szCs w:val="24"/>
          <w:highlight w:val="none"/>
        </w:rPr>
        <w:t>永久工程：是指按合同约定建造并移交给发包人的工程，包括工程设备。</w:t>
      </w:r>
    </w:p>
    <w:p w14:paraId="3E6E3C5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1.1.3.3 </w:t>
      </w:r>
      <w:r>
        <w:rPr>
          <w:rFonts w:hint="eastAsia" w:ascii="宋体" w:hAnsi="宋体" w:eastAsia="宋体" w:cs="Times New Roman"/>
          <w:color w:val="auto"/>
          <w:kern w:val="0"/>
          <w:sz w:val="24"/>
          <w:szCs w:val="24"/>
          <w:highlight w:val="none"/>
        </w:rPr>
        <w:t>临时工程：是指为完成合同约定的永久工程所修建的各类临时性工程，不包括施工设备。</w:t>
      </w:r>
    </w:p>
    <w:p w14:paraId="1F9C006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1.1.3.4 </w:t>
      </w:r>
      <w:r>
        <w:rPr>
          <w:rFonts w:hint="eastAsia" w:ascii="宋体" w:hAnsi="宋体" w:eastAsia="宋体" w:cs="Times New Roman"/>
          <w:color w:val="auto"/>
          <w:kern w:val="0"/>
          <w:sz w:val="24"/>
          <w:szCs w:val="24"/>
          <w:highlight w:val="none"/>
        </w:rPr>
        <w:t>单位工程：是指在合同协议书中指明的，具备独立施工条件并能形成独立使用功能的永久工程。</w:t>
      </w:r>
    </w:p>
    <w:p w14:paraId="4CFD4C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1.1.3.5 </w:t>
      </w:r>
      <w:r>
        <w:rPr>
          <w:rFonts w:hint="eastAsia" w:ascii="宋体" w:hAnsi="宋体" w:eastAsia="宋体" w:cs="Times New Roman"/>
          <w:color w:val="auto"/>
          <w:kern w:val="0"/>
          <w:sz w:val="24"/>
          <w:szCs w:val="24"/>
          <w:highlight w:val="none"/>
        </w:rPr>
        <w:t>工程设备：是指构成永久工程的机电设备、金属结构设备、仪器及其他类似的设备和装置。</w:t>
      </w:r>
    </w:p>
    <w:p w14:paraId="04356E9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1.1.3.6 </w:t>
      </w:r>
      <w:r>
        <w:rPr>
          <w:rFonts w:hint="eastAsia" w:ascii="宋体" w:hAnsi="宋体" w:eastAsia="宋体" w:cs="Times New Roman"/>
          <w:color w:val="auto"/>
          <w:kern w:val="0"/>
          <w:sz w:val="24"/>
          <w:szCs w:val="24"/>
          <w:highlight w:val="none"/>
        </w:rPr>
        <w:t>施工设备：是指为完成合同约定的各项工作所需的设备、器具和其他物品，但不包括工程设备、临时工程和材料。</w:t>
      </w:r>
    </w:p>
    <w:p w14:paraId="1A48026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1.1.3.7 </w:t>
      </w:r>
      <w:r>
        <w:rPr>
          <w:rFonts w:hint="eastAsia" w:ascii="宋体" w:hAnsi="宋体" w:eastAsia="宋体" w:cs="Times New Roman"/>
          <w:color w:val="auto"/>
          <w:kern w:val="0"/>
          <w:sz w:val="24"/>
          <w:szCs w:val="24"/>
          <w:highlight w:val="none"/>
        </w:rPr>
        <w:t>施工现场：是指用于工程施工的场所，以及在专用合同条款中指明作为施工场所组成部分的其他场所，包括永久占地和临时占地。</w:t>
      </w:r>
    </w:p>
    <w:p w14:paraId="73789F3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1.1.3.8</w:t>
      </w:r>
      <w:r>
        <w:rPr>
          <w:rFonts w:hint="eastAsia" w:ascii="宋体" w:hAnsi="宋体" w:eastAsia="宋体" w:cs="Times New Roman"/>
          <w:color w:val="auto"/>
          <w:kern w:val="0"/>
          <w:sz w:val="24"/>
          <w:szCs w:val="24"/>
          <w:highlight w:val="none"/>
        </w:rPr>
        <w:t>临时设施：是指为完成合同约定的各项工作所服务的临时性生产和生活设施。</w:t>
      </w:r>
    </w:p>
    <w:p w14:paraId="56573F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1.1.3.9 </w:t>
      </w:r>
      <w:r>
        <w:rPr>
          <w:rFonts w:hint="eastAsia" w:ascii="宋体" w:hAnsi="宋体" w:eastAsia="宋体" w:cs="Times New Roman"/>
          <w:color w:val="auto"/>
          <w:kern w:val="0"/>
          <w:sz w:val="24"/>
          <w:szCs w:val="24"/>
          <w:highlight w:val="none"/>
        </w:rPr>
        <w:t>永久占地：是指专用合同条款中指明为实施工程需永久占用的土地。</w:t>
      </w:r>
    </w:p>
    <w:p w14:paraId="6AF62AC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1.1.3.10 </w:t>
      </w:r>
      <w:r>
        <w:rPr>
          <w:rFonts w:hint="eastAsia" w:ascii="宋体" w:hAnsi="宋体" w:eastAsia="宋体" w:cs="Times New Roman"/>
          <w:color w:val="auto"/>
          <w:kern w:val="0"/>
          <w:sz w:val="24"/>
          <w:szCs w:val="24"/>
          <w:highlight w:val="none"/>
        </w:rPr>
        <w:t>临时占地：是指专用合同条款中指明为实施工程需要临时占用的土地。</w:t>
      </w:r>
    </w:p>
    <w:p w14:paraId="222019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 </w:t>
      </w:r>
      <w:r>
        <w:rPr>
          <w:rFonts w:hint="eastAsia" w:ascii="宋体" w:hAnsi="宋体" w:eastAsia="宋体" w:cs="Times New Roman"/>
          <w:color w:val="auto"/>
          <w:kern w:val="0"/>
          <w:sz w:val="24"/>
          <w:szCs w:val="24"/>
          <w:highlight w:val="none"/>
        </w:rPr>
        <w:t>日期和期限</w:t>
      </w:r>
    </w:p>
    <w:p w14:paraId="453F5C2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1.1.4.1 </w:t>
      </w:r>
      <w:r>
        <w:rPr>
          <w:rFonts w:hint="eastAsia" w:ascii="宋体" w:hAnsi="宋体" w:eastAsia="宋体" w:cs="Times New Roman"/>
          <w:color w:val="auto"/>
          <w:kern w:val="0"/>
          <w:sz w:val="24"/>
          <w:szCs w:val="24"/>
          <w:highlight w:val="none"/>
        </w:rPr>
        <w:t>开工日期：包括计划开工日期和实际开工日期。计划开工日期是指合同协议书约定的开工日期；实际开工日期是指监理人按照第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项〔开工通知〕约定发出的符合法律规定的开工通知中载明的开工日期。</w:t>
      </w:r>
    </w:p>
    <w:p w14:paraId="44C03A1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1.1.4.2 </w:t>
      </w:r>
      <w:r>
        <w:rPr>
          <w:rFonts w:hint="eastAsia" w:ascii="宋体" w:hAnsi="宋体" w:eastAsia="宋体" w:cs="Times New Roman"/>
          <w:color w:val="auto"/>
          <w:kern w:val="0"/>
          <w:sz w:val="24"/>
          <w:szCs w:val="24"/>
          <w:highlight w:val="none"/>
        </w:rPr>
        <w:t>竣工日期：包括计划竣工日期和实际竣工日期。计划竣工日期是指合同协议书约定的竣工日期；实际竣工日期按照第</w:t>
      </w: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项〔竣工日期〕的约定确定。</w:t>
      </w:r>
      <w:r>
        <w:rPr>
          <w:rFonts w:ascii="宋体" w:hAnsi="宋体" w:eastAsia="宋体" w:cs="Times New Roman"/>
          <w:color w:val="auto"/>
          <w:kern w:val="0"/>
          <w:sz w:val="24"/>
          <w:szCs w:val="24"/>
          <w:highlight w:val="none"/>
        </w:rPr>
        <w:t xml:space="preserve"> </w:t>
      </w:r>
    </w:p>
    <w:p w14:paraId="47EA7F1B">
      <w:pPr>
        <w:spacing w:line="360" w:lineRule="auto"/>
        <w:ind w:firstLine="487" w:firstLineChars="203"/>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1.1.4.3 </w:t>
      </w:r>
      <w:r>
        <w:rPr>
          <w:rFonts w:hint="eastAsia" w:ascii="宋体" w:hAnsi="宋体" w:eastAsia="宋体" w:cs="Times New Roman"/>
          <w:color w:val="auto"/>
          <w:kern w:val="0"/>
          <w:sz w:val="24"/>
          <w:szCs w:val="24"/>
          <w:highlight w:val="none"/>
        </w:rPr>
        <w:t>工期：是指在合同协议书约定的承包人完成工程所需的期限，包括按照合同约定所作的期限变更。</w:t>
      </w:r>
    </w:p>
    <w:p w14:paraId="28E0238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1.1.4.4 </w:t>
      </w:r>
      <w:r>
        <w:rPr>
          <w:rFonts w:hint="eastAsia" w:ascii="宋体" w:hAnsi="宋体" w:eastAsia="宋体" w:cs="Times New Roman"/>
          <w:color w:val="auto"/>
          <w:kern w:val="0"/>
          <w:sz w:val="24"/>
          <w:szCs w:val="24"/>
          <w:highlight w:val="none"/>
        </w:rPr>
        <w:t>缺陷责任期：是指承包人按照合同约定承担缺陷修复义务，且发包人预留质量保证金的期限，自工程实际竣工日期起计算。</w:t>
      </w:r>
    </w:p>
    <w:p w14:paraId="0474657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1.1.4.5 </w:t>
      </w:r>
      <w:r>
        <w:rPr>
          <w:rFonts w:hint="eastAsia" w:ascii="宋体" w:hAnsi="宋体" w:eastAsia="宋体" w:cs="Times New Roman"/>
          <w:color w:val="auto"/>
          <w:kern w:val="0"/>
          <w:sz w:val="24"/>
          <w:szCs w:val="24"/>
          <w:highlight w:val="none"/>
        </w:rPr>
        <w:t>保修期：是指承包人按照合同约定对工程承担保修责任的期限，从工程竣工验收合格之日起计算。</w:t>
      </w:r>
    </w:p>
    <w:p w14:paraId="09398A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1.1.4.6 </w:t>
      </w:r>
      <w:r>
        <w:rPr>
          <w:rFonts w:hint="eastAsia" w:ascii="宋体" w:hAnsi="宋体" w:eastAsia="宋体" w:cs="Times New Roman"/>
          <w:color w:val="auto"/>
          <w:kern w:val="0"/>
          <w:sz w:val="24"/>
          <w:szCs w:val="24"/>
          <w:highlight w:val="none"/>
        </w:rPr>
        <w:t>基准日期：招标发包的工程以投标截止日前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天的日期为基准日期，直接发包的工程以合同签订日前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w:t>
      </w:r>
    </w:p>
    <w:p w14:paraId="50F0C17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1.1.4.7 </w:t>
      </w:r>
      <w:r>
        <w:rPr>
          <w:rFonts w:hint="eastAsia" w:ascii="宋体" w:hAnsi="宋体" w:eastAsia="宋体" w:cs="Times New Roman"/>
          <w:color w:val="auto"/>
          <w:kern w:val="0"/>
          <w:sz w:val="24"/>
          <w:szCs w:val="24"/>
          <w:highlight w:val="none"/>
        </w:rPr>
        <w:t>天：除特别指明外，均指日历天。合同中按天计算时间的，开始当天不计入，从次日开始计算，期限最后一天的截止时间为当天</w:t>
      </w:r>
      <w:r>
        <w:rPr>
          <w:rFonts w:ascii="宋体" w:hAnsi="宋体" w:eastAsia="宋体" w:cs="Times New Roman"/>
          <w:color w:val="auto"/>
          <w:kern w:val="0"/>
          <w:sz w:val="24"/>
          <w:szCs w:val="24"/>
          <w:highlight w:val="none"/>
        </w:rPr>
        <w:t>24:00</w:t>
      </w:r>
      <w:r>
        <w:rPr>
          <w:rFonts w:hint="eastAsia" w:ascii="宋体" w:hAnsi="宋体" w:eastAsia="宋体" w:cs="Times New Roman"/>
          <w:color w:val="auto"/>
          <w:kern w:val="0"/>
          <w:sz w:val="24"/>
          <w:szCs w:val="24"/>
          <w:highlight w:val="none"/>
        </w:rPr>
        <w:t>时。</w:t>
      </w:r>
    </w:p>
    <w:p w14:paraId="2F3ED3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 </w:t>
      </w:r>
      <w:r>
        <w:rPr>
          <w:rFonts w:hint="eastAsia" w:ascii="宋体" w:hAnsi="宋体" w:eastAsia="宋体" w:cs="Times New Roman"/>
          <w:color w:val="auto"/>
          <w:kern w:val="0"/>
          <w:sz w:val="24"/>
          <w:szCs w:val="24"/>
          <w:highlight w:val="none"/>
        </w:rPr>
        <w:t>合同价格和费用</w:t>
      </w:r>
    </w:p>
    <w:p w14:paraId="37D2F42D">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1.1.5.1 </w:t>
      </w:r>
      <w:r>
        <w:rPr>
          <w:rFonts w:hint="eastAsia" w:ascii="宋体" w:hAnsi="宋体" w:eastAsia="宋体" w:cs="Times New Roman"/>
          <w:color w:val="auto"/>
          <w:kern w:val="0"/>
          <w:sz w:val="24"/>
          <w:szCs w:val="24"/>
          <w:highlight w:val="none"/>
        </w:rPr>
        <w:t>签约合同价：是指</w:t>
      </w:r>
      <w:r>
        <w:rPr>
          <w:rFonts w:hint="eastAsia" w:ascii="宋体" w:hAnsi="宋体" w:eastAsia="宋体" w:cs="Times New Roman"/>
          <w:color w:val="auto"/>
          <w:sz w:val="24"/>
          <w:szCs w:val="24"/>
          <w:highlight w:val="none"/>
        </w:rPr>
        <w:t>发包人和承包人在合同协议书中确定的总金额，包括安全文明施工费、暂估价及暂列金额等。</w:t>
      </w:r>
    </w:p>
    <w:p w14:paraId="6A09732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1.1.5.2 </w:t>
      </w:r>
      <w:r>
        <w:rPr>
          <w:rFonts w:hint="eastAsia" w:ascii="宋体" w:hAnsi="宋体" w:eastAsia="宋体" w:cs="Times New Roman"/>
          <w:color w:val="auto"/>
          <w:kern w:val="0"/>
          <w:sz w:val="24"/>
          <w:szCs w:val="24"/>
          <w:highlight w:val="none"/>
        </w:rPr>
        <w:t>合同价格：是指发包人用于支付承包人按照合同约定完成承包范围内全部工作的金额，包括合同履行过程中按合同约定发生的价格变化。</w:t>
      </w:r>
    </w:p>
    <w:p w14:paraId="633379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1.1.5.3 </w:t>
      </w:r>
      <w:r>
        <w:rPr>
          <w:rFonts w:hint="eastAsia" w:ascii="宋体" w:hAnsi="宋体" w:eastAsia="宋体" w:cs="Times New Roman"/>
          <w:color w:val="auto"/>
          <w:kern w:val="0"/>
          <w:sz w:val="24"/>
          <w:szCs w:val="24"/>
          <w:highlight w:val="none"/>
        </w:rPr>
        <w:t>费用：是指为履行合同所发生的或将要发生的所有必需的开支，包括管理费和应分摊的其他费用，但不包括利润。</w:t>
      </w:r>
    </w:p>
    <w:p w14:paraId="53338B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1.1.5.4 </w:t>
      </w:r>
      <w:r>
        <w:rPr>
          <w:rFonts w:hint="eastAsia" w:ascii="宋体" w:hAnsi="宋体" w:eastAsia="宋体" w:cs="Times New Roman"/>
          <w:color w:val="auto"/>
          <w:kern w:val="0"/>
          <w:sz w:val="24"/>
          <w:szCs w:val="24"/>
          <w:highlight w:val="none"/>
        </w:rPr>
        <w:t>暂估价：是指发包人在工程量清单或预算书中提供的用于支付必然发生但暂时不能确定价格的材料、工程设备的单价、专业工程以及服务工作的金额。</w:t>
      </w:r>
    </w:p>
    <w:p w14:paraId="7029D47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1.1.5.5 </w:t>
      </w:r>
      <w:r>
        <w:rPr>
          <w:rFonts w:hint="eastAsia" w:ascii="宋体" w:hAnsi="宋体" w:eastAsia="宋体" w:cs="Times New Roman"/>
          <w:color w:val="auto"/>
          <w:kern w:val="0"/>
          <w:sz w:val="24"/>
          <w:szCs w:val="24"/>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F8A600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1.1.5.6 </w:t>
      </w:r>
      <w:r>
        <w:rPr>
          <w:rFonts w:hint="eastAsia" w:ascii="宋体" w:hAnsi="宋体" w:eastAsia="宋体" w:cs="Times New Roman"/>
          <w:color w:val="auto"/>
          <w:kern w:val="0"/>
          <w:sz w:val="24"/>
          <w:szCs w:val="24"/>
          <w:highlight w:val="none"/>
        </w:rPr>
        <w:t>计日工：是指合同履行过程中，承包人完成发包人提出的零星工作或需要采用计日工计价的变更工作时，按合同中约定的单价计价的一种方式。</w:t>
      </w:r>
    </w:p>
    <w:p w14:paraId="539779A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1.1.5.7 </w:t>
      </w:r>
      <w:r>
        <w:rPr>
          <w:rFonts w:hint="eastAsia" w:ascii="宋体" w:hAnsi="宋体" w:eastAsia="宋体" w:cs="Times New Roman"/>
          <w:color w:val="auto"/>
          <w:kern w:val="0"/>
          <w:sz w:val="24"/>
          <w:szCs w:val="24"/>
          <w:highlight w:val="none"/>
        </w:rPr>
        <w:t>质量保证金</w:t>
      </w:r>
      <w:bookmarkStart w:id="130" w:name="#go2"/>
      <w:bookmarkEnd w:id="130"/>
      <w:r>
        <w:rPr>
          <w:rFonts w:hint="eastAsia" w:ascii="宋体" w:hAnsi="宋体" w:eastAsia="宋体" w:cs="Times New Roman"/>
          <w:color w:val="auto"/>
          <w:kern w:val="0"/>
          <w:sz w:val="24"/>
          <w:szCs w:val="24"/>
          <w:highlight w:val="none"/>
        </w:rPr>
        <w:t>：是指按照第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款〔质量保证金〕约定承包人用于保证其在缺陷责任期内履行缺陷修补义务的担保</w:t>
      </w:r>
      <w:r>
        <w:rPr>
          <w:rFonts w:hint="eastAsia" w:ascii="宋体" w:hAnsi="宋体" w:eastAsia="宋体" w:cs="Times New Roman"/>
          <w:color w:val="auto"/>
          <w:sz w:val="24"/>
          <w:szCs w:val="24"/>
          <w:highlight w:val="none"/>
        </w:rPr>
        <w:t>。</w:t>
      </w:r>
    </w:p>
    <w:p w14:paraId="5F7EA34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1.1.5.8 </w:t>
      </w:r>
      <w:r>
        <w:rPr>
          <w:rFonts w:hint="eastAsia" w:ascii="宋体" w:hAnsi="宋体" w:eastAsia="宋体" w:cs="Times New Roman"/>
          <w:color w:val="auto"/>
          <w:kern w:val="0"/>
          <w:sz w:val="24"/>
          <w:szCs w:val="24"/>
          <w:highlight w:val="none"/>
        </w:rPr>
        <w:t>总价项目：是指在现行国家、行业以及地方的计量规则中无工程量计算规则，在已标价工程量清单或预算书中以总价或以费率形式计算的项目。</w:t>
      </w:r>
    </w:p>
    <w:p w14:paraId="2ECBE0C6">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 </w:t>
      </w:r>
      <w:r>
        <w:rPr>
          <w:rFonts w:hint="eastAsia" w:ascii="宋体" w:hAnsi="宋体" w:eastAsia="宋体" w:cs="Times New Roman"/>
          <w:color w:val="auto"/>
          <w:sz w:val="24"/>
          <w:szCs w:val="24"/>
          <w:highlight w:val="none"/>
        </w:rPr>
        <w:t>其他</w:t>
      </w:r>
    </w:p>
    <w:p w14:paraId="0043AE7A">
      <w:pPr>
        <w:spacing w:line="360" w:lineRule="auto"/>
        <w:ind w:firstLine="480" w:firstLineChars="200"/>
        <w:jc w:val="left"/>
        <w:outlineLvl w:val="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1.1.6.1 </w:t>
      </w:r>
      <w:r>
        <w:rPr>
          <w:rFonts w:hint="eastAsia" w:ascii="宋体" w:hAnsi="宋体" w:eastAsia="宋体" w:cs="Times New Roman"/>
          <w:color w:val="auto"/>
          <w:sz w:val="24"/>
          <w:szCs w:val="24"/>
          <w:highlight w:val="none"/>
        </w:rPr>
        <w:t>书面形式：是指合同文件、信函、电报、传真等可以有形地表现所载内容的形式。</w:t>
      </w:r>
    </w:p>
    <w:p w14:paraId="0220F41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1" w:name="_Toc296346530"/>
      <w:bookmarkStart w:id="132" w:name="_Toc351203497"/>
      <w:bookmarkStart w:id="133" w:name="_Toc296503029"/>
      <w:bookmarkStart w:id="134" w:name="_Toc337558729"/>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语言文字</w:t>
      </w:r>
      <w:bookmarkEnd w:id="131"/>
      <w:bookmarkEnd w:id="132"/>
      <w:bookmarkEnd w:id="133"/>
      <w:bookmarkEnd w:id="134"/>
    </w:p>
    <w:p w14:paraId="0EFD9C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合同以中国的汉语简体文字编写、解释和说明。合同当事人在专用合同条款中约定使用两种以上语言时，汉语为优先解释和说明合同的语言。</w:t>
      </w:r>
    </w:p>
    <w:p w14:paraId="46620A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5" w:name="_Toc337558730"/>
      <w:bookmarkStart w:id="136" w:name="_Toc351203498"/>
      <w:bookmarkStart w:id="137" w:name="_Toc296503030"/>
      <w:bookmarkStart w:id="138" w:name="_Toc296346531"/>
      <w:r>
        <w:rPr>
          <w:rFonts w:ascii="Times New Roman" w:hAnsi="Times New Roman" w:eastAsia="Ђˎ̥" w:cs="Times New Roman"/>
          <w:color w:val="auto"/>
          <w:kern w:val="0"/>
          <w:sz w:val="24"/>
          <w:szCs w:val="24"/>
          <w:highlight w:val="none"/>
          <w:lang w:val="en-US" w:eastAsia="zh-CN" w:bidi="ar-SA"/>
        </w:rPr>
        <w:t>1.3</w:t>
      </w:r>
      <w:r>
        <w:rPr>
          <w:rFonts w:hint="eastAsia" w:ascii="Times New Roman" w:hAnsi="Times New Roman" w:eastAsia="Ђˎ̥" w:cs="宋体"/>
          <w:color w:val="auto"/>
          <w:kern w:val="0"/>
          <w:sz w:val="24"/>
          <w:szCs w:val="24"/>
          <w:highlight w:val="none"/>
          <w:lang w:val="en-US" w:eastAsia="zh-CN" w:bidi="ar-SA"/>
        </w:rPr>
        <w:t>法律</w:t>
      </w:r>
      <w:bookmarkEnd w:id="135"/>
      <w:bookmarkEnd w:id="136"/>
      <w:bookmarkEnd w:id="137"/>
      <w:bookmarkEnd w:id="138"/>
    </w:p>
    <w:p w14:paraId="4D7B3C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合同所称法律是指中华人民共和国法律、行政法规、部门规章，以及工程所在地的地方性法规、自治条例、单行条例和地方政府规章等。</w:t>
      </w:r>
    </w:p>
    <w:p w14:paraId="747D28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合同当事人可以在专用合同条款中约定合同适用的其他规范性文件。</w:t>
      </w:r>
    </w:p>
    <w:p w14:paraId="3E23FF3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9" w:name="_Toc351203499"/>
      <w:r>
        <w:rPr>
          <w:rFonts w:ascii="Times New Roman" w:hAnsi="Times New Roman" w:eastAsia="Ђˎ̥" w:cs="Times New Roman"/>
          <w:color w:val="auto"/>
          <w:kern w:val="0"/>
          <w:sz w:val="24"/>
          <w:szCs w:val="24"/>
          <w:highlight w:val="none"/>
          <w:lang w:val="en-US" w:eastAsia="zh-CN" w:bidi="ar-SA"/>
        </w:rPr>
        <w:t xml:space="preserve">1.4 </w:t>
      </w:r>
      <w:r>
        <w:rPr>
          <w:rFonts w:hint="eastAsia" w:ascii="Times New Roman" w:hAnsi="Times New Roman" w:eastAsia="Ђˎ̥" w:cs="宋体"/>
          <w:color w:val="auto"/>
          <w:kern w:val="0"/>
          <w:sz w:val="24"/>
          <w:szCs w:val="24"/>
          <w:highlight w:val="none"/>
          <w:lang w:val="en-US" w:eastAsia="zh-CN" w:bidi="ar-SA"/>
        </w:rPr>
        <w:t>标准和规范</w:t>
      </w:r>
      <w:bookmarkEnd w:id="139"/>
    </w:p>
    <w:p w14:paraId="2497945B">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1.4.1 </w:t>
      </w:r>
      <w:r>
        <w:rPr>
          <w:rFonts w:hint="eastAsia" w:ascii="宋体" w:hAnsi="宋体" w:eastAsia="宋体" w:cs="Times New Roman"/>
          <w:color w:val="auto"/>
          <w:kern w:val="0"/>
          <w:sz w:val="24"/>
          <w:szCs w:val="24"/>
          <w:highlight w:val="none"/>
        </w:rPr>
        <w:t>适用于工程的国家标准、行业标准、工程所在地的地方性标准，以及相应的规范、规程等，合同当事人有特别要求的，应在专用合同条款中约定。</w:t>
      </w:r>
    </w:p>
    <w:p w14:paraId="53E25BED">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1.4.2 </w:t>
      </w:r>
      <w:r>
        <w:rPr>
          <w:rFonts w:hint="eastAsia" w:ascii="宋体" w:hAnsi="宋体" w:eastAsia="宋体" w:cs="Times New Roman"/>
          <w:color w:val="auto"/>
          <w:kern w:val="0"/>
          <w:sz w:val="24"/>
          <w:szCs w:val="24"/>
          <w:highlight w:val="none"/>
        </w:rPr>
        <w:t>发包人要求使用国外标准、规范的，发包人负责提供原文版本和中文译本，并在专用合同条款中约定提供标准规范的名称、份数和时间。</w:t>
      </w:r>
    </w:p>
    <w:p w14:paraId="2AC810E4">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1.4.3 </w:t>
      </w:r>
      <w:r>
        <w:rPr>
          <w:rFonts w:hint="eastAsia" w:ascii="宋体" w:hAnsi="宋体" w:eastAsia="宋体" w:cs="Times New Roman"/>
          <w:color w:val="auto"/>
          <w:kern w:val="0"/>
          <w:sz w:val="24"/>
          <w:szCs w:val="24"/>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E185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0" w:name="_Toc351203500"/>
      <w:r>
        <w:rPr>
          <w:rFonts w:ascii="Times New Roman" w:hAnsi="Times New Roman" w:eastAsia="Ђˎ̥" w:cs="Times New Roman"/>
          <w:color w:val="auto"/>
          <w:kern w:val="0"/>
          <w:sz w:val="24"/>
          <w:szCs w:val="24"/>
          <w:highlight w:val="none"/>
          <w:lang w:val="en-US" w:eastAsia="zh-CN" w:bidi="ar-SA"/>
        </w:rPr>
        <w:t>1</w:t>
      </w:r>
      <w:bookmarkStart w:id="141" w:name="_Toc296346532"/>
      <w:bookmarkStart w:id="142" w:name="_Toc337558731"/>
      <w:bookmarkStart w:id="143" w:name="_Toc296503031"/>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合同文件的优先顺序</w:t>
      </w:r>
      <w:bookmarkEnd w:id="140"/>
    </w:p>
    <w:bookmarkEnd w:id="141"/>
    <w:bookmarkEnd w:id="142"/>
    <w:bookmarkEnd w:id="143"/>
    <w:p w14:paraId="4518F0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组成合同的各项文件应互相解释，互为说明。除专用合同条款另有约定外，解释合同文件的优先顺序如下：</w:t>
      </w:r>
    </w:p>
    <w:p w14:paraId="074E65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）合同协议书；</w:t>
      </w:r>
    </w:p>
    <w:p w14:paraId="58AD68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）中标通知书（如果有）；</w:t>
      </w:r>
    </w:p>
    <w:p w14:paraId="497A17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）投标函及其附录（如果有）；</w:t>
      </w:r>
    </w:p>
    <w:p w14:paraId="2CB8F2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w:t>
      </w:r>
    </w:p>
    <w:p w14:paraId="34B59F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）通用合同条款；</w:t>
      </w:r>
    </w:p>
    <w:p w14:paraId="03A80A1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BA041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627BC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7228EF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1A9F87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（10）《建设工程工程量清单计价规范（GB5050-2013）》及其广西实施细则及</w:t>
      </w:r>
      <w:r>
        <w:rPr>
          <w:rFonts w:hint="eastAsia" w:ascii="宋体" w:hAnsi="宋体" w:eastAsia="宋体" w:cs="宋体"/>
          <w:color w:val="auto"/>
          <w:sz w:val="24"/>
          <w:szCs w:val="24"/>
          <w:highlight w:val="none"/>
        </w:rPr>
        <w:t>《广西壮族自治区建设关于调整除税价计算适用增值税税率的通知》(桂造价[2019]10号</w:t>
      </w:r>
      <w:r>
        <w:rPr>
          <w:rFonts w:hint="eastAsia" w:ascii="宋体" w:hAnsi="宋体" w:eastAsia="宋体" w:cs="Times New Roman"/>
          <w:color w:val="auto"/>
          <w:sz w:val="24"/>
          <w:szCs w:val="24"/>
          <w:highlight w:val="none"/>
        </w:rPr>
        <w:t>、《建设工程工程量清单计算规范（GB5854~50862-2013）》及其广西实施细则（修订本）。</w:t>
      </w:r>
    </w:p>
    <w:p w14:paraId="528636D3">
      <w:pPr>
        <w:widowControl/>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说明：（6）、（7）、（8）、（9）填空内容分别限于技术标准和要求、图纸、已标价工程量清单或预算书、其他合同文件四者之一，其优先顺序可根据采取的不同合同方式由双方约定。</w:t>
      </w:r>
    </w:p>
    <w:p w14:paraId="1E115041">
      <w:pPr>
        <w:spacing w:line="360" w:lineRule="auto"/>
        <w:ind w:firstLine="511" w:firstLineChars="213"/>
        <w:rPr>
          <w:rFonts w:ascii="宋体" w:hAnsi="宋体" w:eastAsia="宋体" w:cs="Times New Roman"/>
          <w:color w:val="auto"/>
          <w:sz w:val="24"/>
          <w:szCs w:val="24"/>
          <w:highlight w:val="none"/>
        </w:rPr>
      </w:pPr>
    </w:p>
    <w:p w14:paraId="364B2DC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4" w:name="_Toc351203501"/>
      <w:r>
        <w:rPr>
          <w:rFonts w:ascii="Times New Roman" w:hAnsi="Times New Roman" w:eastAsia="Ђˎ̥" w:cs="Times New Roman"/>
          <w:color w:val="auto"/>
          <w:kern w:val="0"/>
          <w:sz w:val="24"/>
          <w:szCs w:val="24"/>
          <w:highlight w:val="none"/>
          <w:lang w:val="en-US" w:eastAsia="zh-CN" w:bidi="ar-SA"/>
        </w:rPr>
        <w:t>1</w:t>
      </w:r>
      <w:bookmarkStart w:id="145" w:name="_Toc296346533"/>
      <w:bookmarkStart w:id="146" w:name="_Toc296503032"/>
      <w:bookmarkStart w:id="147" w:name="_Toc337558732"/>
      <w:r>
        <w:rPr>
          <w:rFonts w:ascii="Times New Roman" w:hAnsi="Times New Roman" w:eastAsia="Ђˎ̥" w:cs="Times New Roman"/>
          <w:color w:val="auto"/>
          <w:kern w:val="0"/>
          <w:sz w:val="24"/>
          <w:szCs w:val="24"/>
          <w:highlight w:val="none"/>
          <w:lang w:val="en-US" w:eastAsia="zh-CN" w:bidi="ar-SA"/>
        </w:rPr>
        <w:t>.6</w:t>
      </w:r>
      <w:r>
        <w:rPr>
          <w:rFonts w:hint="eastAsia" w:ascii="Times New Roman" w:hAnsi="Times New Roman" w:eastAsia="Ђˎ̥" w:cs="Times New Roman"/>
          <w:color w:val="auto"/>
          <w:kern w:val="0"/>
          <w:sz w:val="24"/>
          <w:szCs w:val="24"/>
          <w:highlight w:val="none"/>
          <w:lang w:val="en-US" w:eastAsia="zh-CN" w:bidi="ar-SA"/>
        </w:rPr>
        <w:t>图纸和承包人文件</w:t>
      </w:r>
      <w:bookmarkEnd w:id="144"/>
    </w:p>
    <w:bookmarkEnd w:id="145"/>
    <w:bookmarkEnd w:id="146"/>
    <w:bookmarkEnd w:id="147"/>
    <w:p w14:paraId="1D28CC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 </w:t>
      </w:r>
      <w:r>
        <w:rPr>
          <w:rFonts w:hint="eastAsia" w:ascii="宋体" w:hAnsi="宋体" w:eastAsia="宋体" w:cs="Times New Roman"/>
          <w:color w:val="auto"/>
          <w:kern w:val="0"/>
          <w:sz w:val="24"/>
          <w:szCs w:val="24"/>
          <w:highlight w:val="none"/>
        </w:rPr>
        <w:t>图纸的提供和交底</w:t>
      </w:r>
    </w:p>
    <w:p w14:paraId="71ACF0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发包人应按照专用合同条款约定的期限、数量和内容向承包人免费提供图纸，并组织承包人、监理人和设计人进行图纸会审和设计交底。发包人至迟不得晚于第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天向承包人提供图纸。</w:t>
      </w:r>
    </w:p>
    <w:p w14:paraId="6849579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因发包人未按合同约定提供图纸导致承包人费用增加和（或）工期延误的，按照第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3EDD5D0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 </w:t>
      </w:r>
      <w:r>
        <w:rPr>
          <w:rFonts w:hint="eastAsia" w:ascii="宋体" w:hAnsi="宋体" w:eastAsia="宋体" w:cs="Times New Roman"/>
          <w:color w:val="auto"/>
          <w:kern w:val="0"/>
          <w:sz w:val="24"/>
          <w:szCs w:val="24"/>
          <w:highlight w:val="none"/>
        </w:rPr>
        <w:t>图纸的错误</w:t>
      </w:r>
    </w:p>
    <w:p w14:paraId="6591C2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7C6B2B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1.6.3 </w:t>
      </w:r>
      <w:r>
        <w:rPr>
          <w:rFonts w:hint="eastAsia" w:ascii="宋体" w:hAnsi="宋体" w:eastAsia="宋体" w:cs="Times New Roman"/>
          <w:color w:val="auto"/>
          <w:kern w:val="0"/>
          <w:sz w:val="24"/>
          <w:szCs w:val="24"/>
          <w:highlight w:val="none"/>
        </w:rPr>
        <w:t>图纸的修改和补充</w:t>
      </w:r>
    </w:p>
    <w:p w14:paraId="13B5FF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010EF7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1.6.4 </w:t>
      </w:r>
      <w:r>
        <w:rPr>
          <w:rFonts w:hint="eastAsia" w:ascii="宋体" w:hAnsi="宋体" w:eastAsia="宋体" w:cs="Times New Roman"/>
          <w:color w:val="auto"/>
          <w:kern w:val="0"/>
          <w:sz w:val="24"/>
          <w:szCs w:val="24"/>
          <w:highlight w:val="none"/>
        </w:rPr>
        <w:t>承包人文件</w:t>
      </w:r>
    </w:p>
    <w:p w14:paraId="40652E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14:paraId="657D8BA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天内审查完毕，监理人对承包人文件有异议的，承包人应予以修改，并重新报送监理人。监理人的审查并不减轻或免除承包人根据合同约定应当承担的责任。</w:t>
      </w:r>
    </w:p>
    <w:p w14:paraId="11FF91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1.6.5 </w:t>
      </w:r>
      <w:r>
        <w:rPr>
          <w:rFonts w:hint="eastAsia" w:ascii="宋体" w:hAnsi="宋体" w:eastAsia="宋体" w:cs="Times New Roman"/>
          <w:color w:val="auto"/>
          <w:kern w:val="0"/>
          <w:sz w:val="24"/>
          <w:szCs w:val="24"/>
          <w:highlight w:val="none"/>
        </w:rPr>
        <w:t>图纸和承包人文件的保管</w:t>
      </w:r>
    </w:p>
    <w:p w14:paraId="6059F7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除专用合同条款另有约定外，承包人应在施工现场另外保存一套完整的图纸和承包人文件，供发包人、监理人及有关人员进行工程检查时使用。</w:t>
      </w:r>
    </w:p>
    <w:p w14:paraId="04483B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8" w:name="_Toc351203502"/>
      <w:r>
        <w:rPr>
          <w:rFonts w:ascii="Times New Roman" w:hAnsi="Times New Roman" w:eastAsia="Ђˎ̥" w:cs="Times New Roman"/>
          <w:color w:val="auto"/>
          <w:kern w:val="0"/>
          <w:sz w:val="24"/>
          <w:szCs w:val="24"/>
          <w:highlight w:val="none"/>
          <w:lang w:val="en-US" w:eastAsia="zh-CN" w:bidi="ar-SA"/>
        </w:rPr>
        <w:t>1</w:t>
      </w:r>
      <w:bookmarkStart w:id="149" w:name="_Toc296346534"/>
      <w:bookmarkStart w:id="150" w:name="_Toc296503033"/>
      <w:bookmarkStart w:id="151" w:name="_Toc337558733"/>
      <w:r>
        <w:rPr>
          <w:rFonts w:ascii="Times New Roman" w:hAnsi="Times New Roman" w:eastAsia="Ђˎ̥" w:cs="Times New Roman"/>
          <w:color w:val="auto"/>
          <w:kern w:val="0"/>
          <w:sz w:val="24"/>
          <w:szCs w:val="24"/>
          <w:highlight w:val="none"/>
          <w:lang w:val="en-US" w:eastAsia="zh-CN" w:bidi="ar-SA"/>
        </w:rPr>
        <w:t>.7</w:t>
      </w:r>
      <w:r>
        <w:rPr>
          <w:rFonts w:hint="eastAsia" w:ascii="Times New Roman" w:hAnsi="Times New Roman" w:eastAsia="Ђˎ̥" w:cs="宋体"/>
          <w:color w:val="auto"/>
          <w:kern w:val="0"/>
          <w:sz w:val="24"/>
          <w:szCs w:val="24"/>
          <w:highlight w:val="none"/>
          <w:lang w:val="en-US" w:eastAsia="zh-CN" w:bidi="ar-SA"/>
        </w:rPr>
        <w:t>联络</w:t>
      </w:r>
      <w:bookmarkEnd w:id="148"/>
    </w:p>
    <w:bookmarkEnd w:id="149"/>
    <w:bookmarkEnd w:id="150"/>
    <w:bookmarkEnd w:id="151"/>
    <w:p w14:paraId="010A8A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1.7.1 </w:t>
      </w:r>
      <w:r>
        <w:rPr>
          <w:rFonts w:hint="eastAsia" w:ascii="宋体" w:hAnsi="宋体" w:eastAsia="宋体" w:cs="Times New Roman"/>
          <w:color w:val="auto"/>
          <w:kern w:val="0"/>
          <w:sz w:val="24"/>
          <w:szCs w:val="24"/>
          <w:highlight w:val="none"/>
        </w:rPr>
        <w:t>与合同有关的通知、批准、证明、证书、指示、指令、要求、请求、同意、意见、确定和决定等，均应采用书面形式，并应在合同约定的期限内送达接收人和送达地点。</w:t>
      </w:r>
    </w:p>
    <w:p w14:paraId="011182D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1.7.2 </w:t>
      </w:r>
      <w:r>
        <w:rPr>
          <w:rFonts w:hint="eastAsia" w:ascii="宋体" w:hAnsi="宋体" w:eastAsia="宋体" w:cs="Times New Roman"/>
          <w:color w:val="auto"/>
          <w:kern w:val="0"/>
          <w:sz w:val="24"/>
          <w:szCs w:val="24"/>
          <w:highlight w:val="none"/>
        </w:rPr>
        <w:t>发包人和承包人应在专用合同条款中约定各自的送达接收人和送达地点。任何一方合同当事人指定的接收人或送达地点发生变动的，应提前</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天以书面形式通知对方。</w:t>
      </w:r>
    </w:p>
    <w:p w14:paraId="4EB008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 </w:t>
      </w:r>
      <w:r>
        <w:rPr>
          <w:rFonts w:hint="eastAsia" w:ascii="宋体" w:hAnsi="宋体" w:eastAsia="宋体" w:cs="Times New Roman"/>
          <w:color w:val="auto"/>
          <w:kern w:val="0"/>
          <w:sz w:val="24"/>
          <w:szCs w:val="24"/>
          <w:highlight w:val="none"/>
        </w:rPr>
        <w:t>发包人和承包人应当及时签收另一方送达至送达地点和指定接收人的来往信函。拒不签收的，由此增加的费用和（或）延误的工期由拒绝接收一方承担。</w:t>
      </w:r>
    </w:p>
    <w:p w14:paraId="643F9A1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2" w:name="_Toc351203503"/>
      <w:r>
        <w:rPr>
          <w:rFonts w:ascii="Times New Roman" w:hAnsi="Times New Roman" w:eastAsia="Ђˎ̥" w:cs="Times New Roman"/>
          <w:color w:val="auto"/>
          <w:kern w:val="0"/>
          <w:sz w:val="24"/>
          <w:szCs w:val="24"/>
          <w:highlight w:val="none"/>
          <w:lang w:val="en-US" w:eastAsia="zh-CN" w:bidi="ar-SA"/>
        </w:rPr>
        <w:t>1</w:t>
      </w:r>
      <w:bookmarkStart w:id="153" w:name="_Toc296346536"/>
      <w:bookmarkStart w:id="154" w:name="_Toc337558734"/>
      <w:bookmarkStart w:id="155" w:name="_Toc296503035"/>
      <w:r>
        <w:rPr>
          <w:rFonts w:ascii="Times New Roman" w:hAnsi="Times New Roman" w:eastAsia="Ђˎ̥" w:cs="Times New Roman"/>
          <w:color w:val="auto"/>
          <w:kern w:val="0"/>
          <w:sz w:val="24"/>
          <w:szCs w:val="24"/>
          <w:highlight w:val="none"/>
          <w:lang w:val="en-US" w:eastAsia="zh-CN" w:bidi="ar-SA"/>
        </w:rPr>
        <w:t>.8</w:t>
      </w:r>
      <w:r>
        <w:rPr>
          <w:rFonts w:hint="eastAsia" w:ascii="Times New Roman" w:hAnsi="Times New Roman" w:eastAsia="Ђˎ̥" w:cs="宋体"/>
          <w:color w:val="auto"/>
          <w:kern w:val="0"/>
          <w:sz w:val="24"/>
          <w:szCs w:val="24"/>
          <w:highlight w:val="none"/>
          <w:lang w:val="en-US" w:eastAsia="zh-CN" w:bidi="ar-SA"/>
        </w:rPr>
        <w:t>严禁贿赂</w:t>
      </w:r>
      <w:bookmarkEnd w:id="152"/>
    </w:p>
    <w:bookmarkEnd w:id="153"/>
    <w:bookmarkEnd w:id="154"/>
    <w:bookmarkEnd w:id="155"/>
    <w:p w14:paraId="24ED3E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14:paraId="2E8BAC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50C19D8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6" w:name="_Toc351203504"/>
      <w:r>
        <w:rPr>
          <w:rFonts w:ascii="Times New Roman" w:hAnsi="Times New Roman" w:eastAsia="Ђˎ̥" w:cs="Times New Roman"/>
          <w:color w:val="auto"/>
          <w:kern w:val="0"/>
          <w:sz w:val="24"/>
          <w:szCs w:val="24"/>
          <w:highlight w:val="none"/>
          <w:lang w:val="en-US" w:eastAsia="zh-CN" w:bidi="ar-SA"/>
        </w:rPr>
        <w:t>1</w:t>
      </w:r>
      <w:bookmarkStart w:id="157" w:name="_Toc296346537"/>
      <w:bookmarkStart w:id="158" w:name="_Toc337558735"/>
      <w:bookmarkStart w:id="159" w:name="_Toc296503036"/>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化石、文物</w:t>
      </w:r>
      <w:bookmarkEnd w:id="156"/>
    </w:p>
    <w:bookmarkEnd w:id="157"/>
    <w:bookmarkEnd w:id="158"/>
    <w:bookmarkEnd w:id="159"/>
    <w:p w14:paraId="47E1487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476D9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发包人、监理人和承包人应按有关政府行政管理部门要求采取妥善的保护措施，由此增加的费用和（或）延误的工期由发包人承担。</w:t>
      </w:r>
    </w:p>
    <w:p w14:paraId="64C2CE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承包人发现文物后不及时报告或隐瞒不报，致使文物丢失或损坏的，应赔偿损失，并承担相应的法律责任。</w:t>
      </w:r>
    </w:p>
    <w:p w14:paraId="1AE71A1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0" w:name="_Toc351203505"/>
      <w:r>
        <w:rPr>
          <w:rFonts w:ascii="Times New Roman" w:hAnsi="Times New Roman" w:eastAsia="Ђˎ̥" w:cs="Times New Roman"/>
          <w:color w:val="auto"/>
          <w:kern w:val="0"/>
          <w:sz w:val="24"/>
          <w:szCs w:val="24"/>
          <w:highlight w:val="none"/>
          <w:lang w:val="en-US" w:eastAsia="zh-CN" w:bidi="ar-SA"/>
        </w:rPr>
        <w:t>1</w:t>
      </w:r>
      <w:bookmarkStart w:id="161" w:name="_Toc337558736"/>
      <w:r>
        <w:rPr>
          <w:rFonts w:ascii="Times New Roman" w:hAnsi="Times New Roman" w:eastAsia="Ђˎ̥" w:cs="Times New Roman"/>
          <w:color w:val="auto"/>
          <w:kern w:val="0"/>
          <w:sz w:val="24"/>
          <w:szCs w:val="24"/>
          <w:highlight w:val="none"/>
          <w:lang w:val="en-US" w:eastAsia="zh-CN" w:bidi="ar-SA"/>
        </w:rPr>
        <w:t>.10</w:t>
      </w:r>
      <w:r>
        <w:rPr>
          <w:rFonts w:hint="eastAsia" w:ascii="Times New Roman" w:hAnsi="Times New Roman" w:eastAsia="Ђˎ̥" w:cs="宋体"/>
          <w:color w:val="auto"/>
          <w:kern w:val="0"/>
          <w:sz w:val="24"/>
          <w:szCs w:val="24"/>
          <w:highlight w:val="none"/>
          <w:lang w:val="en-US" w:eastAsia="zh-CN" w:bidi="ar-SA"/>
        </w:rPr>
        <w:t>交通运输</w:t>
      </w:r>
      <w:bookmarkEnd w:id="160"/>
    </w:p>
    <w:bookmarkEnd w:id="161"/>
    <w:p w14:paraId="27C909DB">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1.10.1 </w:t>
      </w:r>
      <w:r>
        <w:rPr>
          <w:rFonts w:hint="eastAsia" w:ascii="宋体" w:hAnsi="宋体" w:eastAsia="宋体" w:cs="Times New Roman"/>
          <w:color w:val="auto"/>
          <w:kern w:val="0"/>
          <w:sz w:val="24"/>
          <w:szCs w:val="24"/>
          <w:highlight w:val="none"/>
        </w:rPr>
        <w:t>出入现场的权利</w:t>
      </w:r>
    </w:p>
    <w:p w14:paraId="38033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3BBA2EE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74F1C9F">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1.10.2 </w:t>
      </w:r>
      <w:r>
        <w:rPr>
          <w:rFonts w:hint="eastAsia" w:ascii="宋体" w:hAnsi="宋体" w:eastAsia="宋体" w:cs="Times New Roman"/>
          <w:color w:val="auto"/>
          <w:kern w:val="0"/>
          <w:sz w:val="24"/>
          <w:szCs w:val="24"/>
          <w:highlight w:val="none"/>
        </w:rPr>
        <w:t>场外交通</w:t>
      </w:r>
    </w:p>
    <w:p w14:paraId="0B8220F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781032CC">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1.10.3</w:t>
      </w:r>
      <w:r>
        <w:rPr>
          <w:rFonts w:hint="eastAsia" w:ascii="宋体" w:hAnsi="宋体" w:eastAsia="宋体" w:cs="Times New Roman"/>
          <w:color w:val="auto"/>
          <w:kern w:val="0"/>
          <w:sz w:val="24"/>
          <w:szCs w:val="24"/>
          <w:highlight w:val="none"/>
        </w:rPr>
        <w:t>场内交通</w:t>
      </w:r>
    </w:p>
    <w:p w14:paraId="6D64D97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C8F5B9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CBE21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场外交通和场内交通的边界由合同当事人在专用合同条款中约定。</w:t>
      </w:r>
    </w:p>
    <w:p w14:paraId="1C398F74">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1.10.4 </w:t>
      </w:r>
      <w:r>
        <w:rPr>
          <w:rFonts w:hint="eastAsia" w:ascii="宋体" w:hAnsi="宋体" w:eastAsia="宋体" w:cs="Times New Roman"/>
          <w:color w:val="auto"/>
          <w:kern w:val="0"/>
          <w:sz w:val="24"/>
          <w:szCs w:val="24"/>
          <w:highlight w:val="none"/>
        </w:rPr>
        <w:t>超大件和超重件的运输</w:t>
      </w:r>
    </w:p>
    <w:p w14:paraId="2E2923C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065BD7A">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1.10.5 </w:t>
      </w:r>
      <w:r>
        <w:rPr>
          <w:rFonts w:hint="eastAsia" w:ascii="宋体" w:hAnsi="宋体" w:eastAsia="宋体" w:cs="Times New Roman"/>
          <w:color w:val="auto"/>
          <w:kern w:val="0"/>
          <w:sz w:val="24"/>
          <w:szCs w:val="24"/>
          <w:highlight w:val="none"/>
        </w:rPr>
        <w:t>道路和桥梁的损坏责任</w:t>
      </w:r>
    </w:p>
    <w:p w14:paraId="2C2E916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因承包人运输造成施工场地内外公共道路和桥梁损坏的，由承包人承担修复损坏的全部费用和可能引起的赔偿。</w:t>
      </w:r>
    </w:p>
    <w:p w14:paraId="0DFEFF45">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1.10.6 </w:t>
      </w:r>
      <w:r>
        <w:rPr>
          <w:rFonts w:hint="eastAsia" w:ascii="宋体" w:hAnsi="宋体" w:eastAsia="宋体" w:cs="Times New Roman"/>
          <w:color w:val="auto"/>
          <w:kern w:val="0"/>
          <w:sz w:val="24"/>
          <w:szCs w:val="24"/>
          <w:highlight w:val="none"/>
        </w:rPr>
        <w:t>水路和航空运输</w:t>
      </w:r>
    </w:p>
    <w:p w14:paraId="33621DB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本款前述各项的内容适用于水路运输和航空运输，其中</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道路</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一词的涵义包括河道、航线、船闸、机场、码头、堤防以及水路或航空运输中其他相似结构物；</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车辆</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一词的涵义包括船舶和飞机等。</w:t>
      </w:r>
    </w:p>
    <w:p w14:paraId="0D3235F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2" w:name="_Toc351203506"/>
      <w:r>
        <w:rPr>
          <w:rFonts w:ascii="Times New Roman" w:hAnsi="Times New Roman" w:eastAsia="Ђˎ̥" w:cs="Times New Roman"/>
          <w:color w:val="auto"/>
          <w:kern w:val="0"/>
          <w:sz w:val="24"/>
          <w:szCs w:val="24"/>
          <w:highlight w:val="none"/>
          <w:lang w:val="en-US" w:eastAsia="zh-CN" w:bidi="ar-SA"/>
        </w:rPr>
        <w:t>1</w:t>
      </w:r>
      <w:bookmarkStart w:id="163" w:name="_Toc337558737"/>
      <w:bookmarkStart w:id="164" w:name="_Toc296503037"/>
      <w:bookmarkStart w:id="165" w:name="_Toc296346538"/>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宋体"/>
          <w:color w:val="auto"/>
          <w:kern w:val="0"/>
          <w:sz w:val="24"/>
          <w:szCs w:val="24"/>
          <w:highlight w:val="none"/>
          <w:lang w:val="en-US" w:eastAsia="zh-CN" w:bidi="ar-SA"/>
        </w:rPr>
        <w:t>知识产权</w:t>
      </w:r>
      <w:bookmarkEnd w:id="162"/>
      <w:r>
        <w:rPr>
          <w:rFonts w:ascii="Times New Roman" w:hAnsi="Times New Roman" w:eastAsia="Ђˎ̥" w:cs="Times New Roman"/>
          <w:color w:val="auto"/>
          <w:kern w:val="0"/>
          <w:sz w:val="24"/>
          <w:szCs w:val="24"/>
          <w:highlight w:val="none"/>
          <w:lang w:val="en-US" w:eastAsia="zh-CN" w:bidi="ar-SA"/>
        </w:rPr>
        <w:t xml:space="preserve"> </w:t>
      </w:r>
      <w:bookmarkEnd w:id="163"/>
    </w:p>
    <w:bookmarkEnd w:id="164"/>
    <w:bookmarkEnd w:id="165"/>
    <w:p w14:paraId="52E91D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47D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7EFC0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D343294">
      <w:pPr>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    </w:t>
      </w:r>
      <w:r>
        <w:rPr>
          <w:rFonts w:ascii="宋体" w:hAnsi="宋体" w:eastAsia="宋体" w:cs="Times New Roman"/>
          <w:color w:val="auto"/>
          <w:sz w:val="24"/>
          <w:szCs w:val="24"/>
          <w:highlight w:val="none"/>
        </w:rPr>
        <w:t xml:space="preserve">1.11.4 </w:t>
      </w:r>
      <w:r>
        <w:rPr>
          <w:rFonts w:hint="eastAsia" w:ascii="宋体" w:hAnsi="宋体" w:eastAsia="宋体" w:cs="Times New Roman"/>
          <w:color w:val="auto"/>
          <w:sz w:val="24"/>
          <w:szCs w:val="24"/>
          <w:highlight w:val="none"/>
        </w:rPr>
        <w:t>除专用合同条款另有约定外，承包人在合同签订前和签订时已确定采用的专利、专有技术、技术秘密的使用费已包含在签约合同价中。</w:t>
      </w:r>
    </w:p>
    <w:p w14:paraId="51D1AE9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6" w:name="_Toc351203507"/>
      <w:r>
        <w:rPr>
          <w:rFonts w:ascii="Times New Roman" w:hAnsi="Times New Roman" w:eastAsia="Ђˎ̥" w:cs="Times New Roman"/>
          <w:color w:val="auto"/>
          <w:kern w:val="0"/>
          <w:sz w:val="24"/>
          <w:szCs w:val="24"/>
          <w:highlight w:val="none"/>
          <w:lang w:val="en-US" w:eastAsia="zh-CN" w:bidi="ar-SA"/>
        </w:rPr>
        <w:t>1</w:t>
      </w:r>
      <w:bookmarkStart w:id="167" w:name="_Toc337558738"/>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保密</w:t>
      </w:r>
      <w:bookmarkEnd w:id="166"/>
    </w:p>
    <w:bookmarkEnd w:id="167"/>
    <w:p w14:paraId="73D4C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除法律规定或合同另有约定外，未经发包人同意，承包人不得将发包人提供的图纸、文件以及声明需要保密的资料信息等商业秘密泄露给第三方。</w:t>
      </w:r>
    </w:p>
    <w:p w14:paraId="5C4B91E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除法律规定或合同另有约定外，未经承包人同意，发包人不得将承包人提供的技术秘密及声明需要保密的资料信息等商业秘密泄露给第三方。</w:t>
      </w:r>
    </w:p>
    <w:p w14:paraId="72EBDE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8" w:name="_Toc351203508"/>
      <w:r>
        <w:rPr>
          <w:rFonts w:ascii="Times New Roman" w:hAnsi="Times New Roman" w:eastAsia="Ђˎ̥" w:cs="Times New Roman"/>
          <w:color w:val="auto"/>
          <w:kern w:val="0"/>
          <w:sz w:val="24"/>
          <w:szCs w:val="24"/>
          <w:highlight w:val="none"/>
          <w:lang w:val="en-US" w:eastAsia="zh-CN" w:bidi="ar-SA"/>
        </w:rPr>
        <w:t>1.13</w:t>
      </w:r>
      <w:r>
        <w:rPr>
          <w:rFonts w:hint="eastAsia" w:ascii="Times New Roman" w:hAnsi="Times New Roman" w:eastAsia="Ђˎ̥" w:cs="Times New Roman"/>
          <w:color w:val="auto"/>
          <w:kern w:val="0"/>
          <w:sz w:val="24"/>
          <w:szCs w:val="24"/>
          <w:highlight w:val="none"/>
          <w:lang w:val="en-US" w:eastAsia="zh-CN" w:bidi="ar-SA"/>
        </w:rPr>
        <w:t>工程量清单错误的修正</w:t>
      </w:r>
      <w:bookmarkEnd w:id="168"/>
    </w:p>
    <w:p w14:paraId="463B77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除专用合同条款另有约定外，发包人提供的工程量清单，应被认为是准确的和完整的。出现下列情形之一时，发包人应予以修正，并相应调整合同价格：</w:t>
      </w:r>
    </w:p>
    <w:p w14:paraId="660F22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）工程量清单存在缺项、漏项的；</w:t>
      </w:r>
    </w:p>
    <w:p w14:paraId="7F0785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）工程量清单偏差超出专用合同条款约定的工程量偏差范围的；</w:t>
      </w:r>
    </w:p>
    <w:p w14:paraId="17F1E0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）未按照国家现行计量规范强制性规定计量的。</w:t>
      </w:r>
    </w:p>
    <w:p w14:paraId="656F81E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69" w:name="_Toc17965071"/>
      <w:bookmarkStart w:id="170" w:name="_Toc351203509"/>
      <w:r>
        <w:rPr>
          <w:rFonts w:ascii="Times New Roman" w:hAnsi="Times New Roman" w:eastAsia="黑体" w:cs="Times New Roman"/>
          <w:b/>
          <w:bCs/>
          <w:color w:val="auto"/>
          <w:kern w:val="2"/>
          <w:sz w:val="24"/>
          <w:szCs w:val="24"/>
          <w:highlight w:val="none"/>
          <w:lang w:val="en-US" w:eastAsia="zh-CN" w:bidi="ar-SA"/>
        </w:rPr>
        <w:t>2</w:t>
      </w:r>
      <w:bookmarkStart w:id="171" w:name="_Toc337558739"/>
      <w:bookmarkStart w:id="172" w:name="_Toc296503038"/>
      <w:bookmarkStart w:id="173" w:name="_Toc296346539"/>
      <w:bookmarkStart w:id="174" w:name="OLE_LINK2"/>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发包人</w:t>
      </w:r>
      <w:bookmarkEnd w:id="169"/>
      <w:bookmarkEnd w:id="170"/>
    </w:p>
    <w:bookmarkEnd w:id="171"/>
    <w:bookmarkEnd w:id="172"/>
    <w:bookmarkEnd w:id="173"/>
    <w:p w14:paraId="4592221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5" w:name="_Toc351203510"/>
      <w:r>
        <w:rPr>
          <w:rFonts w:ascii="Times New Roman" w:hAnsi="Times New Roman" w:eastAsia="Ђˎ̥" w:cs="Times New Roman"/>
          <w:color w:val="auto"/>
          <w:kern w:val="0"/>
          <w:sz w:val="24"/>
          <w:szCs w:val="24"/>
          <w:highlight w:val="none"/>
          <w:lang w:val="en-US" w:eastAsia="zh-CN" w:bidi="ar-SA"/>
        </w:rPr>
        <w:t>2</w:t>
      </w:r>
      <w:bookmarkStart w:id="176" w:name="_Toc296346540"/>
      <w:bookmarkStart w:id="177" w:name="_Toc337558740"/>
      <w:bookmarkStart w:id="178" w:name="_Toc296503039"/>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宋体"/>
          <w:color w:val="auto"/>
          <w:kern w:val="0"/>
          <w:sz w:val="24"/>
          <w:szCs w:val="24"/>
          <w:highlight w:val="none"/>
          <w:lang w:val="en-US" w:eastAsia="zh-CN" w:bidi="ar-SA"/>
        </w:rPr>
        <w:t>许可或批准</w:t>
      </w:r>
      <w:bookmarkEnd w:id="175"/>
    </w:p>
    <w:p w14:paraId="26CDB1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075D9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因发包人原因未能及时办理完毕前述许可、批准或备案，由发包人承担由此增加的费用和（或）延误的工期，并支付承包人合理的利润。</w:t>
      </w:r>
    </w:p>
    <w:p w14:paraId="651FF01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9" w:name="_Toc351203511"/>
      <w:r>
        <w:rPr>
          <w:rFonts w:ascii="Times New Roman" w:hAnsi="Times New Roman" w:eastAsia="Ђˎ̥" w:cs="Times New Roman"/>
          <w:color w:val="auto"/>
          <w:kern w:val="0"/>
          <w:sz w:val="24"/>
          <w:szCs w:val="24"/>
          <w:highlight w:val="none"/>
          <w:lang w:val="en-US" w:eastAsia="zh-CN" w:bidi="ar-SA"/>
        </w:rPr>
        <w:t xml:space="preserve">2.2 </w:t>
      </w:r>
      <w:r>
        <w:rPr>
          <w:rFonts w:hint="eastAsia" w:ascii="Times New Roman" w:hAnsi="Times New Roman" w:eastAsia="Ђˎ̥" w:cs="宋体"/>
          <w:color w:val="auto"/>
          <w:kern w:val="0"/>
          <w:sz w:val="24"/>
          <w:szCs w:val="24"/>
          <w:highlight w:val="none"/>
          <w:lang w:val="en-US" w:eastAsia="zh-CN" w:bidi="ar-SA"/>
        </w:rPr>
        <w:t>发包人代表</w:t>
      </w:r>
      <w:bookmarkEnd w:id="179"/>
    </w:p>
    <w:p w14:paraId="0CEFCA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w:t>
      </w:r>
    </w:p>
    <w:p w14:paraId="037EE464">
      <w:pPr>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发包人代表不能按照合同约定履行其职责及义务，并导致合同无法继续正常履行的，承包人可以要求发包人撤换发包人代表。</w:t>
      </w:r>
    </w:p>
    <w:p w14:paraId="548C196D">
      <w:pPr>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不属于法定必须监理的工程，监理人的职权可以由发包人代表或发包人指定的其他人员行使。</w:t>
      </w:r>
    </w:p>
    <w:p w14:paraId="7E5597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0" w:name="_Toc351203512"/>
      <w:r>
        <w:rPr>
          <w:rFonts w:ascii="Times New Roman" w:hAnsi="Times New Roman" w:eastAsia="Ђˎ̥" w:cs="Times New Roman"/>
          <w:color w:val="auto"/>
          <w:kern w:val="0"/>
          <w:sz w:val="24"/>
          <w:szCs w:val="24"/>
          <w:highlight w:val="none"/>
          <w:lang w:val="en-US" w:eastAsia="zh-CN" w:bidi="ar-SA"/>
        </w:rPr>
        <w:t xml:space="preserve">2.3 </w:t>
      </w:r>
      <w:r>
        <w:rPr>
          <w:rFonts w:hint="eastAsia" w:ascii="Times New Roman" w:hAnsi="Times New Roman" w:eastAsia="Ђˎ̥" w:cs="宋体"/>
          <w:color w:val="auto"/>
          <w:kern w:val="0"/>
          <w:sz w:val="24"/>
          <w:szCs w:val="24"/>
          <w:highlight w:val="none"/>
          <w:lang w:val="en-US" w:eastAsia="zh-CN" w:bidi="ar-SA"/>
        </w:rPr>
        <w:t>发包人人员</w:t>
      </w:r>
      <w:bookmarkEnd w:id="180"/>
    </w:p>
    <w:p w14:paraId="46D1D9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14:paraId="162EF8BB">
      <w:pPr>
        <w:spacing w:line="360" w:lineRule="auto"/>
        <w:ind w:firstLine="64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发包人人员包括发包人代表及其他由发包人派驻施工现场的人员。</w:t>
      </w:r>
      <w:bookmarkEnd w:id="176"/>
      <w:bookmarkEnd w:id="177"/>
      <w:bookmarkEnd w:id="178"/>
    </w:p>
    <w:p w14:paraId="5A8A1C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1" w:name="_Toc351203513"/>
      <w:r>
        <w:rPr>
          <w:rFonts w:ascii="Times New Roman" w:hAnsi="Times New Roman" w:eastAsia="Ђˎ̥" w:cs="Times New Roman"/>
          <w:color w:val="auto"/>
          <w:kern w:val="0"/>
          <w:sz w:val="24"/>
          <w:szCs w:val="24"/>
          <w:highlight w:val="none"/>
          <w:lang w:val="en-US" w:eastAsia="zh-CN" w:bidi="ar-SA"/>
        </w:rPr>
        <w:t>2</w:t>
      </w:r>
      <w:bookmarkStart w:id="182" w:name="_Toc296346541"/>
      <w:bookmarkStart w:id="183" w:name="_Toc337558741"/>
      <w:bookmarkStart w:id="184" w:name="_Toc296503040"/>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施工现场、施工条件和基础资料的提供</w:t>
      </w:r>
      <w:bookmarkEnd w:id="181"/>
      <w:r>
        <w:rPr>
          <w:rFonts w:ascii="Times New Roman" w:hAnsi="Times New Roman" w:eastAsia="Ђˎ̥" w:cs="Times New Roman"/>
          <w:color w:val="auto"/>
          <w:kern w:val="0"/>
          <w:sz w:val="24"/>
          <w:szCs w:val="24"/>
          <w:highlight w:val="none"/>
          <w:lang w:val="en-US" w:eastAsia="zh-CN" w:bidi="ar-SA"/>
        </w:rPr>
        <w:t xml:space="preserve"> </w:t>
      </w:r>
      <w:bookmarkEnd w:id="182"/>
      <w:bookmarkEnd w:id="183"/>
      <w:bookmarkEnd w:id="184"/>
      <w:r>
        <w:rPr>
          <w:rFonts w:ascii="Times New Roman" w:hAnsi="Times New Roman" w:eastAsia="Ђˎ̥" w:cs="Times New Roman"/>
          <w:color w:val="auto"/>
          <w:kern w:val="0"/>
          <w:sz w:val="24"/>
          <w:szCs w:val="24"/>
          <w:highlight w:val="none"/>
          <w:lang w:val="en-US" w:eastAsia="zh-CN" w:bidi="ar-SA"/>
        </w:rPr>
        <w:t xml:space="preserve"> </w:t>
      </w:r>
    </w:p>
    <w:p w14:paraId="70277D1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2.4.1 </w:t>
      </w:r>
      <w:r>
        <w:rPr>
          <w:rFonts w:hint="eastAsia" w:ascii="宋体" w:hAnsi="宋体" w:eastAsia="宋体" w:cs="Times New Roman"/>
          <w:color w:val="auto"/>
          <w:kern w:val="0"/>
          <w:sz w:val="24"/>
          <w:szCs w:val="24"/>
          <w:highlight w:val="none"/>
        </w:rPr>
        <w:t>提供施工现场</w:t>
      </w:r>
    </w:p>
    <w:p w14:paraId="64F01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w:t>
      </w:r>
      <w:bookmarkEnd w:id="174"/>
      <w:r>
        <w:rPr>
          <w:rFonts w:hint="eastAsia" w:ascii="宋体" w:hAnsi="宋体" w:eastAsia="宋体" w:cs="Times New Roman"/>
          <w:color w:val="auto"/>
          <w:kern w:val="0"/>
          <w:sz w:val="24"/>
          <w:szCs w:val="24"/>
          <w:highlight w:val="none"/>
        </w:rPr>
        <w:t>专用合同条款另有约定外，发包人应最迟于开工日期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天前向承包人移交施工现场。</w:t>
      </w:r>
    </w:p>
    <w:p w14:paraId="25FFC7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2.4.2 </w:t>
      </w:r>
      <w:r>
        <w:rPr>
          <w:rFonts w:hint="eastAsia" w:ascii="宋体" w:hAnsi="宋体" w:eastAsia="宋体" w:cs="Times New Roman"/>
          <w:color w:val="auto"/>
          <w:kern w:val="0"/>
          <w:sz w:val="24"/>
          <w:szCs w:val="24"/>
          <w:highlight w:val="none"/>
        </w:rPr>
        <w:t>提供施工条件</w:t>
      </w:r>
    </w:p>
    <w:p w14:paraId="20537C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除专用合同条款另有约定外，发包人应负责提供施工所需要的条件，包括：</w:t>
      </w:r>
    </w:p>
    <w:p w14:paraId="6F93BCB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）将施工用水、电力、通讯线路等施工所必需的条件接至施工现场内；</w:t>
      </w:r>
    </w:p>
    <w:p w14:paraId="4C62BA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）保证向承包人提供正常施工所需要的进入施工现场的交通条件；</w:t>
      </w:r>
    </w:p>
    <w:p w14:paraId="6FBB99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）协调处理施工现场周围地下管线和邻近建筑物、构筑物、古树名木的保护工作，并承担相关费用；</w:t>
      </w:r>
    </w:p>
    <w:p w14:paraId="1B46F3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）按照专用合同条款约定应提供的其他设施和条件。</w:t>
      </w:r>
    </w:p>
    <w:p w14:paraId="7F84CF6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2.4.3 </w:t>
      </w:r>
      <w:r>
        <w:rPr>
          <w:rFonts w:hint="eastAsia" w:ascii="宋体" w:hAnsi="宋体" w:eastAsia="宋体" w:cs="Times New Roman"/>
          <w:color w:val="auto"/>
          <w:kern w:val="0"/>
          <w:sz w:val="24"/>
          <w:szCs w:val="24"/>
          <w:highlight w:val="none"/>
        </w:rPr>
        <w:t>提供基础资料</w:t>
      </w:r>
    </w:p>
    <w:p w14:paraId="05651E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4CCC5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按照法律规定确需在开工后方能提供的基础资料，发包人应尽其努力及时地在相应工程施工前的合理期限内提供，合理期限应以不影响承包人的正常施工为限。</w:t>
      </w:r>
    </w:p>
    <w:p w14:paraId="3D26092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2.4.4 </w:t>
      </w:r>
      <w:r>
        <w:rPr>
          <w:rFonts w:hint="eastAsia" w:ascii="宋体" w:hAnsi="宋体" w:eastAsia="宋体" w:cs="Times New Roman"/>
          <w:color w:val="auto"/>
          <w:kern w:val="0"/>
          <w:sz w:val="24"/>
          <w:szCs w:val="24"/>
          <w:highlight w:val="none"/>
        </w:rPr>
        <w:t>逾期提供的责任</w:t>
      </w:r>
    </w:p>
    <w:p w14:paraId="55F48E2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因发包人原因未能按合同约定及时向承包人提供施工现场、施工条件、基础资料的，由发包人承担由此增加的费用和（或）延误的工期。</w:t>
      </w:r>
    </w:p>
    <w:p w14:paraId="14F6415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5" w:name="_Toc351203514"/>
      <w:r>
        <w:rPr>
          <w:rFonts w:ascii="Times New Roman" w:hAnsi="Times New Roman" w:eastAsia="Ђˎ̥" w:cs="Times New Roman"/>
          <w:color w:val="auto"/>
          <w:kern w:val="0"/>
          <w:sz w:val="24"/>
          <w:szCs w:val="24"/>
          <w:highlight w:val="none"/>
          <w:lang w:val="en-US" w:eastAsia="zh-CN" w:bidi="ar-SA"/>
        </w:rPr>
        <w:t>2</w:t>
      </w:r>
      <w:bookmarkStart w:id="186" w:name="_Toc296346543"/>
      <w:bookmarkStart w:id="187" w:name="_Toc337558745"/>
      <w:bookmarkStart w:id="188" w:name="_Toc296503042"/>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资</w:t>
      </w:r>
      <w:bookmarkEnd w:id="186"/>
      <w:bookmarkEnd w:id="187"/>
      <w:bookmarkEnd w:id="188"/>
      <w:r>
        <w:rPr>
          <w:rFonts w:hint="eastAsia" w:ascii="Times New Roman" w:hAnsi="Times New Roman" w:eastAsia="Ђˎ̥" w:cs="Times New Roman"/>
          <w:color w:val="auto"/>
          <w:kern w:val="0"/>
          <w:sz w:val="24"/>
          <w:szCs w:val="24"/>
          <w:highlight w:val="none"/>
          <w:lang w:val="en-US" w:eastAsia="zh-CN" w:bidi="ar-SA"/>
        </w:rPr>
        <w:t>金来源证明及支付担保</w:t>
      </w:r>
      <w:bookmarkEnd w:id="185"/>
    </w:p>
    <w:p w14:paraId="4286E5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除专用合同条款另有约定外，发包人应在收到承包人要求提供资金来源证明的书面通知后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天内，向承包人提供能够按照合同约定支付合同价款的相应资金来源证明。</w:t>
      </w:r>
    </w:p>
    <w:p w14:paraId="1C88BF1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183A676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9" w:name="_Toc351203515"/>
      <w:r>
        <w:rPr>
          <w:rFonts w:ascii="Times New Roman" w:hAnsi="Times New Roman" w:eastAsia="Ђˎ̥" w:cs="Times New Roman"/>
          <w:color w:val="auto"/>
          <w:kern w:val="0"/>
          <w:sz w:val="24"/>
          <w:szCs w:val="24"/>
          <w:highlight w:val="none"/>
          <w:lang w:val="en-US" w:eastAsia="zh-CN" w:bidi="ar-SA"/>
        </w:rPr>
        <w:t xml:space="preserve">2.6 </w:t>
      </w:r>
      <w:r>
        <w:rPr>
          <w:rFonts w:hint="eastAsia" w:ascii="Times New Roman" w:hAnsi="Times New Roman" w:eastAsia="Ђˎ̥" w:cs="Times New Roman"/>
          <w:color w:val="auto"/>
          <w:kern w:val="0"/>
          <w:sz w:val="24"/>
          <w:szCs w:val="24"/>
          <w:highlight w:val="none"/>
          <w:lang w:val="en-US" w:eastAsia="zh-CN" w:bidi="ar-SA"/>
        </w:rPr>
        <w:t>支付合同价款</w:t>
      </w:r>
      <w:bookmarkEnd w:id="189"/>
    </w:p>
    <w:p w14:paraId="13265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发包人应按合同约定向承包人及时支付合同价款。</w:t>
      </w:r>
    </w:p>
    <w:p w14:paraId="3BB6C56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0" w:name="_Toc351203516"/>
      <w:r>
        <w:rPr>
          <w:rFonts w:ascii="Times New Roman" w:hAnsi="Times New Roman" w:eastAsia="Ђˎ̥" w:cs="Times New Roman"/>
          <w:color w:val="auto"/>
          <w:kern w:val="0"/>
          <w:sz w:val="24"/>
          <w:szCs w:val="24"/>
          <w:highlight w:val="none"/>
          <w:lang w:val="en-US" w:eastAsia="zh-CN" w:bidi="ar-SA"/>
        </w:rPr>
        <w:t xml:space="preserve">2.7 </w:t>
      </w:r>
      <w:r>
        <w:rPr>
          <w:rFonts w:hint="eastAsia" w:ascii="Times New Roman" w:hAnsi="Times New Roman" w:eastAsia="Ђˎ̥" w:cs="Times New Roman"/>
          <w:color w:val="auto"/>
          <w:kern w:val="0"/>
          <w:sz w:val="24"/>
          <w:szCs w:val="24"/>
          <w:highlight w:val="none"/>
          <w:lang w:val="en-US" w:eastAsia="zh-CN" w:bidi="ar-SA"/>
        </w:rPr>
        <w:t>组织竣工验收</w:t>
      </w:r>
      <w:bookmarkEnd w:id="190"/>
    </w:p>
    <w:p w14:paraId="261025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发包人应按合同约定及时组织竣工验收。</w:t>
      </w:r>
    </w:p>
    <w:p w14:paraId="1263A86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1" w:name="_Toc351203517"/>
      <w:r>
        <w:rPr>
          <w:rFonts w:ascii="Times New Roman" w:hAnsi="Times New Roman" w:eastAsia="Ђˎ̥" w:cs="Times New Roman"/>
          <w:color w:val="auto"/>
          <w:kern w:val="0"/>
          <w:sz w:val="24"/>
          <w:szCs w:val="24"/>
          <w:highlight w:val="none"/>
          <w:lang w:val="en-US" w:eastAsia="zh-CN" w:bidi="ar-SA"/>
        </w:rPr>
        <w:t xml:space="preserve">2.8 </w:t>
      </w:r>
      <w:r>
        <w:rPr>
          <w:rFonts w:hint="eastAsia" w:ascii="Times New Roman" w:hAnsi="Times New Roman" w:eastAsia="Ђˎ̥" w:cs="Times New Roman"/>
          <w:color w:val="auto"/>
          <w:kern w:val="0"/>
          <w:sz w:val="24"/>
          <w:szCs w:val="24"/>
          <w:highlight w:val="none"/>
          <w:lang w:val="en-US" w:eastAsia="zh-CN" w:bidi="ar-SA"/>
        </w:rPr>
        <w:t>现场统一管理协议</w:t>
      </w:r>
      <w:bookmarkEnd w:id="191"/>
    </w:p>
    <w:p w14:paraId="5A33340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发包人应与承包人、由发包人直接发包的专业工程的承包人签订施工现场统一管理协议，明确各方的权利义务。施工现场统一管理协议作为专用合同条款的附件。</w:t>
      </w:r>
    </w:p>
    <w:p w14:paraId="5FEBEF1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92" w:name="_Toc351203518"/>
      <w:bookmarkStart w:id="193" w:name="_Toc17965072"/>
      <w:r>
        <w:rPr>
          <w:rFonts w:ascii="Times New Roman" w:hAnsi="Times New Roman" w:eastAsia="黑体" w:cs="Times New Roman"/>
          <w:b/>
          <w:bCs/>
          <w:color w:val="auto"/>
          <w:kern w:val="2"/>
          <w:sz w:val="24"/>
          <w:szCs w:val="24"/>
          <w:highlight w:val="none"/>
          <w:lang w:val="en-US" w:eastAsia="zh-CN" w:bidi="ar-SA"/>
        </w:rPr>
        <w:t>3</w:t>
      </w:r>
      <w:bookmarkStart w:id="194" w:name="_Toc296346546"/>
      <w:bookmarkStart w:id="195" w:name="_Toc296503045"/>
      <w:bookmarkStart w:id="196" w:name="_Toc3375587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承包人</w:t>
      </w:r>
      <w:bookmarkEnd w:id="192"/>
      <w:bookmarkEnd w:id="193"/>
    </w:p>
    <w:bookmarkEnd w:id="194"/>
    <w:bookmarkEnd w:id="195"/>
    <w:bookmarkEnd w:id="196"/>
    <w:p w14:paraId="69B26A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7" w:name="_Toc351203519"/>
      <w:r>
        <w:rPr>
          <w:rFonts w:ascii="Times New Roman" w:hAnsi="Times New Roman" w:eastAsia="Ђˎ̥" w:cs="Times New Roman"/>
          <w:color w:val="auto"/>
          <w:kern w:val="0"/>
          <w:sz w:val="24"/>
          <w:szCs w:val="24"/>
          <w:highlight w:val="none"/>
          <w:lang w:val="en-US" w:eastAsia="zh-CN" w:bidi="ar-SA"/>
        </w:rPr>
        <w:t>3</w:t>
      </w:r>
      <w:bookmarkStart w:id="198" w:name="_Toc296503046"/>
      <w:bookmarkStart w:id="199" w:name="_Toc296346547"/>
      <w:bookmarkStart w:id="200" w:name="_Toc337558747"/>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Times New Roman"/>
          <w:color w:val="auto"/>
          <w:kern w:val="0"/>
          <w:sz w:val="24"/>
          <w:szCs w:val="24"/>
          <w:highlight w:val="none"/>
          <w:lang w:val="en-US" w:eastAsia="zh-CN" w:bidi="ar-SA"/>
        </w:rPr>
        <w:t>承包人的一般义务</w:t>
      </w:r>
      <w:bookmarkEnd w:id="197"/>
    </w:p>
    <w:bookmarkEnd w:id="198"/>
    <w:bookmarkEnd w:id="199"/>
    <w:bookmarkEnd w:id="200"/>
    <w:p w14:paraId="0B18E5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承包人在履行合同过程中应遵守法律和工程建设标准规范，并履行以下义务：</w:t>
      </w:r>
    </w:p>
    <w:p w14:paraId="0E292111">
      <w:pPr>
        <w:numPr>
          <w:ilvl w:val="0"/>
          <w:numId w:val="6"/>
        </w:num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办理法律规定应由承包人办理的许可和批准，并将办理结果书面报送发包人留存；</w:t>
      </w:r>
    </w:p>
    <w:p w14:paraId="2CF3F0A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）按法律规定和合同约定完成工程，并在保修期内承担保修义务；</w:t>
      </w:r>
    </w:p>
    <w:p w14:paraId="4F867B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）按法律规定和合同约定采取施工安全和环境保护措施，办理工伤保险，确保工程及人员、材料、设备和设施的安全；</w:t>
      </w:r>
    </w:p>
    <w:p w14:paraId="3CC6D0D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）按合同约定的工作内容和施工进度要求，编制施工组织设计和施工措施计划，并对所有施工作业和施工方法的完备性和安全可靠性负责；</w:t>
      </w:r>
    </w:p>
    <w:p w14:paraId="658819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70236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）按照第</w:t>
      </w:r>
      <w:r>
        <w:rPr>
          <w:rFonts w:ascii="宋体" w:hAnsi="宋体" w:eastAsia="宋体" w:cs="Times New Roman"/>
          <w:color w:val="auto"/>
          <w:kern w:val="0"/>
          <w:sz w:val="24"/>
          <w:szCs w:val="24"/>
          <w:highlight w:val="none"/>
        </w:rPr>
        <w:t>6.3</w:t>
      </w:r>
      <w:r>
        <w:rPr>
          <w:rFonts w:hint="eastAsia" w:ascii="宋体" w:hAnsi="宋体" w:eastAsia="宋体" w:cs="Times New Roman"/>
          <w:color w:val="auto"/>
          <w:kern w:val="0"/>
          <w:sz w:val="24"/>
          <w:szCs w:val="24"/>
          <w:highlight w:val="none"/>
        </w:rPr>
        <w:t>款〔环境保护〕约定负责施工场地及其周边环境与生态的保护工作；</w:t>
      </w:r>
    </w:p>
    <w:p w14:paraId="5A0E45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）按第</w:t>
      </w:r>
      <w:r>
        <w:rPr>
          <w:rFonts w:ascii="宋体" w:hAnsi="宋体" w:eastAsia="宋体" w:cs="Times New Roman"/>
          <w:color w:val="auto"/>
          <w:kern w:val="0"/>
          <w:sz w:val="24"/>
          <w:szCs w:val="24"/>
          <w:highlight w:val="none"/>
        </w:rPr>
        <w:t>6.1</w:t>
      </w:r>
      <w:r>
        <w:rPr>
          <w:rFonts w:hint="eastAsia" w:ascii="宋体" w:hAnsi="宋体" w:eastAsia="宋体" w:cs="Times New Roman"/>
          <w:color w:val="auto"/>
          <w:kern w:val="0"/>
          <w:sz w:val="24"/>
          <w:szCs w:val="24"/>
          <w:highlight w:val="none"/>
        </w:rPr>
        <w:t>款〔安全文明施工〕约定采取施工安全措施，确保工程及其人员、材料、设备和设施的安全，防止因工程施工造成的人身伤害和财产损失；</w:t>
      </w:r>
    </w:p>
    <w:p w14:paraId="608F8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）将发包人按合同约定支付的各项价款专用于合同工程，且应及时支付其雇用人员工资，并及时向分包人支付合同价款；</w:t>
      </w:r>
    </w:p>
    <w:p w14:paraId="2A523C8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）按照法律规定和合同约定编制竣工资料，完成竣工资料立卷及归档，并按专用合同条款约定的竣工资料的套数、内容、时间等要求移交发包人；</w:t>
      </w:r>
    </w:p>
    <w:p w14:paraId="7F124AA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）应履行的其他义务。</w:t>
      </w:r>
    </w:p>
    <w:p w14:paraId="113DE4C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1" w:name="_Toc351203520"/>
      <w:r>
        <w:rPr>
          <w:rFonts w:ascii="Times New Roman" w:hAnsi="Times New Roman" w:eastAsia="Ђˎ̥" w:cs="Times New Roman"/>
          <w:color w:val="auto"/>
          <w:kern w:val="0"/>
          <w:sz w:val="24"/>
          <w:szCs w:val="24"/>
          <w:highlight w:val="none"/>
          <w:lang w:val="en-US" w:eastAsia="zh-CN" w:bidi="ar-SA"/>
        </w:rPr>
        <w:t>3</w:t>
      </w:r>
      <w:bookmarkStart w:id="202" w:name="_Toc296503047"/>
      <w:bookmarkStart w:id="203" w:name="_Toc296346548"/>
      <w:bookmarkStart w:id="204" w:name="_Toc337558748"/>
      <w:r>
        <w:rPr>
          <w:rFonts w:ascii="Times New Roman" w:hAnsi="Times New Roman" w:eastAsia="Ђˎ̥" w:cs="Times New Roman"/>
          <w:color w:val="auto"/>
          <w:kern w:val="0"/>
          <w:sz w:val="24"/>
          <w:szCs w:val="24"/>
          <w:highlight w:val="none"/>
          <w:lang w:val="en-US" w:eastAsia="zh-CN" w:bidi="ar-SA"/>
        </w:rPr>
        <w:t xml:space="preserve">.2 </w:t>
      </w:r>
      <w:bookmarkEnd w:id="201"/>
      <w:r>
        <w:rPr>
          <w:rFonts w:hint="eastAsia" w:ascii="Times New Roman" w:hAnsi="Times New Roman" w:eastAsia="Ђˎ̥" w:cs="宋体"/>
          <w:color w:val="auto"/>
          <w:kern w:val="0"/>
          <w:sz w:val="24"/>
          <w:szCs w:val="24"/>
          <w:highlight w:val="none"/>
          <w:lang w:val="en-US" w:eastAsia="zh-CN" w:bidi="ar-SA"/>
        </w:rPr>
        <w:t>项目经理</w:t>
      </w:r>
    </w:p>
    <w:bookmarkEnd w:id="202"/>
    <w:bookmarkEnd w:id="203"/>
    <w:bookmarkEnd w:id="204"/>
    <w:p w14:paraId="089B5D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3.2.1 </w:t>
      </w:r>
      <w:r>
        <w:rPr>
          <w:rFonts w:hint="eastAsia" w:ascii="宋体" w:hAnsi="宋体" w:eastAsia="宋体" w:cs="Times New Roman"/>
          <w:color w:val="auto"/>
          <w:kern w:val="0"/>
          <w:sz w:val="24"/>
          <w:szCs w:val="24"/>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358F2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F42156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承包人违反上述约定的，应按照专用合同条款的约定，承担违约责任。</w:t>
      </w:r>
    </w:p>
    <w:p w14:paraId="6A22897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3.2.2 </w:t>
      </w:r>
      <w:r>
        <w:rPr>
          <w:rFonts w:hint="eastAsia" w:ascii="宋体" w:hAnsi="宋体" w:eastAsia="宋体" w:cs="Times New Roman"/>
          <w:color w:val="auto"/>
          <w:kern w:val="0"/>
          <w:sz w:val="24"/>
          <w:szCs w:val="24"/>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小时内向发包人代表和总监理工程师提交书面报告。</w:t>
      </w:r>
    </w:p>
    <w:p w14:paraId="0586BF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3.2.3 </w:t>
      </w:r>
      <w:r>
        <w:rPr>
          <w:rFonts w:hint="eastAsia" w:ascii="宋体" w:hAnsi="宋体" w:eastAsia="宋体" w:cs="Times New Roman"/>
          <w:color w:val="auto"/>
          <w:kern w:val="0"/>
          <w:sz w:val="24"/>
          <w:szCs w:val="24"/>
          <w:highlight w:val="none"/>
        </w:rPr>
        <w:t>承包人需要更换项目经理的，应提前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天书面通知发包人和监理人，并征得发包人书面同意。通知中应当载明继任项目经理的注册执业资格、管理经验等资料，继任项目经理继续履行第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项约定的职责。未经发包人书面同意，承包人不得擅自更换项目经理。承包人擅自更换项目经理的，应按照专用合同条款的约定承担违约责任。</w:t>
      </w:r>
    </w:p>
    <w:p w14:paraId="1B43ED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3.2.4 </w:t>
      </w:r>
      <w:r>
        <w:rPr>
          <w:rFonts w:hint="eastAsia" w:ascii="宋体" w:hAnsi="宋体" w:eastAsia="宋体" w:cs="Times New Roman"/>
          <w:color w:val="auto"/>
          <w:kern w:val="0"/>
          <w:sz w:val="24"/>
          <w:szCs w:val="24"/>
          <w:highlight w:val="none"/>
        </w:rPr>
        <w:t>发包人有权书面通知承包人更换其认为不称职的项目经理，通知中应当载明要求更换的理由。承包人应在接到更换通知后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天内向发包人提出书面的改进报告。发包人收到改进报告后仍要求更换的，承包人应在接到第二次更换通知的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天内进行更换，并将新任命的项目经理的注册执业资格、管理经验等资料书面通知发包人。继任项目经理继续履行第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项约定的职责。承包人无正当理由拒绝更换项目经理的，应按照专用合同条款的约定承担违约责任。</w:t>
      </w:r>
    </w:p>
    <w:p w14:paraId="4C7B40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3.2.5 </w:t>
      </w:r>
      <w:r>
        <w:rPr>
          <w:rFonts w:hint="eastAsia" w:ascii="宋体" w:hAnsi="宋体" w:eastAsia="宋体" w:cs="Times New Roman"/>
          <w:color w:val="auto"/>
          <w:kern w:val="0"/>
          <w:sz w:val="24"/>
          <w:szCs w:val="24"/>
          <w:highlight w:val="none"/>
        </w:rPr>
        <w:t>项目经理因特殊情况授权其下属人员履行其某项工作职责的，该下属人员应具备履行相应职责的能力，并应提前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天将上述人员的姓名和授权范围书面通知监理人，并征得发包人书面同意。</w:t>
      </w:r>
    </w:p>
    <w:p w14:paraId="1CA1A0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5" w:name="_Toc351203521"/>
      <w:r>
        <w:rPr>
          <w:rFonts w:ascii="Times New Roman" w:hAnsi="Times New Roman" w:eastAsia="Ђˎ̥" w:cs="Times New Roman"/>
          <w:color w:val="auto"/>
          <w:kern w:val="0"/>
          <w:sz w:val="24"/>
          <w:szCs w:val="24"/>
          <w:highlight w:val="none"/>
          <w:lang w:val="en-US" w:eastAsia="zh-CN" w:bidi="ar-SA"/>
        </w:rPr>
        <w:t>3</w:t>
      </w:r>
      <w:bookmarkStart w:id="206" w:name="_Toc296346549"/>
      <w:bookmarkStart w:id="207" w:name="_Toc296503048"/>
      <w:bookmarkStart w:id="208" w:name="_Toc337558749"/>
      <w:r>
        <w:rPr>
          <w:rFonts w:ascii="Times New Roman" w:hAnsi="Times New Roman" w:eastAsia="Ђˎ̥" w:cs="Times New Roman"/>
          <w:color w:val="auto"/>
          <w:kern w:val="0"/>
          <w:sz w:val="24"/>
          <w:szCs w:val="24"/>
          <w:highlight w:val="none"/>
          <w:lang w:val="en-US" w:eastAsia="zh-CN" w:bidi="ar-SA"/>
        </w:rPr>
        <w:t xml:space="preserve">.3 </w:t>
      </w:r>
      <w:bookmarkEnd w:id="206"/>
      <w:bookmarkEnd w:id="207"/>
      <w:r>
        <w:rPr>
          <w:rFonts w:hint="eastAsia" w:ascii="Times New Roman" w:hAnsi="Times New Roman" w:eastAsia="Ђˎ̥" w:cs="宋体"/>
          <w:color w:val="auto"/>
          <w:kern w:val="0"/>
          <w:sz w:val="24"/>
          <w:szCs w:val="24"/>
          <w:highlight w:val="none"/>
          <w:lang w:val="en-US" w:eastAsia="zh-CN" w:bidi="ar-SA"/>
        </w:rPr>
        <w:t>承包人人员</w:t>
      </w:r>
      <w:bookmarkEnd w:id="205"/>
    </w:p>
    <w:bookmarkEnd w:id="208"/>
    <w:p w14:paraId="5CA9BCC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3.3.1 </w:t>
      </w:r>
      <w:r>
        <w:rPr>
          <w:rFonts w:hint="eastAsia" w:ascii="宋体" w:hAnsi="宋体" w:eastAsia="宋体" w:cs="Times New Roman"/>
          <w:color w:val="auto"/>
          <w:kern w:val="0"/>
          <w:sz w:val="24"/>
          <w:szCs w:val="24"/>
          <w:highlight w:val="none"/>
        </w:rPr>
        <w:t>除专用合同条款另有约定外，承包人应在接到开工通知后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846D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3.3.2 </w:t>
      </w:r>
      <w:r>
        <w:rPr>
          <w:rFonts w:hint="eastAsia" w:ascii="宋体" w:hAnsi="宋体" w:eastAsia="宋体" w:cs="Times New Roman"/>
          <w:color w:val="auto"/>
          <w:kern w:val="0"/>
          <w:sz w:val="24"/>
          <w:szCs w:val="24"/>
          <w:highlight w:val="none"/>
        </w:rPr>
        <w:t>承包人派驻到施工现场的主要施工管理人员应相对稳定。施工过程中如有变动，承包人应及时向监理人提交施工现场人员变动情况的报告。承包人更换主要施工管理人员时，应提前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天书面通知监理人，并征得发包人书面同意。通知中应当载明继任人员的注册执业资格、管理经验等资料。</w:t>
      </w:r>
    </w:p>
    <w:p w14:paraId="14B8DB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特殊工种作业人员均应持有相应的资格证明，监理人可以随时检查。</w:t>
      </w:r>
    </w:p>
    <w:p w14:paraId="053F80A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3.3.3 </w:t>
      </w:r>
      <w:r>
        <w:rPr>
          <w:rFonts w:hint="eastAsia" w:ascii="宋体" w:hAnsi="宋体" w:eastAsia="宋体" w:cs="Times New Roman"/>
          <w:color w:val="auto"/>
          <w:kern w:val="0"/>
          <w:sz w:val="24"/>
          <w:szCs w:val="24"/>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1D3D4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3.3.4 </w:t>
      </w:r>
      <w:r>
        <w:rPr>
          <w:rFonts w:hint="eastAsia" w:ascii="宋体" w:hAnsi="宋体" w:eastAsia="宋体" w:cs="Times New Roman"/>
          <w:color w:val="auto"/>
          <w:kern w:val="0"/>
          <w:sz w:val="24"/>
          <w:szCs w:val="24"/>
          <w:highlight w:val="none"/>
        </w:rPr>
        <w:t>除专用合同条款另有约定外，承包人的主要施工管理人员离开施工现场每月累计不超过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天的，应报监理人同意；离开施工现场每月累计超过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天的，应通知监理人，并征得发包人书面同意。主要施工管理人员离开施工现场前应指定一名有经验的人员临时代行其职责，该人员应具备履行相应职责的资格和能力，且应征得监理人或发包人的同意。</w:t>
      </w:r>
    </w:p>
    <w:p w14:paraId="2B4B76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3.3.5 </w:t>
      </w:r>
      <w:r>
        <w:rPr>
          <w:rFonts w:hint="eastAsia" w:ascii="宋体" w:hAnsi="宋体" w:eastAsia="宋体" w:cs="Times New Roman"/>
          <w:color w:val="auto"/>
          <w:kern w:val="0"/>
          <w:sz w:val="24"/>
          <w:szCs w:val="24"/>
          <w:highlight w:val="none"/>
        </w:rPr>
        <w:t>承包人擅自更换主要施工管理人员，或前述人员未经监理人或发包人同意擅自离开施工现场的，应按照专用合同条款约定承担违约责任。</w:t>
      </w:r>
    </w:p>
    <w:p w14:paraId="3761BC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9" w:name="_Toc351203522"/>
      <w:r>
        <w:rPr>
          <w:rFonts w:ascii="Times New Roman" w:hAnsi="Times New Roman" w:eastAsia="Ђˎ̥" w:cs="Times New Roman"/>
          <w:color w:val="auto"/>
          <w:kern w:val="0"/>
          <w:sz w:val="24"/>
          <w:szCs w:val="24"/>
          <w:highlight w:val="none"/>
          <w:lang w:val="en-US" w:eastAsia="zh-CN" w:bidi="ar-SA"/>
        </w:rPr>
        <w:t>3</w:t>
      </w:r>
      <w:bookmarkStart w:id="210" w:name="_Toc337558750"/>
      <w:bookmarkStart w:id="211" w:name="_Toc296503050"/>
      <w:bookmarkStart w:id="212" w:name="_Toc296346551"/>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承包人现场查勘</w:t>
      </w:r>
      <w:bookmarkEnd w:id="209"/>
    </w:p>
    <w:bookmarkEnd w:id="210"/>
    <w:bookmarkEnd w:id="211"/>
    <w:bookmarkEnd w:id="212"/>
    <w:p w14:paraId="524263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承包人应对基于发包人按照第</w:t>
      </w:r>
      <w:r>
        <w:rPr>
          <w:rFonts w:ascii="宋体" w:hAnsi="宋体" w:eastAsia="宋体" w:cs="Times New Roman"/>
          <w:color w:val="auto"/>
          <w:kern w:val="0"/>
          <w:sz w:val="24"/>
          <w:szCs w:val="24"/>
          <w:highlight w:val="none"/>
        </w:rPr>
        <w:t>2.4.3</w:t>
      </w:r>
      <w:r>
        <w:rPr>
          <w:rFonts w:hint="eastAsia" w:ascii="宋体" w:hAnsi="宋体" w:eastAsia="宋体" w:cs="Times New Roman"/>
          <w:color w:val="auto"/>
          <w:kern w:val="0"/>
          <w:sz w:val="24"/>
          <w:szCs w:val="24"/>
          <w:highlight w:val="none"/>
        </w:rPr>
        <w:t>项〔提供基础资料〕提交的基础资料所做出的解释和推断负责，但因基础资料存在错误、遗漏导致承包人解释或推断失实的，由发包人承担责任。</w:t>
      </w:r>
    </w:p>
    <w:p w14:paraId="7A3FD4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A2FB2A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3" w:name="_Toc351203523"/>
      <w:r>
        <w:rPr>
          <w:rFonts w:ascii="Times New Roman" w:hAnsi="Times New Roman" w:eastAsia="Ђˎ̥" w:cs="Times New Roman"/>
          <w:color w:val="auto"/>
          <w:kern w:val="0"/>
          <w:sz w:val="24"/>
          <w:szCs w:val="24"/>
          <w:highlight w:val="none"/>
          <w:lang w:val="en-US" w:eastAsia="zh-CN" w:bidi="ar-SA"/>
        </w:rPr>
        <w:t>3</w:t>
      </w:r>
      <w:bookmarkStart w:id="214" w:name="_Toc337558751"/>
      <w:bookmarkStart w:id="215" w:name="_Toc296503051"/>
      <w:bookmarkStart w:id="216" w:name="_Toc296346552"/>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分包</w:t>
      </w:r>
      <w:bookmarkEnd w:id="213"/>
    </w:p>
    <w:bookmarkEnd w:id="214"/>
    <w:bookmarkEnd w:id="215"/>
    <w:bookmarkEnd w:id="216"/>
    <w:p w14:paraId="57E15C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3.5.1 </w:t>
      </w:r>
      <w:r>
        <w:rPr>
          <w:rFonts w:hint="eastAsia" w:ascii="宋体" w:hAnsi="宋体" w:eastAsia="宋体" w:cs="Times New Roman"/>
          <w:color w:val="auto"/>
          <w:kern w:val="0"/>
          <w:sz w:val="24"/>
          <w:szCs w:val="24"/>
          <w:highlight w:val="none"/>
        </w:rPr>
        <w:t>分包的一般约定</w:t>
      </w:r>
    </w:p>
    <w:p w14:paraId="53ABB9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004F7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承包人不得以劳务分包的名义转包或违法分包工程。</w:t>
      </w:r>
    </w:p>
    <w:p w14:paraId="3EEE029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3.5.2 </w:t>
      </w:r>
      <w:r>
        <w:rPr>
          <w:rFonts w:hint="eastAsia" w:ascii="宋体" w:hAnsi="宋体" w:eastAsia="宋体" w:cs="Times New Roman"/>
          <w:color w:val="auto"/>
          <w:kern w:val="0"/>
          <w:sz w:val="24"/>
          <w:szCs w:val="24"/>
          <w:highlight w:val="none"/>
        </w:rPr>
        <w:t>分包的确定</w:t>
      </w:r>
    </w:p>
    <w:p w14:paraId="0D2162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承包人应按专用合同条款的约定进行分包，确定分包人。已标价工程量清单或预算书中给定暂估价的专业工程，按照第</w:t>
      </w:r>
      <w:r>
        <w:rPr>
          <w:rFonts w:ascii="宋体" w:hAnsi="宋体" w:eastAsia="宋体" w:cs="Times New Roman"/>
          <w:color w:val="auto"/>
          <w:kern w:val="0"/>
          <w:sz w:val="24"/>
          <w:szCs w:val="24"/>
          <w:highlight w:val="none"/>
        </w:rPr>
        <w:t>10.7</w:t>
      </w:r>
      <w:r>
        <w:rPr>
          <w:rFonts w:hint="eastAsia" w:ascii="宋体" w:hAnsi="宋体" w:eastAsia="宋体" w:cs="Times New Roman"/>
          <w:color w:val="auto"/>
          <w:kern w:val="0"/>
          <w:sz w:val="24"/>
          <w:szCs w:val="24"/>
          <w:highlight w:val="none"/>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天内向发包人和监理人提交分包合同副本。</w:t>
      </w:r>
    </w:p>
    <w:p w14:paraId="0C0DE7B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3.5.3 </w:t>
      </w:r>
      <w:r>
        <w:rPr>
          <w:rFonts w:hint="eastAsia" w:ascii="宋体" w:hAnsi="宋体" w:eastAsia="宋体" w:cs="Times New Roman"/>
          <w:color w:val="auto"/>
          <w:kern w:val="0"/>
          <w:sz w:val="24"/>
          <w:szCs w:val="24"/>
          <w:highlight w:val="none"/>
        </w:rPr>
        <w:t>分包管理</w:t>
      </w:r>
    </w:p>
    <w:p w14:paraId="7A40754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承包人应向监理人提交分包人的主要施工管理人员表，并对分包人的施工人员进行实名制管理，包括但不限于进出场管理、登记造册以及各种证照的办理。</w:t>
      </w:r>
    </w:p>
    <w:p w14:paraId="66C40BC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3.5.4 </w:t>
      </w:r>
      <w:r>
        <w:rPr>
          <w:rFonts w:hint="eastAsia" w:ascii="宋体" w:hAnsi="宋体" w:eastAsia="宋体" w:cs="Times New Roman"/>
          <w:color w:val="auto"/>
          <w:kern w:val="0"/>
          <w:sz w:val="24"/>
          <w:szCs w:val="24"/>
          <w:highlight w:val="none"/>
        </w:rPr>
        <w:t>分包合同价款</w:t>
      </w:r>
    </w:p>
    <w:p w14:paraId="6518CB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）除本项第（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）目约定的情况或专用合同条款另有约定外，分包合同价款由承包人与分包人结算，未经承包人同意，发包人不得向分包人支付分包工程价款；</w:t>
      </w:r>
    </w:p>
    <w:p w14:paraId="16CC244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）生效法律文书要求发包人向分包人支付分包合同价款的，发包人有权从应付承包人工程款中扣除该部分款项。</w:t>
      </w:r>
    </w:p>
    <w:p w14:paraId="7F16D6D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3.5.5 </w:t>
      </w:r>
      <w:r>
        <w:rPr>
          <w:rFonts w:hint="eastAsia" w:ascii="宋体" w:hAnsi="宋体" w:eastAsia="宋体" w:cs="Times New Roman"/>
          <w:color w:val="auto"/>
          <w:kern w:val="0"/>
          <w:sz w:val="24"/>
          <w:szCs w:val="24"/>
          <w:highlight w:val="none"/>
        </w:rPr>
        <w:t>分包合同权益的转让</w:t>
      </w:r>
    </w:p>
    <w:p w14:paraId="7123BA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17" w:name="_Toc351203524"/>
    </w:p>
    <w:p w14:paraId="5C8628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 xml:space="preserve">3.6 </w:t>
      </w:r>
      <w:r>
        <w:rPr>
          <w:rFonts w:hint="eastAsia" w:ascii="Times New Roman" w:hAnsi="Times New Roman" w:eastAsia="Ђˎ̥" w:cs="Times New Roman"/>
          <w:color w:val="auto"/>
          <w:kern w:val="0"/>
          <w:sz w:val="24"/>
          <w:szCs w:val="24"/>
          <w:highlight w:val="none"/>
          <w:lang w:val="en-US" w:eastAsia="zh-CN" w:bidi="ar-SA"/>
        </w:rPr>
        <w:t>工程照管与成品、半成品保护</w:t>
      </w:r>
      <w:bookmarkEnd w:id="217"/>
    </w:p>
    <w:p w14:paraId="0E8255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）除专用合同条款另有约定外，自发包人向承包人移交施工现场之日起，承包人应负责照管工程及工程相关的材料、工程设备，直到颁发工程接收证书之日止。</w:t>
      </w:r>
    </w:p>
    <w:p w14:paraId="616D07B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）在承包人负责照管期间，因承包人原因造成工程、材料、工程设备损坏的，由承包人负责修复或更换，并承担由此增加的费用和（或）延误的工期。</w:t>
      </w:r>
    </w:p>
    <w:p w14:paraId="5FAD82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14:paraId="6C06C7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8" w:name="_Toc351203525"/>
      <w:r>
        <w:rPr>
          <w:rFonts w:ascii="Times New Roman" w:hAnsi="Times New Roman" w:eastAsia="Ђˎ̥" w:cs="Times New Roman"/>
          <w:color w:val="auto"/>
          <w:kern w:val="0"/>
          <w:sz w:val="24"/>
          <w:szCs w:val="24"/>
          <w:highlight w:val="none"/>
          <w:lang w:val="en-US" w:eastAsia="zh-CN" w:bidi="ar-SA"/>
        </w:rPr>
        <w:t>3</w:t>
      </w:r>
      <w:bookmarkStart w:id="219" w:name="_Toc337558752"/>
      <w:bookmarkStart w:id="220" w:name="_Toc296346553"/>
      <w:bookmarkStart w:id="221" w:name="_Toc296503052"/>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宋体"/>
          <w:color w:val="auto"/>
          <w:kern w:val="0"/>
          <w:sz w:val="24"/>
          <w:szCs w:val="24"/>
          <w:highlight w:val="none"/>
          <w:lang w:val="en-US" w:eastAsia="zh-CN" w:bidi="ar-SA"/>
        </w:rPr>
        <w:t>履约担保</w:t>
      </w:r>
      <w:bookmarkEnd w:id="218"/>
    </w:p>
    <w:bookmarkEnd w:id="219"/>
    <w:bookmarkEnd w:id="220"/>
    <w:bookmarkEnd w:id="221"/>
    <w:p w14:paraId="42B635A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F421B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因承包人原因导致工期延长的，继续提供履约担保所增加的费用由承包人承担；非因承包人原因导致工期延长的，继续提供履约担保所增加的费用由发包人承担。</w:t>
      </w:r>
    </w:p>
    <w:p w14:paraId="6B12A2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2" w:name="_Toc351203526"/>
      <w:r>
        <w:rPr>
          <w:rFonts w:ascii="Times New Roman" w:hAnsi="Times New Roman" w:eastAsia="Ђˎ̥" w:cs="Times New Roman"/>
          <w:color w:val="auto"/>
          <w:kern w:val="0"/>
          <w:sz w:val="24"/>
          <w:szCs w:val="24"/>
          <w:highlight w:val="none"/>
          <w:lang w:val="en-US" w:eastAsia="zh-CN" w:bidi="ar-SA"/>
        </w:rPr>
        <w:t xml:space="preserve">3.8 </w:t>
      </w:r>
      <w:r>
        <w:rPr>
          <w:rFonts w:hint="eastAsia" w:ascii="Times New Roman" w:hAnsi="Times New Roman" w:eastAsia="Ђˎ̥" w:cs="宋体"/>
          <w:color w:val="auto"/>
          <w:kern w:val="0"/>
          <w:sz w:val="24"/>
          <w:szCs w:val="24"/>
          <w:highlight w:val="none"/>
          <w:lang w:val="en-US" w:eastAsia="zh-CN" w:bidi="ar-SA"/>
        </w:rPr>
        <w:t>联合体</w:t>
      </w:r>
      <w:bookmarkEnd w:id="222"/>
    </w:p>
    <w:p w14:paraId="2DDC83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3.8.1 </w:t>
      </w:r>
      <w:r>
        <w:rPr>
          <w:rFonts w:hint="eastAsia" w:ascii="宋体" w:hAnsi="宋体" w:eastAsia="宋体" w:cs="Times New Roman"/>
          <w:color w:val="auto"/>
          <w:kern w:val="0"/>
          <w:sz w:val="24"/>
          <w:szCs w:val="24"/>
          <w:highlight w:val="none"/>
        </w:rPr>
        <w:t>联合体各方应共同与发包人签订合同协议书。联合体各方应为履行合同向发包人承担连带责任。</w:t>
      </w:r>
    </w:p>
    <w:p w14:paraId="4E2448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3.8.2 </w:t>
      </w:r>
      <w:r>
        <w:rPr>
          <w:rFonts w:hint="eastAsia" w:ascii="宋体" w:hAnsi="宋体" w:eastAsia="宋体" w:cs="Times New Roman"/>
          <w:color w:val="auto"/>
          <w:kern w:val="0"/>
          <w:sz w:val="24"/>
          <w:szCs w:val="24"/>
          <w:highlight w:val="none"/>
        </w:rPr>
        <w:t>联合体协议经发包人确认后作为合同附件。在履行合同过程中，未经发包人同意，不得修改联合体协议。</w:t>
      </w:r>
    </w:p>
    <w:p w14:paraId="4248B02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3.8.3 </w:t>
      </w:r>
      <w:r>
        <w:rPr>
          <w:rFonts w:hint="eastAsia" w:ascii="宋体" w:hAnsi="宋体" w:eastAsia="宋体" w:cs="Times New Roman"/>
          <w:color w:val="auto"/>
          <w:kern w:val="0"/>
          <w:sz w:val="24"/>
          <w:szCs w:val="24"/>
          <w:highlight w:val="none"/>
        </w:rPr>
        <w:t>联合体牵头人负责与发包人和监理人联系，并接受指示，负责组织联合体各成员全面履行合同。</w:t>
      </w:r>
    </w:p>
    <w:p w14:paraId="4C1A2BD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23" w:name="_Toc17965073"/>
      <w:bookmarkStart w:id="224" w:name="_Toc351203527"/>
      <w:r>
        <w:rPr>
          <w:rFonts w:ascii="Times New Roman" w:hAnsi="Times New Roman" w:eastAsia="黑体" w:cs="Times New Roman"/>
          <w:b/>
          <w:bCs/>
          <w:color w:val="auto"/>
          <w:kern w:val="2"/>
          <w:sz w:val="24"/>
          <w:szCs w:val="24"/>
          <w:highlight w:val="none"/>
          <w:lang w:val="en-US" w:eastAsia="zh-CN" w:bidi="ar-SA"/>
        </w:rPr>
        <w:t>4</w:t>
      </w:r>
      <w:bookmarkStart w:id="225" w:name="_Toc296346554"/>
      <w:bookmarkStart w:id="226" w:name="_Toc296503053"/>
      <w:bookmarkStart w:id="227" w:name="_Toc337558753"/>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监</w:t>
      </w:r>
      <w:bookmarkEnd w:id="225"/>
      <w:bookmarkEnd w:id="226"/>
      <w:r>
        <w:rPr>
          <w:rFonts w:ascii="Times New Roman" w:hAnsi="Times New Roman" w:eastAsia="黑体" w:cs="宋体"/>
          <w:b/>
          <w:bCs/>
          <w:color w:val="auto"/>
          <w:kern w:val="2"/>
          <w:sz w:val="24"/>
          <w:szCs w:val="24"/>
          <w:highlight w:val="none"/>
          <w:lang w:val="en-US" w:eastAsia="zh-CN" w:bidi="ar-SA"/>
        </w:rPr>
        <w:t>理人</w:t>
      </w:r>
      <w:bookmarkEnd w:id="223"/>
      <w:bookmarkEnd w:id="224"/>
    </w:p>
    <w:bookmarkEnd w:id="227"/>
    <w:p w14:paraId="16ACCA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8" w:name="_Toc351203528"/>
      <w:r>
        <w:rPr>
          <w:rFonts w:ascii="Times New Roman" w:hAnsi="Times New Roman" w:eastAsia="Ђˎ̥" w:cs="Times New Roman"/>
          <w:color w:val="auto"/>
          <w:kern w:val="0"/>
          <w:sz w:val="24"/>
          <w:szCs w:val="24"/>
          <w:highlight w:val="none"/>
          <w:lang w:val="en-US" w:eastAsia="zh-CN" w:bidi="ar-SA"/>
        </w:rPr>
        <w:t>4</w:t>
      </w:r>
      <w:bookmarkStart w:id="229" w:name="_Toc296346555"/>
      <w:bookmarkStart w:id="230" w:name="_Toc296503054"/>
      <w:bookmarkStart w:id="231" w:name="_Toc33755875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监理人的一般规定</w:t>
      </w:r>
      <w:bookmarkEnd w:id="228"/>
    </w:p>
    <w:bookmarkEnd w:id="229"/>
    <w:bookmarkEnd w:id="230"/>
    <w:bookmarkEnd w:id="231"/>
    <w:p w14:paraId="67CC4D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7C79F3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除专用合同条款另有约定外，监理人在施工现场的办公场所、生活场所由承包人提供，所发生的费用由发包人承担。</w:t>
      </w:r>
    </w:p>
    <w:p w14:paraId="51126A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2" w:name="_Toc351203529"/>
      <w:r>
        <w:rPr>
          <w:rFonts w:ascii="Times New Roman" w:hAnsi="Times New Roman" w:eastAsia="Ђˎ̥" w:cs="Times New Roman"/>
          <w:color w:val="auto"/>
          <w:kern w:val="0"/>
          <w:sz w:val="24"/>
          <w:szCs w:val="24"/>
          <w:highlight w:val="none"/>
          <w:lang w:val="en-US" w:eastAsia="zh-CN" w:bidi="ar-SA"/>
        </w:rPr>
        <w:t>4</w:t>
      </w:r>
      <w:bookmarkStart w:id="233" w:name="_Toc337558755"/>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监理人员</w:t>
      </w:r>
      <w:bookmarkEnd w:id="232"/>
    </w:p>
    <w:bookmarkEnd w:id="233"/>
    <w:p w14:paraId="7976C8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天书面通知承包人；更换其他监理人员，监理人应提前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小时书面通知承包人。</w:t>
      </w:r>
    </w:p>
    <w:p w14:paraId="3414602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4" w:name="_Toc351203530"/>
      <w:r>
        <w:rPr>
          <w:rFonts w:ascii="Times New Roman" w:hAnsi="Times New Roman" w:eastAsia="Ђˎ̥" w:cs="Times New Roman"/>
          <w:color w:val="auto"/>
          <w:kern w:val="0"/>
          <w:sz w:val="24"/>
          <w:szCs w:val="24"/>
          <w:highlight w:val="none"/>
          <w:lang w:val="en-US" w:eastAsia="zh-CN" w:bidi="ar-SA"/>
        </w:rPr>
        <w:t>4</w:t>
      </w:r>
      <w:bookmarkStart w:id="235" w:name="_Toc296503055"/>
      <w:bookmarkStart w:id="236" w:name="_Toc296346556"/>
      <w:bookmarkStart w:id="237" w:name="_Toc337558756"/>
      <w:r>
        <w:rPr>
          <w:rFonts w:ascii="Times New Roman" w:hAnsi="Times New Roman" w:eastAsia="Ђˎ̥" w:cs="Times New Roman"/>
          <w:color w:val="auto"/>
          <w:kern w:val="0"/>
          <w:sz w:val="24"/>
          <w:szCs w:val="24"/>
          <w:highlight w:val="none"/>
          <w:lang w:val="en-US" w:eastAsia="zh-CN" w:bidi="ar-SA"/>
        </w:rPr>
        <w:t>.3</w:t>
      </w:r>
      <w:bookmarkEnd w:id="235"/>
      <w:bookmarkEnd w:id="236"/>
      <w:r>
        <w:rPr>
          <w:rFonts w:hint="eastAsia" w:ascii="Times New Roman" w:hAnsi="Times New Roman" w:eastAsia="Ђˎ̥" w:cs="Times New Roman"/>
          <w:color w:val="auto"/>
          <w:kern w:val="0"/>
          <w:sz w:val="24"/>
          <w:szCs w:val="24"/>
          <w:highlight w:val="none"/>
          <w:lang w:val="en-US" w:eastAsia="zh-CN" w:bidi="ar-SA"/>
        </w:rPr>
        <w:t>监理人的指</w:t>
      </w:r>
      <w:bookmarkEnd w:id="237"/>
      <w:r>
        <w:rPr>
          <w:rFonts w:hint="eastAsia" w:ascii="Times New Roman" w:hAnsi="Times New Roman" w:eastAsia="Ђˎ̥" w:cs="Times New Roman"/>
          <w:color w:val="auto"/>
          <w:kern w:val="0"/>
          <w:sz w:val="24"/>
          <w:szCs w:val="24"/>
          <w:highlight w:val="none"/>
          <w:lang w:val="en-US" w:eastAsia="zh-CN" w:bidi="ar-SA"/>
        </w:rPr>
        <w:t>示</w:t>
      </w:r>
      <w:bookmarkEnd w:id="234"/>
    </w:p>
    <w:p w14:paraId="292D4FF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小时内补发书面监理指示，补发的书面监理指示应与口头指示一致。</w:t>
      </w:r>
    </w:p>
    <w:p w14:paraId="0F83F8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款〔商定或确定〕约定应由总监理工程师作出确定的权力授权或委托给其他监理人员。</w:t>
      </w:r>
    </w:p>
    <w:p w14:paraId="47861F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承包人对监理人发出的指示有疑问的，应向监理人提出书面异议，监理人应在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小时内对该指示予以确认、更改或撤销，监理人逾期未回复的，承包人有权拒绝执行上述指示。</w:t>
      </w:r>
    </w:p>
    <w:p w14:paraId="7701773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59EC9C4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8" w:name="_Toc351203531"/>
      <w:r>
        <w:rPr>
          <w:rFonts w:ascii="Times New Roman" w:hAnsi="Times New Roman" w:eastAsia="Ђˎ̥" w:cs="Times New Roman"/>
          <w:color w:val="auto"/>
          <w:kern w:val="0"/>
          <w:sz w:val="24"/>
          <w:szCs w:val="24"/>
          <w:highlight w:val="none"/>
          <w:lang w:val="en-US" w:eastAsia="zh-CN" w:bidi="ar-SA"/>
        </w:rPr>
        <w:t>4</w:t>
      </w:r>
      <w:bookmarkStart w:id="239" w:name="_Toc296503057"/>
      <w:bookmarkStart w:id="240" w:name="_Toc296346558"/>
      <w:bookmarkStart w:id="241" w:name="_Toc337558757"/>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宋体"/>
          <w:color w:val="auto"/>
          <w:kern w:val="0"/>
          <w:sz w:val="24"/>
          <w:szCs w:val="24"/>
          <w:highlight w:val="none"/>
          <w:lang w:val="en-US" w:eastAsia="zh-CN" w:bidi="ar-SA"/>
        </w:rPr>
        <w:t>商定或确定</w:t>
      </w:r>
      <w:bookmarkEnd w:id="238"/>
    </w:p>
    <w:bookmarkEnd w:id="239"/>
    <w:bookmarkEnd w:id="240"/>
    <w:bookmarkEnd w:id="241"/>
    <w:p w14:paraId="777A699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合同当事人进行商定或确定时，总监理工程师应当会同合同当事人尽量通过协商达成一致，不能达成一致的，由总监理工程师按照合同约定审慎做出公正的确定。</w:t>
      </w:r>
    </w:p>
    <w:p w14:paraId="0681A5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条〔争议解决〕约定处理。争议解决前，合同当事人暂按总监理工程师的确定执行；争议解决后，争议解决的结果与总监理工程师的确定不一致的，按照争议解决的结果执行，由此造成的损失由责任人承担。</w:t>
      </w:r>
    </w:p>
    <w:p w14:paraId="3649CFC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42" w:name="_Toc351203532"/>
      <w:bookmarkStart w:id="243" w:name="_Toc17965074"/>
      <w:r>
        <w:rPr>
          <w:rFonts w:ascii="Times New Roman" w:hAnsi="Times New Roman" w:eastAsia="黑体" w:cs="Times New Roman"/>
          <w:b/>
          <w:bCs/>
          <w:color w:val="auto"/>
          <w:kern w:val="2"/>
          <w:sz w:val="24"/>
          <w:szCs w:val="24"/>
          <w:highlight w:val="none"/>
          <w:lang w:val="en-US" w:eastAsia="zh-CN" w:bidi="ar-SA"/>
        </w:rPr>
        <w:t>5</w:t>
      </w:r>
      <w:bookmarkStart w:id="244" w:name="_Toc337558758"/>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工程质量</w:t>
      </w:r>
      <w:bookmarkEnd w:id="242"/>
      <w:bookmarkEnd w:id="243"/>
    </w:p>
    <w:bookmarkEnd w:id="244"/>
    <w:p w14:paraId="4F9E527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5" w:name="_Toc351203533"/>
      <w:r>
        <w:rPr>
          <w:rFonts w:ascii="Times New Roman" w:hAnsi="Times New Roman" w:eastAsia="Ђˎ̥" w:cs="Times New Roman"/>
          <w:color w:val="auto"/>
          <w:kern w:val="0"/>
          <w:sz w:val="24"/>
          <w:szCs w:val="24"/>
          <w:highlight w:val="none"/>
          <w:lang w:val="en-US" w:eastAsia="zh-CN" w:bidi="ar-SA"/>
        </w:rPr>
        <w:t>5</w:t>
      </w:r>
      <w:bookmarkStart w:id="246" w:name="_Toc337558759"/>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宋体"/>
          <w:color w:val="auto"/>
          <w:kern w:val="0"/>
          <w:sz w:val="24"/>
          <w:szCs w:val="24"/>
          <w:highlight w:val="none"/>
          <w:lang w:val="en-US" w:eastAsia="zh-CN" w:bidi="ar-SA"/>
        </w:rPr>
        <w:t>质量要求</w:t>
      </w:r>
      <w:bookmarkEnd w:id="245"/>
    </w:p>
    <w:bookmarkEnd w:id="246"/>
    <w:p w14:paraId="3957F0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5.1.1 </w:t>
      </w:r>
      <w:r>
        <w:rPr>
          <w:rFonts w:hint="eastAsia" w:ascii="宋体" w:hAnsi="宋体" w:eastAsia="宋体" w:cs="Times New Roman"/>
          <w:color w:val="auto"/>
          <w:kern w:val="0"/>
          <w:sz w:val="24"/>
          <w:szCs w:val="24"/>
          <w:highlight w:val="none"/>
        </w:rPr>
        <w:t>工程质量标准必须符合现行国家有关工程施工质量验收规范和标准的要求。有关工程质量的特殊标准或要求由合同当事人在专用合同条款中约定。</w:t>
      </w:r>
    </w:p>
    <w:p w14:paraId="39DDE40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5.1.2 </w:t>
      </w:r>
      <w:r>
        <w:rPr>
          <w:rFonts w:hint="eastAsia" w:ascii="宋体" w:hAnsi="宋体" w:eastAsia="宋体" w:cs="Times New Roman"/>
          <w:color w:val="auto"/>
          <w:kern w:val="0"/>
          <w:sz w:val="24"/>
          <w:szCs w:val="24"/>
          <w:highlight w:val="none"/>
        </w:rPr>
        <w:t>因发包人原因造成工程质量未达到合同约定标准的，由发包人承担由此增加的费用和（或）延误的工期，并支付承包人合理的利润。</w:t>
      </w:r>
    </w:p>
    <w:p w14:paraId="23AAAB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5.1.3 </w:t>
      </w:r>
      <w:r>
        <w:rPr>
          <w:rFonts w:hint="eastAsia" w:ascii="宋体" w:hAnsi="宋体" w:eastAsia="宋体" w:cs="Times New Roman"/>
          <w:color w:val="auto"/>
          <w:kern w:val="0"/>
          <w:sz w:val="24"/>
          <w:szCs w:val="24"/>
          <w:highlight w:val="none"/>
        </w:rPr>
        <w:t>因承包人原因造成工程质量未达到合同约定标准的，发包人有权要求承包人返工直至工程质量达到合同约定的标准为止，并由承包人承担由此增加的费用和（或）延误的工期。</w:t>
      </w:r>
    </w:p>
    <w:p w14:paraId="51366A5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7" w:name="_Toc351203534"/>
      <w:r>
        <w:rPr>
          <w:rFonts w:ascii="Times New Roman" w:hAnsi="Times New Roman" w:eastAsia="Ђˎ̥" w:cs="Times New Roman"/>
          <w:color w:val="auto"/>
          <w:kern w:val="0"/>
          <w:sz w:val="24"/>
          <w:szCs w:val="24"/>
          <w:highlight w:val="none"/>
          <w:lang w:val="en-US" w:eastAsia="zh-CN" w:bidi="ar-SA"/>
        </w:rPr>
        <w:t>5</w:t>
      </w:r>
      <w:bookmarkStart w:id="248" w:name="_Toc337558760"/>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质量保证措施</w:t>
      </w:r>
      <w:bookmarkEnd w:id="247"/>
    </w:p>
    <w:bookmarkEnd w:id="248"/>
    <w:p w14:paraId="0156C5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5.2.1 </w:t>
      </w:r>
      <w:r>
        <w:rPr>
          <w:rFonts w:hint="eastAsia" w:ascii="宋体" w:hAnsi="宋体" w:eastAsia="宋体" w:cs="Times New Roman"/>
          <w:color w:val="auto"/>
          <w:kern w:val="0"/>
          <w:sz w:val="24"/>
          <w:szCs w:val="24"/>
          <w:highlight w:val="none"/>
        </w:rPr>
        <w:t>发包人的质量管理</w:t>
      </w:r>
    </w:p>
    <w:p w14:paraId="5B4BCA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发包人应按照法律规定及合同约定完成与工程质量有关的各项工作。</w:t>
      </w:r>
    </w:p>
    <w:p w14:paraId="6EC49D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5.2.2 </w:t>
      </w:r>
      <w:r>
        <w:rPr>
          <w:rFonts w:hint="eastAsia" w:ascii="宋体" w:hAnsi="宋体" w:eastAsia="宋体" w:cs="Times New Roman"/>
          <w:color w:val="auto"/>
          <w:kern w:val="0"/>
          <w:sz w:val="24"/>
          <w:szCs w:val="24"/>
          <w:highlight w:val="none"/>
        </w:rPr>
        <w:t>承包人的质量管理</w:t>
      </w:r>
    </w:p>
    <w:p w14:paraId="0D0CA65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1823C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承包人应对施工人员进行质量教育和技术培训，定期考核施工人员的劳动技能，严格执行施工规范和操作规程。</w:t>
      </w:r>
    </w:p>
    <w:p w14:paraId="2608B6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94C9B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5.2.3 </w:t>
      </w:r>
      <w:r>
        <w:rPr>
          <w:rFonts w:hint="eastAsia" w:ascii="宋体" w:hAnsi="宋体" w:eastAsia="宋体" w:cs="Times New Roman"/>
          <w:color w:val="auto"/>
          <w:kern w:val="0"/>
          <w:sz w:val="24"/>
          <w:szCs w:val="24"/>
          <w:highlight w:val="none"/>
        </w:rPr>
        <w:t>监理人的质量检查和检验</w:t>
      </w:r>
    </w:p>
    <w:p w14:paraId="6276474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08DBE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795BE96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9" w:name="_Toc351203535"/>
      <w:r>
        <w:rPr>
          <w:rFonts w:ascii="Times New Roman" w:hAnsi="Times New Roman" w:eastAsia="Ђˎ̥" w:cs="Times New Roman"/>
          <w:color w:val="auto"/>
          <w:kern w:val="0"/>
          <w:sz w:val="24"/>
          <w:szCs w:val="24"/>
          <w:highlight w:val="none"/>
          <w:lang w:val="en-US" w:eastAsia="zh-CN" w:bidi="ar-SA"/>
        </w:rPr>
        <w:t>5</w:t>
      </w:r>
      <w:bookmarkStart w:id="250" w:name="_Toc337558761"/>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Times New Roman"/>
          <w:color w:val="auto"/>
          <w:kern w:val="0"/>
          <w:sz w:val="24"/>
          <w:szCs w:val="24"/>
          <w:highlight w:val="none"/>
          <w:lang w:val="en-US" w:eastAsia="zh-CN" w:bidi="ar-SA"/>
        </w:rPr>
        <w:t>隐蔽工程检查</w:t>
      </w:r>
      <w:bookmarkEnd w:id="249"/>
    </w:p>
    <w:bookmarkEnd w:id="250"/>
    <w:p w14:paraId="27FCFCB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5.3.1</w:t>
      </w:r>
      <w:r>
        <w:rPr>
          <w:rFonts w:hint="eastAsia" w:ascii="宋体" w:hAnsi="宋体" w:eastAsia="宋体" w:cs="Times New Roman"/>
          <w:color w:val="auto"/>
          <w:kern w:val="0"/>
          <w:sz w:val="24"/>
          <w:szCs w:val="24"/>
          <w:highlight w:val="none"/>
        </w:rPr>
        <w:t>承包人自检</w:t>
      </w:r>
    </w:p>
    <w:p w14:paraId="1940CC9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承包人应当对工程隐蔽部位进行自检，并经自检确认是否具备覆盖条件。</w:t>
      </w:r>
    </w:p>
    <w:p w14:paraId="3A1863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5.3.2</w:t>
      </w:r>
      <w:r>
        <w:rPr>
          <w:rFonts w:hint="eastAsia" w:ascii="宋体" w:hAnsi="宋体" w:eastAsia="宋体" w:cs="Times New Roman"/>
          <w:color w:val="auto"/>
          <w:kern w:val="0"/>
          <w:sz w:val="24"/>
          <w:szCs w:val="24"/>
          <w:highlight w:val="none"/>
        </w:rPr>
        <w:t>检查程序</w:t>
      </w:r>
    </w:p>
    <w:p w14:paraId="531FA43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除专用合同条款另有约定外，工程隐蔽部位经承包人自检确认具备覆盖条件的，承包人应在共同检查前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小时书面通知监理人检查，通知中应载明隐蔽检查的内容、时间和地点，并应附有自检记录和必要的检查资料。</w:t>
      </w:r>
    </w:p>
    <w:p w14:paraId="7F9B94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EF32C6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除专用合同条款另有约定外，监理人不能按时进行检查的，应在检查前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ascii="宋体" w:hAnsi="宋体" w:eastAsia="宋体" w:cs="Times New Roman"/>
          <w:color w:val="auto"/>
          <w:kern w:val="0"/>
          <w:sz w:val="24"/>
          <w:szCs w:val="24"/>
          <w:highlight w:val="none"/>
        </w:rPr>
        <w:t>5.3.3</w:t>
      </w:r>
      <w:r>
        <w:rPr>
          <w:rFonts w:hint="eastAsia" w:ascii="宋体" w:hAnsi="宋体" w:eastAsia="宋体" w:cs="Times New Roman"/>
          <w:color w:val="auto"/>
          <w:kern w:val="0"/>
          <w:sz w:val="24"/>
          <w:szCs w:val="24"/>
          <w:highlight w:val="none"/>
        </w:rPr>
        <w:t>项〔重新检查〕的约定重新检查。</w:t>
      </w:r>
    </w:p>
    <w:p w14:paraId="042634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5.3.3 </w:t>
      </w:r>
      <w:r>
        <w:rPr>
          <w:rFonts w:hint="eastAsia" w:ascii="宋体" w:hAnsi="宋体" w:eastAsia="宋体" w:cs="Times New Roman"/>
          <w:color w:val="auto"/>
          <w:kern w:val="0"/>
          <w:sz w:val="24"/>
          <w:szCs w:val="24"/>
          <w:highlight w:val="none"/>
        </w:rPr>
        <w:t>重新检查</w:t>
      </w:r>
    </w:p>
    <w:p w14:paraId="291D5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C9CB2B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5.3.4 </w:t>
      </w:r>
      <w:r>
        <w:rPr>
          <w:rFonts w:hint="eastAsia" w:ascii="宋体" w:hAnsi="宋体" w:eastAsia="宋体" w:cs="Times New Roman"/>
          <w:color w:val="auto"/>
          <w:kern w:val="0"/>
          <w:sz w:val="24"/>
          <w:szCs w:val="24"/>
          <w:highlight w:val="none"/>
        </w:rPr>
        <w:t>承包人私自覆盖</w:t>
      </w:r>
    </w:p>
    <w:p w14:paraId="19498931">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74C3D7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1" w:name="_Toc351203536"/>
      <w:r>
        <w:rPr>
          <w:rFonts w:ascii="Times New Roman" w:hAnsi="Times New Roman" w:eastAsia="Ђˎ̥" w:cs="Times New Roman"/>
          <w:color w:val="auto"/>
          <w:kern w:val="0"/>
          <w:sz w:val="24"/>
          <w:szCs w:val="24"/>
          <w:highlight w:val="none"/>
          <w:lang w:val="en-US" w:eastAsia="zh-CN" w:bidi="ar-SA"/>
        </w:rPr>
        <w:t>5</w:t>
      </w:r>
      <w:bookmarkStart w:id="252" w:name="_Toc337558762"/>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不合格工程的处理</w:t>
      </w:r>
      <w:bookmarkEnd w:id="251"/>
    </w:p>
    <w:bookmarkEnd w:id="252"/>
    <w:p w14:paraId="11F4FE1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5.4.1 </w:t>
      </w:r>
      <w:r>
        <w:rPr>
          <w:rFonts w:hint="eastAsia" w:ascii="宋体" w:hAnsi="宋体" w:eastAsia="宋体" w:cs="Times New Roman"/>
          <w:color w:val="auto"/>
          <w:kern w:val="0"/>
          <w:sz w:val="24"/>
          <w:szCs w:val="24"/>
          <w:highlight w:val="none"/>
        </w:rPr>
        <w:t>因承包人原因造成工程不合格的，发包人有权随时要求承包人采取补救措施，直至达到合同要求的质量标准，由此增加的费用和（或）延误的工期由承包人承担。无法补救的，按照第</w:t>
      </w:r>
      <w:r>
        <w:rPr>
          <w:rFonts w:ascii="宋体" w:hAnsi="宋体" w:eastAsia="宋体" w:cs="Times New Roman"/>
          <w:color w:val="auto"/>
          <w:kern w:val="0"/>
          <w:sz w:val="24"/>
          <w:szCs w:val="24"/>
          <w:highlight w:val="none"/>
        </w:rPr>
        <w:t>13.2.4</w:t>
      </w:r>
      <w:r>
        <w:rPr>
          <w:rFonts w:hint="eastAsia" w:ascii="宋体" w:hAnsi="宋体" w:eastAsia="宋体" w:cs="Times New Roman"/>
          <w:color w:val="auto"/>
          <w:kern w:val="0"/>
          <w:sz w:val="24"/>
          <w:szCs w:val="24"/>
          <w:highlight w:val="none"/>
        </w:rPr>
        <w:t>项〔拒绝接收全部或部分工程〕约定执行。</w:t>
      </w:r>
      <w:r>
        <w:rPr>
          <w:rFonts w:ascii="宋体" w:hAnsi="宋体" w:eastAsia="宋体" w:cs="Times New Roman"/>
          <w:color w:val="auto"/>
          <w:kern w:val="0"/>
          <w:sz w:val="24"/>
          <w:szCs w:val="24"/>
          <w:highlight w:val="none"/>
        </w:rPr>
        <w:t xml:space="preserve"> </w:t>
      </w:r>
    </w:p>
    <w:p w14:paraId="7B404E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5.4.2 </w:t>
      </w:r>
      <w:r>
        <w:rPr>
          <w:rFonts w:hint="eastAsia" w:ascii="宋体" w:hAnsi="宋体" w:eastAsia="宋体" w:cs="Times New Roman"/>
          <w:color w:val="auto"/>
          <w:kern w:val="0"/>
          <w:sz w:val="24"/>
          <w:szCs w:val="24"/>
          <w:highlight w:val="none"/>
        </w:rPr>
        <w:t>因发包人原因造成工程不合格的，由此增加的费用和（或）延误的工期由发包人承担，并支付承包人合理的利润。</w:t>
      </w:r>
    </w:p>
    <w:p w14:paraId="798F377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3" w:name="_Toc351203537"/>
      <w:r>
        <w:rPr>
          <w:rFonts w:ascii="Times New Roman" w:hAnsi="Times New Roman" w:eastAsia="Ђˎ̥" w:cs="Times New Roman"/>
          <w:color w:val="auto"/>
          <w:kern w:val="0"/>
          <w:sz w:val="24"/>
          <w:szCs w:val="24"/>
          <w:highlight w:val="none"/>
          <w:lang w:val="en-US" w:eastAsia="zh-CN" w:bidi="ar-SA"/>
        </w:rPr>
        <w:t xml:space="preserve">5.5 </w:t>
      </w:r>
      <w:r>
        <w:rPr>
          <w:rFonts w:hint="eastAsia" w:ascii="Times New Roman" w:hAnsi="Times New Roman" w:eastAsia="Ђˎ̥" w:cs="Times New Roman"/>
          <w:color w:val="auto"/>
          <w:kern w:val="0"/>
          <w:sz w:val="24"/>
          <w:szCs w:val="24"/>
          <w:highlight w:val="none"/>
          <w:lang w:val="en-US" w:eastAsia="zh-CN" w:bidi="ar-SA"/>
        </w:rPr>
        <w:t>质量争议检测</w:t>
      </w:r>
      <w:bookmarkEnd w:id="253"/>
    </w:p>
    <w:p w14:paraId="7CB177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合同当事人对工程质量有争议的，由双方协商确定的工程质量检测机构鉴定，由此产生的费用及因此造成的损失，由责任方承担。</w:t>
      </w:r>
    </w:p>
    <w:p w14:paraId="595F4C4A">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合同当事人均有责任的，由双方根据其责任分别承担。合同当事人无法达成一致的，按照第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款〔商定或确定〕执行。</w:t>
      </w:r>
    </w:p>
    <w:p w14:paraId="1E8AF20E">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54" w:name="_Toc351203538"/>
      <w:bookmarkStart w:id="255" w:name="_Toc17965075"/>
      <w:r>
        <w:rPr>
          <w:rFonts w:ascii="Times New Roman" w:hAnsi="Times New Roman" w:eastAsia="黑体" w:cs="Times New Roman"/>
          <w:b/>
          <w:bCs/>
          <w:color w:val="auto"/>
          <w:kern w:val="2"/>
          <w:sz w:val="24"/>
          <w:szCs w:val="24"/>
          <w:highlight w:val="none"/>
          <w:lang w:val="en-US" w:eastAsia="zh-CN" w:bidi="ar-SA"/>
        </w:rPr>
        <w:t>6</w:t>
      </w:r>
      <w:bookmarkStart w:id="256" w:name="_Toc337558763"/>
      <w:r>
        <w:rPr>
          <w:rFonts w:ascii="Times New Roman" w:hAnsi="Times New Roman" w:eastAsia="黑体" w:cs="Times New Roman"/>
          <w:b/>
          <w:bCs/>
          <w:color w:val="auto"/>
          <w:kern w:val="2"/>
          <w:sz w:val="24"/>
          <w:szCs w:val="24"/>
          <w:highlight w:val="none"/>
          <w:lang w:val="en-US" w:eastAsia="zh-CN" w:bidi="ar-SA"/>
        </w:rPr>
        <w:t>. 安全文明施工与环境保护</w:t>
      </w:r>
      <w:bookmarkEnd w:id="254"/>
      <w:bookmarkEnd w:id="255"/>
    </w:p>
    <w:bookmarkEnd w:id="256"/>
    <w:p w14:paraId="20375C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7" w:name="_Toc351203539"/>
      <w:r>
        <w:rPr>
          <w:rFonts w:ascii="Times New Roman" w:hAnsi="Times New Roman" w:eastAsia="Ђˎ̥" w:cs="Times New Roman"/>
          <w:color w:val="auto"/>
          <w:kern w:val="0"/>
          <w:sz w:val="24"/>
          <w:szCs w:val="24"/>
          <w:highlight w:val="none"/>
          <w:lang w:val="en-US" w:eastAsia="zh-CN" w:bidi="ar-SA"/>
        </w:rPr>
        <w:t>6</w:t>
      </w:r>
      <w:bookmarkStart w:id="258" w:name="_Toc33755876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安全文明施工</w:t>
      </w:r>
      <w:bookmarkEnd w:id="257"/>
    </w:p>
    <w:bookmarkEnd w:id="258"/>
    <w:p w14:paraId="2268AA8B">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6.1.1</w:t>
      </w:r>
      <w:r>
        <w:rPr>
          <w:rFonts w:hint="eastAsia" w:ascii="宋体" w:hAnsi="宋体" w:eastAsia="宋体" w:cs="Times New Roman"/>
          <w:color w:val="auto"/>
          <w:sz w:val="24"/>
          <w:szCs w:val="24"/>
          <w:highlight w:val="none"/>
        </w:rPr>
        <w:t>安全生产要求</w:t>
      </w:r>
    </w:p>
    <w:p w14:paraId="3C4B9EB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3B6DADC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Times New Roman"/>
          <w:color w:val="auto"/>
          <w:kern w:val="0"/>
          <w:sz w:val="24"/>
          <w:szCs w:val="24"/>
          <w:highlight w:val="none"/>
        </w:rPr>
        <w:t>政府有关行政管理部门</w:t>
      </w:r>
      <w:r>
        <w:rPr>
          <w:rFonts w:hint="eastAsia" w:ascii="宋体" w:hAnsi="宋体" w:eastAsia="宋体" w:cs="Times New Roman"/>
          <w:color w:val="auto"/>
          <w:sz w:val="24"/>
          <w:szCs w:val="24"/>
          <w:highlight w:val="none"/>
        </w:rPr>
        <w:t>采取应急措施。</w:t>
      </w:r>
    </w:p>
    <w:p w14:paraId="06F79D2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因安全生产需要暂停施工的，按照第</w:t>
      </w:r>
      <w:r>
        <w:rPr>
          <w:rFonts w:ascii="宋体" w:hAnsi="宋体" w:eastAsia="宋体" w:cs="Times New Roman"/>
          <w:color w:val="auto"/>
          <w:sz w:val="24"/>
          <w:szCs w:val="24"/>
          <w:highlight w:val="none"/>
        </w:rPr>
        <w:t>7.8</w:t>
      </w:r>
      <w:r>
        <w:rPr>
          <w:rFonts w:hint="eastAsia" w:ascii="宋体" w:hAnsi="宋体" w:eastAsia="宋体" w:cs="Times New Roman"/>
          <w:color w:val="auto"/>
          <w:sz w:val="24"/>
          <w:szCs w:val="24"/>
          <w:highlight w:val="none"/>
        </w:rPr>
        <w:t>款〔暂停施工〕的约定执行。</w:t>
      </w:r>
    </w:p>
    <w:p w14:paraId="43CB2B78">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6.1.2 </w:t>
      </w:r>
      <w:r>
        <w:rPr>
          <w:rFonts w:hint="eastAsia" w:ascii="宋体" w:hAnsi="宋体" w:eastAsia="宋体" w:cs="Times New Roman"/>
          <w:color w:val="auto"/>
          <w:sz w:val="24"/>
          <w:szCs w:val="24"/>
          <w:highlight w:val="none"/>
        </w:rPr>
        <w:t>安全生产保证措施</w:t>
      </w:r>
    </w:p>
    <w:p w14:paraId="67DD25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承包人应当按照有关</w:t>
      </w:r>
      <w:r>
        <w:rPr>
          <w:rFonts w:hint="eastAsia" w:ascii="宋体" w:hAnsi="宋体" w:eastAsia="宋体" w:cs="Times New Roman"/>
          <w:color w:val="auto"/>
          <w:kern w:val="0"/>
          <w:sz w:val="24"/>
          <w:szCs w:val="24"/>
          <w:highlight w:val="none"/>
        </w:rPr>
        <w:t>规定编制安全技术措施或者专项施工方案，</w:t>
      </w:r>
      <w:r>
        <w:rPr>
          <w:rFonts w:hint="eastAsia" w:ascii="宋体" w:hAnsi="宋体" w:eastAsia="宋体" w:cs="Times New Roman"/>
          <w:color w:val="auto"/>
          <w:sz w:val="24"/>
          <w:szCs w:val="24"/>
          <w:highlight w:val="none"/>
        </w:rPr>
        <w:t>建立安全生产责任制度、治安保卫制度及安全生产教育培训制度，并</w:t>
      </w:r>
      <w:r>
        <w:rPr>
          <w:rFonts w:hint="eastAsia" w:ascii="宋体" w:hAnsi="宋体" w:eastAsia="宋体" w:cs="Times New Roman"/>
          <w:color w:val="auto"/>
          <w:kern w:val="0"/>
          <w:sz w:val="24"/>
          <w:szCs w:val="24"/>
          <w:highlight w:val="none"/>
        </w:rPr>
        <w:t>按安全生产法律规定及合同约定履行安全职责，如实</w:t>
      </w:r>
      <w:r>
        <w:rPr>
          <w:rFonts w:hint="eastAsia" w:ascii="宋体" w:hAnsi="宋体" w:eastAsia="宋体" w:cs="Times New Roman"/>
          <w:color w:val="auto"/>
          <w:sz w:val="24"/>
          <w:szCs w:val="24"/>
          <w:highlight w:val="none"/>
        </w:rPr>
        <w:t>编制工程安全生产的有关记录，</w:t>
      </w:r>
      <w:r>
        <w:rPr>
          <w:rFonts w:hint="eastAsia" w:ascii="宋体" w:hAnsi="宋体" w:eastAsia="宋体" w:cs="Times New Roman"/>
          <w:color w:val="auto"/>
          <w:kern w:val="0"/>
          <w:sz w:val="24"/>
          <w:szCs w:val="24"/>
          <w:highlight w:val="none"/>
        </w:rPr>
        <w:t>接受发包人、监理人及政府安全监督部门的检查与监督。</w:t>
      </w:r>
    </w:p>
    <w:p w14:paraId="21EE72D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6.1.3</w:t>
      </w:r>
      <w:r>
        <w:rPr>
          <w:rFonts w:hint="eastAsia" w:ascii="宋体" w:hAnsi="宋体" w:eastAsia="宋体" w:cs="Times New Roman"/>
          <w:color w:val="auto"/>
          <w:sz w:val="24"/>
          <w:szCs w:val="24"/>
          <w:highlight w:val="none"/>
        </w:rPr>
        <w:t>特别安全生产事项</w:t>
      </w:r>
    </w:p>
    <w:p w14:paraId="276741F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CB981C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eastAsia="宋体" w:cs="Times New Roman"/>
          <w:color w:val="auto"/>
          <w:sz w:val="24"/>
          <w:szCs w:val="24"/>
          <w:highlight w:val="none"/>
        </w:rPr>
        <w:t xml:space="preserve"> </w:t>
      </w:r>
    </w:p>
    <w:p w14:paraId="5882FB7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实施爆破作业，在放射、毒害性环境中施工（含储存、运输、使用）及使用毒害性、腐蚀性物品施工时，承包人应在施工前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天以书面通知发包人和监理人，并报送相应的安全防护措施，经发包人认可后实施。</w:t>
      </w:r>
    </w:p>
    <w:p w14:paraId="0ABD9F5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0A75FC4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6.1.4 </w:t>
      </w:r>
      <w:r>
        <w:rPr>
          <w:rFonts w:hint="eastAsia" w:ascii="宋体" w:hAnsi="宋体" w:eastAsia="宋体" w:cs="Times New Roman"/>
          <w:color w:val="auto"/>
          <w:sz w:val="24"/>
          <w:szCs w:val="24"/>
          <w:highlight w:val="none"/>
        </w:rPr>
        <w:t>治安保卫</w:t>
      </w:r>
    </w:p>
    <w:p w14:paraId="09993B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除专用合同条款另有约定外，发包人应与当地公安部门协商，在现场建立治安管理机构或联防组织，统一管理施工场地的治安保卫事项，履行合同工程的治安保卫职责。</w:t>
      </w:r>
    </w:p>
    <w:p w14:paraId="5F93B3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发包人和承包人除应协助现场治安管理机构或联防组织维护施工场地的社会治安外，还应做好包括生活区在内的各自管辖区的治安保卫工作。</w:t>
      </w:r>
    </w:p>
    <w:p w14:paraId="5053B18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除专用合同条款另有约定外，发包人和承包人应在工程开工后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48F6C962">
      <w:pPr>
        <w:spacing w:line="360" w:lineRule="auto"/>
        <w:ind w:firstLine="480" w:firstLineChars="200"/>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6.1.5 </w:t>
      </w:r>
      <w:r>
        <w:rPr>
          <w:rFonts w:hint="eastAsia" w:ascii="宋体" w:hAnsi="宋体" w:eastAsia="宋体" w:cs="Times New Roman"/>
          <w:color w:val="auto"/>
          <w:sz w:val="24"/>
          <w:szCs w:val="24"/>
          <w:highlight w:val="none"/>
        </w:rPr>
        <w:t>文明施工</w:t>
      </w:r>
    </w:p>
    <w:p w14:paraId="04794A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BEA82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BDE9AC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6.1.6 </w:t>
      </w:r>
      <w:r>
        <w:rPr>
          <w:rFonts w:hint="eastAsia" w:ascii="宋体" w:hAnsi="宋体" w:eastAsia="宋体" w:cs="Times New Roman"/>
          <w:color w:val="auto"/>
          <w:sz w:val="24"/>
          <w:szCs w:val="24"/>
          <w:highlight w:val="none"/>
        </w:rPr>
        <w:t>安全文明施工费</w:t>
      </w:r>
    </w:p>
    <w:p w14:paraId="26CB41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14:paraId="1391C2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DF6A7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除专用合同条款另有约定外，发包人应在开工后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天内预付安全文明施工费总额的</w:t>
      </w:r>
      <w:r>
        <w:rPr>
          <w:rFonts w:ascii="宋体" w:hAnsi="宋体" w:eastAsia="宋体" w:cs="Times New Roman"/>
          <w:color w:val="auto"/>
          <w:kern w:val="0"/>
          <w:sz w:val="24"/>
          <w:szCs w:val="24"/>
          <w:highlight w:val="none"/>
        </w:rPr>
        <w:t>50%</w:t>
      </w:r>
      <w:r>
        <w:rPr>
          <w:rFonts w:hint="eastAsia" w:ascii="宋体" w:hAnsi="宋体" w:eastAsia="宋体" w:cs="Times New Roman"/>
          <w:color w:val="auto"/>
          <w:kern w:val="0"/>
          <w:sz w:val="24"/>
          <w:szCs w:val="24"/>
          <w:highlight w:val="none"/>
        </w:rPr>
        <w:t>，其余部分与进度款同期支付。发包人逾期支付安全文明施工费超过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4C12C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5274318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6.1.7 </w:t>
      </w:r>
      <w:r>
        <w:rPr>
          <w:rFonts w:hint="eastAsia" w:ascii="宋体" w:hAnsi="宋体" w:eastAsia="宋体" w:cs="Times New Roman"/>
          <w:color w:val="auto"/>
          <w:kern w:val="0"/>
          <w:sz w:val="24"/>
          <w:szCs w:val="24"/>
          <w:highlight w:val="none"/>
        </w:rPr>
        <w:t>紧急情况处理</w:t>
      </w:r>
    </w:p>
    <w:p w14:paraId="623C3DB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97209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6.1.8 </w:t>
      </w:r>
      <w:r>
        <w:rPr>
          <w:rFonts w:hint="eastAsia" w:ascii="宋体" w:hAnsi="宋体" w:eastAsia="宋体" w:cs="Times New Roman"/>
          <w:color w:val="auto"/>
          <w:kern w:val="0"/>
          <w:sz w:val="24"/>
          <w:szCs w:val="24"/>
          <w:highlight w:val="none"/>
        </w:rPr>
        <w:t>事故处理</w:t>
      </w:r>
    </w:p>
    <w:p w14:paraId="5AA6D3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56063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 </w:t>
      </w:r>
      <w:r>
        <w:rPr>
          <w:rFonts w:hint="eastAsia" w:ascii="宋体" w:hAnsi="宋体" w:eastAsia="宋体" w:cs="Times New Roman"/>
          <w:color w:val="auto"/>
          <w:kern w:val="0"/>
          <w:sz w:val="24"/>
          <w:szCs w:val="24"/>
          <w:highlight w:val="none"/>
        </w:rPr>
        <w:t>安全生产责任</w:t>
      </w:r>
    </w:p>
    <w:p w14:paraId="1C0915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6.1.9.1 </w:t>
      </w:r>
      <w:r>
        <w:rPr>
          <w:rFonts w:hint="eastAsia" w:ascii="宋体" w:hAnsi="宋体" w:eastAsia="宋体" w:cs="Times New Roman"/>
          <w:color w:val="auto"/>
          <w:kern w:val="0"/>
          <w:sz w:val="24"/>
          <w:szCs w:val="24"/>
          <w:highlight w:val="none"/>
        </w:rPr>
        <w:t>发包人的安全责任</w:t>
      </w:r>
    </w:p>
    <w:p w14:paraId="53B8FDF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发包人应负责赔偿以下各种情况造成的损失：</w:t>
      </w:r>
    </w:p>
    <w:p w14:paraId="2999BAE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）工程或工程的任何部分对土地的占用所造成的第三者财产损失；</w:t>
      </w:r>
    </w:p>
    <w:p w14:paraId="15489F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）由于发包人原因在施工场地及其毗邻地带造成的第三者人身伤亡和财产损失；</w:t>
      </w:r>
    </w:p>
    <w:p w14:paraId="3DBF331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）由于发包人原因对承包人、监理人造成的人员人身伤亡和财产损失；</w:t>
      </w:r>
    </w:p>
    <w:p w14:paraId="32F7A16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）由于发包人原因造成的发包人自身人员的人身伤害以及财产损失。</w:t>
      </w:r>
    </w:p>
    <w:p w14:paraId="03FF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6.1.9.2 </w:t>
      </w:r>
      <w:r>
        <w:rPr>
          <w:rFonts w:hint="eastAsia" w:ascii="宋体" w:hAnsi="宋体" w:eastAsia="宋体" w:cs="Times New Roman"/>
          <w:color w:val="auto"/>
          <w:kern w:val="0"/>
          <w:sz w:val="24"/>
          <w:szCs w:val="24"/>
          <w:highlight w:val="none"/>
        </w:rPr>
        <w:t>承包人的安全责任</w:t>
      </w:r>
    </w:p>
    <w:p w14:paraId="782E5C28">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由于承包人原因在施工场地内及其毗邻地带造成的发包人、监理人以及第三者人员伤亡和财产损失，由承包人负责赔偿。</w:t>
      </w:r>
    </w:p>
    <w:p w14:paraId="35340FA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9" w:name="_Toc351203540"/>
      <w:r>
        <w:rPr>
          <w:rFonts w:ascii="Times New Roman" w:hAnsi="Times New Roman" w:eastAsia="Ђˎ̥" w:cs="Times New Roman"/>
          <w:color w:val="auto"/>
          <w:kern w:val="0"/>
          <w:sz w:val="24"/>
          <w:szCs w:val="24"/>
          <w:highlight w:val="none"/>
          <w:lang w:val="en-US" w:eastAsia="zh-CN" w:bidi="ar-SA"/>
        </w:rPr>
        <w:t>6</w:t>
      </w:r>
      <w:bookmarkStart w:id="260" w:name="_Toc337558765"/>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宋体"/>
          <w:color w:val="auto"/>
          <w:kern w:val="0"/>
          <w:sz w:val="24"/>
          <w:szCs w:val="24"/>
          <w:highlight w:val="none"/>
          <w:lang w:val="en-US" w:eastAsia="zh-CN" w:bidi="ar-SA"/>
        </w:rPr>
        <w:t>职业健康</w:t>
      </w:r>
      <w:bookmarkEnd w:id="259"/>
    </w:p>
    <w:bookmarkEnd w:id="260"/>
    <w:p w14:paraId="479177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6.2.1 </w:t>
      </w:r>
      <w:r>
        <w:rPr>
          <w:rFonts w:hint="eastAsia" w:ascii="宋体" w:hAnsi="宋体" w:eastAsia="宋体" w:cs="Times New Roman"/>
          <w:color w:val="auto"/>
          <w:kern w:val="0"/>
          <w:sz w:val="24"/>
          <w:szCs w:val="24"/>
          <w:highlight w:val="none"/>
        </w:rPr>
        <w:t>劳动保护</w:t>
      </w:r>
    </w:p>
    <w:p w14:paraId="561837F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0D7CC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承包人应按照法律规定保障现场施工人员的劳动安全，并提供劳动保护</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639103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0422AF9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6.2.2 </w:t>
      </w:r>
      <w:r>
        <w:rPr>
          <w:rFonts w:hint="eastAsia" w:ascii="宋体" w:hAnsi="宋体" w:eastAsia="宋体" w:cs="Times New Roman"/>
          <w:color w:val="auto"/>
          <w:kern w:val="0"/>
          <w:sz w:val="24"/>
          <w:szCs w:val="24"/>
          <w:highlight w:val="none"/>
        </w:rPr>
        <w:t>生活条件</w:t>
      </w:r>
    </w:p>
    <w:p w14:paraId="0E495F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在远离城镇的施工场地，还应配备必要的伤病防治和急救的医务人员与医疗设施。</w:t>
      </w:r>
    </w:p>
    <w:p w14:paraId="12396E0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1" w:name="_Toc351203541"/>
      <w:r>
        <w:rPr>
          <w:rFonts w:ascii="Times New Roman" w:hAnsi="Times New Roman" w:eastAsia="Ђˎ̥" w:cs="Times New Roman"/>
          <w:color w:val="auto"/>
          <w:kern w:val="0"/>
          <w:sz w:val="24"/>
          <w:szCs w:val="24"/>
          <w:highlight w:val="none"/>
          <w:lang w:val="en-US" w:eastAsia="zh-CN" w:bidi="ar-SA"/>
        </w:rPr>
        <w:t>6</w:t>
      </w:r>
      <w:bookmarkStart w:id="262" w:name="_Toc337558766"/>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环境保护</w:t>
      </w:r>
      <w:bookmarkEnd w:id="261"/>
    </w:p>
    <w:bookmarkEnd w:id="262"/>
    <w:p w14:paraId="15A7A5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80C63C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承包人应当承担因其原因引起的环境污染侵权损害赔偿责任，因上述环境污染引起纠纷而导致暂停施工的，由此增加的费用和（或）延误的工期由承包人承担。</w:t>
      </w:r>
    </w:p>
    <w:p w14:paraId="5240AF4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63" w:name="_Toc351203542"/>
      <w:bookmarkStart w:id="264" w:name="_Toc17965076"/>
      <w:r>
        <w:rPr>
          <w:rFonts w:ascii="Times New Roman" w:hAnsi="Times New Roman" w:eastAsia="黑体" w:cs="Times New Roman"/>
          <w:b/>
          <w:bCs/>
          <w:color w:val="auto"/>
          <w:kern w:val="2"/>
          <w:sz w:val="24"/>
          <w:szCs w:val="24"/>
          <w:highlight w:val="none"/>
          <w:lang w:val="en-US" w:eastAsia="zh-CN" w:bidi="ar-SA"/>
        </w:rPr>
        <w:t>7</w:t>
      </w:r>
      <w:bookmarkStart w:id="265" w:name="_Toc337558767"/>
      <w:r>
        <w:rPr>
          <w:rFonts w:ascii="Times New Roman" w:hAnsi="Times New Roman" w:eastAsia="黑体" w:cs="Times New Roman"/>
          <w:b/>
          <w:bCs/>
          <w:color w:val="auto"/>
          <w:kern w:val="2"/>
          <w:sz w:val="24"/>
          <w:szCs w:val="24"/>
          <w:highlight w:val="none"/>
          <w:lang w:val="en-US" w:eastAsia="zh-CN" w:bidi="ar-SA"/>
        </w:rPr>
        <w:t>. 工期和进度</w:t>
      </w:r>
      <w:bookmarkEnd w:id="263"/>
      <w:bookmarkEnd w:id="264"/>
    </w:p>
    <w:bookmarkEnd w:id="265"/>
    <w:p w14:paraId="448A9F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6" w:name="_Toc351203543"/>
      <w:r>
        <w:rPr>
          <w:rFonts w:ascii="Times New Roman" w:hAnsi="Times New Roman" w:eastAsia="Ђˎ̥" w:cs="Times New Roman"/>
          <w:color w:val="auto"/>
          <w:kern w:val="0"/>
          <w:sz w:val="24"/>
          <w:szCs w:val="24"/>
          <w:highlight w:val="none"/>
          <w:lang w:val="en-US" w:eastAsia="zh-CN" w:bidi="ar-SA"/>
        </w:rPr>
        <w:t>7</w:t>
      </w:r>
      <w:bookmarkStart w:id="267" w:name="_Toc337558768"/>
      <w:bookmarkStart w:id="268" w:name="_Toc296503066"/>
      <w:bookmarkStart w:id="269" w:name="_Toc296346567"/>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施工组织设计</w:t>
      </w:r>
      <w:bookmarkEnd w:id="266"/>
    </w:p>
    <w:bookmarkEnd w:id="267"/>
    <w:p w14:paraId="7B748C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7.1.1 </w:t>
      </w:r>
      <w:r>
        <w:rPr>
          <w:rFonts w:hint="eastAsia" w:ascii="宋体" w:hAnsi="宋体" w:eastAsia="宋体" w:cs="Times New Roman"/>
          <w:color w:val="auto"/>
          <w:kern w:val="0"/>
          <w:sz w:val="24"/>
          <w:szCs w:val="24"/>
          <w:highlight w:val="none"/>
        </w:rPr>
        <w:t>施工组织设计的内容</w:t>
      </w:r>
    </w:p>
    <w:p w14:paraId="682C3B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施工组织设计应包含以下内容：</w:t>
      </w:r>
    </w:p>
    <w:p w14:paraId="59C19D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）施工方案；</w:t>
      </w:r>
      <w:r>
        <w:rPr>
          <w:rFonts w:ascii="宋体" w:hAnsi="宋体" w:eastAsia="宋体" w:cs="Times New Roman"/>
          <w:color w:val="auto"/>
          <w:kern w:val="0"/>
          <w:sz w:val="24"/>
          <w:szCs w:val="24"/>
          <w:highlight w:val="none"/>
        </w:rPr>
        <w:t xml:space="preserve"> </w:t>
      </w:r>
    </w:p>
    <w:p w14:paraId="519B82D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）施工现场平面布置图；</w:t>
      </w:r>
    </w:p>
    <w:p w14:paraId="6E60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）施工进度计划和保证措施；</w:t>
      </w:r>
      <w:r>
        <w:rPr>
          <w:rFonts w:ascii="宋体" w:hAnsi="宋体" w:eastAsia="宋体" w:cs="Times New Roman"/>
          <w:color w:val="auto"/>
          <w:kern w:val="0"/>
          <w:sz w:val="24"/>
          <w:szCs w:val="24"/>
          <w:highlight w:val="none"/>
        </w:rPr>
        <w:t xml:space="preserve"> </w:t>
      </w:r>
    </w:p>
    <w:p w14:paraId="2CC101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）劳动力及材料供应计划；</w:t>
      </w:r>
    </w:p>
    <w:p w14:paraId="0087F2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）施工机械设备的选用；</w:t>
      </w:r>
    </w:p>
    <w:p w14:paraId="544BCA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）质量保证体系及措施；</w:t>
      </w:r>
    </w:p>
    <w:p w14:paraId="3C92EC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）安全生产、文明施工措施；</w:t>
      </w:r>
    </w:p>
    <w:p w14:paraId="23B583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）环境保护、成本控制措施；</w:t>
      </w:r>
    </w:p>
    <w:p w14:paraId="1E521A8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）合同当事人约定的其他内容。</w:t>
      </w:r>
    </w:p>
    <w:p w14:paraId="017058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7.1.2 </w:t>
      </w:r>
      <w:r>
        <w:rPr>
          <w:rFonts w:hint="eastAsia" w:ascii="宋体" w:hAnsi="宋体" w:eastAsia="宋体" w:cs="Times New Roman"/>
          <w:color w:val="auto"/>
          <w:kern w:val="0"/>
          <w:sz w:val="24"/>
          <w:szCs w:val="24"/>
          <w:highlight w:val="none"/>
        </w:rPr>
        <w:t>施工组织设计的提交和修改</w:t>
      </w:r>
    </w:p>
    <w:p w14:paraId="0CE164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除专用合同条款另有约定外，承包人应在合同签订后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天内，但至迟不得晚于第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天，向监理人提交详细的施工组织设计，并由监理人报送发包人。除专用合同条款另有约定外，发包人和监理人应在监理人收到施工组织设计后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天内确认或提出修改意见。对发包人和监理人提出的合理意见和要求，承包人应自费修改完善。根据工程实际情况需要修改施工组织设计的，承包人应向发包人和监理人提交修改后的施工组织设计。</w:t>
      </w:r>
    </w:p>
    <w:p w14:paraId="5BEB6C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施工进度计划的编制和修改按照第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款〔施工进度计划〕执行。</w:t>
      </w:r>
    </w:p>
    <w:p w14:paraId="1F91F30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0" w:name="_Toc351203544"/>
      <w:r>
        <w:rPr>
          <w:rFonts w:ascii="Times New Roman" w:hAnsi="Times New Roman" w:eastAsia="Ђˎ̥" w:cs="Times New Roman"/>
          <w:color w:val="auto"/>
          <w:kern w:val="0"/>
          <w:sz w:val="24"/>
          <w:szCs w:val="24"/>
          <w:highlight w:val="none"/>
          <w:lang w:val="en-US" w:eastAsia="zh-CN" w:bidi="ar-SA"/>
        </w:rPr>
        <w:t>7</w:t>
      </w:r>
      <w:bookmarkStart w:id="271" w:name="_Toc337558769"/>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Times New Roman"/>
          <w:color w:val="auto"/>
          <w:kern w:val="0"/>
          <w:sz w:val="24"/>
          <w:szCs w:val="24"/>
          <w:highlight w:val="none"/>
          <w:lang w:val="en-US" w:eastAsia="zh-CN" w:bidi="ar-SA"/>
        </w:rPr>
        <w:t>施工进度计划</w:t>
      </w:r>
      <w:bookmarkEnd w:id="270"/>
    </w:p>
    <w:bookmarkEnd w:id="271"/>
    <w:p w14:paraId="12BECF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7.2.1 </w:t>
      </w:r>
      <w:r>
        <w:rPr>
          <w:rFonts w:hint="eastAsia" w:ascii="宋体" w:hAnsi="宋体" w:eastAsia="宋体" w:cs="Times New Roman"/>
          <w:color w:val="auto"/>
          <w:kern w:val="0"/>
          <w:sz w:val="24"/>
          <w:szCs w:val="24"/>
          <w:highlight w:val="none"/>
        </w:rPr>
        <w:t>施工进度计划的编制</w:t>
      </w:r>
    </w:p>
    <w:p w14:paraId="5FFE6F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CF3E5E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7.2.2 </w:t>
      </w:r>
      <w:r>
        <w:rPr>
          <w:rFonts w:hint="eastAsia" w:ascii="宋体" w:hAnsi="宋体" w:eastAsia="宋体" w:cs="Times New Roman"/>
          <w:color w:val="auto"/>
          <w:sz w:val="24"/>
          <w:szCs w:val="24"/>
          <w:highlight w:val="none"/>
        </w:rPr>
        <w:t>施工进度计划的修订</w:t>
      </w:r>
    </w:p>
    <w:p w14:paraId="7354D9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天内完成审核和批准或提出修改意见。发包人和监理人对承包人提交的施工进度计划的确认，不能减轻或免除承包人根据法律规定和合同约定应承担的任何责任或义务。</w:t>
      </w:r>
    </w:p>
    <w:p w14:paraId="255CF94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2" w:name="_Toc351203545"/>
      <w:r>
        <w:rPr>
          <w:rFonts w:ascii="Times New Roman" w:hAnsi="Times New Roman" w:eastAsia="Ђˎ̥" w:cs="Times New Roman"/>
          <w:color w:val="auto"/>
          <w:kern w:val="0"/>
          <w:sz w:val="24"/>
          <w:szCs w:val="24"/>
          <w:highlight w:val="none"/>
          <w:lang w:val="en-US" w:eastAsia="zh-CN" w:bidi="ar-SA"/>
        </w:rPr>
        <w:t>7</w:t>
      </w:r>
      <w:bookmarkStart w:id="273" w:name="_Toc337558770"/>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开工</w:t>
      </w:r>
      <w:bookmarkEnd w:id="272"/>
    </w:p>
    <w:p w14:paraId="4E0F882C">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7.3.1 </w:t>
      </w:r>
      <w:r>
        <w:rPr>
          <w:rFonts w:hint="eastAsia" w:ascii="宋体" w:hAnsi="宋体" w:eastAsia="宋体" w:cs="Times New Roman"/>
          <w:color w:val="auto"/>
          <w:kern w:val="0"/>
          <w:sz w:val="24"/>
          <w:szCs w:val="24"/>
          <w:highlight w:val="none"/>
        </w:rPr>
        <w:t>开工准备</w:t>
      </w:r>
    </w:p>
    <w:p w14:paraId="0E12D34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1C757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除专用合同条款另有约定外，合同当事人应按约定完成开工准备工作。</w:t>
      </w:r>
    </w:p>
    <w:p w14:paraId="0A9F4D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7.3.2 </w:t>
      </w:r>
      <w:r>
        <w:rPr>
          <w:rFonts w:hint="eastAsia" w:ascii="宋体" w:hAnsi="宋体" w:eastAsia="宋体" w:cs="Times New Roman"/>
          <w:color w:val="auto"/>
          <w:kern w:val="0"/>
          <w:sz w:val="24"/>
          <w:szCs w:val="24"/>
          <w:highlight w:val="none"/>
        </w:rPr>
        <w:t>开工通知</w:t>
      </w:r>
    </w:p>
    <w:bookmarkEnd w:id="273"/>
    <w:p w14:paraId="40C838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发包人应按照法律规定获得工程施工所需的许可。经发包人同意后，监理人发出的开工通知应符合法律规定。监理人应在计划开工日期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天前向承包人发出开工通知，工期自开工通知中载明的开工日期起算。</w:t>
      </w:r>
    </w:p>
    <w:p w14:paraId="637717B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除专用合同条款另有约定外，因发包人原因造成监理人未能在计划开工日期之日起</w:t>
      </w:r>
      <w:r>
        <w:rPr>
          <w:rFonts w:ascii="宋体" w:hAnsi="宋体" w:eastAsia="宋体" w:cs="Times New Roman"/>
          <w:color w:val="auto"/>
          <w:kern w:val="0"/>
          <w:sz w:val="24"/>
          <w:szCs w:val="24"/>
          <w:highlight w:val="none"/>
        </w:rPr>
        <w:t>90</w:t>
      </w:r>
      <w:r>
        <w:rPr>
          <w:rFonts w:hint="eastAsia" w:ascii="宋体" w:hAnsi="宋体" w:eastAsia="宋体" w:cs="Times New Roman"/>
          <w:color w:val="auto"/>
          <w:kern w:val="0"/>
          <w:sz w:val="24"/>
          <w:szCs w:val="24"/>
          <w:highlight w:val="none"/>
        </w:rPr>
        <w:t>天内发出开工通知的，承包人有权提出价格调整要求，或者解除合同。发包人应当承担由此增加的费用和（或）延误的工期，并向承包人支付合理利润。</w:t>
      </w:r>
    </w:p>
    <w:p w14:paraId="620673E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4" w:name="_Toc351203546"/>
      <w:r>
        <w:rPr>
          <w:rFonts w:ascii="Times New Roman" w:hAnsi="Times New Roman" w:eastAsia="Ђˎ̥" w:cs="Times New Roman"/>
          <w:color w:val="auto"/>
          <w:kern w:val="0"/>
          <w:sz w:val="24"/>
          <w:szCs w:val="24"/>
          <w:highlight w:val="none"/>
          <w:lang w:val="en-US" w:eastAsia="zh-CN" w:bidi="ar-SA"/>
        </w:rPr>
        <w:t>7.4</w:t>
      </w:r>
      <w:r>
        <w:rPr>
          <w:rFonts w:hint="eastAsia" w:ascii="Times New Roman" w:hAnsi="Times New Roman" w:eastAsia="Ђˎ̥" w:cs="宋体"/>
          <w:color w:val="auto"/>
          <w:kern w:val="0"/>
          <w:sz w:val="24"/>
          <w:szCs w:val="24"/>
          <w:highlight w:val="none"/>
          <w:lang w:val="en-US" w:eastAsia="zh-CN" w:bidi="ar-SA"/>
        </w:rPr>
        <w:t>测量放线</w:t>
      </w:r>
      <w:bookmarkEnd w:id="274"/>
    </w:p>
    <w:p w14:paraId="1C2147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7.4.1 </w:t>
      </w:r>
      <w:r>
        <w:rPr>
          <w:rFonts w:hint="eastAsia" w:ascii="宋体" w:hAnsi="宋体" w:eastAsia="宋体" w:cs="Times New Roman"/>
          <w:color w:val="auto"/>
          <w:kern w:val="0"/>
          <w:sz w:val="24"/>
          <w:szCs w:val="24"/>
          <w:highlight w:val="none"/>
        </w:rPr>
        <w:t>除专用合同条款另有约定外，发包人应在至迟不得晚于第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天通过监理人向承包人提供测量基准点、基准线和水准点及其书面资料。发包人应对其提供的测量基准点、基准线和水准点及其书面资料的真实性、准确性和完整性负责。</w:t>
      </w:r>
    </w:p>
    <w:p w14:paraId="10646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CFAC3F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7.4.2 </w:t>
      </w:r>
      <w:r>
        <w:rPr>
          <w:rFonts w:hint="eastAsia" w:ascii="宋体" w:hAnsi="宋体" w:eastAsia="宋体" w:cs="Times New Roman"/>
          <w:color w:val="auto"/>
          <w:kern w:val="0"/>
          <w:sz w:val="24"/>
          <w:szCs w:val="24"/>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14:paraId="4A118B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施工过程中对施工现场内水准点等测量标志物的保护工作由承包人负责。</w:t>
      </w:r>
      <w:bookmarkStart w:id="275" w:name="_Toc351203547"/>
    </w:p>
    <w:p w14:paraId="3298D19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7</w:t>
      </w:r>
      <w:bookmarkEnd w:id="268"/>
      <w:bookmarkEnd w:id="269"/>
      <w:bookmarkStart w:id="276" w:name="_Toc296346574"/>
      <w:bookmarkStart w:id="277" w:name="_Toc337558772"/>
      <w:bookmarkStart w:id="278" w:name="_Toc296503073"/>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工期延误</w:t>
      </w:r>
      <w:bookmarkEnd w:id="275"/>
    </w:p>
    <w:bookmarkEnd w:id="276"/>
    <w:bookmarkEnd w:id="277"/>
    <w:bookmarkEnd w:id="278"/>
    <w:p w14:paraId="4FB66A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7.5.1 </w:t>
      </w:r>
      <w:r>
        <w:rPr>
          <w:rFonts w:hint="eastAsia" w:ascii="宋体" w:hAnsi="宋体" w:eastAsia="宋体" w:cs="Times New Roman"/>
          <w:color w:val="auto"/>
          <w:kern w:val="0"/>
          <w:sz w:val="24"/>
          <w:szCs w:val="24"/>
          <w:highlight w:val="none"/>
        </w:rPr>
        <w:t>因发包人原因导致工期延误</w:t>
      </w:r>
    </w:p>
    <w:p w14:paraId="47CE32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在合同履行过程中，因下列情况导致工期延误和（或）费用增加的，由发包人承担由此延误的工期和（或）增加的费用，且发包人应支付承包人合理的利润：</w:t>
      </w:r>
      <w:r>
        <w:rPr>
          <w:rFonts w:ascii="宋体" w:hAnsi="宋体" w:eastAsia="宋体" w:cs="Times New Roman"/>
          <w:color w:val="auto"/>
          <w:kern w:val="0"/>
          <w:sz w:val="24"/>
          <w:szCs w:val="24"/>
          <w:highlight w:val="none"/>
        </w:rPr>
        <w:t xml:space="preserve"> </w:t>
      </w:r>
    </w:p>
    <w:p w14:paraId="757800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）发包人未能按合同约定提供图纸或所提供图纸不符合合同约定的；</w:t>
      </w:r>
    </w:p>
    <w:p w14:paraId="011DF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）发包人未能按合同约定提供施工现场、施工条件、基础资料、许可、批准等开工条件的；</w:t>
      </w:r>
    </w:p>
    <w:p w14:paraId="42C602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）发包人提供的测量基准点、基准线和水准点及其书面资料存在错误或疏漏的；</w:t>
      </w:r>
    </w:p>
    <w:p w14:paraId="7C2B52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）发包人未能在计划开工日期之日起</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天内同意下达开工通知的；</w:t>
      </w:r>
    </w:p>
    <w:p w14:paraId="4A267A3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）发包人未能按合同约定日期支付工程预付款、进度款或竣工结算款的；</w:t>
      </w:r>
    </w:p>
    <w:p w14:paraId="3475E8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）监理人未按合同约定发出指示、批准等文件的；</w:t>
      </w:r>
    </w:p>
    <w:p w14:paraId="6312E5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）专用合同条款中约定的其他情形。</w:t>
      </w:r>
    </w:p>
    <w:p w14:paraId="05C6AB2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项〔施工进度计划的修订〕执行。</w:t>
      </w:r>
    </w:p>
    <w:p w14:paraId="7A6ADFA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7.5.2 </w:t>
      </w:r>
      <w:r>
        <w:rPr>
          <w:rFonts w:hint="eastAsia" w:ascii="宋体" w:hAnsi="宋体" w:eastAsia="宋体" w:cs="Times New Roman"/>
          <w:color w:val="auto"/>
          <w:kern w:val="0"/>
          <w:sz w:val="24"/>
          <w:szCs w:val="24"/>
          <w:highlight w:val="none"/>
        </w:rPr>
        <w:t>因承包人原因导致工期延误</w:t>
      </w:r>
    </w:p>
    <w:p w14:paraId="07613B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bookmarkStart w:id="279" w:name="_Toc296503076"/>
      <w:bookmarkStart w:id="280" w:name="_Toc296346577"/>
      <w:r>
        <w:rPr>
          <w:rFonts w:hint="eastAsia" w:ascii="宋体" w:hAnsi="宋体" w:eastAsia="宋体" w:cs="Times New Roman"/>
          <w:color w:val="auto"/>
          <w:kern w:val="0"/>
          <w:sz w:val="24"/>
          <w:szCs w:val="24"/>
          <w:highlight w:val="none"/>
        </w:rPr>
        <w:t>因</w:t>
      </w:r>
      <w:bookmarkEnd w:id="279"/>
      <w:bookmarkEnd w:id="280"/>
      <w:r>
        <w:rPr>
          <w:rFonts w:hint="eastAsia" w:ascii="宋体" w:hAnsi="宋体" w:eastAsia="宋体" w:cs="Times New Roman"/>
          <w:color w:val="auto"/>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1A700B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1" w:name="_Toc351203548"/>
      <w:r>
        <w:rPr>
          <w:rFonts w:ascii="Times New Roman" w:hAnsi="Times New Roman" w:eastAsia="Ђˎ̥" w:cs="Times New Roman"/>
          <w:color w:val="auto"/>
          <w:kern w:val="0"/>
          <w:sz w:val="24"/>
          <w:szCs w:val="24"/>
          <w:highlight w:val="none"/>
          <w:lang w:val="en-US" w:eastAsia="zh-CN" w:bidi="ar-SA"/>
        </w:rPr>
        <w:t>7</w:t>
      </w:r>
      <w:bookmarkStart w:id="282" w:name="_Toc337558773"/>
      <w:bookmarkStart w:id="283" w:name="_Toc296346575"/>
      <w:bookmarkStart w:id="284" w:name="_Toc296503074"/>
      <w:bookmarkStart w:id="285" w:name="_Toc296346578"/>
      <w:bookmarkStart w:id="286" w:name="_Toc296503077"/>
      <w:r>
        <w:rPr>
          <w:rFonts w:ascii="Times New Roman" w:hAnsi="Times New Roman" w:eastAsia="Ђˎ̥" w:cs="Times New Roman"/>
          <w:color w:val="auto"/>
          <w:kern w:val="0"/>
          <w:sz w:val="24"/>
          <w:szCs w:val="24"/>
          <w:highlight w:val="none"/>
          <w:lang w:val="en-US" w:eastAsia="zh-CN" w:bidi="ar-SA"/>
        </w:rPr>
        <w:t xml:space="preserve">.6 </w:t>
      </w:r>
      <w:r>
        <w:rPr>
          <w:rFonts w:hint="eastAsia" w:ascii="Times New Roman" w:hAnsi="Times New Roman" w:eastAsia="Ђˎ̥" w:cs="Times New Roman"/>
          <w:color w:val="auto"/>
          <w:kern w:val="0"/>
          <w:sz w:val="24"/>
          <w:szCs w:val="24"/>
          <w:highlight w:val="none"/>
          <w:lang w:val="en-US" w:eastAsia="zh-CN" w:bidi="ar-SA"/>
        </w:rPr>
        <w:t>不利物质条件</w:t>
      </w:r>
      <w:bookmarkEnd w:id="281"/>
    </w:p>
    <w:bookmarkEnd w:id="282"/>
    <w:bookmarkEnd w:id="283"/>
    <w:bookmarkEnd w:id="284"/>
    <w:p w14:paraId="0F10538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E968C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条〔变更〕约定执行。承包人因采取合理措施而增加的费用和（或）延误的工期由发包人承担。</w:t>
      </w:r>
    </w:p>
    <w:p w14:paraId="72EE4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7" w:name="_Toc351203549"/>
      <w:r>
        <w:rPr>
          <w:rFonts w:ascii="Times New Roman" w:hAnsi="Times New Roman" w:eastAsia="Ђˎ̥" w:cs="Times New Roman"/>
          <w:color w:val="auto"/>
          <w:kern w:val="0"/>
          <w:sz w:val="24"/>
          <w:szCs w:val="24"/>
          <w:highlight w:val="none"/>
          <w:lang w:val="en-US" w:eastAsia="zh-CN" w:bidi="ar-SA"/>
        </w:rPr>
        <w:t>7</w:t>
      </w:r>
      <w:bookmarkStart w:id="288" w:name="_Toc337558774"/>
      <w:bookmarkStart w:id="289" w:name="_Toc296346576"/>
      <w:bookmarkStart w:id="290" w:name="_Toc296503075"/>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Times New Roman"/>
          <w:color w:val="auto"/>
          <w:kern w:val="0"/>
          <w:sz w:val="24"/>
          <w:szCs w:val="24"/>
          <w:highlight w:val="none"/>
          <w:lang w:val="en-US" w:eastAsia="zh-CN" w:bidi="ar-SA"/>
        </w:rPr>
        <w:t>异常恶劣的气候条件</w:t>
      </w:r>
      <w:bookmarkEnd w:id="287"/>
    </w:p>
    <w:bookmarkEnd w:id="288"/>
    <w:bookmarkEnd w:id="289"/>
    <w:bookmarkEnd w:id="290"/>
    <w:p w14:paraId="00A627E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EA4263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承包人应采取克服异常恶劣的气候条件的合理措施继续施工，并及时通知发包人和监理人。监理人经发包人同意后应当及时发出指示，指示构成变更的，按第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条〔变更〕约定办理。承包人因采取合理措施而增加的费用和（或）延误的工期由发包人承担。</w:t>
      </w:r>
      <w:bookmarkStart w:id="291" w:name="_Toc351203550"/>
    </w:p>
    <w:p w14:paraId="6BEB2F0A">
      <w:pPr>
        <w:autoSpaceDE w:val="0"/>
        <w:autoSpaceDN w:val="0"/>
        <w:adjustRightInd w:val="0"/>
        <w:spacing w:line="360" w:lineRule="auto"/>
        <w:ind w:firstLine="480" w:firstLineChars="200"/>
        <w:jc w:val="left"/>
        <w:outlineLvl w:val="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7</w:t>
      </w:r>
      <w:bookmarkStart w:id="292" w:name="_Toc337558775"/>
      <w:r>
        <w:rPr>
          <w:rFonts w:ascii="宋体" w:hAnsi="宋体" w:eastAsia="宋体" w:cs="Times New Roman"/>
          <w:bCs/>
          <w:color w:val="auto"/>
          <w:sz w:val="24"/>
          <w:szCs w:val="24"/>
          <w:highlight w:val="none"/>
        </w:rPr>
        <w:t xml:space="preserve">.8 </w:t>
      </w:r>
      <w:r>
        <w:rPr>
          <w:rFonts w:hint="eastAsia" w:ascii="宋体" w:hAnsi="宋体" w:eastAsia="宋体" w:cs="Times New Roman"/>
          <w:bCs/>
          <w:color w:val="auto"/>
          <w:sz w:val="24"/>
          <w:szCs w:val="24"/>
          <w:highlight w:val="none"/>
        </w:rPr>
        <w:t>暂停施工</w:t>
      </w:r>
      <w:bookmarkEnd w:id="291"/>
    </w:p>
    <w:bookmarkEnd w:id="285"/>
    <w:bookmarkEnd w:id="286"/>
    <w:bookmarkEnd w:id="292"/>
    <w:p w14:paraId="4EC19C2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7.8.1</w:t>
      </w:r>
      <w:r>
        <w:rPr>
          <w:rFonts w:hint="eastAsia" w:ascii="宋体" w:hAnsi="宋体" w:eastAsia="宋体" w:cs="Times New Roman"/>
          <w:color w:val="auto"/>
          <w:kern w:val="0"/>
          <w:sz w:val="24"/>
          <w:szCs w:val="24"/>
          <w:highlight w:val="none"/>
        </w:rPr>
        <w:t>发包人原因引起的暂停施工</w:t>
      </w:r>
    </w:p>
    <w:p w14:paraId="610A67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因发包人原因引起暂停施工的，监理人经发包人同意后，应及时下达暂停施工指示。情况紧急且监理人未及时下达暂停施工指示的，按照第</w:t>
      </w:r>
      <w:r>
        <w:rPr>
          <w:rFonts w:ascii="宋体" w:hAnsi="宋体" w:eastAsia="宋体" w:cs="Times New Roman"/>
          <w:color w:val="auto"/>
          <w:kern w:val="0"/>
          <w:sz w:val="24"/>
          <w:szCs w:val="24"/>
          <w:highlight w:val="none"/>
        </w:rPr>
        <w:t>7.8.4</w:t>
      </w:r>
      <w:r>
        <w:rPr>
          <w:rFonts w:hint="eastAsia" w:ascii="宋体" w:hAnsi="宋体" w:eastAsia="宋体" w:cs="Times New Roman"/>
          <w:color w:val="auto"/>
          <w:kern w:val="0"/>
          <w:sz w:val="24"/>
          <w:szCs w:val="24"/>
          <w:highlight w:val="none"/>
        </w:rPr>
        <w:t>项〔紧急情况下的暂停施工〕执行。</w:t>
      </w:r>
    </w:p>
    <w:p w14:paraId="501B61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因发包人原因引起的暂停施工，发包人应承担由此增加的费用和（或）延误的工期，并支付承包人合理的利润。</w:t>
      </w:r>
    </w:p>
    <w:p w14:paraId="759E14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7.8.2 </w:t>
      </w:r>
      <w:r>
        <w:rPr>
          <w:rFonts w:hint="eastAsia" w:ascii="宋体" w:hAnsi="宋体" w:eastAsia="宋体" w:cs="Times New Roman"/>
          <w:color w:val="auto"/>
          <w:kern w:val="0"/>
          <w:sz w:val="24"/>
          <w:szCs w:val="24"/>
          <w:highlight w:val="none"/>
        </w:rPr>
        <w:t>承包人原因引起的暂停施工</w:t>
      </w:r>
    </w:p>
    <w:p w14:paraId="07F8C2B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因承包人原因引起的暂停施工，承包人应承担由此增加的费用和（或）延误的工期，且承包人在收到监理人复工指示后</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天内仍未复工的，视为第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）目约定的承包人无法继续履行合同的情形。</w:t>
      </w:r>
    </w:p>
    <w:p w14:paraId="686F02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7.8.3 </w:t>
      </w:r>
      <w:r>
        <w:rPr>
          <w:rFonts w:hint="eastAsia" w:ascii="宋体" w:hAnsi="宋体" w:eastAsia="宋体" w:cs="Times New Roman"/>
          <w:color w:val="auto"/>
          <w:kern w:val="0"/>
          <w:sz w:val="24"/>
          <w:szCs w:val="24"/>
          <w:highlight w:val="none"/>
        </w:rPr>
        <w:t>指示暂停施工</w:t>
      </w:r>
    </w:p>
    <w:p w14:paraId="5B66DF2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监理人认为有必要时，并经发包人批准后，可向承包人作出暂停施工的指示，承包人应按监理人指示暂停施工。</w:t>
      </w:r>
    </w:p>
    <w:p w14:paraId="60CFD7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7.8.4 </w:t>
      </w:r>
      <w:r>
        <w:rPr>
          <w:rFonts w:hint="eastAsia" w:ascii="宋体" w:hAnsi="宋体" w:eastAsia="宋体" w:cs="Times New Roman"/>
          <w:color w:val="auto"/>
          <w:kern w:val="0"/>
          <w:sz w:val="24"/>
          <w:szCs w:val="24"/>
          <w:highlight w:val="none"/>
        </w:rPr>
        <w:t>紧急情况下的暂停施工</w:t>
      </w:r>
    </w:p>
    <w:p w14:paraId="533FB2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因紧急情况需暂停施工，且监理人未及时下达暂停施工指示的，承包人可先暂停施工，并及时通知监理人。监理人应在接到通知后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小时内发出指示，逾期未发出指示，视为同意承包人暂停施工。监理人不同意承包人暂停施工的，应说明理由，承包人对监理人的答复有异议，按照第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A72927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7.8.5 </w:t>
      </w:r>
      <w:r>
        <w:rPr>
          <w:rFonts w:hint="eastAsia" w:ascii="宋体" w:hAnsi="宋体" w:eastAsia="宋体" w:cs="Times New Roman"/>
          <w:color w:val="auto"/>
          <w:kern w:val="0"/>
          <w:sz w:val="24"/>
          <w:szCs w:val="24"/>
          <w:highlight w:val="none"/>
        </w:rPr>
        <w:t>暂停施工后的复工</w:t>
      </w:r>
    </w:p>
    <w:p w14:paraId="3F218D8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8D7EDD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承包人无故拖延和拒绝复工的，承包人承担由此增加的费用和（或）延误的工期；因发包人原因无法按时复工的，按照第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65B3F78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7.8.6 </w:t>
      </w: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天以上</w:t>
      </w:r>
    </w:p>
    <w:p w14:paraId="04CD6384">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监理人发出暂停施工指示后</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天内未向承包人发出复工通知，除该项停工属于第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条〔不可抗力〕约定的情形外，承包人可向发包人提交书面通知，要求发包人在收到书面通知后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天内准许已暂停施工的部分或全部工程继续施工。发包人逾期不予批准的，则承包人可以通知发包人，将工程受影响的部分视为按第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）项的可取消工作。</w:t>
      </w:r>
    </w:p>
    <w:p w14:paraId="518E7E7D">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天以上不复工的，且不属于第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条〔不可抗力〕约定的情形，并影响到整个工程以及合同目的实现的，承包人有权提出价格调整要求，或者解除合同。解除合同的，按照第</w:t>
      </w:r>
      <w:r>
        <w:rPr>
          <w:rFonts w:ascii="宋体" w:hAnsi="宋体" w:eastAsia="宋体" w:cs="Times New Roman"/>
          <w:color w:val="auto"/>
          <w:kern w:val="0"/>
          <w:sz w:val="24"/>
          <w:szCs w:val="24"/>
          <w:highlight w:val="none"/>
        </w:rPr>
        <w:t>16.1.3</w:t>
      </w:r>
      <w:r>
        <w:rPr>
          <w:rFonts w:hint="eastAsia" w:ascii="宋体" w:hAnsi="宋体" w:eastAsia="宋体" w:cs="Times New Roman"/>
          <w:color w:val="auto"/>
          <w:kern w:val="0"/>
          <w:sz w:val="24"/>
          <w:szCs w:val="24"/>
          <w:highlight w:val="none"/>
        </w:rPr>
        <w:t>项〔因发包人违约解除合同〕执行。</w:t>
      </w:r>
    </w:p>
    <w:p w14:paraId="75C9021F">
      <w:pPr>
        <w:spacing w:line="360" w:lineRule="auto"/>
        <w:ind w:left="16"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7.8.7 </w:t>
      </w:r>
      <w:r>
        <w:rPr>
          <w:rFonts w:hint="eastAsia" w:ascii="宋体" w:hAnsi="宋体" w:eastAsia="宋体" w:cs="Times New Roman"/>
          <w:color w:val="auto"/>
          <w:kern w:val="0"/>
          <w:sz w:val="24"/>
          <w:szCs w:val="24"/>
          <w:highlight w:val="none"/>
        </w:rPr>
        <w:t>暂停施工期间的工程照管</w:t>
      </w:r>
    </w:p>
    <w:p w14:paraId="643999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暂停施工期间，承包人应负责妥善照管工程并提供安全保障，由此增加的费用由责任方承担。</w:t>
      </w:r>
    </w:p>
    <w:p w14:paraId="3F228FD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7.8.8 </w:t>
      </w:r>
      <w:r>
        <w:rPr>
          <w:rFonts w:hint="eastAsia" w:ascii="宋体" w:hAnsi="宋体" w:eastAsia="宋体" w:cs="Times New Roman"/>
          <w:color w:val="auto"/>
          <w:kern w:val="0"/>
          <w:sz w:val="24"/>
          <w:szCs w:val="24"/>
          <w:highlight w:val="none"/>
        </w:rPr>
        <w:t>暂停施工的措施</w:t>
      </w:r>
    </w:p>
    <w:p w14:paraId="47B52B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暂停施工期间，发包人和承包人均应采取必要的措施确保工程质量及安全，防止因暂停施工扩大损失。</w:t>
      </w:r>
    </w:p>
    <w:p w14:paraId="2D2C86D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3" w:name="_Toc351203551"/>
      <w:r>
        <w:rPr>
          <w:rFonts w:ascii="Times New Roman" w:hAnsi="Times New Roman" w:eastAsia="Ђˎ̥" w:cs="Times New Roman"/>
          <w:color w:val="auto"/>
          <w:kern w:val="0"/>
          <w:sz w:val="24"/>
          <w:szCs w:val="24"/>
          <w:highlight w:val="none"/>
          <w:lang w:val="en-US" w:eastAsia="zh-CN" w:bidi="ar-SA"/>
        </w:rPr>
        <w:t>7.9</w:t>
      </w:r>
      <w:r>
        <w:rPr>
          <w:rFonts w:hint="eastAsia" w:ascii="Times New Roman" w:hAnsi="Times New Roman" w:eastAsia="Ђˎ̥" w:cs="宋体"/>
          <w:color w:val="auto"/>
          <w:kern w:val="0"/>
          <w:sz w:val="24"/>
          <w:szCs w:val="24"/>
          <w:highlight w:val="none"/>
          <w:lang w:val="en-US" w:eastAsia="zh-CN" w:bidi="ar-SA"/>
        </w:rPr>
        <w:t>提前竣工</w:t>
      </w:r>
      <w:bookmarkEnd w:id="293"/>
    </w:p>
    <w:p w14:paraId="67FC012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7.9.1 </w:t>
      </w:r>
      <w:r>
        <w:rPr>
          <w:rFonts w:hint="eastAsia" w:ascii="宋体" w:hAnsi="宋体" w:eastAsia="宋体" w:cs="Times New Roman"/>
          <w:color w:val="auto"/>
          <w:kern w:val="0"/>
          <w:sz w:val="24"/>
          <w:szCs w:val="24"/>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天内予以答复。任何情况下，发包人不得压缩合理工期。</w:t>
      </w:r>
    </w:p>
    <w:p w14:paraId="64A3C84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7.9.2 </w:t>
      </w:r>
      <w:r>
        <w:rPr>
          <w:rFonts w:hint="eastAsia" w:ascii="宋体" w:hAnsi="宋体" w:eastAsia="宋体" w:cs="Times New Roman"/>
          <w:color w:val="auto"/>
          <w:kern w:val="0"/>
          <w:sz w:val="24"/>
          <w:szCs w:val="24"/>
          <w:highlight w:val="none"/>
        </w:rPr>
        <w:t>发包人要求承包人提前竣工，或承包人提出提前竣工的建议能够给发包人带来效益的，合同当事人可以在专用合同条款中约定提前竣工的奖励。</w:t>
      </w:r>
    </w:p>
    <w:p w14:paraId="0BC20E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94" w:name="_Toc351203552"/>
      <w:bookmarkStart w:id="295" w:name="_Toc17965077"/>
      <w:r>
        <w:rPr>
          <w:rFonts w:ascii="Times New Roman" w:hAnsi="Times New Roman" w:eastAsia="黑体" w:cs="Times New Roman"/>
          <w:b/>
          <w:bCs/>
          <w:color w:val="auto"/>
          <w:kern w:val="2"/>
          <w:sz w:val="24"/>
          <w:szCs w:val="24"/>
          <w:highlight w:val="none"/>
          <w:lang w:val="en-US" w:eastAsia="zh-CN" w:bidi="ar-SA"/>
        </w:rPr>
        <w:t>8</w:t>
      </w:r>
      <w:bookmarkStart w:id="296" w:name="_Toc296503058"/>
      <w:bookmarkStart w:id="297" w:name="_Toc337558776"/>
      <w:bookmarkStart w:id="298" w:name="_Toc296346559"/>
      <w:r>
        <w:rPr>
          <w:rFonts w:ascii="Times New Roman" w:hAnsi="Times New Roman" w:eastAsia="黑体" w:cs="Times New Roman"/>
          <w:b/>
          <w:bCs/>
          <w:color w:val="auto"/>
          <w:kern w:val="2"/>
          <w:sz w:val="24"/>
          <w:szCs w:val="24"/>
          <w:highlight w:val="none"/>
          <w:lang w:val="en-US" w:eastAsia="zh-CN" w:bidi="ar-SA"/>
        </w:rPr>
        <w:t>. 材料与设备</w:t>
      </w:r>
      <w:bookmarkEnd w:id="294"/>
      <w:bookmarkEnd w:id="295"/>
    </w:p>
    <w:bookmarkEnd w:id="296"/>
    <w:bookmarkEnd w:id="297"/>
    <w:bookmarkEnd w:id="298"/>
    <w:p w14:paraId="0D2D7BB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9" w:name="_Toc351203553"/>
      <w:r>
        <w:rPr>
          <w:rFonts w:ascii="Times New Roman" w:hAnsi="Times New Roman" w:eastAsia="Ђˎ̥" w:cs="Times New Roman"/>
          <w:color w:val="auto"/>
          <w:kern w:val="0"/>
          <w:sz w:val="24"/>
          <w:szCs w:val="24"/>
          <w:highlight w:val="none"/>
          <w:lang w:val="en-US" w:eastAsia="zh-CN" w:bidi="ar-SA"/>
        </w:rPr>
        <w:t>8</w:t>
      </w:r>
      <w:bookmarkStart w:id="300" w:name="_Toc337558777"/>
      <w:bookmarkStart w:id="301" w:name="_Toc296346560"/>
      <w:bookmarkStart w:id="302" w:name="_Toc296503059"/>
      <w:bookmarkStart w:id="303" w:name="_Toc468936960"/>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发包人供应材料与工程设备</w:t>
      </w:r>
      <w:bookmarkEnd w:id="299"/>
    </w:p>
    <w:bookmarkEnd w:id="300"/>
    <w:bookmarkEnd w:id="301"/>
    <w:bookmarkEnd w:id="302"/>
    <w:p w14:paraId="4382F6D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14:paraId="5B6EC7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承包人应提前</w:t>
      </w:r>
      <w:r>
        <w:rPr>
          <w:rFonts w:ascii="宋体" w:hAnsi="宋体" w:eastAsia="宋体" w:cs="Times New Roman"/>
          <w:color w:val="auto"/>
          <w:kern w:val="0"/>
          <w:sz w:val="24"/>
          <w:szCs w:val="24"/>
          <w:highlight w:val="none"/>
        </w:rPr>
        <w:t>30</w:t>
      </w:r>
      <w:r>
        <w:rPr>
          <w:rFonts w:hint="eastAsia" w:ascii="宋体" w:hAnsi="宋体" w:eastAsia="宋体" w:cs="Times New Roman"/>
          <w:color w:val="auto"/>
          <w:kern w:val="0"/>
          <w:sz w:val="24"/>
          <w:szCs w:val="24"/>
          <w:highlight w:val="none"/>
        </w:rPr>
        <w:t>天通过监理人以书面形式通知发包人供应材料与工程设备进场。承包人按照第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项〔施工进度计划的修订〕约定修订施工进度计划时，需同时提交经修订后的发包人供应材料与工程设备的进场计划。</w:t>
      </w:r>
    </w:p>
    <w:p w14:paraId="63CA46E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4" w:name="_Toc351203554"/>
      <w:r>
        <w:rPr>
          <w:rFonts w:ascii="Times New Roman" w:hAnsi="Times New Roman" w:eastAsia="Ђˎ̥" w:cs="Times New Roman"/>
          <w:color w:val="auto"/>
          <w:kern w:val="0"/>
          <w:sz w:val="24"/>
          <w:szCs w:val="24"/>
          <w:highlight w:val="none"/>
          <w:lang w:val="en-US" w:eastAsia="zh-CN" w:bidi="ar-SA"/>
        </w:rPr>
        <w:t>8</w:t>
      </w:r>
      <w:bookmarkStart w:id="305" w:name="_Toc296346561"/>
      <w:bookmarkStart w:id="306" w:name="_Toc296503060"/>
      <w:bookmarkStart w:id="307" w:name="_Toc337558778"/>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承包人采购材料与工程设备</w:t>
      </w:r>
      <w:bookmarkEnd w:id="304"/>
    </w:p>
    <w:bookmarkEnd w:id="305"/>
    <w:bookmarkEnd w:id="306"/>
    <w:bookmarkEnd w:id="307"/>
    <w:p w14:paraId="1DE211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AF72B7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8" w:name="_Toc351203555"/>
      <w:r>
        <w:rPr>
          <w:rFonts w:ascii="Times New Roman" w:hAnsi="Times New Roman" w:eastAsia="Ђˎ̥" w:cs="Times New Roman"/>
          <w:color w:val="auto"/>
          <w:kern w:val="0"/>
          <w:sz w:val="24"/>
          <w:szCs w:val="24"/>
          <w:highlight w:val="none"/>
          <w:lang w:val="en-US" w:eastAsia="zh-CN" w:bidi="ar-SA"/>
        </w:rPr>
        <w:t>8</w:t>
      </w:r>
      <w:bookmarkStart w:id="309" w:name="_Toc296346562"/>
      <w:bookmarkStart w:id="310" w:name="_Toc337558779"/>
      <w:bookmarkStart w:id="311" w:name="_Toc296503061"/>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材料与工程设备的接收与拒收</w:t>
      </w:r>
      <w:bookmarkEnd w:id="308"/>
    </w:p>
    <w:bookmarkEnd w:id="309"/>
    <w:bookmarkEnd w:id="310"/>
    <w:bookmarkEnd w:id="311"/>
    <w:p w14:paraId="11DA4C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8.3.1 </w:t>
      </w:r>
      <w:r>
        <w:rPr>
          <w:rFonts w:hint="eastAsia" w:ascii="宋体" w:hAnsi="宋体" w:eastAsia="宋体" w:cs="Times New Roman"/>
          <w:color w:val="auto"/>
          <w:kern w:val="0"/>
          <w:sz w:val="24"/>
          <w:szCs w:val="24"/>
          <w:highlight w:val="none"/>
        </w:rPr>
        <w:t>发包人应按《发包人供应材料设备一览表》约定的内容提供材料和工程设备，并向承包人提供产品合格证明及出厂证明，对其质量负责。发包人应提前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小时以书面形式通知承包人、监理人材料和工程设备到货时间，承包人负责材料和工程设备的清点、检验和接收。</w:t>
      </w:r>
    </w:p>
    <w:p w14:paraId="1132E0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发包人提供的材料和工程设备的规格、数量或质量不符合合同约定的，或因发包人原因导致交货日期延误或交货地点变更等情况的，按照第</w:t>
      </w:r>
      <w:r>
        <w:rPr>
          <w:rFonts w:ascii="宋体" w:hAnsi="宋体" w:eastAsia="宋体" w:cs="Times New Roman"/>
          <w:color w:val="auto"/>
          <w:kern w:val="0"/>
          <w:sz w:val="24"/>
          <w:szCs w:val="24"/>
          <w:highlight w:val="none"/>
        </w:rPr>
        <w:t>16.1</w:t>
      </w:r>
      <w:r>
        <w:rPr>
          <w:rFonts w:hint="eastAsia" w:ascii="宋体" w:hAnsi="宋体" w:eastAsia="宋体" w:cs="Times New Roman"/>
          <w:color w:val="auto"/>
          <w:kern w:val="0"/>
          <w:sz w:val="24"/>
          <w:szCs w:val="24"/>
          <w:highlight w:val="none"/>
        </w:rPr>
        <w:t>款〔发包人违约〕约定办理。</w:t>
      </w:r>
    </w:p>
    <w:p w14:paraId="5E4F37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8.3.2 </w:t>
      </w:r>
      <w:r>
        <w:rPr>
          <w:rFonts w:hint="eastAsia" w:ascii="宋体" w:hAnsi="宋体" w:eastAsia="宋体" w:cs="Times New Roman"/>
          <w:color w:val="auto"/>
          <w:kern w:val="0"/>
          <w:sz w:val="24"/>
          <w:szCs w:val="24"/>
          <w:highlight w:val="none"/>
        </w:rPr>
        <w:t>承包人采购的材料和工程设备，应保证产品质量合格，承包人应在材料和工程设备到货前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小时通知监理人检验。承</w:t>
      </w:r>
      <w:bookmarkStart w:id="312" w:name="_Toc250655469"/>
      <w:r>
        <w:rPr>
          <w:rFonts w:hint="eastAsia" w:ascii="宋体" w:hAnsi="宋体" w:eastAsia="宋体" w:cs="Times New Roman"/>
          <w:color w:val="auto"/>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312"/>
    <w:p w14:paraId="7E287257">
      <w:pPr>
        <w:autoSpaceDE w:val="0"/>
        <w:autoSpaceDN w:val="0"/>
        <w:adjustRightInd w:val="0"/>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49D99D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3" w:name="_Toc351203556"/>
      <w:r>
        <w:rPr>
          <w:rFonts w:ascii="Times New Roman" w:hAnsi="Times New Roman" w:eastAsia="Ђˎ̥" w:cs="Times New Roman"/>
          <w:color w:val="auto"/>
          <w:kern w:val="0"/>
          <w:sz w:val="24"/>
          <w:szCs w:val="24"/>
          <w:highlight w:val="none"/>
          <w:lang w:val="en-US" w:eastAsia="zh-CN" w:bidi="ar-SA"/>
        </w:rPr>
        <w:t>8</w:t>
      </w:r>
      <w:bookmarkStart w:id="314" w:name="_Toc296346563"/>
      <w:bookmarkStart w:id="315" w:name="_Toc337558780"/>
      <w:bookmarkStart w:id="316" w:name="_Toc296503062"/>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材料与工程设备的保管与使用</w:t>
      </w:r>
      <w:bookmarkEnd w:id="313"/>
    </w:p>
    <w:bookmarkEnd w:id="314"/>
    <w:bookmarkEnd w:id="315"/>
    <w:bookmarkEnd w:id="316"/>
    <w:p w14:paraId="2EACC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8.4.1 </w:t>
      </w:r>
      <w:r>
        <w:rPr>
          <w:rFonts w:hint="eastAsia" w:ascii="宋体" w:hAnsi="宋体" w:eastAsia="宋体" w:cs="Times New Roman"/>
          <w:color w:val="auto"/>
          <w:kern w:val="0"/>
          <w:sz w:val="24"/>
          <w:szCs w:val="24"/>
          <w:highlight w:val="none"/>
        </w:rPr>
        <w:t>发包人供应</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08E9868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4CAB17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发包人供应的材料和工程设备使用前，由承包人负责检验，检验费用由发包人承担，不合格的不得使用。</w:t>
      </w:r>
    </w:p>
    <w:p w14:paraId="61BB3E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8.4.2 </w:t>
      </w:r>
      <w:r>
        <w:rPr>
          <w:rFonts w:hint="eastAsia" w:ascii="宋体" w:hAnsi="宋体" w:eastAsia="宋体" w:cs="Times New Roman"/>
          <w:color w:val="auto"/>
          <w:kern w:val="0"/>
          <w:sz w:val="24"/>
          <w:szCs w:val="24"/>
          <w:highlight w:val="none"/>
        </w:rPr>
        <w:t>承包人采购</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3B27931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05E807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14:paraId="7F19144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7" w:name="_Toc351203557"/>
      <w:r>
        <w:rPr>
          <w:rFonts w:ascii="Times New Roman" w:hAnsi="Times New Roman" w:eastAsia="Ђˎ̥" w:cs="Times New Roman"/>
          <w:color w:val="auto"/>
          <w:kern w:val="0"/>
          <w:sz w:val="24"/>
          <w:szCs w:val="24"/>
          <w:highlight w:val="none"/>
          <w:lang w:val="en-US" w:eastAsia="zh-CN" w:bidi="ar-SA"/>
        </w:rPr>
        <w:t>8.5</w:t>
      </w:r>
      <w:r>
        <w:rPr>
          <w:rFonts w:hint="eastAsia" w:ascii="Times New Roman" w:hAnsi="Times New Roman" w:eastAsia="Ђˎ̥" w:cs="Times New Roman"/>
          <w:color w:val="auto"/>
          <w:kern w:val="0"/>
          <w:sz w:val="24"/>
          <w:szCs w:val="24"/>
          <w:highlight w:val="none"/>
          <w:lang w:val="en-US" w:eastAsia="zh-CN" w:bidi="ar-SA"/>
        </w:rPr>
        <w:t>禁止使用不合格的材料和工程设备</w:t>
      </w:r>
      <w:bookmarkEnd w:id="317"/>
    </w:p>
    <w:p w14:paraId="532124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8.5.1 </w:t>
      </w:r>
      <w:r>
        <w:rPr>
          <w:rFonts w:hint="eastAsia" w:ascii="宋体" w:hAnsi="宋体" w:eastAsia="宋体" w:cs="Times New Roman"/>
          <w:color w:val="auto"/>
          <w:kern w:val="0"/>
          <w:sz w:val="24"/>
          <w:szCs w:val="24"/>
          <w:highlight w:val="none"/>
        </w:rPr>
        <w:t>监理人有权拒绝承包人提供的不合格材料或工程设备，并要求承包人立即进行更换。监理人应在更换后再次进行检查和检验，由此增加的费用和（或）延误的工期由承包人承担。</w:t>
      </w:r>
    </w:p>
    <w:p w14:paraId="79DD62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8.5.2 </w:t>
      </w:r>
      <w:r>
        <w:rPr>
          <w:rFonts w:hint="eastAsia" w:ascii="宋体" w:hAnsi="宋体" w:eastAsia="宋体" w:cs="Times New Roman"/>
          <w:color w:val="auto"/>
          <w:kern w:val="0"/>
          <w:sz w:val="24"/>
          <w:szCs w:val="24"/>
          <w:highlight w:val="none"/>
        </w:rPr>
        <w:t>监理人发现承包人使用了不合格的材料和工程设备，承包人应按照监理人的指示立即改正，并禁止在工程中继续使用不合格的材料和工程设备。</w:t>
      </w:r>
    </w:p>
    <w:p w14:paraId="7A7520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8.5.3 </w:t>
      </w:r>
      <w:r>
        <w:rPr>
          <w:rFonts w:hint="eastAsia" w:ascii="宋体" w:hAnsi="宋体" w:eastAsia="宋体" w:cs="Times New Roman"/>
          <w:color w:val="auto"/>
          <w:kern w:val="0"/>
          <w:sz w:val="24"/>
          <w:szCs w:val="24"/>
          <w:highlight w:val="none"/>
        </w:rPr>
        <w:t>发包人提供的材料或工程设备不符合合同要求的，承包人有权拒绝，并可要求发包人更换，由此增加的费用和（或）延误的工期由发包人承担，并支付承包人合理的利润。</w:t>
      </w:r>
    </w:p>
    <w:p w14:paraId="1EB79FF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8" w:name="_Toc351203558"/>
      <w:r>
        <w:rPr>
          <w:rFonts w:ascii="Times New Roman" w:hAnsi="Times New Roman" w:eastAsia="Ђˎ̥" w:cs="Times New Roman"/>
          <w:color w:val="auto"/>
          <w:kern w:val="0"/>
          <w:sz w:val="24"/>
          <w:szCs w:val="24"/>
          <w:highlight w:val="none"/>
          <w:lang w:val="en-US" w:eastAsia="zh-CN" w:bidi="ar-SA"/>
        </w:rPr>
        <w:t xml:space="preserve">8.6 </w:t>
      </w:r>
      <w:r>
        <w:rPr>
          <w:rFonts w:hint="eastAsia" w:ascii="Times New Roman" w:hAnsi="Times New Roman" w:eastAsia="Ђˎ̥" w:cs="宋体"/>
          <w:color w:val="auto"/>
          <w:kern w:val="0"/>
          <w:sz w:val="24"/>
          <w:szCs w:val="24"/>
          <w:highlight w:val="none"/>
          <w:lang w:val="en-US" w:eastAsia="zh-CN" w:bidi="ar-SA"/>
        </w:rPr>
        <w:t>样品</w:t>
      </w:r>
      <w:bookmarkEnd w:id="318"/>
    </w:p>
    <w:p w14:paraId="5CB925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8.6.1</w:t>
      </w:r>
      <w:r>
        <w:rPr>
          <w:rFonts w:ascii="宋体" w:hAnsi="宋体" w:eastAsia="宋体" w:cs="Times New Roman"/>
          <w:color w:val="auto"/>
          <w:kern w:val="0"/>
          <w:sz w:val="24"/>
          <w:szCs w:val="24"/>
          <w:highlight w:val="none"/>
        </w:rPr>
        <w:tab/>
      </w:r>
      <w:r>
        <w:rPr>
          <w:rFonts w:hint="eastAsia" w:ascii="宋体" w:hAnsi="宋体" w:eastAsia="宋体" w:cs="Times New Roman"/>
          <w:color w:val="auto"/>
          <w:kern w:val="0"/>
          <w:sz w:val="24"/>
          <w:szCs w:val="24"/>
          <w:highlight w:val="none"/>
        </w:rPr>
        <w:t>样品的报送与封存</w:t>
      </w:r>
    </w:p>
    <w:p w14:paraId="3E3AB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需要承包人报送样品的材料或工程设备，样品的种类、名称、规格、数量等要求均应在专用合同条款中约定。样品的报送程序如下：</w:t>
      </w:r>
    </w:p>
    <w:p w14:paraId="528F3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）承包人应在计划采购前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天向监理人报送样品。承包人报送的样品均应来自供应材料的实际生产地，且提供的样品的规格、数量足以表明材料或工程设备的质量、型号、颜色、表面处理、质地、误差和其他要求的特征。</w:t>
      </w:r>
    </w:p>
    <w:p w14:paraId="3E8B1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）承包人每次报送样品时应随附申报单，申报单应载明报送样品的相关数据和资料，并标明每件样品对应的图纸号，预留监理人批复意见栏。监理人应在收到承包人报送的样品后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天向承包人回复经发包人签认的样品审批意见。</w:t>
      </w:r>
    </w:p>
    <w:p w14:paraId="7276D4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）经发包人和监理人审批确认的样品应按约定的方法封样，封存的样品作为检验工程相关部分的标准之一。承包人在施工过程中不得使用与样品不符的材料或工程设备。</w:t>
      </w:r>
    </w:p>
    <w:p w14:paraId="39E1509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B9A19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8.6.2 </w:t>
      </w:r>
      <w:r>
        <w:rPr>
          <w:rFonts w:hint="eastAsia" w:ascii="宋体" w:hAnsi="宋体" w:eastAsia="宋体" w:cs="Times New Roman"/>
          <w:color w:val="auto"/>
          <w:kern w:val="0"/>
          <w:sz w:val="24"/>
          <w:szCs w:val="24"/>
          <w:highlight w:val="none"/>
        </w:rPr>
        <w:t>样品的保管</w:t>
      </w:r>
    </w:p>
    <w:p w14:paraId="0A97E3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经批准的样品应由监理人负责封存于现场，承包人应在现场为保存样品提供适当和固定的场所并保持适当和良好的存储环境条件。</w:t>
      </w:r>
    </w:p>
    <w:p w14:paraId="7D3F834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9" w:name="_Toc351203559"/>
      <w:r>
        <w:rPr>
          <w:rFonts w:ascii="Times New Roman" w:hAnsi="Times New Roman" w:eastAsia="Ђˎ̥" w:cs="Times New Roman"/>
          <w:color w:val="auto"/>
          <w:kern w:val="0"/>
          <w:sz w:val="24"/>
          <w:szCs w:val="24"/>
          <w:highlight w:val="none"/>
          <w:lang w:val="en-US" w:eastAsia="zh-CN" w:bidi="ar-SA"/>
        </w:rPr>
        <w:t>8.7</w:t>
      </w:r>
      <w:r>
        <w:rPr>
          <w:rFonts w:hint="eastAsia" w:ascii="Times New Roman" w:hAnsi="Times New Roman" w:eastAsia="Ђˎ̥" w:cs="Times New Roman"/>
          <w:color w:val="auto"/>
          <w:kern w:val="0"/>
          <w:sz w:val="24"/>
          <w:szCs w:val="24"/>
          <w:highlight w:val="none"/>
          <w:lang w:val="en-US" w:eastAsia="zh-CN" w:bidi="ar-SA"/>
        </w:rPr>
        <w:t>材料与工程设备的替代</w:t>
      </w:r>
      <w:bookmarkEnd w:id="319"/>
    </w:p>
    <w:p w14:paraId="5AB4DAC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8.7.1 </w:t>
      </w:r>
      <w:r>
        <w:rPr>
          <w:rFonts w:hint="eastAsia" w:ascii="宋体" w:hAnsi="宋体" w:eastAsia="宋体" w:cs="Times New Roman"/>
          <w:color w:val="auto"/>
          <w:kern w:val="0"/>
          <w:sz w:val="24"/>
          <w:szCs w:val="24"/>
          <w:highlight w:val="none"/>
        </w:rPr>
        <w:t>出现下列情况需要使用替代材料和工程设备的，承包人应按照第</w:t>
      </w:r>
      <w:r>
        <w:rPr>
          <w:rFonts w:ascii="宋体" w:hAnsi="宋体" w:eastAsia="宋体" w:cs="Times New Roman"/>
          <w:color w:val="auto"/>
          <w:kern w:val="0"/>
          <w:sz w:val="24"/>
          <w:szCs w:val="24"/>
          <w:highlight w:val="none"/>
        </w:rPr>
        <w:t>8.7.2</w:t>
      </w:r>
      <w:r>
        <w:rPr>
          <w:rFonts w:hint="eastAsia" w:ascii="宋体" w:hAnsi="宋体" w:eastAsia="宋体" w:cs="Times New Roman"/>
          <w:color w:val="auto"/>
          <w:kern w:val="0"/>
          <w:sz w:val="24"/>
          <w:szCs w:val="24"/>
          <w:highlight w:val="none"/>
        </w:rPr>
        <w:t>项约定的程序执行：</w:t>
      </w:r>
    </w:p>
    <w:p w14:paraId="276F885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）基准日期后生效的法律规定禁止使用的；</w:t>
      </w:r>
    </w:p>
    <w:p w14:paraId="03FE0E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）发包人要求使用替代品的；</w:t>
      </w:r>
    </w:p>
    <w:p w14:paraId="624B57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）因其他原因必须使用替代品的。</w:t>
      </w:r>
    </w:p>
    <w:p w14:paraId="4E1EC0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8.7.2 </w:t>
      </w:r>
      <w:r>
        <w:rPr>
          <w:rFonts w:hint="eastAsia" w:ascii="宋体" w:hAnsi="宋体" w:eastAsia="宋体" w:cs="Times New Roman"/>
          <w:color w:val="auto"/>
          <w:kern w:val="0"/>
          <w:sz w:val="24"/>
          <w:szCs w:val="24"/>
          <w:highlight w:val="none"/>
        </w:rPr>
        <w:t>承包人应在使用替代材料和工程设备</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天前书面通知监理人，并附下列文件：</w:t>
      </w:r>
    </w:p>
    <w:p w14:paraId="214C6A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）被替代的材料和工程设备的名称、数量、规格、型号、品牌、性能、价格及其他相关资料；</w:t>
      </w:r>
    </w:p>
    <w:p w14:paraId="480A63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）替代品的名称、数量、规格、型号、品牌、性能、价格及其他相关资料；</w:t>
      </w:r>
    </w:p>
    <w:p w14:paraId="59E25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）替代品与被替代产品之间的差异以及使用替代品可能对工程产生的影响；</w:t>
      </w:r>
    </w:p>
    <w:p w14:paraId="5D2C91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）替代品与被替代产品的价格差异；</w:t>
      </w:r>
    </w:p>
    <w:p w14:paraId="341D96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）使用替代品的理由和原因说明；</w:t>
      </w:r>
    </w:p>
    <w:p w14:paraId="418F12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）监理人要求的其他文件。</w:t>
      </w:r>
    </w:p>
    <w:p w14:paraId="384DEC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监理人应在收到通知后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天内向承包人发出经发包人签认的书面指示；监理人逾期发出书面指示的，视为发包人和监理人同意使用替代品。</w:t>
      </w:r>
    </w:p>
    <w:p w14:paraId="67B0E8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8.7.3 </w:t>
      </w:r>
      <w:r>
        <w:rPr>
          <w:rFonts w:hint="eastAsia" w:ascii="宋体" w:hAnsi="宋体" w:eastAsia="宋体" w:cs="Times New Roman"/>
          <w:color w:val="auto"/>
          <w:kern w:val="0"/>
          <w:sz w:val="24"/>
          <w:szCs w:val="24"/>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款〔商定或确定〕确定价格。</w:t>
      </w:r>
    </w:p>
    <w:p w14:paraId="15A75B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0" w:name="_Toc351203560"/>
      <w:r>
        <w:rPr>
          <w:rFonts w:ascii="Times New Roman" w:hAnsi="Times New Roman" w:eastAsia="Ђˎ̥" w:cs="Times New Roman"/>
          <w:color w:val="auto"/>
          <w:kern w:val="0"/>
          <w:sz w:val="24"/>
          <w:szCs w:val="24"/>
          <w:highlight w:val="none"/>
          <w:lang w:val="en-US" w:eastAsia="zh-CN" w:bidi="ar-SA"/>
        </w:rPr>
        <w:t>8.8</w:t>
      </w:r>
      <w:r>
        <w:rPr>
          <w:rFonts w:hint="eastAsia" w:ascii="Times New Roman" w:hAnsi="Times New Roman" w:eastAsia="Ђˎ̥" w:cs="Times New Roman"/>
          <w:color w:val="auto"/>
          <w:kern w:val="0"/>
          <w:sz w:val="24"/>
          <w:szCs w:val="24"/>
          <w:highlight w:val="none"/>
          <w:lang w:val="en-US" w:eastAsia="zh-CN" w:bidi="ar-SA"/>
        </w:rPr>
        <w:t>施工设备和临时设施</w:t>
      </w:r>
      <w:bookmarkEnd w:id="320"/>
    </w:p>
    <w:p w14:paraId="74E50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8.8.1 </w:t>
      </w:r>
      <w:r>
        <w:rPr>
          <w:rFonts w:hint="eastAsia" w:ascii="宋体" w:hAnsi="宋体" w:eastAsia="宋体" w:cs="Times New Roman"/>
          <w:color w:val="auto"/>
          <w:kern w:val="0"/>
          <w:sz w:val="24"/>
          <w:szCs w:val="24"/>
          <w:highlight w:val="none"/>
        </w:rPr>
        <w:t>承包人提供的施工设备和临时设施</w:t>
      </w:r>
    </w:p>
    <w:p w14:paraId="7FDDE0C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DE90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除专用合同条款另有约定外，承包人应自行承担修建临时设施的费用，需要临时占地的，应由发包人办理申请手续并承担相应费用。</w:t>
      </w:r>
    </w:p>
    <w:p w14:paraId="1EB83A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8.8.2</w:t>
      </w:r>
      <w:r>
        <w:rPr>
          <w:rFonts w:hint="eastAsia" w:ascii="宋体" w:hAnsi="宋体" w:eastAsia="宋体" w:cs="Times New Roman"/>
          <w:color w:val="auto"/>
          <w:kern w:val="0"/>
          <w:sz w:val="24"/>
          <w:szCs w:val="24"/>
          <w:highlight w:val="none"/>
        </w:rPr>
        <w:t>发包人提供的施工设备和临时设施</w:t>
      </w:r>
    </w:p>
    <w:p w14:paraId="46EC03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发包人提供的施工设备或临时设施在专用合同条款中约定。</w:t>
      </w:r>
    </w:p>
    <w:p w14:paraId="05C5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8.8.3</w:t>
      </w:r>
      <w:r>
        <w:rPr>
          <w:rFonts w:hint="eastAsia" w:ascii="宋体" w:hAnsi="宋体" w:eastAsia="宋体" w:cs="Times New Roman"/>
          <w:color w:val="auto"/>
          <w:kern w:val="0"/>
          <w:sz w:val="24"/>
          <w:szCs w:val="24"/>
          <w:highlight w:val="none"/>
        </w:rPr>
        <w:t>要求承包人增加或更换施工设备</w:t>
      </w:r>
    </w:p>
    <w:p w14:paraId="372073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8C804F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1" w:name="_Toc351203561"/>
      <w:r>
        <w:rPr>
          <w:rFonts w:ascii="Times New Roman" w:hAnsi="Times New Roman" w:eastAsia="Ђˎ̥" w:cs="Times New Roman"/>
          <w:color w:val="auto"/>
          <w:kern w:val="0"/>
          <w:sz w:val="24"/>
          <w:szCs w:val="24"/>
          <w:highlight w:val="none"/>
          <w:lang w:val="en-US" w:eastAsia="zh-CN" w:bidi="ar-SA"/>
        </w:rPr>
        <w:t>8</w:t>
      </w:r>
      <w:bookmarkStart w:id="322" w:name="_Toc296346564"/>
      <w:bookmarkStart w:id="323" w:name="_Toc296503063"/>
      <w:bookmarkStart w:id="324" w:name="_Toc337558781"/>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材料与设备专用</w:t>
      </w:r>
      <w:bookmarkEnd w:id="321"/>
      <w:r>
        <w:rPr>
          <w:rFonts w:hint="eastAsia" w:ascii="Times New Roman" w:hAnsi="Times New Roman" w:eastAsia="Ђˎ̥" w:cs="Times New Roman"/>
          <w:color w:val="auto"/>
          <w:kern w:val="0"/>
          <w:sz w:val="24"/>
          <w:szCs w:val="24"/>
          <w:highlight w:val="none"/>
          <w:lang w:val="en-US" w:eastAsia="zh-CN" w:bidi="ar-SA"/>
        </w:rPr>
        <w:t>要求</w:t>
      </w:r>
    </w:p>
    <w:bookmarkEnd w:id="322"/>
    <w:bookmarkEnd w:id="323"/>
    <w:bookmarkEnd w:id="324"/>
    <w:p w14:paraId="36FDB12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03"/>
      <w:r>
        <w:rPr>
          <w:rFonts w:hint="eastAsia" w:ascii="宋体" w:hAnsi="宋体" w:eastAsia="宋体" w:cs="Times New Roman"/>
          <w:color w:val="auto"/>
          <w:kern w:val="0"/>
          <w:sz w:val="24"/>
          <w:szCs w:val="24"/>
          <w:highlight w:val="none"/>
        </w:rPr>
        <w:t>经发包人批准，承包人可以根据施工进度计划撤走闲置的施工设备和其他物品。</w:t>
      </w:r>
    </w:p>
    <w:p w14:paraId="46B701B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25" w:name="_Toc351203562"/>
      <w:bookmarkStart w:id="326" w:name="_Toc17965078"/>
      <w:r>
        <w:rPr>
          <w:rFonts w:ascii="Times New Roman" w:hAnsi="Times New Roman" w:eastAsia="黑体" w:cs="Times New Roman"/>
          <w:b/>
          <w:bCs/>
          <w:color w:val="auto"/>
          <w:kern w:val="2"/>
          <w:sz w:val="24"/>
          <w:szCs w:val="24"/>
          <w:highlight w:val="none"/>
          <w:lang w:val="en-US" w:eastAsia="zh-CN" w:bidi="ar-SA"/>
        </w:rPr>
        <w:t>9</w:t>
      </w:r>
      <w:bookmarkStart w:id="327" w:name="_Toc337558782"/>
      <w:bookmarkStart w:id="328" w:name="_Toc296346584"/>
      <w:bookmarkStart w:id="329" w:name="_Toc296503083"/>
      <w:r>
        <w:rPr>
          <w:rFonts w:ascii="Times New Roman" w:hAnsi="Times New Roman" w:eastAsia="黑体" w:cs="Times New Roman"/>
          <w:b/>
          <w:bCs/>
          <w:color w:val="auto"/>
          <w:kern w:val="2"/>
          <w:sz w:val="24"/>
          <w:szCs w:val="24"/>
          <w:highlight w:val="none"/>
          <w:lang w:val="en-US" w:eastAsia="zh-CN" w:bidi="ar-SA"/>
        </w:rPr>
        <w:t>. 试验与检验</w:t>
      </w:r>
      <w:bookmarkEnd w:id="325"/>
      <w:bookmarkEnd w:id="326"/>
    </w:p>
    <w:bookmarkEnd w:id="327"/>
    <w:p w14:paraId="326624A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0" w:name="_Toc351203563"/>
      <w:r>
        <w:rPr>
          <w:rFonts w:ascii="Times New Roman" w:hAnsi="Times New Roman" w:eastAsia="Ђˎ̥" w:cs="Times New Roman"/>
          <w:color w:val="auto"/>
          <w:kern w:val="0"/>
          <w:sz w:val="24"/>
          <w:szCs w:val="24"/>
          <w:highlight w:val="none"/>
          <w:lang w:val="en-US" w:eastAsia="zh-CN" w:bidi="ar-SA"/>
        </w:rPr>
        <w:t>9</w:t>
      </w:r>
      <w:bookmarkStart w:id="331" w:name="_Toc337558783"/>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试验设备与试验人员</w:t>
      </w:r>
      <w:bookmarkEnd w:id="330"/>
    </w:p>
    <w:bookmarkEnd w:id="331"/>
    <w:p w14:paraId="5B3766F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9.1.1 </w:t>
      </w:r>
      <w:r>
        <w:rPr>
          <w:rFonts w:hint="eastAsia" w:ascii="宋体" w:hAnsi="宋体" w:eastAsia="宋体" w:cs="Times New Roman"/>
          <w:color w:val="auto"/>
          <w:kern w:val="0"/>
          <w:sz w:val="24"/>
          <w:szCs w:val="24"/>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00C52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9.1.2 </w:t>
      </w:r>
      <w:r>
        <w:rPr>
          <w:rFonts w:hint="eastAsia" w:ascii="宋体" w:hAnsi="宋体" w:eastAsia="宋体" w:cs="Times New Roman"/>
          <w:color w:val="auto"/>
          <w:kern w:val="0"/>
          <w:sz w:val="24"/>
          <w:szCs w:val="24"/>
          <w:highlight w:val="none"/>
        </w:rPr>
        <w:t>承包人应按专用合同条款的约定提供试验设备、取样装置、试验场所和试验条件，并向监理人提交相应进场计划表。</w:t>
      </w:r>
    </w:p>
    <w:p w14:paraId="340BD14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承包人配置的试验设备要符合相应试验规程的要求并经过具有资质的检测单位检测，且在正式使用该试验设备前，需要经过监理人与承包人共同校定。</w:t>
      </w:r>
    </w:p>
    <w:p w14:paraId="33F315F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9.1.3 </w:t>
      </w:r>
      <w:r>
        <w:rPr>
          <w:rFonts w:hint="eastAsia" w:ascii="宋体" w:hAnsi="宋体" w:eastAsia="宋体" w:cs="Times New Roman"/>
          <w:color w:val="auto"/>
          <w:kern w:val="0"/>
          <w:sz w:val="24"/>
          <w:szCs w:val="24"/>
          <w:highlight w:val="none"/>
        </w:rPr>
        <w:t>承包人应向监理人提交试验人员的名单及其岗位、资格等证明资料，试验人员必须能够熟练进行相应的检测试验，承包人对试验人员的试验程序和试验结果的正确性负责。</w:t>
      </w:r>
    </w:p>
    <w:p w14:paraId="031991F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2" w:name="_Toc351203564"/>
      <w:r>
        <w:rPr>
          <w:rFonts w:ascii="Times New Roman" w:hAnsi="Times New Roman" w:eastAsia="Ђˎ̥" w:cs="Times New Roman"/>
          <w:color w:val="auto"/>
          <w:kern w:val="0"/>
          <w:sz w:val="24"/>
          <w:szCs w:val="24"/>
          <w:highlight w:val="none"/>
          <w:lang w:val="en-US" w:eastAsia="zh-CN" w:bidi="ar-SA"/>
        </w:rPr>
        <w:t>9</w:t>
      </w:r>
      <w:bookmarkStart w:id="333" w:name="_Toc337558784"/>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取样</w:t>
      </w:r>
      <w:bookmarkEnd w:id="332"/>
    </w:p>
    <w:bookmarkEnd w:id="333"/>
    <w:p w14:paraId="006C711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试验属于自检性质的，承包人可以单独取样。试验属于监理人抽检性质的，可由监理人取样，也可由承包人的试验人员在监理人的监督下取样。</w:t>
      </w:r>
    </w:p>
    <w:p w14:paraId="461AE1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4" w:name="_Toc351203565"/>
      <w:r>
        <w:rPr>
          <w:rFonts w:ascii="Times New Roman" w:hAnsi="Times New Roman" w:eastAsia="Ђˎ̥" w:cs="Times New Roman"/>
          <w:color w:val="auto"/>
          <w:kern w:val="0"/>
          <w:sz w:val="24"/>
          <w:szCs w:val="24"/>
          <w:highlight w:val="none"/>
          <w:lang w:val="en-US" w:eastAsia="zh-CN" w:bidi="ar-SA"/>
        </w:rPr>
        <w:t>9</w:t>
      </w:r>
      <w:bookmarkStart w:id="335" w:name="_Toc337558785"/>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材料、工程设备和工程的试验和检验</w:t>
      </w:r>
      <w:bookmarkEnd w:id="334"/>
    </w:p>
    <w:bookmarkEnd w:id="335"/>
    <w:p w14:paraId="0F2C31E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9.3.1</w:t>
      </w:r>
      <w:r>
        <w:rPr>
          <w:rFonts w:hint="eastAsia" w:ascii="宋体" w:hAnsi="宋体" w:eastAsia="宋体" w:cs="Times New Roman"/>
          <w:color w:val="auto"/>
          <w:kern w:val="0"/>
          <w:sz w:val="24"/>
          <w:szCs w:val="24"/>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EA6DB1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9.3.2</w:t>
      </w:r>
      <w:r>
        <w:rPr>
          <w:rFonts w:hint="eastAsia" w:ascii="宋体" w:hAnsi="宋体" w:eastAsia="宋体" w:cs="Times New Roman"/>
          <w:color w:val="auto"/>
          <w:kern w:val="0"/>
          <w:sz w:val="24"/>
          <w:szCs w:val="24"/>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BB8062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9.3.3</w:t>
      </w:r>
      <w:r>
        <w:rPr>
          <w:rFonts w:hint="eastAsia" w:ascii="宋体" w:hAnsi="宋体" w:eastAsia="宋体" w:cs="Times New Roman"/>
          <w:color w:val="auto"/>
          <w:kern w:val="0"/>
          <w:sz w:val="24"/>
          <w:szCs w:val="24"/>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424A80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6" w:name="_Toc351203566"/>
      <w:r>
        <w:rPr>
          <w:rFonts w:ascii="Times New Roman" w:hAnsi="Times New Roman" w:eastAsia="Ђˎ̥" w:cs="Times New Roman"/>
          <w:color w:val="auto"/>
          <w:kern w:val="0"/>
          <w:sz w:val="24"/>
          <w:szCs w:val="24"/>
          <w:highlight w:val="none"/>
          <w:lang w:val="en-US" w:eastAsia="zh-CN" w:bidi="ar-SA"/>
        </w:rPr>
        <w:t>9</w:t>
      </w:r>
      <w:bookmarkStart w:id="337" w:name="_Toc337558786"/>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现场工艺试验</w:t>
      </w:r>
      <w:bookmarkEnd w:id="336"/>
    </w:p>
    <w:bookmarkEnd w:id="337"/>
    <w:p w14:paraId="27CD1B9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53D11BC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38" w:name="_Toc17965079"/>
      <w:bookmarkStart w:id="339" w:name="_Toc351203567"/>
      <w:r>
        <w:rPr>
          <w:rFonts w:ascii="Times New Roman" w:hAnsi="Times New Roman" w:eastAsia="黑体" w:cs="Times New Roman"/>
          <w:b/>
          <w:bCs/>
          <w:color w:val="auto"/>
          <w:kern w:val="2"/>
          <w:sz w:val="24"/>
          <w:szCs w:val="24"/>
          <w:highlight w:val="none"/>
          <w:lang w:val="en-US" w:eastAsia="zh-CN" w:bidi="ar-SA"/>
        </w:rPr>
        <w:t>1</w:t>
      </w:r>
      <w:bookmarkStart w:id="340" w:name="_Toc337558787"/>
      <w:r>
        <w:rPr>
          <w:rFonts w:ascii="Times New Roman" w:hAnsi="Times New Roman" w:eastAsia="黑体" w:cs="Times New Roman"/>
          <w:b/>
          <w:bCs/>
          <w:color w:val="auto"/>
          <w:kern w:val="2"/>
          <w:sz w:val="24"/>
          <w:szCs w:val="24"/>
          <w:highlight w:val="none"/>
          <w:lang w:val="en-US" w:eastAsia="zh-CN" w:bidi="ar-SA"/>
        </w:rPr>
        <w:t xml:space="preserve">0. </w:t>
      </w:r>
      <w:r>
        <w:rPr>
          <w:rFonts w:ascii="Times New Roman" w:hAnsi="Times New Roman" w:eastAsia="黑体" w:cs="宋体"/>
          <w:b/>
          <w:bCs/>
          <w:color w:val="auto"/>
          <w:kern w:val="2"/>
          <w:sz w:val="24"/>
          <w:szCs w:val="24"/>
          <w:highlight w:val="none"/>
          <w:lang w:val="en-US" w:eastAsia="zh-CN" w:bidi="ar-SA"/>
        </w:rPr>
        <w:t>变更</w:t>
      </w:r>
      <w:bookmarkEnd w:id="328"/>
      <w:bookmarkEnd w:id="329"/>
      <w:bookmarkEnd w:id="338"/>
      <w:bookmarkEnd w:id="339"/>
    </w:p>
    <w:bookmarkEnd w:id="340"/>
    <w:p w14:paraId="649D72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1" w:name="_Toc351203568"/>
      <w:r>
        <w:rPr>
          <w:rFonts w:ascii="Times New Roman" w:hAnsi="Times New Roman" w:eastAsia="Ђˎ̥" w:cs="Times New Roman"/>
          <w:color w:val="auto"/>
          <w:kern w:val="0"/>
          <w:sz w:val="24"/>
          <w:szCs w:val="24"/>
          <w:highlight w:val="none"/>
          <w:lang w:val="en-US" w:eastAsia="zh-CN" w:bidi="ar-SA"/>
        </w:rPr>
        <w:t>1</w:t>
      </w:r>
      <w:bookmarkStart w:id="342" w:name="_Toc337558788"/>
      <w:bookmarkStart w:id="343" w:name="_Toc296503084"/>
      <w:bookmarkStart w:id="344" w:name="_Toc296346585"/>
      <w:r>
        <w:rPr>
          <w:rFonts w:ascii="Times New Roman" w:hAnsi="Times New Roman" w:eastAsia="Ђˎ̥" w:cs="Times New Roman"/>
          <w:color w:val="auto"/>
          <w:kern w:val="0"/>
          <w:sz w:val="24"/>
          <w:szCs w:val="24"/>
          <w:highlight w:val="none"/>
          <w:lang w:val="en-US" w:eastAsia="zh-CN" w:bidi="ar-SA"/>
        </w:rPr>
        <w:t>0.1</w:t>
      </w:r>
      <w:r>
        <w:rPr>
          <w:rFonts w:hint="eastAsia" w:ascii="Times New Roman" w:hAnsi="Times New Roman" w:eastAsia="Ђˎ̥" w:cs="宋体"/>
          <w:color w:val="auto"/>
          <w:kern w:val="0"/>
          <w:sz w:val="24"/>
          <w:szCs w:val="24"/>
          <w:highlight w:val="none"/>
          <w:lang w:val="en-US" w:eastAsia="zh-CN" w:bidi="ar-SA"/>
        </w:rPr>
        <w:t>变更的范围</w:t>
      </w:r>
      <w:bookmarkEnd w:id="341"/>
    </w:p>
    <w:bookmarkEnd w:id="342"/>
    <w:bookmarkEnd w:id="343"/>
    <w:bookmarkEnd w:id="344"/>
    <w:p w14:paraId="337348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除专用合同条款另有约定外，合同履行过程中发生以下情形的，应按照本条约定进行变更：</w:t>
      </w:r>
    </w:p>
    <w:p w14:paraId="7F021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）增加或减少合同中任何工作，或追加额外的工作；</w:t>
      </w:r>
    </w:p>
    <w:p w14:paraId="663144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）取消合同中任何工作，但转由他人实施的工作除外；</w:t>
      </w:r>
    </w:p>
    <w:p w14:paraId="3F638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）改变合同中任何工作的质量标准或其他特性；</w:t>
      </w:r>
    </w:p>
    <w:p w14:paraId="12F94D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）改变工程的基线、标高、位置和尺寸；</w:t>
      </w:r>
    </w:p>
    <w:p w14:paraId="7748CD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）改变工程的时间安排或实施顺序。</w:t>
      </w:r>
    </w:p>
    <w:p w14:paraId="22EB92E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5" w:name="_Toc351203569"/>
      <w:r>
        <w:rPr>
          <w:rFonts w:ascii="Times New Roman" w:hAnsi="Times New Roman" w:eastAsia="Ђˎ̥" w:cs="Times New Roman"/>
          <w:color w:val="auto"/>
          <w:kern w:val="0"/>
          <w:sz w:val="24"/>
          <w:szCs w:val="24"/>
          <w:highlight w:val="none"/>
          <w:lang w:val="en-US" w:eastAsia="zh-CN" w:bidi="ar-SA"/>
        </w:rPr>
        <w:t>1</w:t>
      </w:r>
      <w:bookmarkStart w:id="346" w:name="_Toc296346586"/>
      <w:bookmarkStart w:id="347" w:name="_Toc296503085"/>
      <w:bookmarkStart w:id="348" w:name="_Toc337558789"/>
      <w:r>
        <w:rPr>
          <w:rFonts w:ascii="Times New Roman" w:hAnsi="Times New Roman" w:eastAsia="Ђˎ̥" w:cs="Times New Roman"/>
          <w:color w:val="auto"/>
          <w:kern w:val="0"/>
          <w:sz w:val="24"/>
          <w:szCs w:val="24"/>
          <w:highlight w:val="none"/>
          <w:lang w:val="en-US" w:eastAsia="zh-CN" w:bidi="ar-SA"/>
        </w:rPr>
        <w:t>0.2</w:t>
      </w:r>
      <w:r>
        <w:rPr>
          <w:rFonts w:hint="eastAsia" w:ascii="Times New Roman" w:hAnsi="Times New Roman" w:eastAsia="Ђˎ̥" w:cs="宋体"/>
          <w:color w:val="auto"/>
          <w:kern w:val="0"/>
          <w:sz w:val="24"/>
          <w:szCs w:val="24"/>
          <w:highlight w:val="none"/>
          <w:lang w:val="en-US" w:eastAsia="zh-CN" w:bidi="ar-SA"/>
        </w:rPr>
        <w:t>变更权</w:t>
      </w:r>
      <w:bookmarkEnd w:id="345"/>
    </w:p>
    <w:bookmarkEnd w:id="346"/>
    <w:bookmarkEnd w:id="347"/>
    <w:bookmarkEnd w:id="348"/>
    <w:p w14:paraId="1D8530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B4A4A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涉及设计变更的，应由设计人提供变更后的图纸和说明。如变更超过原设计标准或批准的建设规模时，发包人应及时办理规划、设计变更等审批手续。</w:t>
      </w:r>
    </w:p>
    <w:p w14:paraId="0CFAEEF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9" w:name="_Toc351203570"/>
      <w:r>
        <w:rPr>
          <w:rFonts w:ascii="Times New Roman" w:hAnsi="Times New Roman" w:eastAsia="Ђˎ̥" w:cs="Times New Roman"/>
          <w:color w:val="auto"/>
          <w:kern w:val="0"/>
          <w:sz w:val="24"/>
          <w:szCs w:val="24"/>
          <w:highlight w:val="none"/>
          <w:lang w:val="en-US" w:eastAsia="zh-CN" w:bidi="ar-SA"/>
        </w:rPr>
        <w:t>1</w:t>
      </w:r>
      <w:bookmarkStart w:id="350" w:name="_Toc296503086"/>
      <w:bookmarkStart w:id="351" w:name="_Toc296346587"/>
      <w:bookmarkStart w:id="352" w:name="_Toc337558790"/>
      <w:r>
        <w:rPr>
          <w:rFonts w:ascii="Times New Roman" w:hAnsi="Times New Roman" w:eastAsia="Ђˎ̥" w:cs="Times New Roman"/>
          <w:color w:val="auto"/>
          <w:kern w:val="0"/>
          <w:sz w:val="24"/>
          <w:szCs w:val="24"/>
          <w:highlight w:val="none"/>
          <w:lang w:val="en-US" w:eastAsia="zh-CN" w:bidi="ar-SA"/>
        </w:rPr>
        <w:t>0.3</w:t>
      </w:r>
      <w:r>
        <w:rPr>
          <w:rFonts w:hint="eastAsia" w:ascii="Times New Roman" w:hAnsi="Times New Roman" w:eastAsia="Ђˎ̥" w:cs="宋体"/>
          <w:color w:val="auto"/>
          <w:kern w:val="0"/>
          <w:sz w:val="24"/>
          <w:szCs w:val="24"/>
          <w:highlight w:val="none"/>
          <w:lang w:val="en-US" w:eastAsia="zh-CN" w:bidi="ar-SA"/>
        </w:rPr>
        <w:t>变更程序</w:t>
      </w:r>
      <w:bookmarkEnd w:id="349"/>
    </w:p>
    <w:bookmarkEnd w:id="350"/>
    <w:bookmarkEnd w:id="351"/>
    <w:bookmarkEnd w:id="352"/>
    <w:p w14:paraId="5C4FC1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.3.1 </w:t>
      </w:r>
      <w:r>
        <w:rPr>
          <w:rFonts w:hint="eastAsia" w:ascii="宋体" w:hAnsi="宋体" w:eastAsia="宋体" w:cs="Times New Roman"/>
          <w:color w:val="auto"/>
          <w:kern w:val="0"/>
          <w:sz w:val="24"/>
          <w:szCs w:val="24"/>
          <w:highlight w:val="none"/>
        </w:rPr>
        <w:t>发包人提出变更</w:t>
      </w:r>
    </w:p>
    <w:p w14:paraId="19ABDC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发包人提出变更的，应通过监理人向承包人发出变更指示，变更指示应说明计划变更的工程范围和变更的内容。</w:t>
      </w:r>
    </w:p>
    <w:p w14:paraId="33B976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.3.2 </w:t>
      </w:r>
      <w:r>
        <w:rPr>
          <w:rFonts w:hint="eastAsia" w:ascii="宋体" w:hAnsi="宋体" w:eastAsia="宋体" w:cs="Times New Roman"/>
          <w:color w:val="auto"/>
          <w:kern w:val="0"/>
          <w:sz w:val="24"/>
          <w:szCs w:val="24"/>
          <w:highlight w:val="none"/>
        </w:rPr>
        <w:t>监理人提出变更建议</w:t>
      </w:r>
    </w:p>
    <w:p w14:paraId="61293E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1CAB86A">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10.3.3 </w:t>
      </w:r>
      <w:r>
        <w:rPr>
          <w:rFonts w:hint="eastAsia" w:ascii="宋体" w:hAnsi="宋体" w:eastAsia="宋体" w:cs="Times New Roman"/>
          <w:color w:val="auto"/>
          <w:sz w:val="24"/>
          <w:szCs w:val="24"/>
          <w:highlight w:val="none"/>
        </w:rPr>
        <w:t>变更执行</w:t>
      </w:r>
    </w:p>
    <w:p w14:paraId="6D4435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款〔变更估价〕约定确定变更估价。</w:t>
      </w:r>
    </w:p>
    <w:p w14:paraId="4E9BC7A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3" w:name="_Toc351203571"/>
      <w:r>
        <w:rPr>
          <w:rFonts w:ascii="Times New Roman" w:hAnsi="Times New Roman" w:eastAsia="Ђˎ̥" w:cs="Times New Roman"/>
          <w:color w:val="auto"/>
          <w:kern w:val="0"/>
          <w:sz w:val="24"/>
          <w:szCs w:val="24"/>
          <w:highlight w:val="none"/>
          <w:lang w:val="en-US" w:eastAsia="zh-CN" w:bidi="ar-SA"/>
        </w:rPr>
        <w:t>1</w:t>
      </w:r>
      <w:bookmarkStart w:id="354" w:name="_Toc337558791"/>
      <w:bookmarkStart w:id="355" w:name="_Toc296503087"/>
      <w:bookmarkStart w:id="356" w:name="_Toc296346588"/>
      <w:r>
        <w:rPr>
          <w:rFonts w:ascii="Times New Roman" w:hAnsi="Times New Roman" w:eastAsia="Ђˎ̥" w:cs="Times New Roman"/>
          <w:color w:val="auto"/>
          <w:kern w:val="0"/>
          <w:sz w:val="24"/>
          <w:szCs w:val="24"/>
          <w:highlight w:val="none"/>
          <w:lang w:val="en-US" w:eastAsia="zh-CN" w:bidi="ar-SA"/>
        </w:rPr>
        <w:t>0.4</w:t>
      </w:r>
      <w:r>
        <w:rPr>
          <w:rFonts w:hint="eastAsia" w:ascii="Times New Roman" w:hAnsi="Times New Roman" w:eastAsia="Ђˎ̥" w:cs="宋体"/>
          <w:color w:val="auto"/>
          <w:kern w:val="0"/>
          <w:sz w:val="24"/>
          <w:szCs w:val="24"/>
          <w:highlight w:val="none"/>
          <w:lang w:val="en-US" w:eastAsia="zh-CN" w:bidi="ar-SA"/>
        </w:rPr>
        <w:t>变更估价</w:t>
      </w:r>
      <w:bookmarkEnd w:id="353"/>
    </w:p>
    <w:bookmarkEnd w:id="354"/>
    <w:bookmarkEnd w:id="355"/>
    <w:bookmarkEnd w:id="356"/>
    <w:p w14:paraId="2219D0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10.4.1 </w:t>
      </w:r>
      <w:r>
        <w:rPr>
          <w:rFonts w:hint="eastAsia" w:ascii="宋体" w:hAnsi="宋体" w:eastAsia="宋体" w:cs="Times New Roman"/>
          <w:color w:val="auto"/>
          <w:kern w:val="0"/>
          <w:sz w:val="24"/>
          <w:szCs w:val="24"/>
          <w:highlight w:val="none"/>
        </w:rPr>
        <w:t>变更估价原则</w:t>
      </w:r>
    </w:p>
    <w:p w14:paraId="1B36E1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除专用合同条款另有约定外，变更估价按照本款约定处理：</w:t>
      </w:r>
    </w:p>
    <w:p w14:paraId="11E8B7E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）已标价工程量清单或预算书有相同项目的，按照相同项目单价认定；</w:t>
      </w:r>
    </w:p>
    <w:p w14:paraId="0E4992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）已标价工程量清单或预算书中无相同项目，但有类似项目的，参照类似项目的单价认定；</w:t>
      </w:r>
    </w:p>
    <w:p w14:paraId="4D52FF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）变更导致实际完成的变更工程量与已标价工程量清单或预算书中列明的该项目工程量的变化幅度超过</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的，或已标价工程量清单或预算书中无相同项目及类似项目单价的，按照合理的成本与利润构成的原则，由合同当事人按照第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款〔商定或确定〕确定变更工作的单价。</w:t>
      </w:r>
    </w:p>
    <w:p w14:paraId="5D65C6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10.4.2 </w:t>
      </w:r>
      <w:r>
        <w:rPr>
          <w:rFonts w:hint="eastAsia" w:ascii="宋体" w:hAnsi="宋体" w:eastAsia="宋体" w:cs="Times New Roman"/>
          <w:color w:val="auto"/>
          <w:kern w:val="0"/>
          <w:sz w:val="24"/>
          <w:szCs w:val="24"/>
          <w:highlight w:val="none"/>
        </w:rPr>
        <w:t>变更估价程序</w:t>
      </w:r>
    </w:p>
    <w:p w14:paraId="6FD8A9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承包人应在收到变更指示后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天内，向监理人提交变更估价申请。监理人应在收到承包人提交的变更估价申请后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天内审查完毕并报送发包人，监理人对变更估价申请有异议，通知承包人修改后重新提交。发包人应在承包人提交变更估价申请后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天内审批完毕。发包人逾期未完成审批或未提出异议的，视为认可承包人提交的变更估价申请。</w:t>
      </w:r>
    </w:p>
    <w:p w14:paraId="7B6D2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因变更引起的价格调整应计入最近一期的进度款中支付。</w:t>
      </w:r>
    </w:p>
    <w:p w14:paraId="1053D6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7" w:name="_Toc351203572"/>
      <w:r>
        <w:rPr>
          <w:rFonts w:ascii="Times New Roman" w:hAnsi="Times New Roman" w:eastAsia="Ђˎ̥" w:cs="Times New Roman"/>
          <w:color w:val="auto"/>
          <w:kern w:val="0"/>
          <w:sz w:val="24"/>
          <w:szCs w:val="24"/>
          <w:highlight w:val="none"/>
          <w:lang w:val="en-US" w:eastAsia="zh-CN" w:bidi="ar-SA"/>
        </w:rPr>
        <w:t>1</w:t>
      </w:r>
      <w:bookmarkStart w:id="358" w:name="_Toc337558792"/>
      <w:bookmarkStart w:id="359" w:name="_Toc296346595"/>
      <w:bookmarkStart w:id="360" w:name="_Toc296503094"/>
      <w:r>
        <w:rPr>
          <w:rFonts w:ascii="Times New Roman" w:hAnsi="Times New Roman" w:eastAsia="Ђˎ̥" w:cs="Times New Roman"/>
          <w:color w:val="auto"/>
          <w:kern w:val="0"/>
          <w:sz w:val="24"/>
          <w:szCs w:val="24"/>
          <w:highlight w:val="none"/>
          <w:lang w:val="en-US" w:eastAsia="zh-CN" w:bidi="ar-SA"/>
        </w:rPr>
        <w:t>0.5</w:t>
      </w:r>
      <w:r>
        <w:rPr>
          <w:rFonts w:hint="eastAsia" w:ascii="Times New Roman" w:hAnsi="Times New Roman" w:eastAsia="Ђˎ̥" w:cs="Times New Roman"/>
          <w:color w:val="auto"/>
          <w:kern w:val="0"/>
          <w:sz w:val="24"/>
          <w:szCs w:val="24"/>
          <w:highlight w:val="none"/>
          <w:lang w:val="en-US" w:eastAsia="zh-CN" w:bidi="ar-SA"/>
        </w:rPr>
        <w:t>承包人的合理化建议</w:t>
      </w:r>
      <w:bookmarkEnd w:id="357"/>
    </w:p>
    <w:bookmarkEnd w:id="358"/>
    <w:bookmarkEnd w:id="359"/>
    <w:bookmarkEnd w:id="360"/>
    <w:p w14:paraId="2DCDD7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承包人提出合理化建议的，应向监理人提交合理化建议说明，说明建议的内容和理由，以及实施该建议对合同价格和工期的影响。</w:t>
      </w:r>
    </w:p>
    <w:p w14:paraId="58626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除专用合同条款另有约定外，监理人应在收到承包人提交的合理化建议后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天内审查完毕并报送发包人，发现其中存在技术上的缺陷，应通知承包人修改。发包人应在收到监理人报送的合理化建议后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天内审批完毕。合理化建议经发包人批准的，监理人应及时发出变更指示，由此引起的合同价格调整按照第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款〔变更估价〕约定执行。发包人不同意变更的，监理人应书面通知承包人。</w:t>
      </w:r>
    </w:p>
    <w:p w14:paraId="00AF1F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合理化建议降低了合同价格或者提高了工程经济效益的，发包人可对承包人给予奖励，奖励的方法和金额在专用合同条款中约定。</w:t>
      </w:r>
    </w:p>
    <w:p w14:paraId="1EABEFC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1" w:name="_Toc351203573"/>
      <w:r>
        <w:rPr>
          <w:rFonts w:ascii="Times New Roman" w:hAnsi="Times New Roman" w:eastAsia="Ђˎ̥" w:cs="Times New Roman"/>
          <w:color w:val="auto"/>
          <w:kern w:val="0"/>
          <w:sz w:val="24"/>
          <w:szCs w:val="24"/>
          <w:highlight w:val="none"/>
          <w:lang w:val="en-US" w:eastAsia="zh-CN" w:bidi="ar-SA"/>
        </w:rPr>
        <w:t>1</w:t>
      </w:r>
      <w:bookmarkStart w:id="362" w:name="_Toc337558793"/>
      <w:r>
        <w:rPr>
          <w:rFonts w:ascii="Times New Roman" w:hAnsi="Times New Roman" w:eastAsia="Ђˎ̥" w:cs="Times New Roman"/>
          <w:color w:val="auto"/>
          <w:kern w:val="0"/>
          <w:sz w:val="24"/>
          <w:szCs w:val="24"/>
          <w:highlight w:val="none"/>
          <w:lang w:val="en-US" w:eastAsia="zh-CN" w:bidi="ar-SA"/>
        </w:rPr>
        <w:t>0.6</w:t>
      </w:r>
      <w:r>
        <w:rPr>
          <w:rFonts w:hint="eastAsia" w:ascii="Times New Roman" w:hAnsi="Times New Roman" w:eastAsia="Ђˎ̥" w:cs="Times New Roman"/>
          <w:color w:val="auto"/>
          <w:kern w:val="0"/>
          <w:sz w:val="24"/>
          <w:szCs w:val="24"/>
          <w:highlight w:val="none"/>
          <w:lang w:val="en-US" w:eastAsia="zh-CN" w:bidi="ar-SA"/>
        </w:rPr>
        <w:t>变更引起的工期调整</w:t>
      </w:r>
      <w:bookmarkEnd w:id="361"/>
      <w:r>
        <w:rPr>
          <w:rFonts w:ascii="Times New Roman" w:hAnsi="Times New Roman" w:eastAsia="Ђˎ̥" w:cs="Times New Roman"/>
          <w:color w:val="auto"/>
          <w:kern w:val="0"/>
          <w:sz w:val="24"/>
          <w:szCs w:val="24"/>
          <w:highlight w:val="none"/>
          <w:lang w:val="en-US" w:eastAsia="zh-CN" w:bidi="ar-SA"/>
        </w:rPr>
        <w:t xml:space="preserve"> </w:t>
      </w:r>
      <w:bookmarkEnd w:id="362"/>
      <w:r>
        <w:rPr>
          <w:rFonts w:ascii="Times New Roman" w:hAnsi="Times New Roman" w:eastAsia="Ђˎ̥" w:cs="Times New Roman"/>
          <w:color w:val="auto"/>
          <w:kern w:val="0"/>
          <w:sz w:val="24"/>
          <w:szCs w:val="24"/>
          <w:highlight w:val="none"/>
          <w:lang w:val="en-US" w:eastAsia="zh-CN" w:bidi="ar-SA"/>
        </w:rPr>
        <w:t xml:space="preserve">  </w:t>
      </w:r>
    </w:p>
    <w:p w14:paraId="182AB0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因变更引起工期变化的，合同当事人均可要求调整合同工期，由合同当事人按照第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款〔商定或确定〕并参考工程所在地的工期定额标准确定增减工期天数。</w:t>
      </w:r>
    </w:p>
    <w:p w14:paraId="340E9FB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3" w:name="_Toc351203574"/>
      <w:r>
        <w:rPr>
          <w:rFonts w:ascii="Times New Roman" w:hAnsi="Times New Roman" w:eastAsia="Ђˎ̥" w:cs="Times New Roman"/>
          <w:color w:val="auto"/>
          <w:kern w:val="0"/>
          <w:sz w:val="24"/>
          <w:szCs w:val="24"/>
          <w:highlight w:val="none"/>
          <w:lang w:val="en-US" w:eastAsia="zh-CN" w:bidi="ar-SA"/>
        </w:rPr>
        <w:t>10.7</w:t>
      </w:r>
      <w:r>
        <w:rPr>
          <w:rFonts w:hint="eastAsia" w:ascii="Times New Roman" w:hAnsi="Times New Roman" w:eastAsia="Ђˎ̥" w:cs="宋体"/>
          <w:color w:val="auto"/>
          <w:kern w:val="0"/>
          <w:sz w:val="24"/>
          <w:szCs w:val="24"/>
          <w:highlight w:val="none"/>
          <w:lang w:val="en-US" w:eastAsia="zh-CN" w:bidi="ar-SA"/>
        </w:rPr>
        <w:t>暂估价</w:t>
      </w:r>
      <w:bookmarkEnd w:id="363"/>
    </w:p>
    <w:p w14:paraId="23EAE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暂估价专业分包工程、服务、材料和工程设备的明细由合同当事人在专用合同条款中约定。</w:t>
      </w:r>
    </w:p>
    <w:p w14:paraId="3153E8C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10.7.1</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依法必须招标的暂估价项目</w:t>
      </w:r>
    </w:p>
    <w:p w14:paraId="578CF4D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种方式确定。合同当事人也可以在专用合同条款中选择其他招标方式。</w:t>
      </w:r>
    </w:p>
    <w:p w14:paraId="08655F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种方式：对于依法必须招标的暂估价项目，由承包人招标，对该暂估价项目的确认和批准按照以下约定执行：</w:t>
      </w:r>
    </w:p>
    <w:p w14:paraId="0BEFBB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）承包人应当根据施工进度计划，在招标工作启动前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天将招标方案通过监理人报送发包人审查，发包人应当在收到承包人报送的招标方案后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天内批准或提出修改意见。承包人应当按照经过发包人批准的招标方案开展招标工作；</w:t>
      </w:r>
    </w:p>
    <w:p w14:paraId="0EDE70F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）承包人应当根据施工进度计划，提前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天将招标文件通过监理人报送发包人审批，发包人应当在收到承包人报送的相关文件后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天内完成审批或提出修改意见；发包人有权确定招标控制价并按照法律规定参加评标；</w:t>
      </w:r>
    </w:p>
    <w:p w14:paraId="1C05B85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）承包人与供应商、分包人在签订暂估价合同前，应当提前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天将确定的中标候选供应商或中标候选分包人的资料报送发包人，发包人应在收到资料后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天内与承包人共同确定中标人；承包人应当在签订合同后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6F2327E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种方式：对于依法必须招标的暂估价项目，由发包人和承包人共同招标确定暂估价供应商或分包人的，承包人应按照施工进度计划，在招标工作启动前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天通知发包人，并提交暂估价招标方案和工作分工。发包人应在收到后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天内确认。确定中标人后，由发包人、承包人与中标人共同签订暂估价合同。</w:t>
      </w:r>
    </w:p>
    <w:p w14:paraId="44561D6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10.7.2</w:t>
      </w:r>
      <w:r>
        <w:rPr>
          <w:rFonts w:hint="eastAsia" w:ascii="宋体" w:hAnsi="宋体" w:eastAsia="宋体" w:cs="Times New Roman"/>
          <w:color w:val="auto"/>
          <w:kern w:val="0"/>
          <w:sz w:val="24"/>
          <w:szCs w:val="24"/>
          <w:highlight w:val="none"/>
        </w:rPr>
        <w:t>不属于依法必须招标的暂估价项目</w:t>
      </w:r>
    </w:p>
    <w:p w14:paraId="1D2B83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除专用合同条款另有约定外，对于不属于依法必须招标的暂估价项目，采取以下第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w:t>
      </w:r>
      <w:r>
        <w:rPr>
          <w:rFonts w:ascii="宋体" w:hAnsi="宋体" w:eastAsia="宋体" w:cs="Times New Roman"/>
          <w:color w:val="auto"/>
          <w:kern w:val="0"/>
          <w:sz w:val="24"/>
          <w:szCs w:val="24"/>
          <w:highlight w:val="none"/>
        </w:rPr>
        <w:t xml:space="preserve"> </w:t>
      </w:r>
    </w:p>
    <w:p w14:paraId="58EDDDF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种方式：对于不属于依法必须招标的暂估价项目，按本项约定确认和批准：</w:t>
      </w:r>
    </w:p>
    <w:p w14:paraId="586504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）承包人应根据施工进度计划，在签订暂估价项目的采购合同、分包合同前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天向监理人提出书面申请。监理人应当在收到申请后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天内报送发包人，发包人应当在收到申请后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天内给予批准或提出修改意见，发包人逾期未予批准或提出修改意见的，视为该书面申请已获得同意；</w:t>
      </w:r>
    </w:p>
    <w:p w14:paraId="6734B0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）发包人认为承包人确定的供应商、分包人无法满足工程质量或合同要求的，发包人可以要求承包人重新确定暂估价项目的供应商、分包人</w:t>
      </w:r>
      <w:r>
        <w:rPr>
          <w:rFonts w:ascii="宋体" w:hAnsi="宋体" w:eastAsia="宋体" w:cs="Times New Roman"/>
          <w:color w:val="auto"/>
          <w:kern w:val="0"/>
          <w:sz w:val="24"/>
          <w:szCs w:val="24"/>
          <w:highlight w:val="none"/>
        </w:rPr>
        <w:t>;</w:t>
      </w:r>
    </w:p>
    <w:p w14:paraId="358B32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）承包人应当在签订暂估价合同后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1EBF104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种方式：承包人按照第</w:t>
      </w:r>
      <w:r>
        <w:rPr>
          <w:rFonts w:ascii="宋体" w:hAnsi="宋体" w:eastAsia="宋体" w:cs="Times New Roman"/>
          <w:color w:val="auto"/>
          <w:kern w:val="0"/>
          <w:sz w:val="24"/>
          <w:szCs w:val="24"/>
          <w:highlight w:val="none"/>
        </w:rPr>
        <w:t>10.7.1</w:t>
      </w:r>
      <w:r>
        <w:rPr>
          <w:rFonts w:hint="eastAsia" w:ascii="宋体" w:hAnsi="宋体" w:eastAsia="宋体" w:cs="Times New Roman"/>
          <w:color w:val="auto"/>
          <w:kern w:val="0"/>
          <w:sz w:val="24"/>
          <w:szCs w:val="24"/>
          <w:highlight w:val="none"/>
        </w:rPr>
        <w:t>项〔依法必须招标的暂估价项目〕约定的第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种方式确定暂估价项目。</w:t>
      </w:r>
    </w:p>
    <w:p w14:paraId="45FD5F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w:t>
      </w:r>
      <w:r>
        <w:rPr>
          <w:rFonts w:hint="eastAsia" w:ascii="宋体" w:hAnsi="宋体" w:eastAsia="宋体" w:cs="Times New Roman"/>
          <w:color w:val="auto"/>
          <w:kern w:val="0"/>
          <w:sz w:val="24"/>
          <w:szCs w:val="24"/>
          <w:highlight w:val="none"/>
        </w:rPr>
        <w:t>承包人直接实施的暂估价项目</w:t>
      </w:r>
    </w:p>
    <w:p w14:paraId="2D5E481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承包人具备实施暂估价项目的资格和条件的，经发包人和承包人协商一致后，可由承包人自行实施暂估价项目，合同当事人可以在专用合同条款约定具体事项。</w:t>
      </w:r>
    </w:p>
    <w:p w14:paraId="571234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10.7.3 </w:t>
      </w:r>
      <w:r>
        <w:rPr>
          <w:rFonts w:hint="eastAsia" w:ascii="宋体" w:hAnsi="宋体" w:eastAsia="宋体" w:cs="Times New Roman"/>
          <w:color w:val="auto"/>
          <w:kern w:val="0"/>
          <w:sz w:val="24"/>
          <w:szCs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206A7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4" w:name="_Toc351203575"/>
      <w:r>
        <w:rPr>
          <w:rFonts w:ascii="Times New Roman" w:hAnsi="Times New Roman" w:eastAsia="Ђˎ̥" w:cs="Times New Roman"/>
          <w:color w:val="auto"/>
          <w:kern w:val="0"/>
          <w:sz w:val="24"/>
          <w:szCs w:val="24"/>
          <w:highlight w:val="none"/>
          <w:lang w:val="en-US" w:eastAsia="zh-CN" w:bidi="ar-SA"/>
        </w:rPr>
        <w:t>1</w:t>
      </w:r>
      <w:bookmarkStart w:id="365" w:name="_Toc337558794"/>
      <w:bookmarkStart w:id="366" w:name="_Toc296346591"/>
      <w:bookmarkStart w:id="367" w:name="_Toc322522561"/>
      <w:bookmarkStart w:id="368" w:name="_Toc296503090"/>
      <w:r>
        <w:rPr>
          <w:rFonts w:ascii="Times New Roman" w:hAnsi="Times New Roman" w:eastAsia="Ђˎ̥" w:cs="Times New Roman"/>
          <w:color w:val="auto"/>
          <w:kern w:val="0"/>
          <w:sz w:val="24"/>
          <w:szCs w:val="24"/>
          <w:highlight w:val="none"/>
          <w:lang w:val="en-US" w:eastAsia="zh-CN" w:bidi="ar-SA"/>
        </w:rPr>
        <w:t>0.8</w:t>
      </w:r>
      <w:r>
        <w:rPr>
          <w:rFonts w:hint="eastAsia" w:ascii="Times New Roman" w:hAnsi="Times New Roman" w:eastAsia="Ђˎ̥" w:cs="宋体"/>
          <w:color w:val="auto"/>
          <w:kern w:val="0"/>
          <w:sz w:val="24"/>
          <w:szCs w:val="24"/>
          <w:highlight w:val="none"/>
          <w:lang w:val="en-US" w:eastAsia="zh-CN" w:bidi="ar-SA"/>
        </w:rPr>
        <w:t>暂列金额</w:t>
      </w:r>
      <w:bookmarkEnd w:id="364"/>
    </w:p>
    <w:bookmarkEnd w:id="365"/>
    <w:p w14:paraId="523F8A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暂列金额应按照发包人的要求使用，发包人的要求应通过监理人发出。合同当事人可以在专用合同条款中协商确定有关事项。</w:t>
      </w:r>
    </w:p>
    <w:bookmarkEnd w:id="366"/>
    <w:bookmarkEnd w:id="367"/>
    <w:bookmarkEnd w:id="368"/>
    <w:p w14:paraId="701A113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9" w:name="_Toc351203576"/>
      <w:r>
        <w:rPr>
          <w:rFonts w:ascii="Times New Roman" w:hAnsi="Times New Roman" w:eastAsia="Ђˎ̥" w:cs="Times New Roman"/>
          <w:color w:val="auto"/>
          <w:kern w:val="0"/>
          <w:sz w:val="24"/>
          <w:szCs w:val="24"/>
          <w:highlight w:val="none"/>
          <w:lang w:val="en-US" w:eastAsia="zh-CN" w:bidi="ar-SA"/>
        </w:rPr>
        <w:t>1</w:t>
      </w:r>
      <w:bookmarkStart w:id="370" w:name="_Toc296346592"/>
      <w:bookmarkStart w:id="371" w:name="_Toc337558796"/>
      <w:bookmarkStart w:id="372" w:name="_Toc296503091"/>
      <w:r>
        <w:rPr>
          <w:rFonts w:ascii="Times New Roman" w:hAnsi="Times New Roman" w:eastAsia="Ђˎ̥" w:cs="Times New Roman"/>
          <w:color w:val="auto"/>
          <w:kern w:val="0"/>
          <w:sz w:val="24"/>
          <w:szCs w:val="24"/>
          <w:highlight w:val="none"/>
          <w:lang w:val="en-US" w:eastAsia="zh-CN" w:bidi="ar-SA"/>
        </w:rPr>
        <w:t>0.9</w:t>
      </w:r>
      <w:r>
        <w:rPr>
          <w:rFonts w:hint="eastAsia" w:ascii="Times New Roman" w:hAnsi="Times New Roman" w:eastAsia="Ђˎ̥" w:cs="宋体"/>
          <w:color w:val="auto"/>
          <w:kern w:val="0"/>
          <w:sz w:val="24"/>
          <w:szCs w:val="24"/>
          <w:highlight w:val="none"/>
          <w:lang w:val="en-US" w:eastAsia="zh-CN" w:bidi="ar-SA"/>
        </w:rPr>
        <w:t>计日工</w:t>
      </w:r>
      <w:bookmarkEnd w:id="369"/>
      <w:r>
        <w:rPr>
          <w:rFonts w:ascii="Times New Roman" w:hAnsi="Times New Roman" w:eastAsia="Ђˎ̥" w:cs="Times New Roman"/>
          <w:color w:val="auto"/>
          <w:kern w:val="0"/>
          <w:sz w:val="24"/>
          <w:szCs w:val="24"/>
          <w:highlight w:val="none"/>
          <w:lang w:val="en-US" w:eastAsia="zh-CN" w:bidi="ar-SA"/>
        </w:rPr>
        <w:t xml:space="preserve"> </w:t>
      </w:r>
      <w:bookmarkEnd w:id="370"/>
      <w:bookmarkEnd w:id="371"/>
      <w:bookmarkEnd w:id="372"/>
    </w:p>
    <w:p w14:paraId="532E03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款〔商定或确定〕确定计日工的单价。</w:t>
      </w:r>
    </w:p>
    <w:p w14:paraId="4AD2D0D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采用计日工计价的任何一项工作，承包人应在该项工作实施过程中，每天提交以下报表和有关凭证报送监理人审查：</w:t>
      </w:r>
    </w:p>
    <w:p w14:paraId="659C5B87">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）工作名称、内容和数量；</w:t>
      </w:r>
    </w:p>
    <w:p w14:paraId="41D281D6">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）投入该工作的所有人员的姓名、专业、工种、级别和耗用工时；</w:t>
      </w:r>
    </w:p>
    <w:p w14:paraId="5D251961">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）投入该工作的材料类别和数量；</w:t>
      </w:r>
    </w:p>
    <w:p w14:paraId="5BA2E493">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）投入该工作的施工设备型号、台数和耗用台时；</w:t>
      </w:r>
    </w:p>
    <w:p w14:paraId="2EB18849">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）其他有关资料和凭证。</w:t>
      </w:r>
    </w:p>
    <w:p w14:paraId="5AA7821D">
      <w:pPr>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计日工由承包人汇总后，列入最近一期进度付款申请单，由监理人审查并经发包人批准后列入进度付款。</w:t>
      </w:r>
    </w:p>
    <w:p w14:paraId="33DA576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73" w:name="_Toc17965080"/>
      <w:bookmarkStart w:id="374" w:name="_Toc351203577"/>
      <w:r>
        <w:rPr>
          <w:rFonts w:ascii="Times New Roman" w:hAnsi="Times New Roman" w:eastAsia="黑体" w:cs="Times New Roman"/>
          <w:b/>
          <w:bCs/>
          <w:color w:val="auto"/>
          <w:kern w:val="2"/>
          <w:sz w:val="24"/>
          <w:szCs w:val="24"/>
          <w:highlight w:val="none"/>
          <w:lang w:val="en-US" w:eastAsia="zh-CN" w:bidi="ar-SA"/>
        </w:rPr>
        <w:t xml:space="preserve">11. </w:t>
      </w:r>
      <w:r>
        <w:rPr>
          <w:rFonts w:ascii="Times New Roman" w:hAnsi="Times New Roman" w:eastAsia="黑体" w:cs="宋体"/>
          <w:b/>
          <w:bCs/>
          <w:color w:val="auto"/>
          <w:kern w:val="2"/>
          <w:sz w:val="24"/>
          <w:szCs w:val="24"/>
          <w:highlight w:val="none"/>
          <w:lang w:val="en-US" w:eastAsia="zh-CN" w:bidi="ar-SA"/>
        </w:rPr>
        <w:t>价格调整</w:t>
      </w:r>
      <w:bookmarkEnd w:id="373"/>
      <w:bookmarkEnd w:id="374"/>
    </w:p>
    <w:p w14:paraId="4E121E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5" w:name="_Toc351203578"/>
      <w:bookmarkStart w:id="376" w:name="_Toc296346593"/>
      <w:bookmarkStart w:id="377" w:name="_Toc337558797"/>
      <w:bookmarkStart w:id="378" w:name="_Toc296503092"/>
      <w:r>
        <w:rPr>
          <w:rFonts w:ascii="Times New Roman" w:hAnsi="Times New Roman" w:eastAsia="Ђˎ̥" w:cs="Times New Roman"/>
          <w:color w:val="auto"/>
          <w:kern w:val="0"/>
          <w:sz w:val="24"/>
          <w:szCs w:val="24"/>
          <w:highlight w:val="none"/>
          <w:lang w:val="en-US" w:eastAsia="zh-CN" w:bidi="ar-SA"/>
        </w:rPr>
        <w:t>11.1</w:t>
      </w:r>
      <w:r>
        <w:rPr>
          <w:rFonts w:hint="eastAsia" w:ascii="Times New Roman" w:hAnsi="Times New Roman" w:eastAsia="Ђˎ̥" w:cs="Times New Roman"/>
          <w:color w:val="auto"/>
          <w:kern w:val="0"/>
          <w:sz w:val="24"/>
          <w:szCs w:val="24"/>
          <w:highlight w:val="none"/>
          <w:lang w:val="en-US" w:eastAsia="zh-CN" w:bidi="ar-SA"/>
        </w:rPr>
        <w:t>市场价格波动引起的调整</w:t>
      </w:r>
      <w:bookmarkEnd w:id="375"/>
    </w:p>
    <w:bookmarkEnd w:id="376"/>
    <w:bookmarkEnd w:id="377"/>
    <w:bookmarkEnd w:id="378"/>
    <w:p w14:paraId="518586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14:paraId="22B58EC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种方式：采用价格指数进行价格调整。</w:t>
      </w:r>
    </w:p>
    <w:p w14:paraId="51335405">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）价格调整公式</w:t>
      </w:r>
    </w:p>
    <w:p w14:paraId="732A757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因人工、材料和设备等价格波动影响合同价格时，根据专用合同条款中约定的数据，按以下公式计算差额并调整合同价格：</w:t>
      </w:r>
    </w:p>
    <w:p w14:paraId="56D6351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30"/>
          <w:sz w:val="24"/>
          <w:szCs w:val="24"/>
          <w:highlight w:val="none"/>
        </w:rPr>
        <w:drawing>
          <wp:inline distT="0" distB="0" distL="0" distR="0">
            <wp:extent cx="4572000" cy="56578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565785"/>
                    </a:xfrm>
                    <a:prstGeom prst="rect">
                      <a:avLst/>
                    </a:prstGeom>
                    <a:noFill/>
                    <a:ln>
                      <a:noFill/>
                    </a:ln>
                  </pic:spPr>
                </pic:pic>
              </a:graphicData>
            </a:graphic>
          </wp:inline>
        </w:drawing>
      </w:r>
    </w:p>
    <w:p w14:paraId="7AA1CC2B">
      <w:pPr>
        <w:tabs>
          <w:tab w:val="left" w:pos="0"/>
          <w:tab w:val="left" w:pos="360"/>
          <w:tab w:val="left" w:pos="540"/>
        </w:tabs>
        <w:spacing w:line="360" w:lineRule="auto"/>
        <w:ind w:firstLine="64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公式中：</w:t>
      </w:r>
      <w:r>
        <w:rPr>
          <w:rFonts w:ascii="宋体" w:hAnsi="宋体" w:eastAsia="宋体" w:cs="Times New Roman"/>
          <w:color w:val="auto"/>
          <w:sz w:val="24"/>
          <w:szCs w:val="24"/>
          <w:highlight w:val="none"/>
        </w:rPr>
        <w:t>ΔP——</w:t>
      </w:r>
      <w:r>
        <w:rPr>
          <w:rFonts w:hint="eastAsia" w:ascii="宋体" w:hAnsi="宋体" w:eastAsia="宋体" w:cs="Times New Roman"/>
          <w:color w:val="auto"/>
          <w:sz w:val="24"/>
          <w:szCs w:val="24"/>
          <w:highlight w:val="none"/>
        </w:rPr>
        <w:t>需调整的价格差额；</w:t>
      </w:r>
    </w:p>
    <w:p w14:paraId="021DCC19">
      <w:pPr>
        <w:tabs>
          <w:tab w:val="left" w:pos="0"/>
          <w:tab w:val="left" w:pos="360"/>
          <w:tab w:val="left" w:pos="540"/>
        </w:tabs>
        <w:spacing w:line="360" w:lineRule="auto"/>
        <w:ind w:firstLine="1440" w:firstLineChars="600"/>
        <w:rPr>
          <w:rFonts w:ascii="宋体" w:hAnsi="宋体" w:eastAsia="宋体" w:cs="Times New Roman"/>
          <w:color w:val="auto"/>
          <w:sz w:val="24"/>
          <w:szCs w:val="24"/>
          <w:highlight w:val="none"/>
        </w:rPr>
      </w:pPr>
      <w:r>
        <w:rPr>
          <w:rFonts w:ascii="宋体" w:hAnsi="宋体" w:eastAsia="宋体" w:cs="Times New Roman"/>
          <w:color w:val="auto"/>
          <w:position w:val="-6"/>
          <w:sz w:val="24"/>
          <w:szCs w:val="24"/>
          <w:highlight w:val="none"/>
        </w:rPr>
        <w:drawing>
          <wp:inline distT="0" distB="0" distL="0" distR="0">
            <wp:extent cx="226695" cy="2266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5D23A3C8">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定值权重（即不调部分的权重）；</w:t>
      </w:r>
    </w:p>
    <w:p w14:paraId="6F6D902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89050" cy="269875"/>
            <wp:effectExtent l="0" t="0" r="635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9050" cy="26987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各可调因子的变值权重（即可调部分的权重），为各可调因子在签约合同价中所占的比例；</w:t>
      </w:r>
    </w:p>
    <w:p w14:paraId="77DB109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97305" cy="260985"/>
            <wp:effectExtent l="0" t="0" r="171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9730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各可调因子的现行价格指数，指约定的付款证书相关周期最后一天的前</w:t>
      </w:r>
      <w:r>
        <w:rPr>
          <w:rFonts w:ascii="宋体" w:hAnsi="宋体" w:eastAsia="宋体" w:cs="Times New Roman"/>
          <w:color w:val="auto"/>
          <w:sz w:val="24"/>
          <w:szCs w:val="24"/>
          <w:highlight w:val="none"/>
        </w:rPr>
        <w:t>42</w:t>
      </w:r>
      <w:r>
        <w:rPr>
          <w:rFonts w:hint="eastAsia" w:ascii="宋体" w:hAnsi="宋体" w:eastAsia="宋体" w:cs="Times New Roman"/>
          <w:color w:val="auto"/>
          <w:sz w:val="24"/>
          <w:szCs w:val="24"/>
          <w:highlight w:val="none"/>
        </w:rPr>
        <w:t>天的各可调因子的价格指数；</w:t>
      </w:r>
    </w:p>
    <w:p w14:paraId="3F74854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367155" cy="260985"/>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715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各可调因子的基本价格指数，指基准日期的各可调因子的价格指数。</w:t>
      </w:r>
    </w:p>
    <w:p w14:paraId="5E74A440">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CE83B3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）暂时确定调整差额</w:t>
      </w:r>
    </w:p>
    <w:p w14:paraId="7545266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在计算调整差额时无现行价格指数的，合同当事人同意暂用前次价格指数计算。实际价格指数有调整的，合同当事人进行相应调整。</w:t>
      </w:r>
    </w:p>
    <w:p w14:paraId="17D32F7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）权重的调整</w:t>
      </w:r>
    </w:p>
    <w:p w14:paraId="52433D6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因变更导致合同约定的权重不合理时，按照第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款〔商定或确定〕执行。</w:t>
      </w:r>
    </w:p>
    <w:p w14:paraId="6505CE0D">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）因承包人原因工期延误后的价格调整</w:t>
      </w:r>
    </w:p>
    <w:p w14:paraId="3C7C0F5C">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9BCE46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种方式：采用造价信息进行价格调整。</w:t>
      </w:r>
    </w:p>
    <w:p w14:paraId="4440BB6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7C55576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B5FB97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）材料、工程设备价格变化的价款调整按照发包人提供的基准价格，按以下风险范围规定执行</w:t>
      </w:r>
      <w:r>
        <w:rPr>
          <w:rFonts w:ascii="宋体" w:hAnsi="宋体" w:eastAsia="宋体" w:cs="Times New Roman"/>
          <w:color w:val="auto"/>
          <w:sz w:val="24"/>
          <w:szCs w:val="24"/>
          <w:highlight w:val="none"/>
        </w:rPr>
        <w:t>:</w:t>
      </w:r>
    </w:p>
    <w:p w14:paraId="571EE16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eastAsia="宋体" w:cs="Times New Roman"/>
          <w:color w:val="auto"/>
          <w:sz w:val="24"/>
          <w:szCs w:val="24"/>
          <w:highlight w:val="none"/>
        </w:rPr>
        <w:t>承包人在已标价工程量清单或预算书中载明材料单价低于基准价格的：除专用合同条款另有约定外，合同履行期间材料单价涨幅以基准价格为基础超过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时，或材料单价跌幅以在已标价工程量清单或预算书中载明材料单价为基础超过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05A67A7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Times New Roman"/>
          <w:color w:val="auto"/>
          <w:sz w:val="24"/>
          <w:szCs w:val="24"/>
          <w:highlight w:val="none"/>
        </w:rPr>
        <w:t>承包人在已标价工程量清单或预算书中载明材料单价高于基准价格的：除专用合同条款另有约定外，合同履行期间材料单价跌幅以基准价格为基础超过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时，材料单价涨幅以在已标价工程量清单或预算书中载明材料单价为基础超过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2A67E03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eastAsia="宋体" w:cs="Times New Roman"/>
          <w:color w:val="auto"/>
          <w:sz w:val="24"/>
          <w:szCs w:val="24"/>
          <w:highlight w:val="none"/>
        </w:rPr>
        <w:t>承包人在已标价工程量清单或预算书中载明材料单价等于基准价格的：除专用合同条款另有约定外，合同履行期间材料单价涨跌幅以基准价格为基础超过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16F11C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eastAsia="宋体" w:cs="Times New Roman"/>
          <w:color w:val="auto"/>
          <w:sz w:val="24"/>
          <w:szCs w:val="24"/>
          <w:highlight w:val="none"/>
        </w:rPr>
        <w:t>承包人应在采购材料前将采购数量和新的材料单价报发包人核对，发包人确认用于工程时，发包人应确认采购材料的数量和单价。发包人在收到承包人报送的确认资料后</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天内不予答复的视为认可，作为调整合同价格的依据。未经发包人事先核对，承包人自行采购材料的，发包人有权不予调整合同价格。发包人同意的，可以调整合同价格。</w:t>
      </w:r>
    </w:p>
    <w:p w14:paraId="2B67999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302794B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）施工机械台班单价或施工机械使用费发生变化超过省级或行业建设主管部门或其授权的工程造价管理机构规定的范围时，按规定调整合同价格。</w:t>
      </w:r>
    </w:p>
    <w:p w14:paraId="017AE08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种方式：专用合同条款约定的其他方式。</w:t>
      </w:r>
    </w:p>
    <w:p w14:paraId="35C9FFC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9" w:name="_Toc351203579"/>
      <w:bookmarkStart w:id="380" w:name="_Toc296346594"/>
      <w:bookmarkStart w:id="381" w:name="_Toc337558798"/>
      <w:bookmarkStart w:id="382" w:name="_Toc296503093"/>
      <w:r>
        <w:rPr>
          <w:rFonts w:ascii="Times New Roman" w:hAnsi="Times New Roman" w:eastAsia="Ђˎ̥" w:cs="Times New Roman"/>
          <w:color w:val="auto"/>
          <w:kern w:val="0"/>
          <w:sz w:val="24"/>
          <w:szCs w:val="24"/>
          <w:highlight w:val="none"/>
          <w:lang w:val="en-US" w:eastAsia="zh-CN" w:bidi="ar-SA"/>
        </w:rPr>
        <w:t>11.2</w:t>
      </w:r>
      <w:r>
        <w:rPr>
          <w:rFonts w:hint="eastAsia" w:ascii="Times New Roman" w:hAnsi="Times New Roman" w:eastAsia="Ђˎ̥" w:cs="Times New Roman"/>
          <w:color w:val="auto"/>
          <w:kern w:val="0"/>
          <w:sz w:val="24"/>
          <w:szCs w:val="24"/>
          <w:highlight w:val="none"/>
          <w:lang w:val="en-US" w:eastAsia="zh-CN" w:bidi="ar-SA"/>
        </w:rPr>
        <w:t>法律变化引起的调整</w:t>
      </w:r>
      <w:bookmarkEnd w:id="379"/>
    </w:p>
    <w:bookmarkEnd w:id="380"/>
    <w:bookmarkEnd w:id="381"/>
    <w:bookmarkEnd w:id="382"/>
    <w:p w14:paraId="18D8644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基准日期后，法律变化导致承包人在合同履行过程中所需要的费用发生除第</w:t>
      </w:r>
      <w:r>
        <w:rPr>
          <w:rFonts w:ascii="宋体" w:hAnsi="宋体" w:eastAsia="宋体" w:cs="Times New Roman"/>
          <w:color w:val="auto"/>
          <w:sz w:val="24"/>
          <w:szCs w:val="24"/>
          <w:highlight w:val="none"/>
        </w:rPr>
        <w:t>11.1</w:t>
      </w:r>
      <w:r>
        <w:rPr>
          <w:rFonts w:hint="eastAsia" w:ascii="宋体" w:hAnsi="宋体" w:eastAsia="宋体" w:cs="Times New Roman"/>
          <w:color w:val="auto"/>
          <w:sz w:val="24"/>
          <w:szCs w:val="24"/>
          <w:highlight w:val="none"/>
        </w:rPr>
        <w:t>款〔市场价格波动引起的调整〕约定以外的增加时，由发包人承担由此增加的费用；减少时，应从合同价格中予以扣减。基准日期后，因法律变化造成工期延误时，工期应予以顺延。</w:t>
      </w:r>
    </w:p>
    <w:p w14:paraId="34957C6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因法律变化引起的合同价格和工期调整，合同当事人无法达成一致的，由总监理工程师按第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款〔商定或确定〕的约定处理。</w:t>
      </w:r>
    </w:p>
    <w:p w14:paraId="26E13BE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因承包人原因造成工期延误，在工期延误期间出现法律变化的，由此增加的费用和（或）延误的工期由承包人承担。</w:t>
      </w:r>
    </w:p>
    <w:p w14:paraId="7E66DBC9">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83" w:name="_Toc17965081"/>
      <w:bookmarkStart w:id="384" w:name="_Toc351203580"/>
      <w:bookmarkStart w:id="385" w:name="_Toc337558799"/>
      <w:bookmarkStart w:id="386" w:name="_Toc296346597"/>
      <w:bookmarkStart w:id="387" w:name="_Toc296503096"/>
      <w:r>
        <w:rPr>
          <w:rFonts w:ascii="Times New Roman" w:hAnsi="Times New Roman" w:eastAsia="黑体" w:cs="Times New Roman"/>
          <w:b/>
          <w:bCs/>
          <w:color w:val="auto"/>
          <w:kern w:val="2"/>
          <w:sz w:val="24"/>
          <w:szCs w:val="24"/>
          <w:highlight w:val="none"/>
          <w:lang w:val="en-US" w:eastAsia="zh-CN" w:bidi="ar-SA"/>
        </w:rPr>
        <w:t>12. 合同价格、计量与支付</w:t>
      </w:r>
      <w:bookmarkEnd w:id="383"/>
      <w:bookmarkEnd w:id="384"/>
    </w:p>
    <w:bookmarkEnd w:id="385"/>
    <w:p w14:paraId="7D4575A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88" w:name="_Toc351203581"/>
      <w:bookmarkStart w:id="389" w:name="_Toc337558800"/>
      <w:r>
        <w:rPr>
          <w:rFonts w:ascii="Times New Roman" w:hAnsi="Times New Roman" w:eastAsia="Ђˎ̥" w:cs="Times New Roman"/>
          <w:color w:val="auto"/>
          <w:kern w:val="0"/>
          <w:sz w:val="24"/>
          <w:szCs w:val="24"/>
          <w:highlight w:val="none"/>
          <w:lang w:val="en-US" w:eastAsia="zh-CN" w:bidi="ar-SA"/>
        </w:rPr>
        <w:t xml:space="preserve">12.1 </w:t>
      </w:r>
      <w:r>
        <w:rPr>
          <w:rFonts w:hint="eastAsia" w:ascii="Times New Roman" w:hAnsi="Times New Roman" w:eastAsia="Ђˎ̥" w:cs="宋体"/>
          <w:color w:val="auto"/>
          <w:kern w:val="0"/>
          <w:sz w:val="24"/>
          <w:szCs w:val="24"/>
          <w:highlight w:val="none"/>
          <w:lang w:val="en-US" w:eastAsia="zh-CN" w:bidi="ar-SA"/>
        </w:rPr>
        <w:t>合同价</w:t>
      </w:r>
      <w:bookmarkEnd w:id="386"/>
      <w:bookmarkEnd w:id="387"/>
      <w:r>
        <w:rPr>
          <w:rFonts w:hint="eastAsia" w:ascii="Times New Roman" w:hAnsi="Times New Roman" w:eastAsia="Ђˎ̥" w:cs="宋体"/>
          <w:color w:val="auto"/>
          <w:kern w:val="0"/>
          <w:sz w:val="24"/>
          <w:szCs w:val="24"/>
          <w:highlight w:val="none"/>
          <w:lang w:val="en-US" w:eastAsia="zh-CN" w:bidi="ar-SA"/>
        </w:rPr>
        <w:t>格形式</w:t>
      </w:r>
      <w:bookmarkEnd w:id="388"/>
    </w:p>
    <w:bookmarkEnd w:id="389"/>
    <w:p w14:paraId="720357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发包人和承包人应在合同协议书中选择下列一种合同价格形式：</w:t>
      </w:r>
      <w:r>
        <w:rPr>
          <w:rFonts w:ascii="宋体" w:hAnsi="宋体" w:eastAsia="宋体" w:cs="Times New Roman"/>
          <w:color w:val="auto"/>
          <w:kern w:val="0"/>
          <w:sz w:val="24"/>
          <w:szCs w:val="24"/>
          <w:highlight w:val="none"/>
        </w:rPr>
        <w:t xml:space="preserve"> </w:t>
      </w:r>
    </w:p>
    <w:p w14:paraId="61FF1C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w:t>
      </w:r>
    </w:p>
    <w:p w14:paraId="12C509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单价合同是指合同当事人约定以工程量清单及其综合单价进行合同价格计算、调整和确认的建设工程施工合同，</w:t>
      </w:r>
      <w:r>
        <w:rPr>
          <w:rFonts w:hint="eastAsia" w:ascii="宋体" w:hAnsi="宋体" w:eastAsia="宋体" w:cs="Times New Roman"/>
          <w:color w:val="auto"/>
          <w:sz w:val="24"/>
          <w:szCs w:val="24"/>
          <w:highlight w:val="none"/>
        </w:rPr>
        <w:t>在约定的范围内合同单价不作调整</w:t>
      </w:r>
      <w:r>
        <w:rPr>
          <w:rFonts w:hint="eastAsia" w:ascii="宋体" w:hAnsi="宋体" w:eastAsia="宋体" w:cs="Times New Roman"/>
          <w:color w:val="auto"/>
          <w:kern w:val="0"/>
          <w:sz w:val="24"/>
          <w:szCs w:val="24"/>
          <w:highlight w:val="none"/>
        </w:rPr>
        <w:t>。合同当事人应在专用合同条款中约定综合单价包含的风险范围和风险费用的计算方法</w:t>
      </w:r>
      <w:r>
        <w:rPr>
          <w:rFonts w:hint="eastAsia" w:ascii="宋体" w:hAnsi="宋体" w:eastAsia="宋体" w:cs="Times New Roman"/>
          <w:color w:val="auto"/>
          <w:sz w:val="24"/>
          <w:szCs w:val="24"/>
          <w:highlight w:val="none"/>
        </w:rPr>
        <w:t>，</w:t>
      </w:r>
      <w:r>
        <w:rPr>
          <w:rFonts w:hint="eastAsia" w:ascii="宋体" w:hAnsi="宋体" w:eastAsia="宋体" w:cs="Times New Roman"/>
          <w:color w:val="auto"/>
          <w:kern w:val="0"/>
          <w:sz w:val="24"/>
          <w:szCs w:val="24"/>
          <w:highlight w:val="none"/>
        </w:rPr>
        <w:t>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款〔市场价格波动引起的调整〕约定执行。</w:t>
      </w:r>
    </w:p>
    <w:p w14:paraId="63502E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w:t>
      </w:r>
    </w:p>
    <w:p w14:paraId="7339CC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总价合同是指合同当事人约定以施工图、已标价工程量清单或预算书及有关条件进行合同价格计算、调整和确认的建设工程施工合同，</w:t>
      </w:r>
      <w:r>
        <w:rPr>
          <w:rFonts w:hint="eastAsia" w:ascii="宋体" w:hAnsi="宋体" w:eastAsia="宋体" w:cs="Times New Roman"/>
          <w:color w:val="auto"/>
          <w:sz w:val="24"/>
          <w:szCs w:val="24"/>
          <w:highlight w:val="none"/>
        </w:rPr>
        <w:t>在约定的范围内合同总价不作调整</w:t>
      </w:r>
      <w:r>
        <w:rPr>
          <w:rFonts w:hint="eastAsia" w:ascii="宋体" w:hAnsi="宋体" w:eastAsia="宋体" w:cs="Times New Roman"/>
          <w:color w:val="auto"/>
          <w:kern w:val="0"/>
          <w:sz w:val="24"/>
          <w:szCs w:val="24"/>
          <w:highlight w:val="none"/>
        </w:rPr>
        <w:t>。合同当事人应在专用合同条款中约定总价包含的风险范围和风险费用的计算方法，并约定风险范围以外的合同价格的调整方法，其中因市场价格波动引起的调整按第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款〔市场价格波动引起的调整〕、因法律变化引起的调整按第</w:t>
      </w:r>
      <w:r>
        <w:rPr>
          <w:rFonts w:ascii="宋体" w:hAnsi="宋体" w:eastAsia="宋体" w:cs="Times New Roman"/>
          <w:color w:val="auto"/>
          <w:kern w:val="0"/>
          <w:sz w:val="24"/>
          <w:szCs w:val="24"/>
          <w:highlight w:val="none"/>
        </w:rPr>
        <w:t>11.2</w:t>
      </w:r>
      <w:r>
        <w:rPr>
          <w:rFonts w:hint="eastAsia" w:ascii="宋体" w:hAnsi="宋体" w:eastAsia="宋体" w:cs="Times New Roman"/>
          <w:color w:val="auto"/>
          <w:kern w:val="0"/>
          <w:sz w:val="24"/>
          <w:szCs w:val="24"/>
          <w:highlight w:val="none"/>
        </w:rPr>
        <w:t>款〔法律变化引起的调整〕约定执行。</w:t>
      </w:r>
    </w:p>
    <w:p w14:paraId="28F5D12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、其它价格形式</w:t>
      </w:r>
    </w:p>
    <w:p w14:paraId="483189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合同当事人可在专用合同条款中约定其他合同价格形式。</w:t>
      </w:r>
    </w:p>
    <w:p w14:paraId="22E3341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0" w:name="_Toc296346598"/>
      <w:bookmarkStart w:id="391" w:name="_Toc296503097"/>
      <w:bookmarkStart w:id="392" w:name="_Toc351203582"/>
      <w:bookmarkStart w:id="393" w:name="_Toc337558801"/>
      <w:r>
        <w:rPr>
          <w:rFonts w:ascii="Times New Roman" w:hAnsi="Times New Roman" w:eastAsia="Ђˎ̥" w:cs="Times New Roman"/>
          <w:color w:val="auto"/>
          <w:kern w:val="0"/>
          <w:sz w:val="24"/>
          <w:szCs w:val="24"/>
          <w:highlight w:val="none"/>
          <w:lang w:val="en-US" w:eastAsia="zh-CN" w:bidi="ar-SA"/>
        </w:rPr>
        <w:t>12.2</w:t>
      </w:r>
      <w:r>
        <w:rPr>
          <w:rFonts w:hint="eastAsia" w:ascii="Times New Roman" w:hAnsi="Times New Roman" w:eastAsia="Ђˎ̥" w:cs="宋体"/>
          <w:color w:val="auto"/>
          <w:kern w:val="0"/>
          <w:sz w:val="24"/>
          <w:szCs w:val="24"/>
          <w:highlight w:val="none"/>
          <w:lang w:val="en-US" w:eastAsia="zh-CN" w:bidi="ar-SA"/>
        </w:rPr>
        <w:t>预</w:t>
      </w:r>
      <w:bookmarkEnd w:id="390"/>
      <w:bookmarkEnd w:id="391"/>
      <w:bookmarkStart w:id="394" w:name="_Toc296346601"/>
      <w:bookmarkStart w:id="395" w:name="_Toc296503100"/>
      <w:r>
        <w:rPr>
          <w:rFonts w:hint="eastAsia" w:ascii="Times New Roman" w:hAnsi="Times New Roman" w:eastAsia="Ђˎ̥" w:cs="宋体"/>
          <w:color w:val="auto"/>
          <w:kern w:val="0"/>
          <w:sz w:val="24"/>
          <w:szCs w:val="24"/>
          <w:highlight w:val="none"/>
          <w:lang w:val="en-US" w:eastAsia="zh-CN" w:bidi="ar-SA"/>
        </w:rPr>
        <w:t>付款</w:t>
      </w:r>
      <w:bookmarkEnd w:id="392"/>
    </w:p>
    <w:bookmarkEnd w:id="393"/>
    <w:bookmarkEnd w:id="394"/>
    <w:bookmarkEnd w:id="395"/>
    <w:p w14:paraId="1FB4AE4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12.2.</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预付款的支付</w:t>
      </w:r>
    </w:p>
    <w:p w14:paraId="2913C2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预付款的支付按照专用合同条款约定执行，但至迟应在开工通知载明的开工日期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天前支付。预付款应当用于材料、工程设备、施工设备的采购及修建临时工程、组织施工队伍进场等。</w:t>
      </w:r>
    </w:p>
    <w:p w14:paraId="1E26507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除专用合同条款另有约定外，预付款在进度付款中同比例扣回。在颁发工程接收证书前，提前解除合同的，尚未扣完的预付款应与合同价款一并结算。</w:t>
      </w:r>
    </w:p>
    <w:p w14:paraId="67F0D3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发包人逾期支付预付款超过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FEAC434">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12.2.2 </w:t>
      </w:r>
      <w:r>
        <w:rPr>
          <w:rFonts w:hint="eastAsia" w:ascii="宋体" w:hAnsi="宋体" w:eastAsia="宋体" w:cs="Times New Roman"/>
          <w:color w:val="auto"/>
          <w:sz w:val="24"/>
          <w:szCs w:val="24"/>
          <w:highlight w:val="none"/>
        </w:rPr>
        <w:t>预付款担保</w:t>
      </w:r>
    </w:p>
    <w:p w14:paraId="70953C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发包人要求承包人提供预付款担保的，承包人应在发包人支付预付款</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6F257B7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发包人在工程款中逐期扣回预付款后，预付款担保额度应相应减少，但剩余的预付款担保金额不得低于未被扣回的预付款金额。</w:t>
      </w:r>
    </w:p>
    <w:p w14:paraId="2CC6D47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6" w:name="_Toc351203583"/>
      <w:bookmarkStart w:id="397" w:name="_Toc337558802"/>
      <w:r>
        <w:rPr>
          <w:rFonts w:ascii="Times New Roman" w:hAnsi="Times New Roman" w:eastAsia="Ђˎ̥" w:cs="Times New Roman"/>
          <w:color w:val="auto"/>
          <w:kern w:val="0"/>
          <w:sz w:val="24"/>
          <w:szCs w:val="24"/>
          <w:highlight w:val="none"/>
          <w:lang w:val="en-US" w:eastAsia="zh-CN" w:bidi="ar-SA"/>
        </w:rPr>
        <w:t>12.3</w:t>
      </w:r>
      <w:r>
        <w:rPr>
          <w:rFonts w:hint="eastAsia" w:ascii="Times New Roman" w:hAnsi="Times New Roman" w:eastAsia="Ђˎ̥" w:cs="宋体"/>
          <w:color w:val="auto"/>
          <w:kern w:val="0"/>
          <w:sz w:val="24"/>
          <w:szCs w:val="24"/>
          <w:highlight w:val="none"/>
          <w:lang w:val="en-US" w:eastAsia="zh-CN" w:bidi="ar-SA"/>
        </w:rPr>
        <w:t>计量</w:t>
      </w:r>
      <w:bookmarkEnd w:id="396"/>
    </w:p>
    <w:bookmarkEnd w:id="397"/>
    <w:p w14:paraId="1B63B2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12.3.1 </w:t>
      </w:r>
      <w:r>
        <w:rPr>
          <w:rFonts w:hint="eastAsia" w:ascii="宋体" w:hAnsi="宋体" w:eastAsia="宋体" w:cs="Times New Roman"/>
          <w:color w:val="auto"/>
          <w:kern w:val="0"/>
          <w:sz w:val="24"/>
          <w:szCs w:val="24"/>
          <w:highlight w:val="none"/>
        </w:rPr>
        <w:t>计量原则</w:t>
      </w:r>
    </w:p>
    <w:p w14:paraId="019218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14:paraId="32952DF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12.3.2 </w:t>
      </w:r>
      <w:r>
        <w:rPr>
          <w:rFonts w:hint="eastAsia" w:ascii="宋体" w:hAnsi="宋体" w:eastAsia="宋体" w:cs="Times New Roman"/>
          <w:color w:val="auto"/>
          <w:kern w:val="0"/>
          <w:sz w:val="24"/>
          <w:szCs w:val="24"/>
          <w:highlight w:val="none"/>
        </w:rPr>
        <w:t>计量周期</w:t>
      </w:r>
    </w:p>
    <w:p w14:paraId="0301286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除专用合同条款另有约定外，工程量的计量按月进行。</w:t>
      </w:r>
    </w:p>
    <w:p w14:paraId="6AC0CA8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12.3.3 </w:t>
      </w:r>
      <w:r>
        <w:rPr>
          <w:rFonts w:hint="eastAsia" w:ascii="宋体" w:hAnsi="宋体" w:eastAsia="宋体" w:cs="Times New Roman"/>
          <w:color w:val="auto"/>
          <w:kern w:val="0"/>
          <w:sz w:val="24"/>
          <w:szCs w:val="24"/>
          <w:highlight w:val="none"/>
        </w:rPr>
        <w:t>单价合同的计量</w:t>
      </w:r>
    </w:p>
    <w:p w14:paraId="1690783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除专用合同条款另有约定外，单价合同的计量按照本项约定执行：</w:t>
      </w:r>
    </w:p>
    <w:p w14:paraId="25E4A7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737764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665CFD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天内完成审核的，承包人报送的工程量报告中的工程量视为承包人实际完成的工程量，据此计算工程价款。</w:t>
      </w:r>
    </w:p>
    <w:p w14:paraId="7EA8F44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12.3.4 </w:t>
      </w:r>
      <w:r>
        <w:rPr>
          <w:rFonts w:hint="eastAsia" w:ascii="宋体" w:hAnsi="宋体" w:eastAsia="宋体" w:cs="Times New Roman"/>
          <w:color w:val="auto"/>
          <w:kern w:val="0"/>
          <w:sz w:val="24"/>
          <w:szCs w:val="24"/>
          <w:highlight w:val="none"/>
        </w:rPr>
        <w:t>总价合同的计量</w:t>
      </w:r>
    </w:p>
    <w:p w14:paraId="6406C36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除专用合同条款另有约定外，按月计量支付的总价合同，按照本项约定执行：</w:t>
      </w:r>
    </w:p>
    <w:p w14:paraId="328A2D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34D355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9B9A9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天内完成复核的，承包人提交的工程量报告中的工程量视为承包人实际完成的工程量。</w:t>
      </w:r>
    </w:p>
    <w:p w14:paraId="12B3020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12.3.5 </w:t>
      </w:r>
      <w:r>
        <w:rPr>
          <w:rFonts w:hint="eastAsia" w:ascii="宋体" w:hAnsi="宋体" w:eastAsia="宋体" w:cs="Times New Roman"/>
          <w:color w:val="auto"/>
          <w:kern w:val="0"/>
          <w:sz w:val="24"/>
          <w:szCs w:val="24"/>
          <w:highlight w:val="none"/>
        </w:rPr>
        <w:t>总价合同采用支付分解表计量支付的，可以按照第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项〔总价合同的计量〕约定进行计量，但合同价款按照支付分解表进行支付。</w:t>
      </w:r>
    </w:p>
    <w:p w14:paraId="256245A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12.3.6 </w:t>
      </w:r>
      <w:r>
        <w:rPr>
          <w:rFonts w:hint="eastAsia" w:ascii="宋体" w:hAnsi="宋体" w:eastAsia="宋体" w:cs="Times New Roman"/>
          <w:color w:val="auto"/>
          <w:kern w:val="0"/>
          <w:sz w:val="24"/>
          <w:szCs w:val="24"/>
          <w:highlight w:val="none"/>
        </w:rPr>
        <w:t>其他价格形式合同的计量</w:t>
      </w:r>
    </w:p>
    <w:p w14:paraId="400DD0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合同当事人可在专用合同条款中约定其他价格形式合同的计量方式和程序。</w:t>
      </w:r>
    </w:p>
    <w:p w14:paraId="6F216F1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8" w:name="_Toc296503101"/>
      <w:bookmarkStart w:id="399" w:name="_Toc296346602"/>
      <w:bookmarkStart w:id="400" w:name="_Toc351203584"/>
      <w:bookmarkStart w:id="401" w:name="_Toc337558803"/>
      <w:r>
        <w:rPr>
          <w:rFonts w:ascii="Times New Roman" w:hAnsi="Times New Roman" w:eastAsia="Ђˎ̥" w:cs="Times New Roman"/>
          <w:color w:val="auto"/>
          <w:kern w:val="0"/>
          <w:sz w:val="24"/>
          <w:szCs w:val="24"/>
          <w:highlight w:val="none"/>
          <w:lang w:val="en-US" w:eastAsia="zh-CN" w:bidi="ar-SA"/>
        </w:rPr>
        <w:t>12.4</w:t>
      </w:r>
      <w:r>
        <w:rPr>
          <w:rFonts w:hint="eastAsia" w:ascii="Times New Roman" w:hAnsi="Times New Roman" w:eastAsia="Ђˎ̥" w:cs="Times New Roman"/>
          <w:color w:val="auto"/>
          <w:kern w:val="0"/>
          <w:sz w:val="24"/>
          <w:szCs w:val="24"/>
          <w:highlight w:val="none"/>
          <w:lang w:val="en-US" w:eastAsia="zh-CN" w:bidi="ar-SA"/>
        </w:rPr>
        <w:t>工程进度款支</w:t>
      </w:r>
      <w:bookmarkEnd w:id="398"/>
      <w:bookmarkEnd w:id="399"/>
      <w:r>
        <w:rPr>
          <w:rFonts w:hint="eastAsia" w:ascii="Times New Roman" w:hAnsi="Times New Roman" w:eastAsia="Ђˎ̥" w:cs="Times New Roman"/>
          <w:color w:val="auto"/>
          <w:kern w:val="0"/>
          <w:sz w:val="24"/>
          <w:szCs w:val="24"/>
          <w:highlight w:val="none"/>
          <w:lang w:val="en-US" w:eastAsia="zh-CN" w:bidi="ar-SA"/>
        </w:rPr>
        <w:t>付</w:t>
      </w:r>
      <w:bookmarkEnd w:id="400"/>
    </w:p>
    <w:bookmarkEnd w:id="401"/>
    <w:p w14:paraId="7852BE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.1 </w:t>
      </w:r>
      <w:r>
        <w:rPr>
          <w:rFonts w:hint="eastAsia" w:ascii="宋体" w:hAnsi="宋体" w:eastAsia="宋体" w:cs="Times New Roman"/>
          <w:color w:val="auto"/>
          <w:kern w:val="0"/>
          <w:sz w:val="24"/>
          <w:szCs w:val="24"/>
          <w:highlight w:val="none"/>
        </w:rPr>
        <w:t>付款周期</w:t>
      </w:r>
    </w:p>
    <w:p w14:paraId="074DE1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除专用合同条款另有约定外，付款周期应按照第</w:t>
      </w:r>
      <w:r>
        <w:rPr>
          <w:rFonts w:ascii="宋体" w:hAnsi="宋体" w:eastAsia="宋体" w:cs="Times New Roman"/>
          <w:color w:val="auto"/>
          <w:kern w:val="0"/>
          <w:sz w:val="24"/>
          <w:szCs w:val="24"/>
          <w:highlight w:val="none"/>
        </w:rPr>
        <w:t>12.3.2</w:t>
      </w:r>
      <w:r>
        <w:rPr>
          <w:rFonts w:hint="eastAsia" w:ascii="宋体" w:hAnsi="宋体" w:eastAsia="宋体" w:cs="Times New Roman"/>
          <w:color w:val="auto"/>
          <w:kern w:val="0"/>
          <w:sz w:val="24"/>
          <w:szCs w:val="24"/>
          <w:highlight w:val="none"/>
        </w:rPr>
        <w:t>项〔计量周期〕的约定与计量周期保持一致。</w:t>
      </w:r>
    </w:p>
    <w:p w14:paraId="1F3BD7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.2 </w:t>
      </w:r>
      <w:r>
        <w:rPr>
          <w:rFonts w:hint="eastAsia" w:ascii="宋体" w:hAnsi="宋体" w:eastAsia="宋体" w:cs="Times New Roman"/>
          <w:color w:val="auto"/>
          <w:kern w:val="0"/>
          <w:sz w:val="24"/>
          <w:szCs w:val="24"/>
          <w:highlight w:val="none"/>
        </w:rPr>
        <w:t>进度付款申请单的编制</w:t>
      </w:r>
    </w:p>
    <w:p w14:paraId="2E7A35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除专用合同条款另有约定外，进度付款申请单应包括下列内容：</w:t>
      </w:r>
    </w:p>
    <w:p w14:paraId="17D371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）截至本次付款周期已完成工作对应的金额；</w:t>
      </w:r>
    </w:p>
    <w:p w14:paraId="0C796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条〔变更〕应增加和扣减的变更金额；</w:t>
      </w:r>
    </w:p>
    <w:p w14:paraId="37627D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12.2</w:t>
      </w:r>
      <w:r>
        <w:rPr>
          <w:rFonts w:hint="eastAsia" w:ascii="宋体" w:hAnsi="宋体" w:eastAsia="宋体" w:cs="Times New Roman"/>
          <w:color w:val="auto"/>
          <w:kern w:val="0"/>
          <w:sz w:val="24"/>
          <w:szCs w:val="24"/>
          <w:highlight w:val="none"/>
        </w:rPr>
        <w:t>款〔预付款〕约定应支付的预付款和扣减的返还预付款；</w:t>
      </w:r>
    </w:p>
    <w:p w14:paraId="7A38FB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款〔质量保证金〕约定应扣减的质量保证金；</w:t>
      </w:r>
    </w:p>
    <w:p w14:paraId="42DF93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条〔索赔〕应增加和扣减的索赔金额；</w:t>
      </w:r>
    </w:p>
    <w:p w14:paraId="6768B9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）对已签发的进度款支付证书中出现错误的修正，应在本次进度付款中支付或扣除的金额；</w:t>
      </w:r>
    </w:p>
    <w:p w14:paraId="4FB40AC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）根据合同约定应增加和扣减的其他金额。</w:t>
      </w:r>
    </w:p>
    <w:p w14:paraId="407BCA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12.4.3 </w:t>
      </w:r>
      <w:r>
        <w:rPr>
          <w:rFonts w:hint="eastAsia" w:ascii="宋体" w:hAnsi="宋体" w:eastAsia="宋体" w:cs="Times New Roman"/>
          <w:color w:val="auto"/>
          <w:kern w:val="0"/>
          <w:sz w:val="24"/>
          <w:szCs w:val="24"/>
          <w:highlight w:val="none"/>
        </w:rPr>
        <w:t>进度付款申请单的提交</w:t>
      </w:r>
    </w:p>
    <w:p w14:paraId="294907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）单价合同进度付款申请单的提交</w:t>
      </w:r>
    </w:p>
    <w:p w14:paraId="5CCD7F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单价合同的进度付款申请单，按照第</w:t>
      </w:r>
      <w:r>
        <w:rPr>
          <w:rFonts w:ascii="宋体" w:hAnsi="宋体" w:eastAsia="宋体" w:cs="Times New Roman"/>
          <w:color w:val="auto"/>
          <w:kern w:val="0"/>
          <w:sz w:val="24"/>
          <w:szCs w:val="24"/>
          <w:highlight w:val="none"/>
        </w:rPr>
        <w:t>12.3.3</w:t>
      </w:r>
      <w:r>
        <w:rPr>
          <w:rFonts w:hint="eastAsia" w:ascii="宋体" w:hAnsi="宋体" w:eastAsia="宋体" w:cs="Times New Roman"/>
          <w:color w:val="auto"/>
          <w:kern w:val="0"/>
          <w:sz w:val="24"/>
          <w:szCs w:val="24"/>
          <w:highlight w:val="none"/>
        </w:rPr>
        <w:t>项〔单价合同的计量〕约定的时间按月向监理人提交，并附上已完成工程量报表和有关资料。单价合同中的总价项目按月进行支付分解，并汇总列入当期进度付款申请单。</w:t>
      </w:r>
    </w:p>
    <w:p w14:paraId="250B74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）总价合同进度付款申请单的提交</w:t>
      </w:r>
    </w:p>
    <w:p w14:paraId="2166D5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总价合同按月计量支付的，承包人按照第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项〔总价合同的计量〕约定的时间按月向监理人提交进度付款申请单，并附上已完成工程量报表和有关资料。</w:t>
      </w:r>
    </w:p>
    <w:p w14:paraId="2E956E4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总价合同按支付分解表支付的，承包人应按照第</w:t>
      </w:r>
      <w:r>
        <w:rPr>
          <w:rFonts w:ascii="宋体" w:hAnsi="宋体" w:eastAsia="宋体" w:cs="Times New Roman"/>
          <w:color w:val="auto"/>
          <w:kern w:val="0"/>
          <w:sz w:val="24"/>
          <w:szCs w:val="24"/>
          <w:highlight w:val="none"/>
        </w:rPr>
        <w:t>12.4.6</w:t>
      </w:r>
      <w:r>
        <w:rPr>
          <w:rFonts w:hint="eastAsia" w:ascii="宋体" w:hAnsi="宋体" w:eastAsia="宋体" w:cs="Times New Roman"/>
          <w:color w:val="auto"/>
          <w:kern w:val="0"/>
          <w:sz w:val="24"/>
          <w:szCs w:val="24"/>
          <w:highlight w:val="none"/>
        </w:rPr>
        <w:t>项〔支付分解表〕及第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项〔进度付款申请单的编制〕的约定向监理人提交进度付款申请单。</w:t>
      </w:r>
    </w:p>
    <w:p w14:paraId="74D0FB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）其他价格形式合同的进度付款申请单的提交</w:t>
      </w:r>
    </w:p>
    <w:p w14:paraId="260E1F6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合同当事人可在专用合同条款中约定其他价格形式合同的进度付款申请单的编制和提交程序。</w:t>
      </w:r>
    </w:p>
    <w:p w14:paraId="369642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.4 </w:t>
      </w:r>
      <w:r>
        <w:rPr>
          <w:rFonts w:hint="eastAsia" w:ascii="宋体" w:hAnsi="宋体" w:eastAsia="宋体" w:cs="Times New Roman"/>
          <w:color w:val="auto"/>
          <w:kern w:val="0"/>
          <w:sz w:val="24"/>
          <w:szCs w:val="24"/>
          <w:highlight w:val="none"/>
        </w:rPr>
        <w:t>进度款审核和支付</w:t>
      </w:r>
    </w:p>
    <w:p w14:paraId="5D3A7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）除专用合同条款另有约定外，监理人应在收到承包人进度付款申请单以及相关资料后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天内完成审批并签发进度款支付证书。发包人逾期未完成审批且未提出异议的，视为已签发进度款支付证书。</w:t>
      </w:r>
    </w:p>
    <w:p w14:paraId="49A834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天内完成审查并报送发包人，发包人应在收到监理人报送的进度付款申请单及相关资料后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天内，向承包人签发无异议部分的临时进度款支付证书。存在争议的部分，按照第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EDB30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）除专用合同条款另有约定外，发包人应在进度款支付证书或临时进度款支付证书签发后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天内完成支付，发包人逾期支付进度款的，应按照中国人民银行发布的同期同类贷款基准利率支付违约金。</w:t>
      </w:r>
    </w:p>
    <w:p w14:paraId="72DECDD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）发包人签发进度款支付证书或临时进度款支付证书，不表明发包人已同意、批准或接受了承包人完成的相应部分的工作。</w:t>
      </w:r>
    </w:p>
    <w:p w14:paraId="6F534C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12.4.5 </w:t>
      </w:r>
      <w:r>
        <w:rPr>
          <w:rFonts w:hint="eastAsia" w:ascii="宋体" w:hAnsi="宋体" w:eastAsia="宋体" w:cs="Times New Roman"/>
          <w:color w:val="auto"/>
          <w:kern w:val="0"/>
          <w:sz w:val="24"/>
          <w:szCs w:val="24"/>
          <w:highlight w:val="none"/>
        </w:rPr>
        <w:t>进度付款的修正</w:t>
      </w:r>
    </w:p>
    <w:p w14:paraId="06069F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42406C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12.4.6 </w:t>
      </w:r>
      <w:r>
        <w:rPr>
          <w:rFonts w:hint="eastAsia" w:ascii="宋体" w:hAnsi="宋体" w:eastAsia="宋体" w:cs="Times New Roman"/>
          <w:color w:val="auto"/>
          <w:kern w:val="0"/>
          <w:sz w:val="24"/>
          <w:szCs w:val="24"/>
          <w:highlight w:val="none"/>
        </w:rPr>
        <w:t>支付分解表</w:t>
      </w:r>
    </w:p>
    <w:p w14:paraId="7367C7F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、支付分解表的编制要求</w:t>
      </w:r>
    </w:p>
    <w:p w14:paraId="79A344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）支付分解表中所列的每期付款金额，应为第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）目的估算金额；</w:t>
      </w:r>
    </w:p>
    <w:p w14:paraId="1173A4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）实际进度与施工进度计划不一致的，合同当事人可按照第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款〔商定或确定〕修改支付分解表；</w:t>
      </w:r>
    </w:p>
    <w:p w14:paraId="1EBA9D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）不采用支付分解表的，承包人应向发包人和监理人提交按季度编制的支付估算分解表，用于支付参考。</w:t>
      </w:r>
    </w:p>
    <w:p w14:paraId="5B1054E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、总价合同支付分解表的编制与审批</w:t>
      </w:r>
    </w:p>
    <w:p w14:paraId="6F79842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）除专用合同条款另有约定外，承包人应根据第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款〔施工进度计划〕约定的施工进度计划、签约合同价和工程量等因素对总价合同按月进行分解，编制支付分解表。承包人应当在收到监理人和发包人批准的施工进度计划后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天内，将支付分解表及编制支付分解表的支持性资料报送监理人。</w:t>
      </w:r>
    </w:p>
    <w:p w14:paraId="4FFA6E1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天内完成审核并报送发包人。发包人应在收到经监理人审核的支付分解表后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天内完成审批，经发包人批准的支付分解表为有约束力的支付分解表。</w:t>
      </w:r>
    </w:p>
    <w:p w14:paraId="18AF5F7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）发包人逾期未完成支付分解表审批的，也未及时要求承包人进行修正和提供补充资料的，则承包人提交的支付分解表视为已经获得发包人批准。</w:t>
      </w:r>
    </w:p>
    <w:p w14:paraId="26983877">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、单价合同的总价项目支付分解表的编制与审批</w:t>
      </w:r>
    </w:p>
    <w:p w14:paraId="75C784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FF163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2" w:name="_Toc351203585"/>
      <w:r>
        <w:rPr>
          <w:rFonts w:ascii="Times New Roman" w:hAnsi="Times New Roman" w:eastAsia="Ђˎ̥" w:cs="Times New Roman"/>
          <w:color w:val="auto"/>
          <w:kern w:val="0"/>
          <w:sz w:val="24"/>
          <w:szCs w:val="24"/>
          <w:highlight w:val="none"/>
          <w:lang w:val="en-US" w:eastAsia="zh-CN" w:bidi="ar-SA"/>
        </w:rPr>
        <w:t>12.5</w:t>
      </w:r>
      <w:r>
        <w:rPr>
          <w:rFonts w:hint="eastAsia" w:ascii="Times New Roman" w:hAnsi="Times New Roman" w:eastAsia="Ђˎ̥" w:cs="宋体"/>
          <w:color w:val="auto"/>
          <w:kern w:val="0"/>
          <w:sz w:val="24"/>
          <w:szCs w:val="24"/>
          <w:highlight w:val="none"/>
          <w:lang w:val="en-US" w:eastAsia="zh-CN" w:bidi="ar-SA"/>
        </w:rPr>
        <w:t>支付账户</w:t>
      </w:r>
      <w:bookmarkEnd w:id="402"/>
    </w:p>
    <w:p w14:paraId="157E4EC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发包人应将合同价款支付至合同协议书中约定的承包人账户。</w:t>
      </w:r>
    </w:p>
    <w:p w14:paraId="184AF0C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03" w:name="_Toc351203586"/>
      <w:bookmarkStart w:id="404" w:name="_Toc17965082"/>
      <w:bookmarkStart w:id="405" w:name="_Toc337558804"/>
      <w:bookmarkStart w:id="406" w:name="_Toc322522574"/>
      <w:bookmarkStart w:id="407" w:name="_Toc296346607"/>
      <w:bookmarkStart w:id="408" w:name="_Toc296503106"/>
      <w:r>
        <w:rPr>
          <w:rFonts w:ascii="Times New Roman" w:hAnsi="Times New Roman" w:eastAsia="黑体" w:cs="Times New Roman"/>
          <w:b/>
          <w:bCs/>
          <w:color w:val="auto"/>
          <w:kern w:val="2"/>
          <w:sz w:val="24"/>
          <w:szCs w:val="24"/>
          <w:highlight w:val="none"/>
          <w:lang w:val="en-US" w:eastAsia="zh-CN" w:bidi="ar-SA"/>
        </w:rPr>
        <w:t>13. 验收和工程试车</w:t>
      </w:r>
      <w:bookmarkEnd w:id="403"/>
      <w:bookmarkEnd w:id="404"/>
    </w:p>
    <w:bookmarkEnd w:id="405"/>
    <w:bookmarkEnd w:id="406"/>
    <w:bookmarkEnd w:id="407"/>
    <w:bookmarkEnd w:id="408"/>
    <w:p w14:paraId="5B6686D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9" w:name="_Toc351203587"/>
      <w:bookmarkStart w:id="410" w:name="_Toc337558805"/>
      <w:bookmarkStart w:id="411" w:name="_Toc296346611"/>
      <w:bookmarkStart w:id="412" w:name="_Toc296503110"/>
      <w:r>
        <w:rPr>
          <w:rFonts w:ascii="Times New Roman" w:hAnsi="Times New Roman" w:eastAsia="Ђˎ̥" w:cs="Times New Roman"/>
          <w:color w:val="auto"/>
          <w:kern w:val="0"/>
          <w:sz w:val="24"/>
          <w:szCs w:val="24"/>
          <w:highlight w:val="none"/>
          <w:lang w:val="en-US" w:eastAsia="zh-CN" w:bidi="ar-SA"/>
        </w:rPr>
        <w:t>13.1</w:t>
      </w:r>
      <w:r>
        <w:rPr>
          <w:rFonts w:hint="eastAsia" w:ascii="Times New Roman" w:hAnsi="Times New Roman" w:eastAsia="Ђˎ̥" w:cs="Times New Roman"/>
          <w:color w:val="auto"/>
          <w:kern w:val="0"/>
          <w:sz w:val="24"/>
          <w:szCs w:val="24"/>
          <w:highlight w:val="none"/>
          <w:lang w:val="en-US" w:eastAsia="zh-CN" w:bidi="ar-SA"/>
        </w:rPr>
        <w:t>分部分项工程验收</w:t>
      </w:r>
      <w:bookmarkEnd w:id="409"/>
    </w:p>
    <w:bookmarkEnd w:id="410"/>
    <w:p w14:paraId="5FA3962A">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13.1.1 </w:t>
      </w:r>
      <w:r>
        <w:rPr>
          <w:rFonts w:hint="eastAsia" w:ascii="宋体" w:hAnsi="宋体" w:eastAsia="宋体" w:cs="Times New Roman"/>
          <w:color w:val="auto"/>
          <w:sz w:val="24"/>
          <w:szCs w:val="24"/>
          <w:highlight w:val="none"/>
        </w:rPr>
        <w:t>分部分项工程质量应符合国家有关工程施工验收规范、标准及合同约定，承包人应按照施工组织设计的要求完成分部分项工程施工。</w:t>
      </w:r>
    </w:p>
    <w:p w14:paraId="4997F7A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13.1.2 </w:t>
      </w:r>
      <w:r>
        <w:rPr>
          <w:rFonts w:hint="eastAsia" w:ascii="宋体" w:hAnsi="宋体" w:eastAsia="宋体" w:cs="Times New Roman"/>
          <w:color w:val="auto"/>
          <w:sz w:val="24"/>
          <w:szCs w:val="24"/>
          <w:highlight w:val="none"/>
        </w:rPr>
        <w:t>除专用合同条款另有约定外，分部分项工程经承包人自检合格并具备验收条件的，承包人应提前</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小时通知监理人进行验收。</w:t>
      </w:r>
      <w:r>
        <w:rPr>
          <w:rFonts w:hint="eastAsia" w:ascii="宋体" w:hAnsi="宋体" w:eastAsia="宋体" w:cs="Times New Roman"/>
          <w:color w:val="auto"/>
          <w:kern w:val="0"/>
          <w:sz w:val="24"/>
          <w:szCs w:val="24"/>
          <w:highlight w:val="none"/>
        </w:rPr>
        <w:t>监理人不能按时进行验收的，应在验收前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小时。监理人未按时进行验收，也未提出延期要求的，承包人有权自行验收，监理人应认可验收结果。</w:t>
      </w:r>
      <w:r>
        <w:rPr>
          <w:rFonts w:hint="eastAsia" w:ascii="宋体" w:hAnsi="宋体" w:eastAsia="宋体" w:cs="Times New Roman"/>
          <w:color w:val="auto"/>
          <w:sz w:val="24"/>
          <w:szCs w:val="24"/>
          <w:highlight w:val="none"/>
        </w:rPr>
        <w:t>分部分项工程未经验收的，不得进入下一道工序施工。</w:t>
      </w:r>
    </w:p>
    <w:p w14:paraId="28F01B3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分部分项工程的验收资料应当作为竣工资料的组成部分。</w:t>
      </w:r>
    </w:p>
    <w:p w14:paraId="122ED87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3" w:name="_Toc351203588"/>
      <w:bookmarkStart w:id="414" w:name="_Toc337558806"/>
      <w:r>
        <w:rPr>
          <w:rFonts w:ascii="Times New Roman" w:hAnsi="Times New Roman" w:eastAsia="Ђˎ̥" w:cs="Times New Roman"/>
          <w:color w:val="auto"/>
          <w:kern w:val="0"/>
          <w:sz w:val="24"/>
          <w:szCs w:val="24"/>
          <w:highlight w:val="none"/>
          <w:lang w:val="en-US" w:eastAsia="zh-CN" w:bidi="ar-SA"/>
        </w:rPr>
        <w:t>13.2</w:t>
      </w:r>
      <w:r>
        <w:rPr>
          <w:rFonts w:hint="eastAsia" w:ascii="Times New Roman" w:hAnsi="Times New Roman" w:eastAsia="Ђˎ̥" w:cs="宋体"/>
          <w:color w:val="auto"/>
          <w:kern w:val="0"/>
          <w:sz w:val="24"/>
          <w:szCs w:val="24"/>
          <w:highlight w:val="none"/>
          <w:lang w:val="en-US" w:eastAsia="zh-CN" w:bidi="ar-SA"/>
        </w:rPr>
        <w:t>竣工验收</w:t>
      </w:r>
      <w:bookmarkEnd w:id="413"/>
    </w:p>
    <w:bookmarkEnd w:id="411"/>
    <w:bookmarkEnd w:id="412"/>
    <w:bookmarkEnd w:id="414"/>
    <w:p w14:paraId="5B3C26E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13.2.1</w:t>
      </w:r>
      <w:r>
        <w:rPr>
          <w:rFonts w:hint="eastAsia" w:ascii="宋体" w:hAnsi="宋体" w:eastAsia="宋体" w:cs="Times New Roman"/>
          <w:color w:val="auto"/>
          <w:kern w:val="0"/>
          <w:sz w:val="24"/>
          <w:szCs w:val="24"/>
          <w:highlight w:val="none"/>
        </w:rPr>
        <w:t>竣工验收条件</w:t>
      </w:r>
    </w:p>
    <w:p w14:paraId="494DA25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工程具备以下条件的，承包人可以申请竣工验收：</w:t>
      </w:r>
    </w:p>
    <w:p w14:paraId="152D4F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）除发包人同意的甩项工作和缺陷修补工作外，合同范围内的全部工程以及有关工作，包括合同要求的试验、试运行以及检验均已完成，并符合合同要求；</w:t>
      </w:r>
    </w:p>
    <w:p w14:paraId="766EBF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）已按合同约定编制了甩项工作和缺陷修补工作清单以及相应的施工计划；</w:t>
      </w:r>
    </w:p>
    <w:p w14:paraId="3CF0F3A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）已按合同约定的内容和份数备齐竣工资料。</w:t>
      </w:r>
    </w:p>
    <w:p w14:paraId="57FE123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13.2.2</w:t>
      </w:r>
      <w:r>
        <w:rPr>
          <w:rFonts w:hint="eastAsia" w:ascii="宋体" w:hAnsi="宋体" w:eastAsia="宋体" w:cs="Times New Roman"/>
          <w:color w:val="auto"/>
          <w:kern w:val="0"/>
          <w:sz w:val="24"/>
          <w:szCs w:val="24"/>
          <w:highlight w:val="none"/>
        </w:rPr>
        <w:t>竣工验收程序</w:t>
      </w:r>
    </w:p>
    <w:p w14:paraId="225779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除专用合同条款另有约定外，承包人申请竣工验收的，应当按照以下程序进行：</w:t>
      </w:r>
    </w:p>
    <w:p w14:paraId="251CE28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）承包人向监理人报送竣工验收申请报告，监理人应在收到竣工验收申请报告后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59F7EED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）监理人审查后认为已具备竣工验收条件的，应将竣工验收申请报告提交发包人，发包人应在收到经监理人审核的竣工验收申请报告后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天内审批完毕并组织监理人、承包人、设计人等相关单位完成竣工验收。</w:t>
      </w:r>
    </w:p>
    <w:p w14:paraId="6709F9B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）竣工验收合格的，发包人应在验收合格后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天内向承包人签发工程接收证书。发包人无正当理由逾期不颁发工程接收证书的，自验收合格后第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2D2945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65E93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）工程未经验收或验收不合格，发包人擅自使用的，应在转移占有工程后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天内向承包人颁发工程接收证书；发包人无正当理由逾期不颁发工程接收证书的，自转移占有后第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D7DE74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128EB8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竣工日期</w:t>
      </w:r>
    </w:p>
    <w:p w14:paraId="4770431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工程经竣工验收合格的，以承包人提交竣工验收申请报告之日为实际竣工日期，并在工程接收证书中载明；因发包人原因，未在监理人收到承包人提交的竣工验收申请报告</w:t>
      </w:r>
      <w:r>
        <w:rPr>
          <w:rFonts w:ascii="宋体" w:hAnsi="宋体" w:eastAsia="宋体" w:cs="Times New Roman"/>
          <w:color w:val="auto"/>
          <w:kern w:val="0"/>
          <w:sz w:val="24"/>
          <w:szCs w:val="24"/>
          <w:highlight w:val="none"/>
        </w:rPr>
        <w:t>42</w:t>
      </w:r>
      <w:r>
        <w:rPr>
          <w:rFonts w:hint="eastAsia" w:ascii="宋体" w:hAnsi="宋体" w:eastAsia="宋体" w:cs="Times New Roman"/>
          <w:color w:val="auto"/>
          <w:kern w:val="0"/>
          <w:sz w:val="24"/>
          <w:szCs w:val="24"/>
          <w:highlight w:val="none"/>
        </w:rPr>
        <w:t>天内完成竣工验收，或完成竣工验收不予签发工程接收证书的，以提交竣工验</w:t>
      </w:r>
      <w:bookmarkStart w:id="415" w:name="#go14"/>
      <w:bookmarkEnd w:id="415"/>
      <w:r>
        <w:rPr>
          <w:rFonts w:hint="eastAsia" w:ascii="宋体" w:hAnsi="宋体" w:eastAsia="宋体" w:cs="Times New Roman"/>
          <w:color w:val="auto"/>
          <w:kern w:val="0"/>
          <w:sz w:val="24"/>
          <w:szCs w:val="24"/>
          <w:highlight w:val="none"/>
        </w:rPr>
        <w:t>收申请报告的日期为实际竣工日期；工程未经竣工验收，发包人擅自使用的，以转移占有工程之日为实际竣工日期。</w:t>
      </w:r>
    </w:p>
    <w:p w14:paraId="2979B21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13.2.4 </w:t>
      </w:r>
      <w:r>
        <w:rPr>
          <w:rFonts w:hint="eastAsia" w:ascii="宋体" w:hAnsi="宋体" w:eastAsia="宋体" w:cs="Times New Roman"/>
          <w:color w:val="auto"/>
          <w:kern w:val="0"/>
          <w:sz w:val="24"/>
          <w:szCs w:val="24"/>
          <w:highlight w:val="none"/>
        </w:rPr>
        <w:t>拒绝接收全部或部分工程</w:t>
      </w:r>
    </w:p>
    <w:p w14:paraId="0DB302C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D32EA1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13.2.5 </w:t>
      </w:r>
      <w:r>
        <w:rPr>
          <w:rFonts w:hint="eastAsia" w:ascii="宋体" w:hAnsi="宋体" w:eastAsia="宋体" w:cs="Times New Roman"/>
          <w:color w:val="auto"/>
          <w:kern w:val="0"/>
          <w:sz w:val="24"/>
          <w:szCs w:val="24"/>
          <w:highlight w:val="none"/>
        </w:rPr>
        <w:t>移交、接收全部与部分工程</w:t>
      </w:r>
    </w:p>
    <w:p w14:paraId="28724E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除专用合同条款另有约定外，合同当事人应当在颁发工程接收证书后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天内完成工程的移交。</w:t>
      </w:r>
    </w:p>
    <w:p w14:paraId="3100B3B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C572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7BE1BD7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6" w:name="_Toc351203589"/>
      <w:bookmarkStart w:id="417" w:name="_Toc296346612"/>
      <w:bookmarkStart w:id="418" w:name="_Toc296503111"/>
      <w:bookmarkStart w:id="419" w:name="_Toc337558807"/>
      <w:r>
        <w:rPr>
          <w:rFonts w:ascii="Times New Roman" w:hAnsi="Times New Roman" w:eastAsia="Ђˎ̥" w:cs="Times New Roman"/>
          <w:color w:val="auto"/>
          <w:kern w:val="0"/>
          <w:sz w:val="24"/>
          <w:szCs w:val="24"/>
          <w:highlight w:val="none"/>
          <w:lang w:val="en-US" w:eastAsia="zh-CN" w:bidi="ar-SA"/>
        </w:rPr>
        <w:t>13.3</w:t>
      </w:r>
      <w:r>
        <w:rPr>
          <w:rFonts w:hint="eastAsia" w:ascii="Times New Roman" w:hAnsi="Times New Roman" w:eastAsia="Ђˎ̥" w:cs="宋体"/>
          <w:color w:val="auto"/>
          <w:kern w:val="0"/>
          <w:sz w:val="24"/>
          <w:szCs w:val="24"/>
          <w:highlight w:val="none"/>
          <w:lang w:val="en-US" w:eastAsia="zh-CN" w:bidi="ar-SA"/>
        </w:rPr>
        <w:t>工程试车</w:t>
      </w:r>
      <w:bookmarkEnd w:id="416"/>
    </w:p>
    <w:bookmarkEnd w:id="417"/>
    <w:bookmarkEnd w:id="418"/>
    <w:bookmarkEnd w:id="419"/>
    <w:p w14:paraId="24B07D9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13.3.1</w:t>
      </w:r>
      <w:r>
        <w:rPr>
          <w:rFonts w:hint="eastAsia" w:ascii="宋体" w:hAnsi="宋体" w:eastAsia="宋体" w:cs="Times New Roman"/>
          <w:color w:val="auto"/>
          <w:kern w:val="0"/>
          <w:sz w:val="24"/>
          <w:szCs w:val="24"/>
          <w:highlight w:val="none"/>
        </w:rPr>
        <w:t>试车程序</w:t>
      </w:r>
    </w:p>
    <w:p w14:paraId="6EEE6C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工程需要试车的，除专用合同条款另有约定外，试车内容应与承包人承包范围相一致，试车费用由承包人承担。工程试车应按如下程序进行：</w:t>
      </w:r>
    </w:p>
    <w:p w14:paraId="1D9F50C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）具备单机无负荷试车条件，承包人组织试车，并在试车前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小时后视为监理人已经认可试车记录，承包人可继续施工或办理竣工验收手续。</w:t>
      </w:r>
    </w:p>
    <w:p w14:paraId="17C0BC4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监理人不能按时参加试车，应在试车前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小时以书面形式向承包人提出延期要求，但延期不能超过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小时，由此导致工期延误的，工期应予以顺延。监理人未能在前述期限内提出延期要求，又不参加试车的，视为认可试车记录。</w:t>
      </w:r>
    </w:p>
    <w:p w14:paraId="647B3D7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）具备无负荷联动试车条件，发包人组织试车，并在试车前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520BD8E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13.3.2 </w:t>
      </w:r>
      <w:r>
        <w:rPr>
          <w:rFonts w:hint="eastAsia" w:ascii="宋体" w:hAnsi="宋体" w:eastAsia="宋体" w:cs="Times New Roman"/>
          <w:color w:val="auto"/>
          <w:kern w:val="0"/>
          <w:sz w:val="24"/>
          <w:szCs w:val="24"/>
          <w:highlight w:val="none"/>
        </w:rPr>
        <w:t>试车中的责任</w:t>
      </w:r>
    </w:p>
    <w:p w14:paraId="381CB53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AAAF58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C7CE15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13.3.3 </w:t>
      </w:r>
      <w:r>
        <w:rPr>
          <w:rFonts w:hint="eastAsia" w:ascii="宋体" w:hAnsi="宋体" w:eastAsia="宋体" w:cs="Times New Roman"/>
          <w:color w:val="auto"/>
          <w:kern w:val="0"/>
          <w:sz w:val="24"/>
          <w:szCs w:val="24"/>
          <w:highlight w:val="none"/>
        </w:rPr>
        <w:t>投料试车</w:t>
      </w:r>
    </w:p>
    <w:p w14:paraId="3E1F837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14:paraId="091667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D98778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0" w:name="_Toc351203590"/>
      <w:bookmarkStart w:id="421" w:name="_Toc337558808"/>
      <w:r>
        <w:rPr>
          <w:rFonts w:ascii="Times New Roman" w:hAnsi="Times New Roman" w:eastAsia="Ђˎ̥" w:cs="Times New Roman"/>
          <w:color w:val="auto"/>
          <w:kern w:val="0"/>
          <w:sz w:val="24"/>
          <w:szCs w:val="24"/>
          <w:highlight w:val="none"/>
          <w:lang w:val="en-US" w:eastAsia="zh-CN" w:bidi="ar-SA"/>
        </w:rPr>
        <w:t>13.4</w:t>
      </w:r>
      <w:r>
        <w:rPr>
          <w:rFonts w:hint="eastAsia" w:ascii="Times New Roman" w:hAnsi="Times New Roman" w:eastAsia="Ђˎ̥" w:cs="Times New Roman"/>
          <w:color w:val="auto"/>
          <w:kern w:val="0"/>
          <w:sz w:val="24"/>
          <w:szCs w:val="24"/>
          <w:highlight w:val="none"/>
          <w:lang w:val="en-US" w:eastAsia="zh-CN" w:bidi="ar-SA"/>
        </w:rPr>
        <w:t>提前交付单位工程的验收</w:t>
      </w:r>
      <w:bookmarkEnd w:id="420"/>
    </w:p>
    <w:bookmarkEnd w:id="421"/>
    <w:p w14:paraId="6272DAB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13.4.1 </w:t>
      </w:r>
      <w:r>
        <w:rPr>
          <w:rFonts w:hint="eastAsia" w:ascii="宋体" w:hAnsi="宋体" w:eastAsia="宋体" w:cs="Times New Roman"/>
          <w:color w:val="auto"/>
          <w:kern w:val="0"/>
          <w:sz w:val="24"/>
          <w:szCs w:val="24"/>
          <w:highlight w:val="none"/>
        </w:rPr>
        <w:t>发包人需要在工程竣工前使用单位工程的，或承包人提出提前交付已经竣工的单位工程且经发包人同意的，可进行单位工程验收，验收的程序按照第</w:t>
      </w:r>
      <w:r>
        <w:rPr>
          <w:rFonts w:ascii="宋体" w:hAnsi="宋体" w:eastAsia="宋体" w:cs="Times New Roman"/>
          <w:color w:val="auto"/>
          <w:kern w:val="0"/>
          <w:sz w:val="24"/>
          <w:szCs w:val="24"/>
          <w:highlight w:val="none"/>
        </w:rPr>
        <w:t>13.2</w:t>
      </w:r>
      <w:r>
        <w:rPr>
          <w:rFonts w:hint="eastAsia" w:ascii="宋体" w:hAnsi="宋体" w:eastAsia="宋体" w:cs="Times New Roman"/>
          <w:color w:val="auto"/>
          <w:kern w:val="0"/>
          <w:sz w:val="24"/>
          <w:szCs w:val="24"/>
          <w:highlight w:val="none"/>
        </w:rPr>
        <w:t>款〔竣工验收〕的约定进行。</w:t>
      </w:r>
    </w:p>
    <w:p w14:paraId="6C023D1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735CCC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13.4.2 </w:t>
      </w:r>
      <w:r>
        <w:rPr>
          <w:rFonts w:hint="eastAsia" w:ascii="宋体" w:hAnsi="宋体" w:eastAsia="宋体" w:cs="Times New Roman"/>
          <w:color w:val="auto"/>
          <w:kern w:val="0"/>
          <w:sz w:val="24"/>
          <w:szCs w:val="24"/>
          <w:highlight w:val="none"/>
        </w:rPr>
        <w:t>发包人要求在工程竣工前交付单位工程，由此导致承包人费用增加和（或）工期延误的，由发包人承担由此增加的费用和（或）延误的工期，并支付承包人合理的利润。</w:t>
      </w:r>
    </w:p>
    <w:p w14:paraId="28C6E18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2" w:name="_Toc351203591"/>
      <w:r>
        <w:rPr>
          <w:rFonts w:ascii="Times New Roman" w:hAnsi="Times New Roman" w:eastAsia="Ђˎ̥" w:cs="Times New Roman"/>
          <w:color w:val="auto"/>
          <w:kern w:val="0"/>
          <w:sz w:val="24"/>
          <w:szCs w:val="24"/>
          <w:highlight w:val="none"/>
          <w:lang w:val="en-US" w:eastAsia="zh-CN" w:bidi="ar-SA"/>
        </w:rPr>
        <w:t xml:space="preserve">13.5 </w:t>
      </w:r>
      <w:r>
        <w:rPr>
          <w:rFonts w:hint="eastAsia" w:ascii="Times New Roman" w:hAnsi="Times New Roman" w:eastAsia="Ђˎ̥" w:cs="宋体"/>
          <w:color w:val="auto"/>
          <w:kern w:val="0"/>
          <w:sz w:val="24"/>
          <w:szCs w:val="24"/>
          <w:highlight w:val="none"/>
          <w:lang w:val="en-US" w:eastAsia="zh-CN" w:bidi="ar-SA"/>
        </w:rPr>
        <w:t>施工期运行</w:t>
      </w:r>
      <w:bookmarkEnd w:id="422"/>
    </w:p>
    <w:p w14:paraId="36E285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13.5.1 </w:t>
      </w:r>
      <w:r>
        <w:rPr>
          <w:rFonts w:hint="eastAsia" w:ascii="宋体" w:hAnsi="宋体" w:eastAsia="宋体" w:cs="Times New Roman"/>
          <w:color w:val="auto"/>
          <w:kern w:val="0"/>
          <w:sz w:val="24"/>
          <w:szCs w:val="24"/>
          <w:highlight w:val="none"/>
        </w:rPr>
        <w:t>施工期运行是指合同工程尚未全部竣工，其中某项或某几项单位工程或工程设备安装已竣工，根据专用合同条款约定，需要投入施工期运行的，经发包人按第</w:t>
      </w:r>
      <w:r>
        <w:rPr>
          <w:rFonts w:ascii="宋体" w:hAnsi="宋体" w:eastAsia="宋体" w:cs="Times New Roman"/>
          <w:color w:val="auto"/>
          <w:kern w:val="0"/>
          <w:sz w:val="24"/>
          <w:szCs w:val="24"/>
          <w:highlight w:val="none"/>
        </w:rPr>
        <w:t>13.4</w:t>
      </w:r>
      <w:r>
        <w:rPr>
          <w:rFonts w:hint="eastAsia" w:ascii="宋体" w:hAnsi="宋体" w:eastAsia="宋体" w:cs="Times New Roman"/>
          <w:color w:val="auto"/>
          <w:kern w:val="0"/>
          <w:sz w:val="24"/>
          <w:szCs w:val="24"/>
          <w:highlight w:val="none"/>
        </w:rPr>
        <w:t>款〔提前交付单位工程的验收〕的约定验收合格，证明能确保安全后，才能在施工期投入运行。</w:t>
      </w:r>
    </w:p>
    <w:p w14:paraId="6322BF5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13.5.2 </w:t>
      </w:r>
      <w:r>
        <w:rPr>
          <w:rFonts w:hint="eastAsia" w:ascii="宋体" w:hAnsi="宋体" w:eastAsia="宋体" w:cs="Times New Roman"/>
          <w:color w:val="auto"/>
          <w:kern w:val="0"/>
          <w:sz w:val="24"/>
          <w:szCs w:val="24"/>
          <w:highlight w:val="none"/>
        </w:rPr>
        <w:t>在施工期运行中发现工程或工程设备损坏或存在缺陷的，由承包人按第</w:t>
      </w:r>
      <w:r>
        <w:rPr>
          <w:rFonts w:ascii="宋体" w:hAnsi="宋体" w:eastAsia="宋体" w:cs="Times New Roman"/>
          <w:color w:val="auto"/>
          <w:kern w:val="0"/>
          <w:sz w:val="24"/>
          <w:szCs w:val="24"/>
          <w:highlight w:val="none"/>
        </w:rPr>
        <w:t>15.2</w:t>
      </w:r>
      <w:r>
        <w:rPr>
          <w:rFonts w:hint="eastAsia" w:ascii="宋体" w:hAnsi="宋体" w:eastAsia="宋体" w:cs="Times New Roman"/>
          <w:color w:val="auto"/>
          <w:kern w:val="0"/>
          <w:sz w:val="24"/>
          <w:szCs w:val="24"/>
          <w:highlight w:val="none"/>
        </w:rPr>
        <w:t>款〔缺陷责任期〕约定进行修复。</w:t>
      </w:r>
    </w:p>
    <w:p w14:paraId="13855D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3" w:name="_Toc296503112"/>
      <w:bookmarkStart w:id="424" w:name="_Toc296346613"/>
      <w:bookmarkStart w:id="425" w:name="_Toc351203592"/>
      <w:bookmarkStart w:id="426" w:name="_Toc337558809"/>
      <w:r>
        <w:rPr>
          <w:rFonts w:ascii="Times New Roman" w:hAnsi="Times New Roman" w:eastAsia="Ђˎ̥" w:cs="Times New Roman"/>
          <w:color w:val="auto"/>
          <w:kern w:val="0"/>
          <w:sz w:val="24"/>
          <w:szCs w:val="24"/>
          <w:highlight w:val="none"/>
          <w:lang w:val="en-US" w:eastAsia="zh-CN" w:bidi="ar-SA"/>
        </w:rPr>
        <w:t xml:space="preserve">13.6 </w:t>
      </w:r>
      <w:r>
        <w:rPr>
          <w:rFonts w:hint="eastAsia" w:ascii="Times New Roman" w:hAnsi="Times New Roman" w:eastAsia="Ђˎ̥" w:cs="宋体"/>
          <w:color w:val="auto"/>
          <w:kern w:val="0"/>
          <w:sz w:val="24"/>
          <w:szCs w:val="24"/>
          <w:highlight w:val="none"/>
          <w:lang w:val="en-US" w:eastAsia="zh-CN" w:bidi="ar-SA"/>
        </w:rPr>
        <w:t>竣工退</w:t>
      </w:r>
      <w:bookmarkEnd w:id="423"/>
      <w:bookmarkEnd w:id="424"/>
      <w:r>
        <w:rPr>
          <w:rFonts w:hint="eastAsia" w:ascii="Times New Roman" w:hAnsi="Times New Roman" w:eastAsia="Ђˎ̥" w:cs="宋体"/>
          <w:color w:val="auto"/>
          <w:kern w:val="0"/>
          <w:sz w:val="24"/>
          <w:szCs w:val="24"/>
          <w:highlight w:val="none"/>
          <w:lang w:val="en-US" w:eastAsia="zh-CN" w:bidi="ar-SA"/>
        </w:rPr>
        <w:t>场</w:t>
      </w:r>
      <w:bookmarkEnd w:id="425"/>
    </w:p>
    <w:bookmarkEnd w:id="426"/>
    <w:p w14:paraId="1019DD2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13.6.1 </w:t>
      </w:r>
      <w:r>
        <w:rPr>
          <w:rFonts w:hint="eastAsia" w:ascii="宋体" w:hAnsi="宋体" w:eastAsia="宋体" w:cs="Times New Roman"/>
          <w:color w:val="auto"/>
          <w:kern w:val="0"/>
          <w:sz w:val="24"/>
          <w:szCs w:val="24"/>
          <w:highlight w:val="none"/>
        </w:rPr>
        <w:t>竣工退场</w:t>
      </w:r>
    </w:p>
    <w:p w14:paraId="0393012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颁发工程接收证书后，承包人应按以下要求对施工现场进行清理：</w:t>
      </w:r>
    </w:p>
    <w:p w14:paraId="2C9716D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）施工现场内残留的垃圾已全部清除出场；</w:t>
      </w:r>
    </w:p>
    <w:p w14:paraId="24C5C7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）临时工程已拆除，场地已进行清理、平整或复原；</w:t>
      </w:r>
    </w:p>
    <w:p w14:paraId="556B519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）按合同约定应撤离的人员、承包人施工设备和剩余的材料，包括废弃的施工设备和材料，已按计划撤离施工现场；</w:t>
      </w:r>
    </w:p>
    <w:p w14:paraId="6A5E8FF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）施工现场周边及其附近道路、河道的施工堆积物，已全部清理；</w:t>
      </w:r>
    </w:p>
    <w:p w14:paraId="090B19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）施工现场其他场地清理工作已全部完成。</w:t>
      </w:r>
    </w:p>
    <w:p w14:paraId="3490E4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04100A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13.6.2 </w:t>
      </w:r>
      <w:r>
        <w:rPr>
          <w:rFonts w:hint="eastAsia" w:ascii="宋体" w:hAnsi="宋体" w:eastAsia="宋体" w:cs="Times New Roman"/>
          <w:color w:val="auto"/>
          <w:kern w:val="0"/>
          <w:sz w:val="24"/>
          <w:szCs w:val="24"/>
          <w:highlight w:val="none"/>
        </w:rPr>
        <w:t>地表还原</w:t>
      </w:r>
    </w:p>
    <w:p w14:paraId="669F858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36366C4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27" w:name="_Toc17965083"/>
      <w:bookmarkStart w:id="428" w:name="_Toc351203593"/>
      <w:bookmarkStart w:id="429" w:name="_Toc337558810"/>
      <w:bookmarkStart w:id="430" w:name="_Toc296503113"/>
      <w:bookmarkStart w:id="431" w:name="_Toc296346614"/>
      <w:r>
        <w:rPr>
          <w:rFonts w:ascii="Times New Roman" w:hAnsi="Times New Roman" w:eastAsia="黑体" w:cs="Times New Roman"/>
          <w:b/>
          <w:bCs/>
          <w:color w:val="auto"/>
          <w:kern w:val="2"/>
          <w:sz w:val="24"/>
          <w:szCs w:val="24"/>
          <w:highlight w:val="none"/>
          <w:lang w:val="en-US" w:eastAsia="zh-CN" w:bidi="ar-SA"/>
        </w:rPr>
        <w:t xml:space="preserve">14. </w:t>
      </w:r>
      <w:r>
        <w:rPr>
          <w:rFonts w:ascii="Times New Roman" w:hAnsi="Times New Roman" w:eastAsia="黑体" w:cs="宋体"/>
          <w:b/>
          <w:bCs/>
          <w:color w:val="auto"/>
          <w:kern w:val="2"/>
          <w:sz w:val="24"/>
          <w:szCs w:val="24"/>
          <w:highlight w:val="none"/>
          <w:lang w:val="en-US" w:eastAsia="zh-CN" w:bidi="ar-SA"/>
        </w:rPr>
        <w:t>竣工结算</w:t>
      </w:r>
      <w:bookmarkEnd w:id="427"/>
      <w:bookmarkEnd w:id="428"/>
    </w:p>
    <w:bookmarkEnd w:id="429"/>
    <w:p w14:paraId="71AA89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2" w:name="_Toc351203594"/>
      <w:bookmarkStart w:id="433" w:name="_Toc337558811"/>
      <w:r>
        <w:rPr>
          <w:rFonts w:ascii="Times New Roman" w:hAnsi="Times New Roman" w:eastAsia="Ђˎ̥" w:cs="Times New Roman"/>
          <w:color w:val="auto"/>
          <w:kern w:val="0"/>
          <w:sz w:val="24"/>
          <w:szCs w:val="24"/>
          <w:highlight w:val="none"/>
          <w:lang w:val="en-US" w:eastAsia="zh-CN" w:bidi="ar-SA"/>
        </w:rPr>
        <w:t xml:space="preserve">14.1 </w:t>
      </w:r>
      <w:r>
        <w:rPr>
          <w:rFonts w:hint="eastAsia" w:ascii="Times New Roman" w:hAnsi="Times New Roman" w:eastAsia="Ђˎ̥" w:cs="宋体"/>
          <w:color w:val="auto"/>
          <w:kern w:val="0"/>
          <w:sz w:val="24"/>
          <w:szCs w:val="24"/>
          <w:highlight w:val="none"/>
          <w:lang w:val="en-US" w:eastAsia="zh-CN" w:bidi="ar-SA"/>
        </w:rPr>
        <w:t>竣工结算申请</w:t>
      </w:r>
      <w:bookmarkEnd w:id="432"/>
    </w:p>
    <w:bookmarkEnd w:id="433"/>
    <w:p w14:paraId="018EA57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除专用合同条款另有约定外，</w:t>
      </w:r>
      <w:r>
        <w:rPr>
          <w:rFonts w:hint="eastAsia" w:ascii="宋体" w:hAnsi="宋体" w:eastAsia="宋体" w:cs="Times New Roman"/>
          <w:color w:val="auto"/>
          <w:sz w:val="24"/>
          <w:szCs w:val="24"/>
          <w:highlight w:val="none"/>
        </w:rPr>
        <w:t>承包人应在工程竣工验收合格后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天内向发包人和监理人提交竣工结算申请单，并提交完整的结算资料，有关竣工结算申请单的资料清单和份数等要求由合同当事人在专用合同条款中约定。</w:t>
      </w:r>
    </w:p>
    <w:p w14:paraId="62A6045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除专用合同条款另有约定外，竣工结算申请单应包括以下内容：</w:t>
      </w:r>
    </w:p>
    <w:p w14:paraId="4B8824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）竣工结算合同价格；</w:t>
      </w:r>
    </w:p>
    <w:p w14:paraId="1F5059E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）发包人已支付承包人的款项；</w:t>
      </w:r>
    </w:p>
    <w:p w14:paraId="397C192F">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）应扣留的质量保证金；</w:t>
      </w:r>
      <w:r>
        <w:rPr>
          <w:rFonts w:ascii="宋体" w:hAnsi="宋体" w:eastAsia="宋体" w:cs="Times New Roman"/>
          <w:color w:val="auto"/>
          <w:sz w:val="24"/>
          <w:szCs w:val="24"/>
          <w:highlight w:val="none"/>
        </w:rPr>
        <w:t xml:space="preserve"> </w:t>
      </w:r>
    </w:p>
    <w:p w14:paraId="6E02CC52">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）发包人应支付承包人的合同价款。</w:t>
      </w:r>
    </w:p>
    <w:p w14:paraId="0E07F7F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4" w:name="_Toc351203595"/>
      <w:bookmarkStart w:id="435" w:name="_Toc337558812"/>
      <w:r>
        <w:rPr>
          <w:rFonts w:ascii="Times New Roman" w:hAnsi="Times New Roman" w:eastAsia="Ђˎ̥" w:cs="Times New Roman"/>
          <w:color w:val="auto"/>
          <w:kern w:val="0"/>
          <w:sz w:val="24"/>
          <w:szCs w:val="24"/>
          <w:highlight w:val="none"/>
          <w:lang w:val="en-US" w:eastAsia="zh-CN" w:bidi="ar-SA"/>
        </w:rPr>
        <w:t xml:space="preserve">14.2 </w:t>
      </w:r>
      <w:r>
        <w:rPr>
          <w:rFonts w:hint="eastAsia" w:ascii="Times New Roman" w:hAnsi="Times New Roman" w:eastAsia="Ђˎ̥" w:cs="宋体"/>
          <w:color w:val="auto"/>
          <w:kern w:val="0"/>
          <w:sz w:val="24"/>
          <w:szCs w:val="24"/>
          <w:highlight w:val="none"/>
          <w:lang w:val="en-US" w:eastAsia="zh-CN" w:bidi="ar-SA"/>
        </w:rPr>
        <w:t>竣工结算审核</w:t>
      </w:r>
      <w:bookmarkEnd w:id="434"/>
    </w:p>
    <w:bookmarkEnd w:id="435"/>
    <w:p w14:paraId="75E69EB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天内完成核查并报送发包人。发包人应在收到监理人提交的经审核的竣工结算申请单后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天内完成审批，并由监理人向承包人签发经发包人签认的竣工付款证书。监理人或</w:t>
      </w:r>
      <w:r>
        <w:rPr>
          <w:rFonts w:hint="eastAsia" w:ascii="宋体" w:hAnsi="宋体" w:eastAsia="宋体" w:cs="Times New Roman"/>
          <w:color w:val="auto"/>
          <w:sz w:val="24"/>
          <w:szCs w:val="24"/>
          <w:highlight w:val="none"/>
        </w:rPr>
        <w:t>发包人对竣工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申请单有异议的，有权要求承包人进行修正和提供补充资料，承包人应提交修正后的竣工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w:t>
      </w:r>
    </w:p>
    <w:p w14:paraId="2E6D66C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发包人在收到承包人提交竣工结算申请书后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天内未完成审批且未提出异议的，视为发包人认可承包人提交的竣工结算申请单，并自发包人收到承包人提交的竣工结算申请单后第</w:t>
      </w:r>
      <w:r>
        <w:rPr>
          <w:rFonts w:ascii="宋体" w:hAnsi="宋体" w:eastAsia="宋体" w:cs="Times New Roman"/>
          <w:color w:val="auto"/>
          <w:kern w:val="0"/>
          <w:sz w:val="24"/>
          <w:szCs w:val="24"/>
          <w:highlight w:val="none"/>
        </w:rPr>
        <w:t>29</w:t>
      </w:r>
      <w:r>
        <w:rPr>
          <w:rFonts w:hint="eastAsia" w:ascii="宋体" w:hAnsi="宋体" w:eastAsia="宋体" w:cs="Times New Roman"/>
          <w:color w:val="auto"/>
          <w:kern w:val="0"/>
          <w:sz w:val="24"/>
          <w:szCs w:val="24"/>
          <w:highlight w:val="none"/>
        </w:rPr>
        <w:t>天起视为已签发竣工付款证书。</w:t>
      </w:r>
    </w:p>
    <w:p w14:paraId="714893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）除专用合同条款另有约定外，发包人应在签发竣工付款证书后的</w:t>
      </w:r>
      <w:r>
        <w:rPr>
          <w:rFonts w:ascii="宋体" w:hAnsi="宋体" w:eastAsia="宋体" w:cs="Times New Roman"/>
          <w:color w:val="auto"/>
          <w:kern w:val="0"/>
          <w:sz w:val="24"/>
          <w:szCs w:val="24"/>
          <w:highlight w:val="none"/>
        </w:rPr>
        <w:t xml:space="preserve">14 </w:t>
      </w:r>
      <w:r>
        <w:rPr>
          <w:rFonts w:hint="eastAsia" w:ascii="宋体" w:hAnsi="宋体" w:eastAsia="宋体" w:cs="Times New Roman"/>
          <w:color w:val="auto"/>
          <w:kern w:val="0"/>
          <w:sz w:val="24"/>
          <w:szCs w:val="24"/>
          <w:highlight w:val="none"/>
        </w:rPr>
        <w:t>天内，完成对承包人的竣工付款。发包人逾期支付的，按照中国人民银行发布的同期同类贷款基准利率支付违约金；逾期支付超过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79737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）承包人对发包人签认的竣工付款证书有异议的，对于有异议部分应在收到发包人签认的竣工付款证书后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天内提出异议，并由合同当事人按照专用合同条款约定的方式和程序进行复核，或按照第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条〔争议解决〕约定处理。对于无异议部分，发包人应签发临时竣工付款证书，并按本款第（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）项完成付款。承包人逾期未提出异议的，视为认可发包人的审批结果。</w:t>
      </w:r>
    </w:p>
    <w:p w14:paraId="3D2017A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6" w:name="_Toc351203596"/>
      <w:bookmarkStart w:id="437" w:name="_Toc337558813"/>
      <w:r>
        <w:rPr>
          <w:rFonts w:ascii="Times New Roman" w:hAnsi="Times New Roman" w:eastAsia="Ђˎ̥" w:cs="Times New Roman"/>
          <w:color w:val="auto"/>
          <w:kern w:val="0"/>
          <w:sz w:val="24"/>
          <w:szCs w:val="24"/>
          <w:highlight w:val="none"/>
          <w:lang w:val="en-US" w:eastAsia="zh-CN" w:bidi="ar-SA"/>
        </w:rPr>
        <w:t xml:space="preserve">14.3 </w:t>
      </w:r>
      <w:r>
        <w:rPr>
          <w:rFonts w:hint="eastAsia" w:ascii="Times New Roman" w:hAnsi="Times New Roman" w:eastAsia="Ђˎ̥" w:cs="宋体"/>
          <w:color w:val="auto"/>
          <w:kern w:val="0"/>
          <w:sz w:val="24"/>
          <w:szCs w:val="24"/>
          <w:highlight w:val="none"/>
          <w:lang w:val="en-US" w:eastAsia="zh-CN" w:bidi="ar-SA"/>
        </w:rPr>
        <w:t>甩项竣工协议</w:t>
      </w:r>
      <w:bookmarkEnd w:id="436"/>
    </w:p>
    <w:bookmarkEnd w:id="437"/>
    <w:p w14:paraId="7649507F">
      <w:pPr>
        <w:autoSpaceDE w:val="0"/>
        <w:autoSpaceDN w:val="0"/>
        <w:adjustRightInd w:val="0"/>
        <w:spacing w:line="360" w:lineRule="auto"/>
        <w:ind w:firstLine="470" w:firstLineChars="196"/>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发包人要求甩项竣工的，合同当事人应签订甩项竣工协议。在甩项竣工协议中应明确，合同当事人按照第</w:t>
      </w:r>
      <w:r>
        <w:rPr>
          <w:rFonts w:ascii="宋体" w:hAnsi="宋体" w:eastAsia="宋体" w:cs="Times New Roman"/>
          <w:color w:val="auto"/>
          <w:sz w:val="24"/>
          <w:szCs w:val="24"/>
          <w:highlight w:val="none"/>
        </w:rPr>
        <w:t>14.1</w:t>
      </w:r>
      <w:r>
        <w:rPr>
          <w:rFonts w:hint="eastAsia" w:ascii="宋体" w:hAnsi="宋体" w:eastAsia="宋体" w:cs="Times New Roman"/>
          <w:color w:val="auto"/>
          <w:sz w:val="24"/>
          <w:szCs w:val="24"/>
          <w:highlight w:val="none"/>
        </w:rPr>
        <w:t>款〔竣工结算申请〕及</w:t>
      </w: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款〔竣工结算审核〕的约定，对已完合格工程进行结算，并支付相应合同价款。</w:t>
      </w:r>
    </w:p>
    <w:p w14:paraId="0DA2AD9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8" w:name="_Toc351203597"/>
      <w:bookmarkStart w:id="439" w:name="_Toc337558814"/>
      <w:r>
        <w:rPr>
          <w:rFonts w:ascii="Times New Roman" w:hAnsi="Times New Roman" w:eastAsia="Ђˎ̥" w:cs="Times New Roman"/>
          <w:color w:val="auto"/>
          <w:kern w:val="0"/>
          <w:sz w:val="24"/>
          <w:szCs w:val="24"/>
          <w:highlight w:val="none"/>
          <w:lang w:val="en-US" w:eastAsia="zh-CN" w:bidi="ar-SA"/>
        </w:rPr>
        <w:t xml:space="preserve">14.4 </w:t>
      </w:r>
      <w:r>
        <w:rPr>
          <w:rFonts w:hint="eastAsia" w:ascii="Times New Roman" w:hAnsi="Times New Roman" w:eastAsia="Ђˎ̥" w:cs="宋体"/>
          <w:color w:val="auto"/>
          <w:kern w:val="0"/>
          <w:sz w:val="24"/>
          <w:szCs w:val="24"/>
          <w:highlight w:val="none"/>
          <w:lang w:val="en-US" w:eastAsia="zh-CN" w:bidi="ar-SA"/>
        </w:rPr>
        <w:t>最终结清</w:t>
      </w:r>
      <w:bookmarkEnd w:id="438"/>
    </w:p>
    <w:bookmarkEnd w:id="439"/>
    <w:p w14:paraId="210435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14.4.1 </w:t>
      </w:r>
      <w:r>
        <w:rPr>
          <w:rFonts w:hint="eastAsia" w:ascii="宋体" w:hAnsi="宋体" w:eastAsia="宋体" w:cs="Times New Roman"/>
          <w:color w:val="auto"/>
          <w:kern w:val="0"/>
          <w:sz w:val="24"/>
          <w:szCs w:val="24"/>
          <w:highlight w:val="none"/>
        </w:rPr>
        <w:t>最终结清申请单</w:t>
      </w:r>
    </w:p>
    <w:p w14:paraId="765A21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）除专用合同条款另有约定外，承包人应在缺陷责任期终止证书颁发后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天内，按专用合同条款约定的份数向发包人提交最终结清申请单，并提供相关证明材料。</w:t>
      </w:r>
    </w:p>
    <w:p w14:paraId="1F4203E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w:t>
      </w:r>
      <w:r>
        <w:rPr>
          <w:rFonts w:hint="eastAsia" w:ascii="宋体" w:hAnsi="宋体" w:eastAsia="宋体" w:cs="Times New Roman"/>
          <w:color w:val="auto"/>
          <w:kern w:val="0"/>
          <w:sz w:val="24"/>
          <w:szCs w:val="24"/>
          <w:highlight w:val="none"/>
        </w:rPr>
        <w:t>最终结清申请单</w:t>
      </w:r>
      <w:r>
        <w:rPr>
          <w:rFonts w:hint="eastAsia" w:ascii="宋体" w:hAnsi="宋体" w:eastAsia="宋体" w:cs="Times New Roman"/>
          <w:color w:val="auto"/>
          <w:sz w:val="24"/>
          <w:szCs w:val="24"/>
          <w:highlight w:val="none"/>
        </w:rPr>
        <w:t>应列明质量保证金、应扣除的质量保证金、缺陷责任期内发生的增减费用。</w:t>
      </w:r>
    </w:p>
    <w:p w14:paraId="3795B2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）发包人对最终结清申请单内容有异议的，有权要求承包人进行修正和提供补充资料，承包人应向发包人提交修正后的最终结清申请单。</w:t>
      </w:r>
    </w:p>
    <w:p w14:paraId="6FC23B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14.4.2 </w:t>
      </w:r>
      <w:r>
        <w:rPr>
          <w:rFonts w:hint="eastAsia" w:ascii="宋体" w:hAnsi="宋体" w:eastAsia="宋体" w:cs="Times New Roman"/>
          <w:color w:val="auto"/>
          <w:kern w:val="0"/>
          <w:sz w:val="24"/>
          <w:szCs w:val="24"/>
          <w:highlight w:val="none"/>
        </w:rPr>
        <w:t>最终结清证书和支付</w:t>
      </w:r>
    </w:p>
    <w:p w14:paraId="720E54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）除专用合同条款另有约定外，发包人应在收到承包人提交的最终结清申请单后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天内完成审批并向承包人颁发最终结清证书。发包人逾期未完成审批，又未提出修改意见的，视为发包人同意承包人提交的最终结清申请单，且自发包人收到承包人提交的最终结清申请单后</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天起视为已颁发最终结清证书。</w:t>
      </w:r>
    </w:p>
    <w:p w14:paraId="36343F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）除专用合同条款另有约定外，发包人应在颁发最终结清证书后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天内完成支付。发包人逾期支付的，按照中国人民银行发布的同期同类贷款基准利率支付违约金；逾期支付超过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661C54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）承包人对发包人颁发的最终结清证书有异议的，按第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条〔争议解决〕的约定办理。</w:t>
      </w:r>
    </w:p>
    <w:p w14:paraId="3E46E240">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40" w:name="_Toc17965084"/>
      <w:bookmarkStart w:id="441" w:name="_Toc351203598"/>
      <w:bookmarkStart w:id="442" w:name="_Toc337558815"/>
      <w:r>
        <w:rPr>
          <w:rFonts w:ascii="Times New Roman" w:hAnsi="Times New Roman" w:eastAsia="黑体" w:cs="Times New Roman"/>
          <w:b/>
          <w:bCs/>
          <w:color w:val="auto"/>
          <w:kern w:val="2"/>
          <w:sz w:val="24"/>
          <w:szCs w:val="24"/>
          <w:highlight w:val="none"/>
          <w:lang w:val="en-US" w:eastAsia="zh-CN" w:bidi="ar-SA"/>
        </w:rPr>
        <w:t>15. 缺陷责任与保修</w:t>
      </w:r>
      <w:bookmarkEnd w:id="440"/>
      <w:bookmarkEnd w:id="441"/>
    </w:p>
    <w:bookmarkEnd w:id="430"/>
    <w:bookmarkEnd w:id="431"/>
    <w:bookmarkEnd w:id="442"/>
    <w:p w14:paraId="32E7D24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3" w:name="_Toc351203599"/>
      <w:bookmarkStart w:id="444" w:name="_Toc337558816"/>
      <w:bookmarkStart w:id="445" w:name="_Toc296503114"/>
      <w:bookmarkStart w:id="446" w:name="_Toc296346615"/>
      <w:r>
        <w:rPr>
          <w:rFonts w:ascii="Times New Roman" w:hAnsi="Times New Roman" w:eastAsia="Ђˎ̥" w:cs="Times New Roman"/>
          <w:color w:val="auto"/>
          <w:kern w:val="0"/>
          <w:sz w:val="24"/>
          <w:szCs w:val="24"/>
          <w:highlight w:val="none"/>
          <w:lang w:val="en-US" w:eastAsia="zh-CN" w:bidi="ar-SA"/>
        </w:rPr>
        <w:t xml:space="preserve">15.1 </w:t>
      </w:r>
      <w:r>
        <w:rPr>
          <w:rFonts w:hint="eastAsia" w:ascii="Times New Roman" w:hAnsi="Times New Roman" w:eastAsia="Ђˎ̥" w:cs="Times New Roman"/>
          <w:color w:val="auto"/>
          <w:kern w:val="0"/>
          <w:sz w:val="24"/>
          <w:szCs w:val="24"/>
          <w:highlight w:val="none"/>
          <w:lang w:val="en-US" w:eastAsia="zh-CN" w:bidi="ar-SA"/>
        </w:rPr>
        <w:t>工程保修的原则</w:t>
      </w:r>
      <w:bookmarkEnd w:id="443"/>
    </w:p>
    <w:bookmarkEnd w:id="444"/>
    <w:p w14:paraId="2CE3C0B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1C454248">
      <w:pPr>
        <w:keepNext/>
        <w:keepLines/>
        <w:widowControl/>
        <w:spacing w:before="120" w:after="120" w:line="360" w:lineRule="auto"/>
        <w:jc w:val="center"/>
        <w:outlineLvl w:val="3"/>
        <w:rPr>
          <w:rFonts w:hint="eastAsia" w:ascii="Times New Roman" w:hAnsi="Times New Roman" w:eastAsia="宋体" w:cs="Times New Roman"/>
          <w:color w:val="auto"/>
          <w:kern w:val="0"/>
          <w:sz w:val="24"/>
          <w:szCs w:val="24"/>
          <w:highlight w:val="none"/>
          <w:lang w:val="en-US" w:eastAsia="zh-CN" w:bidi="ar-SA"/>
        </w:rPr>
      </w:pPr>
      <w:bookmarkStart w:id="447" w:name="_Toc351203600"/>
      <w:bookmarkStart w:id="448" w:name="_Toc337558817"/>
      <w:r>
        <w:rPr>
          <w:rFonts w:ascii="Times New Roman" w:hAnsi="Times New Roman" w:eastAsia="Ђˎ̥" w:cs="Times New Roman"/>
          <w:color w:val="auto"/>
          <w:kern w:val="0"/>
          <w:sz w:val="24"/>
          <w:szCs w:val="24"/>
          <w:highlight w:val="none"/>
          <w:lang w:val="en-US" w:eastAsia="zh-CN" w:bidi="ar-SA"/>
        </w:rPr>
        <w:t xml:space="preserve">15.2 </w:t>
      </w:r>
      <w:r>
        <w:rPr>
          <w:rFonts w:hint="eastAsia" w:ascii="Times New Roman" w:hAnsi="Times New Roman" w:eastAsia="Ђˎ̥" w:cs="宋体"/>
          <w:color w:val="auto"/>
          <w:kern w:val="0"/>
          <w:sz w:val="24"/>
          <w:szCs w:val="24"/>
          <w:highlight w:val="none"/>
          <w:lang w:val="en-US" w:eastAsia="zh-CN" w:bidi="ar-SA"/>
        </w:rPr>
        <w:t>缺陷责任期</w:t>
      </w:r>
      <w:bookmarkEnd w:id="445"/>
      <w:bookmarkEnd w:id="446"/>
      <w:bookmarkEnd w:id="447"/>
      <w:r>
        <w:rPr>
          <w:rFonts w:hint="eastAsia" w:ascii="Times New Roman" w:hAnsi="Times New Roman" w:eastAsia="宋体" w:cs="宋体"/>
          <w:color w:val="auto"/>
          <w:kern w:val="0"/>
          <w:sz w:val="24"/>
          <w:szCs w:val="24"/>
          <w:highlight w:val="none"/>
          <w:lang w:val="en-US" w:eastAsia="zh-CN" w:bidi="ar-SA"/>
        </w:rPr>
        <w:t>（如有）</w:t>
      </w:r>
    </w:p>
    <w:bookmarkEnd w:id="448"/>
    <w:p w14:paraId="732E7E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15.2.1 </w:t>
      </w:r>
      <w:r>
        <w:rPr>
          <w:rFonts w:hint="eastAsia" w:ascii="宋体" w:hAnsi="宋体" w:eastAsia="宋体" w:cs="Times New Roman"/>
          <w:color w:val="auto"/>
          <w:kern w:val="0"/>
          <w:sz w:val="24"/>
          <w:szCs w:val="24"/>
          <w:highlight w:val="none"/>
        </w:rPr>
        <w:t>缺陷责任期自实际竣工日期起计算，合同当事人应在专用合同条款约定缺陷责任期的具体期限，但该期限最长不超过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22EAAF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071010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15.2.2 </w:t>
      </w:r>
      <w:r>
        <w:rPr>
          <w:rFonts w:hint="eastAsia" w:ascii="宋体" w:hAnsi="宋体" w:eastAsia="宋体" w:cs="Times New Roman"/>
          <w:color w:val="auto"/>
          <w:kern w:val="0"/>
          <w:sz w:val="24"/>
          <w:szCs w:val="24"/>
          <w:highlight w:val="none"/>
        </w:rPr>
        <w:t>工程竣工验收合格后，因承包人原因导致的缺陷或损坏致使工程、单位工程或某项主要设备不能按原定目的使用的，则发包人有权要求承</w:t>
      </w:r>
      <w:r>
        <w:rPr>
          <w:rFonts w:hint="eastAsia" w:ascii="宋体" w:hAnsi="宋体" w:eastAsia="宋体" w:cs="Times New Roman"/>
          <w:bCs/>
          <w:color w:val="auto"/>
          <w:sz w:val="24"/>
          <w:szCs w:val="24"/>
          <w:highlight w:val="none"/>
        </w:rPr>
        <w:t>包人延长缺陷责任期，</w:t>
      </w:r>
      <w:r>
        <w:rPr>
          <w:rFonts w:hint="eastAsia" w:ascii="宋体" w:hAnsi="宋体" w:eastAsia="宋体" w:cs="Times New Roman"/>
          <w:color w:val="auto"/>
          <w:kern w:val="0"/>
          <w:sz w:val="24"/>
          <w:szCs w:val="24"/>
          <w:highlight w:val="none"/>
        </w:rPr>
        <w:t>并应在原缺陷责任期届满前发出延长通知，</w:t>
      </w:r>
      <w:r>
        <w:rPr>
          <w:rFonts w:hint="eastAsia" w:ascii="宋体" w:hAnsi="宋体" w:eastAsia="宋体" w:cs="Times New Roman"/>
          <w:bCs/>
          <w:color w:val="auto"/>
          <w:sz w:val="24"/>
          <w:szCs w:val="24"/>
          <w:highlight w:val="none"/>
        </w:rPr>
        <w:t>但缺陷责任期最长</w:t>
      </w:r>
      <w:r>
        <w:rPr>
          <w:rFonts w:hint="eastAsia" w:ascii="宋体" w:hAnsi="宋体" w:eastAsia="宋体" w:cs="Times New Roman"/>
          <w:color w:val="auto"/>
          <w:kern w:val="0"/>
          <w:sz w:val="24"/>
          <w:szCs w:val="24"/>
          <w:highlight w:val="none"/>
        </w:rPr>
        <w:t>不能超过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49344E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15.2.3 </w:t>
      </w:r>
      <w:r>
        <w:rPr>
          <w:rFonts w:hint="eastAsia" w:ascii="宋体" w:hAnsi="宋体" w:eastAsia="宋体" w:cs="Times New Roman"/>
          <w:color w:val="auto"/>
          <w:kern w:val="0"/>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2798B8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15.2.4 </w:t>
      </w:r>
      <w:r>
        <w:rPr>
          <w:rFonts w:hint="eastAsia" w:ascii="宋体" w:hAnsi="宋体" w:eastAsia="宋体" w:cs="Times New Roman"/>
          <w:color w:val="auto"/>
          <w:kern w:val="0"/>
          <w:sz w:val="24"/>
          <w:szCs w:val="24"/>
          <w:highlight w:val="none"/>
        </w:rPr>
        <w:t>除专用合同条款另有约定外，承包人应于缺陷责任期届满后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天内向发包人发出缺陷责任期届满通知，发包人应在收到缺陷责任期满通知后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天内核实承包人是否履行缺陷修复义务，承包人未能履行缺陷修复义务的，发包人有权扣除相应金额的维修费用。发包人应在收到缺陷责任期届满通知后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天内，向承包人颁发缺陷责任期终止证书。</w:t>
      </w:r>
    </w:p>
    <w:p w14:paraId="42BE1B9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9" w:name="_Toc351203601"/>
      <w:bookmarkStart w:id="450" w:name="_Toc337558818"/>
      <w:bookmarkStart w:id="451" w:name="_Toc296503115"/>
      <w:bookmarkStart w:id="452" w:name="_Toc296346616"/>
      <w:r>
        <w:rPr>
          <w:rFonts w:ascii="Times New Roman" w:hAnsi="Times New Roman" w:eastAsia="Ђˎ̥" w:cs="Times New Roman"/>
          <w:color w:val="auto"/>
          <w:kern w:val="0"/>
          <w:sz w:val="24"/>
          <w:szCs w:val="24"/>
          <w:highlight w:val="none"/>
          <w:lang w:val="en-US" w:eastAsia="zh-CN" w:bidi="ar-SA"/>
        </w:rPr>
        <w:t xml:space="preserve">15.3 </w:t>
      </w:r>
      <w:r>
        <w:rPr>
          <w:rFonts w:hint="eastAsia" w:ascii="Times New Roman" w:hAnsi="Times New Roman" w:eastAsia="Ђˎ̥" w:cs="宋体"/>
          <w:color w:val="auto"/>
          <w:kern w:val="0"/>
          <w:sz w:val="24"/>
          <w:szCs w:val="24"/>
          <w:highlight w:val="none"/>
          <w:lang w:val="en-US" w:eastAsia="zh-CN" w:bidi="ar-SA"/>
        </w:rPr>
        <w:t>质量保证金</w:t>
      </w:r>
      <w:bookmarkEnd w:id="449"/>
    </w:p>
    <w:bookmarkEnd w:id="450"/>
    <w:p w14:paraId="32C04DA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经合同当事人协商一致扣留质量保证金的，应在专用合同条款中予以明确。</w:t>
      </w:r>
    </w:p>
    <w:p w14:paraId="5EAF2D3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15.3.1 </w:t>
      </w:r>
      <w:r>
        <w:rPr>
          <w:rFonts w:hint="eastAsia" w:ascii="宋体" w:hAnsi="宋体" w:eastAsia="宋体" w:cs="Times New Roman"/>
          <w:color w:val="auto"/>
          <w:kern w:val="0"/>
          <w:sz w:val="24"/>
          <w:szCs w:val="24"/>
          <w:highlight w:val="none"/>
        </w:rPr>
        <w:t>承包人提供质量保证金的方式</w:t>
      </w:r>
    </w:p>
    <w:p w14:paraId="72456E0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承包人提供质量保证金有以下三种方式：</w:t>
      </w:r>
    </w:p>
    <w:p w14:paraId="7C2B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）质量保证金保函；</w:t>
      </w:r>
      <w:r>
        <w:rPr>
          <w:rFonts w:ascii="宋体" w:hAnsi="宋体" w:eastAsia="宋体" w:cs="Times New Roman"/>
          <w:color w:val="auto"/>
          <w:kern w:val="0"/>
          <w:sz w:val="24"/>
          <w:szCs w:val="24"/>
          <w:highlight w:val="none"/>
        </w:rPr>
        <w:t xml:space="preserve"> </w:t>
      </w:r>
    </w:p>
    <w:p w14:paraId="3022572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）相应比例的工程款；</w:t>
      </w:r>
    </w:p>
    <w:p w14:paraId="5CACE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）双方约定的其他方式。</w:t>
      </w:r>
    </w:p>
    <w:p w14:paraId="79B799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2C0CF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15.3.2 </w:t>
      </w:r>
      <w:r>
        <w:rPr>
          <w:rFonts w:hint="eastAsia" w:ascii="宋体" w:hAnsi="宋体" w:eastAsia="宋体" w:cs="Times New Roman"/>
          <w:color w:val="auto"/>
          <w:kern w:val="0"/>
          <w:sz w:val="24"/>
          <w:szCs w:val="24"/>
          <w:highlight w:val="none"/>
        </w:rPr>
        <w:t>质量保证金的扣留</w:t>
      </w:r>
    </w:p>
    <w:p w14:paraId="3260B7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质量保证金的扣留有以下三种方式：</w:t>
      </w:r>
    </w:p>
    <w:p w14:paraId="02F0DF2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）在支付工程进度款时逐次扣留，在此情形下，质量保证金的计算基数不包括预付款的支付、扣回以及价格调整的金额；</w:t>
      </w:r>
    </w:p>
    <w:p w14:paraId="7C1A3B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w:t>
      </w:r>
      <w:bookmarkStart w:id="453" w:name="#go6"/>
      <w:bookmarkEnd w:id="453"/>
      <w:r>
        <w:rPr>
          <w:rFonts w:hint="eastAsia" w:ascii="宋体" w:hAnsi="宋体" w:eastAsia="宋体" w:cs="Times New Roman"/>
          <w:color w:val="auto"/>
          <w:kern w:val="0"/>
          <w:sz w:val="24"/>
          <w:szCs w:val="24"/>
          <w:highlight w:val="none"/>
        </w:rPr>
        <w:t>程竣工结算时一次性扣留质量保证金；</w:t>
      </w:r>
    </w:p>
    <w:p w14:paraId="5A7F8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）双方约定的其他扣留方式。</w:t>
      </w:r>
    </w:p>
    <w:p w14:paraId="1C286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除专用合同条款另有约定外，质量保证金的扣留原则上采用上述第（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51C52A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w:t>
      </w:r>
      <w:bookmarkStart w:id="454" w:name="#go4"/>
      <w:bookmarkEnd w:id="454"/>
      <w:r>
        <w:rPr>
          <w:rFonts w:hint="eastAsia" w:ascii="宋体" w:hAnsi="宋体" w:eastAsia="宋体" w:cs="Times New Roman"/>
          <w:color w:val="auto"/>
          <w:kern w:val="0"/>
          <w:sz w:val="24"/>
          <w:szCs w:val="24"/>
          <w:highlight w:val="none"/>
        </w:rPr>
        <w:t>包人累计扣留的质量保证金不得超过结算合同价格的</w:t>
      </w:r>
      <w:r>
        <w:rPr>
          <w:rFonts w:hint="eastAsia" w:ascii="宋体" w:hAnsi="宋体" w:eastAsia="宋体" w:cs="Times New Roman"/>
          <w:color w:val="auto"/>
          <w:kern w:val="0"/>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kern w:val="0"/>
          <w:sz w:val="24"/>
          <w:szCs w:val="24"/>
          <w:highlight w:val="none"/>
          <w:u w:val="single"/>
          <w:lang w:val="en-US" w:eastAsia="zh-CN"/>
        </w:rPr>
        <w:t xml:space="preserve"> </w:t>
      </w:r>
      <w:r>
        <w:rPr>
          <w:rFonts w:ascii="宋体" w:hAnsi="宋体" w:eastAsia="宋体" w:cs="Times New Roman"/>
          <w:color w:val="auto"/>
          <w:kern w:val="0"/>
          <w:sz w:val="24"/>
          <w:szCs w:val="24"/>
          <w:highlight w:val="none"/>
          <w:u w:val="none"/>
        </w:rPr>
        <w:t>%</w:t>
      </w:r>
      <w:r>
        <w:rPr>
          <w:rFonts w:hint="eastAsia" w:ascii="宋体" w:hAnsi="宋体" w:eastAsia="宋体" w:cs="Times New Roman"/>
          <w:color w:val="auto"/>
          <w:kern w:val="0"/>
          <w:sz w:val="24"/>
          <w:szCs w:val="24"/>
          <w:highlight w:val="none"/>
        </w:rPr>
        <w:t>，如承包人在发包人签发竣工付款证书后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天内提交质量保证金保函，发包人应同时退还扣留的作为质量保证金的工程价款。</w:t>
      </w:r>
    </w:p>
    <w:p w14:paraId="19EE3B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15.3.3 </w:t>
      </w:r>
      <w:r>
        <w:rPr>
          <w:rFonts w:hint="eastAsia" w:ascii="宋体" w:hAnsi="宋体" w:eastAsia="宋体" w:cs="Times New Roman"/>
          <w:color w:val="auto"/>
          <w:sz w:val="24"/>
          <w:szCs w:val="24"/>
          <w:highlight w:val="none"/>
        </w:rPr>
        <w:t>质量保证金</w:t>
      </w:r>
      <w:r>
        <w:rPr>
          <w:rFonts w:hint="eastAsia" w:ascii="宋体" w:hAnsi="宋体" w:eastAsia="宋体" w:cs="Times New Roman"/>
          <w:color w:val="auto"/>
          <w:kern w:val="0"/>
          <w:sz w:val="24"/>
          <w:szCs w:val="24"/>
          <w:highlight w:val="none"/>
        </w:rPr>
        <w:t>的退还</w:t>
      </w:r>
    </w:p>
    <w:p w14:paraId="40F88E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款〔最终结清〕的约定退还质量保证金。</w:t>
      </w:r>
    </w:p>
    <w:p w14:paraId="46B762B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55" w:name="_Toc351203602"/>
      <w:bookmarkStart w:id="456" w:name="_Toc337558819"/>
      <w:r>
        <w:rPr>
          <w:rFonts w:ascii="Times New Roman" w:hAnsi="Times New Roman" w:eastAsia="Ђˎ̥" w:cs="Times New Roman"/>
          <w:color w:val="auto"/>
          <w:kern w:val="0"/>
          <w:sz w:val="24"/>
          <w:szCs w:val="24"/>
          <w:highlight w:val="none"/>
          <w:lang w:val="en-US" w:eastAsia="zh-CN" w:bidi="ar-SA"/>
        </w:rPr>
        <w:t xml:space="preserve">15.4 </w:t>
      </w:r>
      <w:r>
        <w:rPr>
          <w:rFonts w:hint="eastAsia" w:ascii="Times New Roman" w:hAnsi="Times New Roman" w:eastAsia="Ђˎ̥" w:cs="宋体"/>
          <w:color w:val="auto"/>
          <w:kern w:val="0"/>
          <w:sz w:val="24"/>
          <w:szCs w:val="24"/>
          <w:highlight w:val="none"/>
          <w:lang w:val="en-US" w:eastAsia="zh-CN" w:bidi="ar-SA"/>
        </w:rPr>
        <w:t>保修</w:t>
      </w:r>
      <w:bookmarkEnd w:id="455"/>
    </w:p>
    <w:bookmarkEnd w:id="451"/>
    <w:bookmarkEnd w:id="452"/>
    <w:bookmarkEnd w:id="456"/>
    <w:p w14:paraId="226E35B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15.4.1</w:t>
      </w:r>
      <w:r>
        <w:rPr>
          <w:rFonts w:hint="eastAsia" w:ascii="宋体" w:hAnsi="宋体" w:eastAsia="宋体" w:cs="Times New Roman"/>
          <w:color w:val="auto"/>
          <w:kern w:val="0"/>
          <w:sz w:val="24"/>
          <w:szCs w:val="24"/>
          <w:highlight w:val="none"/>
        </w:rPr>
        <w:t>保修责任</w:t>
      </w:r>
    </w:p>
    <w:p w14:paraId="6F23E39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7FA3F798">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发包人未经竣工验收擅自使用工程的，保修期自</w:t>
      </w:r>
      <w:r>
        <w:rPr>
          <w:rFonts w:hint="eastAsia" w:ascii="宋体" w:hAnsi="宋体" w:eastAsia="宋体" w:cs="Times New Roman"/>
          <w:color w:val="auto"/>
          <w:kern w:val="0"/>
          <w:sz w:val="24"/>
          <w:szCs w:val="24"/>
          <w:highlight w:val="none"/>
        </w:rPr>
        <w:t>转移占有之日起算</w:t>
      </w:r>
      <w:r>
        <w:rPr>
          <w:rFonts w:hint="eastAsia" w:ascii="宋体" w:hAnsi="宋体" w:eastAsia="宋体" w:cs="Times New Roman"/>
          <w:color w:val="auto"/>
          <w:sz w:val="24"/>
          <w:szCs w:val="24"/>
          <w:highlight w:val="none"/>
        </w:rPr>
        <w:t>。</w:t>
      </w:r>
    </w:p>
    <w:p w14:paraId="32A67A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15.4.2 </w:t>
      </w:r>
      <w:r>
        <w:rPr>
          <w:rFonts w:hint="eastAsia" w:ascii="宋体" w:hAnsi="宋体" w:eastAsia="宋体" w:cs="Times New Roman"/>
          <w:color w:val="auto"/>
          <w:kern w:val="0"/>
          <w:sz w:val="24"/>
          <w:szCs w:val="24"/>
          <w:highlight w:val="none"/>
        </w:rPr>
        <w:t>修复费用</w:t>
      </w:r>
    </w:p>
    <w:p w14:paraId="2C39BC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保修期内，修复的费用按照以下约定处理：</w:t>
      </w:r>
    </w:p>
    <w:p w14:paraId="12F0E1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）保修期内，因承包人原因造成工程的缺陷、损坏，承包人应负责修复，并承担修复的费用以及因工程的缺陷、损坏造成的人身伤害和财产损失；</w:t>
      </w:r>
    </w:p>
    <w:p w14:paraId="31791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）保修期内，因发包人使用不当造成工程的缺陷、损坏，可以委托承包人修复，但发包人应承担修复的费用，并支付承包人合理利润；</w:t>
      </w:r>
    </w:p>
    <w:p w14:paraId="217925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）因其他原因造成工程的缺陷、损坏，可以委托承包人修复，发包人应承担修复的费用，并支付承包人合理的利润，因工程的缺陷、损坏造成的人身伤害和财产损失由责任方承担。</w:t>
      </w:r>
    </w:p>
    <w:p w14:paraId="68D6321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15.4.3 </w:t>
      </w:r>
      <w:r>
        <w:rPr>
          <w:rFonts w:hint="eastAsia" w:ascii="宋体" w:hAnsi="宋体" w:eastAsia="宋体" w:cs="Times New Roman"/>
          <w:color w:val="auto"/>
          <w:kern w:val="0"/>
          <w:sz w:val="24"/>
          <w:szCs w:val="24"/>
          <w:highlight w:val="none"/>
        </w:rPr>
        <w:t>修复通知</w:t>
      </w:r>
    </w:p>
    <w:p w14:paraId="31E2653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小时内书面确认，承包人应在专用合同条款约定的合理期限内到达工程现场并修复缺陷或损坏。</w:t>
      </w:r>
    </w:p>
    <w:p w14:paraId="3DE9816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15.4.4 </w:t>
      </w:r>
      <w:r>
        <w:rPr>
          <w:rFonts w:hint="eastAsia" w:ascii="宋体" w:hAnsi="宋体" w:eastAsia="宋体" w:cs="Times New Roman"/>
          <w:color w:val="auto"/>
          <w:kern w:val="0"/>
          <w:sz w:val="24"/>
          <w:szCs w:val="24"/>
          <w:highlight w:val="none"/>
        </w:rPr>
        <w:t>未能修复</w:t>
      </w:r>
    </w:p>
    <w:p w14:paraId="12319AF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920691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15.4.5 </w:t>
      </w:r>
      <w:r>
        <w:rPr>
          <w:rFonts w:hint="eastAsia" w:ascii="宋体" w:hAnsi="宋体" w:eastAsia="宋体" w:cs="Times New Roman"/>
          <w:color w:val="auto"/>
          <w:kern w:val="0"/>
          <w:sz w:val="24"/>
          <w:szCs w:val="24"/>
          <w:highlight w:val="none"/>
        </w:rPr>
        <w:t>承包人出入权</w:t>
      </w:r>
    </w:p>
    <w:p w14:paraId="4531483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在保修期内，为了修复缺陷或损坏，承包人有权出入工程现场，除情况紧急必须立即修复缺陷或损坏外，承包人应提前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小时通知发包人进场修复的时间。承包人进入工程现场前应获得发包人同意，且不应影响发包人正常的生产经营，并应遵守发包人有关保安和保密等规定。</w:t>
      </w:r>
    </w:p>
    <w:p w14:paraId="6C4C78AF">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57" w:name="_Toc17965085"/>
      <w:bookmarkStart w:id="458" w:name="_Toc351203603"/>
      <w:bookmarkStart w:id="459" w:name="_Toc337558820"/>
      <w:r>
        <w:rPr>
          <w:rFonts w:ascii="Times New Roman" w:hAnsi="Times New Roman" w:eastAsia="黑体" w:cs="Times New Roman"/>
          <w:b/>
          <w:bCs/>
          <w:color w:val="auto"/>
          <w:kern w:val="2"/>
          <w:sz w:val="24"/>
          <w:szCs w:val="24"/>
          <w:highlight w:val="none"/>
          <w:lang w:val="en-US" w:eastAsia="zh-CN" w:bidi="ar-SA"/>
        </w:rPr>
        <w:t xml:space="preserve">16. </w:t>
      </w:r>
      <w:r>
        <w:rPr>
          <w:rFonts w:ascii="Times New Roman" w:hAnsi="Times New Roman" w:eastAsia="黑体" w:cs="宋体"/>
          <w:b/>
          <w:bCs/>
          <w:color w:val="auto"/>
          <w:kern w:val="2"/>
          <w:sz w:val="24"/>
          <w:szCs w:val="24"/>
          <w:highlight w:val="none"/>
          <w:lang w:val="en-US" w:eastAsia="zh-CN" w:bidi="ar-SA"/>
        </w:rPr>
        <w:t>违约</w:t>
      </w:r>
      <w:bookmarkEnd w:id="457"/>
      <w:bookmarkEnd w:id="458"/>
    </w:p>
    <w:bookmarkEnd w:id="459"/>
    <w:p w14:paraId="0618D9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0" w:name="_Toc296503129"/>
      <w:bookmarkStart w:id="461" w:name="_Toc296346630"/>
      <w:bookmarkStart w:id="462" w:name="_Toc351203604"/>
      <w:bookmarkStart w:id="463" w:name="_Toc337558821"/>
      <w:r>
        <w:rPr>
          <w:rFonts w:ascii="Times New Roman" w:hAnsi="Times New Roman" w:eastAsia="Ђˎ̥" w:cs="Times New Roman"/>
          <w:color w:val="auto"/>
          <w:kern w:val="0"/>
          <w:sz w:val="24"/>
          <w:szCs w:val="24"/>
          <w:highlight w:val="none"/>
          <w:lang w:val="en-US" w:eastAsia="zh-CN" w:bidi="ar-SA"/>
        </w:rPr>
        <w:t xml:space="preserve">16.1 </w:t>
      </w:r>
      <w:r>
        <w:rPr>
          <w:rFonts w:hint="eastAsia" w:ascii="Times New Roman" w:hAnsi="Times New Roman" w:eastAsia="Ђˎ̥" w:cs="宋体"/>
          <w:color w:val="auto"/>
          <w:kern w:val="0"/>
          <w:sz w:val="24"/>
          <w:szCs w:val="24"/>
          <w:highlight w:val="none"/>
          <w:lang w:val="en-US" w:eastAsia="zh-CN" w:bidi="ar-SA"/>
        </w:rPr>
        <w:t>发</w:t>
      </w:r>
      <w:bookmarkEnd w:id="460"/>
      <w:bookmarkEnd w:id="461"/>
      <w:r>
        <w:rPr>
          <w:rFonts w:hint="eastAsia" w:ascii="Times New Roman" w:hAnsi="Times New Roman" w:eastAsia="Ђˎ̥" w:cs="宋体"/>
          <w:color w:val="auto"/>
          <w:kern w:val="0"/>
          <w:sz w:val="24"/>
          <w:szCs w:val="24"/>
          <w:highlight w:val="none"/>
          <w:lang w:val="en-US" w:eastAsia="zh-CN" w:bidi="ar-SA"/>
        </w:rPr>
        <w:t>包人违约</w:t>
      </w:r>
      <w:bookmarkEnd w:id="462"/>
    </w:p>
    <w:bookmarkEnd w:id="463"/>
    <w:p w14:paraId="69A4437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16.1.1 </w:t>
      </w:r>
      <w:r>
        <w:rPr>
          <w:rFonts w:hint="eastAsia" w:ascii="宋体" w:hAnsi="宋体" w:eastAsia="宋体" w:cs="Times New Roman"/>
          <w:color w:val="auto"/>
          <w:kern w:val="0"/>
          <w:sz w:val="24"/>
          <w:szCs w:val="24"/>
          <w:highlight w:val="none"/>
        </w:rPr>
        <w:t>发包人违约的情形</w:t>
      </w:r>
    </w:p>
    <w:p w14:paraId="14289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在合同履行过程中发生的下列情形，属于发包人违约：</w:t>
      </w:r>
    </w:p>
    <w:p w14:paraId="11D087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）因发包人原因未能在计划开工日期前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天内下达开工通知的；</w:t>
      </w:r>
    </w:p>
    <w:p w14:paraId="61086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）因发包人原因未能按合同约定支付合同价款的；</w:t>
      </w:r>
    </w:p>
    <w:p w14:paraId="5C320DF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）发包人违反第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）项约定，自行实施被取消的工作或转由他人实施的；</w:t>
      </w:r>
    </w:p>
    <w:p w14:paraId="19072FC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）发包人提供的材料、工程设备的规格、数量或质量不符合合同约定，或因发包人原因导致交货日期延误或交货地点变更等情况的；</w:t>
      </w:r>
    </w:p>
    <w:p w14:paraId="01B2E6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）因发包人违反合同约定造成暂停施工的；</w:t>
      </w:r>
    </w:p>
    <w:p w14:paraId="5238D8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）发包人无正当理由没有在约定期限内发出复工指示，导致承包人无法复工的；</w:t>
      </w:r>
    </w:p>
    <w:p w14:paraId="6894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）发包人明确表示或者以其行为表明不履行合同主要义务的；</w:t>
      </w:r>
    </w:p>
    <w:p w14:paraId="3496A4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）发包人未能按照合同约定履行其他义务的。</w:t>
      </w:r>
    </w:p>
    <w:p w14:paraId="64642B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）目以外的违约情况时，承包人可向发包人发出通知，要求发包人采取有效措施纠正违约行为。发包人收到承包人通知后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天内仍不纠正违约行为的，承包人有权暂停相应部位工程施工，并通知监理人。</w:t>
      </w:r>
    </w:p>
    <w:p w14:paraId="207669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16.1.2 </w:t>
      </w:r>
      <w:r>
        <w:rPr>
          <w:rFonts w:hint="eastAsia" w:ascii="宋体" w:hAnsi="宋体" w:eastAsia="宋体" w:cs="Times New Roman"/>
          <w:color w:val="auto"/>
          <w:kern w:val="0"/>
          <w:sz w:val="24"/>
          <w:szCs w:val="24"/>
          <w:highlight w:val="none"/>
        </w:rPr>
        <w:t>发包人违约的责任</w:t>
      </w:r>
    </w:p>
    <w:p w14:paraId="2DAE6E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14:paraId="5B482C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16.1.3 </w:t>
      </w:r>
      <w:r>
        <w:rPr>
          <w:rFonts w:hint="eastAsia" w:ascii="宋体" w:hAnsi="宋体" w:eastAsia="宋体" w:cs="Times New Roman"/>
          <w:color w:val="auto"/>
          <w:kern w:val="0"/>
          <w:sz w:val="24"/>
          <w:szCs w:val="24"/>
          <w:highlight w:val="none"/>
        </w:rPr>
        <w:t>因发包人违约解除合同</w:t>
      </w:r>
    </w:p>
    <w:p w14:paraId="2B0DB10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项〔发包人违约的情形〕约定暂停施工满</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天后，发包人仍不纠正其违约行为并致使合同目的不能实现的，或出现第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）目约定的违约情况，承包人有权解除合同，发包人应承担由此增加的费用，并支付承包人合理的利润。</w:t>
      </w:r>
    </w:p>
    <w:p w14:paraId="72C7331C">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16.1.4 </w:t>
      </w:r>
      <w:r>
        <w:rPr>
          <w:rFonts w:hint="eastAsia" w:ascii="宋体" w:hAnsi="宋体" w:eastAsia="宋体" w:cs="Times New Roman"/>
          <w:color w:val="auto"/>
          <w:kern w:val="0"/>
          <w:sz w:val="24"/>
          <w:szCs w:val="24"/>
          <w:highlight w:val="none"/>
        </w:rPr>
        <w:t>因发包人违约解除合同后的付款</w:t>
      </w:r>
    </w:p>
    <w:p w14:paraId="79E7C9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承包人按照本款约定解除合同的，发包人应在解除合同后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天内支付下列款项，并解除履约担保：</w:t>
      </w:r>
    </w:p>
    <w:p w14:paraId="0555B3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）合同解除前所完成工作的价款；</w:t>
      </w:r>
    </w:p>
    <w:p w14:paraId="1F82FB7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）承包人为工程施工订购并已付款的材料、工程设备和其他物品的价款；</w:t>
      </w:r>
    </w:p>
    <w:p w14:paraId="3AB057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）承包人撤离施工现场以及遣散承包人人员的款项；</w:t>
      </w:r>
    </w:p>
    <w:p w14:paraId="40244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）按照合同约定在合同解除前应支付的违约金；</w:t>
      </w:r>
    </w:p>
    <w:p w14:paraId="2D848D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）按照合同约定应当支付给承包人的其他款项；</w:t>
      </w:r>
    </w:p>
    <w:p w14:paraId="362AF6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）按照合同约定应退还的质量保证金；</w:t>
      </w:r>
    </w:p>
    <w:p w14:paraId="1AB15A3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）因解除合同给承包人造成的损失。</w:t>
      </w:r>
    </w:p>
    <w:p w14:paraId="3ACCB3E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合同当事人未能就解除合同后的结清达成一致的，按照第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05CD54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承包人应妥善做好已完工程和与工程有关的已购材料、工程设备的保护和移交工作，并将施工设备和人员撤出施工现场，发包人应为承包人撤出提供必要条件。</w:t>
      </w:r>
    </w:p>
    <w:p w14:paraId="6CDCF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4" w:name="_Toc351203605"/>
      <w:bookmarkStart w:id="465" w:name="_Toc337558822"/>
      <w:bookmarkStart w:id="466" w:name="_Toc296503131"/>
      <w:bookmarkStart w:id="467" w:name="_Toc296346632"/>
      <w:r>
        <w:rPr>
          <w:rFonts w:ascii="Times New Roman" w:hAnsi="Times New Roman" w:eastAsia="Ђˎ̥" w:cs="Times New Roman"/>
          <w:color w:val="auto"/>
          <w:kern w:val="0"/>
          <w:sz w:val="24"/>
          <w:szCs w:val="24"/>
          <w:highlight w:val="none"/>
          <w:lang w:val="en-US" w:eastAsia="zh-CN" w:bidi="ar-SA"/>
        </w:rPr>
        <w:t xml:space="preserve">16.2 </w:t>
      </w:r>
      <w:r>
        <w:rPr>
          <w:rFonts w:hint="eastAsia" w:ascii="Times New Roman" w:hAnsi="Times New Roman" w:eastAsia="Ђˎ̥" w:cs="宋体"/>
          <w:color w:val="auto"/>
          <w:kern w:val="0"/>
          <w:sz w:val="24"/>
          <w:szCs w:val="24"/>
          <w:highlight w:val="none"/>
          <w:lang w:val="en-US" w:eastAsia="zh-CN" w:bidi="ar-SA"/>
        </w:rPr>
        <w:t>承包人违约</w:t>
      </w:r>
      <w:bookmarkEnd w:id="464"/>
    </w:p>
    <w:bookmarkEnd w:id="465"/>
    <w:bookmarkEnd w:id="466"/>
    <w:bookmarkEnd w:id="467"/>
    <w:p w14:paraId="11F2EA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16.2.1 </w:t>
      </w:r>
      <w:r>
        <w:rPr>
          <w:rFonts w:hint="eastAsia" w:ascii="宋体" w:hAnsi="宋体" w:eastAsia="宋体" w:cs="Times New Roman"/>
          <w:color w:val="auto"/>
          <w:kern w:val="0"/>
          <w:sz w:val="24"/>
          <w:szCs w:val="24"/>
          <w:highlight w:val="none"/>
        </w:rPr>
        <w:t>承包人违约的情形</w:t>
      </w:r>
    </w:p>
    <w:p w14:paraId="37E8D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在合同履行过程中发生的下列情形，属于承包人违约：</w:t>
      </w:r>
    </w:p>
    <w:p w14:paraId="3263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）承包人违反合同约定进行转包或违法分包的；</w:t>
      </w:r>
    </w:p>
    <w:p w14:paraId="1EC270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）承包人违反合同约定采购和使用不合格的材料和工程设备的；</w:t>
      </w:r>
    </w:p>
    <w:p w14:paraId="198D85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）因承包人原因导致工程质量不符合合同要求的；</w:t>
      </w:r>
      <w:r>
        <w:rPr>
          <w:rFonts w:ascii="宋体" w:hAnsi="宋体" w:eastAsia="宋体" w:cs="Times New Roman"/>
          <w:color w:val="auto"/>
          <w:kern w:val="0"/>
          <w:sz w:val="24"/>
          <w:szCs w:val="24"/>
          <w:highlight w:val="none"/>
        </w:rPr>
        <w:t xml:space="preserve"> </w:t>
      </w:r>
    </w:p>
    <w:p w14:paraId="72700BA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）承包人违反第</w:t>
      </w:r>
      <w:r>
        <w:rPr>
          <w:rFonts w:ascii="宋体" w:hAnsi="宋体" w:eastAsia="宋体" w:cs="Times New Roman"/>
          <w:color w:val="auto"/>
          <w:kern w:val="0"/>
          <w:sz w:val="24"/>
          <w:szCs w:val="24"/>
          <w:highlight w:val="none"/>
        </w:rPr>
        <w:t>8.9</w:t>
      </w:r>
      <w:r>
        <w:rPr>
          <w:rFonts w:hint="eastAsia" w:ascii="宋体" w:hAnsi="宋体" w:eastAsia="宋体" w:cs="Times New Roman"/>
          <w:color w:val="auto"/>
          <w:kern w:val="0"/>
          <w:sz w:val="24"/>
          <w:szCs w:val="24"/>
          <w:highlight w:val="none"/>
        </w:rPr>
        <w:t>款〔材料与设备专用要求〕的约定，未经批准，私自将已按照合同约定进入施工现场的材料或设备撤离施工现场的；</w:t>
      </w:r>
    </w:p>
    <w:p w14:paraId="4C7F15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）承包人未能按施工进度计划及时完成合同约定的工作，造成工期延误的；</w:t>
      </w:r>
    </w:p>
    <w:p w14:paraId="566020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）承包人在缺陷责任期及保修期内，未能在合理期限对工程缺陷进行修复，或拒绝按发包人要求进行修复的；</w:t>
      </w:r>
    </w:p>
    <w:p w14:paraId="2288BA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）承包人明确表示或者以其行为表明不履行合同主要义务的；</w:t>
      </w:r>
    </w:p>
    <w:p w14:paraId="5CA89B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）承包人未能按照合同约定履行其他义务的。</w:t>
      </w:r>
    </w:p>
    <w:p w14:paraId="1B6654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）目约定以外的其他违约情况时，监理人可向承包人发出整改通知，要求其在指定的期限内改正。</w:t>
      </w:r>
    </w:p>
    <w:p w14:paraId="730BED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16.2.2 </w:t>
      </w:r>
      <w:r>
        <w:rPr>
          <w:rFonts w:hint="eastAsia" w:ascii="宋体" w:hAnsi="宋体" w:eastAsia="宋体" w:cs="Times New Roman"/>
          <w:color w:val="auto"/>
          <w:kern w:val="0"/>
          <w:sz w:val="24"/>
          <w:szCs w:val="24"/>
          <w:highlight w:val="none"/>
        </w:rPr>
        <w:t>承包人违约的责任</w:t>
      </w:r>
    </w:p>
    <w:p w14:paraId="75B016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承包人应承担因其违约行为而增加的费用和（或）延误的工期。此外，合同当事人可在专用合同条款中另行约定承包人违约责任的承担方式和计算方法。</w:t>
      </w:r>
    </w:p>
    <w:p w14:paraId="06A6E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16.2.3 </w:t>
      </w:r>
      <w:r>
        <w:rPr>
          <w:rFonts w:hint="eastAsia" w:ascii="宋体" w:hAnsi="宋体" w:eastAsia="宋体" w:cs="Times New Roman"/>
          <w:color w:val="auto"/>
          <w:kern w:val="0"/>
          <w:sz w:val="24"/>
          <w:szCs w:val="24"/>
          <w:highlight w:val="none"/>
        </w:rPr>
        <w:t>因承包人违约解除合同</w:t>
      </w:r>
    </w:p>
    <w:p w14:paraId="7069B7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除专用合同条款另有约定外，出现第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3D9F26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16.2.4</w:t>
      </w:r>
      <w:r>
        <w:rPr>
          <w:rFonts w:hint="eastAsia" w:ascii="宋体" w:hAnsi="宋体" w:eastAsia="宋体" w:cs="Times New Roman"/>
          <w:color w:val="auto"/>
          <w:kern w:val="0"/>
          <w:sz w:val="24"/>
          <w:szCs w:val="24"/>
          <w:highlight w:val="none"/>
        </w:rPr>
        <w:t>因承包人违约解除合同后的处理</w:t>
      </w:r>
    </w:p>
    <w:p w14:paraId="141BC2B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因承包人原因导致合同解除的，则合同当事人应在合同解除后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天内完成估价、付款和清算，并按以下约定执行：</w:t>
      </w:r>
    </w:p>
    <w:p w14:paraId="5CB7248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）合同解除后，按第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款〔商定或确定〕商定或确定承包人实际完成工作对应的合同价款，以及承包人已提供的材料、工程设备、施工设备和临时工程等的价值；</w:t>
      </w:r>
    </w:p>
    <w:p w14:paraId="72963B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）合同解除后，承包人应支付的违约金；</w:t>
      </w:r>
    </w:p>
    <w:p w14:paraId="1858BCB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）合同解除后，因解除合同给发包人造成的损失；</w:t>
      </w:r>
    </w:p>
    <w:p w14:paraId="70A914A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）合同解除后，承包人应按照发包人要求和监理人的指示完成现场的清理和撤离；</w:t>
      </w:r>
    </w:p>
    <w:p w14:paraId="4F7375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）发包人和承包人应在合同解除后进行清算，出具最终结清付款证书，结清全部款项。</w:t>
      </w:r>
    </w:p>
    <w:p w14:paraId="21F2E2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因承包人违约解除合同的，发包人有权暂停对承包人的付款，查清各项付款和已扣款项。发包人和承包人未能就合同解除后的清算和款项支付达成一致的，按照第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6CAFB89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16.2.5</w:t>
      </w:r>
      <w:r>
        <w:rPr>
          <w:rFonts w:hint="eastAsia" w:ascii="宋体" w:hAnsi="宋体" w:eastAsia="宋体" w:cs="Times New Roman"/>
          <w:color w:val="auto"/>
          <w:kern w:val="0"/>
          <w:sz w:val="24"/>
          <w:szCs w:val="24"/>
          <w:highlight w:val="none"/>
        </w:rPr>
        <w:t>采购合同权益转让</w:t>
      </w:r>
    </w:p>
    <w:p w14:paraId="364D0A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因承包人违约解除合同的，发包人有权要求承包人将其为实施合同而签订的材料和设备的采购合同的权益转让给发包人，承包人应在收到解除合同通知后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天内，协助发包人与采购合同的供应商达成相关的转让协议。</w:t>
      </w:r>
    </w:p>
    <w:p w14:paraId="0D040F5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8" w:name="_Toc351203606"/>
      <w:r>
        <w:rPr>
          <w:rFonts w:ascii="Times New Roman" w:hAnsi="Times New Roman" w:eastAsia="Ђˎ̥" w:cs="Times New Roman"/>
          <w:color w:val="auto"/>
          <w:kern w:val="0"/>
          <w:sz w:val="24"/>
          <w:szCs w:val="24"/>
          <w:highlight w:val="none"/>
          <w:lang w:val="en-US" w:eastAsia="zh-CN" w:bidi="ar-SA"/>
        </w:rPr>
        <w:t xml:space="preserve">16.3 </w:t>
      </w:r>
      <w:r>
        <w:rPr>
          <w:rFonts w:hint="eastAsia" w:ascii="Times New Roman" w:hAnsi="Times New Roman" w:eastAsia="Ђˎ̥" w:cs="Times New Roman"/>
          <w:color w:val="auto"/>
          <w:kern w:val="0"/>
          <w:sz w:val="24"/>
          <w:szCs w:val="24"/>
          <w:highlight w:val="none"/>
          <w:lang w:val="en-US" w:eastAsia="zh-CN" w:bidi="ar-SA"/>
        </w:rPr>
        <w:t>第三人造成的违约</w:t>
      </w:r>
      <w:bookmarkEnd w:id="468"/>
    </w:p>
    <w:p w14:paraId="6E0CBD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在履行合同过程中，一方当事人因第三人的原因造成违约的，应当向对方当事人承担违约责任。一方当事人和第三人之间的纠纷，依照法律规定或者按照约定解决。</w:t>
      </w:r>
    </w:p>
    <w:p w14:paraId="6AD6C4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69" w:name="_Toc17965086"/>
      <w:bookmarkStart w:id="470" w:name="_Toc351203607"/>
      <w:bookmarkStart w:id="471" w:name="_Toc337558823"/>
      <w:bookmarkStart w:id="472" w:name="_Toc296346617"/>
      <w:bookmarkStart w:id="473" w:name="_Toc296503116"/>
      <w:r>
        <w:rPr>
          <w:rFonts w:ascii="Times New Roman" w:hAnsi="Times New Roman" w:eastAsia="黑体" w:cs="Times New Roman"/>
          <w:b/>
          <w:bCs/>
          <w:color w:val="auto"/>
          <w:kern w:val="2"/>
          <w:sz w:val="24"/>
          <w:szCs w:val="24"/>
          <w:highlight w:val="none"/>
          <w:lang w:val="en-US" w:eastAsia="zh-CN" w:bidi="ar-SA"/>
        </w:rPr>
        <w:t xml:space="preserve">17. </w:t>
      </w:r>
      <w:r>
        <w:rPr>
          <w:rFonts w:ascii="Times New Roman" w:hAnsi="Times New Roman" w:eastAsia="黑体" w:cs="宋体"/>
          <w:b/>
          <w:bCs/>
          <w:color w:val="auto"/>
          <w:kern w:val="2"/>
          <w:sz w:val="24"/>
          <w:szCs w:val="24"/>
          <w:highlight w:val="none"/>
          <w:lang w:val="en-US" w:eastAsia="zh-CN" w:bidi="ar-SA"/>
        </w:rPr>
        <w:t>不可抗力</w:t>
      </w:r>
      <w:bookmarkEnd w:id="469"/>
      <w:bookmarkEnd w:id="470"/>
      <w:r>
        <w:rPr>
          <w:rFonts w:ascii="Times New Roman" w:hAnsi="Times New Roman" w:eastAsia="黑体" w:cs="Times New Roman"/>
          <w:b/>
          <w:bCs/>
          <w:color w:val="auto"/>
          <w:kern w:val="2"/>
          <w:sz w:val="24"/>
          <w:szCs w:val="24"/>
          <w:highlight w:val="none"/>
          <w:lang w:val="en-US" w:eastAsia="zh-CN" w:bidi="ar-SA"/>
        </w:rPr>
        <w:t xml:space="preserve"> </w:t>
      </w:r>
      <w:bookmarkEnd w:id="471"/>
      <w:bookmarkEnd w:id="472"/>
      <w:bookmarkEnd w:id="473"/>
    </w:p>
    <w:p w14:paraId="4646196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4" w:name="_Toc351203608"/>
      <w:bookmarkStart w:id="475" w:name="_Toc296346618"/>
      <w:bookmarkStart w:id="476" w:name="_Toc296503117"/>
      <w:bookmarkStart w:id="477" w:name="_Toc337558824"/>
      <w:r>
        <w:rPr>
          <w:rFonts w:ascii="Times New Roman" w:hAnsi="Times New Roman" w:eastAsia="Ђˎ̥" w:cs="Times New Roman"/>
          <w:color w:val="auto"/>
          <w:kern w:val="0"/>
          <w:sz w:val="24"/>
          <w:szCs w:val="24"/>
          <w:highlight w:val="none"/>
          <w:lang w:val="en-US" w:eastAsia="zh-CN" w:bidi="ar-SA"/>
        </w:rPr>
        <w:t xml:space="preserve">17.1 </w:t>
      </w:r>
      <w:r>
        <w:rPr>
          <w:rFonts w:hint="eastAsia" w:ascii="Times New Roman" w:hAnsi="Times New Roman" w:eastAsia="Ђˎ̥" w:cs="Times New Roman"/>
          <w:color w:val="auto"/>
          <w:kern w:val="0"/>
          <w:sz w:val="24"/>
          <w:szCs w:val="24"/>
          <w:highlight w:val="none"/>
          <w:lang w:val="en-US" w:eastAsia="zh-CN" w:bidi="ar-SA"/>
        </w:rPr>
        <w:t>不可抗力的确认</w:t>
      </w:r>
      <w:bookmarkEnd w:id="474"/>
    </w:p>
    <w:bookmarkEnd w:id="475"/>
    <w:bookmarkEnd w:id="476"/>
    <w:bookmarkEnd w:id="477"/>
    <w:p w14:paraId="5D12386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7F5D9CC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款〔商定或确定〕的约定处理。发生争议时，按第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620CC58">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8" w:name="_Toc351203609"/>
      <w:bookmarkStart w:id="479" w:name="_Toc337558825"/>
      <w:bookmarkStart w:id="480" w:name="_Toc296503118"/>
      <w:bookmarkStart w:id="481" w:name="_Toc296346619"/>
      <w:r>
        <w:rPr>
          <w:rFonts w:ascii="Times New Roman" w:hAnsi="Times New Roman" w:eastAsia="Ђˎ̥" w:cs="Times New Roman"/>
          <w:color w:val="auto"/>
          <w:kern w:val="0"/>
          <w:sz w:val="24"/>
          <w:szCs w:val="24"/>
          <w:highlight w:val="none"/>
          <w:lang w:val="en-US" w:eastAsia="zh-CN" w:bidi="ar-SA"/>
        </w:rPr>
        <w:t xml:space="preserve">17.2 </w:t>
      </w:r>
      <w:r>
        <w:rPr>
          <w:rFonts w:hint="eastAsia" w:ascii="Times New Roman" w:hAnsi="Times New Roman" w:eastAsia="Ђˎ̥" w:cs="Times New Roman"/>
          <w:color w:val="auto"/>
          <w:kern w:val="0"/>
          <w:sz w:val="24"/>
          <w:szCs w:val="24"/>
          <w:highlight w:val="none"/>
          <w:lang w:val="en-US" w:eastAsia="zh-CN" w:bidi="ar-SA"/>
        </w:rPr>
        <w:t>不可抗力的通知</w:t>
      </w:r>
      <w:bookmarkEnd w:id="478"/>
    </w:p>
    <w:bookmarkEnd w:id="479"/>
    <w:bookmarkEnd w:id="480"/>
    <w:bookmarkEnd w:id="481"/>
    <w:p w14:paraId="48A02D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22874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不可抗力持续发生的，合同一方当事人应及时向合同另一方当事人和监理人提交中间报告，说明不可抗力和履行合同受阻的情况，并于不可抗力事件结束后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天内提交最终报告及有关资料。</w:t>
      </w:r>
    </w:p>
    <w:p w14:paraId="0915ABB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2" w:name="_Toc351203610"/>
      <w:bookmarkStart w:id="483" w:name="_Toc337558826"/>
      <w:bookmarkStart w:id="484" w:name="_Toc296346620"/>
      <w:bookmarkStart w:id="485" w:name="_Toc296503119"/>
      <w:r>
        <w:rPr>
          <w:rFonts w:ascii="Times New Roman" w:hAnsi="Times New Roman" w:eastAsia="Ђˎ̥" w:cs="Times New Roman"/>
          <w:color w:val="auto"/>
          <w:kern w:val="0"/>
          <w:sz w:val="24"/>
          <w:szCs w:val="24"/>
          <w:highlight w:val="none"/>
          <w:lang w:val="en-US" w:eastAsia="zh-CN" w:bidi="ar-SA"/>
        </w:rPr>
        <w:t xml:space="preserve">17.3 </w:t>
      </w:r>
      <w:r>
        <w:rPr>
          <w:rFonts w:hint="eastAsia" w:ascii="Times New Roman" w:hAnsi="Times New Roman" w:eastAsia="Ђˎ̥" w:cs="Times New Roman"/>
          <w:color w:val="auto"/>
          <w:kern w:val="0"/>
          <w:sz w:val="24"/>
          <w:szCs w:val="24"/>
          <w:highlight w:val="none"/>
          <w:lang w:val="en-US" w:eastAsia="zh-CN" w:bidi="ar-SA"/>
        </w:rPr>
        <w:t>不可抗力后果的承担</w:t>
      </w:r>
      <w:bookmarkEnd w:id="482"/>
    </w:p>
    <w:bookmarkEnd w:id="483"/>
    <w:bookmarkEnd w:id="484"/>
    <w:bookmarkEnd w:id="485"/>
    <w:p w14:paraId="159CB5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17.3.1 </w:t>
      </w:r>
      <w:r>
        <w:rPr>
          <w:rFonts w:hint="eastAsia" w:ascii="宋体" w:hAnsi="宋体" w:eastAsia="宋体" w:cs="Times New Roman"/>
          <w:color w:val="auto"/>
          <w:kern w:val="0"/>
          <w:sz w:val="24"/>
          <w:szCs w:val="24"/>
          <w:highlight w:val="none"/>
        </w:rPr>
        <w:t>不可抗力引起的后果及造成的损失由合同当事人按照法律规定及合同约定各自承担。不可抗力发生前已完成的工程应当按照合同约定进行计量支付。</w:t>
      </w:r>
    </w:p>
    <w:p w14:paraId="366C22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17.3.2 </w:t>
      </w:r>
      <w:r>
        <w:rPr>
          <w:rFonts w:hint="eastAsia" w:ascii="宋体" w:hAnsi="宋体" w:eastAsia="宋体" w:cs="Times New Roman"/>
          <w:color w:val="auto"/>
          <w:kern w:val="0"/>
          <w:sz w:val="24"/>
          <w:szCs w:val="24"/>
          <w:highlight w:val="none"/>
        </w:rPr>
        <w:t>不可抗力导致的人员伤亡、财产损失、费用增加和（或）工期延误等后果，由合同当事人按以下原则承担：</w:t>
      </w:r>
    </w:p>
    <w:p w14:paraId="636FEE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）永久工程、已运至施工现场的材料和工程设备的损坏，以及因工程损坏造成的第三人人员伤亡和财产损失由发包人承担；</w:t>
      </w:r>
    </w:p>
    <w:p w14:paraId="7DD8E1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）承包人施工设备的损坏由承包人承担；</w:t>
      </w:r>
    </w:p>
    <w:p w14:paraId="39D69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）发包人和承包人承担各自人员伤亡和财产的损失；</w:t>
      </w:r>
    </w:p>
    <w:p w14:paraId="23827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）因不可抗力影响承包人履行合同约定的义务，已经引起或将引起工期延误的，应当顺延工期，由此导致承包人停工的费用损失由发包人和承包人合理分担，停工期间必须支付的工人工资由发包人承担；</w:t>
      </w:r>
    </w:p>
    <w:p w14:paraId="61455B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）因不可抗力引起或将引起工期延误，发包人要求赶工的，由此增加的赶工费用由发包人承担；</w:t>
      </w:r>
    </w:p>
    <w:p w14:paraId="5DB73C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）承包人在停工期间按照发包人要求照管、清理和修复工程的费用由发包人承担。</w:t>
      </w:r>
    </w:p>
    <w:p w14:paraId="63B66E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14:paraId="2F8BD4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因合同一方迟延履行合同义务，在迟延履行期间遭遇不可抗力的，不免除其违约责任。</w:t>
      </w:r>
    </w:p>
    <w:p w14:paraId="3AA49E1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6" w:name="_Toc351203611"/>
      <w:bookmarkStart w:id="487" w:name="_Toc337558827"/>
      <w:r>
        <w:rPr>
          <w:rFonts w:ascii="Times New Roman" w:hAnsi="Times New Roman" w:eastAsia="Ђˎ̥" w:cs="Times New Roman"/>
          <w:color w:val="auto"/>
          <w:kern w:val="0"/>
          <w:sz w:val="24"/>
          <w:szCs w:val="24"/>
          <w:highlight w:val="none"/>
          <w:lang w:val="en-US" w:eastAsia="zh-CN" w:bidi="ar-SA"/>
        </w:rPr>
        <w:t xml:space="preserve">17.4 </w:t>
      </w:r>
      <w:r>
        <w:rPr>
          <w:rFonts w:hint="eastAsia" w:ascii="Times New Roman" w:hAnsi="Times New Roman" w:eastAsia="Ђˎ̥" w:cs="Times New Roman"/>
          <w:color w:val="auto"/>
          <w:kern w:val="0"/>
          <w:sz w:val="24"/>
          <w:szCs w:val="24"/>
          <w:highlight w:val="none"/>
          <w:lang w:val="en-US" w:eastAsia="zh-CN" w:bidi="ar-SA"/>
        </w:rPr>
        <w:t>因不可抗力解除合同</w:t>
      </w:r>
      <w:bookmarkEnd w:id="486"/>
    </w:p>
    <w:bookmarkEnd w:id="487"/>
    <w:p w14:paraId="1A14B7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因不可抗力导致合同无法履行连续超过</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天或累计超过</w:t>
      </w:r>
      <w:r>
        <w:rPr>
          <w:rFonts w:ascii="宋体" w:hAnsi="宋体" w:eastAsia="宋体" w:cs="Times New Roman"/>
          <w:color w:val="auto"/>
          <w:kern w:val="0"/>
          <w:sz w:val="24"/>
          <w:szCs w:val="24"/>
          <w:highlight w:val="none"/>
        </w:rPr>
        <w:t>140</w:t>
      </w:r>
      <w:r>
        <w:rPr>
          <w:rFonts w:hint="eastAsia" w:ascii="宋体" w:hAnsi="宋体" w:eastAsia="宋体" w:cs="Times New Roman"/>
          <w:color w:val="auto"/>
          <w:kern w:val="0"/>
          <w:sz w:val="24"/>
          <w:szCs w:val="24"/>
          <w:highlight w:val="none"/>
        </w:rPr>
        <w:t>天的，发包人和承包人均有权解除合同。合同解除后，由双方当事人按照第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款〔商定或确定〕商定或确定发包人应支付的款项，该款项包括：</w:t>
      </w:r>
    </w:p>
    <w:p w14:paraId="77548B4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）合同解除前承包人已完成工作的价款；</w:t>
      </w:r>
    </w:p>
    <w:p w14:paraId="1B95DE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）承包人为工程订购的并已交付给承包人，或承包人有责任接受交付的材料、工程设备和其他物品的价款；</w:t>
      </w:r>
    </w:p>
    <w:p w14:paraId="353214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）发包人要求承包人退货或解除订货合同而产生的费用，或因不能退货或解除合同而产生的损失；</w:t>
      </w:r>
    </w:p>
    <w:p w14:paraId="61A19A9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）承包人撤离施工现场以及遣散承包人人员的费用；</w:t>
      </w:r>
    </w:p>
    <w:p w14:paraId="328C8F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）按照合同约定在合同解除前应支付给承包人的其他款项；</w:t>
      </w:r>
    </w:p>
    <w:p w14:paraId="6EF5A0A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）扣减承包人按照合同约定应向发包人支付的款项；</w:t>
      </w:r>
    </w:p>
    <w:p w14:paraId="21C3827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）双方商定或确定的其他款项。</w:t>
      </w:r>
    </w:p>
    <w:p w14:paraId="6D789BC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除专用合同条款另有约定外，合同解除后，发包人应在商定或确定上述款项后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天内完成上述款项的支付。</w:t>
      </w:r>
    </w:p>
    <w:p w14:paraId="7A4EF03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88" w:name="_Toc351203612"/>
      <w:bookmarkStart w:id="489" w:name="_Toc17965087"/>
      <w:bookmarkStart w:id="490" w:name="_Toc296503120"/>
      <w:bookmarkStart w:id="491" w:name="_Toc296346621"/>
      <w:bookmarkStart w:id="492" w:name="_Toc337558828"/>
      <w:r>
        <w:rPr>
          <w:rFonts w:ascii="Times New Roman" w:hAnsi="Times New Roman" w:eastAsia="黑体" w:cs="Times New Roman"/>
          <w:b/>
          <w:bCs/>
          <w:color w:val="auto"/>
          <w:kern w:val="2"/>
          <w:sz w:val="24"/>
          <w:szCs w:val="24"/>
          <w:highlight w:val="none"/>
          <w:lang w:val="en-US" w:eastAsia="zh-CN" w:bidi="ar-SA"/>
        </w:rPr>
        <w:t xml:space="preserve">18. </w:t>
      </w:r>
      <w:r>
        <w:rPr>
          <w:rFonts w:ascii="Times New Roman" w:hAnsi="Times New Roman" w:eastAsia="黑体" w:cs="宋体"/>
          <w:b/>
          <w:bCs/>
          <w:color w:val="auto"/>
          <w:kern w:val="2"/>
          <w:sz w:val="24"/>
          <w:szCs w:val="24"/>
          <w:highlight w:val="none"/>
          <w:lang w:val="en-US" w:eastAsia="zh-CN" w:bidi="ar-SA"/>
        </w:rPr>
        <w:t>保险</w:t>
      </w:r>
      <w:bookmarkEnd w:id="488"/>
      <w:bookmarkEnd w:id="489"/>
    </w:p>
    <w:bookmarkEnd w:id="490"/>
    <w:bookmarkEnd w:id="491"/>
    <w:bookmarkEnd w:id="492"/>
    <w:p w14:paraId="5A70AF0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3" w:name="_Toc351203613"/>
      <w:bookmarkStart w:id="494" w:name="_Toc296503121"/>
      <w:bookmarkStart w:id="495" w:name="_Toc337558829"/>
      <w:bookmarkStart w:id="496" w:name="_Toc296346622"/>
      <w:r>
        <w:rPr>
          <w:rFonts w:ascii="Times New Roman" w:hAnsi="Times New Roman" w:eastAsia="Ђˎ̥" w:cs="Times New Roman"/>
          <w:color w:val="auto"/>
          <w:kern w:val="0"/>
          <w:sz w:val="24"/>
          <w:szCs w:val="24"/>
          <w:highlight w:val="none"/>
          <w:lang w:val="en-US" w:eastAsia="zh-CN" w:bidi="ar-SA"/>
        </w:rPr>
        <w:t xml:space="preserve">18.1 </w:t>
      </w:r>
      <w:r>
        <w:rPr>
          <w:rFonts w:hint="eastAsia" w:ascii="Times New Roman" w:hAnsi="Times New Roman" w:eastAsia="Ђˎ̥" w:cs="宋体"/>
          <w:color w:val="auto"/>
          <w:kern w:val="0"/>
          <w:sz w:val="24"/>
          <w:szCs w:val="24"/>
          <w:highlight w:val="none"/>
          <w:lang w:val="en-US" w:eastAsia="zh-CN" w:bidi="ar-SA"/>
        </w:rPr>
        <w:t>工程保险</w:t>
      </w:r>
      <w:bookmarkEnd w:id="493"/>
    </w:p>
    <w:bookmarkEnd w:id="494"/>
    <w:bookmarkEnd w:id="495"/>
    <w:bookmarkEnd w:id="496"/>
    <w:p w14:paraId="3BB314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除专用合同条款另有约定外，发包人应投保建筑工程一切险或安装工程一切险；发包人委托承包人投保的，因投保产生的保险费和其他相关费用由发包人承担。</w:t>
      </w:r>
    </w:p>
    <w:p w14:paraId="63B4722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7" w:name="_Toc351203614"/>
      <w:bookmarkStart w:id="498" w:name="_Toc296503122"/>
      <w:bookmarkStart w:id="499" w:name="_Toc296346623"/>
      <w:bookmarkStart w:id="500" w:name="_Toc337558830"/>
      <w:r>
        <w:rPr>
          <w:rFonts w:ascii="Times New Roman" w:hAnsi="Times New Roman" w:eastAsia="Ђˎ̥" w:cs="Times New Roman"/>
          <w:color w:val="auto"/>
          <w:kern w:val="0"/>
          <w:sz w:val="24"/>
          <w:szCs w:val="24"/>
          <w:highlight w:val="none"/>
          <w:lang w:val="en-US" w:eastAsia="zh-CN" w:bidi="ar-SA"/>
        </w:rPr>
        <w:t xml:space="preserve">18.2 </w:t>
      </w:r>
      <w:r>
        <w:rPr>
          <w:rFonts w:hint="eastAsia" w:ascii="Times New Roman" w:hAnsi="Times New Roman" w:eastAsia="Ђˎ̥" w:cs="宋体"/>
          <w:color w:val="auto"/>
          <w:kern w:val="0"/>
          <w:sz w:val="24"/>
          <w:szCs w:val="24"/>
          <w:highlight w:val="none"/>
          <w:lang w:val="en-US" w:eastAsia="zh-CN" w:bidi="ar-SA"/>
        </w:rPr>
        <w:t>工伤保险</w:t>
      </w:r>
      <w:bookmarkEnd w:id="497"/>
    </w:p>
    <w:bookmarkEnd w:id="498"/>
    <w:bookmarkEnd w:id="499"/>
    <w:bookmarkEnd w:id="500"/>
    <w:p w14:paraId="6DE1D0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18.2.1 </w:t>
      </w:r>
      <w:r>
        <w:rPr>
          <w:rFonts w:hint="eastAsia" w:ascii="宋体" w:hAnsi="宋体" w:eastAsia="宋体" w:cs="Times New Roman"/>
          <w:color w:val="auto"/>
          <w:kern w:val="0"/>
          <w:sz w:val="24"/>
          <w:szCs w:val="24"/>
          <w:highlight w:val="none"/>
        </w:rPr>
        <w:t>发包人应依照法律规定参加工伤保险，并为在施工现场的全部员工办理工伤保险，缴纳工伤保险费，并要求监理人及由发包人为履行合同聘请的第三方依法参加工伤保险。</w:t>
      </w:r>
    </w:p>
    <w:p w14:paraId="113974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18.2.2 </w:t>
      </w:r>
      <w:r>
        <w:rPr>
          <w:rFonts w:hint="eastAsia" w:ascii="宋体" w:hAnsi="宋体" w:eastAsia="宋体" w:cs="Times New Roman"/>
          <w:color w:val="auto"/>
          <w:kern w:val="0"/>
          <w:sz w:val="24"/>
          <w:szCs w:val="24"/>
          <w:highlight w:val="none"/>
        </w:rPr>
        <w:t>承包人应依照法律规定参加工伤保险，并为其履行合同的全部员工办理工伤保险，缴纳工伤保险费，并要求分包人及由承包人为履行合同聘请的第三方依法参加工伤保险。</w:t>
      </w:r>
    </w:p>
    <w:p w14:paraId="5A4B68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1" w:name="_Toc351203615"/>
      <w:bookmarkStart w:id="502" w:name="_Toc337558831"/>
      <w:bookmarkStart w:id="503" w:name="_Toc296503125"/>
      <w:bookmarkStart w:id="504" w:name="_Toc296346626"/>
      <w:r>
        <w:rPr>
          <w:rFonts w:ascii="Times New Roman" w:hAnsi="Times New Roman" w:eastAsia="Ђˎ̥" w:cs="Times New Roman"/>
          <w:color w:val="auto"/>
          <w:kern w:val="0"/>
          <w:sz w:val="24"/>
          <w:szCs w:val="24"/>
          <w:highlight w:val="none"/>
          <w:lang w:val="en-US" w:eastAsia="zh-CN" w:bidi="ar-SA"/>
        </w:rPr>
        <w:t>18.3</w:t>
      </w:r>
      <w:r>
        <w:rPr>
          <w:rFonts w:hint="eastAsia" w:ascii="Times New Roman" w:hAnsi="Times New Roman" w:eastAsia="Ђˎ̥" w:cs="宋体"/>
          <w:color w:val="auto"/>
          <w:kern w:val="0"/>
          <w:sz w:val="24"/>
          <w:szCs w:val="24"/>
          <w:highlight w:val="none"/>
          <w:lang w:val="en-US" w:eastAsia="zh-CN" w:bidi="ar-SA"/>
        </w:rPr>
        <w:t>其他保险</w:t>
      </w:r>
      <w:bookmarkEnd w:id="501"/>
    </w:p>
    <w:bookmarkEnd w:id="502"/>
    <w:bookmarkEnd w:id="503"/>
    <w:bookmarkEnd w:id="504"/>
    <w:p w14:paraId="6A4F495A">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14:paraId="3CE5D1AB">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除专用合同条款另有约定外，承包人应为其施工设备等办理财产保险。</w:t>
      </w:r>
    </w:p>
    <w:p w14:paraId="78F656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5" w:name="_Toc351203616"/>
      <w:r>
        <w:rPr>
          <w:rFonts w:ascii="Times New Roman" w:hAnsi="Times New Roman" w:eastAsia="Ђˎ̥" w:cs="Times New Roman"/>
          <w:color w:val="auto"/>
          <w:kern w:val="0"/>
          <w:sz w:val="24"/>
          <w:szCs w:val="24"/>
          <w:highlight w:val="none"/>
          <w:lang w:val="en-US" w:eastAsia="zh-CN" w:bidi="ar-SA"/>
        </w:rPr>
        <w:t>18.4</w:t>
      </w:r>
      <w:r>
        <w:rPr>
          <w:rFonts w:hint="eastAsia" w:ascii="Times New Roman" w:hAnsi="Times New Roman" w:eastAsia="Ђˎ̥" w:cs="宋体"/>
          <w:color w:val="auto"/>
          <w:kern w:val="0"/>
          <w:sz w:val="24"/>
          <w:szCs w:val="24"/>
          <w:highlight w:val="none"/>
          <w:lang w:val="en-US" w:eastAsia="zh-CN" w:bidi="ar-SA"/>
        </w:rPr>
        <w:t>持续保险</w:t>
      </w:r>
      <w:bookmarkEnd w:id="505"/>
    </w:p>
    <w:p w14:paraId="119E52B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合同当事人应与保险人保持联系，使保险人能够随时了解工程实施中的变动，并确保按保险合同条款要求持续保险。</w:t>
      </w:r>
    </w:p>
    <w:p w14:paraId="6700E38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6" w:name="_Toc351203617"/>
      <w:bookmarkStart w:id="507" w:name="_Toc337558832"/>
      <w:bookmarkStart w:id="508" w:name="_Toc296503126"/>
      <w:bookmarkStart w:id="509" w:name="_Toc296346627"/>
      <w:r>
        <w:rPr>
          <w:rFonts w:ascii="Times New Roman" w:hAnsi="Times New Roman" w:eastAsia="Ђˎ̥" w:cs="Times New Roman"/>
          <w:color w:val="auto"/>
          <w:kern w:val="0"/>
          <w:sz w:val="24"/>
          <w:szCs w:val="24"/>
          <w:highlight w:val="none"/>
          <w:lang w:val="en-US" w:eastAsia="zh-CN" w:bidi="ar-SA"/>
        </w:rPr>
        <w:t xml:space="preserve">18.5 </w:t>
      </w:r>
      <w:r>
        <w:rPr>
          <w:rFonts w:hint="eastAsia" w:ascii="Times New Roman" w:hAnsi="Times New Roman" w:eastAsia="Ђˎ̥" w:cs="宋体"/>
          <w:color w:val="auto"/>
          <w:kern w:val="0"/>
          <w:sz w:val="24"/>
          <w:szCs w:val="24"/>
          <w:highlight w:val="none"/>
          <w:lang w:val="en-US" w:eastAsia="zh-CN" w:bidi="ar-SA"/>
        </w:rPr>
        <w:t>保险凭证</w:t>
      </w:r>
      <w:bookmarkEnd w:id="506"/>
    </w:p>
    <w:bookmarkEnd w:id="507"/>
    <w:bookmarkEnd w:id="508"/>
    <w:bookmarkEnd w:id="509"/>
    <w:p w14:paraId="2BF85599">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合同当事人应及时向另一方当事人提交其已投保的各项保险的凭证和保险单复印件。</w:t>
      </w:r>
    </w:p>
    <w:p w14:paraId="621E4FC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0" w:name="_Toc351203618"/>
      <w:bookmarkStart w:id="511" w:name="_Toc296503127"/>
      <w:bookmarkStart w:id="512" w:name="_Toc296346628"/>
      <w:bookmarkStart w:id="513" w:name="_Toc337558833"/>
      <w:r>
        <w:rPr>
          <w:rFonts w:ascii="Times New Roman" w:hAnsi="Times New Roman" w:eastAsia="Ђˎ̥" w:cs="Times New Roman"/>
          <w:color w:val="auto"/>
          <w:kern w:val="0"/>
          <w:sz w:val="24"/>
          <w:szCs w:val="24"/>
          <w:highlight w:val="none"/>
          <w:lang w:val="en-US" w:eastAsia="zh-CN" w:bidi="ar-SA"/>
        </w:rPr>
        <w:t xml:space="preserve">18.6 </w:t>
      </w:r>
      <w:r>
        <w:rPr>
          <w:rFonts w:hint="eastAsia" w:ascii="Times New Roman" w:hAnsi="Times New Roman" w:eastAsia="Ђˎ̥" w:cs="Times New Roman"/>
          <w:color w:val="auto"/>
          <w:kern w:val="0"/>
          <w:sz w:val="24"/>
          <w:szCs w:val="24"/>
          <w:highlight w:val="none"/>
          <w:lang w:val="en-US" w:eastAsia="zh-CN" w:bidi="ar-SA"/>
        </w:rPr>
        <w:t>未按约定投保的补救</w:t>
      </w:r>
      <w:bookmarkEnd w:id="510"/>
    </w:p>
    <w:bookmarkEnd w:id="511"/>
    <w:bookmarkEnd w:id="512"/>
    <w:bookmarkEnd w:id="513"/>
    <w:p w14:paraId="7822DEB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18.6.1</w:t>
      </w:r>
      <w:r>
        <w:rPr>
          <w:rFonts w:hint="eastAsia" w:ascii="宋体" w:hAnsi="宋体" w:eastAsia="宋体" w:cs="Times New Roman"/>
          <w:color w:val="auto"/>
          <w:sz w:val="24"/>
          <w:szCs w:val="24"/>
          <w:highlight w:val="none"/>
        </w:rPr>
        <w:t>发包人未按合同约定办理保险，或未能使保险持续有效的，则承包人可代为办理，所需费用由发包人承担。发包人未按合同约定办理保险，导致未能得到足额赔偿的，由发包人负责补足。</w:t>
      </w:r>
    </w:p>
    <w:p w14:paraId="2ACE4503">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18.6.2</w:t>
      </w:r>
      <w:r>
        <w:rPr>
          <w:rFonts w:hint="eastAsia" w:ascii="宋体" w:hAnsi="宋体" w:eastAsia="宋体" w:cs="Times New Roman"/>
          <w:color w:val="auto"/>
          <w:sz w:val="24"/>
          <w:szCs w:val="24"/>
          <w:highlight w:val="none"/>
        </w:rPr>
        <w:t>承包人未按合同约定办理保险，或未能使保险持续有效的，则发包人可代为办理，所需费用由承包人承担。承包人未按合同约定办理保险，导致未能得到足额赔偿的，由承包人负责补足。</w:t>
      </w:r>
    </w:p>
    <w:p w14:paraId="16355FA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4" w:name="_Toc351203619"/>
      <w:bookmarkStart w:id="515" w:name="_Toc337558834"/>
      <w:r>
        <w:rPr>
          <w:rFonts w:ascii="Times New Roman" w:hAnsi="Times New Roman" w:eastAsia="Ђˎ̥" w:cs="Times New Roman"/>
          <w:color w:val="auto"/>
          <w:kern w:val="0"/>
          <w:sz w:val="24"/>
          <w:szCs w:val="24"/>
          <w:highlight w:val="none"/>
          <w:lang w:val="en-US" w:eastAsia="zh-CN" w:bidi="ar-SA"/>
        </w:rPr>
        <w:t xml:space="preserve">18.7 </w:t>
      </w:r>
      <w:r>
        <w:rPr>
          <w:rFonts w:hint="eastAsia" w:ascii="Times New Roman" w:hAnsi="Times New Roman" w:eastAsia="Ђˎ̥" w:cs="宋体"/>
          <w:color w:val="auto"/>
          <w:kern w:val="0"/>
          <w:sz w:val="24"/>
          <w:szCs w:val="24"/>
          <w:highlight w:val="none"/>
          <w:lang w:val="en-US" w:eastAsia="zh-CN" w:bidi="ar-SA"/>
        </w:rPr>
        <w:t>通知义务</w:t>
      </w:r>
      <w:bookmarkEnd w:id="514"/>
    </w:p>
    <w:bookmarkEnd w:id="515"/>
    <w:p w14:paraId="734DE2F4">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0C061C1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保险事故发生时，投保人应按照保险合同规定的条件和期限及时向保险人报告。发包人和承包人应当在知道保险事故发生后及时通知对方。</w:t>
      </w:r>
    </w:p>
    <w:p w14:paraId="4E91132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16" w:name="_Toc17965088"/>
      <w:bookmarkStart w:id="517" w:name="_Toc351203620"/>
      <w:bookmarkStart w:id="518" w:name="_Toc296503140"/>
      <w:bookmarkStart w:id="519" w:name="_Toc337558835"/>
      <w:bookmarkStart w:id="520" w:name="_Toc296346641"/>
      <w:r>
        <w:rPr>
          <w:rFonts w:ascii="Times New Roman" w:hAnsi="Times New Roman" w:eastAsia="黑体" w:cs="Times New Roman"/>
          <w:b/>
          <w:bCs/>
          <w:color w:val="auto"/>
          <w:kern w:val="2"/>
          <w:sz w:val="24"/>
          <w:szCs w:val="24"/>
          <w:highlight w:val="none"/>
          <w:lang w:val="en-US" w:eastAsia="zh-CN" w:bidi="ar-SA"/>
        </w:rPr>
        <w:t xml:space="preserve">19. </w:t>
      </w:r>
      <w:r>
        <w:rPr>
          <w:rFonts w:ascii="Times New Roman" w:hAnsi="Times New Roman" w:eastAsia="黑体" w:cs="宋体"/>
          <w:b/>
          <w:bCs/>
          <w:color w:val="auto"/>
          <w:kern w:val="2"/>
          <w:sz w:val="24"/>
          <w:szCs w:val="24"/>
          <w:highlight w:val="none"/>
          <w:lang w:val="en-US" w:eastAsia="zh-CN" w:bidi="ar-SA"/>
        </w:rPr>
        <w:t>索赔</w:t>
      </w:r>
      <w:bookmarkEnd w:id="516"/>
      <w:bookmarkEnd w:id="517"/>
    </w:p>
    <w:bookmarkEnd w:id="518"/>
    <w:bookmarkEnd w:id="519"/>
    <w:bookmarkEnd w:id="520"/>
    <w:p w14:paraId="7651721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1" w:name="_Toc351203621"/>
      <w:bookmarkStart w:id="522" w:name="_Toc296346642"/>
      <w:bookmarkStart w:id="523" w:name="_Toc337558836"/>
      <w:bookmarkStart w:id="524" w:name="_Toc296503141"/>
      <w:r>
        <w:rPr>
          <w:rFonts w:ascii="Times New Roman" w:hAnsi="Times New Roman" w:eastAsia="Ђˎ̥" w:cs="Times New Roman"/>
          <w:color w:val="auto"/>
          <w:kern w:val="0"/>
          <w:sz w:val="24"/>
          <w:szCs w:val="24"/>
          <w:highlight w:val="none"/>
          <w:lang w:val="en-US" w:eastAsia="zh-CN" w:bidi="ar-SA"/>
        </w:rPr>
        <w:t>19.1</w:t>
      </w:r>
      <w:r>
        <w:rPr>
          <w:rFonts w:hint="eastAsia" w:ascii="Times New Roman" w:hAnsi="Times New Roman" w:eastAsia="Ђˎ̥" w:cs="Times New Roman"/>
          <w:color w:val="auto"/>
          <w:kern w:val="0"/>
          <w:sz w:val="24"/>
          <w:szCs w:val="24"/>
          <w:highlight w:val="none"/>
          <w:lang w:val="en-US" w:eastAsia="zh-CN" w:bidi="ar-SA"/>
        </w:rPr>
        <w:t>承包人的索赔</w:t>
      </w:r>
      <w:bookmarkEnd w:id="521"/>
    </w:p>
    <w:bookmarkEnd w:id="522"/>
    <w:bookmarkEnd w:id="523"/>
    <w:bookmarkEnd w:id="524"/>
    <w:p w14:paraId="445377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根据合同约定，承包人认为有权得到追加付款和（或）延长工期的，应按以下程序向发包人提出索赔：</w:t>
      </w:r>
    </w:p>
    <w:p w14:paraId="7CFC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天内，向监理人递交索赔意向通知书，并说明发生索赔事件的事由；承包人未在前述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天内发出索赔意向通知书的，丧失要求追加付款和（或）延长工期的权利；</w:t>
      </w:r>
    </w:p>
    <w:p w14:paraId="39C2D0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天内，向监理人正式递交索赔报告；索赔报告应详细说明索赔理由以及要求追加的付款金额和（或）延长的工期，并附必要的记录和证明材料；</w:t>
      </w:r>
    </w:p>
    <w:p w14:paraId="36A31B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）索赔事件具有持续影响的，承包人应按合理时间间隔继续递交延续索赔通知，说明持续影响的实际情况和记录，列出累计的追加付款金额和（或）工期延长天数；</w:t>
      </w:r>
    </w:p>
    <w:p w14:paraId="352922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）在索赔事件影响结束后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天内，承包人应向监理人递交最终索赔报告，说明最终要求索赔的追加付款金额和（或）延长的工期，并附必要的记录和证明材料。</w:t>
      </w:r>
    </w:p>
    <w:p w14:paraId="774DFB0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5" w:name="_Toc351203622"/>
      <w:bookmarkStart w:id="526" w:name="_Toc296503142"/>
      <w:bookmarkStart w:id="527" w:name="_Toc337558837"/>
      <w:bookmarkStart w:id="528" w:name="_Toc296346643"/>
      <w:r>
        <w:rPr>
          <w:rFonts w:ascii="Times New Roman" w:hAnsi="Times New Roman" w:eastAsia="Ђˎ̥" w:cs="Times New Roman"/>
          <w:color w:val="auto"/>
          <w:kern w:val="0"/>
          <w:sz w:val="24"/>
          <w:szCs w:val="24"/>
          <w:highlight w:val="none"/>
          <w:lang w:val="en-US" w:eastAsia="zh-CN" w:bidi="ar-SA"/>
        </w:rPr>
        <w:t xml:space="preserve">19.2 </w:t>
      </w:r>
      <w:r>
        <w:rPr>
          <w:rFonts w:hint="eastAsia" w:ascii="Times New Roman" w:hAnsi="Times New Roman" w:eastAsia="Ђˎ̥" w:cs="Times New Roman"/>
          <w:color w:val="auto"/>
          <w:kern w:val="0"/>
          <w:sz w:val="24"/>
          <w:szCs w:val="24"/>
          <w:highlight w:val="none"/>
          <w:lang w:val="en-US" w:eastAsia="zh-CN" w:bidi="ar-SA"/>
        </w:rPr>
        <w:t>对承包人索赔的处理</w:t>
      </w:r>
      <w:bookmarkEnd w:id="525"/>
    </w:p>
    <w:bookmarkEnd w:id="526"/>
    <w:bookmarkEnd w:id="527"/>
    <w:bookmarkEnd w:id="528"/>
    <w:p w14:paraId="3F7D6C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对承包人索赔的处理如下：</w:t>
      </w:r>
    </w:p>
    <w:p w14:paraId="6B949B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）监理人应在收到索赔报告后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天内完成审查并报送发包人。监理人对索赔报告存在异议的，有权要求承包人提交全部原始记录副本；</w:t>
      </w:r>
    </w:p>
    <w:p w14:paraId="13A4D3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）发包人应在监理人收到索赔报告或有关索赔的进一步证明材料后的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天内，由监理人向承包人出具经发包人签认的索赔处理结果。发包人逾期答复的，则视为认可承包人的索赔要求；</w:t>
      </w:r>
    </w:p>
    <w:p w14:paraId="7E9AD4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）承包人接受索赔处理结果的，索赔款项在当期进度款中进行支付；承包人不接受索赔处理结果的，按照第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D284F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9" w:name="_Toc351203623"/>
      <w:bookmarkStart w:id="530" w:name="_Toc296503143"/>
      <w:bookmarkStart w:id="531" w:name="_Toc337558838"/>
      <w:bookmarkStart w:id="532" w:name="_Toc296346644"/>
      <w:r>
        <w:rPr>
          <w:rFonts w:ascii="Times New Roman" w:hAnsi="Times New Roman" w:eastAsia="Ђˎ̥" w:cs="Times New Roman"/>
          <w:color w:val="auto"/>
          <w:kern w:val="0"/>
          <w:sz w:val="24"/>
          <w:szCs w:val="24"/>
          <w:highlight w:val="none"/>
          <w:lang w:val="en-US" w:eastAsia="zh-CN" w:bidi="ar-SA"/>
        </w:rPr>
        <w:t>19.3</w:t>
      </w:r>
      <w:r>
        <w:rPr>
          <w:rFonts w:hint="eastAsia" w:ascii="Times New Roman" w:hAnsi="Times New Roman" w:eastAsia="Ђˎ̥" w:cs="Times New Roman"/>
          <w:color w:val="auto"/>
          <w:kern w:val="0"/>
          <w:sz w:val="24"/>
          <w:szCs w:val="24"/>
          <w:highlight w:val="none"/>
          <w:lang w:val="en-US" w:eastAsia="zh-CN" w:bidi="ar-SA"/>
        </w:rPr>
        <w:t>发包人的索赔</w:t>
      </w:r>
      <w:bookmarkEnd w:id="529"/>
    </w:p>
    <w:bookmarkEnd w:id="530"/>
    <w:bookmarkEnd w:id="531"/>
    <w:bookmarkEnd w:id="532"/>
    <w:p w14:paraId="7C419B2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根据合同约定，发包人认为有权得到赔付金额和（或）延长缺陷责任期的，监理人应向承包人发出通知并附有详细的证明。</w:t>
      </w:r>
    </w:p>
    <w:p w14:paraId="461A60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天内通过监理人向承包人提出索赔意向通知书，发包人未在前述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天内发出索赔意向通知书的，丧失要求赔付金额和（或）延长缺陷责任期的权利。发包人应在发出索赔意向通知书后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天内，通过监理人向承包人正式递交索赔报告。</w:t>
      </w:r>
    </w:p>
    <w:p w14:paraId="59FF233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3" w:name="_Toc351203624"/>
      <w:bookmarkStart w:id="534" w:name="_Toc296346645"/>
      <w:bookmarkStart w:id="535" w:name="_Toc296503144"/>
      <w:bookmarkStart w:id="536" w:name="_Toc337558839"/>
      <w:r>
        <w:rPr>
          <w:rFonts w:ascii="Times New Roman" w:hAnsi="Times New Roman" w:eastAsia="Ђˎ̥" w:cs="Times New Roman"/>
          <w:color w:val="auto"/>
          <w:kern w:val="0"/>
          <w:sz w:val="24"/>
          <w:szCs w:val="24"/>
          <w:highlight w:val="none"/>
          <w:lang w:val="en-US" w:eastAsia="zh-CN" w:bidi="ar-SA"/>
        </w:rPr>
        <w:t xml:space="preserve">19.4 </w:t>
      </w:r>
      <w:r>
        <w:rPr>
          <w:rFonts w:hint="eastAsia" w:ascii="Times New Roman" w:hAnsi="Times New Roman" w:eastAsia="Ђˎ̥" w:cs="Times New Roman"/>
          <w:color w:val="auto"/>
          <w:kern w:val="0"/>
          <w:sz w:val="24"/>
          <w:szCs w:val="24"/>
          <w:highlight w:val="none"/>
          <w:lang w:val="en-US" w:eastAsia="zh-CN" w:bidi="ar-SA"/>
        </w:rPr>
        <w:t>对发包人索赔的处理</w:t>
      </w:r>
      <w:bookmarkEnd w:id="533"/>
    </w:p>
    <w:bookmarkEnd w:id="534"/>
    <w:bookmarkEnd w:id="535"/>
    <w:bookmarkEnd w:id="536"/>
    <w:p w14:paraId="680E2E9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对发包人索赔的处理如下：</w:t>
      </w:r>
    </w:p>
    <w:p w14:paraId="761F21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）承包人收到发包人提交的索赔报告后，应及时审查索赔报告的内容、查验发包人证明材料；</w:t>
      </w:r>
    </w:p>
    <w:p w14:paraId="211536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）承包人应在收到索赔报告或有关索赔的进一步证明材料后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天内，将索赔处理结果答复发包人。如果承包人未在上述期限内作出答复的，则视为对发包人索赔要求的认可；</w:t>
      </w:r>
    </w:p>
    <w:p w14:paraId="3BEDD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）承包人接受索赔处理结果的，发包人可从应支付给承包人的合同价款中扣除赔付的金额或延长缺陷责任期；发包人不接受索赔处理结果的，按第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28E91D2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7" w:name="_Toc351203625"/>
      <w:r>
        <w:rPr>
          <w:rFonts w:ascii="Times New Roman" w:hAnsi="Times New Roman" w:eastAsia="Ђˎ̥" w:cs="Times New Roman"/>
          <w:color w:val="auto"/>
          <w:kern w:val="0"/>
          <w:sz w:val="24"/>
          <w:szCs w:val="24"/>
          <w:highlight w:val="none"/>
          <w:lang w:val="en-US" w:eastAsia="zh-CN" w:bidi="ar-SA"/>
        </w:rPr>
        <w:t xml:space="preserve">19.5 </w:t>
      </w:r>
      <w:r>
        <w:rPr>
          <w:rFonts w:hint="eastAsia" w:ascii="Times New Roman" w:hAnsi="Times New Roman" w:eastAsia="Ђˎ̥" w:cs="Times New Roman"/>
          <w:color w:val="auto"/>
          <w:kern w:val="0"/>
          <w:sz w:val="24"/>
          <w:szCs w:val="24"/>
          <w:highlight w:val="none"/>
          <w:lang w:val="en-US" w:eastAsia="zh-CN" w:bidi="ar-SA"/>
        </w:rPr>
        <w:t>提出索赔的期限</w:t>
      </w:r>
      <w:bookmarkEnd w:id="537"/>
    </w:p>
    <w:p w14:paraId="786824CF">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14.2</w:t>
      </w:r>
      <w:r>
        <w:rPr>
          <w:rFonts w:hint="eastAsia" w:ascii="宋体" w:hAnsi="宋体" w:eastAsia="宋体" w:cs="Times New Roman"/>
          <w:color w:val="auto"/>
          <w:kern w:val="0"/>
          <w:sz w:val="24"/>
          <w:szCs w:val="24"/>
          <w:highlight w:val="none"/>
        </w:rPr>
        <w:t>款〔竣工结算审核〕约定接收竣工付款证书后，应被视为已无权再提出在工程接收证书颁发前所发生的任何索赔。</w:t>
      </w:r>
    </w:p>
    <w:p w14:paraId="5EFB78B4">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款〔最终结清〕提交的最终结清申请单中，只限于提出工程接收证书颁发后发生的索赔。提出索赔的期限自接受最终结清证书时终止。</w:t>
      </w:r>
    </w:p>
    <w:p w14:paraId="28008F2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38" w:name="_Toc351203626"/>
      <w:bookmarkStart w:id="539" w:name="_Toc17965089"/>
      <w:r>
        <w:rPr>
          <w:rFonts w:ascii="Times New Roman" w:hAnsi="Times New Roman" w:eastAsia="黑体" w:cs="Times New Roman"/>
          <w:b/>
          <w:bCs/>
          <w:color w:val="auto"/>
          <w:kern w:val="2"/>
          <w:sz w:val="24"/>
          <w:szCs w:val="24"/>
          <w:highlight w:val="none"/>
          <w:lang w:val="en-US" w:eastAsia="zh-CN" w:bidi="ar-SA"/>
        </w:rPr>
        <w:t>20</w:t>
      </w:r>
      <w:bookmarkStart w:id="540" w:name="_Toc337558840"/>
      <w:bookmarkStart w:id="541" w:name="_Toc296346647"/>
      <w:bookmarkStart w:id="542" w:name="_Toc2965031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争议解决</w:t>
      </w:r>
      <w:bookmarkEnd w:id="538"/>
      <w:bookmarkEnd w:id="539"/>
    </w:p>
    <w:bookmarkEnd w:id="540"/>
    <w:bookmarkEnd w:id="541"/>
    <w:bookmarkEnd w:id="542"/>
    <w:p w14:paraId="14416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3" w:name="_Toc351203627"/>
      <w:bookmarkStart w:id="544" w:name="_Toc296503147"/>
      <w:bookmarkStart w:id="545" w:name="_Toc296346648"/>
      <w:bookmarkStart w:id="546" w:name="_Toc337558841"/>
      <w:r>
        <w:rPr>
          <w:rFonts w:ascii="Times New Roman" w:hAnsi="Times New Roman" w:eastAsia="Ђˎ̥" w:cs="Times New Roman"/>
          <w:color w:val="auto"/>
          <w:kern w:val="0"/>
          <w:sz w:val="24"/>
          <w:szCs w:val="24"/>
          <w:highlight w:val="none"/>
          <w:lang w:val="en-US" w:eastAsia="zh-CN" w:bidi="ar-SA"/>
        </w:rPr>
        <w:t>20.1</w:t>
      </w:r>
      <w:r>
        <w:rPr>
          <w:rFonts w:hint="eastAsia" w:ascii="Times New Roman" w:hAnsi="Times New Roman" w:eastAsia="Ђˎ̥" w:cs="宋体"/>
          <w:color w:val="auto"/>
          <w:kern w:val="0"/>
          <w:sz w:val="24"/>
          <w:szCs w:val="24"/>
          <w:highlight w:val="none"/>
          <w:lang w:val="en-US" w:eastAsia="zh-CN" w:bidi="ar-SA"/>
        </w:rPr>
        <w:t>和解</w:t>
      </w:r>
      <w:bookmarkEnd w:id="543"/>
    </w:p>
    <w:bookmarkEnd w:id="544"/>
    <w:bookmarkEnd w:id="545"/>
    <w:bookmarkEnd w:id="546"/>
    <w:p w14:paraId="618D77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合同当事人可以就争议自行和解，自行和解达成协议的经双方签字并盖章后作为合同补充文件，双方均应遵照执行。</w:t>
      </w:r>
    </w:p>
    <w:p w14:paraId="5CF15AE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7" w:name="_Toc351203628"/>
      <w:r>
        <w:rPr>
          <w:rFonts w:ascii="Times New Roman" w:hAnsi="Times New Roman" w:eastAsia="Ђˎ̥" w:cs="Times New Roman"/>
          <w:color w:val="auto"/>
          <w:kern w:val="0"/>
          <w:sz w:val="24"/>
          <w:szCs w:val="24"/>
          <w:highlight w:val="none"/>
          <w:lang w:val="en-US" w:eastAsia="zh-CN" w:bidi="ar-SA"/>
        </w:rPr>
        <w:t>20</w:t>
      </w:r>
      <w:bookmarkStart w:id="548" w:name="_Toc337558842"/>
      <w:bookmarkStart w:id="549" w:name="_Toc296346649"/>
      <w:bookmarkStart w:id="550" w:name="_Toc296503148"/>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调解</w:t>
      </w:r>
      <w:bookmarkEnd w:id="547"/>
    </w:p>
    <w:bookmarkEnd w:id="548"/>
    <w:bookmarkEnd w:id="549"/>
    <w:bookmarkEnd w:id="550"/>
    <w:p w14:paraId="59B6303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合同当事人可以就争议请求建设行政主管部门、行业协会或其他第三方进行调解，调解达成协议的，经双方签字并盖章后作为合同补充文件，双方均应遵照执行。</w:t>
      </w:r>
    </w:p>
    <w:p w14:paraId="1C7F079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1" w:name="_Toc351203629"/>
      <w:bookmarkStart w:id="552" w:name="_Toc296346650"/>
      <w:bookmarkStart w:id="553" w:name="_Toc337558843"/>
      <w:bookmarkStart w:id="554" w:name="_Toc296503149"/>
      <w:r>
        <w:rPr>
          <w:rFonts w:ascii="Times New Roman" w:hAnsi="Times New Roman" w:eastAsia="Ђˎ̥" w:cs="Times New Roman"/>
          <w:color w:val="auto"/>
          <w:kern w:val="0"/>
          <w:sz w:val="24"/>
          <w:szCs w:val="24"/>
          <w:highlight w:val="none"/>
          <w:lang w:val="en-US" w:eastAsia="zh-CN" w:bidi="ar-SA"/>
        </w:rPr>
        <w:t>20.3</w:t>
      </w:r>
      <w:r>
        <w:rPr>
          <w:rFonts w:hint="eastAsia" w:ascii="Times New Roman" w:hAnsi="Times New Roman" w:eastAsia="Ђˎ̥" w:cs="宋体"/>
          <w:color w:val="auto"/>
          <w:kern w:val="0"/>
          <w:sz w:val="24"/>
          <w:szCs w:val="24"/>
          <w:highlight w:val="none"/>
          <w:lang w:val="en-US" w:eastAsia="zh-CN" w:bidi="ar-SA"/>
        </w:rPr>
        <w:t>争议评审</w:t>
      </w:r>
      <w:bookmarkEnd w:id="551"/>
    </w:p>
    <w:bookmarkEnd w:id="552"/>
    <w:bookmarkEnd w:id="553"/>
    <w:bookmarkEnd w:id="554"/>
    <w:p w14:paraId="2C7F60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合同当事人在专用合同条款中约定采取争议评审方式解决争议以及评审规则，并按下列约定执行：</w:t>
      </w:r>
      <w:r>
        <w:rPr>
          <w:rFonts w:ascii="宋体" w:hAnsi="宋体" w:eastAsia="宋体" w:cs="Times New Roman"/>
          <w:color w:val="auto"/>
          <w:kern w:val="0"/>
          <w:sz w:val="24"/>
          <w:szCs w:val="24"/>
          <w:highlight w:val="none"/>
        </w:rPr>
        <w:t xml:space="preserve"> </w:t>
      </w:r>
    </w:p>
    <w:p w14:paraId="6A77F5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20.3.1 </w:t>
      </w:r>
      <w:r>
        <w:rPr>
          <w:rFonts w:hint="eastAsia" w:ascii="宋体" w:hAnsi="宋体" w:eastAsia="宋体" w:cs="Times New Roman"/>
          <w:color w:val="auto"/>
          <w:kern w:val="0"/>
          <w:sz w:val="24"/>
          <w:szCs w:val="24"/>
          <w:highlight w:val="none"/>
        </w:rPr>
        <w:t>争议评审小组的确定</w:t>
      </w:r>
    </w:p>
    <w:p w14:paraId="746306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合同当事人可以共同选择一名或三名争议评审员，组成争议评审小组。除专用合同条款另有约定外，合同当事人应当自合同签订后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天内，或者争议发生后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天内，选定争议评审员。</w:t>
      </w:r>
    </w:p>
    <w:p w14:paraId="3C5F22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Pr>
          <w:rFonts w:ascii="宋体" w:hAnsi="宋体" w:eastAsia="宋体" w:cs="Times New Roman"/>
          <w:color w:val="auto"/>
          <w:kern w:val="0"/>
          <w:sz w:val="24"/>
          <w:szCs w:val="24"/>
          <w:highlight w:val="none"/>
        </w:rPr>
        <w:t xml:space="preserve"> </w:t>
      </w:r>
    </w:p>
    <w:p w14:paraId="24ADDE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除专用合同条款另有约定外，评审员报酬由发包人和承包人各承担一半。</w:t>
      </w:r>
    </w:p>
    <w:p w14:paraId="49C6211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20.3.2 </w:t>
      </w:r>
      <w:r>
        <w:rPr>
          <w:rFonts w:hint="eastAsia" w:ascii="宋体" w:hAnsi="宋体" w:eastAsia="宋体" w:cs="Times New Roman"/>
          <w:color w:val="auto"/>
          <w:kern w:val="0"/>
          <w:sz w:val="24"/>
          <w:szCs w:val="24"/>
          <w:highlight w:val="none"/>
        </w:rPr>
        <w:t>争议评审小组的决定</w:t>
      </w:r>
    </w:p>
    <w:p w14:paraId="4A2199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天内作出书面决定，并说明理由。合同当事人可以在专用合同条款中对本项事项另行约定。</w:t>
      </w:r>
    </w:p>
    <w:p w14:paraId="419AB2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20.3.3 </w:t>
      </w:r>
      <w:r>
        <w:rPr>
          <w:rFonts w:hint="eastAsia" w:ascii="宋体" w:hAnsi="宋体" w:eastAsia="宋体" w:cs="Times New Roman"/>
          <w:color w:val="auto"/>
          <w:kern w:val="0"/>
          <w:sz w:val="24"/>
          <w:szCs w:val="24"/>
          <w:highlight w:val="none"/>
        </w:rPr>
        <w:t>争议评审小组决定的效力</w:t>
      </w:r>
    </w:p>
    <w:p w14:paraId="7A077B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争议评审小组作出的书面决定经合同当事人签字确认后，对双方具有约束力，双方应遵照执行。</w:t>
      </w:r>
    </w:p>
    <w:p w14:paraId="1F9F0C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任何一方当事人不接受争议评审小组决定或不履行争议评审小组决定的，双方可选择采用其他争议解决方式。</w:t>
      </w:r>
    </w:p>
    <w:p w14:paraId="6E894D2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5" w:name="_Toc351203630"/>
      <w:bookmarkStart w:id="556" w:name="_Toc296503150"/>
      <w:bookmarkStart w:id="557" w:name="_Toc337558844"/>
      <w:bookmarkStart w:id="558" w:name="_Toc296346651"/>
      <w:r>
        <w:rPr>
          <w:rFonts w:ascii="Times New Roman" w:hAnsi="Times New Roman" w:eastAsia="Ђˎ̥" w:cs="Times New Roman"/>
          <w:color w:val="auto"/>
          <w:kern w:val="0"/>
          <w:sz w:val="24"/>
          <w:szCs w:val="24"/>
          <w:highlight w:val="none"/>
          <w:lang w:val="en-US" w:eastAsia="zh-CN" w:bidi="ar-SA"/>
        </w:rPr>
        <w:t>20.4</w:t>
      </w:r>
      <w:r>
        <w:rPr>
          <w:rFonts w:hint="eastAsia" w:ascii="Times New Roman" w:hAnsi="Times New Roman" w:eastAsia="Ђˎ̥" w:cs="宋体"/>
          <w:color w:val="auto"/>
          <w:kern w:val="0"/>
          <w:sz w:val="24"/>
          <w:szCs w:val="24"/>
          <w:highlight w:val="none"/>
          <w:lang w:val="en-US" w:eastAsia="zh-CN" w:bidi="ar-SA"/>
        </w:rPr>
        <w:t>仲裁或诉讼</w:t>
      </w:r>
      <w:bookmarkEnd w:id="555"/>
    </w:p>
    <w:bookmarkEnd w:id="556"/>
    <w:bookmarkEnd w:id="557"/>
    <w:bookmarkEnd w:id="558"/>
    <w:p w14:paraId="76872B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因合同及合同有关事项产生的争议，合同当事人可以在专用合同条款中约定以下一种方式解决争议：</w:t>
      </w:r>
    </w:p>
    <w:p w14:paraId="354C9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）向约定的仲裁委员会申请仲裁；</w:t>
      </w:r>
    </w:p>
    <w:p w14:paraId="59172F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）向有管辖权的人民法院起诉。</w:t>
      </w:r>
    </w:p>
    <w:p w14:paraId="37B201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9" w:name="_Toc351203631"/>
      <w:bookmarkStart w:id="560" w:name="_Toc296346653"/>
      <w:bookmarkStart w:id="561" w:name="_Toc337558845"/>
      <w:bookmarkStart w:id="562" w:name="_Toc296503152"/>
      <w:r>
        <w:rPr>
          <w:rFonts w:ascii="Times New Roman" w:hAnsi="Times New Roman" w:eastAsia="Ђˎ̥" w:cs="Times New Roman"/>
          <w:color w:val="auto"/>
          <w:kern w:val="0"/>
          <w:sz w:val="24"/>
          <w:szCs w:val="24"/>
          <w:highlight w:val="none"/>
          <w:lang w:val="en-US" w:eastAsia="zh-CN" w:bidi="ar-SA"/>
        </w:rPr>
        <w:t>20.5</w:t>
      </w:r>
      <w:r>
        <w:rPr>
          <w:rFonts w:hint="eastAsia" w:ascii="Times New Roman" w:hAnsi="Times New Roman" w:eastAsia="Ђˎ̥" w:cs="Times New Roman"/>
          <w:color w:val="auto"/>
          <w:kern w:val="0"/>
          <w:sz w:val="24"/>
          <w:szCs w:val="24"/>
          <w:highlight w:val="none"/>
          <w:lang w:val="en-US" w:eastAsia="zh-CN" w:bidi="ar-SA"/>
        </w:rPr>
        <w:t>争议解决条款效力</w:t>
      </w:r>
      <w:bookmarkEnd w:id="559"/>
    </w:p>
    <w:bookmarkEnd w:id="560"/>
    <w:bookmarkEnd w:id="561"/>
    <w:bookmarkEnd w:id="562"/>
    <w:p w14:paraId="6CBD0879">
      <w:pPr>
        <w:spacing w:line="360" w:lineRule="auto"/>
        <w:ind w:left="-420" w:leftChars="-200" w:right="-512" w:rightChars="-244"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合同有关争议解决的条款独立存在，合同的变更、解除、终止、无效或者被撤销均不影响其效力。</w:t>
      </w:r>
    </w:p>
    <w:p w14:paraId="2CEBB128">
      <w:pPr>
        <w:pageBreakBefore w:val="0"/>
        <w:widowControl w:val="0"/>
        <w:kinsoku/>
        <w:wordWrap/>
        <w:overflowPunct/>
        <w:topLinePunct w:val="0"/>
        <w:bidi w:val="0"/>
        <w:spacing w:after="120" w:line="380" w:lineRule="exact"/>
        <w:jc w:val="both"/>
        <w:textAlignment w:val="auto"/>
        <w:rPr>
          <w:rFonts w:ascii="宋体" w:hAnsi="宋体" w:eastAsia="宋体" w:cs="宋体"/>
          <w:color w:val="auto"/>
          <w:kern w:val="0"/>
          <w:sz w:val="24"/>
          <w:szCs w:val="24"/>
          <w:lang w:val="en-US" w:eastAsia="zh-CN" w:bidi="ar-SA"/>
        </w:rPr>
      </w:pPr>
    </w:p>
    <w:p w14:paraId="3AEFD544">
      <w:pPr>
        <w:pageBreakBefore w:val="0"/>
        <w:widowControl w:val="0"/>
        <w:kinsoku/>
        <w:wordWrap/>
        <w:overflowPunct/>
        <w:topLinePunct w:val="0"/>
        <w:bidi w:val="0"/>
        <w:spacing w:after="120" w:line="380" w:lineRule="exact"/>
        <w:ind w:left="420" w:leftChars="200" w:firstLine="480"/>
        <w:jc w:val="both"/>
        <w:textAlignment w:val="auto"/>
        <w:rPr>
          <w:rFonts w:ascii="宋体" w:hAnsi="宋体" w:eastAsia="宋体" w:cs="宋体"/>
          <w:color w:val="auto"/>
          <w:kern w:val="0"/>
          <w:sz w:val="24"/>
          <w:szCs w:val="24"/>
          <w:lang w:val="en-US" w:eastAsia="zh-CN" w:bidi="ar-SA"/>
        </w:rPr>
      </w:pPr>
    </w:p>
    <w:p w14:paraId="70998A06">
      <w:pPr>
        <w:rPr>
          <w:rFonts w:hint="eastAsia" w:ascii="宋体" w:hAnsi="宋体" w:eastAsia="宋体" w:cs="宋体"/>
          <w:b/>
          <w:bCs/>
          <w:color w:val="auto"/>
          <w:spacing w:val="20"/>
          <w:kern w:val="44"/>
          <w:sz w:val="30"/>
          <w:szCs w:val="30"/>
          <w:lang w:val="en-US" w:eastAsia="zh-CN" w:bidi="ar-SA"/>
        </w:rPr>
      </w:pPr>
      <w:r>
        <w:rPr>
          <w:rFonts w:hint="eastAsia" w:ascii="宋体" w:hAnsi="宋体" w:eastAsia="宋体" w:cs="宋体"/>
          <w:b/>
          <w:bCs/>
          <w:color w:val="auto"/>
          <w:spacing w:val="20"/>
          <w:kern w:val="44"/>
          <w:sz w:val="30"/>
          <w:szCs w:val="30"/>
          <w:lang w:val="en-US" w:eastAsia="zh-CN" w:bidi="ar-SA"/>
        </w:rPr>
        <w:br w:type="page"/>
      </w:r>
    </w:p>
    <w:bookmarkEnd w:id="106"/>
    <w:bookmarkEnd w:id="107"/>
    <w:bookmarkEnd w:id="108"/>
    <w:bookmarkEnd w:id="112"/>
    <w:bookmarkEnd w:id="113"/>
    <w:bookmarkEnd w:id="114"/>
    <w:bookmarkEnd w:id="115"/>
    <w:bookmarkEnd w:id="116"/>
    <w:bookmarkEnd w:id="117"/>
    <w:p w14:paraId="003FA9AF">
      <w:pPr>
        <w:pStyle w:val="90"/>
        <w:keepNext w:val="0"/>
        <w:keepLines w:val="0"/>
        <w:jc w:val="center"/>
        <w:rPr>
          <w:rFonts w:hAnsi="宋体"/>
          <w:color w:val="auto"/>
          <w:sz w:val="30"/>
          <w:szCs w:val="30"/>
          <w:highlight w:val="none"/>
        </w:rPr>
      </w:pPr>
      <w:r>
        <w:rPr>
          <w:rFonts w:hAnsi="宋体"/>
          <w:color w:val="auto"/>
          <w:sz w:val="30"/>
          <w:szCs w:val="30"/>
          <w:highlight w:val="none"/>
        </w:rPr>
        <w:t>第</w:t>
      </w:r>
      <w:r>
        <w:rPr>
          <w:rFonts w:hint="eastAsia" w:hAnsi="宋体"/>
          <w:color w:val="auto"/>
          <w:sz w:val="30"/>
          <w:szCs w:val="30"/>
          <w:highlight w:val="none"/>
        </w:rPr>
        <w:t>三</w:t>
      </w:r>
      <w:r>
        <w:rPr>
          <w:rFonts w:hAnsi="宋体"/>
          <w:color w:val="auto"/>
          <w:sz w:val="30"/>
          <w:szCs w:val="30"/>
          <w:highlight w:val="none"/>
        </w:rPr>
        <w:t>部分</w:t>
      </w:r>
      <w:r>
        <w:rPr>
          <w:color w:val="auto"/>
          <w:sz w:val="30"/>
          <w:szCs w:val="30"/>
          <w:highlight w:val="none"/>
        </w:rPr>
        <w:t xml:space="preserve"> </w:t>
      </w:r>
      <w:r>
        <w:rPr>
          <w:rFonts w:hAnsi="宋体"/>
          <w:color w:val="auto"/>
          <w:sz w:val="30"/>
          <w:szCs w:val="30"/>
          <w:highlight w:val="none"/>
        </w:rPr>
        <w:t>专用合同条款</w:t>
      </w:r>
    </w:p>
    <w:p w14:paraId="5F6105F4">
      <w:pPr>
        <w:pStyle w:val="69"/>
        <w:spacing w:line="360" w:lineRule="auto"/>
        <w:jc w:val="center"/>
        <w:rPr>
          <w:rFonts w:hAnsi="宋体"/>
          <w:b/>
          <w:color w:val="auto"/>
          <w:kern w:val="0"/>
          <w:szCs w:val="21"/>
          <w:highlight w:val="none"/>
        </w:rPr>
      </w:pPr>
    </w:p>
    <w:p w14:paraId="4B1DAE86">
      <w:pPr>
        <w:pStyle w:val="91"/>
        <w:spacing w:before="120" w:after="120" w:line="440" w:lineRule="exact"/>
        <w:outlineLvl w:val="0"/>
        <w:rPr>
          <w:rFonts w:ascii="宋体" w:hAnsi="宋体"/>
          <w:color w:val="auto"/>
          <w:szCs w:val="21"/>
          <w:highlight w:val="none"/>
        </w:rPr>
      </w:pPr>
      <w:r>
        <w:rPr>
          <w:rFonts w:hint="eastAsia" w:ascii="宋体" w:hAnsi="宋体"/>
          <w:color w:val="auto"/>
          <w:highlight w:val="none"/>
        </w:rPr>
        <w:t>1. 一般约定</w:t>
      </w:r>
    </w:p>
    <w:p w14:paraId="419772BA">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词语定义</w:t>
      </w:r>
    </w:p>
    <w:p w14:paraId="6716335A">
      <w:pPr>
        <w:pStyle w:val="77"/>
        <w:spacing w:line="440" w:lineRule="exact"/>
        <w:rPr>
          <w:rFonts w:ascii="宋体" w:hAnsi="宋体"/>
          <w:b/>
          <w:bCs/>
          <w:color w:val="auto"/>
          <w:kern w:val="0"/>
          <w:highlight w:val="none"/>
        </w:rPr>
      </w:pPr>
      <w:r>
        <w:rPr>
          <w:rFonts w:hint="eastAsia" w:ascii="宋体" w:hAnsi="宋体"/>
          <w:b/>
          <w:bCs/>
          <w:color w:val="auto"/>
          <w:kern w:val="0"/>
          <w:highlight w:val="none"/>
        </w:rPr>
        <w:t>1.1.1合同</w:t>
      </w:r>
    </w:p>
    <w:p w14:paraId="5BCFDCB7">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1.1.1.10其他合同文件包括：</w:t>
      </w:r>
      <w:r>
        <w:rPr>
          <w:rFonts w:hint="eastAsia" w:ascii="宋体" w:hAnsi="宋体"/>
          <w:b/>
          <w:bCs/>
          <w:color w:val="auto"/>
          <w:highlight w:val="none"/>
          <w:u w:val="single"/>
        </w:rPr>
        <w:t>双方</w:t>
      </w:r>
      <w:r>
        <w:rPr>
          <w:rFonts w:hint="eastAsia" w:ascii="宋体" w:hAnsi="宋体"/>
          <w:b/>
          <w:bCs/>
          <w:color w:val="auto"/>
          <w:kern w:val="0"/>
          <w:highlight w:val="none"/>
          <w:u w:val="single"/>
        </w:rPr>
        <w:t>约定的与工程施工有关的具有合同约束力的文件或书面协议（如工程变更、招标文件、施工组织设计、其他投标文件等）</w:t>
      </w:r>
      <w:r>
        <w:rPr>
          <w:rFonts w:hint="eastAsia" w:ascii="宋体" w:hAnsi="宋体"/>
          <w:color w:val="auto"/>
          <w:highlight w:val="none"/>
        </w:rPr>
        <w:t>。</w:t>
      </w:r>
    </w:p>
    <w:p w14:paraId="441EC657">
      <w:pPr>
        <w:pStyle w:val="77"/>
        <w:spacing w:line="440" w:lineRule="exact"/>
        <w:rPr>
          <w:rFonts w:ascii="宋体" w:hAnsi="宋体"/>
          <w:b/>
          <w:bCs/>
          <w:color w:val="auto"/>
          <w:highlight w:val="none"/>
        </w:rPr>
      </w:pPr>
      <w:r>
        <w:rPr>
          <w:rFonts w:hint="eastAsia" w:ascii="宋体" w:hAnsi="宋体"/>
          <w:b/>
          <w:bCs/>
          <w:color w:val="auto"/>
          <w:highlight w:val="none"/>
        </w:rPr>
        <w:t>1.1.2  合同当事人及其他相关</w:t>
      </w:r>
    </w:p>
    <w:p w14:paraId="002F5367">
      <w:pPr>
        <w:pStyle w:val="77"/>
        <w:spacing w:line="440" w:lineRule="exact"/>
        <w:ind w:firstLine="484" w:firstLineChars="202"/>
        <w:rPr>
          <w:rFonts w:ascii="宋体" w:hAnsi="宋体"/>
          <w:color w:val="auto"/>
          <w:highlight w:val="none"/>
        </w:rPr>
      </w:pPr>
      <w:r>
        <w:rPr>
          <w:rFonts w:hint="eastAsia" w:ascii="宋体" w:hAnsi="宋体"/>
          <w:color w:val="auto"/>
          <w:highlight w:val="none"/>
        </w:rPr>
        <w:t>1.1.2.4  监理人：</w:t>
      </w:r>
    </w:p>
    <w:p w14:paraId="3ACECC02">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645AFB28">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72686C53">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7DC49FC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1674EC25">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7289B114">
      <w:pPr>
        <w:pStyle w:val="77"/>
        <w:spacing w:line="440" w:lineRule="exact"/>
        <w:ind w:firstLine="484" w:firstLineChars="202"/>
        <w:rPr>
          <w:rFonts w:ascii="宋体" w:hAnsi="宋体"/>
          <w:color w:val="auto"/>
          <w:highlight w:val="none"/>
        </w:rPr>
      </w:pPr>
      <w:r>
        <w:rPr>
          <w:rFonts w:hint="eastAsia" w:ascii="宋体" w:hAnsi="宋体"/>
          <w:color w:val="auto"/>
          <w:highlight w:val="none"/>
        </w:rPr>
        <w:t>1.1.2.5  设计人：</w:t>
      </w:r>
    </w:p>
    <w:p w14:paraId="64E0AEEB">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40C2E233">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0B7757A2">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586A0FA0">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0E019456">
      <w:pPr>
        <w:pStyle w:val="77"/>
        <w:spacing w:line="40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54EA35E1">
      <w:pPr>
        <w:pStyle w:val="77"/>
        <w:spacing w:line="440" w:lineRule="exact"/>
        <w:ind w:firstLine="484" w:firstLineChars="202"/>
        <w:rPr>
          <w:rFonts w:ascii="宋体" w:hAnsi="宋体"/>
          <w:color w:val="auto"/>
          <w:highlight w:val="none"/>
        </w:rPr>
      </w:pPr>
      <w:r>
        <w:rPr>
          <w:rFonts w:hint="eastAsia" w:ascii="宋体" w:hAnsi="宋体"/>
          <w:color w:val="auto"/>
          <w:highlight w:val="none"/>
        </w:rPr>
        <w:t>1.1.3  工程和设备</w:t>
      </w:r>
    </w:p>
    <w:p w14:paraId="56AC6631">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1.1.3.7 作为施工现场组成部分的其他场所包括：</w:t>
      </w:r>
      <w:r>
        <w:rPr>
          <w:rFonts w:hint="eastAsia" w:ascii="宋体" w:hAnsi="宋体"/>
          <w:color w:val="auto"/>
          <w:highlight w:val="none"/>
          <w:u w:val="single"/>
        </w:rPr>
        <w:t xml:space="preserve">  无  </w:t>
      </w:r>
      <w:r>
        <w:rPr>
          <w:rFonts w:hint="eastAsia" w:ascii="宋体" w:hAnsi="宋体"/>
          <w:color w:val="auto"/>
          <w:highlight w:val="none"/>
        </w:rPr>
        <w:t>。</w:t>
      </w:r>
    </w:p>
    <w:p w14:paraId="1CAA427C">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1.1.3.9  永久占地包括：</w:t>
      </w:r>
      <w:r>
        <w:rPr>
          <w:rFonts w:hint="eastAsia" w:ascii="宋体" w:hAnsi="宋体"/>
          <w:color w:val="auto"/>
          <w:highlight w:val="none"/>
          <w:u w:val="single"/>
        </w:rPr>
        <w:t>实施工程需永久占用的土地</w:t>
      </w:r>
      <w:r>
        <w:rPr>
          <w:rFonts w:hint="eastAsia" w:ascii="宋体" w:hAnsi="宋体"/>
          <w:color w:val="auto"/>
          <w:kern w:val="0"/>
          <w:highlight w:val="none"/>
        </w:rPr>
        <w:t>。</w:t>
      </w:r>
    </w:p>
    <w:p w14:paraId="0D1A4115">
      <w:pPr>
        <w:pStyle w:val="77"/>
        <w:spacing w:line="440" w:lineRule="exact"/>
        <w:ind w:firstLine="484" w:firstLineChars="202"/>
        <w:jc w:val="left"/>
        <w:rPr>
          <w:rFonts w:ascii="宋体" w:hAnsi="宋体"/>
          <w:color w:val="auto"/>
          <w:highlight w:val="none"/>
        </w:rPr>
      </w:pPr>
      <w:r>
        <w:rPr>
          <w:rFonts w:hint="eastAsia" w:ascii="宋体" w:hAnsi="宋体"/>
          <w:color w:val="auto"/>
          <w:kern w:val="0"/>
          <w:highlight w:val="none"/>
        </w:rPr>
        <w:t>1.1.3.10 临时占地包括：</w:t>
      </w:r>
      <w:r>
        <w:rPr>
          <w:rStyle w:val="32"/>
          <w:rFonts w:hint="eastAsia" w:ascii="宋体" w:hAnsi="宋体" w:eastAsia="宋体" w:cs="Times New Roman"/>
          <w:color w:val="auto"/>
          <w:sz w:val="24"/>
          <w:szCs w:val="24"/>
          <w:u w:val="single"/>
        </w:rPr>
        <w:t>实施工程承包人因施工和生活需要临时占用的土地；承包人需要的临时占地由承包人自行解决</w:t>
      </w:r>
      <w:r>
        <w:rPr>
          <w:rFonts w:hint="eastAsia" w:ascii="宋体" w:hAnsi="宋体"/>
          <w:color w:val="auto"/>
          <w:kern w:val="0"/>
          <w:highlight w:val="none"/>
        </w:rPr>
        <w:t>。</w:t>
      </w:r>
    </w:p>
    <w:p w14:paraId="1CF6FF69">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  法律 </w:t>
      </w:r>
    </w:p>
    <w:p w14:paraId="623DE971">
      <w:pPr>
        <w:pStyle w:val="77"/>
        <w:autoSpaceDE w:val="0"/>
        <w:autoSpaceDN w:val="0"/>
        <w:adjustRightInd w:val="0"/>
        <w:spacing w:line="440" w:lineRule="exact"/>
        <w:ind w:left="596" w:leftChars="284"/>
        <w:jc w:val="left"/>
        <w:rPr>
          <w:rFonts w:ascii="宋体" w:hAnsi="宋体"/>
          <w:color w:val="auto"/>
          <w:highlight w:val="none"/>
          <w:u w:val="single"/>
        </w:rPr>
      </w:pPr>
      <w:r>
        <w:rPr>
          <w:rFonts w:hint="eastAsia" w:ascii="宋体" w:hAnsi="宋体"/>
          <w:color w:val="auto"/>
          <w:highlight w:val="none"/>
        </w:rPr>
        <w:t>适用于合同的其他规范性文件：</w:t>
      </w:r>
      <w:r>
        <w:rPr>
          <w:rFonts w:hint="eastAsia" w:ascii="宋体" w:hAnsi="宋体"/>
          <w:color w:val="auto"/>
          <w:highlight w:val="none"/>
          <w:u w:val="single"/>
        </w:rPr>
        <w:t>中华人民共和国现行的法律、行政法规及规章</w:t>
      </w:r>
      <w:r>
        <w:rPr>
          <w:rFonts w:hint="eastAsia" w:ascii="宋体" w:hAnsi="宋体"/>
          <w:color w:val="auto"/>
          <w:highlight w:val="none"/>
        </w:rPr>
        <w:t>。</w:t>
      </w:r>
    </w:p>
    <w:p w14:paraId="69FDD5D1">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标准和规范</w:t>
      </w:r>
    </w:p>
    <w:p w14:paraId="47C93F9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1.4.1 适用于工程的标准规范包括：</w:t>
      </w:r>
      <w:r>
        <w:rPr>
          <w:rFonts w:hint="eastAsia" w:ascii="宋体" w:hAnsi="宋体" w:cs="宋体"/>
          <w:color w:val="auto"/>
          <w:highlight w:val="none"/>
          <w:u w:val="single"/>
        </w:rPr>
        <w:t>国家现行的行业标准及相关规范、行业标准、工程所在地的地方性标准及相关规范、规程</w:t>
      </w:r>
      <w:r>
        <w:rPr>
          <w:rFonts w:hint="eastAsia" w:ascii="宋体" w:hAnsi="宋体"/>
          <w:color w:val="auto"/>
          <w:highlight w:val="none"/>
        </w:rPr>
        <w:t>。</w:t>
      </w:r>
    </w:p>
    <w:p w14:paraId="16E2A0FA">
      <w:pPr>
        <w:pStyle w:val="77"/>
        <w:spacing w:line="440" w:lineRule="exact"/>
        <w:ind w:firstLine="484" w:firstLineChars="202"/>
        <w:rPr>
          <w:rFonts w:ascii="宋体" w:hAnsi="宋体"/>
          <w:color w:val="auto"/>
          <w:kern w:val="0"/>
          <w:highlight w:val="none"/>
          <w:u w:val="single"/>
        </w:rPr>
      </w:pPr>
      <w:r>
        <w:rPr>
          <w:rFonts w:hint="eastAsia" w:ascii="宋体" w:hAnsi="宋体"/>
          <w:color w:val="auto"/>
          <w:kern w:val="0"/>
          <w:highlight w:val="none"/>
        </w:rPr>
        <w:t>1.4.2 发包人提供国外标准、规范的名称：</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1605CE9A">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 xml:space="preserve">发包人提供国外标准、规范的份数：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6470C83E">
      <w:pPr>
        <w:pStyle w:val="77"/>
        <w:spacing w:line="440" w:lineRule="exact"/>
        <w:ind w:firstLine="480" w:firstLineChars="200"/>
        <w:rPr>
          <w:rFonts w:ascii="宋体" w:hAnsi="宋体"/>
          <w:color w:val="auto"/>
          <w:highlight w:val="none"/>
        </w:rPr>
      </w:pPr>
      <w:r>
        <w:rPr>
          <w:rFonts w:hint="eastAsia" w:ascii="宋体" w:hAnsi="宋体"/>
          <w:color w:val="auto"/>
          <w:kern w:val="0"/>
          <w:highlight w:val="none"/>
        </w:rPr>
        <w:t xml:space="preserve">发包人提供国外标准、规范的名称：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5CE46B6F">
      <w:pPr>
        <w:pStyle w:val="77"/>
        <w:spacing w:line="440" w:lineRule="exact"/>
        <w:ind w:firstLine="484" w:firstLineChars="202"/>
        <w:rPr>
          <w:rFonts w:ascii="宋体" w:hAnsi="宋体"/>
          <w:color w:val="auto"/>
          <w:highlight w:val="none"/>
        </w:rPr>
      </w:pPr>
      <w:r>
        <w:rPr>
          <w:rFonts w:hint="eastAsia" w:ascii="宋体" w:hAnsi="宋体"/>
          <w:color w:val="auto"/>
          <w:highlight w:val="none"/>
        </w:rPr>
        <w:t>1.4.3发包人对工程的技术标准和功能要求的特殊要求：</w:t>
      </w:r>
    </w:p>
    <w:p w14:paraId="4D203FE2">
      <w:pPr>
        <w:pStyle w:val="77"/>
        <w:spacing w:line="440" w:lineRule="exact"/>
        <w:ind w:left="479" w:leftChars="228"/>
        <w:rPr>
          <w:rFonts w:ascii="宋体" w:hAnsi="宋体"/>
          <w:color w:val="auto"/>
          <w:highlight w:val="none"/>
        </w:rPr>
      </w:pPr>
      <w:r>
        <w:rPr>
          <w:rFonts w:hint="eastAsia" w:ascii="宋体" w:hAnsi="宋体"/>
          <w:color w:val="auto"/>
          <w:highlight w:val="none"/>
          <w:u w:val="single"/>
        </w:rPr>
        <w:t>按中华人民共和国现行的标准、行业标准或地方标准执行</w:t>
      </w:r>
      <w:r>
        <w:rPr>
          <w:rFonts w:hint="eastAsia" w:ascii="宋体" w:hAnsi="宋体"/>
          <w:color w:val="auto"/>
          <w:highlight w:val="none"/>
        </w:rPr>
        <w:t>。</w:t>
      </w:r>
    </w:p>
    <w:p w14:paraId="29CDFE8C">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合同文件的优先顺序</w:t>
      </w:r>
    </w:p>
    <w:p w14:paraId="0937503F">
      <w:pPr>
        <w:pStyle w:val="77"/>
        <w:spacing w:line="440" w:lineRule="exact"/>
        <w:ind w:left="479" w:leftChars="228"/>
        <w:rPr>
          <w:rFonts w:ascii="宋体" w:hAnsi="宋体"/>
          <w:color w:val="auto"/>
          <w:highlight w:val="none"/>
        </w:rPr>
      </w:pPr>
      <w:r>
        <w:rPr>
          <w:rFonts w:hint="eastAsia" w:ascii="宋体" w:hAnsi="宋体"/>
          <w:color w:val="auto"/>
          <w:highlight w:val="none"/>
        </w:rPr>
        <w:t>合同文件组成及优先顺序为：</w:t>
      </w:r>
    </w:p>
    <w:p w14:paraId="0900401D">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（1）合同协议书；</w:t>
      </w:r>
    </w:p>
    <w:p w14:paraId="4D19E3EC">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eastAsia="zh-CN"/>
        </w:rPr>
        <w:t>成交</w:t>
      </w:r>
      <w:r>
        <w:rPr>
          <w:rFonts w:hint="eastAsia" w:ascii="宋体" w:hAnsi="宋体"/>
          <w:color w:val="auto"/>
          <w:highlight w:val="none"/>
        </w:rPr>
        <w:t>通知书（如果有）；</w:t>
      </w:r>
    </w:p>
    <w:p w14:paraId="7F6E0856">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）专用合同条款及其附件；</w:t>
      </w:r>
    </w:p>
    <w:p w14:paraId="592550EE">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）通用合同条款；</w:t>
      </w:r>
    </w:p>
    <w:p w14:paraId="3DB1516D">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（5）技术标准和要求；</w:t>
      </w:r>
    </w:p>
    <w:p w14:paraId="4B76D12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（6）施工图纸；</w:t>
      </w:r>
    </w:p>
    <w:p w14:paraId="14AB22CC">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（7）已标价的工程量清单（投标文件）；</w:t>
      </w:r>
    </w:p>
    <w:p w14:paraId="59C1F72A">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（8）其他合同文件、设计变更等文件  。</w:t>
      </w:r>
    </w:p>
    <w:p w14:paraId="23213A88">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（9）其他合同文件：</w:t>
      </w:r>
    </w:p>
    <w:p w14:paraId="379B73E3">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1CBEED1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kern w:val="0"/>
          <w:sz w:val="24"/>
        </w:rPr>
        <w:t>说明：（6）、（7）、（8）填空内容分别限于技术标准和要求、图纸、已标价工程量清单或预算书、其他合同文件四者之一，其优先顺序可根据采取的不同合同方式由双方约定。</w:t>
      </w:r>
    </w:p>
    <w:p w14:paraId="32668C7C">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图纸和承包人文件</w:t>
      </w:r>
      <w:r>
        <w:rPr>
          <w:rFonts w:hint="eastAsia" w:ascii="宋体" w:hAnsi="宋体"/>
          <w:color w:val="auto"/>
          <w:highlight w:val="none"/>
        </w:rPr>
        <w:tab/>
      </w:r>
    </w:p>
    <w:p w14:paraId="7B9A6B16">
      <w:pPr>
        <w:pStyle w:val="77"/>
        <w:spacing w:line="440" w:lineRule="exact"/>
        <w:outlineLvl w:val="0"/>
        <w:rPr>
          <w:rFonts w:ascii="宋体" w:hAnsi="宋体"/>
          <w:b/>
          <w:bCs/>
          <w:color w:val="auto"/>
          <w:highlight w:val="none"/>
        </w:rPr>
      </w:pPr>
      <w:r>
        <w:rPr>
          <w:rFonts w:hint="eastAsia" w:ascii="宋体" w:hAnsi="宋体"/>
          <w:b/>
          <w:bCs/>
          <w:color w:val="auto"/>
          <w:highlight w:val="none"/>
        </w:rPr>
        <w:t>1.6.1 图纸的提供</w:t>
      </w:r>
    </w:p>
    <w:p w14:paraId="3082D523">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发包人向承包人提供图纸的期限：</w:t>
      </w:r>
      <w:r>
        <w:rPr>
          <w:rFonts w:hint="eastAsia" w:ascii="宋体" w:hAnsi="宋体"/>
          <w:color w:val="auto"/>
          <w:highlight w:val="none"/>
          <w:u w:val="single"/>
        </w:rPr>
        <w:t>合同签订后7天内（且不迟于开工通知载明的开工日期前14天）提供</w:t>
      </w:r>
      <w:r>
        <w:rPr>
          <w:rFonts w:hint="eastAsia" w:ascii="宋体" w:hAnsi="宋体"/>
          <w:color w:val="auto"/>
          <w:highlight w:val="none"/>
        </w:rPr>
        <w:t>；</w:t>
      </w:r>
    </w:p>
    <w:p w14:paraId="763A441A">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发包人向承包人提供图纸的数量：</w:t>
      </w:r>
      <w:r>
        <w:rPr>
          <w:rFonts w:hint="eastAsia" w:ascii="宋体" w:hAnsi="宋体"/>
          <w:color w:val="auto"/>
          <w:highlight w:val="none"/>
          <w:lang w:eastAsia="zh-CN"/>
        </w:rPr>
        <w:t>壹</w:t>
      </w:r>
      <w:r>
        <w:rPr>
          <w:rFonts w:hint="eastAsia" w:ascii="宋体" w:hAnsi="宋体"/>
          <w:color w:val="auto"/>
          <w:highlight w:val="none"/>
          <w:u w:val="single"/>
        </w:rPr>
        <w:t>套</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60ACBEAE">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发包人向承包人提供图纸的内容：</w:t>
      </w:r>
      <w:r>
        <w:rPr>
          <w:rFonts w:hint="eastAsia" w:ascii="宋体" w:hAnsi="宋体"/>
          <w:color w:val="auto"/>
          <w:highlight w:val="none"/>
          <w:u w:val="single"/>
          <w:lang w:eastAsia="zh-CN"/>
        </w:rPr>
        <w:t>施工图</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4B9042C6">
      <w:pPr>
        <w:pStyle w:val="77"/>
        <w:spacing w:line="440" w:lineRule="exact"/>
        <w:rPr>
          <w:rFonts w:ascii="宋体" w:hAnsi="宋体"/>
          <w:b/>
          <w:bCs/>
          <w:color w:val="auto"/>
          <w:highlight w:val="none"/>
        </w:rPr>
      </w:pPr>
      <w:r>
        <w:rPr>
          <w:rFonts w:hint="eastAsia" w:ascii="宋体" w:hAnsi="宋体"/>
          <w:b/>
          <w:bCs/>
          <w:color w:val="auto"/>
          <w:highlight w:val="none"/>
        </w:rPr>
        <w:t>1.6.4  承包人文件</w:t>
      </w:r>
    </w:p>
    <w:p w14:paraId="6A26C49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需要由承包人提供的文件，包括：</w:t>
      </w:r>
      <w:r>
        <w:rPr>
          <w:rFonts w:hint="eastAsia" w:ascii="宋体" w:hAnsi="宋体"/>
          <w:color w:val="auto"/>
          <w:highlight w:val="none"/>
          <w:u w:val="single"/>
          <w:lang w:eastAsia="zh-CN"/>
        </w:rPr>
        <w:t>工程竣工验收资料</w:t>
      </w:r>
      <w:r>
        <w:rPr>
          <w:rFonts w:hint="eastAsia" w:ascii="宋体" w:hAnsi="宋体"/>
          <w:color w:val="auto"/>
          <w:highlight w:val="none"/>
          <w:u w:val="single"/>
        </w:rPr>
        <w:t xml:space="preserve"> ；</w:t>
      </w:r>
    </w:p>
    <w:p w14:paraId="75352C12">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承包人提供的文件的期限为：</w:t>
      </w:r>
      <w:r>
        <w:rPr>
          <w:rFonts w:hint="eastAsia" w:ascii="宋体" w:hAnsi="宋体" w:eastAsia="宋体" w:cs="宋体"/>
          <w:sz w:val="21"/>
          <w:szCs w:val="21"/>
          <w:u w:val="single"/>
        </w:rPr>
        <w:t>竣工验收合格后</w:t>
      </w:r>
      <w:r>
        <w:rPr>
          <w:rFonts w:hint="eastAsia" w:ascii="宋体" w:hAnsi="宋体" w:eastAsia="宋体" w:cs="宋体"/>
          <w:sz w:val="21"/>
          <w:szCs w:val="21"/>
          <w:u w:val="single"/>
          <w:lang w:val="en-US" w:eastAsia="zh-CN"/>
        </w:rPr>
        <w:t>20天内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635D3C5">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承包人提供的文件的数量为：</w:t>
      </w:r>
      <w:r>
        <w:rPr>
          <w:rFonts w:hint="eastAsia" w:ascii="宋体" w:hAnsi="宋体"/>
          <w:color w:val="auto"/>
          <w:highlight w:val="non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08E5FC27">
      <w:pPr>
        <w:pStyle w:val="77"/>
        <w:spacing w:line="440" w:lineRule="exact"/>
        <w:ind w:firstLine="480" w:firstLineChars="200"/>
        <w:rPr>
          <w:rFonts w:hint="eastAsia" w:ascii="宋体" w:hAnsi="宋体" w:eastAsia="宋体" w:cs="宋体"/>
          <w:color w:val="auto"/>
          <w:sz w:val="21"/>
          <w:szCs w:val="21"/>
          <w:highlight w:val="none"/>
        </w:rPr>
      </w:pPr>
      <w:r>
        <w:rPr>
          <w:rFonts w:hint="eastAsia" w:ascii="宋体" w:hAnsi="宋体"/>
          <w:color w:val="auto"/>
          <w:highlight w:val="none"/>
        </w:rPr>
        <w:t>承包人提供的文件的形式为：</w:t>
      </w:r>
      <w:r>
        <w:rPr>
          <w:rFonts w:hint="eastAsia" w:ascii="宋体" w:hAnsi="宋体" w:eastAsia="宋体" w:cs="宋体"/>
          <w:sz w:val="21"/>
          <w:szCs w:val="21"/>
          <w:u w:val="single"/>
        </w:rPr>
        <w:t>纸质及电子文档</w:t>
      </w:r>
      <w:r>
        <w:rPr>
          <w:rFonts w:hint="eastAsia" w:ascii="宋体" w:hAnsi="宋体" w:eastAsia="宋体" w:cs="宋体"/>
          <w:color w:val="auto"/>
          <w:sz w:val="21"/>
          <w:szCs w:val="21"/>
          <w:highlight w:val="none"/>
        </w:rPr>
        <w:t>；</w:t>
      </w:r>
    </w:p>
    <w:p w14:paraId="014825C9">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发包人审批承包人文件的期限：</w:t>
      </w:r>
      <w:r>
        <w:rPr>
          <w:rFonts w:hint="eastAsia" w:ascii="宋体" w:hAnsi="宋体"/>
          <w:color w:val="auto"/>
          <w:highlight w:val="none"/>
          <w:u w:val="single"/>
        </w:rPr>
        <w:t xml:space="preserve"> 14天 </w:t>
      </w:r>
      <w:r>
        <w:rPr>
          <w:rFonts w:hint="eastAsia" w:ascii="宋体" w:hAnsi="宋体"/>
          <w:color w:val="auto"/>
          <w:highlight w:val="none"/>
        </w:rPr>
        <w:t>。</w:t>
      </w:r>
    </w:p>
    <w:p w14:paraId="64C0413B">
      <w:pPr>
        <w:pStyle w:val="77"/>
        <w:spacing w:line="440" w:lineRule="exact"/>
        <w:rPr>
          <w:rFonts w:ascii="宋体" w:hAnsi="宋体"/>
          <w:b/>
          <w:bCs/>
          <w:color w:val="auto"/>
          <w:highlight w:val="none"/>
        </w:rPr>
      </w:pPr>
      <w:r>
        <w:rPr>
          <w:rFonts w:hint="eastAsia" w:ascii="宋体" w:hAnsi="宋体"/>
          <w:b/>
          <w:bCs/>
          <w:color w:val="auto"/>
          <w:highlight w:val="none"/>
        </w:rPr>
        <w:t>1.6.5  现场图纸准备</w:t>
      </w:r>
    </w:p>
    <w:p w14:paraId="72A25DB7">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关于现场图纸准备的约定：</w:t>
      </w:r>
      <w:r>
        <w:rPr>
          <w:rFonts w:hint="eastAsia" w:ascii="宋体" w:hAnsi="宋体"/>
          <w:color w:val="auto"/>
          <w:highlight w:val="none"/>
          <w:u w:val="single"/>
        </w:rPr>
        <w:t>按《通用合同条款》执行</w:t>
      </w:r>
      <w:r>
        <w:rPr>
          <w:rFonts w:hint="eastAsia" w:ascii="宋体" w:hAnsi="宋体"/>
          <w:color w:val="auto"/>
          <w:highlight w:val="none"/>
        </w:rPr>
        <w:t>。</w:t>
      </w:r>
    </w:p>
    <w:p w14:paraId="6ACA55AA">
      <w:pPr>
        <w:pStyle w:val="91"/>
        <w:spacing w:before="120" w:after="120" w:line="440" w:lineRule="exact"/>
        <w:outlineLvl w:val="0"/>
        <w:rPr>
          <w:rFonts w:ascii="宋体" w:hAnsi="宋体"/>
          <w:color w:val="auto"/>
          <w:highlight w:val="none"/>
        </w:rPr>
      </w:pPr>
      <w:r>
        <w:rPr>
          <w:rFonts w:hint="eastAsia" w:ascii="宋体" w:hAnsi="宋体"/>
          <w:color w:val="auto"/>
          <w:highlight w:val="none"/>
        </w:rPr>
        <w:t>1.7  联络</w:t>
      </w:r>
    </w:p>
    <w:p w14:paraId="095BA83E">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1.7.1 发包人和承包人应当在</w:t>
      </w:r>
      <w:r>
        <w:rPr>
          <w:rFonts w:hint="eastAsia" w:ascii="宋体" w:hAnsi="宋体"/>
          <w:color w:val="auto"/>
          <w:highlight w:val="none"/>
          <w:u w:val="single"/>
        </w:rPr>
        <w:t xml:space="preserve">3  </w:t>
      </w:r>
      <w:r>
        <w:rPr>
          <w:rFonts w:hint="eastAsia" w:ascii="宋体" w:hAnsi="宋体"/>
          <w:color w:val="auto"/>
          <w:kern w:val="0"/>
          <w:highlight w:val="none"/>
        </w:rPr>
        <w:t>天内将与合同有关的通知、批准、证明、证书、指示、指令、要求、请求、同意、意见、确定和决定等书面函件送达对方当事人。</w:t>
      </w:r>
    </w:p>
    <w:p w14:paraId="59BAFC3D">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1.7.2 发包人接收文件的地点：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C6461C3">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发包人指定的接收人为：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246CAD4C">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483707FD">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63B45BAB">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E5C4F58">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459A84EC">
      <w:pPr>
        <w:pStyle w:val="91"/>
        <w:spacing w:before="120" w:after="120" w:line="440" w:lineRule="exact"/>
        <w:rPr>
          <w:rFonts w:ascii="宋体" w:hAnsi="宋体"/>
          <w:color w:val="auto"/>
          <w:highlight w:val="none"/>
        </w:rPr>
      </w:pPr>
      <w:r>
        <w:rPr>
          <w:rFonts w:hint="eastAsia" w:ascii="宋体" w:hAnsi="宋体"/>
          <w:color w:val="auto"/>
          <w:highlight w:val="none"/>
        </w:rPr>
        <w:t>1.10  交通运输</w:t>
      </w:r>
    </w:p>
    <w:p w14:paraId="0BBC696C">
      <w:pPr>
        <w:pStyle w:val="77"/>
        <w:spacing w:line="440" w:lineRule="exact"/>
        <w:outlineLvl w:val="0"/>
        <w:rPr>
          <w:rFonts w:ascii="宋体" w:hAnsi="宋体"/>
          <w:b/>
          <w:bCs/>
          <w:color w:val="auto"/>
          <w:highlight w:val="none"/>
        </w:rPr>
      </w:pPr>
      <w:r>
        <w:rPr>
          <w:rFonts w:hint="eastAsia" w:ascii="宋体" w:hAnsi="宋体"/>
          <w:b/>
          <w:bCs/>
          <w:color w:val="auto"/>
          <w:highlight w:val="none"/>
        </w:rPr>
        <w:t>1.10.1  出入现场的权利</w:t>
      </w:r>
    </w:p>
    <w:p w14:paraId="056ABDC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关于出入现场的权利的约定：</w:t>
      </w:r>
      <w:r>
        <w:rPr>
          <w:rFonts w:hint="eastAsia" w:ascii="宋体" w:hAnsi="宋体"/>
          <w:color w:val="auto"/>
          <w:highlight w:val="none"/>
          <w:u w:val="single"/>
        </w:rPr>
        <w:t>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7E7E705">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承包人应在订立合同前查勘施工现场，并根据工程规模及技术参数合理预见工程施工所需的进出施工现场的方式、手段、路径等。因承包人未合理预见所增加的费用和（或）延误的工期由承包人承担。</w:t>
      </w:r>
    </w:p>
    <w:p w14:paraId="10837B91">
      <w:pPr>
        <w:pStyle w:val="77"/>
        <w:spacing w:line="440" w:lineRule="exact"/>
        <w:jc w:val="left"/>
        <w:outlineLvl w:val="0"/>
        <w:rPr>
          <w:rFonts w:ascii="宋体" w:hAnsi="宋体"/>
          <w:color w:val="auto"/>
          <w:highlight w:val="none"/>
        </w:rPr>
      </w:pPr>
      <w:r>
        <w:rPr>
          <w:rFonts w:hint="eastAsia" w:ascii="宋体" w:hAnsi="宋体"/>
          <w:b/>
          <w:bCs/>
          <w:color w:val="auto"/>
          <w:highlight w:val="none"/>
        </w:rPr>
        <w:t>1.10.3  场内交通</w:t>
      </w:r>
    </w:p>
    <w:p w14:paraId="6F2CCF98">
      <w:pPr>
        <w:pStyle w:val="77"/>
        <w:spacing w:line="440" w:lineRule="exact"/>
        <w:ind w:firstLine="484" w:firstLineChars="202"/>
        <w:jc w:val="left"/>
        <w:rPr>
          <w:rFonts w:ascii="宋体" w:hAnsi="宋体"/>
          <w:color w:val="auto"/>
          <w:highlight w:val="none"/>
          <w:u w:val="single"/>
        </w:rPr>
      </w:pPr>
      <w:r>
        <w:rPr>
          <w:rFonts w:hint="eastAsia" w:ascii="宋体" w:hAnsi="宋体"/>
          <w:color w:val="auto"/>
          <w:kern w:val="0"/>
          <w:highlight w:val="none"/>
        </w:rPr>
        <w:t>关于场外交通和场内交通的边界的约定：</w:t>
      </w:r>
      <w:r>
        <w:rPr>
          <w:rFonts w:hint="eastAsia" w:ascii="宋体" w:hAnsi="宋体"/>
          <w:color w:val="auto"/>
          <w:highlight w:val="none"/>
          <w:u w:val="single"/>
        </w:rPr>
        <w:t>建筑征地红线范围内的为场内交通，建筑征地红线范围外的为场外交通。</w:t>
      </w:r>
    </w:p>
    <w:p w14:paraId="7F06868D">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highlight w:val="none"/>
          <w:u w:val="single"/>
        </w:rPr>
        <w:t>场外交通设施无法满足工程施工需要的，由发包人负责完善并承担相关费用。场外交通如主要供本工程的承包人使用，则因承包人原因造成该道路或交通设施损坏的，承包人应负责修复并承担由此产生的费用。</w:t>
      </w:r>
    </w:p>
    <w:p w14:paraId="1929E89C">
      <w:pPr>
        <w:pStyle w:val="77"/>
        <w:spacing w:line="440" w:lineRule="exact"/>
        <w:ind w:firstLine="547" w:firstLineChars="228"/>
        <w:jc w:val="left"/>
        <w:rPr>
          <w:rFonts w:ascii="宋体" w:hAnsi="宋体"/>
          <w:color w:val="auto"/>
          <w:highlight w:val="none"/>
        </w:rPr>
      </w:pPr>
      <w:r>
        <w:rPr>
          <w:rFonts w:hint="eastAsia" w:ascii="宋体" w:hAnsi="宋体"/>
          <w:color w:val="auto"/>
          <w:highlight w:val="none"/>
        </w:rPr>
        <w:t>关于发包人向承包人免费提供满足工程施工需要的场内道路和交通设施的约定：</w:t>
      </w:r>
      <w:r>
        <w:rPr>
          <w:rFonts w:hint="eastAsia" w:ascii="宋体" w:hAnsi="宋体"/>
          <w:color w:val="auto"/>
          <w:highlight w:val="none"/>
          <w:u w:val="single"/>
        </w:rPr>
        <w:t>由承包人负责修建、维修、养护和管理施工所需的其他场内道路和交通设施</w:t>
      </w:r>
      <w:r>
        <w:rPr>
          <w:rFonts w:hint="eastAsia" w:ascii="宋体" w:hAnsi="宋体"/>
          <w:color w:val="auto"/>
          <w:highlight w:val="none"/>
        </w:rPr>
        <w:t xml:space="preserve">。 </w:t>
      </w:r>
    </w:p>
    <w:p w14:paraId="70D15EBA">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1.10.4 超大件和超重件的运输</w:t>
      </w:r>
    </w:p>
    <w:p w14:paraId="6B9B0BDA">
      <w:pPr>
        <w:pStyle w:val="77"/>
        <w:spacing w:line="440" w:lineRule="exact"/>
        <w:ind w:left="120" w:leftChars="57" w:firstLine="360" w:firstLineChars="150"/>
        <w:jc w:val="left"/>
        <w:rPr>
          <w:rFonts w:ascii="宋体" w:hAnsi="宋体"/>
          <w:color w:val="auto"/>
          <w:highlight w:val="none"/>
        </w:rPr>
      </w:pPr>
      <w:r>
        <w:rPr>
          <w:rFonts w:hint="eastAsia" w:ascii="宋体" w:hAnsi="宋体"/>
          <w:color w:val="auto"/>
          <w:highlight w:val="none"/>
        </w:rPr>
        <w:t>运输超大件或超重件所需的道路和桥梁临时加固改造费用和其他有关费用应由</w:t>
      </w:r>
      <w:r>
        <w:rPr>
          <w:rFonts w:hint="eastAsia" w:ascii="宋体" w:hAnsi="宋体"/>
          <w:color w:val="auto"/>
          <w:highlight w:val="none"/>
          <w:u w:val="single"/>
        </w:rPr>
        <w:t xml:space="preserve">承包人  </w:t>
      </w:r>
      <w:r>
        <w:rPr>
          <w:rFonts w:hint="eastAsia" w:ascii="宋体" w:hAnsi="宋体"/>
          <w:color w:val="auto"/>
          <w:highlight w:val="none"/>
        </w:rPr>
        <w:t>承担。</w:t>
      </w:r>
    </w:p>
    <w:p w14:paraId="1D758B0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知识产权</w:t>
      </w:r>
    </w:p>
    <w:p w14:paraId="7120842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olor w:val="auto"/>
          <w:highlight w:val="none"/>
          <w:u w:val="single"/>
        </w:rPr>
        <w:t xml:space="preserve">  发包人  </w:t>
      </w:r>
      <w:r>
        <w:rPr>
          <w:rFonts w:hint="eastAsia" w:ascii="宋体" w:hAnsi="宋体"/>
          <w:color w:val="auto"/>
          <w:highlight w:val="none"/>
        </w:rPr>
        <w:t>。</w:t>
      </w:r>
    </w:p>
    <w:p w14:paraId="6A7710A6">
      <w:pPr>
        <w:pStyle w:val="77"/>
        <w:spacing w:line="440" w:lineRule="exact"/>
        <w:ind w:firstLine="484" w:firstLineChars="202"/>
        <w:rPr>
          <w:rFonts w:ascii="宋体" w:hAnsi="宋体"/>
          <w:color w:val="auto"/>
          <w:highlight w:val="none"/>
        </w:rPr>
      </w:pPr>
      <w:r>
        <w:rPr>
          <w:rFonts w:hint="eastAsia" w:ascii="宋体" w:hAnsi="宋体"/>
          <w:color w:val="auto"/>
          <w:highlight w:val="none"/>
        </w:rPr>
        <w:t>关于发包人提供的上述文件的使用限制的要求：</w:t>
      </w:r>
      <w:r>
        <w:rPr>
          <w:rFonts w:hint="eastAsia" w:ascii="宋体" w:hAnsi="宋体"/>
          <w:color w:val="auto"/>
          <w:highlight w:val="none"/>
          <w:u w:val="single"/>
        </w:rPr>
        <w:t>按《通用合同条款》执行</w:t>
      </w:r>
      <w:r>
        <w:rPr>
          <w:rFonts w:hint="eastAsia" w:ascii="宋体" w:hAnsi="宋体"/>
          <w:color w:val="auto"/>
          <w:highlight w:val="none"/>
        </w:rPr>
        <w:t>。</w:t>
      </w:r>
    </w:p>
    <w:p w14:paraId="0F046AA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1.11.2  关于承包人为实施工程所编制文件的著作权的归属</w:t>
      </w:r>
      <w:r>
        <w:rPr>
          <w:rFonts w:hint="eastAsia" w:ascii="宋体" w:hAnsi="宋体"/>
          <w:color w:val="auto"/>
          <w:highlight w:val="none"/>
          <w:u w:val="single"/>
        </w:rPr>
        <w:t xml:space="preserve">  发包人  （承包人的署名权除外）。</w:t>
      </w:r>
    </w:p>
    <w:p w14:paraId="2EECC1FA">
      <w:pPr>
        <w:pStyle w:val="77"/>
        <w:spacing w:line="440" w:lineRule="exact"/>
        <w:rPr>
          <w:rFonts w:ascii="宋体" w:hAnsi="宋体"/>
          <w:color w:val="auto"/>
          <w:highlight w:val="none"/>
        </w:rPr>
      </w:pPr>
      <w:r>
        <w:rPr>
          <w:rFonts w:hint="eastAsia" w:ascii="宋体" w:hAnsi="宋体"/>
          <w:color w:val="auto"/>
          <w:highlight w:val="none"/>
        </w:rPr>
        <w:t>关于承包人提供的上述文件的使用限制的要求：</w:t>
      </w:r>
      <w:r>
        <w:rPr>
          <w:rFonts w:hint="eastAsia" w:ascii="宋体" w:hAnsi="宋体"/>
          <w:color w:val="auto"/>
          <w:highlight w:val="none"/>
          <w:u w:val="single"/>
        </w:rPr>
        <w:t>按《通用合同条款》执行</w:t>
      </w:r>
      <w:r>
        <w:rPr>
          <w:rFonts w:ascii="MingLiU_HKSCS" w:hAnsi="MingLiU_HKSCS" w:eastAsia="MingLiU_HKSCS" w:cs="MingLiU_HKSCS"/>
          <w:color w:val="auto"/>
          <w:highlight w:val="none"/>
          <w:u w:val="single"/>
        </w:rPr>
        <w:t></w:t>
      </w:r>
      <w:r>
        <w:rPr>
          <w:rFonts w:hint="eastAsia" w:ascii="宋体" w:hAnsi="宋体"/>
          <w:color w:val="auto"/>
          <w:highlight w:val="none"/>
        </w:rPr>
        <w:t>。</w:t>
      </w:r>
    </w:p>
    <w:p w14:paraId="1590F08C">
      <w:pPr>
        <w:pStyle w:val="77"/>
        <w:spacing w:line="440" w:lineRule="exact"/>
        <w:ind w:firstLine="484" w:firstLineChars="202"/>
        <w:rPr>
          <w:rFonts w:ascii="宋体" w:hAnsi="宋体"/>
          <w:color w:val="auto"/>
          <w:kern w:val="0"/>
          <w:highlight w:val="none"/>
        </w:rPr>
      </w:pPr>
      <w:r>
        <w:rPr>
          <w:rFonts w:hint="eastAsia" w:ascii="宋体" w:hAnsi="宋体"/>
          <w:color w:val="auto"/>
          <w:highlight w:val="none"/>
        </w:rPr>
        <w:t>1.11.4  承包人在施工过程中所采用的专利、专有技术、技术秘密的使用费的承担方式：</w:t>
      </w:r>
      <w:r>
        <w:rPr>
          <w:rFonts w:hint="eastAsia" w:ascii="宋体" w:hAnsi="宋体"/>
          <w:color w:val="auto"/>
          <w:highlight w:val="none"/>
          <w:u w:val="single"/>
        </w:rPr>
        <w:t>已包含在签约合同价中</w:t>
      </w:r>
      <w:r>
        <w:rPr>
          <w:rFonts w:hint="eastAsia" w:ascii="宋体" w:hAnsi="宋体"/>
          <w:color w:val="auto"/>
          <w:kern w:val="0"/>
          <w:highlight w:val="none"/>
        </w:rPr>
        <w:t>。</w:t>
      </w:r>
    </w:p>
    <w:p w14:paraId="3232AF14">
      <w:pPr>
        <w:pStyle w:val="91"/>
        <w:spacing w:before="120" w:after="120" w:line="440" w:lineRule="exact"/>
        <w:outlineLvl w:val="0"/>
        <w:rPr>
          <w:rFonts w:ascii="宋体" w:hAnsi="宋体"/>
          <w:color w:val="auto"/>
          <w:highlight w:val="none"/>
        </w:rPr>
      </w:pPr>
      <w:r>
        <w:rPr>
          <w:rFonts w:hint="eastAsia" w:ascii="宋体" w:hAnsi="宋体"/>
          <w:color w:val="auto"/>
          <w:highlight w:val="none"/>
        </w:rPr>
        <w:t>1.13  工程量清单错误的修正</w:t>
      </w:r>
    </w:p>
    <w:p w14:paraId="2F4DB3C2">
      <w:pPr>
        <w:pStyle w:val="77"/>
        <w:spacing w:line="440" w:lineRule="exact"/>
        <w:ind w:firstLine="480" w:firstLineChars="200"/>
        <w:rPr>
          <w:rFonts w:ascii="宋体" w:hAnsi="宋体"/>
          <w:color w:val="auto"/>
          <w:highlight w:val="none"/>
        </w:rPr>
      </w:pPr>
      <w:r>
        <w:rPr>
          <w:rFonts w:hint="eastAsia" w:ascii="宋体" w:hAnsi="宋体"/>
          <w:color w:val="auto"/>
          <w:highlight w:val="none"/>
        </w:rPr>
        <w:t>出现工程量清单错误时，是否调整合同价格：</w:t>
      </w:r>
      <w:r>
        <w:rPr>
          <w:rFonts w:hint="eastAsia" w:ascii="宋体" w:hAnsi="宋体"/>
          <w:color w:val="auto"/>
          <w:highlight w:val="none"/>
          <w:u w:val="single"/>
        </w:rPr>
        <w:t>可调整合同价格</w:t>
      </w:r>
      <w:r>
        <w:rPr>
          <w:rFonts w:hint="eastAsia" w:ascii="宋体" w:hAnsi="宋体"/>
          <w:color w:val="auto"/>
          <w:kern w:val="0"/>
          <w:highlight w:val="none"/>
        </w:rPr>
        <w:t>。</w:t>
      </w:r>
    </w:p>
    <w:p w14:paraId="1790CD9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允许调整合同价格的工程量偏差范围：</w:t>
      </w:r>
    </w:p>
    <w:p w14:paraId="757BAB5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（1）工程量清单存在缺项、漏项的；</w:t>
      </w:r>
    </w:p>
    <w:p w14:paraId="52CBAD0C">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（2）实际完成合格并经发包人签认的工程量超出或减少合同工程量清单工程量的。</w:t>
      </w:r>
    </w:p>
    <w:p w14:paraId="27690C9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发包人、承包人应按《钦州市政府投资工程造价监督管理办法》（钦州市人民政府令第10号）（下称第10号令）有关规定确认的工程量作为调整依据。</w:t>
      </w:r>
    </w:p>
    <w:p w14:paraId="52A5D77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(3)未按照国家现行计量规范强制性规定计量的。</w:t>
      </w:r>
    </w:p>
    <w:p w14:paraId="51A74557">
      <w:pPr>
        <w:pStyle w:val="91"/>
        <w:spacing w:before="120" w:after="120" w:line="440" w:lineRule="exact"/>
        <w:outlineLvl w:val="0"/>
        <w:rPr>
          <w:rFonts w:ascii="宋体" w:hAnsi="宋体"/>
          <w:color w:val="auto"/>
          <w:highlight w:val="none"/>
        </w:rPr>
      </w:pPr>
      <w:r>
        <w:rPr>
          <w:rFonts w:hint="eastAsia" w:ascii="宋体" w:hAnsi="宋体"/>
          <w:color w:val="auto"/>
          <w:highlight w:val="none"/>
        </w:rPr>
        <w:t>2.  发包人</w:t>
      </w:r>
    </w:p>
    <w:p w14:paraId="521A7FCE">
      <w:pPr>
        <w:pStyle w:val="91"/>
        <w:spacing w:before="120" w:after="120" w:line="440" w:lineRule="exact"/>
        <w:outlineLvl w:val="0"/>
        <w:rPr>
          <w:rFonts w:ascii="宋体" w:hAnsi="宋体"/>
          <w:color w:val="auto"/>
          <w:highlight w:val="none"/>
        </w:rPr>
      </w:pPr>
      <w:r>
        <w:rPr>
          <w:rFonts w:hint="eastAsia" w:ascii="宋体" w:hAnsi="宋体"/>
          <w:color w:val="auto"/>
          <w:highlight w:val="none"/>
        </w:rPr>
        <w:t>2.2  发包人代表</w:t>
      </w:r>
    </w:p>
    <w:p w14:paraId="61432401">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发包人代表：</w:t>
      </w:r>
    </w:p>
    <w:p w14:paraId="6B2D245A">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2FE85ED">
      <w:pPr>
        <w:pStyle w:val="77"/>
        <w:spacing w:line="440" w:lineRule="exact"/>
        <w:ind w:firstLine="480" w:firstLineChars="200"/>
        <w:rPr>
          <w:rFonts w:ascii="宋体" w:hAnsi="宋体"/>
          <w:color w:val="auto"/>
          <w:highlight w:val="none"/>
        </w:rPr>
      </w:pPr>
      <w:r>
        <w:rPr>
          <w:rFonts w:hint="eastAsia" w:ascii="宋体" w:hAnsi="宋体"/>
          <w:color w:val="auto"/>
          <w:highlight w:val="none"/>
        </w:rPr>
        <w:t>身份证号：</w:t>
      </w:r>
      <w:r>
        <w:rPr>
          <w:rFonts w:hint="eastAsia" w:ascii="宋体" w:hAnsi="宋体"/>
          <w:color w:val="auto"/>
          <w:highlight w:val="none"/>
          <w:u w:val="single"/>
        </w:rPr>
        <w:t xml:space="preserve">                                 </w:t>
      </w:r>
      <w:r>
        <w:rPr>
          <w:rFonts w:hint="eastAsia" w:ascii="宋体" w:hAnsi="宋体"/>
          <w:color w:val="auto"/>
          <w:highlight w:val="none"/>
        </w:rPr>
        <w:t>；</w:t>
      </w:r>
    </w:p>
    <w:p w14:paraId="31BD611B">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530605FF">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10ACC779">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7D58750E">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05ACDB4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发包人对发包人代表的授权范围如下：</w:t>
      </w:r>
    </w:p>
    <w:p w14:paraId="523F837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负责工程施工现场的管理；</w:t>
      </w:r>
    </w:p>
    <w:p w14:paraId="13F15A8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负责协调与工程项目有关的事项；</w:t>
      </w:r>
    </w:p>
    <w:p w14:paraId="35079AD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工程量确认；</w:t>
      </w:r>
    </w:p>
    <w:p w14:paraId="5F7669A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（4）</w:t>
      </w:r>
      <w:r>
        <w:rPr>
          <w:rFonts w:hint="eastAsia" w:ascii="宋体" w:hAnsi="宋体" w:eastAsia="宋体" w:cs="宋体"/>
          <w:color w:val="auto"/>
          <w:spacing w:val="20"/>
          <w:sz w:val="24"/>
          <w:szCs w:val="32"/>
          <w:u w:val="single"/>
          <w:lang w:val="en-US" w:eastAsia="zh-CN"/>
        </w:rPr>
        <w:t>同意监理工程师</w:t>
      </w:r>
      <w:r>
        <w:rPr>
          <w:rFonts w:hint="eastAsia" w:ascii="宋体" w:hAnsi="宋体"/>
          <w:color w:val="auto"/>
          <w:highlight w:val="none"/>
          <w:u w:val="single"/>
        </w:rPr>
        <w:t>发布开工令、停工令及复工令；</w:t>
      </w:r>
    </w:p>
    <w:p w14:paraId="4AEA0C6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（5）</w:t>
      </w:r>
      <w:r>
        <w:rPr>
          <w:rFonts w:hint="eastAsia" w:ascii="宋体" w:hAnsi="宋体"/>
          <w:color w:val="auto"/>
          <w:highlight w:val="none"/>
          <w:u w:val="single"/>
        </w:rPr>
        <w:t>确认或修改承包人的施工组织设计和工程进度计划；</w:t>
      </w:r>
    </w:p>
    <w:p w14:paraId="5E86744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（6）</w:t>
      </w:r>
      <w:r>
        <w:rPr>
          <w:rFonts w:hint="eastAsia" w:ascii="宋体" w:hAnsi="宋体"/>
          <w:color w:val="auto"/>
          <w:highlight w:val="none"/>
          <w:u w:val="single"/>
        </w:rPr>
        <w:t>对进度的检查、监督和提出改进措施；</w:t>
      </w:r>
    </w:p>
    <w:p w14:paraId="2EE46AC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（7）</w:t>
      </w:r>
      <w:r>
        <w:rPr>
          <w:rFonts w:hint="eastAsia" w:ascii="宋体" w:hAnsi="宋体"/>
          <w:color w:val="auto"/>
          <w:highlight w:val="none"/>
          <w:u w:val="single"/>
        </w:rPr>
        <w:t>对承包人延期开工要求进行答复；</w:t>
      </w:r>
    </w:p>
    <w:p w14:paraId="447AF8B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（8）</w:t>
      </w:r>
      <w:r>
        <w:rPr>
          <w:rFonts w:hint="eastAsia" w:ascii="宋体" w:hAnsi="宋体"/>
          <w:color w:val="auto"/>
          <w:highlight w:val="none"/>
          <w:u w:val="single"/>
        </w:rPr>
        <w:t>以通知方式推迟开工日期；</w:t>
      </w:r>
    </w:p>
    <w:p w14:paraId="667C0BE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（9）</w:t>
      </w:r>
      <w:r>
        <w:rPr>
          <w:rFonts w:hint="eastAsia" w:ascii="宋体" w:hAnsi="宋体"/>
          <w:color w:val="auto"/>
          <w:highlight w:val="none"/>
          <w:u w:val="single"/>
        </w:rPr>
        <w:t>暂停施工并提出处理意见，对承包人复工要求进行答复；</w:t>
      </w:r>
    </w:p>
    <w:p w14:paraId="724C5BB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（10）</w:t>
      </w:r>
      <w:r>
        <w:rPr>
          <w:rFonts w:hint="eastAsia" w:ascii="宋体" w:hAnsi="宋体"/>
          <w:color w:val="auto"/>
          <w:highlight w:val="none"/>
          <w:u w:val="single"/>
        </w:rPr>
        <w:t>确认工期顺延；</w:t>
      </w:r>
    </w:p>
    <w:p w14:paraId="479B1A0F">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（11）</w:t>
      </w:r>
      <w:r>
        <w:rPr>
          <w:rFonts w:hint="eastAsia" w:ascii="宋体" w:hAnsi="宋体"/>
          <w:color w:val="auto"/>
          <w:highlight w:val="none"/>
          <w:u w:val="single"/>
        </w:rPr>
        <w:t>对承包人工程质量检查检验；</w:t>
      </w:r>
    </w:p>
    <w:p w14:paraId="1C74377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（12）</w:t>
      </w:r>
      <w:r>
        <w:rPr>
          <w:rFonts w:hint="eastAsia" w:ascii="宋体" w:hAnsi="宋体"/>
          <w:color w:val="auto"/>
          <w:highlight w:val="none"/>
          <w:u w:val="single"/>
        </w:rPr>
        <w:t>工程质量达不到约定标准的部分，要求承包人拆除和重新施工。</w:t>
      </w:r>
    </w:p>
    <w:p w14:paraId="17B4446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（13）</w:t>
      </w:r>
      <w:r>
        <w:rPr>
          <w:rFonts w:hint="eastAsia" w:ascii="宋体" w:hAnsi="宋体"/>
          <w:color w:val="auto"/>
          <w:highlight w:val="none"/>
          <w:u w:val="single"/>
        </w:rPr>
        <w:t>隐蔽工程验收；</w:t>
      </w:r>
    </w:p>
    <w:p w14:paraId="27971F7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（14）</w:t>
      </w:r>
      <w:r>
        <w:rPr>
          <w:rFonts w:hint="eastAsia" w:ascii="宋体" w:hAnsi="宋体"/>
          <w:color w:val="auto"/>
          <w:highlight w:val="none"/>
          <w:u w:val="single"/>
        </w:rPr>
        <w:t>隐蔽工程重新检验；</w:t>
      </w:r>
    </w:p>
    <w:p w14:paraId="23C17CD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（15）</w:t>
      </w:r>
      <w:r>
        <w:rPr>
          <w:rFonts w:hint="eastAsia" w:ascii="宋体" w:hAnsi="宋体"/>
          <w:color w:val="auto"/>
          <w:highlight w:val="none"/>
          <w:u w:val="single"/>
        </w:rPr>
        <w:t>根据本款（17）项确认或修改承包人提出的调整金额；</w:t>
      </w:r>
    </w:p>
    <w:p w14:paraId="4AFBF94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（16）</w:t>
      </w:r>
      <w:r>
        <w:rPr>
          <w:rFonts w:hint="eastAsia" w:ascii="宋体" w:hAnsi="宋体"/>
          <w:color w:val="auto"/>
          <w:highlight w:val="none"/>
          <w:u w:val="single"/>
        </w:rPr>
        <w:t>核实承包人已完工程量；</w:t>
      </w:r>
    </w:p>
    <w:p w14:paraId="75B456E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（17）</w:t>
      </w:r>
      <w:r>
        <w:rPr>
          <w:rFonts w:hint="eastAsia" w:ascii="宋体" w:hAnsi="宋体"/>
          <w:color w:val="auto"/>
          <w:highlight w:val="none"/>
          <w:u w:val="single"/>
        </w:rPr>
        <w:t>要求更换承包人采购的不符合要求的材料设备；</w:t>
      </w:r>
    </w:p>
    <w:p w14:paraId="2C7A590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（18）</w:t>
      </w:r>
      <w:r>
        <w:rPr>
          <w:rFonts w:hint="eastAsia" w:ascii="宋体" w:hAnsi="宋体"/>
          <w:color w:val="auto"/>
          <w:highlight w:val="none"/>
          <w:u w:val="single"/>
        </w:rPr>
        <w:t>要求承包人对采购的材料设备在使用前进行检验或试验；</w:t>
      </w:r>
    </w:p>
    <w:p w14:paraId="618ACBC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（19）</w:t>
      </w:r>
      <w:r>
        <w:rPr>
          <w:rFonts w:hint="eastAsia" w:ascii="宋体" w:hAnsi="宋体"/>
          <w:color w:val="auto"/>
          <w:highlight w:val="none"/>
          <w:u w:val="single"/>
        </w:rPr>
        <w:t>批准承包人使用替代材料；</w:t>
      </w:r>
    </w:p>
    <w:p w14:paraId="6CC975A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（20）</w:t>
      </w:r>
      <w:r>
        <w:rPr>
          <w:rFonts w:hint="eastAsia" w:ascii="宋体" w:hAnsi="宋体"/>
          <w:color w:val="auto"/>
          <w:highlight w:val="none"/>
          <w:u w:val="single"/>
        </w:rPr>
        <w:t>同意承包人提出的合理化建议；</w:t>
      </w:r>
    </w:p>
    <w:p w14:paraId="3E590F1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（21）</w:t>
      </w:r>
      <w:r>
        <w:rPr>
          <w:rFonts w:hint="eastAsia" w:ascii="宋体" w:hAnsi="宋体"/>
          <w:color w:val="auto"/>
          <w:highlight w:val="none"/>
          <w:u w:val="single"/>
        </w:rPr>
        <w:t>确认变更价款；</w:t>
      </w:r>
    </w:p>
    <w:p w14:paraId="30F9F98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（22）</w:t>
      </w:r>
      <w:r>
        <w:rPr>
          <w:rFonts w:hint="eastAsia" w:ascii="宋体" w:hAnsi="宋体"/>
          <w:color w:val="auto"/>
          <w:highlight w:val="none"/>
          <w:u w:val="single"/>
        </w:rPr>
        <w:t>答复索赔。</w:t>
      </w:r>
    </w:p>
    <w:p w14:paraId="477997AD">
      <w:pPr>
        <w:pStyle w:val="91"/>
        <w:spacing w:before="120" w:after="120" w:line="440" w:lineRule="exact"/>
        <w:outlineLvl w:val="0"/>
        <w:rPr>
          <w:rFonts w:ascii="宋体" w:hAnsi="宋体"/>
          <w:color w:val="auto"/>
          <w:highlight w:val="none"/>
        </w:rPr>
      </w:pPr>
      <w:r>
        <w:rPr>
          <w:rFonts w:hint="eastAsia" w:ascii="宋体" w:hAnsi="宋体"/>
          <w:color w:val="auto"/>
          <w:highlight w:val="none"/>
        </w:rPr>
        <w:t>2.4  施工现场、施工条件和基础资料的提供</w:t>
      </w:r>
    </w:p>
    <w:p w14:paraId="2864A7B1">
      <w:pPr>
        <w:pStyle w:val="77"/>
        <w:spacing w:line="440" w:lineRule="exact"/>
        <w:outlineLvl w:val="0"/>
        <w:rPr>
          <w:rFonts w:ascii="宋体" w:hAnsi="宋体"/>
          <w:b/>
          <w:bCs/>
          <w:color w:val="auto"/>
          <w:highlight w:val="none"/>
        </w:rPr>
      </w:pPr>
      <w:r>
        <w:rPr>
          <w:rFonts w:hint="eastAsia" w:ascii="宋体" w:hAnsi="宋体"/>
          <w:b/>
          <w:bCs/>
          <w:color w:val="auto"/>
          <w:highlight w:val="none"/>
        </w:rPr>
        <w:t>2.4.1  提供施工现场</w:t>
      </w:r>
    </w:p>
    <w:p w14:paraId="2AF0D89B">
      <w:pPr>
        <w:pStyle w:val="77"/>
        <w:spacing w:line="440" w:lineRule="exact"/>
        <w:ind w:left="599" w:leftChars="228" w:hanging="120" w:hangingChars="50"/>
        <w:jc w:val="left"/>
        <w:rPr>
          <w:rFonts w:ascii="宋体" w:hAnsi="宋体"/>
          <w:color w:val="auto"/>
          <w:highlight w:val="none"/>
        </w:rPr>
      </w:pPr>
      <w:r>
        <w:rPr>
          <w:rFonts w:hint="eastAsia" w:ascii="宋体" w:hAnsi="宋体"/>
          <w:color w:val="auto"/>
          <w:highlight w:val="none"/>
        </w:rPr>
        <w:t>关于发包人移交施工现场的期限要求：</w:t>
      </w:r>
      <w:r>
        <w:rPr>
          <w:rFonts w:hint="eastAsia" w:ascii="宋体" w:hAnsi="宋体"/>
          <w:color w:val="auto"/>
          <w:highlight w:val="none"/>
          <w:u w:val="single"/>
        </w:rPr>
        <w:t>计划开工日前7天</w:t>
      </w:r>
      <w:r>
        <w:rPr>
          <w:rFonts w:hint="eastAsia" w:ascii="宋体" w:hAnsi="宋体"/>
          <w:color w:val="auto"/>
          <w:highlight w:val="none"/>
        </w:rPr>
        <w:t>。</w:t>
      </w:r>
    </w:p>
    <w:p w14:paraId="155CB332">
      <w:pPr>
        <w:pStyle w:val="77"/>
        <w:spacing w:line="440" w:lineRule="exact"/>
        <w:outlineLvl w:val="0"/>
        <w:rPr>
          <w:rFonts w:ascii="宋体" w:hAnsi="宋体"/>
          <w:b/>
          <w:bCs/>
          <w:color w:val="auto"/>
          <w:highlight w:val="none"/>
        </w:rPr>
      </w:pPr>
      <w:r>
        <w:rPr>
          <w:rFonts w:hint="eastAsia" w:ascii="宋体" w:hAnsi="宋体"/>
          <w:b/>
          <w:bCs/>
          <w:color w:val="auto"/>
          <w:highlight w:val="none"/>
        </w:rPr>
        <w:t>2.4.2  提供施工条件</w:t>
      </w:r>
    </w:p>
    <w:p w14:paraId="20D9D2AF">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关于发包人应负责提供施工所需要的条件，包括：</w:t>
      </w:r>
    </w:p>
    <w:p w14:paraId="40502916">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将施工用水、电力等施工所必需的条件接至施工现场内；</w:t>
      </w:r>
    </w:p>
    <w:p w14:paraId="39918981">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保证向承包人提供正常施工所需要的进入施工现场的交通条件；</w:t>
      </w:r>
    </w:p>
    <w:p w14:paraId="0383B580">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协调处理施工现场周围地下管线和邻近建筑物、构筑物、古树名木的保护工作，并承担相关费用；</w:t>
      </w:r>
    </w:p>
    <w:p w14:paraId="5E01FAE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358629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承包人应在充分考虑施工现场管线调查的基础上进行编制施工组织设计。承包人有义务与其他承包人之间、与管线建设、拆迁单位之间相互配合施工，共同完成施工任务。承包人尤其应优先安排配合管线建设、拆迁单位的测量放线及实施工作，上述费用承包人应在相应的单价报价中考虑。</w:t>
      </w:r>
    </w:p>
    <w:p w14:paraId="2683C8A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承包人在发包人提供的管线调查资料基础上，须对所有管线进行查验、刨验、核实和在隐蔽工程开工前进行刨验，承包人进行此项工作所产生的费用包含在报价中。承包人未进行此项工作造成城市基础设施外力破坏的，由此产生的责任由承包人自行承担。</w:t>
      </w:r>
    </w:p>
    <w:p w14:paraId="4CAEA798">
      <w:pPr>
        <w:pStyle w:val="91"/>
        <w:spacing w:before="120" w:after="120" w:line="440" w:lineRule="exact"/>
        <w:outlineLvl w:val="0"/>
        <w:rPr>
          <w:rFonts w:ascii="宋体" w:hAnsi="宋体"/>
          <w:color w:val="auto"/>
          <w:highlight w:val="none"/>
        </w:rPr>
      </w:pPr>
      <w:r>
        <w:rPr>
          <w:rFonts w:hint="eastAsia" w:ascii="宋体" w:hAnsi="宋体"/>
          <w:color w:val="auto"/>
          <w:highlight w:val="none"/>
        </w:rPr>
        <w:t>2.5  资金来源证明及支付担保</w:t>
      </w:r>
    </w:p>
    <w:p w14:paraId="787F69F4">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发包人提供资金来源证明的期限要求：</w:t>
      </w:r>
      <w:r>
        <w:rPr>
          <w:rFonts w:hint="eastAsia" w:ascii="宋体" w:hAnsi="宋体"/>
          <w:color w:val="auto"/>
          <w:highlight w:val="none"/>
          <w:u w:val="single"/>
        </w:rPr>
        <w:t xml:space="preserve">无   </w:t>
      </w:r>
      <w:r>
        <w:rPr>
          <w:rFonts w:hint="eastAsia" w:ascii="宋体" w:hAnsi="宋体"/>
          <w:color w:val="auto"/>
          <w:highlight w:val="none"/>
        </w:rPr>
        <w:t>。</w:t>
      </w:r>
    </w:p>
    <w:p w14:paraId="4D7C5CD7">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发包人是否提供支付担保：</w:t>
      </w:r>
      <w:r>
        <w:rPr>
          <w:rFonts w:hint="eastAsia" w:ascii="宋体" w:hAnsi="宋体"/>
          <w:color w:val="auto"/>
          <w:highlight w:val="none"/>
          <w:u w:val="single"/>
        </w:rPr>
        <w:t xml:space="preserve">不提供   </w:t>
      </w:r>
      <w:r>
        <w:rPr>
          <w:rFonts w:hint="eastAsia" w:ascii="宋体" w:hAnsi="宋体"/>
          <w:color w:val="auto"/>
          <w:highlight w:val="none"/>
        </w:rPr>
        <w:t>。</w:t>
      </w:r>
    </w:p>
    <w:p w14:paraId="7DC6360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发包人提供支付担保的形式：</w:t>
      </w:r>
      <w:r>
        <w:rPr>
          <w:rFonts w:hint="eastAsia" w:ascii="宋体" w:hAnsi="宋体"/>
          <w:color w:val="auto"/>
          <w:highlight w:val="none"/>
          <w:u w:val="single"/>
        </w:rPr>
        <w:t xml:space="preserve">无    </w:t>
      </w:r>
      <w:r>
        <w:rPr>
          <w:rFonts w:hint="eastAsia" w:ascii="宋体" w:hAnsi="宋体"/>
          <w:color w:val="auto"/>
          <w:highlight w:val="none"/>
        </w:rPr>
        <w:t>。</w:t>
      </w:r>
    </w:p>
    <w:p w14:paraId="7C3321F5">
      <w:pPr>
        <w:pStyle w:val="91"/>
        <w:spacing w:before="120" w:after="120" w:line="440" w:lineRule="exact"/>
        <w:outlineLvl w:val="0"/>
        <w:rPr>
          <w:rFonts w:ascii="宋体" w:hAnsi="宋体"/>
          <w:color w:val="auto"/>
          <w:highlight w:val="none"/>
        </w:rPr>
      </w:pPr>
      <w:r>
        <w:rPr>
          <w:rFonts w:hint="eastAsia" w:ascii="宋体" w:hAnsi="宋体"/>
          <w:color w:val="auto"/>
          <w:highlight w:val="none"/>
        </w:rPr>
        <w:t>3.  承包人</w:t>
      </w:r>
    </w:p>
    <w:p w14:paraId="2102D6FB">
      <w:pPr>
        <w:pStyle w:val="91"/>
        <w:spacing w:before="120" w:after="120" w:line="440" w:lineRule="exact"/>
        <w:outlineLvl w:val="0"/>
        <w:rPr>
          <w:rFonts w:ascii="宋体" w:hAnsi="宋体"/>
          <w:color w:val="auto"/>
          <w:highlight w:val="none"/>
        </w:rPr>
      </w:pPr>
      <w:r>
        <w:rPr>
          <w:rFonts w:hint="eastAsia" w:ascii="宋体" w:hAnsi="宋体"/>
          <w:color w:val="auto"/>
          <w:highlight w:val="none"/>
        </w:rPr>
        <w:t>3.1  承包人的一般义务</w:t>
      </w:r>
    </w:p>
    <w:p w14:paraId="58F68E92">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（9）</w:t>
      </w:r>
      <w:r>
        <w:rPr>
          <w:rFonts w:hint="eastAsia" w:ascii="宋体" w:hAnsi="宋体"/>
          <w:color w:val="auto"/>
          <w:highlight w:val="none"/>
        </w:rPr>
        <w:t>承包人按照法律规定和合同约定编制竣工资料，完成竣工资料立卷及归档，并按时向发包人提交竣工资料。</w:t>
      </w:r>
    </w:p>
    <w:p w14:paraId="4A6BC91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承包人需要提交的竣工资料套数：</w:t>
      </w:r>
      <w:r>
        <w:rPr>
          <w:rFonts w:hint="eastAsia" w:ascii="宋体" w:hAnsi="宋体"/>
          <w:color w:val="auto"/>
          <w:highlight w:val="none"/>
          <w:u w:val="single"/>
        </w:rPr>
        <w:t>一式</w:t>
      </w:r>
      <w:r>
        <w:rPr>
          <w:rFonts w:hint="eastAsia" w:ascii="宋体" w:hAnsi="宋体"/>
          <w:color w:val="auto"/>
          <w:kern w:val="0"/>
          <w:highlight w:val="none"/>
          <w:u w:val="single"/>
          <w:lang w:eastAsia="zh-CN"/>
        </w:rPr>
        <w:t>叁</w:t>
      </w:r>
      <w:r>
        <w:rPr>
          <w:rFonts w:hint="eastAsia" w:ascii="宋体" w:hAnsi="宋体"/>
          <w:color w:val="auto"/>
          <w:kern w:val="0"/>
          <w:highlight w:val="none"/>
          <w:u w:val="single"/>
        </w:rPr>
        <w:t>套</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145AC8D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承包人提交的竣工资料的费用承担：</w:t>
      </w:r>
      <w:r>
        <w:rPr>
          <w:rFonts w:hint="eastAsia" w:ascii="宋体" w:hAnsi="宋体"/>
          <w:color w:val="auto"/>
          <w:kern w:val="0"/>
          <w:highlight w:val="none"/>
          <w:u w:val="single"/>
        </w:rPr>
        <w:t>由承包人承担</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207CA44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承包人提交的竣工资料移交时间：</w:t>
      </w:r>
      <w:r>
        <w:rPr>
          <w:rFonts w:hint="eastAsia" w:ascii="宋体" w:hAnsi="宋体"/>
          <w:color w:val="auto"/>
          <w:kern w:val="0"/>
          <w:highlight w:val="none"/>
          <w:u w:val="single"/>
        </w:rPr>
        <w:t>工程竣工验收合格后28天内</w:t>
      </w:r>
      <w:r>
        <w:rPr>
          <w:rFonts w:hint="eastAsia" w:ascii="宋体" w:hAnsi="宋体"/>
          <w:color w:val="auto"/>
          <w:highlight w:val="none"/>
        </w:rPr>
        <w:t>。</w:t>
      </w:r>
    </w:p>
    <w:p w14:paraId="2540CB51">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承包人提交的竣工资料形式要求：</w:t>
      </w:r>
      <w:r>
        <w:rPr>
          <w:rFonts w:hint="eastAsia" w:ascii="宋体" w:hAnsi="宋体"/>
          <w:color w:val="auto"/>
          <w:highlight w:val="none"/>
          <w:u w:val="single"/>
        </w:rPr>
        <w:t>纸质文件</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F38DB98">
      <w:pPr>
        <w:pStyle w:val="77"/>
        <w:spacing w:line="440" w:lineRule="exact"/>
        <w:ind w:left="719" w:leftChars="228" w:hanging="240" w:hangingChars="100"/>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（10）承包人应履行的其他义务：</w:t>
      </w:r>
      <w:r>
        <w:rPr>
          <w:rFonts w:hint="eastAsia" w:ascii="宋体" w:hAnsi="宋体"/>
          <w:color w:val="auto"/>
          <w:kern w:val="0"/>
          <w:highlight w:val="none"/>
          <w:u w:val="single"/>
        </w:rPr>
        <w:t>承包人应在开工前协助发包人做好土地及青苗</w:t>
      </w:r>
      <w:r>
        <w:rPr>
          <w:rFonts w:hint="eastAsia" w:ascii="宋体" w:hAnsi="宋体"/>
          <w:color w:val="auto"/>
          <w:kern w:val="0"/>
          <w:highlight w:val="none"/>
          <w:u w:val="single"/>
          <w:lang w:val="en-US" w:eastAsia="zh-CN"/>
        </w:rPr>
        <w:t xml:space="preserve">  </w:t>
      </w:r>
    </w:p>
    <w:p w14:paraId="401E0043">
      <w:pPr>
        <w:pStyle w:val="77"/>
        <w:spacing w:line="440" w:lineRule="exact"/>
        <w:rPr>
          <w:rFonts w:ascii="宋体" w:hAnsi="宋体"/>
          <w:color w:val="auto"/>
          <w:kern w:val="0"/>
          <w:highlight w:val="none"/>
          <w:u w:val="single"/>
        </w:rPr>
      </w:pPr>
      <w:r>
        <w:rPr>
          <w:rFonts w:hint="eastAsia" w:ascii="宋体" w:hAnsi="宋体"/>
          <w:color w:val="auto"/>
          <w:kern w:val="0"/>
          <w:highlight w:val="none"/>
          <w:u w:val="single"/>
        </w:rPr>
        <w:t>树木补偿、房屋拆迁、清除地面、架空和障碍等，并自行负责水、电、电讯网从施工场地边线接至施工现场，保证施工期间需要，施工期间的水电费、电话</w:t>
      </w:r>
      <w:r>
        <w:rPr>
          <w:rFonts w:hint="eastAsia" w:ascii="宋体" w:hAnsi="宋体"/>
          <w:color w:val="auto"/>
          <w:kern w:val="0"/>
          <w:highlight w:val="none"/>
          <w:u w:val="single"/>
          <w:lang w:eastAsia="zh-CN"/>
        </w:rPr>
        <w:t>等以一切</w:t>
      </w:r>
      <w:r>
        <w:rPr>
          <w:rFonts w:hint="eastAsia" w:ascii="宋体" w:hAnsi="宋体"/>
          <w:color w:val="auto"/>
          <w:kern w:val="0"/>
          <w:highlight w:val="none"/>
          <w:u w:val="single"/>
        </w:rPr>
        <w:t xml:space="preserve">费用由承包人承担。 </w:t>
      </w:r>
    </w:p>
    <w:p w14:paraId="1DA53849">
      <w:pPr>
        <w:pStyle w:val="91"/>
        <w:spacing w:before="120" w:after="120" w:line="440" w:lineRule="exact"/>
        <w:outlineLvl w:val="0"/>
        <w:rPr>
          <w:rFonts w:ascii="宋体" w:hAnsi="宋体"/>
          <w:color w:val="auto"/>
          <w:highlight w:val="none"/>
        </w:rPr>
      </w:pPr>
      <w:r>
        <w:rPr>
          <w:rFonts w:hint="eastAsia" w:ascii="宋体" w:hAnsi="宋体"/>
          <w:color w:val="auto"/>
          <w:highlight w:val="none"/>
        </w:rPr>
        <w:t>3.2  项目经理</w:t>
      </w:r>
    </w:p>
    <w:p w14:paraId="5EB5EB59">
      <w:pPr>
        <w:pStyle w:val="77"/>
        <w:spacing w:line="360" w:lineRule="auto"/>
        <w:outlineLvl w:val="0"/>
        <w:rPr>
          <w:rFonts w:ascii="宋体" w:hAnsi="宋体"/>
          <w:b/>
          <w:bCs/>
          <w:color w:val="auto"/>
          <w:highlight w:val="none"/>
        </w:rPr>
      </w:pPr>
      <w:r>
        <w:rPr>
          <w:rFonts w:hint="eastAsia" w:ascii="宋体" w:hAnsi="宋体"/>
          <w:b/>
          <w:bCs/>
          <w:color w:val="auto"/>
          <w:kern w:val="0"/>
          <w:highlight w:val="none"/>
        </w:rPr>
        <w:t xml:space="preserve">3.2.1  </w:t>
      </w:r>
      <w:r>
        <w:rPr>
          <w:rFonts w:hint="eastAsia" w:ascii="宋体" w:hAnsi="宋体"/>
          <w:b/>
          <w:bCs/>
          <w:color w:val="auto"/>
          <w:highlight w:val="none"/>
        </w:rPr>
        <w:t>项目经理：</w:t>
      </w:r>
    </w:p>
    <w:p w14:paraId="43F26DB7">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393F81E">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5CA297C">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建造师执业资格等级：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5A2E383">
      <w:pPr>
        <w:adjustRightInd w:val="0"/>
        <w:spacing w:line="32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建造师注册证书编号</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0B82776">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建造师执业印章号：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9E53231">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8E77145">
      <w:pPr>
        <w:pStyle w:val="77"/>
        <w:spacing w:line="360" w:lineRule="auto"/>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F602E57">
      <w:pPr>
        <w:pStyle w:val="77"/>
        <w:spacing w:line="360" w:lineRule="auto"/>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B3C7C8F">
      <w:pPr>
        <w:shd w:val="clear" w:color="auto" w:fill="FFFFFF"/>
        <w:spacing w:line="500" w:lineRule="exact"/>
        <w:ind w:firstLine="420" w:firstLineChars="200"/>
        <w:jc w:val="left"/>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w:t>
      </w:r>
    </w:p>
    <w:p w14:paraId="721262D7">
      <w:pPr>
        <w:pStyle w:val="77"/>
        <w:spacing w:line="360" w:lineRule="auto"/>
        <w:ind w:firstLine="480" w:firstLineChars="200"/>
        <w:rPr>
          <w:rFonts w:ascii="宋体" w:hAnsi="宋体"/>
          <w:color w:val="auto"/>
          <w:highlight w:val="none"/>
        </w:rPr>
      </w:pPr>
      <w:r>
        <w:rPr>
          <w:rFonts w:hint="eastAsia" w:ascii="宋体" w:hAnsi="宋体"/>
          <w:color w:val="auto"/>
          <w:highlight w:val="none"/>
        </w:rPr>
        <w:t>承包人对项目经理的授权范围如下：</w:t>
      </w:r>
    </w:p>
    <w:p w14:paraId="77E05D8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（1）</w:t>
      </w:r>
      <w:r>
        <w:rPr>
          <w:rFonts w:hint="eastAsia" w:ascii="宋体" w:hAnsi="宋体"/>
          <w:color w:val="auto"/>
          <w:kern w:val="0"/>
          <w:highlight w:val="none"/>
          <w:u w:val="single"/>
        </w:rPr>
        <w:t>对本工程的施工进行全面管理，包括对工程质量、进度、安全、成本等进行管理，行使施工合同约定的权利，履行施工合同约定的义务；</w:t>
      </w:r>
    </w:p>
    <w:p w14:paraId="255DBCE1">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（2）</w:t>
      </w:r>
      <w:r>
        <w:rPr>
          <w:rFonts w:hint="eastAsia" w:ascii="宋体" w:hAnsi="宋体"/>
          <w:color w:val="auto"/>
          <w:kern w:val="0"/>
          <w:highlight w:val="none"/>
          <w:u w:val="single"/>
        </w:rPr>
        <w:t>经发包人同意分包的专业工程，项目经理参与选择并使用具有相应资质的分包人（由发包人指定分包的除外）；</w:t>
      </w:r>
    </w:p>
    <w:p w14:paraId="45E1A28B">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（3）</w:t>
      </w:r>
      <w:r>
        <w:rPr>
          <w:rFonts w:hint="eastAsia" w:ascii="宋体" w:hAnsi="宋体"/>
          <w:color w:val="auto"/>
          <w:kern w:val="0"/>
          <w:highlight w:val="none"/>
          <w:u w:val="single"/>
        </w:rPr>
        <w:t>施工合同约定由承包人采购的材料、工程设备，项目经理参与选择物资供应单位；</w:t>
      </w:r>
    </w:p>
    <w:p w14:paraId="7EF5A649">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（4）</w:t>
      </w:r>
      <w:r>
        <w:rPr>
          <w:rFonts w:hint="eastAsia" w:ascii="宋体" w:hAnsi="宋体"/>
          <w:color w:val="auto"/>
          <w:kern w:val="0"/>
          <w:highlight w:val="none"/>
          <w:u w:val="single"/>
        </w:rPr>
        <w:t>代表承包人对工程施工中的相关事务（本授权第一项约定的事务）进行协商，代表承包人参加发包人组织的与工本工程有关的会议；</w:t>
      </w:r>
    </w:p>
    <w:p w14:paraId="0EB0DA43">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（5）</w:t>
      </w:r>
      <w:r>
        <w:rPr>
          <w:rFonts w:hint="eastAsia" w:ascii="宋体" w:hAnsi="宋体"/>
          <w:color w:val="auto"/>
          <w:kern w:val="0"/>
          <w:highlight w:val="none"/>
          <w:u w:val="single"/>
        </w:rPr>
        <w:t>负责与发包人、监理人办理设计变更、现场签证等手续，及时办理本工程相关索赔；</w:t>
      </w:r>
    </w:p>
    <w:p w14:paraId="6A18BF5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（6）</w:t>
      </w:r>
      <w:r>
        <w:rPr>
          <w:rFonts w:hint="eastAsia" w:ascii="宋体" w:hAnsi="宋体"/>
          <w:color w:val="auto"/>
          <w:kern w:val="0"/>
          <w:highlight w:val="none"/>
          <w:u w:val="single"/>
        </w:rPr>
        <w:t>负责签收发包人、监理人往来函件，承包人的要求、通知均应以书面形式由承包人项目经理签字并加盖承包人公司公章后递交发包人；</w:t>
      </w:r>
    </w:p>
    <w:p w14:paraId="3106C4CE">
      <w:pPr>
        <w:pStyle w:val="77"/>
        <w:spacing w:line="360" w:lineRule="auto"/>
        <w:ind w:firstLine="480" w:firstLineChars="200"/>
        <w:rPr>
          <w:rFonts w:ascii="宋体" w:hAnsi="宋体"/>
          <w:color w:val="auto"/>
          <w:highlight w:val="none"/>
          <w:u w:val="single"/>
        </w:rPr>
      </w:pPr>
      <w:r>
        <w:rPr>
          <w:rFonts w:hint="eastAsia" w:ascii="宋体" w:hAnsi="宋体"/>
          <w:color w:val="auto"/>
          <w:kern w:val="0"/>
          <w:highlight w:val="none"/>
        </w:rPr>
        <w:t>（7）</w:t>
      </w:r>
      <w:r>
        <w:rPr>
          <w:rFonts w:hint="eastAsia" w:ascii="宋体" w:hAnsi="宋体"/>
          <w:color w:val="auto"/>
          <w:kern w:val="0"/>
          <w:highlight w:val="none"/>
          <w:u w:val="single"/>
        </w:rPr>
        <w:t>代表承包人接受监理工程师或发包人现场代表发出的指示和指令</w:t>
      </w:r>
      <w:r>
        <w:rPr>
          <w:rFonts w:hint="eastAsia" w:ascii="宋体" w:hAnsi="宋体"/>
          <w:color w:val="auto"/>
          <w:highlight w:val="none"/>
          <w:u w:val="single"/>
        </w:rPr>
        <w:t>。</w:t>
      </w:r>
    </w:p>
    <w:p w14:paraId="32FA4596">
      <w:pPr>
        <w:pStyle w:val="77"/>
        <w:spacing w:line="360" w:lineRule="auto"/>
        <w:ind w:firstLine="480" w:firstLineChars="200"/>
        <w:rPr>
          <w:rFonts w:ascii="宋体" w:hAnsi="宋体"/>
          <w:color w:val="auto"/>
          <w:highlight w:val="none"/>
        </w:rPr>
      </w:pPr>
      <w:r>
        <w:rPr>
          <w:rFonts w:hint="eastAsia" w:ascii="宋体" w:hAnsi="宋体"/>
          <w:color w:val="auto"/>
          <w:highlight w:val="none"/>
          <w:u w:val="single"/>
        </w:rPr>
        <w:t>但未经承包人盖章同意不得以承包人和（或本工程项目部）名义向外融资、采购材料设备、租用建筑周转材料、雇佣劳动力、签订分包合同等从事一切为承包人设立义务或责任的行为。</w:t>
      </w:r>
    </w:p>
    <w:p w14:paraId="0BE6410D">
      <w:pPr>
        <w:pStyle w:val="77"/>
        <w:spacing w:line="360" w:lineRule="auto"/>
        <w:ind w:firstLine="480" w:firstLineChars="200"/>
        <w:jc w:val="left"/>
        <w:rPr>
          <w:rFonts w:ascii="宋体" w:hAnsi="宋体"/>
          <w:color w:val="auto"/>
          <w:kern w:val="0"/>
          <w:highlight w:val="none"/>
        </w:rPr>
      </w:pPr>
      <w:r>
        <w:rPr>
          <w:rFonts w:hint="eastAsia" w:ascii="宋体" w:hAnsi="宋体"/>
          <w:color w:val="auto"/>
          <w:kern w:val="0"/>
          <w:highlight w:val="none"/>
        </w:rPr>
        <w:t>关于项目经理每月在施工现场的时间要求：</w:t>
      </w:r>
      <w:r>
        <w:rPr>
          <w:rFonts w:hint="eastAsia" w:ascii="宋体" w:hAnsi="宋体"/>
          <w:color w:val="auto"/>
          <w:kern w:val="0"/>
          <w:highlight w:val="none"/>
          <w:u w:val="single"/>
        </w:rPr>
        <w:t>不少于</w:t>
      </w:r>
      <w:r>
        <w:rPr>
          <w:rFonts w:hint="eastAsia" w:ascii="宋体" w:hAnsi="宋体"/>
          <w:color w:val="auto"/>
          <w:highlight w:val="none"/>
          <w:u w:val="single"/>
        </w:rPr>
        <w:t xml:space="preserve"> 22天，且项目经理离开施工现场时，不得影响工程进度。 </w:t>
      </w:r>
    </w:p>
    <w:p w14:paraId="7DED78D5">
      <w:pPr>
        <w:pStyle w:val="77"/>
        <w:spacing w:line="360" w:lineRule="auto"/>
        <w:ind w:firstLine="480" w:firstLineChars="200"/>
        <w:rPr>
          <w:rFonts w:ascii="宋体" w:hAnsi="宋体"/>
          <w:color w:val="auto"/>
          <w:kern w:val="0"/>
          <w:highlight w:val="none"/>
        </w:rPr>
      </w:pPr>
      <w:r>
        <w:rPr>
          <w:rFonts w:hint="eastAsia" w:ascii="宋体" w:hAnsi="宋体"/>
          <w:color w:val="auto"/>
          <w:kern w:val="0"/>
          <w:highlight w:val="none"/>
        </w:rPr>
        <w:t>承包人未提交劳动合同，以及没有为项目经理缴纳社会保险证明的违约责任：</w:t>
      </w:r>
      <w:r>
        <w:rPr>
          <w:rFonts w:hint="eastAsia" w:ascii="宋体" w:hAnsi="宋体"/>
          <w:color w:val="auto"/>
          <w:highlight w:val="none"/>
          <w:u w:val="single"/>
        </w:rPr>
        <w:t>发包人有权按承包人项目经理不到位或不委派项目经理处理。</w:t>
      </w:r>
    </w:p>
    <w:p w14:paraId="1F232338">
      <w:pPr>
        <w:pStyle w:val="77"/>
        <w:spacing w:line="360" w:lineRule="auto"/>
        <w:ind w:firstLine="480" w:firstLineChars="200"/>
        <w:rPr>
          <w:rFonts w:hint="eastAsia" w:ascii="宋体" w:hAnsi="宋体" w:eastAsia="宋体"/>
          <w:color w:val="auto"/>
          <w:highlight w:val="none"/>
          <w:u w:val="single"/>
          <w:lang w:eastAsia="zh-CN"/>
        </w:rPr>
      </w:pPr>
      <w:r>
        <w:rPr>
          <w:rFonts w:hint="eastAsia" w:ascii="宋体" w:hAnsi="宋体"/>
          <w:color w:val="auto"/>
          <w:kern w:val="0"/>
          <w:highlight w:val="none"/>
        </w:rPr>
        <w:t>项目经理未经批准，擅自离开施工现场的违约责任：</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元/人·日 </w:t>
      </w:r>
      <w:r>
        <w:rPr>
          <w:rFonts w:hint="eastAsia" w:ascii="宋体" w:hAnsi="宋体"/>
          <w:color w:val="auto"/>
          <w:highlight w:val="none"/>
          <w:u w:val="single"/>
          <w:lang w:eastAsia="zh-CN"/>
        </w:rPr>
        <w:t>。</w:t>
      </w:r>
    </w:p>
    <w:p w14:paraId="262E3CEE">
      <w:pPr>
        <w:pStyle w:val="77"/>
        <w:spacing w:line="360" w:lineRule="auto"/>
        <w:ind w:firstLine="484" w:firstLineChars="202"/>
        <w:rPr>
          <w:rFonts w:ascii="宋体" w:hAnsi="宋体"/>
          <w:color w:val="auto"/>
          <w:highlight w:val="none"/>
          <w:u w:val="single"/>
        </w:rPr>
      </w:pPr>
      <w:r>
        <w:rPr>
          <w:rFonts w:hint="eastAsia" w:ascii="宋体" w:hAnsi="宋体"/>
          <w:color w:val="auto"/>
          <w:highlight w:val="none"/>
        </w:rPr>
        <w:t>3.2.3  承包人擅自更换项目经理的违约责任：</w:t>
      </w:r>
      <w:r>
        <w:rPr>
          <w:rFonts w:hint="eastAsia" w:ascii="宋体" w:hAnsi="宋体"/>
          <w:color w:val="auto"/>
          <w:highlight w:val="none"/>
          <w:u w:val="single"/>
        </w:rPr>
        <w:t>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1E30F808">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3.2.4  承包人无正当理由拒绝更换项目经理的违约责任：</w:t>
      </w:r>
      <w:r>
        <w:rPr>
          <w:rFonts w:hint="eastAsia" w:ascii="宋体" w:hAnsi="宋体"/>
          <w:color w:val="auto"/>
          <w:highlight w:val="none"/>
          <w:u w:val="single"/>
        </w:rPr>
        <w:t xml:space="preserve">发包人有权拒绝支付本期工程进度款直至承包人按要求更换令总监理工程师和发包人满意的项目经理为止。  </w:t>
      </w:r>
    </w:p>
    <w:p w14:paraId="0319EC8F">
      <w:pPr>
        <w:pStyle w:val="77"/>
        <w:spacing w:after="120" w:line="440" w:lineRule="exact"/>
        <w:ind w:firstLine="484" w:firstLineChars="202"/>
        <w:rPr>
          <w:rFonts w:ascii="宋体" w:hAnsi="宋体"/>
          <w:color w:val="auto"/>
          <w:highlight w:val="none"/>
          <w:u w:val="single"/>
        </w:rPr>
      </w:pPr>
      <w:r>
        <w:rPr>
          <w:rFonts w:hint="eastAsia" w:ascii="宋体" w:hAnsi="宋体"/>
          <w:color w:val="auto"/>
          <w:highlight w:val="none"/>
        </w:rPr>
        <w:t>3.2.6承包人项目经理不到位或不委派项目经理的违约责任：承包人需</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万元/人·次，并在14天内向工程委派与投标文件约定一致的项目经理。</w:t>
      </w:r>
    </w:p>
    <w:p w14:paraId="5522DBCE">
      <w:pPr>
        <w:pStyle w:val="77"/>
        <w:spacing w:after="120" w:line="440" w:lineRule="exact"/>
        <w:ind w:firstLine="484" w:firstLineChars="202"/>
        <w:rPr>
          <w:rFonts w:ascii="宋体" w:hAnsi="宋体"/>
          <w:color w:val="auto"/>
          <w:highlight w:val="none"/>
        </w:rPr>
      </w:pPr>
      <w:r>
        <w:rPr>
          <w:rFonts w:hint="eastAsia" w:ascii="宋体" w:hAnsi="宋体"/>
          <w:color w:val="auto"/>
          <w:highlight w:val="none"/>
        </w:rPr>
        <w:t>3.2.7承包人申请更换项目经理的违约责任：</w:t>
      </w:r>
      <w:r>
        <w:rPr>
          <w:rFonts w:hint="eastAsia" w:ascii="宋体" w:hAnsi="宋体"/>
          <w:color w:val="auto"/>
          <w:highlight w:val="none"/>
          <w:u w:val="single"/>
        </w:rPr>
        <w:t>在施工期间承包人申请更换项目经理必须得到总监理工程师和发包人同意，并向发包人支付合同额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04FEF3FA">
      <w:pPr>
        <w:pStyle w:val="91"/>
        <w:spacing w:before="120" w:after="120" w:line="440" w:lineRule="exact"/>
        <w:outlineLvl w:val="0"/>
        <w:rPr>
          <w:rFonts w:ascii="宋体" w:hAnsi="宋体"/>
          <w:color w:val="auto"/>
          <w:highlight w:val="none"/>
        </w:rPr>
      </w:pPr>
      <w:r>
        <w:rPr>
          <w:rFonts w:hint="eastAsia" w:ascii="宋体" w:hAnsi="宋体"/>
          <w:color w:val="auto"/>
          <w:highlight w:val="none"/>
        </w:rPr>
        <w:t>3.3  承包人人员</w:t>
      </w:r>
    </w:p>
    <w:p w14:paraId="55EFDDB2">
      <w:pPr>
        <w:pStyle w:val="77"/>
        <w:spacing w:line="440" w:lineRule="exact"/>
        <w:ind w:firstLine="484" w:firstLineChars="202"/>
        <w:rPr>
          <w:rFonts w:hint="eastAsia" w:ascii="宋体" w:hAnsi="宋体"/>
          <w:color w:val="auto"/>
          <w:highlight w:val="none"/>
          <w:u w:val="single"/>
        </w:rPr>
      </w:pPr>
      <w:r>
        <w:rPr>
          <w:rFonts w:hint="eastAsia" w:ascii="宋体" w:hAnsi="宋体"/>
          <w:color w:val="auto"/>
          <w:highlight w:val="none"/>
        </w:rPr>
        <w:t>3.3.1  承包人提交项目管理机构及施工现场管理人员安排报告的期限：</w:t>
      </w:r>
      <w:r>
        <w:rPr>
          <w:rFonts w:hint="eastAsia" w:ascii="宋体" w:hAnsi="宋体"/>
          <w:color w:val="auto"/>
          <w:highlight w:val="none"/>
          <w:u w:val="single"/>
        </w:rPr>
        <w:t>应在接到开工通知后7天内，向监理人提交承包人项目管理机构及施工现场人员安排的报告。</w:t>
      </w:r>
    </w:p>
    <w:p w14:paraId="0675C70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3.3.3  承包人无正当理由拒绝撤换主要施工管理人员（不含项目经理、技术负责人、安全员）的违约责任：</w:t>
      </w:r>
      <w:r>
        <w:rPr>
          <w:rFonts w:hint="eastAsia" w:ascii="宋体" w:hAnsi="宋体"/>
          <w:color w:val="auto"/>
          <w:highlight w:val="none"/>
          <w:u w:val="single"/>
        </w:rPr>
        <w:t xml:space="preserve">监理工程师有权拒绝进行相关工程验收直至按要求更换令监理工程师和发包人满意的施工管理人员为止 </w:t>
      </w:r>
      <w:r>
        <w:rPr>
          <w:rFonts w:hint="eastAsia" w:ascii="宋体" w:hAnsi="宋体"/>
          <w:color w:val="auto"/>
          <w:highlight w:val="none"/>
          <w:u w:val="none"/>
        </w:rPr>
        <w:t xml:space="preserve">。 </w:t>
      </w:r>
    </w:p>
    <w:p w14:paraId="33477950">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3.3.4  承包人主要施工管理人员离开施工现场的批准要求：</w:t>
      </w:r>
      <w:r>
        <w:rPr>
          <w:rFonts w:hint="eastAsia" w:ascii="宋体" w:hAnsi="宋体"/>
          <w:color w:val="auto"/>
          <w:highlight w:val="none"/>
          <w:u w:val="single"/>
        </w:rPr>
        <w:t xml:space="preserve">按《通用合同条款》第3.3.4条执行。 </w:t>
      </w:r>
    </w:p>
    <w:p w14:paraId="2A01847E">
      <w:pPr>
        <w:pStyle w:val="77"/>
        <w:spacing w:line="440" w:lineRule="exact"/>
        <w:ind w:firstLine="484" w:firstLineChars="202"/>
        <w:rPr>
          <w:rFonts w:ascii="宋体" w:hAnsi="宋体"/>
          <w:color w:val="auto"/>
          <w:highlight w:val="none"/>
        </w:rPr>
      </w:pPr>
      <w:r>
        <w:rPr>
          <w:rFonts w:hint="eastAsia" w:ascii="宋体" w:hAnsi="宋体"/>
          <w:color w:val="auto"/>
          <w:highlight w:val="none"/>
        </w:rPr>
        <w:t>3.3.5承包人擅自更换主要施工管理人员的违约责任：</w:t>
      </w:r>
      <w:r>
        <w:rPr>
          <w:rFonts w:hint="eastAsia" w:ascii="宋体" w:hAnsi="宋体"/>
          <w:color w:val="auto"/>
          <w:kern w:val="0"/>
          <w:highlight w:val="none"/>
          <w:u w:val="single"/>
        </w:rPr>
        <w:t>向发包人支付违约金，技术负责人每变更一次，支付合同额的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，施工员、安全员每变更一次，支付合同额的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 xml:space="preserve">。  </w:t>
      </w:r>
    </w:p>
    <w:p w14:paraId="7B213CF1">
      <w:pPr>
        <w:pStyle w:val="77"/>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承包人主要施工管理人员擅自离开施工现场的违约责任：</w:t>
      </w:r>
      <w:r>
        <w:rPr>
          <w:rFonts w:hint="eastAsia" w:ascii="宋体" w:hAnsi="宋体"/>
          <w:color w:val="auto"/>
          <w:kern w:val="0"/>
          <w:highlight w:val="none"/>
          <w:u w:val="single"/>
        </w:rPr>
        <w:t>向发包人支付违约金</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元/人·日。 </w:t>
      </w:r>
    </w:p>
    <w:p w14:paraId="6E8B6709">
      <w:pPr>
        <w:pStyle w:val="91"/>
        <w:spacing w:before="120" w:after="120" w:line="440" w:lineRule="exact"/>
        <w:outlineLvl w:val="0"/>
        <w:rPr>
          <w:rFonts w:ascii="宋体" w:hAnsi="宋体"/>
          <w:color w:val="auto"/>
          <w:highlight w:val="none"/>
        </w:rPr>
      </w:pPr>
      <w:r>
        <w:rPr>
          <w:rFonts w:hint="eastAsia" w:ascii="宋体" w:hAnsi="宋体"/>
          <w:color w:val="auto"/>
          <w:highlight w:val="none"/>
        </w:rPr>
        <w:t>3.5 分包</w:t>
      </w:r>
    </w:p>
    <w:p w14:paraId="38C4ACFE">
      <w:pPr>
        <w:pStyle w:val="77"/>
        <w:spacing w:line="440" w:lineRule="exact"/>
        <w:ind w:firstLine="468" w:firstLineChars="195"/>
        <w:rPr>
          <w:rFonts w:ascii="宋体" w:hAnsi="宋体"/>
          <w:color w:val="auto"/>
          <w:highlight w:val="none"/>
        </w:rPr>
      </w:pPr>
      <w:r>
        <w:rPr>
          <w:rFonts w:hint="eastAsia" w:ascii="宋体" w:hAnsi="宋体"/>
          <w:color w:val="auto"/>
          <w:highlight w:val="none"/>
        </w:rPr>
        <w:t>本工程不允许分包。</w:t>
      </w:r>
    </w:p>
    <w:p w14:paraId="57534265">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3.6  工程照管与成品、半成品保护 </w:t>
      </w:r>
    </w:p>
    <w:p w14:paraId="1FA04334">
      <w:pPr>
        <w:pStyle w:val="77"/>
        <w:spacing w:before="120" w:after="120" w:line="440" w:lineRule="exact"/>
        <w:ind w:firstLine="480" w:firstLineChars="200"/>
        <w:rPr>
          <w:rFonts w:ascii="宋体" w:hAnsi="宋体"/>
          <w:color w:val="auto"/>
          <w:kern w:val="0"/>
          <w:highlight w:val="none"/>
          <w:u w:val="single"/>
        </w:rPr>
      </w:pPr>
      <w:r>
        <w:rPr>
          <w:rFonts w:hint="eastAsia" w:ascii="宋体" w:hAnsi="宋体"/>
          <w:color w:val="auto"/>
          <w:kern w:val="0"/>
          <w:highlight w:val="none"/>
        </w:rPr>
        <w:t>承包人负责照管工程及工程相关的材料、工程设备的起始时间：</w:t>
      </w:r>
      <w:r>
        <w:rPr>
          <w:rFonts w:hint="eastAsia" w:ascii="宋体" w:hAnsi="宋体"/>
          <w:color w:val="auto"/>
          <w:kern w:val="0"/>
          <w:highlight w:val="none"/>
          <w:u w:val="single"/>
        </w:rPr>
        <w:t xml:space="preserve">自发包人向承包人移交施工现场之日起至颁发工程接收证书之日止。  </w:t>
      </w:r>
    </w:p>
    <w:p w14:paraId="76427E76">
      <w:pPr>
        <w:pStyle w:val="91"/>
        <w:spacing w:before="120" w:after="120" w:line="440" w:lineRule="exact"/>
        <w:outlineLvl w:val="0"/>
        <w:rPr>
          <w:rFonts w:ascii="宋体" w:hAnsi="宋体"/>
          <w:color w:val="auto"/>
          <w:highlight w:val="none"/>
        </w:rPr>
      </w:pPr>
      <w:r>
        <w:rPr>
          <w:rFonts w:hint="eastAsia" w:ascii="宋体" w:hAnsi="宋体"/>
          <w:color w:val="auto"/>
          <w:highlight w:val="none"/>
        </w:rPr>
        <w:t>3.7  履约担保</w:t>
      </w:r>
    </w:p>
    <w:p w14:paraId="217BAFE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承包人是否提供履约担保：</w:t>
      </w:r>
      <w:r>
        <w:rPr>
          <w:rFonts w:hint="eastAsia" w:ascii="宋体" w:hAnsi="宋体"/>
          <w:color w:val="auto"/>
          <w:highlight w:val="none"/>
          <w:u w:val="single"/>
          <w:lang w:val="en-US" w:eastAsia="zh-CN"/>
        </w:rPr>
        <w:t>是</w:t>
      </w:r>
      <w:r>
        <w:rPr>
          <w:rFonts w:hint="eastAsia" w:ascii="宋体" w:hAnsi="宋体"/>
          <w:color w:val="auto"/>
          <w:highlight w:val="none"/>
          <w:u w:val="single"/>
        </w:rPr>
        <w:t xml:space="preserve"> </w:t>
      </w:r>
      <w:r>
        <w:rPr>
          <w:rFonts w:hint="eastAsia" w:ascii="宋体" w:hAnsi="宋体"/>
          <w:color w:val="auto"/>
          <w:highlight w:val="none"/>
        </w:rPr>
        <w:t>。</w:t>
      </w:r>
    </w:p>
    <w:p w14:paraId="17A2B74D">
      <w:pPr>
        <w:spacing w:line="400" w:lineRule="exact"/>
        <w:ind w:firstLine="380" w:firstLineChars="181"/>
        <w:rPr>
          <w:rFonts w:hint="eastAsia" w:ascii="宋体" w:hAnsi="宋体" w:eastAsia="宋体" w:cs="宋体"/>
          <w:b w:val="0"/>
          <w:bCs w:val="0"/>
          <w:color w:val="auto"/>
          <w:kern w:val="0"/>
          <w:sz w:val="24"/>
          <w:szCs w:val="24"/>
          <w:u w:val="single"/>
          <w:lang w:eastAsia="zh-CN"/>
        </w:rPr>
      </w:pPr>
      <w:r>
        <w:rPr>
          <w:rFonts w:hint="eastAsia" w:ascii="宋体" w:hAnsi="宋体"/>
          <w:color w:val="auto"/>
          <w:highlight w:val="none"/>
        </w:rPr>
        <w:t>承包人提供履约担保的形式、金额及期限的：</w:t>
      </w:r>
      <w:r>
        <w:rPr>
          <w:rFonts w:hint="eastAsia" w:ascii="宋体" w:hAnsi="宋体"/>
          <w:color w:val="auto"/>
          <w:sz w:val="24"/>
          <w:szCs w:val="24"/>
          <w:highlight w:val="none"/>
          <w:u w:val="single"/>
          <w:lang w:eastAsia="zh-CN"/>
        </w:rPr>
        <w:t>在签订合同时向发包人缴交</w:t>
      </w:r>
      <w:r>
        <w:rPr>
          <w:rFonts w:hint="eastAsia" w:ascii="宋体" w:hAnsi="宋体"/>
          <w:color w:val="auto"/>
          <w:sz w:val="24"/>
          <w:szCs w:val="24"/>
          <w:highlight w:val="none"/>
          <w:u w:val="single"/>
          <w:lang w:val="en-US" w:eastAsia="zh-CN"/>
        </w:rPr>
        <w:t>中标合同价的2%</w:t>
      </w:r>
      <w:r>
        <w:rPr>
          <w:rFonts w:hint="eastAsia" w:ascii="宋体" w:hAnsi="宋体"/>
          <w:color w:val="auto"/>
          <w:sz w:val="24"/>
          <w:szCs w:val="24"/>
          <w:highlight w:val="none"/>
          <w:u w:val="single"/>
        </w:rPr>
        <w:t xml:space="preserve"> </w:t>
      </w:r>
      <w:r>
        <w:rPr>
          <w:rFonts w:hint="eastAsia" w:ascii="宋体" w:hAnsi="宋体" w:eastAsia="宋体" w:cs="宋体"/>
          <w:color w:val="auto"/>
          <w:spacing w:val="20"/>
          <w:sz w:val="24"/>
          <w:szCs w:val="24"/>
          <w:highlight w:val="none"/>
          <w:u w:val="single"/>
        </w:rPr>
        <w:t>履约保证金</w:t>
      </w:r>
      <w:r>
        <w:rPr>
          <w:rFonts w:hint="eastAsia" w:ascii="宋体" w:hAnsi="宋体" w:eastAsia="宋体" w:cs="宋体"/>
          <w:b w:val="0"/>
          <w:bCs w:val="0"/>
          <w:color w:val="auto"/>
          <w:sz w:val="24"/>
          <w:szCs w:val="24"/>
          <w:u w:val="single"/>
        </w:rPr>
        <w:t>，承包人可采用现金、银行保函、工程担保或保证保险等形式支付</w:t>
      </w:r>
      <w:r>
        <w:rPr>
          <w:rFonts w:hint="eastAsia" w:ascii="宋体" w:hAnsi="宋体" w:eastAsia="宋体" w:cs="宋体"/>
          <w:b w:val="0"/>
          <w:bCs w:val="0"/>
          <w:color w:val="auto"/>
          <w:kern w:val="0"/>
          <w:sz w:val="24"/>
          <w:szCs w:val="24"/>
          <w:u w:val="single"/>
        </w:rPr>
        <w:t>履约担保金。履约保证金在施工合同按约定履行完毕后无息退回。</w:t>
      </w:r>
    </w:p>
    <w:p w14:paraId="06014464">
      <w:pPr>
        <w:pStyle w:val="91"/>
        <w:spacing w:before="120" w:after="120" w:line="440" w:lineRule="exact"/>
        <w:outlineLvl w:val="0"/>
        <w:rPr>
          <w:rFonts w:ascii="宋体" w:hAnsi="宋体"/>
          <w:color w:val="auto"/>
          <w:highlight w:val="none"/>
        </w:rPr>
      </w:pPr>
      <w:r>
        <w:rPr>
          <w:rFonts w:hint="eastAsia" w:ascii="宋体" w:hAnsi="宋体"/>
          <w:color w:val="auto"/>
          <w:highlight w:val="none"/>
        </w:rPr>
        <w:t>3.8  联合体</w:t>
      </w:r>
    </w:p>
    <w:p w14:paraId="00246ECC">
      <w:pPr>
        <w:pStyle w:val="77"/>
        <w:spacing w:line="440" w:lineRule="exact"/>
        <w:ind w:firstLine="470" w:firstLineChars="196"/>
        <w:jc w:val="left"/>
        <w:rPr>
          <w:rFonts w:ascii="宋体" w:hAnsi="宋体"/>
          <w:color w:val="auto"/>
          <w:highlight w:val="none"/>
        </w:rPr>
      </w:pPr>
      <w:r>
        <w:rPr>
          <w:rFonts w:hint="eastAsia" w:ascii="宋体" w:hAnsi="宋体"/>
          <w:color w:val="auto"/>
          <w:highlight w:val="none"/>
        </w:rPr>
        <w:t>本工程不接受联合体投标。</w:t>
      </w:r>
    </w:p>
    <w:p w14:paraId="27B254B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3.9  工程价款应专款专用</w:t>
      </w:r>
    </w:p>
    <w:p w14:paraId="0D883CB8">
      <w:pPr>
        <w:pStyle w:val="77"/>
        <w:spacing w:line="440" w:lineRule="exact"/>
        <w:ind w:firstLine="480" w:firstLineChars="200"/>
        <w:rPr>
          <w:rFonts w:ascii="宋体" w:hAnsi="宋体"/>
          <w:color w:val="auto"/>
          <w:highlight w:val="none"/>
        </w:rPr>
      </w:pPr>
      <w:r>
        <w:rPr>
          <w:rFonts w:hint="eastAsia" w:ascii="宋体" w:hAnsi="宋体"/>
          <w:color w:val="auto"/>
          <w:highlight w:val="none"/>
        </w:rPr>
        <w:t>3.9.1承包人应向发包人授权进行本合同工程开户银行工程资金的查询。发包人支付的工程进度款应为本工程的专款专用资金，不得转移或用于其他工程。发包人的期中支付款将转入承包人指定并经发包人同意的银行所设的专门账户，发包人及其派出机构有权不定期对承包人工程资金使用情况进行检查，发现问题及时责令承包人限期改正，否则，将中止月支付，直至承包人改正为止，承包人不得以中止月支付为由而停工及索赔。</w:t>
      </w:r>
    </w:p>
    <w:p w14:paraId="0360E5D0">
      <w:pPr>
        <w:pStyle w:val="77"/>
        <w:spacing w:line="440" w:lineRule="exact"/>
        <w:ind w:firstLine="480" w:firstLineChars="200"/>
        <w:rPr>
          <w:rFonts w:ascii="宋体" w:hAnsi="宋体"/>
          <w:color w:val="auto"/>
          <w:highlight w:val="none"/>
        </w:rPr>
      </w:pPr>
      <w:r>
        <w:rPr>
          <w:rFonts w:hint="eastAsia" w:ascii="宋体" w:hAnsi="宋体"/>
          <w:color w:val="auto"/>
          <w:highlight w:val="none"/>
        </w:rPr>
        <w:t>3.9.2承包人应根据钦州市建管规定【2017】49号文以及《钦州市建设领域农民工工资支付监管暂行办法》等相关规定，承包人对建设项目的工程款中的工人工资与其他款项实行分开银行账户管理，在当地银行设立“农民工工资支付专用账户”用于支付工人工资。农民工工资支付专用账户内的资金除发放工人工资外，不得用于其它用途。农民工工资支付专用户的开立、使用和管理应按照银行相关规定执行。</w:t>
      </w:r>
    </w:p>
    <w:p w14:paraId="17490EA2">
      <w:pPr>
        <w:pStyle w:val="77"/>
        <w:spacing w:line="440" w:lineRule="exact"/>
        <w:ind w:firstLine="480" w:firstLineChars="200"/>
        <w:rPr>
          <w:rFonts w:ascii="宋体" w:hAnsi="宋体"/>
          <w:color w:val="auto"/>
          <w:highlight w:val="none"/>
        </w:rPr>
      </w:pPr>
      <w:r>
        <w:rPr>
          <w:rFonts w:hint="eastAsia" w:ascii="宋体" w:hAnsi="宋体"/>
          <w:color w:val="auto"/>
          <w:highlight w:val="none"/>
        </w:rPr>
        <w:t>3.9.3发包人拨付的工程进度款中工人工资所占进比例为工程进度款应付金额乘以（承包人投标报价中人工费/投标总价），从进度款中单独拨付到承包人开设的农民工工资专用账户。</w:t>
      </w:r>
    </w:p>
    <w:p w14:paraId="3981C79E">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（1）必须在用工之日起15日内为每一位工人办理银行卡，用于发放工资； </w:t>
      </w:r>
    </w:p>
    <w:p w14:paraId="26ADC6EF">
      <w:pPr>
        <w:pStyle w:val="77"/>
        <w:spacing w:line="440" w:lineRule="exact"/>
        <w:ind w:firstLine="480" w:firstLineChars="200"/>
        <w:rPr>
          <w:rFonts w:ascii="宋体" w:hAnsi="宋体"/>
          <w:color w:val="auto"/>
          <w:highlight w:val="none"/>
        </w:rPr>
      </w:pPr>
      <w:r>
        <w:rPr>
          <w:rFonts w:hint="eastAsia" w:ascii="宋体" w:hAnsi="宋体"/>
          <w:color w:val="auto"/>
          <w:highlight w:val="none"/>
        </w:rPr>
        <w:t>（2）承包人必须通过农民工工资支付专用户，依法按时足额将工人工资直接支付到工人的工资个人账户，并按月及时将工人工资支付明细表报发包人、施工总承包单位和当地劳动保障监督部门备案；</w:t>
      </w:r>
    </w:p>
    <w:p w14:paraId="708B4A49">
      <w:pPr>
        <w:pStyle w:val="77"/>
        <w:spacing w:line="440" w:lineRule="exact"/>
        <w:ind w:firstLine="480" w:firstLineChars="200"/>
        <w:rPr>
          <w:rFonts w:ascii="宋体" w:hAnsi="宋体"/>
          <w:color w:val="auto"/>
          <w:highlight w:val="none"/>
        </w:rPr>
      </w:pPr>
      <w:r>
        <w:rPr>
          <w:rFonts w:hint="eastAsia" w:ascii="宋体" w:hAnsi="宋体"/>
          <w:color w:val="auto"/>
          <w:highlight w:val="none"/>
        </w:rPr>
        <w:t>（3）承包人要指定专人负责建设项目施工现场台账管理，真实、准确记录工人名册、劳务合同、劳动合同、工程进度、工时台账、劳务承包款和工人工资支付等信息，并保存两年以上备查。</w:t>
      </w:r>
    </w:p>
    <w:p w14:paraId="34DE0AE9">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 承包人未按照合同约定或国家规定及时足额支付工人工资的，由人社部门责令其限期支付，逾期不支付的，依法作出行政处理（处罚）决定。</w:t>
      </w:r>
    </w:p>
    <w:p w14:paraId="5E1D9E45">
      <w:pPr>
        <w:pStyle w:val="91"/>
        <w:spacing w:before="120" w:after="120" w:line="440" w:lineRule="exact"/>
        <w:outlineLvl w:val="0"/>
        <w:rPr>
          <w:rFonts w:ascii="宋体" w:hAnsi="宋体"/>
          <w:color w:val="auto"/>
          <w:highlight w:val="none"/>
        </w:rPr>
      </w:pPr>
      <w:r>
        <w:rPr>
          <w:rFonts w:hint="eastAsia" w:ascii="宋体" w:hAnsi="宋体"/>
          <w:color w:val="auto"/>
          <w:highlight w:val="none"/>
        </w:rPr>
        <w:t>4.   监理人</w:t>
      </w:r>
    </w:p>
    <w:p w14:paraId="7EE3C6BC">
      <w:pPr>
        <w:pStyle w:val="91"/>
        <w:spacing w:before="120" w:after="120" w:line="440" w:lineRule="exact"/>
        <w:outlineLvl w:val="0"/>
        <w:rPr>
          <w:rFonts w:ascii="宋体" w:hAnsi="宋体"/>
          <w:color w:val="auto"/>
          <w:highlight w:val="none"/>
        </w:rPr>
      </w:pPr>
      <w:r>
        <w:rPr>
          <w:rFonts w:hint="eastAsia" w:ascii="宋体" w:hAnsi="宋体"/>
          <w:color w:val="auto"/>
          <w:highlight w:val="none"/>
        </w:rPr>
        <w:t>4.1 监理人的一般规定</w:t>
      </w:r>
    </w:p>
    <w:p w14:paraId="378382CD">
      <w:pPr>
        <w:widowControl w:val="0"/>
        <w:spacing w:line="360" w:lineRule="auto"/>
        <w:ind w:firstLine="480" w:firstLineChars="200"/>
        <w:jc w:val="left"/>
        <w:rPr>
          <w:rStyle w:val="32"/>
          <w:rFonts w:ascii="Calibri" w:hAnsi="Calibri" w:eastAsia="宋体" w:cs="Times New Roman"/>
          <w:color w:val="auto"/>
          <w:kern w:val="2"/>
          <w:sz w:val="24"/>
          <w:szCs w:val="24"/>
          <w:lang w:val="en-US" w:eastAsia="zh-CN" w:bidi="ar-SA"/>
        </w:rPr>
      </w:pPr>
      <w:r>
        <w:rPr>
          <w:rStyle w:val="32"/>
          <w:rFonts w:hint="eastAsia" w:ascii="Calibri" w:hAnsi="宋体" w:eastAsia="宋体" w:cs="宋体"/>
          <w:color w:val="auto"/>
          <w:kern w:val="2"/>
          <w:sz w:val="24"/>
          <w:szCs w:val="24"/>
          <w:lang w:val="en-US" w:eastAsia="zh-CN" w:bidi="ar-SA"/>
        </w:rPr>
        <w:t>关于监理人的监理内容：</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宋体" w:hAnsi="宋体" w:eastAsia="宋体" w:cs="Times New Roman"/>
          <w:color w:val="auto"/>
          <w:kern w:val="2"/>
          <w:sz w:val="24"/>
          <w:szCs w:val="24"/>
          <w:u w:val="single"/>
          <w:lang w:val="en-US" w:eastAsia="zh-CN" w:bidi="ar-SA"/>
        </w:rPr>
        <w:t>工程施工准备、工程施工、工程竣工及结算审核等工作</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Calibri" w:hAnsi="宋体" w:eastAsia="宋体" w:cs="宋体"/>
          <w:color w:val="auto"/>
          <w:kern w:val="2"/>
          <w:sz w:val="24"/>
          <w:szCs w:val="24"/>
          <w:lang w:val="en-US" w:eastAsia="zh-CN" w:bidi="ar-SA"/>
        </w:rPr>
        <w:t>。</w:t>
      </w:r>
    </w:p>
    <w:p w14:paraId="733F9482">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Calibri" w:hAnsi="宋体" w:eastAsia="宋体" w:cs="宋体"/>
          <w:color w:val="auto"/>
          <w:kern w:val="2"/>
          <w:sz w:val="24"/>
          <w:szCs w:val="24"/>
          <w:lang w:val="en-US" w:eastAsia="zh-CN" w:bidi="ar-SA"/>
        </w:rPr>
        <w:t>关于监理人的监理权限：</w:t>
      </w:r>
      <w:r>
        <w:rPr>
          <w:rStyle w:val="32"/>
          <w:rFonts w:hint="eastAsia" w:ascii="宋体" w:hAnsi="宋体" w:eastAsia="宋体" w:cs="Times New Roman"/>
          <w:color w:val="auto"/>
          <w:kern w:val="2"/>
          <w:sz w:val="24"/>
          <w:szCs w:val="24"/>
          <w:lang w:val="en-US" w:eastAsia="zh-CN" w:bidi="ar-SA"/>
        </w:rPr>
        <w:t>（1）</w:t>
      </w:r>
      <w:r>
        <w:rPr>
          <w:rStyle w:val="32"/>
          <w:rFonts w:hint="eastAsia" w:ascii="宋体" w:hAnsi="宋体" w:eastAsia="宋体" w:cs="Times New Roman"/>
          <w:color w:val="auto"/>
          <w:kern w:val="2"/>
          <w:sz w:val="24"/>
          <w:szCs w:val="24"/>
          <w:u w:val="single"/>
          <w:lang w:val="en-US" w:eastAsia="zh-CN" w:bidi="ar-SA"/>
        </w:rPr>
        <w:t>在施工承包合同实施过程中，全面负责对工程的监督、管理和检查，协调发包人与承包人之间的关系，负责对合同文件作出解释和说明，处理矛盾，以确保合同圆满执行，但无权修改合同。</w:t>
      </w:r>
    </w:p>
    <w:p w14:paraId="731C35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（2）</w:t>
      </w:r>
      <w:r>
        <w:rPr>
          <w:rStyle w:val="32"/>
          <w:rFonts w:hint="eastAsia" w:ascii="宋体" w:hAnsi="宋体" w:eastAsia="宋体" w:cs="Times New Roman"/>
          <w:color w:val="auto"/>
          <w:kern w:val="2"/>
          <w:sz w:val="24"/>
          <w:szCs w:val="24"/>
          <w:u w:val="single"/>
          <w:lang w:val="en-US" w:eastAsia="zh-CN" w:bidi="ar-SA"/>
        </w:rPr>
        <w:t>施工阶段设计变更需经监理工程师签认后方可下发。承包人的工程变更请求需经监理工程师签认后，由承包人提请发包人和设计单位审查批准。监理工程师的签认不影响设计单位所承担的技术责任。</w:t>
      </w:r>
    </w:p>
    <w:p w14:paraId="6FDF3C08">
      <w:pPr>
        <w:widowControl w:val="0"/>
        <w:spacing w:line="440" w:lineRule="exact"/>
        <w:ind w:firstLine="360" w:firstLineChars="150"/>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（3）</w:t>
      </w:r>
      <w:r>
        <w:rPr>
          <w:rStyle w:val="32"/>
          <w:rFonts w:hint="eastAsia" w:ascii="宋体" w:hAnsi="宋体" w:eastAsia="宋体" w:cs="Times New Roman"/>
          <w:color w:val="auto"/>
          <w:kern w:val="2"/>
          <w:sz w:val="24"/>
          <w:szCs w:val="24"/>
          <w:u w:val="single"/>
          <w:lang w:val="en-US" w:eastAsia="zh-CN" w:bidi="ar-SA"/>
        </w:rPr>
        <w:t>当发现工程进度比计划拖期时，有权指令承包人采取措施，尽快纠正。在施工进度严重延误，并经多次警告仍未纠正的情况下，有权提出补救方案或终止合同的建议。</w:t>
      </w:r>
    </w:p>
    <w:p w14:paraId="3DADBFA8">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（4）</w:t>
      </w:r>
      <w:r>
        <w:rPr>
          <w:rStyle w:val="32"/>
          <w:rFonts w:hint="eastAsia" w:ascii="宋体" w:hAnsi="宋体" w:eastAsia="宋体" w:cs="Times New Roman"/>
          <w:color w:val="auto"/>
          <w:kern w:val="2"/>
          <w:sz w:val="24"/>
          <w:szCs w:val="24"/>
          <w:u w:val="single"/>
          <w:lang w:val="en-US" w:eastAsia="zh-CN" w:bidi="ar-SA"/>
        </w:rPr>
        <w:t>当监理工程师认为工程质量或安全没有足够保障时，有权下达停工令，并提出处理意见。审查承包人复工报告，发布复工令。没有监理工程师的复工令，不得复工。</w:t>
      </w:r>
    </w:p>
    <w:p w14:paraId="53790E6F">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（5）</w:t>
      </w:r>
      <w:r>
        <w:rPr>
          <w:rStyle w:val="32"/>
          <w:rFonts w:hint="eastAsia" w:ascii="宋体" w:hAnsi="宋体" w:eastAsia="宋体" w:cs="Times New Roman"/>
          <w:color w:val="auto"/>
          <w:kern w:val="2"/>
          <w:sz w:val="24"/>
          <w:szCs w:val="24"/>
          <w:u w:val="single"/>
          <w:lang w:val="en-US" w:eastAsia="zh-CN" w:bidi="ar-SA"/>
        </w:rPr>
        <w:t>对不符合质量要求或无法证明质量符合要求的工程（含未经签证的隐蔽工程）有权要求承包人返工、复查、撤换人员。必要时可建议发包人更换承包人。</w:t>
      </w:r>
    </w:p>
    <w:p w14:paraId="2AC9953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（6）</w:t>
      </w:r>
      <w:r>
        <w:rPr>
          <w:rStyle w:val="32"/>
          <w:rFonts w:hint="eastAsia" w:ascii="宋体" w:hAnsi="宋体" w:eastAsia="宋体" w:cs="Times New Roman"/>
          <w:color w:val="auto"/>
          <w:kern w:val="2"/>
          <w:sz w:val="24"/>
          <w:szCs w:val="24"/>
          <w:u w:val="single"/>
          <w:lang w:val="en-US" w:eastAsia="zh-CN" w:bidi="ar-SA"/>
        </w:rPr>
        <w:t>指定试验单位或批准承包人提出的试验单位，核查试验结果。对试验结果有怀疑时，有权要求复试。</w:t>
      </w:r>
    </w:p>
    <w:p w14:paraId="55FC28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（7）</w:t>
      </w:r>
      <w:r>
        <w:rPr>
          <w:rStyle w:val="32"/>
          <w:rFonts w:hint="eastAsia" w:ascii="宋体" w:hAnsi="宋体" w:eastAsia="宋体" w:cs="Times New Roman"/>
          <w:color w:val="auto"/>
          <w:kern w:val="2"/>
          <w:sz w:val="24"/>
          <w:szCs w:val="24"/>
          <w:u w:val="single"/>
          <w:lang w:val="en-US" w:eastAsia="zh-CN" w:bidi="ar-SA"/>
        </w:rPr>
        <w:t>签证付款凭证（含临时付款及最终付款）。未经监理工程师签证，一律不付款。</w:t>
      </w:r>
    </w:p>
    <w:p w14:paraId="492DC15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（8）</w:t>
      </w:r>
      <w:r>
        <w:rPr>
          <w:rStyle w:val="32"/>
          <w:rFonts w:hint="eastAsia" w:ascii="宋体" w:hAnsi="宋体" w:eastAsia="宋体" w:cs="Times New Roman"/>
          <w:color w:val="auto"/>
          <w:kern w:val="2"/>
          <w:sz w:val="24"/>
          <w:szCs w:val="24"/>
          <w:u w:val="single"/>
          <w:lang w:val="en-US" w:eastAsia="zh-CN" w:bidi="ar-SA"/>
        </w:rPr>
        <w:t>有权拒绝不合格的或未经证明合格的设备和材料运入现场。对已运入现场的，经查不合格的设备和材料，有权指令承包人在规定时间内运出现场。</w:t>
      </w:r>
    </w:p>
    <w:p w14:paraId="4E02AD64">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（9）</w:t>
      </w:r>
      <w:r>
        <w:rPr>
          <w:rStyle w:val="32"/>
          <w:rFonts w:hint="eastAsia" w:ascii="宋体" w:hAnsi="宋体" w:eastAsia="宋体" w:cs="Times New Roman"/>
          <w:color w:val="auto"/>
          <w:kern w:val="2"/>
          <w:sz w:val="24"/>
          <w:szCs w:val="24"/>
          <w:u w:val="single"/>
          <w:lang w:val="en-US" w:eastAsia="zh-CN" w:bidi="ar-SA"/>
        </w:rPr>
        <w:t>考察承包人的进场人员素质，包括技术水平、工作能力、工作态度，可以随时要求承包人撤换不称职的项目经理、技术负责人和不听从管理的施工班组和人员。</w:t>
      </w:r>
    </w:p>
    <w:p w14:paraId="797241A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（10）</w:t>
      </w:r>
      <w:r>
        <w:rPr>
          <w:rStyle w:val="32"/>
          <w:rFonts w:hint="eastAsia" w:ascii="宋体" w:hAnsi="宋体" w:eastAsia="宋体" w:cs="Times New Roman"/>
          <w:color w:val="auto"/>
          <w:kern w:val="2"/>
          <w:sz w:val="24"/>
          <w:szCs w:val="24"/>
          <w:u w:val="single"/>
          <w:lang w:val="en-US" w:eastAsia="zh-CN" w:bidi="ar-SA"/>
        </w:rPr>
        <w:t>检查违约事件。代表发包人向承包人索赔，同时处理承包人提出的各种索赔。经与发包人、承包人协商后决定处理意见。任何一方如不同意监理工程师的决定，可以提交有关部门仲裁。</w:t>
      </w:r>
    </w:p>
    <w:p w14:paraId="4787D7A9">
      <w:pPr>
        <w:widowControl w:val="0"/>
        <w:spacing w:line="360" w:lineRule="auto"/>
        <w:ind w:firstLine="480" w:firstLineChars="200"/>
        <w:jc w:val="left"/>
        <w:rPr>
          <w:rStyle w:val="32"/>
          <w:rFonts w:ascii="Times New Roman" w:hAnsi="Times New Roman" w:eastAsia="宋体" w:cs="Times New Roman"/>
          <w:color w:val="auto"/>
          <w:kern w:val="2"/>
          <w:sz w:val="24"/>
          <w:szCs w:val="24"/>
          <w:lang w:val="en-US" w:eastAsia="zh-CN" w:bidi="ar-SA"/>
        </w:rPr>
      </w:pPr>
      <w:r>
        <w:rPr>
          <w:rStyle w:val="32"/>
          <w:rFonts w:hint="eastAsia" w:ascii="宋体" w:hAnsi="宋体" w:eastAsia="宋体" w:cs="Times New Roman"/>
          <w:color w:val="auto"/>
          <w:kern w:val="2"/>
          <w:sz w:val="24"/>
          <w:szCs w:val="24"/>
          <w:lang w:val="en-US" w:eastAsia="zh-CN" w:bidi="ar-SA"/>
        </w:rPr>
        <w:t>（11）</w:t>
      </w:r>
      <w:r>
        <w:rPr>
          <w:rStyle w:val="32"/>
          <w:rFonts w:hint="eastAsia" w:ascii="宋体" w:hAnsi="宋体" w:eastAsia="宋体" w:cs="Times New Roman"/>
          <w:color w:val="auto"/>
          <w:kern w:val="2"/>
          <w:sz w:val="24"/>
          <w:szCs w:val="24"/>
          <w:u w:val="single"/>
          <w:lang w:val="en-US" w:eastAsia="zh-CN" w:bidi="ar-SA"/>
        </w:rPr>
        <w:t>监理工程师在现场监督工作中，发现工程质量和安全管理、环境保护和文明施工存在问题并发出整改通知，承包人在整改期限内没有整改合格的，监理单位可视情节轻重，对承包人下发每次100-5000元不等的违约金通知单，承包人应按违约金通知单金额支付违约金</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Style w:val="32"/>
          <w:rFonts w:ascii="Times New Roman" w:hAnsi="Times New Roman" w:eastAsia="宋体" w:cs="Times New Roman"/>
          <w:color w:val="auto"/>
          <w:kern w:val="2"/>
          <w:sz w:val="24"/>
          <w:szCs w:val="24"/>
          <w:lang w:val="en-US" w:eastAsia="zh-CN" w:bidi="ar-SA"/>
        </w:rPr>
        <w:t xml:space="preserve"> </w:t>
      </w:r>
    </w:p>
    <w:p w14:paraId="74720148">
      <w:pPr>
        <w:pStyle w:val="91"/>
        <w:spacing w:before="120" w:after="120" w:line="440" w:lineRule="exact"/>
        <w:outlineLvl w:val="0"/>
        <w:rPr>
          <w:rFonts w:ascii="宋体" w:hAnsi="宋体"/>
          <w:color w:val="auto"/>
          <w:highlight w:val="none"/>
        </w:rPr>
      </w:pPr>
      <w:r>
        <w:rPr>
          <w:rStyle w:val="32"/>
          <w:rFonts w:hint="eastAsia" w:ascii="Times New Roman" w:hAnsi="宋体" w:eastAsia="宋体" w:cs="宋体"/>
          <w:color w:val="auto"/>
          <w:kern w:val="2"/>
          <w:sz w:val="24"/>
          <w:szCs w:val="24"/>
          <w:lang w:val="en-US" w:eastAsia="zh-CN" w:bidi="ar-SA"/>
        </w:rPr>
        <w:t>关于监理人在施工现场的办公场所、生活场所的提供和费用承担的约定：</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Times New Roman" w:eastAsia="宋体" w:cs="Times New Roman"/>
          <w:color w:val="auto"/>
          <w:kern w:val="2"/>
          <w:sz w:val="24"/>
          <w:szCs w:val="24"/>
          <w:u w:val="single"/>
          <w:lang w:val="en-US" w:eastAsia="zh-CN" w:bidi="ar-SA"/>
        </w:rPr>
        <w:t>无</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Fonts w:hint="eastAsia" w:ascii="宋体" w:hAnsi="宋体"/>
          <w:color w:val="auto"/>
          <w:highlight w:val="none"/>
        </w:rPr>
        <w:t>4.2  监理人员</w:t>
      </w:r>
    </w:p>
    <w:p w14:paraId="6B307A5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总监理工程师：</w:t>
      </w:r>
      <w:r>
        <w:rPr>
          <w:rFonts w:hint="eastAsia" w:ascii="宋体" w:hAnsi="宋体"/>
          <w:color w:val="auto"/>
          <w:highlight w:val="none"/>
          <w:u w:val="single"/>
        </w:rPr>
        <w:t xml:space="preserve">                                                  </w:t>
      </w:r>
      <w:r>
        <w:rPr>
          <w:rFonts w:hint="eastAsia" w:ascii="宋体" w:hAnsi="宋体"/>
          <w:color w:val="auto"/>
          <w:highlight w:val="none"/>
        </w:rPr>
        <w:t>；</w:t>
      </w:r>
    </w:p>
    <w:p w14:paraId="21A764A4">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CA0A6ED">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rPr>
        <w:t>；</w:t>
      </w:r>
    </w:p>
    <w:p w14:paraId="46C8A941">
      <w:pPr>
        <w:pStyle w:val="77"/>
        <w:spacing w:line="440" w:lineRule="exact"/>
        <w:ind w:firstLine="480" w:firstLineChars="200"/>
        <w:rPr>
          <w:rFonts w:ascii="宋体" w:hAnsi="宋体"/>
          <w:color w:val="auto"/>
          <w:highlight w:val="none"/>
        </w:rPr>
      </w:pPr>
      <w:r>
        <w:rPr>
          <w:rFonts w:hint="eastAsia" w:ascii="宋体" w:hAnsi="宋体"/>
          <w:color w:val="auto"/>
          <w:highlight w:val="none"/>
        </w:rPr>
        <w:t>监理工程师执业资格证书号：</w:t>
      </w:r>
      <w:r>
        <w:rPr>
          <w:rFonts w:hint="eastAsia" w:ascii="宋体" w:hAnsi="宋体"/>
          <w:color w:val="auto"/>
          <w:highlight w:val="none"/>
          <w:u w:val="single"/>
        </w:rPr>
        <w:t xml:space="preserve">                                       </w:t>
      </w:r>
      <w:r>
        <w:rPr>
          <w:rFonts w:hint="eastAsia" w:ascii="宋体" w:hAnsi="宋体"/>
          <w:color w:val="auto"/>
          <w:highlight w:val="none"/>
        </w:rPr>
        <w:t>；</w:t>
      </w:r>
    </w:p>
    <w:p w14:paraId="7F599229">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05971BE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4DED3046">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3EC4B1D3">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关于监理人的其他约定：</w:t>
      </w:r>
      <w:r>
        <w:rPr>
          <w:rFonts w:hint="eastAsia" w:ascii="宋体" w:hAnsi="宋体"/>
          <w:color w:val="auto"/>
          <w:highlight w:val="none"/>
          <w:u w:val="single"/>
        </w:rPr>
        <w:t xml:space="preserve">                                           </w:t>
      </w:r>
      <w:r>
        <w:rPr>
          <w:rFonts w:hint="eastAsia" w:ascii="宋体" w:hAnsi="宋体"/>
          <w:color w:val="auto"/>
          <w:highlight w:val="none"/>
        </w:rPr>
        <w:t>。</w:t>
      </w:r>
    </w:p>
    <w:p w14:paraId="10267175">
      <w:pPr>
        <w:pStyle w:val="91"/>
        <w:spacing w:before="120" w:after="120" w:line="440" w:lineRule="exact"/>
        <w:outlineLvl w:val="0"/>
        <w:rPr>
          <w:rFonts w:ascii="宋体" w:hAnsi="宋体"/>
          <w:color w:val="auto"/>
          <w:highlight w:val="none"/>
        </w:rPr>
      </w:pPr>
      <w:r>
        <w:rPr>
          <w:rFonts w:hint="eastAsia" w:ascii="宋体" w:hAnsi="宋体"/>
          <w:color w:val="auto"/>
          <w:highlight w:val="none"/>
        </w:rPr>
        <w:t>4.3  监理人的指示</w:t>
      </w:r>
    </w:p>
    <w:p w14:paraId="234DFAF7">
      <w:pPr>
        <w:pStyle w:val="77"/>
        <w:spacing w:after="120" w:line="440" w:lineRule="exact"/>
        <w:ind w:firstLine="480" w:firstLineChars="200"/>
        <w:rPr>
          <w:rFonts w:ascii="宋体" w:hAnsi="宋体"/>
          <w:b/>
          <w:bCs/>
          <w:color w:val="auto"/>
          <w:highlight w:val="none"/>
        </w:rPr>
      </w:pPr>
      <w:r>
        <w:rPr>
          <w:rFonts w:hint="eastAsia" w:ascii="宋体" w:hAnsi="宋体"/>
          <w:color w:val="auto"/>
          <w:highlight w:val="none"/>
        </w:rPr>
        <w:t>监理人应按《通用合同条款》第4.3 款的约定向承包人发出指示，监理人的指示应盖有监理人授权的施工场地机构章，并由总监理工程师按约定授权的监理人员签字。总监理工程师不应将《通用合同条款》第4.4条款[商定或确定]约定由总监理工程师作出确定的权力授权或委托给其他监理人员。如影响到合同价款的指示，还须经发包人现场代表签字确认并加盖发包人公章，否则视同不影响合同价款。</w:t>
      </w:r>
    </w:p>
    <w:p w14:paraId="4AB2A25D">
      <w:pPr>
        <w:pStyle w:val="91"/>
        <w:spacing w:before="120" w:after="120" w:line="440" w:lineRule="exact"/>
        <w:outlineLvl w:val="0"/>
        <w:rPr>
          <w:rFonts w:ascii="宋体" w:hAnsi="宋体"/>
          <w:color w:val="auto"/>
          <w:highlight w:val="none"/>
        </w:rPr>
      </w:pPr>
      <w:r>
        <w:rPr>
          <w:rFonts w:hint="eastAsia" w:ascii="宋体" w:hAnsi="宋体"/>
          <w:color w:val="auto"/>
          <w:highlight w:val="none"/>
        </w:rPr>
        <w:t>5.  工程质量</w:t>
      </w:r>
    </w:p>
    <w:p w14:paraId="5600D1F7">
      <w:pPr>
        <w:pStyle w:val="91"/>
        <w:spacing w:before="120" w:after="120" w:line="440" w:lineRule="exact"/>
        <w:outlineLvl w:val="0"/>
        <w:rPr>
          <w:rFonts w:ascii="宋体" w:hAnsi="宋体"/>
          <w:color w:val="auto"/>
          <w:highlight w:val="none"/>
        </w:rPr>
      </w:pPr>
      <w:r>
        <w:rPr>
          <w:rFonts w:hint="eastAsia" w:ascii="宋体" w:hAnsi="宋体"/>
          <w:color w:val="auto"/>
          <w:highlight w:val="none"/>
        </w:rPr>
        <w:t>5.1  质量要求</w:t>
      </w:r>
    </w:p>
    <w:p w14:paraId="081568CB">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5.1.1质量合格</w:t>
      </w:r>
    </w:p>
    <w:p w14:paraId="281667D5">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5.1.2 特殊质量标准和要求：</w:t>
      </w:r>
      <w:r>
        <w:rPr>
          <w:rFonts w:hint="eastAsia" w:ascii="宋体" w:hAnsi="宋体"/>
          <w:color w:val="auto"/>
          <w:highlight w:val="none"/>
          <w:u w:val="single"/>
        </w:rPr>
        <w:t>无</w:t>
      </w:r>
      <w:r>
        <w:rPr>
          <w:rFonts w:hint="eastAsia" w:ascii="宋体" w:hAnsi="宋体"/>
          <w:color w:val="auto"/>
          <w:highlight w:val="none"/>
        </w:rPr>
        <w:t>。</w:t>
      </w:r>
    </w:p>
    <w:p w14:paraId="67A95EB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关于工程奖项的约定：</w:t>
      </w:r>
      <w:r>
        <w:rPr>
          <w:rFonts w:hint="eastAsia" w:ascii="宋体" w:hAnsi="宋体"/>
          <w:color w:val="auto"/>
          <w:highlight w:val="none"/>
          <w:u w:val="single"/>
        </w:rPr>
        <w:t xml:space="preserve">无 </w:t>
      </w:r>
      <w:r>
        <w:rPr>
          <w:rFonts w:hint="eastAsia" w:ascii="宋体" w:hAnsi="宋体"/>
          <w:color w:val="auto"/>
          <w:highlight w:val="none"/>
        </w:rPr>
        <w:t>。</w:t>
      </w:r>
    </w:p>
    <w:p w14:paraId="291EA8B6">
      <w:pPr>
        <w:pStyle w:val="91"/>
        <w:spacing w:before="120" w:after="120" w:line="440" w:lineRule="exact"/>
        <w:outlineLvl w:val="0"/>
        <w:rPr>
          <w:rFonts w:ascii="宋体" w:hAnsi="宋体"/>
          <w:color w:val="auto"/>
          <w:highlight w:val="none"/>
        </w:rPr>
      </w:pPr>
      <w:r>
        <w:rPr>
          <w:rFonts w:hint="eastAsia" w:ascii="宋体" w:hAnsi="宋体"/>
          <w:color w:val="auto"/>
          <w:highlight w:val="none"/>
        </w:rPr>
        <w:t>5.3  隐蔽工程检查</w:t>
      </w:r>
    </w:p>
    <w:p w14:paraId="48E5DCD8">
      <w:pPr>
        <w:pStyle w:val="77"/>
        <w:spacing w:line="440" w:lineRule="exact"/>
        <w:ind w:firstLine="484" w:firstLineChars="202"/>
        <w:jc w:val="left"/>
        <w:rPr>
          <w:rFonts w:hint="eastAsia" w:ascii="宋体" w:hAnsi="宋体" w:eastAsia="宋体"/>
          <w:color w:val="auto"/>
          <w:highlight w:val="none"/>
          <w:u w:val="single"/>
          <w:lang w:eastAsia="zh-CN"/>
        </w:rPr>
      </w:pPr>
      <w:r>
        <w:rPr>
          <w:rFonts w:hint="eastAsia" w:ascii="宋体" w:hAnsi="宋体"/>
          <w:color w:val="auto"/>
          <w:highlight w:val="none"/>
        </w:rPr>
        <w:t>5.3.2  承包人提前通知监理人隐蔽工程检查的期限的约定：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31D6E2D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监理人不能按时进行检查时，应提前</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小时提交书面延期要求。</w:t>
      </w:r>
    </w:p>
    <w:p w14:paraId="38609CA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小时。</w:t>
      </w:r>
    </w:p>
    <w:p w14:paraId="11710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6.  安全文明施工与环境保护</w:t>
      </w:r>
    </w:p>
    <w:p w14:paraId="679A93C0">
      <w:pPr>
        <w:pStyle w:val="91"/>
        <w:spacing w:before="120" w:after="120" w:line="440" w:lineRule="exact"/>
        <w:outlineLvl w:val="0"/>
        <w:rPr>
          <w:rFonts w:ascii="宋体" w:hAnsi="宋体"/>
          <w:color w:val="auto"/>
          <w:highlight w:val="none"/>
        </w:rPr>
      </w:pPr>
      <w:r>
        <w:rPr>
          <w:rFonts w:hint="eastAsia" w:ascii="宋体" w:hAnsi="宋体"/>
          <w:color w:val="auto"/>
          <w:highlight w:val="none"/>
        </w:rPr>
        <w:t>6.1 安全文明施工</w:t>
      </w:r>
    </w:p>
    <w:p w14:paraId="23D2AA86">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6.1.1  项目安全生产的达标目标及相应事项的约定：</w:t>
      </w:r>
      <w:r>
        <w:rPr>
          <w:rFonts w:hint="eastAsia" w:ascii="宋体" w:hAnsi="宋体"/>
          <w:color w:val="auto"/>
          <w:highlight w:val="none"/>
          <w:u w:val="single"/>
        </w:rPr>
        <w:t xml:space="preserve"> 无安全事故发生。 </w:t>
      </w:r>
    </w:p>
    <w:p w14:paraId="5A9141F2">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6.1.4  关于治安保卫的特别约定：</w:t>
      </w:r>
      <w:r>
        <w:rPr>
          <w:rFonts w:hint="eastAsia" w:ascii="宋体" w:hAnsi="宋体"/>
          <w:color w:val="auto"/>
          <w:highlight w:val="none"/>
          <w:u w:val="single"/>
        </w:rPr>
        <w:t xml:space="preserve">承包人应与当地公安部门协商，在现场建立治安管理机构或联防组织，统一管理施工场地的治安保卫事项，履行合同工程的治安保卫职责 </w:t>
      </w:r>
      <w:r>
        <w:rPr>
          <w:rFonts w:hint="eastAsia" w:ascii="宋体" w:hAnsi="宋体"/>
          <w:color w:val="auto"/>
          <w:highlight w:val="none"/>
        </w:rPr>
        <w:t>。</w:t>
      </w:r>
    </w:p>
    <w:p w14:paraId="5BECDCC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关于编制施工场地治安管理计划的约定：</w:t>
      </w:r>
      <w:r>
        <w:rPr>
          <w:rFonts w:hint="eastAsia" w:ascii="宋体" w:hAnsi="宋体"/>
          <w:color w:val="auto"/>
          <w:highlight w:val="none"/>
          <w:u w:val="single"/>
        </w:rPr>
        <w:t>承包人应在开工后7天内编制施工场地治安管理计划，并制定应对突发治安事件的紧急预案。</w:t>
      </w:r>
    </w:p>
    <w:p w14:paraId="55288A8A">
      <w:pPr>
        <w:pStyle w:val="77"/>
        <w:spacing w:line="440" w:lineRule="exact"/>
        <w:ind w:firstLine="537" w:firstLineChars="224"/>
        <w:jc w:val="left"/>
        <w:rPr>
          <w:rFonts w:ascii="宋体" w:hAnsi="宋体"/>
          <w:color w:val="auto"/>
          <w:highlight w:val="none"/>
        </w:rPr>
      </w:pPr>
      <w:r>
        <w:rPr>
          <w:rFonts w:hint="eastAsia" w:ascii="宋体" w:hAnsi="宋体"/>
          <w:color w:val="auto"/>
          <w:highlight w:val="none"/>
        </w:rPr>
        <w:t>6.1.5  文明施工</w:t>
      </w:r>
    </w:p>
    <w:p w14:paraId="4E9E70E3">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合同当事人对文明施工的要求：</w:t>
      </w:r>
      <w:r>
        <w:rPr>
          <w:rFonts w:hint="eastAsia" w:ascii="宋体" w:hAnsi="宋体"/>
          <w:color w:val="auto"/>
          <w:highlight w:val="none"/>
          <w:u w:val="single"/>
        </w:rPr>
        <w:t>承包人应按《钦州市市政工程质量和安全管理规定》（钦市建字［2009］55号）及有关规定做好工程质量和安全管理、环境保护和文明施工的工作，建立完善的工程质量和安全管理、环境保护和文明施工体系，严格遵照实施，并接受发包人及相关职能部门的监督检查。</w:t>
      </w:r>
    </w:p>
    <w:p w14:paraId="525D6DCF">
      <w:pPr>
        <w:pStyle w:val="77"/>
        <w:spacing w:line="440" w:lineRule="exact"/>
        <w:ind w:firstLine="484" w:firstLineChars="202"/>
        <w:rPr>
          <w:rFonts w:hint="default" w:ascii="宋体" w:hAnsi="宋体" w:eastAsia="宋体"/>
          <w:color w:val="auto"/>
          <w:kern w:val="0"/>
          <w:highlight w:val="none"/>
          <w:u w:val="single"/>
          <w:lang w:val="en-US" w:eastAsia="zh-CN"/>
        </w:rPr>
      </w:pPr>
      <w:r>
        <w:rPr>
          <w:rFonts w:hint="eastAsia" w:ascii="宋体" w:hAnsi="宋体"/>
          <w:color w:val="auto"/>
          <w:highlight w:val="none"/>
        </w:rPr>
        <w:t>6.1.6 关于安全文明施工费支付比例和支付期限的约定：</w:t>
      </w:r>
      <w:r>
        <w:rPr>
          <w:rFonts w:hint="eastAsia" w:ascii="宋体" w:hAnsi="宋体"/>
          <w:color w:val="auto"/>
          <w:highlight w:val="none"/>
          <w:u w:val="single"/>
          <w:lang w:val="en-US" w:eastAsia="zh-CN"/>
        </w:rPr>
        <w:t xml:space="preserve">        </w:t>
      </w:r>
      <w:r>
        <w:rPr>
          <w:rFonts w:hint="eastAsia" w:ascii="宋体" w:hAnsi="宋体"/>
          <w:color w:val="auto"/>
          <w:kern w:val="0"/>
          <w:highlight w:val="none"/>
          <w:u w:val="none"/>
          <w:lang w:val="en-US" w:eastAsia="zh-CN"/>
        </w:rPr>
        <w:t>。</w:t>
      </w:r>
    </w:p>
    <w:p w14:paraId="1BA981E7">
      <w:pPr>
        <w:pStyle w:val="77"/>
        <w:spacing w:line="440" w:lineRule="exact"/>
        <w:ind w:firstLine="537" w:firstLineChars="224"/>
        <w:jc w:val="left"/>
        <w:rPr>
          <w:rFonts w:ascii="宋体" w:hAnsi="宋体"/>
          <w:color w:val="auto"/>
          <w:kern w:val="0"/>
          <w:highlight w:val="none"/>
        </w:rPr>
      </w:pPr>
      <w:r>
        <w:rPr>
          <w:rFonts w:hint="eastAsia" w:ascii="宋体" w:hAnsi="宋体"/>
          <w:color w:val="auto"/>
          <w:kern w:val="0"/>
          <w:highlight w:val="none"/>
        </w:rPr>
        <w:t>6.1.9安全生产责任</w:t>
      </w:r>
    </w:p>
    <w:p w14:paraId="79E71094">
      <w:pPr>
        <w:pStyle w:val="77"/>
        <w:spacing w:line="440" w:lineRule="exact"/>
        <w:ind w:firstLine="484" w:firstLineChars="202"/>
        <w:jc w:val="left"/>
        <w:outlineLvl w:val="0"/>
        <w:rPr>
          <w:rFonts w:ascii="宋体" w:hAnsi="宋体"/>
          <w:color w:val="auto"/>
          <w:kern w:val="0"/>
          <w:highlight w:val="none"/>
        </w:rPr>
      </w:pPr>
      <w:r>
        <w:rPr>
          <w:rFonts w:hint="eastAsia" w:ascii="宋体" w:hAnsi="宋体"/>
          <w:color w:val="auto"/>
          <w:kern w:val="0"/>
          <w:highlight w:val="none"/>
        </w:rPr>
        <w:t>6.1.9.2 承包人的安全责任</w:t>
      </w:r>
    </w:p>
    <w:p w14:paraId="503255AA">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kern w:val="0"/>
          <w:highlight w:val="none"/>
          <w:lang w:val="en-US" w:eastAsia="zh-CN"/>
        </w:rPr>
        <w:t>1</w:t>
      </w:r>
      <w:r>
        <w:rPr>
          <w:rFonts w:hint="eastAsia" w:ascii="宋体" w:hAnsi="宋体"/>
          <w:color w:val="auto"/>
          <w:kern w:val="0"/>
          <w:highlight w:val="none"/>
        </w:rPr>
        <w:t xml:space="preserve"> </w:t>
      </w:r>
      <w:r>
        <w:rPr>
          <w:rFonts w:hint="eastAsia" w:ascii="宋体" w:hAnsi="宋体"/>
          <w:color w:val="auto"/>
          <w:highlight w:val="none"/>
        </w:rPr>
        <w:t>在实施和完成本合同工程及其缺陷修复的整个过程中，承包人应该：</w:t>
      </w:r>
    </w:p>
    <w:p w14:paraId="46DE52CD">
      <w:pPr>
        <w:pStyle w:val="77"/>
        <w:spacing w:line="440" w:lineRule="exact"/>
        <w:ind w:firstLine="360" w:firstLineChars="150"/>
        <w:rPr>
          <w:rFonts w:ascii="宋体" w:hAnsi="宋体"/>
          <w:color w:val="auto"/>
          <w:highlight w:val="none"/>
        </w:rPr>
      </w:pPr>
      <w:r>
        <w:rPr>
          <w:rFonts w:hint="eastAsia" w:ascii="宋体" w:hAnsi="宋体"/>
          <w:color w:val="auto"/>
          <w:highlight w:val="none"/>
        </w:rPr>
        <w:t>（1）特殊工种（电工、电梯工、起重工、电焊工、车船驾驶员、爆破工、潜水工、瓦斯检验员等）要经过专业培训，并持有专业主管部门签发的合格证上岗；</w:t>
      </w:r>
    </w:p>
    <w:p w14:paraId="7CFA683C">
      <w:pPr>
        <w:pStyle w:val="77"/>
        <w:spacing w:line="440" w:lineRule="exact"/>
        <w:ind w:firstLine="360" w:firstLineChars="150"/>
        <w:rPr>
          <w:rFonts w:ascii="宋体" w:hAnsi="宋体"/>
          <w:color w:val="auto"/>
          <w:highlight w:val="none"/>
        </w:rPr>
      </w:pPr>
      <w:r>
        <w:rPr>
          <w:rFonts w:hint="eastAsia" w:ascii="宋体" w:hAnsi="宋体"/>
          <w:color w:val="auto"/>
          <w:highlight w:val="none"/>
        </w:rPr>
        <w:t>（2）对于易燃易爆的材料除应专门保管之外，还应配备有足够的消防设备，所有施工人员都应熟悉消防设备的性能和使用方法；</w:t>
      </w:r>
    </w:p>
    <w:p w14:paraId="253170D0">
      <w:pPr>
        <w:pStyle w:val="77"/>
        <w:spacing w:line="440" w:lineRule="exact"/>
        <w:ind w:firstLine="360" w:firstLineChars="150"/>
        <w:rPr>
          <w:rFonts w:ascii="宋体" w:hAnsi="宋体"/>
          <w:color w:val="auto"/>
          <w:highlight w:val="none"/>
        </w:rPr>
      </w:pPr>
      <w:r>
        <w:rPr>
          <w:rFonts w:hint="eastAsia" w:ascii="宋体" w:hAnsi="宋体"/>
          <w:color w:val="auto"/>
          <w:highlight w:val="none"/>
        </w:rPr>
        <w:t>（3）所有施工机具设备和高空作业的设备均应定期检查，并有安全员的签字记录；</w:t>
      </w:r>
    </w:p>
    <w:p w14:paraId="01E5C484">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highlight w:val="none"/>
          <w:lang w:val="en-US" w:eastAsia="zh-CN"/>
        </w:rPr>
        <w:t>2</w:t>
      </w:r>
      <w:r>
        <w:rPr>
          <w:rFonts w:hint="eastAsia" w:ascii="宋体" w:hAnsi="宋体"/>
          <w:color w:val="auto"/>
          <w:highlight w:val="none"/>
        </w:rPr>
        <w:t>为了保护本合同工程免遭损坏，或为了现场附近和过往群众的安全与方便，在确有必要的时候和地方，或当有关主管部门要求时，承包人应自费提供照明、警卫、护栅、警告标志等安全防护设施；</w:t>
      </w:r>
    </w:p>
    <w:p w14:paraId="74C4E79A">
      <w:pPr>
        <w:pStyle w:val="91"/>
        <w:spacing w:before="120" w:after="120" w:line="440" w:lineRule="exact"/>
        <w:outlineLvl w:val="0"/>
        <w:rPr>
          <w:rFonts w:ascii="宋体" w:hAnsi="宋体"/>
          <w:color w:val="auto"/>
          <w:highlight w:val="none"/>
        </w:rPr>
      </w:pPr>
      <w:r>
        <w:rPr>
          <w:rFonts w:hint="eastAsia" w:ascii="宋体" w:hAnsi="宋体"/>
          <w:color w:val="auto"/>
          <w:highlight w:val="none"/>
        </w:rPr>
        <w:t>7.  工期和进度</w:t>
      </w:r>
    </w:p>
    <w:p w14:paraId="799B8D56">
      <w:pPr>
        <w:pStyle w:val="91"/>
        <w:spacing w:before="120" w:after="120" w:line="440" w:lineRule="exact"/>
        <w:outlineLvl w:val="0"/>
        <w:rPr>
          <w:rFonts w:ascii="宋体" w:hAnsi="宋体"/>
          <w:color w:val="auto"/>
          <w:highlight w:val="none"/>
        </w:rPr>
      </w:pPr>
      <w:r>
        <w:rPr>
          <w:rFonts w:hint="eastAsia" w:ascii="宋体" w:hAnsi="宋体"/>
          <w:color w:val="auto"/>
          <w:highlight w:val="none"/>
        </w:rPr>
        <w:t>7.1 施工组织设计</w:t>
      </w:r>
    </w:p>
    <w:p w14:paraId="42D4E8AC">
      <w:pPr>
        <w:pStyle w:val="77"/>
        <w:autoSpaceDE w:val="0"/>
        <w:autoSpaceDN w:val="0"/>
        <w:adjustRightInd w:val="0"/>
        <w:spacing w:line="440" w:lineRule="exact"/>
        <w:ind w:firstLine="484" w:firstLineChars="202"/>
        <w:jc w:val="left"/>
        <w:rPr>
          <w:rFonts w:ascii="宋体" w:hAnsi="宋体"/>
          <w:color w:val="auto"/>
          <w:kern w:val="0"/>
          <w:sz w:val="21"/>
          <w:szCs w:val="21"/>
          <w:highlight w:val="none"/>
          <w:u w:val="single"/>
        </w:rPr>
      </w:pPr>
      <w:r>
        <w:rPr>
          <w:rFonts w:hint="eastAsia" w:ascii="宋体" w:hAnsi="宋体"/>
          <w:color w:val="auto"/>
          <w:highlight w:val="none"/>
        </w:rPr>
        <w:t>7.1.1  合</w:t>
      </w:r>
      <w:r>
        <w:rPr>
          <w:rFonts w:hint="eastAsia" w:ascii="宋体" w:hAnsi="宋体"/>
          <w:color w:val="auto"/>
          <w:kern w:val="0"/>
          <w:highlight w:val="none"/>
        </w:rPr>
        <w:t>同当事人约定的施工组织设计应包括的其他内容：</w:t>
      </w:r>
      <w:r>
        <w:rPr>
          <w:rFonts w:hint="eastAsia" w:ascii="宋体" w:hAnsi="宋体" w:cs="宋体"/>
          <w:color w:val="auto"/>
          <w:sz w:val="28"/>
          <w:szCs w:val="28"/>
          <w:u w:val="single"/>
        </w:rPr>
        <w:t xml:space="preserve"> </w:t>
      </w:r>
      <w:r>
        <w:rPr>
          <w:rFonts w:hint="eastAsia" w:ascii="宋体" w:hAnsi="宋体" w:cs="宋体"/>
          <w:color w:val="auto"/>
          <w:sz w:val="21"/>
          <w:szCs w:val="21"/>
          <w:u w:val="single"/>
        </w:rPr>
        <w:t>按</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文件约定，</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文件无约定的按通用条款或双方另行约定</w:t>
      </w:r>
      <w:r>
        <w:rPr>
          <w:rFonts w:hint="eastAsia" w:ascii="宋体" w:hAnsi="宋体"/>
          <w:color w:val="auto"/>
          <w:sz w:val="21"/>
          <w:szCs w:val="21"/>
          <w:highlight w:val="none"/>
          <w:u w:val="single"/>
        </w:rPr>
        <w:t>。</w:t>
      </w:r>
    </w:p>
    <w:p w14:paraId="674FB044">
      <w:pPr>
        <w:pStyle w:val="77"/>
        <w:autoSpaceDE w:val="0"/>
        <w:autoSpaceDN w:val="0"/>
        <w:adjustRightInd w:val="0"/>
        <w:spacing w:line="440" w:lineRule="exact"/>
        <w:ind w:firstLine="484" w:firstLineChars="202"/>
        <w:jc w:val="left"/>
        <w:rPr>
          <w:rFonts w:ascii="宋体" w:hAnsi="宋体"/>
          <w:color w:val="auto"/>
          <w:kern w:val="0"/>
          <w:highlight w:val="none"/>
        </w:rPr>
      </w:pPr>
      <w:r>
        <w:rPr>
          <w:rFonts w:hint="eastAsia" w:ascii="宋体" w:hAnsi="宋体"/>
          <w:color w:val="auto"/>
          <w:highlight w:val="none"/>
        </w:rPr>
        <w:t xml:space="preserve">7.1.2  </w:t>
      </w:r>
      <w:r>
        <w:rPr>
          <w:rFonts w:hint="eastAsia" w:ascii="宋体" w:hAnsi="宋体"/>
          <w:color w:val="auto"/>
          <w:kern w:val="0"/>
          <w:highlight w:val="none"/>
        </w:rPr>
        <w:t>施工组织设计的提交和修改</w:t>
      </w:r>
    </w:p>
    <w:p w14:paraId="3E1957DE">
      <w:pPr>
        <w:pStyle w:val="77"/>
        <w:spacing w:line="440" w:lineRule="exact"/>
        <w:ind w:firstLine="468" w:firstLineChars="195"/>
        <w:rPr>
          <w:rFonts w:ascii="宋体" w:hAnsi="宋体"/>
          <w:color w:val="auto"/>
          <w:kern w:val="0"/>
          <w:highlight w:val="none"/>
          <w:u w:val="single"/>
        </w:rPr>
      </w:pPr>
      <w:r>
        <w:rPr>
          <w:rFonts w:hint="eastAsia" w:ascii="宋体" w:hAnsi="宋体"/>
          <w:color w:val="auto"/>
          <w:kern w:val="0"/>
          <w:highlight w:val="none"/>
        </w:rPr>
        <w:t>承包人提交详细施工组织设计的期限的约定：</w:t>
      </w:r>
      <w:r>
        <w:rPr>
          <w:rFonts w:hint="eastAsia" w:ascii="宋体" w:hAnsi="宋体"/>
          <w:color w:val="auto"/>
          <w:kern w:val="0"/>
          <w:highlight w:val="none"/>
          <w:u w:val="single"/>
        </w:rPr>
        <w:t xml:space="preserve">承包人在与发包人签订合同协议后的14天内提交给监理人，但至迟不得晚于专用合同条款7.3.2项[开工通知]载明的开工日期前7天。 </w:t>
      </w:r>
    </w:p>
    <w:p w14:paraId="5CD81E44">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发包人和监理人在收到详细的施工组织设计后确认或提出修改意见的期限：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7FBA0254">
      <w:pPr>
        <w:pStyle w:val="91"/>
        <w:spacing w:before="120" w:after="120" w:line="440" w:lineRule="exact"/>
        <w:outlineLvl w:val="0"/>
        <w:rPr>
          <w:rFonts w:ascii="宋体" w:hAnsi="宋体"/>
          <w:color w:val="auto"/>
          <w:highlight w:val="none"/>
        </w:rPr>
      </w:pPr>
      <w:r>
        <w:rPr>
          <w:rFonts w:hint="eastAsia" w:ascii="宋体" w:hAnsi="宋体"/>
          <w:color w:val="auto"/>
          <w:highlight w:val="none"/>
        </w:rPr>
        <w:t>7.2  施工进度计划</w:t>
      </w:r>
    </w:p>
    <w:p w14:paraId="4404F3B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7.2.2 施工进度计划的修订</w:t>
      </w:r>
    </w:p>
    <w:p w14:paraId="55510C4B">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发包人在收到修订的施工进度计划后确认或提出修改意见的期限：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65CA8981">
      <w:pPr>
        <w:pStyle w:val="91"/>
        <w:spacing w:before="120" w:after="120" w:line="440" w:lineRule="exact"/>
        <w:outlineLvl w:val="0"/>
        <w:rPr>
          <w:rFonts w:ascii="宋体" w:hAnsi="宋体"/>
          <w:color w:val="auto"/>
          <w:highlight w:val="none"/>
        </w:rPr>
      </w:pPr>
      <w:r>
        <w:rPr>
          <w:rFonts w:hint="eastAsia" w:ascii="宋体" w:hAnsi="宋体"/>
          <w:color w:val="auto"/>
          <w:highlight w:val="none"/>
        </w:rPr>
        <w:t>7.3  开工</w:t>
      </w:r>
    </w:p>
    <w:p w14:paraId="44DC598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7.3.1  开工准备</w:t>
      </w:r>
    </w:p>
    <w:p w14:paraId="3A004FCF">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发出开工令的期限：</w:t>
      </w:r>
      <w:r>
        <w:rPr>
          <w:rFonts w:hint="eastAsia" w:ascii="宋体" w:hAnsi="宋体"/>
          <w:color w:val="auto"/>
          <w:highlight w:val="none"/>
          <w:u w:val="single"/>
        </w:rPr>
        <w:t>签订合同协议之日后14天内。</w:t>
      </w:r>
    </w:p>
    <w:p w14:paraId="2894AC7A">
      <w:pPr>
        <w:pStyle w:val="77"/>
        <w:spacing w:line="440" w:lineRule="exact"/>
        <w:ind w:firstLine="426"/>
        <w:jc w:val="left"/>
        <w:rPr>
          <w:rFonts w:ascii="宋体" w:hAnsi="宋体"/>
          <w:color w:val="auto"/>
          <w:kern w:val="0"/>
          <w:highlight w:val="none"/>
          <w:u w:val="single"/>
        </w:rPr>
      </w:pPr>
      <w:r>
        <w:rPr>
          <w:rFonts w:hint="eastAsia" w:ascii="宋体" w:hAnsi="宋体"/>
          <w:color w:val="auto"/>
          <w:highlight w:val="none"/>
        </w:rPr>
        <w:t>关于承包人提交</w:t>
      </w:r>
      <w:r>
        <w:rPr>
          <w:rFonts w:hint="eastAsia" w:ascii="宋体" w:hAnsi="宋体"/>
          <w:color w:val="auto"/>
          <w:kern w:val="0"/>
          <w:highlight w:val="none"/>
        </w:rPr>
        <w:t>工程开工报审表的期限：</w:t>
      </w:r>
      <w:r>
        <w:rPr>
          <w:rFonts w:hint="eastAsia" w:ascii="宋体" w:hAnsi="宋体"/>
          <w:color w:val="auto"/>
          <w:kern w:val="0"/>
          <w:highlight w:val="none"/>
          <w:u w:val="single"/>
        </w:rPr>
        <w:t>承包人在与发包人签订合同协议后的14天内提交，但至迟不得晚于专用合同条款7.3.2项[开工通知]载明的开工日期前7天。</w:t>
      </w:r>
    </w:p>
    <w:p w14:paraId="7DAA00BE">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关于发包人应完成的其他开工准备工作及期限：</w:t>
      </w:r>
      <w:r>
        <w:rPr>
          <w:rFonts w:hint="eastAsia" w:ascii="宋体" w:hAnsi="宋体"/>
          <w:color w:val="auto"/>
          <w:highlight w:val="none"/>
          <w:u w:val="single"/>
        </w:rPr>
        <w:t>开工日期7天前移交施工现场</w:t>
      </w:r>
      <w:r>
        <w:rPr>
          <w:rFonts w:hint="eastAsia" w:ascii="宋体" w:hAnsi="宋体"/>
          <w:color w:val="auto"/>
          <w:highlight w:val="none"/>
        </w:rPr>
        <w:t>。</w:t>
      </w:r>
    </w:p>
    <w:p w14:paraId="78355837">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关于承包人应完成的其他开工准备工作及期限：</w:t>
      </w:r>
      <w:r>
        <w:rPr>
          <w:rFonts w:hint="eastAsia" w:ascii="宋体" w:hAnsi="宋体"/>
          <w:color w:val="auto"/>
          <w:kern w:val="0"/>
          <w:highlight w:val="none"/>
          <w:u w:val="single"/>
        </w:rPr>
        <w:t>承包人在与发包人签订合同协议后的14天内，但至迟不得晚于专用合同条款7.3.2</w:t>
      </w:r>
      <w:r>
        <w:rPr>
          <w:rFonts w:hint="eastAsia" w:ascii="宋体" w:hAnsi="宋体"/>
          <w:color w:val="auto"/>
          <w:highlight w:val="none"/>
          <w:u w:val="single"/>
        </w:rPr>
        <w:t xml:space="preserve"> [开工通知]载明的开工日期前2天。</w:t>
      </w:r>
    </w:p>
    <w:p w14:paraId="2448934E">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7.3.2 开工通知</w:t>
      </w:r>
    </w:p>
    <w:p w14:paraId="3DC6C76F">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因发包人原因造成监理人未能在计划开工日期之日起</w:t>
      </w:r>
      <w:r>
        <w:rPr>
          <w:rFonts w:hint="eastAsia" w:ascii="宋体" w:hAnsi="宋体"/>
          <w:color w:val="auto"/>
          <w:highlight w:val="none"/>
          <w:u w:val="single"/>
        </w:rPr>
        <w:t>90</w:t>
      </w:r>
      <w:r>
        <w:rPr>
          <w:rFonts w:hint="eastAsia" w:ascii="宋体" w:hAnsi="宋体"/>
          <w:color w:val="auto"/>
          <w:highlight w:val="none"/>
        </w:rPr>
        <w:t>天内发出开工通知的，</w:t>
      </w:r>
      <w:r>
        <w:rPr>
          <w:rFonts w:hint="eastAsia" w:ascii="宋体" w:hAnsi="宋体"/>
          <w:color w:val="auto"/>
          <w:highlight w:val="none"/>
          <w:u w:val="single"/>
        </w:rPr>
        <w:t>发包人应当承担由此延误的工期，但不承担由此增加的费用。</w:t>
      </w:r>
    </w:p>
    <w:p w14:paraId="706C48EB">
      <w:pPr>
        <w:pStyle w:val="91"/>
        <w:spacing w:before="120" w:after="120" w:line="440" w:lineRule="exact"/>
        <w:outlineLvl w:val="0"/>
        <w:rPr>
          <w:rFonts w:ascii="宋体" w:hAnsi="宋体"/>
          <w:color w:val="auto"/>
          <w:highlight w:val="none"/>
        </w:rPr>
      </w:pPr>
      <w:r>
        <w:rPr>
          <w:rFonts w:hint="eastAsia" w:ascii="宋体" w:hAnsi="宋体"/>
          <w:color w:val="auto"/>
          <w:highlight w:val="none"/>
        </w:rPr>
        <w:t>7.4  测量放线</w:t>
      </w:r>
    </w:p>
    <w:p w14:paraId="4306A987">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7.4.1  发包人向承包人提供测量基准点、基准线和水准点及其书面资料的期限：</w:t>
      </w:r>
      <w:r>
        <w:rPr>
          <w:rFonts w:hint="eastAsia" w:ascii="宋体" w:hAnsi="宋体"/>
          <w:color w:val="auto"/>
          <w:highlight w:val="none"/>
          <w:u w:val="single"/>
        </w:rPr>
        <w:t xml:space="preserve">发包人应在至迟不得晚于开工通知载明的开工日期前7天向承包人提供测量基准点、基准线和水准点及其书面资料。 </w:t>
      </w:r>
      <w:r>
        <w:rPr>
          <w:rFonts w:hint="eastAsia" w:ascii="宋体" w:hAnsi="宋体"/>
          <w:color w:val="auto"/>
          <w:highlight w:val="none"/>
          <w:u w:val="none"/>
        </w:rPr>
        <w:t xml:space="preserve">          </w:t>
      </w:r>
    </w:p>
    <w:p w14:paraId="0A3CA863">
      <w:pPr>
        <w:pStyle w:val="91"/>
        <w:spacing w:before="120" w:after="120" w:line="440" w:lineRule="exact"/>
        <w:outlineLvl w:val="0"/>
        <w:rPr>
          <w:rFonts w:ascii="宋体" w:hAnsi="宋体"/>
          <w:color w:val="auto"/>
          <w:highlight w:val="none"/>
        </w:rPr>
      </w:pPr>
      <w:r>
        <w:rPr>
          <w:rFonts w:hint="eastAsia" w:ascii="宋体" w:hAnsi="宋体"/>
          <w:color w:val="auto"/>
          <w:highlight w:val="none"/>
        </w:rPr>
        <w:t>7.5  工期延误</w:t>
      </w:r>
    </w:p>
    <w:p w14:paraId="3AB0F81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7.5.1  因发包人原因导致工期延误</w:t>
      </w:r>
    </w:p>
    <w:p w14:paraId="3B959AC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（1）发包人未能按合同约定提供图纸或所提供图纸不符合合同约定的；</w:t>
      </w:r>
    </w:p>
    <w:p w14:paraId="518924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（2）发包人未能按合同约定提供施工现场、施工条件、基础资料、许可、批准等开工条件的；</w:t>
      </w:r>
    </w:p>
    <w:p w14:paraId="625BD1E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（3）发包人提供的测量基准点、基准线和水准点及其书面资料存在错误或疏漏的；</w:t>
      </w:r>
    </w:p>
    <w:p w14:paraId="7E15757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（4）发包人未能在计划开工日期之日起7天内同意下达开工通知的；</w:t>
      </w:r>
    </w:p>
    <w:p w14:paraId="7E1C321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（5）发包人未能按合同约定日期支付进度款或竣工结算款的；     </w:t>
      </w:r>
    </w:p>
    <w:p w14:paraId="22327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在合同履行过程中，因通用合同条款第7.5.1款第（1）至（</w:t>
      </w:r>
      <w:r>
        <w:rPr>
          <w:rFonts w:hint="eastAsia" w:ascii="宋体" w:hAnsi="宋体"/>
          <w:color w:val="auto"/>
          <w:highlight w:val="none"/>
          <w:lang w:val="en-US" w:eastAsia="zh-CN"/>
        </w:rPr>
        <w:t>5</w:t>
      </w:r>
      <w:r>
        <w:rPr>
          <w:rFonts w:hint="eastAsia" w:ascii="宋体" w:hAnsi="宋体"/>
          <w:color w:val="auto"/>
          <w:highlight w:val="none"/>
        </w:rPr>
        <w:t xml:space="preserve">）项情况导致工期延误的，由发包人承担由此延误的工期，但发包人不支付承包人因延期增加的费用及合理的利润。 </w:t>
      </w:r>
    </w:p>
    <w:p w14:paraId="7EE6093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7.5.2  因承包人原因导致工期延误</w:t>
      </w:r>
    </w:p>
    <w:p w14:paraId="092634B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因承包人原因造成工期延误，逾期竣工违约金的计算方法为：</w:t>
      </w:r>
      <w:r>
        <w:rPr>
          <w:rFonts w:hint="eastAsia" w:ascii="宋体" w:hAnsi="宋体"/>
          <w:color w:val="auto"/>
          <w:highlight w:val="none"/>
          <w:u w:val="single"/>
        </w:rPr>
        <w:t xml:space="preserve"> 合同额的万分之四/天。</w:t>
      </w:r>
      <w:r>
        <w:rPr>
          <w:rFonts w:hint="eastAsia" w:ascii="宋体" w:hAnsi="宋体"/>
          <w:color w:val="auto"/>
          <w:highlight w:val="none"/>
        </w:rPr>
        <w:t>逾期竣工违约金限额为合同额的2%。</w:t>
      </w:r>
    </w:p>
    <w:p w14:paraId="2C7E2EF0">
      <w:pPr>
        <w:pStyle w:val="91"/>
        <w:spacing w:before="120" w:after="120" w:line="440" w:lineRule="exact"/>
        <w:outlineLvl w:val="0"/>
        <w:rPr>
          <w:rFonts w:ascii="宋体" w:hAnsi="宋体"/>
          <w:color w:val="auto"/>
          <w:highlight w:val="none"/>
        </w:rPr>
      </w:pPr>
      <w:r>
        <w:rPr>
          <w:rFonts w:hint="eastAsia" w:ascii="宋体" w:hAnsi="宋体"/>
          <w:color w:val="auto"/>
          <w:highlight w:val="none"/>
        </w:rPr>
        <w:t>7.6  不利物质条件</w:t>
      </w:r>
    </w:p>
    <w:p w14:paraId="3050E53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不利物质条件的其他情形和有关约定：</w:t>
      </w:r>
      <w:r>
        <w:rPr>
          <w:rFonts w:hint="eastAsia" w:ascii="宋体" w:hAnsi="宋体"/>
          <w:color w:val="auto"/>
          <w:highlight w:val="none"/>
          <w:u w:val="single"/>
        </w:rPr>
        <w:t>承包人遇到不利物质条件时，应采取适应不利物质条件的合理措施继续施工，承包人应在发生后48小时内及时</w:t>
      </w:r>
      <w:r>
        <w:rPr>
          <w:rFonts w:hint="eastAsia" w:ascii="宋体" w:hAnsi="宋体"/>
          <w:color w:val="auto"/>
          <w:highlight w:val="none"/>
          <w:u w:val="single"/>
          <w:lang w:eastAsia="zh-CN"/>
        </w:rPr>
        <w:t>通知发包人</w:t>
      </w:r>
      <w:r>
        <w:rPr>
          <w:rFonts w:hint="eastAsia" w:ascii="宋体" w:hAnsi="宋体"/>
          <w:color w:val="auto"/>
          <w:highlight w:val="none"/>
          <w:u w:val="single"/>
        </w:rPr>
        <w:t>。</w:t>
      </w:r>
    </w:p>
    <w:p w14:paraId="7D052CB2">
      <w:pPr>
        <w:pStyle w:val="91"/>
        <w:spacing w:before="120" w:after="120" w:line="440" w:lineRule="exact"/>
        <w:outlineLvl w:val="0"/>
        <w:rPr>
          <w:rFonts w:ascii="宋体" w:hAnsi="宋体"/>
          <w:color w:val="auto"/>
          <w:highlight w:val="none"/>
        </w:rPr>
      </w:pPr>
      <w:r>
        <w:rPr>
          <w:rFonts w:hint="eastAsia" w:ascii="宋体" w:hAnsi="宋体"/>
          <w:color w:val="auto"/>
          <w:highlight w:val="none"/>
        </w:rPr>
        <w:t>7.7 异常恶劣的气候条件</w:t>
      </w:r>
    </w:p>
    <w:p w14:paraId="47425A0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发包人和承包人同意以下情形视为异常恶劣的气候条件：</w:t>
      </w:r>
    </w:p>
    <w:p w14:paraId="112B640A">
      <w:pPr>
        <w:pStyle w:val="77"/>
        <w:numPr>
          <w:ilvl w:val="0"/>
          <w:numId w:val="7"/>
        </w:numPr>
        <w:spacing w:line="440" w:lineRule="exact"/>
        <w:jc w:val="left"/>
        <w:rPr>
          <w:rFonts w:ascii="宋体" w:hAnsi="宋体"/>
          <w:color w:val="auto"/>
          <w:highlight w:val="none"/>
          <w:u w:val="single"/>
        </w:rPr>
      </w:pPr>
      <w:r>
        <w:rPr>
          <w:rFonts w:hint="eastAsia" w:ascii="宋体" w:hAnsi="宋体"/>
          <w:color w:val="auto"/>
          <w:highlight w:val="none"/>
          <w:u w:val="single"/>
        </w:rPr>
        <w:t xml:space="preserve">六级及其以上台风。 </w:t>
      </w:r>
    </w:p>
    <w:p w14:paraId="291A38F7">
      <w:pPr>
        <w:pStyle w:val="77"/>
        <w:numPr>
          <w:ilvl w:val="0"/>
          <w:numId w:val="7"/>
        </w:numPr>
        <w:spacing w:line="440" w:lineRule="exact"/>
        <w:jc w:val="left"/>
        <w:outlineLvl w:val="0"/>
        <w:rPr>
          <w:rFonts w:ascii="宋体" w:hAnsi="宋体"/>
          <w:color w:val="auto"/>
          <w:highlight w:val="none"/>
          <w:u w:val="single"/>
        </w:rPr>
      </w:pPr>
      <w:r>
        <w:rPr>
          <w:rFonts w:hint="eastAsia" w:ascii="宋体" w:hAnsi="宋体"/>
          <w:color w:val="auto"/>
          <w:highlight w:val="none"/>
          <w:u w:val="single"/>
        </w:rPr>
        <w:t>连续两天暴雨。</w:t>
      </w:r>
    </w:p>
    <w:p w14:paraId="6AB57287">
      <w:pPr>
        <w:pStyle w:val="77"/>
        <w:widowControl/>
        <w:snapToGrid w:val="0"/>
        <w:spacing w:line="440" w:lineRule="exact"/>
        <w:ind w:firstLine="360" w:firstLineChars="15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异常恶劣的气候条件引起的工程延误，由监理工程师根据承包人提交的证明予以评定，但在进行上述评定时，还将考虑按同等标准以同期或其它月份异常良好的气候予以抵补，异常气候在每月对工程进度影响的评定，应在整个合同内予以累计。</w:t>
      </w:r>
    </w:p>
    <w:p w14:paraId="3489FB7F">
      <w:pPr>
        <w:pStyle w:val="77"/>
        <w:autoSpaceDE w:val="0"/>
        <w:autoSpaceDN w:val="0"/>
        <w:adjustRightInd w:val="0"/>
        <w:spacing w:line="440" w:lineRule="exact"/>
        <w:ind w:firstLine="360" w:firstLineChars="15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承包人应采取克服异常恶劣的气候条件的合理措施继续施工，并在发生后48小时内及时通知发包人</w:t>
      </w:r>
      <w:r>
        <w:rPr>
          <w:rFonts w:hint="eastAsia" w:ascii="宋体" w:hAnsi="宋体"/>
          <w:color w:val="auto"/>
          <w:highlight w:val="none"/>
          <w:u w:val="single"/>
          <w:lang w:eastAsia="zh-CN"/>
        </w:rPr>
        <w:t>，</w:t>
      </w:r>
      <w:r>
        <w:rPr>
          <w:rFonts w:hint="eastAsia" w:ascii="宋体" w:hAnsi="宋体"/>
          <w:color w:val="auto"/>
          <w:highlight w:val="none"/>
          <w:u w:val="single"/>
        </w:rPr>
        <w:t>报发包人同意后</w:t>
      </w:r>
      <w:r>
        <w:rPr>
          <w:rFonts w:hint="eastAsia" w:ascii="宋体" w:hAnsi="宋体"/>
          <w:color w:val="auto"/>
          <w:highlight w:val="none"/>
          <w:u w:val="single"/>
          <w:lang w:eastAsia="zh-CN"/>
        </w:rPr>
        <w:t>，</w:t>
      </w:r>
      <w:r>
        <w:rPr>
          <w:rFonts w:hint="eastAsia" w:ascii="宋体" w:hAnsi="宋体"/>
          <w:color w:val="auto"/>
          <w:highlight w:val="none"/>
          <w:u w:val="single"/>
        </w:rPr>
        <w:t>承包人因采取合理措施而延误的工期由发包人承担，但发包人不承担增加的费用。</w:t>
      </w:r>
    </w:p>
    <w:p w14:paraId="122FBF11">
      <w:pPr>
        <w:pStyle w:val="91"/>
        <w:spacing w:before="120" w:after="120" w:line="440" w:lineRule="exact"/>
        <w:rPr>
          <w:rFonts w:ascii="宋体" w:hAnsi="宋体"/>
          <w:color w:val="auto"/>
          <w:highlight w:val="none"/>
        </w:rPr>
      </w:pPr>
      <w:r>
        <w:rPr>
          <w:rFonts w:hint="eastAsia" w:ascii="宋体" w:hAnsi="宋体"/>
          <w:color w:val="auto"/>
          <w:highlight w:val="none"/>
        </w:rPr>
        <w:t>7.9  提前竣工的奖励</w:t>
      </w:r>
    </w:p>
    <w:p w14:paraId="4AF4EC74">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7.9.2 提前竣工的奖励：</w:t>
      </w:r>
      <w:r>
        <w:rPr>
          <w:rFonts w:hint="eastAsia" w:ascii="宋体" w:hAnsi="宋体"/>
          <w:color w:val="auto"/>
          <w:highlight w:val="none"/>
          <w:u w:val="single"/>
        </w:rPr>
        <w:t xml:space="preserve">   无  </w:t>
      </w:r>
      <w:r>
        <w:rPr>
          <w:rFonts w:hint="eastAsia" w:ascii="宋体" w:hAnsi="宋体"/>
          <w:color w:val="auto"/>
          <w:highlight w:val="none"/>
        </w:rPr>
        <w:t>。</w:t>
      </w:r>
    </w:p>
    <w:p w14:paraId="5BFFD896">
      <w:pPr>
        <w:pStyle w:val="91"/>
        <w:spacing w:before="120" w:after="120" w:line="440" w:lineRule="exact"/>
        <w:outlineLvl w:val="0"/>
        <w:rPr>
          <w:rFonts w:ascii="宋体" w:hAnsi="宋体"/>
          <w:color w:val="auto"/>
          <w:highlight w:val="none"/>
        </w:rPr>
      </w:pPr>
      <w:r>
        <w:rPr>
          <w:rFonts w:hint="eastAsia" w:ascii="宋体" w:hAnsi="宋体"/>
          <w:color w:val="auto"/>
          <w:highlight w:val="none"/>
        </w:rPr>
        <w:t>8.  材料与设备</w:t>
      </w:r>
    </w:p>
    <w:p w14:paraId="250AD46F">
      <w:pPr>
        <w:pStyle w:val="91"/>
        <w:spacing w:before="120" w:after="120" w:line="440" w:lineRule="exact"/>
        <w:outlineLvl w:val="0"/>
        <w:rPr>
          <w:rFonts w:ascii="宋体" w:hAnsi="宋体"/>
          <w:color w:val="auto"/>
          <w:highlight w:val="none"/>
        </w:rPr>
      </w:pPr>
      <w:r>
        <w:rPr>
          <w:rFonts w:hint="eastAsia" w:ascii="宋体" w:hAnsi="宋体"/>
          <w:color w:val="auto"/>
          <w:highlight w:val="none"/>
        </w:rPr>
        <w:t>8.4 材料与工程设备的保管与使用</w:t>
      </w:r>
    </w:p>
    <w:p w14:paraId="547285E9">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8.4.1 发包人供应的材料设备的保管费用的承担：</w:t>
      </w:r>
      <w:r>
        <w:rPr>
          <w:rFonts w:hint="eastAsia" w:ascii="宋体" w:hAnsi="宋体"/>
          <w:color w:val="auto"/>
          <w:highlight w:val="none"/>
          <w:u w:val="single"/>
        </w:rPr>
        <w:t>无</w:t>
      </w:r>
      <w:r>
        <w:rPr>
          <w:rFonts w:hint="eastAsia" w:ascii="宋体" w:hAnsi="宋体"/>
          <w:color w:val="auto"/>
          <w:highlight w:val="none"/>
        </w:rPr>
        <w:t>。</w:t>
      </w:r>
    </w:p>
    <w:p w14:paraId="09D52634">
      <w:pPr>
        <w:pStyle w:val="91"/>
        <w:spacing w:before="120" w:after="120" w:line="440" w:lineRule="exact"/>
        <w:outlineLvl w:val="0"/>
        <w:rPr>
          <w:rFonts w:ascii="宋体" w:hAnsi="宋体"/>
          <w:color w:val="auto"/>
          <w:highlight w:val="none"/>
        </w:rPr>
      </w:pPr>
      <w:r>
        <w:rPr>
          <w:rFonts w:hint="eastAsia" w:ascii="宋体" w:hAnsi="宋体"/>
          <w:color w:val="auto"/>
          <w:highlight w:val="none"/>
        </w:rPr>
        <w:t>8.6  样品</w:t>
      </w:r>
    </w:p>
    <w:p w14:paraId="443AE757">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8.6.1</w:t>
      </w:r>
      <w:r>
        <w:rPr>
          <w:rFonts w:hint="eastAsia" w:ascii="宋体" w:hAnsi="宋体"/>
          <w:b/>
          <w:bCs/>
          <w:color w:val="auto"/>
          <w:kern w:val="0"/>
          <w:highlight w:val="none"/>
        </w:rPr>
        <w:tab/>
      </w:r>
      <w:r>
        <w:rPr>
          <w:rFonts w:hint="eastAsia" w:ascii="宋体" w:hAnsi="宋体"/>
          <w:b/>
          <w:bCs/>
          <w:color w:val="auto"/>
          <w:kern w:val="0"/>
          <w:highlight w:val="none"/>
        </w:rPr>
        <w:t>样品的报送与封存</w:t>
      </w:r>
    </w:p>
    <w:p w14:paraId="64C4F12B">
      <w:pPr>
        <w:pStyle w:val="77"/>
        <w:autoSpaceDE w:val="0"/>
        <w:autoSpaceDN w:val="0"/>
        <w:adjustRightInd w:val="0"/>
        <w:spacing w:line="440" w:lineRule="exact"/>
        <w:ind w:firstLine="540" w:firstLineChars="225"/>
        <w:jc w:val="left"/>
        <w:rPr>
          <w:rFonts w:ascii="宋体" w:hAnsi="宋体"/>
          <w:color w:val="auto"/>
          <w:kern w:val="0"/>
          <w:highlight w:val="none"/>
          <w:u w:val="single"/>
        </w:rPr>
      </w:pPr>
      <w:r>
        <w:rPr>
          <w:rFonts w:hint="eastAsia" w:ascii="宋体" w:hAnsi="宋体"/>
          <w:color w:val="auto"/>
          <w:kern w:val="0"/>
          <w:highlight w:val="none"/>
        </w:rPr>
        <w:t>需要承包人报送样品的材料或工程设备，样品的种类、名称、规格、数量要求：</w:t>
      </w:r>
      <w:r>
        <w:rPr>
          <w:rFonts w:hint="eastAsia" w:ascii="宋体" w:hAnsi="宋体"/>
          <w:color w:val="auto"/>
          <w:kern w:val="0"/>
          <w:highlight w:val="none"/>
          <w:u w:val="single"/>
        </w:rPr>
        <w:t xml:space="preserve">按相关规定办理。 </w:t>
      </w:r>
    </w:p>
    <w:p w14:paraId="75BBA5A8">
      <w:pPr>
        <w:pStyle w:val="77"/>
        <w:spacing w:after="120" w:line="440" w:lineRule="exact"/>
        <w:outlineLvl w:val="0"/>
        <w:rPr>
          <w:rFonts w:ascii="宋体" w:hAnsi="宋体"/>
          <w:b/>
          <w:bCs/>
          <w:color w:val="auto"/>
          <w:highlight w:val="none"/>
        </w:rPr>
      </w:pPr>
      <w:r>
        <w:rPr>
          <w:rFonts w:hint="eastAsia" w:ascii="宋体" w:hAnsi="宋体"/>
          <w:b/>
          <w:bCs/>
          <w:color w:val="auto"/>
          <w:highlight w:val="none"/>
        </w:rPr>
        <w:t>8.8  施工设备和临时设施</w:t>
      </w:r>
    </w:p>
    <w:p w14:paraId="607C3270">
      <w:pPr>
        <w:pStyle w:val="77"/>
        <w:autoSpaceDE w:val="0"/>
        <w:autoSpaceDN w:val="0"/>
        <w:adjustRightInd w:val="0"/>
        <w:spacing w:line="440" w:lineRule="exact"/>
        <w:jc w:val="left"/>
        <w:outlineLvl w:val="0"/>
        <w:rPr>
          <w:rFonts w:ascii="宋体" w:hAnsi="宋体"/>
          <w:b/>
          <w:bCs/>
          <w:color w:val="auto"/>
          <w:highlight w:val="none"/>
        </w:rPr>
      </w:pPr>
      <w:r>
        <w:rPr>
          <w:rFonts w:hint="eastAsia" w:ascii="宋体" w:hAnsi="宋体"/>
          <w:b/>
          <w:bCs/>
          <w:color w:val="auto"/>
          <w:highlight w:val="none"/>
        </w:rPr>
        <w:t>8.8.1  承包人提供的施工设备和临时设施</w:t>
      </w:r>
    </w:p>
    <w:p w14:paraId="6B7697BF">
      <w:pPr>
        <w:pStyle w:val="77"/>
        <w:autoSpaceDE w:val="0"/>
        <w:autoSpaceDN w:val="0"/>
        <w:adjustRightInd w:val="0"/>
        <w:spacing w:line="440" w:lineRule="exact"/>
        <w:ind w:firstLine="600" w:firstLineChars="250"/>
        <w:jc w:val="left"/>
        <w:rPr>
          <w:rFonts w:hint="eastAsia" w:ascii="宋体" w:hAnsi="宋体"/>
          <w:color w:val="auto"/>
          <w:highlight w:val="none"/>
        </w:rPr>
      </w:pPr>
      <w:r>
        <w:rPr>
          <w:rFonts w:hint="eastAsia" w:ascii="宋体" w:hAnsi="宋体"/>
          <w:color w:val="auto"/>
          <w:highlight w:val="none"/>
        </w:rPr>
        <w:t>关于修建临时设施费用承担的约定：</w:t>
      </w:r>
      <w:r>
        <w:rPr>
          <w:rFonts w:hint="eastAsia" w:ascii="宋体" w:hAnsi="宋体"/>
          <w:color w:val="auto"/>
          <w:highlight w:val="none"/>
          <w:u w:val="single"/>
        </w:rPr>
        <w:t xml:space="preserve"> 由承包人自行承担</w:t>
      </w:r>
      <w:r>
        <w:rPr>
          <w:rFonts w:hint="eastAsia" w:ascii="宋体" w:hAnsi="宋体"/>
          <w:color w:val="auto"/>
          <w:highlight w:val="none"/>
        </w:rPr>
        <w:t>。</w:t>
      </w:r>
    </w:p>
    <w:p w14:paraId="04994B95">
      <w:pPr>
        <w:pStyle w:val="77"/>
        <w:autoSpaceDE w:val="0"/>
        <w:autoSpaceDN w:val="0"/>
        <w:adjustRightInd w:val="0"/>
        <w:spacing w:line="440" w:lineRule="exact"/>
        <w:jc w:val="left"/>
        <w:rPr>
          <w:rFonts w:hint="eastAsia" w:ascii="宋体" w:hAnsi="宋体"/>
          <w:b/>
          <w:bCs/>
          <w:color w:val="auto"/>
          <w:highlight w:val="none"/>
        </w:rPr>
      </w:pPr>
      <w:r>
        <w:rPr>
          <w:rFonts w:hint="eastAsia" w:ascii="宋体" w:hAnsi="宋体"/>
          <w:b/>
          <w:bCs/>
          <w:color w:val="auto"/>
          <w:highlight w:val="none"/>
        </w:rPr>
        <w:t>9.  试验与检验</w:t>
      </w:r>
    </w:p>
    <w:p w14:paraId="515F1828">
      <w:pPr>
        <w:pStyle w:val="77"/>
        <w:autoSpaceDE w:val="0"/>
        <w:autoSpaceDN w:val="0"/>
        <w:adjustRightInd w:val="0"/>
        <w:spacing w:line="440" w:lineRule="exact"/>
        <w:jc w:val="left"/>
        <w:rPr>
          <w:rFonts w:ascii="宋体" w:hAnsi="宋体"/>
          <w:color w:val="auto"/>
          <w:highlight w:val="none"/>
        </w:rPr>
      </w:pPr>
      <w:r>
        <w:rPr>
          <w:rFonts w:hint="eastAsia" w:ascii="宋体" w:hAnsi="宋体"/>
          <w:b/>
          <w:bCs/>
          <w:color w:val="auto"/>
          <w:highlight w:val="none"/>
        </w:rPr>
        <w:t>9.1 试验设备与试验人员</w:t>
      </w:r>
    </w:p>
    <w:p w14:paraId="1A3B1FB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9.1.2  试验设备</w:t>
      </w:r>
    </w:p>
    <w:p w14:paraId="5B1FDD0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施工现场需要配置的试验场所：</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rPr>
        <w:t xml:space="preserve">。 </w:t>
      </w:r>
    </w:p>
    <w:p w14:paraId="15A235B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施工现场需要配备的试验设备：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0DB6E2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施工现场需要具备的其他试验条件：</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5AB62A94">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9.4  现场工艺试验 </w:t>
      </w:r>
    </w:p>
    <w:p w14:paraId="59B1C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现场工艺试验的有关约定：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CB7887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  变更</w:t>
      </w:r>
    </w:p>
    <w:p w14:paraId="5551E3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10.1 变更的范围</w:t>
      </w:r>
    </w:p>
    <w:p w14:paraId="10D60056">
      <w:pPr>
        <w:pStyle w:val="77"/>
        <w:spacing w:line="440" w:lineRule="exact"/>
        <w:ind w:left="120" w:leftChars="57" w:firstLine="480" w:firstLineChars="200"/>
        <w:jc w:val="left"/>
        <w:rPr>
          <w:rFonts w:ascii="宋体" w:hAnsi="宋体"/>
          <w:color w:val="auto"/>
          <w:highlight w:val="none"/>
          <w:u w:val="single"/>
        </w:rPr>
      </w:pPr>
      <w:r>
        <w:rPr>
          <w:rFonts w:hint="eastAsia" w:ascii="宋体" w:hAnsi="宋体"/>
          <w:color w:val="auto"/>
          <w:highlight w:val="none"/>
        </w:rPr>
        <w:t>合同履行过程中发生以下情形的，应按照本条约定进行变更，关于变更的范围的约定：</w:t>
      </w:r>
    </w:p>
    <w:p w14:paraId="7646B0CA">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w:t>
      </w:r>
      <w:r>
        <w:rPr>
          <w:rFonts w:hint="eastAsia" w:ascii="宋体" w:hAnsi="宋体"/>
          <w:color w:val="auto"/>
          <w:highlight w:val="none"/>
          <w:u w:val="single"/>
        </w:rPr>
        <w:t>1）增加或减少合同中任何工作，或追加额外的工作；</w:t>
      </w:r>
    </w:p>
    <w:p w14:paraId="076821EE">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（2）取消合同中任何工作，但转由他人实施的工作除外；</w:t>
      </w:r>
    </w:p>
    <w:p w14:paraId="5911E76C">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（3）改变合同中任何工作的质量标准或其他特性；</w:t>
      </w:r>
    </w:p>
    <w:p w14:paraId="6858B7C7">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（4）改变工程的基线、标高、位置和尺寸；</w:t>
      </w:r>
    </w:p>
    <w:p w14:paraId="569E8821">
      <w:pPr>
        <w:pStyle w:val="77"/>
        <w:autoSpaceDE w:val="0"/>
        <w:autoSpaceDN w:val="0"/>
        <w:adjustRightInd w:val="0"/>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（5）改变工程的时间安排或实施顺序</w:t>
      </w:r>
      <w:r>
        <w:rPr>
          <w:rFonts w:hint="eastAsia" w:ascii="宋体" w:hAnsi="宋体"/>
          <w:color w:val="auto"/>
          <w:highlight w:val="none"/>
        </w:rPr>
        <w:t>。</w:t>
      </w:r>
    </w:p>
    <w:p w14:paraId="71E1084F">
      <w:pPr>
        <w:pStyle w:val="91"/>
        <w:spacing w:before="120" w:after="120" w:line="440" w:lineRule="exact"/>
        <w:rPr>
          <w:rFonts w:ascii="宋体" w:hAnsi="宋体"/>
          <w:color w:val="auto"/>
          <w:highlight w:val="none"/>
        </w:rPr>
      </w:pPr>
      <w:r>
        <w:rPr>
          <w:rFonts w:hint="eastAsia" w:ascii="宋体" w:hAnsi="宋体"/>
          <w:color w:val="auto"/>
          <w:highlight w:val="none"/>
        </w:rPr>
        <w:t>10.2变更权</w:t>
      </w:r>
    </w:p>
    <w:p w14:paraId="7866D971">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工程设计变更文件须经发包人派驻工地现场代表</w:t>
      </w:r>
      <w:r>
        <w:rPr>
          <w:rFonts w:hint="eastAsia" w:ascii="宋体" w:hAnsi="宋体"/>
          <w:color w:val="auto"/>
          <w:highlight w:val="none"/>
          <w:lang w:eastAsia="zh-CN"/>
        </w:rPr>
        <w:t>、设计单位和监理单位</w:t>
      </w:r>
      <w:r>
        <w:rPr>
          <w:rFonts w:hint="eastAsia" w:ascii="宋体" w:hAnsi="宋体"/>
          <w:color w:val="auto"/>
          <w:highlight w:val="none"/>
        </w:rPr>
        <w:t>签字确认并加盖发包人的公章后方可变更，且工程设计变更签证文件需备一式</w:t>
      </w:r>
      <w:r>
        <w:rPr>
          <w:rFonts w:hint="eastAsia" w:ascii="宋体" w:hAnsi="宋体"/>
          <w:color w:val="auto"/>
          <w:highlight w:val="none"/>
          <w:lang w:eastAsia="zh-CN"/>
        </w:rPr>
        <w:t>六</w:t>
      </w:r>
      <w:r>
        <w:rPr>
          <w:rFonts w:hint="eastAsia" w:ascii="宋体" w:hAnsi="宋体"/>
          <w:color w:val="auto"/>
          <w:highlight w:val="none"/>
        </w:rPr>
        <w:t>份，完善各方签字盖章手续后，发包人持一份，余下</w:t>
      </w:r>
      <w:r>
        <w:rPr>
          <w:rFonts w:hint="eastAsia" w:ascii="宋体" w:hAnsi="宋体"/>
          <w:color w:val="auto"/>
          <w:highlight w:val="none"/>
          <w:lang w:eastAsia="zh-CN"/>
        </w:rPr>
        <w:t>五</w:t>
      </w:r>
      <w:r>
        <w:rPr>
          <w:rFonts w:hint="eastAsia" w:ascii="宋体" w:hAnsi="宋体"/>
          <w:color w:val="auto"/>
          <w:highlight w:val="none"/>
        </w:rPr>
        <w:t>份由承包人存。</w:t>
      </w:r>
    </w:p>
    <w:p w14:paraId="7F255607">
      <w:pPr>
        <w:pStyle w:val="91"/>
        <w:spacing w:before="120" w:after="120" w:line="440" w:lineRule="exact"/>
        <w:outlineLvl w:val="0"/>
        <w:rPr>
          <w:rFonts w:ascii="宋体" w:hAnsi="宋体"/>
          <w:color w:val="auto"/>
          <w:highlight w:val="none"/>
        </w:rPr>
      </w:pPr>
      <w:r>
        <w:rPr>
          <w:rFonts w:hint="eastAsia" w:ascii="宋体" w:hAnsi="宋体"/>
          <w:color w:val="auto"/>
          <w:highlight w:val="none"/>
        </w:rPr>
        <w:t>10.4  变更估价</w:t>
      </w:r>
    </w:p>
    <w:p w14:paraId="3F99AEF1">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10.4.1  变更估价原则</w:t>
      </w:r>
    </w:p>
    <w:p w14:paraId="1F8652D4">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关于变更估价的约定: 按专用合同条款第11.3项的规定执行。</w:t>
      </w:r>
    </w:p>
    <w:p w14:paraId="4FCFD78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10.5 承包人的合理化建议</w:t>
      </w:r>
    </w:p>
    <w:p w14:paraId="067AB9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监理人审查承包人合理化建议的期限：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03A6702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发包人审批承包人合理化建议的期限：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422C7799">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承包人提出的合理化建议降低了合同价格或者提高了工程经济效益的奖励的方法和金额为：</w:t>
      </w:r>
      <w:r>
        <w:rPr>
          <w:rFonts w:hint="eastAsia" w:ascii="宋体" w:hAnsi="宋体"/>
          <w:color w:val="auto"/>
          <w:highlight w:val="none"/>
          <w:u w:val="single"/>
        </w:rPr>
        <w:t>无</w:t>
      </w:r>
      <w:r>
        <w:rPr>
          <w:rFonts w:hint="eastAsia" w:ascii="宋体" w:hAnsi="宋体"/>
          <w:color w:val="auto"/>
          <w:highlight w:val="none"/>
        </w:rPr>
        <w:t>。</w:t>
      </w:r>
    </w:p>
    <w:p w14:paraId="78898E5D">
      <w:pPr>
        <w:pStyle w:val="91"/>
        <w:spacing w:before="120" w:after="120" w:line="440" w:lineRule="exact"/>
        <w:outlineLvl w:val="0"/>
        <w:rPr>
          <w:rFonts w:ascii="宋体" w:hAnsi="宋体"/>
          <w:color w:val="auto"/>
          <w:highlight w:val="none"/>
        </w:rPr>
      </w:pPr>
      <w:r>
        <w:rPr>
          <w:rFonts w:hint="eastAsia" w:ascii="宋体" w:hAnsi="宋体"/>
          <w:color w:val="auto"/>
          <w:highlight w:val="none"/>
        </w:rPr>
        <w:t>10.7  暂估价</w:t>
      </w:r>
    </w:p>
    <w:p w14:paraId="6DA71005">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暂估价材料和工程设备的明细详见附件：《</w:t>
      </w:r>
      <w:r>
        <w:rPr>
          <w:rFonts w:hint="eastAsia" w:ascii="宋体" w:hAnsi="宋体"/>
          <w:color w:val="auto"/>
          <w:highlight w:val="none"/>
        </w:rPr>
        <w:t>暂估价一览表》</w:t>
      </w:r>
      <w:r>
        <w:rPr>
          <w:rFonts w:hint="eastAsia" w:ascii="宋体" w:hAnsi="宋体"/>
          <w:color w:val="auto"/>
          <w:kern w:val="0"/>
          <w:highlight w:val="none"/>
        </w:rPr>
        <w:t>。</w:t>
      </w:r>
    </w:p>
    <w:p w14:paraId="7D8E82D5">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10.7.1  依法必须招标的暂估价项目</w:t>
      </w:r>
    </w:p>
    <w:p w14:paraId="612013F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种方式确定。</w:t>
      </w:r>
    </w:p>
    <w:p w14:paraId="3710CAB4">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第2种方式：</w:t>
      </w:r>
      <w:r>
        <w:rPr>
          <w:rFonts w:hint="eastAsia" w:ascii="宋体" w:hAnsi="宋体"/>
          <w:color w:val="auto"/>
          <w:kern w:val="0"/>
          <w:highlight w:val="none"/>
          <w:u w:val="single"/>
        </w:rPr>
        <w:t>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r>
        <w:rPr>
          <w:rFonts w:hint="eastAsia" w:ascii="宋体" w:hAnsi="宋体"/>
          <w:color w:val="auto"/>
          <w:kern w:val="0"/>
          <w:highlight w:val="none"/>
        </w:rPr>
        <w:t>。</w:t>
      </w:r>
    </w:p>
    <w:p w14:paraId="7A33ADE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10.7.2  不属于依法必须招标的暂估价项目</w:t>
      </w:r>
    </w:p>
    <w:p w14:paraId="24B3857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对于不属于依法必须招标的暂估价项目的确认和批准采取第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 xml:space="preserve"> 种方式确定。</w:t>
      </w:r>
    </w:p>
    <w:p w14:paraId="51E6C914">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第3种方式：</w:t>
      </w:r>
      <w:r>
        <w:rPr>
          <w:rFonts w:hint="eastAsia" w:ascii="宋体" w:hAnsi="宋体"/>
          <w:color w:val="auto"/>
          <w:kern w:val="0"/>
          <w:highlight w:val="none"/>
        </w:rPr>
        <w:t>承包人直接实施的暂估价项目</w:t>
      </w:r>
    </w:p>
    <w:p w14:paraId="370F2102">
      <w:pPr>
        <w:pStyle w:val="91"/>
        <w:spacing w:before="120" w:after="120" w:line="440" w:lineRule="exact"/>
        <w:outlineLvl w:val="0"/>
        <w:rPr>
          <w:rFonts w:ascii="宋体" w:hAnsi="宋体"/>
          <w:color w:val="auto"/>
          <w:highlight w:val="none"/>
        </w:rPr>
      </w:pPr>
      <w:r>
        <w:rPr>
          <w:rFonts w:hint="eastAsia" w:ascii="宋体" w:hAnsi="宋体"/>
          <w:color w:val="auto"/>
          <w:highlight w:val="none"/>
        </w:rPr>
        <w:t>10.8  暂列金额</w:t>
      </w:r>
    </w:p>
    <w:p w14:paraId="46721B62">
      <w:pPr>
        <w:pStyle w:val="77"/>
        <w:spacing w:line="440" w:lineRule="exact"/>
        <w:ind w:firstLine="468" w:firstLineChars="195"/>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合同当事人关于暂列金额使用的约定：</w:t>
      </w:r>
      <w:r>
        <w:rPr>
          <w:rFonts w:hint="eastAsia" w:ascii="宋体" w:hAnsi="宋体"/>
          <w:color w:val="auto"/>
          <w:kern w:val="0"/>
          <w:highlight w:val="none"/>
          <w:u w:val="single"/>
          <w:lang w:val="en-US" w:eastAsia="zh-CN"/>
        </w:rPr>
        <w:t xml:space="preserve">  / </w:t>
      </w:r>
      <w:r>
        <w:rPr>
          <w:rFonts w:hint="eastAsia" w:ascii="宋体" w:hAnsi="宋体"/>
          <w:color w:val="auto"/>
          <w:kern w:val="0"/>
          <w:highlight w:val="none"/>
          <w:u w:val="none"/>
          <w:lang w:val="en-US" w:eastAsia="zh-CN"/>
        </w:rPr>
        <w:t>。</w:t>
      </w:r>
    </w:p>
    <w:p w14:paraId="76F97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价格调整</w:t>
      </w:r>
    </w:p>
    <w:p w14:paraId="0DF60A66">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市场价格波动引起的调整</w:t>
      </w:r>
    </w:p>
    <w:p w14:paraId="3FDDBCF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市场价格波动是否调整合同价格的约定：</w:t>
      </w:r>
      <w:r>
        <w:rPr>
          <w:rFonts w:hint="eastAsia" w:ascii="宋体" w:hAnsi="宋体"/>
          <w:color w:val="auto"/>
          <w:kern w:val="0"/>
          <w:highlight w:val="none"/>
          <w:u w:val="single"/>
          <w:lang w:eastAsia="zh-CN"/>
        </w:rPr>
        <w:t>否</w:t>
      </w:r>
      <w:r>
        <w:rPr>
          <w:rFonts w:hint="eastAsia" w:ascii="宋体" w:hAnsi="宋体"/>
          <w:color w:val="auto"/>
          <w:kern w:val="0"/>
          <w:highlight w:val="none"/>
          <w:u w:val="single"/>
        </w:rPr>
        <w:t>。</w:t>
      </w:r>
    </w:p>
    <w:p w14:paraId="715DC66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因市场价格波动调整合同价格，采用以下第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种方式对合同价格进行调整：</w:t>
      </w:r>
    </w:p>
    <w:p w14:paraId="549EFB8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第1种方式：</w:t>
      </w:r>
      <w:r>
        <w:rPr>
          <w:rFonts w:hint="eastAsia" w:ascii="宋体" w:hAnsi="宋体"/>
          <w:color w:val="auto"/>
          <w:highlight w:val="none"/>
          <w:u w:val="single"/>
        </w:rPr>
        <w:t>采用价格指数进行价格调整</w:t>
      </w:r>
      <w:r>
        <w:rPr>
          <w:rFonts w:hint="eastAsia" w:ascii="宋体" w:hAnsi="宋体"/>
          <w:color w:val="auto"/>
          <w:highlight w:val="none"/>
        </w:rPr>
        <w:t>。</w:t>
      </w:r>
    </w:p>
    <w:p w14:paraId="1B2D96BA">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关于各可调因子、定值和变值权重，以及基本价格指数及其来源的约定：</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10B9BF6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第2种方式：</w:t>
      </w:r>
      <w:r>
        <w:rPr>
          <w:rFonts w:hint="eastAsia" w:ascii="宋体" w:hAnsi="宋体"/>
          <w:color w:val="auto"/>
          <w:highlight w:val="none"/>
          <w:u w:val="single"/>
        </w:rPr>
        <w:t>根据《关于加强建筑材料价格风险控制的指导意见》（钦州市住房和城乡建设委员会2010年9月21日文件）规定采用造价信息按算术平均差价进行价格调整</w:t>
      </w:r>
      <w:r>
        <w:rPr>
          <w:rFonts w:hint="eastAsia" w:ascii="宋体" w:hAnsi="宋体"/>
          <w:color w:val="auto"/>
          <w:highlight w:val="none"/>
        </w:rPr>
        <w:t>。</w:t>
      </w:r>
    </w:p>
    <w:p w14:paraId="7EA561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（2）关于基准价格的约定：</w:t>
      </w:r>
      <w:r>
        <w:rPr>
          <w:rFonts w:hint="eastAsia" w:ascii="宋体" w:hAnsi="宋体"/>
          <w:color w:val="auto"/>
          <w:highlight w:val="none"/>
          <w:u w:val="single"/>
        </w:rPr>
        <w:t xml:space="preserve">1、招标发包的工程，材料基准价格为招标当期《钦州市建设工程造价信息》发布的材料信息价；招标当期《钦州市建设工程造价信息》没有发布信息价的材料，其基准价为经评审的招标控制价中的材料价格；2、直接发包的工程，主要材料按签订合同当期的《钦州市建设工程造价信息》发布的材料价格为基准价格。签订合同当期《钦州市建设工程造价信息》没有发布信息价的材料，其基准价为经评审的工程预算书中的材料价格。                              </w:t>
      </w:r>
    </w:p>
    <w:p w14:paraId="4663CACD">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合同履行期间经审核材料单价涨跌幅以基准单价为基础，超过± 5 %时，其超过± 5 %部分据实调整（具体调整办法按钦州市住房和城乡建设委员会文件《关于加强建筑材料价格风险控制的指导意见》[2010年9月21日]的规定执行）。</w:t>
      </w:r>
    </w:p>
    <w:p w14:paraId="7E59C061">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第3种方式：其他价格调整方式：</w:t>
      </w:r>
      <w:r>
        <w:rPr>
          <w:rFonts w:hint="eastAsia" w:ascii="宋体" w:hAnsi="宋体"/>
          <w:color w:val="auto"/>
          <w:highlight w:val="none"/>
          <w:u w:val="single"/>
        </w:rPr>
        <w:t xml:space="preserve">  无  </w:t>
      </w:r>
      <w:r>
        <w:rPr>
          <w:rFonts w:hint="eastAsia" w:ascii="宋体" w:hAnsi="宋体"/>
          <w:color w:val="auto"/>
          <w:highlight w:val="none"/>
        </w:rPr>
        <w:t>。</w:t>
      </w:r>
    </w:p>
    <w:p w14:paraId="1715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12.  合同价格、计量与支付</w:t>
      </w:r>
    </w:p>
    <w:p w14:paraId="5CB0E7FA">
      <w:pPr>
        <w:pStyle w:val="91"/>
        <w:spacing w:before="120" w:after="120" w:line="440" w:lineRule="exact"/>
        <w:outlineLvl w:val="0"/>
        <w:rPr>
          <w:rFonts w:ascii="宋体" w:hAnsi="宋体"/>
          <w:color w:val="auto"/>
          <w:highlight w:val="none"/>
        </w:rPr>
      </w:pPr>
      <w:r>
        <w:rPr>
          <w:rFonts w:hint="eastAsia" w:ascii="宋体" w:hAnsi="宋体"/>
          <w:color w:val="auto"/>
          <w:highlight w:val="none"/>
        </w:rPr>
        <w:t>12.1  合同价格形式</w:t>
      </w:r>
    </w:p>
    <w:p w14:paraId="56DA7219">
      <w:pPr>
        <w:pStyle w:val="77"/>
        <w:adjustRightInd w:val="0"/>
        <w:snapToGrid w:val="0"/>
        <w:spacing w:line="440" w:lineRule="exact"/>
        <w:ind w:firstLine="540" w:firstLineChars="225"/>
        <w:jc w:val="left"/>
        <w:rPr>
          <w:rFonts w:ascii="宋体" w:hAnsi="宋体"/>
          <w:color w:val="auto"/>
          <w:highlight w:val="none"/>
          <w:u w:val="single"/>
        </w:rPr>
      </w:pPr>
      <w:r>
        <w:rPr>
          <w:rFonts w:hint="eastAsia" w:ascii="宋体" w:hAnsi="宋体"/>
          <w:color w:val="auto"/>
          <w:highlight w:val="none"/>
          <w:u w:val="single"/>
        </w:rPr>
        <w:t>1、综合单价合同。</w:t>
      </w:r>
    </w:p>
    <w:p w14:paraId="32D483A7">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综合单价包含的风险范围：</w:t>
      </w:r>
      <w:r>
        <w:rPr>
          <w:rFonts w:hint="eastAsia" w:ascii="宋体" w:hAnsi="宋体" w:eastAsia="宋体" w:cs="宋体"/>
          <w:sz w:val="21"/>
          <w:szCs w:val="21"/>
          <w:u w:val="single"/>
        </w:rPr>
        <w:t xml:space="preserve">  除发包人原因造成的设计变更及国家、自治区政策性文件变化；不可抗拒力造成损失以外的各种风险   </w:t>
      </w:r>
      <w:r>
        <w:rPr>
          <w:rFonts w:hint="eastAsia" w:ascii="宋体" w:hAnsi="宋体" w:eastAsia="宋体" w:cs="宋体"/>
          <w:sz w:val="21"/>
          <w:szCs w:val="21"/>
        </w:rPr>
        <w:t>。</w:t>
      </w:r>
    </w:p>
    <w:p w14:paraId="602FC96C">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如因发包人原因（不可抗拒力除外）合同工期外完成的分项工程量清单和措施清单乘以零的预算包干费   </w:t>
      </w:r>
      <w:r>
        <w:rPr>
          <w:rFonts w:hint="eastAsia" w:ascii="宋体" w:hAnsi="宋体" w:eastAsia="宋体" w:cs="宋体"/>
          <w:sz w:val="21"/>
          <w:szCs w:val="21"/>
        </w:rPr>
        <w:t>。</w:t>
      </w:r>
    </w:p>
    <w:p w14:paraId="38433591">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45C58B7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2、总价合同。</w:t>
      </w:r>
    </w:p>
    <w:p w14:paraId="46096A8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总价包含的风险范围：</w:t>
      </w:r>
      <w:r>
        <w:rPr>
          <w:rFonts w:hint="eastAsia" w:ascii="宋体" w:hAnsi="宋体"/>
          <w:color w:val="auto"/>
          <w:highlight w:val="none"/>
          <w:u w:val="single"/>
        </w:rPr>
        <w:t xml:space="preserve">  /                                             </w:t>
      </w:r>
      <w:r>
        <w:rPr>
          <w:rFonts w:hint="eastAsia" w:ascii="宋体" w:hAnsi="宋体"/>
          <w:color w:val="auto"/>
          <w:highlight w:val="none"/>
        </w:rPr>
        <w:t>。</w:t>
      </w:r>
    </w:p>
    <w:p w14:paraId="47C65DB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风险费用的计算方法：</w:t>
      </w:r>
      <w:r>
        <w:rPr>
          <w:rFonts w:hint="eastAsia" w:ascii="宋体" w:hAnsi="宋体"/>
          <w:color w:val="auto"/>
          <w:highlight w:val="none"/>
          <w:u w:val="single"/>
        </w:rPr>
        <w:t xml:space="preserve">  /                                             </w:t>
      </w:r>
      <w:r>
        <w:rPr>
          <w:rFonts w:hint="eastAsia" w:ascii="宋体" w:hAnsi="宋体"/>
          <w:color w:val="auto"/>
          <w:highlight w:val="none"/>
        </w:rPr>
        <w:t>。</w:t>
      </w:r>
    </w:p>
    <w:p w14:paraId="6F91EE5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风险范围以外合同价格的调整方法：</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0E768FB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3、其他价格方式：</w:t>
      </w:r>
      <w:r>
        <w:rPr>
          <w:rFonts w:hint="eastAsia" w:ascii="宋体" w:hAnsi="宋体"/>
          <w:color w:val="auto"/>
          <w:highlight w:val="none"/>
          <w:u w:val="single"/>
        </w:rPr>
        <w:t xml:space="preserve">    /                                              </w:t>
      </w:r>
      <w:r>
        <w:rPr>
          <w:rFonts w:hint="eastAsia" w:ascii="宋体" w:hAnsi="宋体"/>
          <w:color w:val="auto"/>
          <w:highlight w:val="none"/>
        </w:rPr>
        <w:t>。</w:t>
      </w:r>
    </w:p>
    <w:p w14:paraId="630200B6">
      <w:pPr>
        <w:pStyle w:val="91"/>
        <w:spacing w:before="120" w:after="120" w:line="440" w:lineRule="exact"/>
        <w:outlineLvl w:val="0"/>
        <w:rPr>
          <w:rFonts w:ascii="宋体" w:hAnsi="宋体"/>
          <w:color w:val="auto"/>
          <w:highlight w:val="none"/>
        </w:rPr>
      </w:pPr>
      <w:r>
        <w:rPr>
          <w:rFonts w:hint="eastAsia" w:ascii="宋体" w:hAnsi="宋体"/>
          <w:color w:val="auto"/>
          <w:highlight w:val="none"/>
        </w:rPr>
        <w:t>12.2 预付款</w:t>
      </w:r>
    </w:p>
    <w:p w14:paraId="749EF2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12.2.1 预付款的支付</w:t>
      </w:r>
    </w:p>
    <w:p w14:paraId="6E995CC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预付款支付比例或金额：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63DD1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预付款支付期限：</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2B1DD2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预付款扣回的方式：</w:t>
      </w:r>
      <w:r>
        <w:rPr>
          <w:rFonts w:hint="eastAsia" w:ascii="宋体" w:hAnsi="宋体"/>
          <w:color w:val="auto"/>
          <w:highlight w:val="non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76A85BA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12.2.2 预付款担保</w:t>
      </w:r>
    </w:p>
    <w:p w14:paraId="20C0DE6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承包人提交预付款担保的期限：</w:t>
      </w:r>
      <w:r>
        <w:rPr>
          <w:rFonts w:hint="eastAsia" w:ascii="宋体" w:hAnsi="宋体"/>
          <w:color w:val="auto"/>
          <w:highlight w:val="none"/>
          <w:u w:val="single"/>
        </w:rPr>
        <w:t xml:space="preserve">无   </w:t>
      </w:r>
      <w:r>
        <w:rPr>
          <w:rFonts w:hint="eastAsia" w:ascii="宋体" w:hAnsi="宋体"/>
          <w:color w:val="auto"/>
          <w:highlight w:val="none"/>
        </w:rPr>
        <w:t>。</w:t>
      </w:r>
    </w:p>
    <w:p w14:paraId="3ED46F9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预付款担保的形式为：</w:t>
      </w:r>
      <w:r>
        <w:rPr>
          <w:rFonts w:hint="eastAsia" w:ascii="宋体" w:hAnsi="宋体"/>
          <w:color w:val="auto"/>
          <w:highlight w:val="none"/>
          <w:u w:val="single"/>
        </w:rPr>
        <w:t>无</w:t>
      </w:r>
      <w:r>
        <w:rPr>
          <w:rFonts w:hint="eastAsia" w:ascii="宋体" w:hAnsi="宋体"/>
          <w:color w:val="auto"/>
          <w:highlight w:val="none"/>
        </w:rPr>
        <w:t>。</w:t>
      </w:r>
    </w:p>
    <w:p w14:paraId="5E6376DC">
      <w:pPr>
        <w:pStyle w:val="91"/>
        <w:spacing w:before="120" w:after="120" w:line="440" w:lineRule="exact"/>
        <w:outlineLvl w:val="0"/>
        <w:rPr>
          <w:rFonts w:ascii="宋体" w:hAnsi="宋体"/>
          <w:color w:val="auto"/>
          <w:highlight w:val="none"/>
        </w:rPr>
      </w:pPr>
      <w:r>
        <w:rPr>
          <w:rFonts w:hint="eastAsia" w:ascii="宋体" w:hAnsi="宋体"/>
          <w:color w:val="auto"/>
          <w:highlight w:val="none"/>
        </w:rPr>
        <w:t>12.3 计量</w:t>
      </w:r>
    </w:p>
    <w:p w14:paraId="5AFE3260">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12.3.1 计量原则</w:t>
      </w:r>
    </w:p>
    <w:p w14:paraId="0835CAB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工程量计算规则：按《&lt;建设工程工程量清单计价规范&gt;（GB50500-20013）广西壮族自治区实施细则》、《&lt;建设工程工程量计算规&gt;GB50854～50862-20013）广西壮族自治区实施细则》（修订本）及《关于建筑业实施营业税改征增值税后广西壮族自治区建设工程计价依据调整的通知》。</w:t>
      </w:r>
    </w:p>
    <w:p w14:paraId="11A85002">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12.3.2 计量周期</w:t>
      </w:r>
    </w:p>
    <w:p w14:paraId="283BCCD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关于计量周期的约定：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按工程进度</w:t>
      </w:r>
      <w:r>
        <w:rPr>
          <w:rFonts w:hint="eastAsia" w:ascii="宋体" w:hAnsi="宋体"/>
          <w:color w:val="auto"/>
          <w:highlight w:val="none"/>
          <w:u w:val="single"/>
        </w:rPr>
        <w:t xml:space="preserve">计量  </w:t>
      </w:r>
      <w:r>
        <w:rPr>
          <w:rFonts w:hint="eastAsia" w:ascii="宋体" w:hAnsi="宋体"/>
          <w:color w:val="auto"/>
          <w:highlight w:val="none"/>
        </w:rPr>
        <w:t>。</w:t>
      </w:r>
    </w:p>
    <w:p w14:paraId="40DE00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12.3.3 单价合同的计量</w:t>
      </w:r>
    </w:p>
    <w:p w14:paraId="368ADCD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 xml:space="preserve">关于单价合同计量的约定：按《通用合同条款》执行。 </w:t>
      </w:r>
    </w:p>
    <w:p w14:paraId="31CB16C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12.3.4 总价合同的计量</w:t>
      </w:r>
    </w:p>
    <w:p w14:paraId="23A6A5F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关于总价合同计量的约定：</w:t>
      </w:r>
      <w:r>
        <w:rPr>
          <w:rFonts w:hint="eastAsia" w:ascii="宋体" w:hAnsi="宋体"/>
          <w:color w:val="auto"/>
          <w:highlight w:val="none"/>
          <w:u w:val="single"/>
        </w:rPr>
        <w:t xml:space="preserve">  /                          </w:t>
      </w:r>
      <w:r>
        <w:rPr>
          <w:rFonts w:hint="eastAsia" w:ascii="宋体" w:hAnsi="宋体"/>
          <w:color w:val="auto"/>
          <w:highlight w:val="none"/>
        </w:rPr>
        <w:t>。</w:t>
      </w:r>
    </w:p>
    <w:p w14:paraId="014B99D2">
      <w:pPr>
        <w:pStyle w:val="77"/>
        <w:spacing w:line="440" w:lineRule="exact"/>
        <w:jc w:val="left"/>
        <w:rPr>
          <w:rFonts w:ascii="宋体" w:hAnsi="宋体"/>
          <w:color w:val="auto"/>
          <w:highlight w:val="none"/>
        </w:rPr>
      </w:pPr>
      <w:r>
        <w:rPr>
          <w:rFonts w:hint="eastAsia" w:ascii="宋体" w:hAnsi="宋体"/>
          <w:color w:val="auto"/>
          <w:highlight w:val="none"/>
        </w:rPr>
        <w:t>12.3.5总价合同采用支付分解表计量支付的，是否适用第</w:t>
      </w:r>
      <w:r>
        <w:rPr>
          <w:rFonts w:hint="eastAsia" w:ascii="宋体" w:hAnsi="宋体"/>
          <w:color w:val="auto"/>
          <w:kern w:val="0"/>
          <w:highlight w:val="none"/>
        </w:rPr>
        <w:t xml:space="preserve">12.3.4 </w:t>
      </w:r>
      <w:r>
        <w:rPr>
          <w:rFonts w:hint="eastAsia" w:ascii="宋体" w:hAnsi="宋体"/>
          <w:color w:val="auto"/>
          <w:highlight w:val="none"/>
        </w:rPr>
        <w:t>项</w:t>
      </w:r>
      <w:r>
        <w:rPr>
          <w:rFonts w:hint="eastAsia" w:ascii="宋体" w:hAnsi="宋体"/>
          <w:color w:val="auto"/>
          <w:kern w:val="0"/>
          <w:highlight w:val="none"/>
        </w:rPr>
        <w:t>〔总价合同的计量〕</w:t>
      </w:r>
      <w:r>
        <w:rPr>
          <w:rFonts w:hint="eastAsia" w:ascii="宋体" w:hAnsi="宋体"/>
          <w:color w:val="auto"/>
          <w:highlight w:val="none"/>
        </w:rPr>
        <w:t>约定进行计量：</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76ECFD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12.3.6 其他价格形式合同的计量</w:t>
      </w:r>
    </w:p>
    <w:p w14:paraId="342B3F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其他价格形式的计量方式和程序：</w:t>
      </w:r>
      <w:r>
        <w:rPr>
          <w:rFonts w:hint="eastAsia" w:ascii="宋体" w:hAnsi="宋体"/>
          <w:color w:val="auto"/>
          <w:highlight w:val="none"/>
          <w:u w:val="single"/>
        </w:rPr>
        <w:t xml:space="preserve">    /          </w:t>
      </w:r>
      <w:r>
        <w:rPr>
          <w:rFonts w:hint="eastAsia" w:ascii="宋体" w:hAnsi="宋体"/>
          <w:color w:val="auto"/>
          <w:highlight w:val="none"/>
        </w:rPr>
        <w:t>。</w:t>
      </w:r>
    </w:p>
    <w:p w14:paraId="39F399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12.4 工程进度款支付</w:t>
      </w:r>
    </w:p>
    <w:p w14:paraId="41BC77E7">
      <w:pPr>
        <w:pStyle w:val="77"/>
        <w:spacing w:line="440" w:lineRule="exact"/>
        <w:jc w:val="left"/>
        <w:outlineLvl w:val="0"/>
      </w:pPr>
      <w:r>
        <w:rPr>
          <w:rFonts w:hint="eastAsia" w:ascii="宋体" w:hAnsi="宋体"/>
          <w:b/>
          <w:bCs/>
          <w:color w:val="auto"/>
          <w:highlight w:val="none"/>
        </w:rPr>
        <w:t>12.4.1 付款周期</w:t>
      </w:r>
    </w:p>
    <w:p w14:paraId="44D09EB0">
      <w:pPr>
        <w:pStyle w:val="77"/>
        <w:spacing w:line="440" w:lineRule="exact"/>
        <w:jc w:val="left"/>
        <w:outlineLvl w:val="0"/>
        <w:rPr>
          <w:rFonts w:ascii="宋体" w:hAnsi="宋体"/>
          <w:color w:val="auto"/>
          <w:sz w:val="21"/>
          <w:szCs w:val="21"/>
          <w:highlight w:val="none"/>
          <w:u w:val="single"/>
        </w:rPr>
      </w:pPr>
      <w:r>
        <w:rPr>
          <w:rFonts w:hint="eastAsia" w:ascii="宋体" w:hAnsi="宋体"/>
          <w:b/>
          <w:bCs/>
          <w:color w:val="auto"/>
          <w:highlight w:val="none"/>
        </w:rPr>
        <w:t>12.4.2 进度付款申请单的编制</w:t>
      </w:r>
      <w:r>
        <w:rPr>
          <w:rFonts w:hint="eastAsia" w:ascii="宋体" w:hAnsi="宋体"/>
          <w:color w:val="auto"/>
          <w:highlight w:val="none"/>
          <w:u w:val="single"/>
        </w:rPr>
        <w:t>：</w:t>
      </w:r>
      <w:r>
        <w:rPr>
          <w:rFonts w:hint="eastAsia" w:ascii="宋体" w:hAnsi="宋体" w:cs="宋体"/>
          <w:sz w:val="21"/>
          <w:szCs w:val="21"/>
          <w:u w:val="single"/>
        </w:rPr>
        <w:t xml:space="preserve">按实际完成工程量进度及合同条款    </w:t>
      </w:r>
      <w:r>
        <w:rPr>
          <w:rFonts w:hint="eastAsia" w:ascii="宋体" w:hAnsi="宋体" w:cs="宋体"/>
          <w:sz w:val="21"/>
          <w:szCs w:val="21"/>
        </w:rPr>
        <w:t>。</w:t>
      </w:r>
    </w:p>
    <w:p w14:paraId="56BE205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12.4.3 进度付款申请单的提交</w:t>
      </w:r>
    </w:p>
    <w:p w14:paraId="29674E7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（1）单价合同进度付款申请单提交的约定：</w:t>
      </w:r>
      <w:r>
        <w:rPr>
          <w:rFonts w:hint="eastAsia" w:ascii="宋体" w:hAnsi="宋体"/>
          <w:color w:val="auto"/>
          <w:kern w:val="0"/>
          <w:highlight w:val="none"/>
          <w:u w:val="single"/>
        </w:rPr>
        <w:t>按《通用合同条款》执行</w:t>
      </w:r>
      <w:r>
        <w:rPr>
          <w:rFonts w:hint="eastAsia" w:ascii="宋体" w:hAnsi="宋体"/>
          <w:color w:val="auto"/>
          <w:highlight w:val="none"/>
        </w:rPr>
        <w:t>。</w:t>
      </w:r>
    </w:p>
    <w:p w14:paraId="754BC259">
      <w:pPr>
        <w:pStyle w:val="77"/>
        <w:spacing w:line="440" w:lineRule="exact"/>
        <w:ind w:left="479" w:leftChars="228"/>
        <w:jc w:val="left"/>
        <w:rPr>
          <w:rFonts w:ascii="宋体" w:hAnsi="宋体"/>
          <w:color w:val="auto"/>
          <w:highlight w:val="none"/>
        </w:rPr>
      </w:pPr>
      <w:r>
        <w:rPr>
          <w:rFonts w:hint="eastAsia" w:ascii="宋体" w:hAnsi="宋体"/>
          <w:color w:val="auto"/>
          <w:highlight w:val="none"/>
        </w:rPr>
        <w:t>（2）总价合同进度付款申请单提交的约定：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000EA29C">
      <w:pPr>
        <w:pStyle w:val="77"/>
        <w:spacing w:line="440" w:lineRule="exact"/>
        <w:ind w:left="479" w:leftChars="228"/>
        <w:jc w:val="left"/>
        <w:rPr>
          <w:rFonts w:ascii="宋体" w:hAnsi="宋体"/>
          <w:color w:val="auto"/>
          <w:highlight w:val="none"/>
        </w:rPr>
      </w:pPr>
      <w:r>
        <w:rPr>
          <w:rFonts w:hint="eastAsia" w:ascii="宋体" w:hAnsi="宋体"/>
          <w:color w:val="auto"/>
          <w:highlight w:val="none"/>
        </w:rPr>
        <w:t>（3）其他价格形式合同进度付款申请单提交的约定：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50C5239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12.4.4 进度款审核和支付</w:t>
      </w:r>
    </w:p>
    <w:p w14:paraId="2BBAA410">
      <w:pPr>
        <w:spacing w:line="500" w:lineRule="exact"/>
        <w:ind w:firstLine="420" w:firstLineChars="200"/>
        <w:rPr>
          <w:rFonts w:hint="eastAsia" w:ascii="宋体" w:hAnsi="宋体" w:cs="宋体"/>
          <w:color w:val="FF0000"/>
          <w:szCs w:val="21"/>
          <w:highlight w:val="none"/>
        </w:rPr>
      </w:pPr>
      <w:r>
        <w:rPr>
          <w:rFonts w:hint="eastAsia" w:ascii="宋体" w:hAnsi="宋体" w:cs="宋体"/>
          <w:color w:val="FF0000"/>
          <w:szCs w:val="21"/>
          <w:highlight w:val="none"/>
          <w:lang w:val="en-US" w:eastAsia="zh-CN"/>
        </w:rPr>
        <w:t>1、</w:t>
      </w:r>
      <w:r>
        <w:rPr>
          <w:rFonts w:hint="eastAsia" w:ascii="宋体" w:hAnsi="宋体" w:cs="宋体"/>
          <w:color w:val="FF0000"/>
          <w:szCs w:val="21"/>
          <w:highlight w:val="none"/>
        </w:rPr>
        <w:t>发包方按本工程所完成建设工程量的工程款，以转帐方式支付给承包方。</w:t>
      </w:r>
    </w:p>
    <w:p w14:paraId="38F00075">
      <w:pPr>
        <w:pStyle w:val="77"/>
        <w:spacing w:line="440" w:lineRule="exact"/>
        <w:ind w:firstLine="480" w:firstLineChars="200"/>
        <w:jc w:val="left"/>
        <w:outlineLvl w:val="0"/>
        <w:rPr>
          <w:rFonts w:hint="eastAsia" w:ascii="宋体" w:hAnsi="宋体" w:cs="宋体"/>
          <w:color w:val="FF0000"/>
          <w:szCs w:val="21"/>
          <w:highlight w:val="none"/>
          <w:lang w:val="en-US" w:eastAsia="zh-CN"/>
        </w:rPr>
      </w:pPr>
      <w:r>
        <w:rPr>
          <w:rFonts w:hint="eastAsia" w:ascii="宋体" w:hAnsi="宋体" w:cs="宋体"/>
          <w:color w:val="FF0000"/>
          <w:szCs w:val="21"/>
          <w:highlight w:val="none"/>
          <w:lang w:val="en-US" w:eastAsia="zh-CN"/>
        </w:rPr>
        <w:t>2、发包方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p w14:paraId="6AAC37A5">
      <w:pPr>
        <w:spacing w:line="460" w:lineRule="exact"/>
        <w:ind w:firstLine="420" w:firstLineChars="200"/>
        <w:rPr>
          <w:rFonts w:hint="eastAsia" w:ascii="宋体" w:hAnsi="宋体" w:eastAsia="宋体" w:cs="宋体"/>
          <w:color w:val="FF0000"/>
          <w:sz w:val="21"/>
          <w:szCs w:val="21"/>
          <w:lang w:val="en-US" w:eastAsia="zh-CN"/>
        </w:rPr>
      </w:pPr>
      <w:r>
        <w:rPr>
          <w:rFonts w:hint="eastAsia" w:ascii="宋体" w:hAnsi="宋体" w:cs="宋体"/>
          <w:color w:val="FF0000"/>
          <w:szCs w:val="21"/>
          <w:highlight w:val="none"/>
          <w:lang w:val="en-US" w:eastAsia="zh-CN"/>
        </w:rPr>
        <w:t xml:space="preserve"> </w:t>
      </w:r>
      <w:r>
        <w:rPr>
          <w:rFonts w:hint="eastAsia" w:ascii="宋体" w:hAnsi="宋体" w:eastAsia="宋体" w:cs="宋体"/>
          <w:color w:val="FF0000"/>
          <w:sz w:val="21"/>
          <w:szCs w:val="21"/>
          <w:highlight w:val="none"/>
          <w:lang w:val="en-US" w:eastAsia="zh-CN"/>
        </w:rPr>
        <w:t xml:space="preserve"> </w:t>
      </w:r>
      <w:r>
        <w:rPr>
          <w:rFonts w:hint="eastAsia" w:ascii="宋体" w:hAnsi="宋体" w:eastAsia="宋体" w:cs="宋体"/>
          <w:b/>
          <w:color w:val="FF0000"/>
          <w:sz w:val="21"/>
          <w:szCs w:val="21"/>
        </w:rPr>
        <w:t>双方约定该项目工人工资占工程款的比例是</w:t>
      </w:r>
      <w:r>
        <w:rPr>
          <w:rFonts w:hint="eastAsia" w:ascii="宋体" w:hAnsi="宋体" w:cs="宋体"/>
          <w:b/>
          <w:color w:val="FF0000"/>
          <w:sz w:val="21"/>
          <w:szCs w:val="21"/>
          <w:lang w:val="en-US" w:eastAsia="zh-CN"/>
        </w:rPr>
        <w:t>3</w:t>
      </w:r>
      <w:r>
        <w:rPr>
          <w:rFonts w:hint="eastAsia" w:ascii="宋体" w:hAnsi="宋体" w:eastAsia="宋体" w:cs="宋体"/>
          <w:b/>
          <w:color w:val="FF0000"/>
          <w:sz w:val="21"/>
          <w:szCs w:val="21"/>
        </w:rPr>
        <w:t>0%。</w:t>
      </w:r>
    </w:p>
    <w:p w14:paraId="6DEB3784">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12.4.5 工程进度付款的修正</w:t>
      </w:r>
    </w:p>
    <w:p w14:paraId="527E85A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在对已签发的进度款支付证书进行阶段汇总和复核中发现错误、遗漏或重复的，发包人和承包人均有权提出修正申请，且发包人有权以审计单位对工程审计结果修正已签发的进度付款证书。经发包人和承包人同意的修正，应在下一期进度支付证书中支付或扣除。   </w:t>
      </w:r>
    </w:p>
    <w:p w14:paraId="686F473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12.4.6 支付分解表的编制</w:t>
      </w:r>
    </w:p>
    <w:p w14:paraId="4619F8C8">
      <w:pPr>
        <w:pStyle w:val="77"/>
        <w:spacing w:line="440" w:lineRule="exact"/>
        <w:ind w:left="4799" w:leftChars="228" w:hanging="4320" w:hangingChars="1800"/>
        <w:jc w:val="left"/>
        <w:rPr>
          <w:rFonts w:ascii="宋体" w:hAnsi="宋体"/>
          <w:color w:val="auto"/>
          <w:highlight w:val="none"/>
        </w:rPr>
      </w:pPr>
      <w:r>
        <w:rPr>
          <w:rFonts w:hint="eastAsia" w:ascii="宋体" w:hAnsi="宋体"/>
          <w:color w:val="auto"/>
          <w:highlight w:val="none"/>
        </w:rPr>
        <w:t>2、总价合同支付分解表的编制与审批</w:t>
      </w:r>
      <w:r>
        <w:rPr>
          <w:rFonts w:hint="eastAsia" w:ascii="宋体" w:hAnsi="宋体"/>
          <w:color w:val="auto"/>
          <w:highlight w:val="none"/>
          <w:u w:val="single"/>
        </w:rPr>
        <w:t>：按《通用合同条款》 执行。</w:t>
      </w:r>
    </w:p>
    <w:p w14:paraId="3D02ADA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3、单价合同的总价项目支付分解表的编制与审批：</w:t>
      </w:r>
      <w:r>
        <w:rPr>
          <w:rFonts w:hint="eastAsia" w:ascii="宋体" w:hAnsi="宋体"/>
          <w:color w:val="auto"/>
          <w:highlight w:val="none"/>
          <w:u w:val="single"/>
        </w:rPr>
        <w:t>按《通用合同条款》 执行</w:t>
      </w:r>
      <w:r>
        <w:rPr>
          <w:rFonts w:hint="eastAsia" w:ascii="宋体" w:hAnsi="宋体"/>
          <w:color w:val="auto"/>
          <w:highlight w:val="none"/>
        </w:rPr>
        <w:t>。</w:t>
      </w:r>
    </w:p>
    <w:p w14:paraId="7964C6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13. 验收和工程试车</w:t>
      </w:r>
    </w:p>
    <w:p w14:paraId="12265120">
      <w:pPr>
        <w:pStyle w:val="91"/>
        <w:spacing w:before="120" w:after="120" w:line="440" w:lineRule="exact"/>
        <w:outlineLvl w:val="0"/>
        <w:rPr>
          <w:rFonts w:ascii="宋体" w:hAnsi="宋体"/>
          <w:color w:val="auto"/>
          <w:highlight w:val="none"/>
        </w:rPr>
      </w:pPr>
      <w:r>
        <w:rPr>
          <w:rFonts w:hint="eastAsia" w:ascii="宋体" w:hAnsi="宋体"/>
          <w:color w:val="auto"/>
          <w:highlight w:val="none"/>
        </w:rPr>
        <w:t>13.1 分部分项工程验收</w:t>
      </w:r>
    </w:p>
    <w:p w14:paraId="6A936E3A">
      <w:pPr>
        <w:pStyle w:val="77"/>
        <w:spacing w:line="440" w:lineRule="exact"/>
        <w:jc w:val="left"/>
        <w:rPr>
          <w:rFonts w:ascii="宋体" w:hAnsi="宋体"/>
          <w:color w:val="auto"/>
          <w:highlight w:val="none"/>
        </w:rPr>
      </w:pPr>
      <w:r>
        <w:rPr>
          <w:rFonts w:hint="eastAsia" w:ascii="宋体" w:hAnsi="宋体"/>
          <w:color w:val="auto"/>
          <w:highlight w:val="none"/>
        </w:rPr>
        <w:t>13.1.2监理人不能按时进行验收时，应提前</w:t>
      </w:r>
      <w:r>
        <w:rPr>
          <w:rFonts w:hint="eastAsia" w:ascii="宋体" w:hAnsi="宋体"/>
          <w:color w:val="auto"/>
          <w:highlight w:val="none"/>
          <w:u w:val="single"/>
        </w:rPr>
        <w:t xml:space="preserve">  24  </w:t>
      </w:r>
      <w:r>
        <w:rPr>
          <w:rFonts w:hint="eastAsia" w:ascii="宋体" w:hAnsi="宋体"/>
          <w:color w:val="auto"/>
          <w:highlight w:val="none"/>
        </w:rPr>
        <w:t>小时提交书面延期要求。</w:t>
      </w:r>
    </w:p>
    <w:p w14:paraId="3EF2E8F7">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48  </w:t>
      </w:r>
      <w:r>
        <w:rPr>
          <w:rFonts w:hint="eastAsia" w:ascii="宋体" w:hAnsi="宋体"/>
          <w:color w:val="auto"/>
          <w:highlight w:val="none"/>
        </w:rPr>
        <w:t>小时。</w:t>
      </w:r>
    </w:p>
    <w:p w14:paraId="38A016C7">
      <w:pPr>
        <w:pStyle w:val="91"/>
        <w:spacing w:before="120" w:after="120" w:line="440" w:lineRule="exact"/>
        <w:outlineLvl w:val="0"/>
        <w:rPr>
          <w:rFonts w:ascii="宋体" w:hAnsi="宋体"/>
          <w:color w:val="auto"/>
          <w:highlight w:val="none"/>
        </w:rPr>
      </w:pPr>
      <w:r>
        <w:rPr>
          <w:rFonts w:hint="eastAsia" w:ascii="宋体" w:hAnsi="宋体"/>
          <w:color w:val="auto"/>
          <w:highlight w:val="none"/>
        </w:rPr>
        <w:t>13.2 竣工验收</w:t>
      </w:r>
    </w:p>
    <w:p w14:paraId="7142ED9F">
      <w:pPr>
        <w:pStyle w:val="77"/>
        <w:spacing w:line="440" w:lineRule="exact"/>
        <w:jc w:val="left"/>
        <w:rPr>
          <w:rFonts w:ascii="宋体" w:hAnsi="宋体"/>
          <w:b/>
          <w:bCs/>
          <w:color w:val="auto"/>
          <w:highlight w:val="none"/>
        </w:rPr>
      </w:pPr>
      <w:r>
        <w:rPr>
          <w:rFonts w:hint="eastAsia" w:ascii="宋体" w:hAnsi="宋体"/>
          <w:b/>
          <w:bCs/>
          <w:color w:val="auto"/>
          <w:highlight w:val="none"/>
        </w:rPr>
        <w:t>13.2.2竣工验收程序</w:t>
      </w:r>
    </w:p>
    <w:p w14:paraId="209C4DB7">
      <w:pPr>
        <w:pStyle w:val="77"/>
        <w:spacing w:line="440" w:lineRule="exact"/>
        <w:ind w:firstLine="420"/>
        <w:rPr>
          <w:rFonts w:ascii="宋体" w:hAnsi="宋体"/>
          <w:color w:val="auto"/>
          <w:highlight w:val="none"/>
          <w:u w:val="single"/>
        </w:rPr>
      </w:pPr>
      <w:r>
        <w:rPr>
          <w:rFonts w:hint="eastAsia" w:ascii="宋体" w:hAnsi="宋体"/>
          <w:color w:val="auto"/>
          <w:kern w:val="0"/>
          <w:highlight w:val="none"/>
        </w:rPr>
        <w:t>关于竣工验收程序的约定：</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6FB23B05">
      <w:pPr>
        <w:pStyle w:val="77"/>
        <w:spacing w:line="440" w:lineRule="exact"/>
        <w:ind w:firstLine="480" w:firstLineChars="200"/>
        <w:jc w:val="left"/>
        <w:rPr>
          <w:rFonts w:ascii="宋体" w:hAnsi="宋体"/>
          <w:b/>
          <w:bCs/>
          <w:color w:val="auto"/>
          <w:highlight w:val="none"/>
        </w:rPr>
      </w:pPr>
      <w:r>
        <w:rPr>
          <w:rFonts w:hint="eastAsia" w:ascii="宋体" w:hAnsi="宋体"/>
          <w:color w:val="auto"/>
          <w:kern w:val="0"/>
          <w:highlight w:val="none"/>
        </w:rPr>
        <w:t>发包人不按照本项约定组织竣工验收、颁发工程接收证书的违约金的计算方法：</w:t>
      </w:r>
      <w:r>
        <w:rPr>
          <w:rFonts w:hint="eastAsia" w:ascii="宋体" w:hAnsi="宋体"/>
          <w:color w:val="auto"/>
          <w:highlight w:val="none"/>
          <w:u w:val="single"/>
        </w:rPr>
        <w:t xml:space="preserve">  无 。</w:t>
      </w:r>
      <w:r>
        <w:rPr>
          <w:rFonts w:hint="eastAsia" w:ascii="宋体" w:hAnsi="宋体"/>
          <w:b/>
          <w:bCs/>
          <w:color w:val="auto"/>
          <w:highlight w:val="none"/>
          <w:u w:val="single"/>
        </w:rPr>
        <w:t xml:space="preserve"> </w:t>
      </w:r>
    </w:p>
    <w:p w14:paraId="247D8D7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13.2.3 竣工日期</w:t>
      </w:r>
    </w:p>
    <w:p w14:paraId="3E66803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工程竣工验收合格之日为工程竣工日期。</w:t>
      </w:r>
    </w:p>
    <w:p w14:paraId="6414DE4C">
      <w:pPr>
        <w:pStyle w:val="77"/>
        <w:spacing w:line="440" w:lineRule="exact"/>
        <w:jc w:val="left"/>
        <w:rPr>
          <w:rFonts w:ascii="宋体" w:hAnsi="宋体"/>
          <w:b/>
          <w:bCs/>
          <w:color w:val="auto"/>
          <w:highlight w:val="none"/>
        </w:rPr>
      </w:pPr>
      <w:r>
        <w:rPr>
          <w:rFonts w:hint="eastAsia" w:ascii="宋体" w:hAnsi="宋体"/>
          <w:b/>
          <w:bCs/>
          <w:color w:val="auto"/>
          <w:highlight w:val="none"/>
        </w:rPr>
        <w:t>13.2.5移交、接收全部与部分工程</w:t>
      </w:r>
    </w:p>
    <w:p w14:paraId="149EF1F3">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承包人向发包人移交工程的期限：</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595BE2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承包人未按时移交工程的，违约金的计算方法为：</w:t>
      </w:r>
      <w:r>
        <w:rPr>
          <w:rFonts w:hint="eastAsia" w:ascii="宋体" w:hAnsi="宋体"/>
          <w:color w:val="auto"/>
          <w:highlight w:val="none"/>
          <w:u w:val="single"/>
        </w:rPr>
        <w:t>承担发包人不能按接收期投入使用所造成全部的损失。</w:t>
      </w:r>
    </w:p>
    <w:p w14:paraId="2BC4C7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13.3 工程试车</w:t>
      </w:r>
    </w:p>
    <w:p w14:paraId="22F343C0">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13.3.1 试车程序</w:t>
      </w:r>
    </w:p>
    <w:p w14:paraId="0DB18FC0">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工程试车内容：</w:t>
      </w:r>
      <w:r>
        <w:rPr>
          <w:rFonts w:hint="eastAsia" w:ascii="宋体" w:hAnsi="宋体"/>
          <w:color w:val="auto"/>
          <w:highlight w:val="none"/>
          <w:u w:val="single"/>
        </w:rPr>
        <w:t>按《通用合同条款》执行</w:t>
      </w:r>
      <w:r>
        <w:rPr>
          <w:rFonts w:hint="eastAsia" w:ascii="宋体" w:hAnsi="宋体"/>
          <w:color w:val="auto"/>
          <w:highlight w:val="none"/>
        </w:rPr>
        <w:t>。</w:t>
      </w:r>
    </w:p>
    <w:p w14:paraId="3FC7046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（1）单机无负荷试车费用由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575D6013">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（2）无负荷联动试车费用由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60B095C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13.3.3 投料试车</w:t>
      </w:r>
    </w:p>
    <w:p w14:paraId="637F570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关于投料试车相关事项的约定：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34B17AC1">
      <w:pPr>
        <w:pStyle w:val="91"/>
        <w:spacing w:before="120" w:after="120" w:line="440" w:lineRule="exact"/>
        <w:outlineLvl w:val="0"/>
        <w:rPr>
          <w:rFonts w:ascii="宋体" w:hAnsi="宋体"/>
          <w:color w:val="auto"/>
          <w:highlight w:val="none"/>
        </w:rPr>
      </w:pPr>
      <w:r>
        <w:rPr>
          <w:rFonts w:hint="eastAsia" w:ascii="宋体" w:hAnsi="宋体"/>
          <w:color w:val="auto"/>
          <w:highlight w:val="none"/>
        </w:rPr>
        <w:t>13.6 竣工退场</w:t>
      </w:r>
    </w:p>
    <w:p w14:paraId="264CFDD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13.6.1 竣工退场</w:t>
      </w:r>
    </w:p>
    <w:p w14:paraId="6EDF96C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承包人完成竣工退场的期限：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kern w:val="0"/>
          <w:sz w:val="21"/>
          <w:szCs w:val="21"/>
          <w:u w:val="single"/>
        </w:rPr>
        <w:t>竣工验收合格交付使用后7天内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FB47DED">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13.7 工程竣工验收资料 </w:t>
      </w:r>
    </w:p>
    <w:p w14:paraId="3A36D3A1">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u w:val="single"/>
        </w:rPr>
        <w:t>承包人须在竣工验收后2</w:t>
      </w:r>
      <w:r>
        <w:rPr>
          <w:rFonts w:hint="eastAsia" w:ascii="宋体" w:hAnsi="宋体"/>
          <w:color w:val="auto"/>
          <w:kern w:val="0"/>
          <w:highlight w:val="none"/>
          <w:u w:val="single"/>
          <w:lang w:val="en-US" w:eastAsia="zh-CN"/>
        </w:rPr>
        <w:t>0</w:t>
      </w:r>
      <w:r>
        <w:rPr>
          <w:rFonts w:hint="eastAsia" w:ascii="宋体" w:hAnsi="宋体"/>
          <w:color w:val="auto"/>
          <w:kern w:val="0"/>
          <w:highlight w:val="none"/>
          <w:u w:val="single"/>
        </w:rPr>
        <w:t>天内提交完整竣工资料。</w:t>
      </w:r>
    </w:p>
    <w:p w14:paraId="31408860">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竣工结算</w:t>
      </w:r>
    </w:p>
    <w:p w14:paraId="7E9ABA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14.1 竣工结算申请</w:t>
      </w:r>
    </w:p>
    <w:p w14:paraId="69308196">
      <w:pPr>
        <w:pStyle w:val="77"/>
        <w:spacing w:line="440" w:lineRule="exact"/>
        <w:ind w:firstLine="480" w:firstLineChars="200"/>
        <w:jc w:val="left"/>
        <w:rPr>
          <w:rFonts w:hint="eastAsia" w:ascii="宋体" w:hAnsi="宋体" w:eastAsia="宋体"/>
          <w:color w:val="auto"/>
          <w:highlight w:val="none"/>
          <w:u w:val="single"/>
          <w:lang w:eastAsia="zh-CN"/>
        </w:rPr>
      </w:pPr>
      <w:r>
        <w:rPr>
          <w:rFonts w:hint="eastAsia" w:ascii="宋体" w:hAnsi="宋体"/>
          <w:color w:val="auto"/>
          <w:highlight w:val="none"/>
        </w:rPr>
        <w:t>承包人提交竣工付款申请单的期限：</w:t>
      </w:r>
      <w:r>
        <w:rPr>
          <w:rFonts w:hint="eastAsia" w:ascii="宋体" w:hAnsi="宋体"/>
          <w:color w:val="auto"/>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kern w:val="0"/>
          <w:sz w:val="21"/>
          <w:szCs w:val="21"/>
          <w:u w:val="single"/>
        </w:rPr>
        <w:t xml:space="preserve">20天内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27090484">
      <w:pPr>
        <w:spacing w:line="460" w:lineRule="exact"/>
        <w:ind w:firstLine="420" w:firstLineChars="200"/>
        <w:jc w:val="left"/>
        <w:rPr>
          <w:rFonts w:hint="eastAsia" w:ascii="宋体" w:hAnsi="宋体" w:eastAsia="宋体" w:cs="宋体"/>
          <w:color w:val="auto"/>
          <w:sz w:val="21"/>
          <w:szCs w:val="21"/>
          <w:highlight w:val="none"/>
        </w:rPr>
      </w:pPr>
      <w:r>
        <w:rPr>
          <w:rFonts w:hint="eastAsia" w:ascii="宋体" w:hAnsi="宋体"/>
          <w:color w:val="auto"/>
          <w:highlight w:val="none"/>
          <w:u w:val="none"/>
        </w:rPr>
        <w:t>竣工付款申请单应包括的内容</w:t>
      </w:r>
      <w:r>
        <w:rPr>
          <w:rFonts w:hint="eastAsia" w:ascii="宋体" w:hAnsi="宋体"/>
          <w:color w:val="auto"/>
          <w:sz w:val="21"/>
          <w:szCs w:val="21"/>
          <w:highlight w:val="none"/>
          <w:u w:val="none"/>
        </w:rPr>
        <w:t>：</w:t>
      </w:r>
      <w:r>
        <w:rPr>
          <w:rFonts w:hint="eastAsia" w:ascii="宋体" w:hAnsi="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000000"/>
          <w:sz w:val="21"/>
          <w:szCs w:val="21"/>
          <w:u w:val="single"/>
        </w:rPr>
        <w:t>符合国家现行法律法规及行政主管部门的要求</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 xml:space="preserve">。 </w:t>
      </w:r>
    </w:p>
    <w:p w14:paraId="725EF3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14.2 竣工结算审核</w:t>
      </w:r>
    </w:p>
    <w:p w14:paraId="30D54435">
      <w:pPr>
        <w:pStyle w:val="77"/>
        <w:tabs>
          <w:tab w:val="left" w:pos="0"/>
        </w:tabs>
        <w:spacing w:line="440" w:lineRule="exact"/>
        <w:ind w:left="19" w:leftChars="9" w:firstLine="525" w:firstLineChars="219"/>
        <w:jc w:val="left"/>
        <w:rPr>
          <w:rFonts w:ascii="宋体" w:hAnsi="宋体"/>
          <w:color w:val="auto"/>
          <w:kern w:val="0"/>
          <w:highlight w:val="none"/>
        </w:rPr>
      </w:pPr>
      <w:r>
        <w:rPr>
          <w:rFonts w:hint="eastAsia" w:ascii="宋体" w:hAnsi="宋体"/>
          <w:color w:val="auto"/>
          <w:kern w:val="0"/>
          <w:highlight w:val="none"/>
        </w:rPr>
        <w:t>发包人审批竣工付款申请单的期限：根据审计单位出具的审计报告进行核算，发包人在收到审计报告及承包人的竣工付款申请单后28天内完成审批。</w:t>
      </w:r>
    </w:p>
    <w:p w14:paraId="5477A556">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 xml:space="preserve">发包人完成竣工付款的期限： </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33091714">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关于竣工付款证书异议部分复核的方式和程序：按《通用合同条款》。</w:t>
      </w:r>
    </w:p>
    <w:p w14:paraId="6833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14.4 最终结清</w:t>
      </w:r>
    </w:p>
    <w:p w14:paraId="03FD0A4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14.4.1 最终结清申请单</w:t>
      </w:r>
    </w:p>
    <w:p w14:paraId="5BA9282F">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承包人提交最终结清申请单的份数：</w:t>
      </w:r>
      <w:r>
        <w:rPr>
          <w:rFonts w:hint="eastAsia" w:ascii="宋体" w:hAnsi="宋体"/>
          <w:color w:val="auto"/>
          <w:kern w:val="0"/>
          <w:highlight w:val="none"/>
          <w:u w:val="single"/>
          <w:lang w:eastAsia="zh-CN"/>
        </w:rPr>
        <w:t>一式</w:t>
      </w:r>
      <w:r>
        <w:rPr>
          <w:rFonts w:hint="eastAsia" w:ascii="宋体" w:hAnsi="宋体"/>
          <w:color w:val="auto"/>
          <w:kern w:val="0"/>
          <w:highlight w:val="none"/>
          <w:u w:val="single"/>
          <w:lang w:val="en-US" w:eastAsia="zh-CN"/>
        </w:rPr>
        <w:t>3份</w:t>
      </w:r>
      <w:r>
        <w:rPr>
          <w:rFonts w:hint="eastAsia" w:ascii="宋体" w:hAnsi="宋体"/>
          <w:color w:val="auto"/>
          <w:highlight w:val="none"/>
          <w:u w:val="single"/>
        </w:rPr>
        <w:t xml:space="preserve">。 </w:t>
      </w:r>
    </w:p>
    <w:p w14:paraId="0F17A258">
      <w:pPr>
        <w:spacing w:line="460" w:lineRule="exact"/>
        <w:ind w:firstLine="420" w:firstLineChars="200"/>
        <w:jc w:val="left"/>
        <w:rPr>
          <w:rFonts w:hint="eastAsia" w:ascii="仿宋_GB2312" w:hAnsi="Times New Roman" w:eastAsia="仿宋_GB2312"/>
          <w:sz w:val="28"/>
          <w:szCs w:val="28"/>
        </w:rPr>
      </w:pPr>
      <w:r>
        <w:rPr>
          <w:rFonts w:hint="eastAsia" w:ascii="宋体" w:hAnsi="宋体"/>
          <w:color w:val="auto"/>
          <w:kern w:val="0"/>
          <w:highlight w:val="none"/>
        </w:rPr>
        <w:t>承包人提交最终结算申请单的期限：</w:t>
      </w:r>
      <w:r>
        <w:rPr>
          <w:rFonts w:hint="eastAsia" w:ascii="宋体" w:hAnsi="宋体" w:eastAsia="宋体" w:cs="宋体"/>
          <w:color w:val="000000"/>
          <w:sz w:val="21"/>
          <w:szCs w:val="21"/>
          <w:u w:val="single"/>
        </w:rPr>
        <w:t xml:space="preserve">双方签字确认工程结算造价之日起15天内 </w:t>
      </w:r>
      <w:r>
        <w:rPr>
          <w:rFonts w:hint="eastAsia" w:ascii="宋体" w:hAnsi="宋体" w:eastAsia="宋体" w:cs="宋体"/>
          <w:color w:val="000000"/>
          <w:sz w:val="21"/>
          <w:szCs w:val="21"/>
        </w:rPr>
        <w:t>。</w:t>
      </w:r>
    </w:p>
    <w:p w14:paraId="2AE46E5B">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lang w:val="en-US" w:eastAsia="zh-CN"/>
        </w:rPr>
        <w:t xml:space="preserve"> </w:t>
      </w:r>
      <w:r>
        <w:rPr>
          <w:rFonts w:hint="eastAsia" w:ascii="宋体" w:hAnsi="宋体"/>
          <w:color w:val="auto"/>
          <w:highlight w:val="none"/>
        </w:rPr>
        <w:t xml:space="preserve">。 </w:t>
      </w:r>
    </w:p>
    <w:p w14:paraId="6785D06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14.4.2 最终结清证书和支付</w:t>
      </w:r>
    </w:p>
    <w:p w14:paraId="0E51AF2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（1）发包人完成最终结清申请单的审批并颁发最终结清证书的期限：</w:t>
      </w:r>
      <w:r>
        <w:rPr>
          <w:rFonts w:hint="eastAsia" w:ascii="宋体" w:hAnsi="宋体"/>
          <w:color w:val="auto"/>
          <w:highlight w:val="none"/>
          <w:u w:val="single"/>
        </w:rPr>
        <w:t xml:space="preserve"> 28天</w:t>
      </w:r>
      <w:r>
        <w:rPr>
          <w:rFonts w:hint="eastAsia" w:ascii="宋体" w:hAnsi="宋体"/>
          <w:color w:val="auto"/>
          <w:highlight w:val="none"/>
        </w:rPr>
        <w:t>。</w:t>
      </w:r>
    </w:p>
    <w:p w14:paraId="0681A7F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（2）发包人完成支付的期限：</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093688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缺陷责任期与保修</w:t>
      </w:r>
    </w:p>
    <w:p w14:paraId="07DF7D6B">
      <w:pPr>
        <w:pStyle w:val="91"/>
        <w:spacing w:before="120" w:after="120" w:line="440" w:lineRule="exact"/>
        <w:outlineLvl w:val="0"/>
        <w:rPr>
          <w:rFonts w:ascii="宋体" w:hAnsi="宋体"/>
          <w:color w:val="auto"/>
          <w:highlight w:val="none"/>
        </w:rPr>
      </w:pPr>
      <w:r>
        <w:rPr>
          <w:rFonts w:hint="eastAsia" w:ascii="宋体" w:hAnsi="宋体"/>
          <w:color w:val="auto"/>
          <w:highlight w:val="none"/>
        </w:rPr>
        <w:t>15.2 缺陷责任期</w:t>
      </w:r>
    </w:p>
    <w:p w14:paraId="4A32286B">
      <w:pPr>
        <w:pStyle w:val="77"/>
        <w:autoSpaceDE w:val="0"/>
        <w:autoSpaceDN w:val="0"/>
        <w:adjustRightInd w:val="0"/>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缺陷责任期的具体期限：</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rPr>
        <w:t>。</w:t>
      </w:r>
    </w:p>
    <w:p w14:paraId="4B5FF89A">
      <w:pPr>
        <w:pStyle w:val="91"/>
        <w:spacing w:before="120" w:after="120" w:line="440" w:lineRule="exact"/>
        <w:outlineLvl w:val="0"/>
        <w:rPr>
          <w:rFonts w:ascii="宋体" w:hAnsi="宋体"/>
          <w:color w:val="auto"/>
          <w:highlight w:val="none"/>
        </w:rPr>
      </w:pPr>
      <w:r>
        <w:rPr>
          <w:rFonts w:hint="eastAsia" w:ascii="宋体" w:hAnsi="宋体"/>
          <w:color w:val="auto"/>
          <w:highlight w:val="none"/>
        </w:rPr>
        <w:t>15.3  质量保证金</w:t>
      </w:r>
    </w:p>
    <w:p w14:paraId="7521B4ED">
      <w:pPr>
        <w:pStyle w:val="77"/>
        <w:autoSpaceDE w:val="0"/>
        <w:autoSpaceDN w:val="0"/>
        <w:adjustRightInd w:val="0"/>
        <w:spacing w:line="440" w:lineRule="exact"/>
        <w:ind w:firstLine="480" w:firstLineChars="200"/>
        <w:jc w:val="left"/>
        <w:rPr>
          <w:rFonts w:hint="eastAsia" w:ascii="宋体" w:hAnsi="宋体"/>
          <w:color w:val="auto"/>
          <w:kern w:val="0"/>
          <w:highlight w:val="none"/>
          <w:u w:val="none"/>
          <w:lang w:val="en-US" w:eastAsia="zh-CN"/>
        </w:rPr>
      </w:pPr>
      <w:r>
        <w:rPr>
          <w:rFonts w:hint="eastAsia" w:ascii="宋体" w:hAnsi="宋体"/>
          <w:color w:val="auto"/>
          <w:kern w:val="0"/>
          <w:highlight w:val="none"/>
        </w:rPr>
        <w:t>关于是否扣留质量保证金的约定：</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lang w:val="en-US" w:eastAsia="zh-CN"/>
        </w:rPr>
        <w:t>。</w:t>
      </w:r>
    </w:p>
    <w:p w14:paraId="0007060B">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15.3.1 承包人提供质量保证金的方式</w:t>
      </w:r>
    </w:p>
    <w:p w14:paraId="455524C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360E65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（1）质量保证金保函，保证金额为：</w:t>
      </w:r>
      <w:r>
        <w:rPr>
          <w:rFonts w:hint="eastAsia" w:ascii="宋体" w:hAnsi="宋体"/>
          <w:color w:val="auto"/>
          <w:kern w:val="0"/>
          <w:highlight w:val="none"/>
          <w:u w:val="single"/>
        </w:rPr>
        <w:t xml:space="preserve"> 无               </w:t>
      </w:r>
      <w:r>
        <w:rPr>
          <w:rFonts w:hint="eastAsia" w:ascii="宋体" w:hAnsi="宋体"/>
          <w:color w:val="auto"/>
          <w:kern w:val="0"/>
          <w:highlight w:val="none"/>
        </w:rPr>
        <w:t xml:space="preserve">； </w:t>
      </w:r>
    </w:p>
    <w:p w14:paraId="3E11B0A9">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（2）工程结算价款的</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kern w:val="0"/>
          <w:highlight w:val="none"/>
        </w:rPr>
        <w:t>；</w:t>
      </w:r>
    </w:p>
    <w:p w14:paraId="1CF7EB9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（3）其他方式:</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7A2D8DE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 xml:space="preserve">15.3.2 质量保证金的扣留 </w:t>
      </w:r>
    </w:p>
    <w:p w14:paraId="0ADF378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质量保证金的扣留采取以下第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19852B1C">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（1）在支付工程进度款时逐次扣留，在此情形下，质量保证金的计算基数不包括预付款的支付、扣回以及价格调整的金额；</w:t>
      </w:r>
    </w:p>
    <w:p w14:paraId="28FA8DB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（2）工程竣工结算时一次性扣留质量保证金；</w:t>
      </w:r>
    </w:p>
    <w:p w14:paraId="626C0E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（3）其他扣留方式:</w:t>
      </w:r>
      <w:r>
        <w:rPr>
          <w:rFonts w:hint="eastAsia" w:ascii="宋体" w:hAnsi="宋体"/>
          <w:color w:val="auto"/>
          <w:kern w:val="0"/>
          <w:highlight w:val="none"/>
          <w:u w:val="single"/>
        </w:rPr>
        <w:t xml:space="preserve"> 无   。</w:t>
      </w:r>
    </w:p>
    <w:p w14:paraId="7286A7BA">
      <w:pPr>
        <w:pStyle w:val="77"/>
        <w:spacing w:line="440" w:lineRule="exact"/>
        <w:ind w:firstLine="600" w:firstLineChars="250"/>
        <w:jc w:val="left"/>
        <w:rPr>
          <w:rFonts w:ascii="宋体" w:hAnsi="宋体"/>
          <w:color w:val="auto"/>
          <w:kern w:val="0"/>
          <w:highlight w:val="none"/>
        </w:rPr>
      </w:pPr>
      <w:r>
        <w:rPr>
          <w:rFonts w:hint="eastAsia" w:ascii="宋体" w:hAnsi="宋体"/>
          <w:color w:val="auto"/>
          <w:highlight w:val="none"/>
        </w:rPr>
        <w:t>关于质量保证金的补充约定：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3F1E6F0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15.3.3 质量保证金的退还</w:t>
      </w:r>
    </w:p>
    <w:p w14:paraId="7B1E256E">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质量保证金退还给承包人：</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none"/>
        </w:rPr>
        <w:t xml:space="preserve">。    </w:t>
      </w:r>
    </w:p>
    <w:p w14:paraId="7B1A2647">
      <w:pPr>
        <w:pStyle w:val="91"/>
        <w:spacing w:before="120" w:after="120" w:line="440" w:lineRule="exact"/>
        <w:rPr>
          <w:rFonts w:ascii="宋体" w:hAnsi="宋体"/>
          <w:color w:val="auto"/>
          <w:highlight w:val="none"/>
        </w:rPr>
      </w:pPr>
      <w:r>
        <w:rPr>
          <w:rFonts w:hint="eastAsia" w:ascii="宋体" w:hAnsi="宋体"/>
          <w:color w:val="auto"/>
          <w:highlight w:val="none"/>
        </w:rPr>
        <w:t>15.4保修</w:t>
      </w:r>
    </w:p>
    <w:p w14:paraId="440E0A6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15.4.1 保修责任</w:t>
      </w:r>
    </w:p>
    <w:p w14:paraId="1DA52896">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工程保修期为：</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rPr>
        <w:t>。</w:t>
      </w:r>
    </w:p>
    <w:p w14:paraId="1C215BC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15.4.3 修复通知</w:t>
      </w:r>
    </w:p>
    <w:p w14:paraId="34EA2E9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承包人收到保修通知并到达工程现场的合理时间：</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11F9E3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违约</w:t>
      </w:r>
    </w:p>
    <w:p w14:paraId="105E8C2D">
      <w:pPr>
        <w:pStyle w:val="91"/>
        <w:spacing w:before="120" w:after="120" w:line="440" w:lineRule="exact"/>
        <w:outlineLvl w:val="0"/>
        <w:rPr>
          <w:rFonts w:ascii="宋体" w:hAnsi="宋体"/>
          <w:color w:val="auto"/>
          <w:highlight w:val="none"/>
        </w:rPr>
      </w:pPr>
      <w:r>
        <w:rPr>
          <w:rFonts w:hint="eastAsia" w:ascii="宋体" w:hAnsi="宋体"/>
          <w:color w:val="auto"/>
          <w:highlight w:val="none"/>
        </w:rPr>
        <w:t>16.1 发包人违约</w:t>
      </w:r>
    </w:p>
    <w:p w14:paraId="5800D91B">
      <w:pPr>
        <w:pStyle w:val="77"/>
        <w:spacing w:line="440" w:lineRule="exact"/>
        <w:jc w:val="left"/>
        <w:rPr>
          <w:rFonts w:ascii="宋体" w:hAnsi="宋体"/>
          <w:b/>
          <w:bCs/>
          <w:color w:val="auto"/>
          <w:highlight w:val="none"/>
        </w:rPr>
      </w:pPr>
      <w:r>
        <w:rPr>
          <w:rFonts w:hint="eastAsia" w:ascii="宋体" w:hAnsi="宋体"/>
          <w:b/>
          <w:bCs/>
          <w:color w:val="auto"/>
          <w:highlight w:val="none"/>
        </w:rPr>
        <w:t>16.1.1发包人违约的情形</w:t>
      </w:r>
    </w:p>
    <w:p w14:paraId="30817B3E">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发包人违约的其他情形：</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46BE5D16">
      <w:pPr>
        <w:pStyle w:val="77"/>
        <w:spacing w:line="440" w:lineRule="exact"/>
        <w:ind w:left="1054" w:hanging="1205" w:hangingChars="500"/>
        <w:jc w:val="left"/>
        <w:outlineLvl w:val="0"/>
        <w:rPr>
          <w:rFonts w:ascii="宋体" w:hAnsi="宋体"/>
          <w:b/>
          <w:bCs/>
          <w:color w:val="auto"/>
          <w:kern w:val="0"/>
          <w:highlight w:val="none"/>
        </w:rPr>
      </w:pPr>
      <w:r>
        <w:rPr>
          <w:rFonts w:hint="eastAsia" w:ascii="宋体" w:hAnsi="宋体"/>
          <w:b/>
          <w:bCs/>
          <w:color w:val="auto"/>
          <w:kern w:val="0"/>
          <w:highlight w:val="none"/>
        </w:rPr>
        <w:t>16.1.2 发包人违约的责任</w:t>
      </w:r>
    </w:p>
    <w:p w14:paraId="090A570A">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发包人违约责任的承担方式和计算方法：</w:t>
      </w:r>
    </w:p>
    <w:p w14:paraId="79BFCE22">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（1）因发包人原因未能在计划开工日期前7天内下达开工通知的违约责任</w:t>
      </w:r>
      <w:r>
        <w:rPr>
          <w:rFonts w:hint="eastAsia" w:ascii="宋体" w:hAnsi="宋体"/>
          <w:color w:val="auto"/>
          <w:kern w:val="0"/>
          <w:highlight w:val="none"/>
          <w:u w:val="single"/>
        </w:rPr>
        <w:t xml:space="preserve">：开工时间相应顺延 </w:t>
      </w:r>
      <w:r>
        <w:rPr>
          <w:rFonts w:hint="eastAsia" w:ascii="宋体" w:hAnsi="宋体"/>
          <w:color w:val="auto"/>
          <w:kern w:val="0"/>
          <w:highlight w:val="none"/>
        </w:rPr>
        <w:t>。</w:t>
      </w:r>
    </w:p>
    <w:p w14:paraId="6DEC9D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（2）因发包人原因未能按专用合同条款第14.2条约定支付合同价款的违约责任：</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18B507C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（3）发包人违反专用合同条款第10.1款〔变更的范围〕第（2）项约定，自行实施被取消的工作或转由他人实施的违约责任：</w:t>
      </w:r>
      <w:r>
        <w:rPr>
          <w:rFonts w:hint="eastAsia" w:ascii="宋体" w:hAnsi="宋体"/>
          <w:color w:val="auto"/>
          <w:kern w:val="0"/>
          <w:highlight w:val="none"/>
          <w:u w:val="single"/>
        </w:rPr>
        <w:t>双方另行商定，如承包人不同意实施的除外</w:t>
      </w:r>
      <w:r>
        <w:rPr>
          <w:rFonts w:hint="eastAsia" w:ascii="宋体" w:hAnsi="宋体"/>
          <w:color w:val="auto"/>
          <w:kern w:val="0"/>
          <w:highlight w:val="none"/>
        </w:rPr>
        <w:t>。</w:t>
      </w:r>
    </w:p>
    <w:p w14:paraId="7184240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6BD77DDC">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（5）因发包人违反合同约定造成暂停施工的违约责任：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7362F83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（6）发包人无正当理由没有在约定期限内发出复工指示，导致承包人无法复工的违约责任：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2456A4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（7）其他： </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7FEC838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16.1.3 因发包人违约解除合同</w:t>
      </w:r>
    </w:p>
    <w:p w14:paraId="1119A8C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承包人按专用合同条款16.1.1项〔发包人违约的情形〕约定暂停施工满</w:t>
      </w:r>
      <w:r>
        <w:rPr>
          <w:rFonts w:hint="eastAsia" w:ascii="宋体" w:hAnsi="宋体"/>
          <w:color w:val="auto"/>
          <w:kern w:val="0"/>
          <w:highlight w:val="none"/>
          <w:u w:val="single"/>
        </w:rPr>
        <w:t xml:space="preserve"> 90 </w:t>
      </w:r>
      <w:r>
        <w:rPr>
          <w:rFonts w:hint="eastAsia" w:ascii="宋体" w:hAnsi="宋体"/>
          <w:color w:val="auto"/>
          <w:kern w:val="0"/>
          <w:highlight w:val="none"/>
        </w:rPr>
        <w:t>天后发包人仍不纠正其违约行为并致使合同目的不能实现的，承包人有权解除合同。</w:t>
      </w:r>
    </w:p>
    <w:p w14:paraId="15C577D5">
      <w:pPr>
        <w:pStyle w:val="91"/>
        <w:spacing w:before="120" w:after="120" w:line="440" w:lineRule="exact"/>
        <w:outlineLvl w:val="0"/>
        <w:rPr>
          <w:rFonts w:ascii="宋体" w:hAnsi="宋体"/>
          <w:color w:val="auto"/>
          <w:highlight w:val="none"/>
        </w:rPr>
      </w:pPr>
      <w:r>
        <w:rPr>
          <w:rFonts w:hint="eastAsia" w:ascii="宋体" w:hAnsi="宋体"/>
          <w:color w:val="auto"/>
          <w:highlight w:val="none"/>
        </w:rPr>
        <w:t>16.2 承包人违约</w:t>
      </w:r>
    </w:p>
    <w:p w14:paraId="38B53D7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16.2.1 承包人违约的情形</w:t>
      </w:r>
    </w:p>
    <w:p w14:paraId="608F4803">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承包人违约的其他情形： </w:t>
      </w:r>
    </w:p>
    <w:p w14:paraId="22410F1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（8）承包人未在约定的时间内提供完整的工程竣工结算资料，经发包人书面催促后</w:t>
      </w:r>
      <w:r>
        <w:rPr>
          <w:rFonts w:hint="eastAsia" w:ascii="宋体" w:hAnsi="宋体"/>
          <w:color w:val="auto"/>
          <w:kern w:val="0"/>
          <w:highlight w:val="none"/>
          <w:u w:val="single"/>
        </w:rPr>
        <w:t xml:space="preserve"> 28 </w:t>
      </w:r>
      <w:r>
        <w:rPr>
          <w:rFonts w:hint="eastAsia" w:ascii="宋体" w:hAnsi="宋体"/>
          <w:color w:val="auto"/>
          <w:kern w:val="0"/>
          <w:highlight w:val="none"/>
        </w:rPr>
        <w:t>天内仍未提交。</w:t>
      </w:r>
    </w:p>
    <w:p w14:paraId="60103BA6">
      <w:pPr>
        <w:pStyle w:val="77"/>
        <w:autoSpaceDE w:val="0"/>
        <w:autoSpaceDN w:val="0"/>
        <w:adjustRightInd w:val="0"/>
        <w:spacing w:line="440" w:lineRule="exact"/>
        <w:jc w:val="left"/>
        <w:rPr>
          <w:rFonts w:ascii="宋体" w:hAnsi="宋体"/>
          <w:color w:val="auto"/>
          <w:kern w:val="0"/>
          <w:highlight w:val="none"/>
        </w:rPr>
      </w:pPr>
      <w:r>
        <w:rPr>
          <w:rFonts w:hint="eastAsia" w:ascii="宋体" w:hAnsi="宋体"/>
          <w:color w:val="auto"/>
          <w:kern w:val="0"/>
          <w:highlight w:val="none"/>
        </w:rPr>
        <w:t>16.2.2承包人违约的责任</w:t>
      </w:r>
    </w:p>
    <w:p w14:paraId="3E7DDE2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承包人违约责任的承担方式和计算方法： </w:t>
      </w:r>
    </w:p>
    <w:p w14:paraId="30A0E1FF">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（1）承包人违反合同约定进行转包或违法分包的，</w:t>
      </w:r>
      <w:r>
        <w:rPr>
          <w:rFonts w:hint="eastAsia" w:ascii="宋体" w:hAnsi="宋体"/>
          <w:color w:val="auto"/>
          <w:kern w:val="0"/>
          <w:highlight w:val="none"/>
          <w:lang w:eastAsia="zh-CN"/>
        </w:rPr>
        <w:t>发</w:t>
      </w:r>
      <w:r>
        <w:rPr>
          <w:rFonts w:hint="eastAsia" w:ascii="宋体" w:hAnsi="宋体"/>
          <w:color w:val="auto"/>
          <w:kern w:val="0"/>
          <w:highlight w:val="none"/>
        </w:rPr>
        <w:t>包人要求其在指定的期限内改正，并且承包人应按合同价款20%向发包人支付违约金；</w:t>
      </w:r>
    </w:p>
    <w:p w14:paraId="723BA75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（2）承包人违反合同约定采购和使用不合格的材料和工程设备的，承包人应将不合格的材料和工程设备的限期清理出施工场地，并负责承担返工及造成损失的费用；</w:t>
      </w:r>
    </w:p>
    <w:p w14:paraId="24C44C0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（3）因承包人原因导致工程质量不符合合同要求的，承包人应负责返工或修整，并负责由此产生的费用和损失； </w:t>
      </w:r>
    </w:p>
    <w:p w14:paraId="3E8CE6A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（4）承包人违反通用合同条款第8.9款〔材料与设备专用要求〕的约定，未经批准，私自将已按照合同约定进入施工现场的材料或设备撤离施工现场的，承包人应负责承担由此产生的费用和损失；</w:t>
      </w:r>
    </w:p>
    <w:p w14:paraId="16698844">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（5）承包人未能按施工进度计划及时完成合同约定的工作，造成工期延误的，承包人应进行施工进度计划调整并按时完成合同约定的工作，并承担赶工所产生的费用；</w:t>
      </w:r>
    </w:p>
    <w:p w14:paraId="606DC54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6</w:t>
      </w:r>
      <w:r>
        <w:rPr>
          <w:rFonts w:hint="eastAsia" w:ascii="宋体" w:hAnsi="宋体"/>
          <w:color w:val="auto"/>
          <w:kern w:val="0"/>
          <w:highlight w:val="none"/>
        </w:rPr>
        <w:t>）承包人明确表示或者以其行为表明不履行合同主要义务的，发包人有权解除合同，并承担发包人不能按期投入使用所造成全部的损失。</w:t>
      </w:r>
    </w:p>
    <w:p w14:paraId="6190A76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7</w:t>
      </w:r>
      <w:r>
        <w:rPr>
          <w:rFonts w:hint="eastAsia" w:ascii="宋体" w:hAnsi="宋体"/>
          <w:color w:val="auto"/>
          <w:kern w:val="0"/>
          <w:highlight w:val="none"/>
        </w:rPr>
        <w:t>）承包人未按合同约定工期竣工延误工期的，每延期一天，承包人应按合同额的万分之四/天向发包人支付违约金，违约金上限为合同额的2%。</w:t>
      </w:r>
    </w:p>
    <w:p w14:paraId="36BF8A3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8</w:t>
      </w:r>
      <w:r>
        <w:rPr>
          <w:rFonts w:hint="eastAsia" w:ascii="宋体" w:hAnsi="宋体"/>
          <w:color w:val="auto"/>
          <w:kern w:val="0"/>
          <w:highlight w:val="none"/>
        </w:rPr>
        <w:t>）承包人未在约定的时间内提供完整的工程竣工结算资料，经发包人书面催促后28天内仍未提交，则发包人有权将已有资料送审计单位进行结算审计，由此产生的责任由承包人自负；</w:t>
      </w:r>
    </w:p>
    <w:p w14:paraId="034EB86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9</w:t>
      </w:r>
      <w:r>
        <w:rPr>
          <w:rFonts w:hint="eastAsia" w:ascii="宋体" w:hAnsi="宋体"/>
          <w:color w:val="auto"/>
          <w:kern w:val="0"/>
          <w:highlight w:val="none"/>
        </w:rPr>
        <w:t>）承包人的其他违约见本合同补充条款第21条及其他条款的约定。</w:t>
      </w:r>
    </w:p>
    <w:p w14:paraId="605D7C44">
      <w:pPr>
        <w:pStyle w:val="77"/>
        <w:autoSpaceDE w:val="0"/>
        <w:autoSpaceDN w:val="0"/>
        <w:adjustRightInd w:val="0"/>
        <w:spacing w:line="440" w:lineRule="exact"/>
        <w:jc w:val="left"/>
        <w:outlineLvl w:val="0"/>
        <w:rPr>
          <w:rFonts w:ascii="宋体" w:hAnsi="宋体"/>
          <w:color w:val="auto"/>
          <w:kern w:val="0"/>
          <w:highlight w:val="none"/>
        </w:rPr>
      </w:pPr>
      <w:r>
        <w:rPr>
          <w:rFonts w:hint="eastAsia" w:ascii="宋体" w:hAnsi="宋体"/>
          <w:color w:val="auto"/>
          <w:kern w:val="0"/>
          <w:highlight w:val="none"/>
        </w:rPr>
        <w:t>16.2.3 因承包人违约解除合同</w:t>
      </w:r>
    </w:p>
    <w:p w14:paraId="40A5DEAE">
      <w:pPr>
        <w:pStyle w:val="77"/>
        <w:spacing w:before="120" w:after="120" w:line="440" w:lineRule="exact"/>
        <w:ind w:firstLine="600" w:firstLineChars="250"/>
        <w:rPr>
          <w:rFonts w:ascii="宋体" w:hAnsi="宋体"/>
          <w:color w:val="auto"/>
          <w:kern w:val="0"/>
          <w:highlight w:val="none"/>
        </w:rPr>
      </w:pPr>
      <w:r>
        <w:rPr>
          <w:rFonts w:hint="eastAsia" w:ascii="宋体" w:hAnsi="宋体"/>
          <w:color w:val="auto"/>
          <w:kern w:val="0"/>
          <w:highlight w:val="none"/>
        </w:rPr>
        <w:t>关于承包人违约解除合同的特别约定：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5825BFCC">
      <w:pPr>
        <w:pStyle w:val="77"/>
        <w:spacing w:before="120" w:after="120" w:line="440" w:lineRule="exact"/>
        <w:ind w:firstLine="480" w:firstLineChars="200"/>
        <w:rPr>
          <w:rFonts w:ascii="宋体" w:hAnsi="宋体"/>
          <w:color w:val="auto"/>
          <w:kern w:val="0"/>
          <w:highlight w:val="none"/>
        </w:rPr>
      </w:pPr>
      <w:r>
        <w:rPr>
          <w:rFonts w:hint="eastAsia" w:ascii="宋体" w:hAnsi="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7A335B1A">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17. 不可抗力 </w:t>
      </w:r>
    </w:p>
    <w:p w14:paraId="382D8618">
      <w:pPr>
        <w:pStyle w:val="91"/>
        <w:spacing w:before="120" w:after="120" w:line="440" w:lineRule="exact"/>
        <w:ind w:firstLine="420"/>
        <w:rPr>
          <w:rFonts w:ascii="宋体" w:hAnsi="宋体"/>
          <w:color w:val="auto"/>
          <w:highlight w:val="none"/>
        </w:rPr>
      </w:pPr>
      <w:r>
        <w:rPr>
          <w:rFonts w:hint="eastAsia" w:ascii="宋体" w:hAnsi="宋体"/>
          <w:color w:val="auto"/>
          <w:highlight w:val="none"/>
        </w:rPr>
        <w:t>17.1 不可抗力的确认</w:t>
      </w:r>
    </w:p>
    <w:p w14:paraId="04E0F94A">
      <w:pPr>
        <w:pStyle w:val="77"/>
        <w:spacing w:line="440" w:lineRule="exact"/>
        <w:ind w:firstLine="480" w:firstLineChars="200"/>
        <w:jc w:val="left"/>
        <w:rPr>
          <w:rFonts w:ascii="宋体" w:hAnsi="宋体"/>
          <w:b/>
          <w:bCs/>
          <w:color w:val="auto"/>
          <w:kern w:val="0"/>
          <w:highlight w:val="none"/>
          <w:u w:val="single"/>
        </w:rPr>
      </w:pPr>
      <w:r>
        <w:rPr>
          <w:rFonts w:hint="eastAsia" w:ascii="宋体" w:hAnsi="宋体"/>
          <w:color w:val="auto"/>
          <w:highlight w:val="none"/>
        </w:rPr>
        <w:t>除通用合同条款约定的不可抗力事件之外，视为不可抗力的其他情形：</w:t>
      </w:r>
      <w:r>
        <w:rPr>
          <w:rFonts w:hint="eastAsia" w:ascii="宋体" w:hAnsi="宋体"/>
          <w:b/>
          <w:bCs/>
          <w:color w:val="auto"/>
          <w:highlight w:val="none"/>
          <w:u w:val="single"/>
        </w:rPr>
        <w:t xml:space="preserve"> </w:t>
      </w:r>
      <w:r>
        <w:rPr>
          <w:rFonts w:hint="eastAsia" w:ascii="宋体" w:hAnsi="宋体"/>
          <w:b/>
          <w:bCs/>
          <w:color w:val="auto"/>
          <w:kern w:val="0"/>
          <w:highlight w:val="none"/>
          <w:u w:val="single"/>
        </w:rPr>
        <w:t>十级以上的台风、连续3小时降雨达100毫米以上的暴雨。</w:t>
      </w:r>
    </w:p>
    <w:p w14:paraId="4D953481">
      <w:pPr>
        <w:pStyle w:val="91"/>
        <w:spacing w:before="120" w:after="120" w:line="440" w:lineRule="exact"/>
        <w:outlineLvl w:val="0"/>
        <w:rPr>
          <w:rFonts w:ascii="宋体" w:hAnsi="宋体"/>
          <w:color w:val="auto"/>
          <w:highlight w:val="none"/>
        </w:rPr>
      </w:pPr>
      <w:r>
        <w:rPr>
          <w:rFonts w:hint="eastAsia" w:ascii="宋体" w:hAnsi="宋体"/>
          <w:color w:val="auto"/>
          <w:highlight w:val="none"/>
        </w:rPr>
        <w:t>17.4 因不可抗力解除合同</w:t>
      </w:r>
    </w:p>
    <w:p w14:paraId="4BFF357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合同解除后，发包人应在商定或确定发包人应支付款项后</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按审批流程</w:t>
      </w:r>
      <w:r>
        <w:rPr>
          <w:rFonts w:hint="eastAsia" w:ascii="宋体" w:hAnsi="宋体"/>
          <w:color w:val="auto"/>
          <w:highlight w:val="none"/>
          <w:u w:val="single"/>
          <w:lang w:val="en-US" w:eastAsia="zh-CN"/>
        </w:rPr>
        <w:t xml:space="preserve"> </w:t>
      </w:r>
      <w:r>
        <w:rPr>
          <w:rFonts w:hint="eastAsia" w:ascii="宋体" w:hAnsi="宋体"/>
          <w:color w:val="auto"/>
          <w:highlight w:val="none"/>
        </w:rPr>
        <w:t>完成款项的支付。</w:t>
      </w:r>
    </w:p>
    <w:p w14:paraId="4720E19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 保险</w:t>
      </w:r>
    </w:p>
    <w:p w14:paraId="7400DBD3">
      <w:pPr>
        <w:pStyle w:val="91"/>
        <w:spacing w:before="120" w:after="120" w:line="440" w:lineRule="exact"/>
        <w:outlineLvl w:val="0"/>
        <w:rPr>
          <w:rFonts w:ascii="宋体" w:hAnsi="宋体"/>
          <w:color w:val="auto"/>
          <w:highlight w:val="none"/>
        </w:rPr>
      </w:pPr>
      <w:r>
        <w:rPr>
          <w:rFonts w:hint="eastAsia" w:ascii="宋体" w:hAnsi="宋体"/>
          <w:color w:val="auto"/>
          <w:highlight w:val="none"/>
        </w:rPr>
        <w:t>18.1 工程保险</w:t>
      </w:r>
    </w:p>
    <w:p w14:paraId="0DB5C95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关于工程保险的特别约定：</w:t>
      </w:r>
      <w:r>
        <w:rPr>
          <w:rFonts w:hint="eastAsia" w:ascii="宋体" w:hAnsi="宋体"/>
          <w:color w:val="auto"/>
          <w:highlight w:val="none"/>
          <w:u w:val="single"/>
        </w:rPr>
        <w:t xml:space="preserve">工伤保险由承包人按照规定标准为职工进行投保。 </w:t>
      </w:r>
    </w:p>
    <w:p w14:paraId="54FD55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18.3 其他保险</w:t>
      </w:r>
    </w:p>
    <w:p w14:paraId="29664500">
      <w:pPr>
        <w:pStyle w:val="77"/>
        <w:widowControl/>
        <w:snapToGrid w:val="0"/>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关于其他保险的约定：</w:t>
      </w:r>
      <w:r>
        <w:rPr>
          <w:rFonts w:hint="eastAsia" w:ascii="宋体" w:hAnsi="宋体"/>
          <w:color w:val="auto"/>
          <w:highlight w:val="none"/>
          <w:u w:val="single"/>
          <w:lang w:val="en-US" w:eastAsia="zh-CN"/>
        </w:rPr>
        <w:t>/</w:t>
      </w:r>
      <w:r>
        <w:rPr>
          <w:rFonts w:hint="eastAsia" w:ascii="宋体" w:hAnsi="宋体"/>
          <w:color w:val="auto"/>
          <w:kern w:val="0"/>
          <w:highlight w:val="none"/>
        </w:rPr>
        <w:t>。</w:t>
      </w:r>
      <w:r>
        <w:rPr>
          <w:rFonts w:hint="eastAsia" w:ascii="宋体" w:hAnsi="宋体"/>
          <w:color w:val="auto"/>
          <w:highlight w:val="none"/>
        </w:rPr>
        <w:t xml:space="preserve"> </w:t>
      </w:r>
    </w:p>
    <w:p w14:paraId="0050E8B5">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承包人是否应为其施工设备等办理财产保险：</w:t>
      </w:r>
      <w:r>
        <w:rPr>
          <w:rFonts w:hint="eastAsia" w:ascii="宋体" w:hAnsi="宋体"/>
          <w:color w:val="auto"/>
          <w:highlight w:val="none"/>
          <w:u w:val="single"/>
        </w:rPr>
        <w:t xml:space="preserve">  按《通用合同条款》执行   </w:t>
      </w:r>
      <w:r>
        <w:rPr>
          <w:rFonts w:hint="eastAsia" w:ascii="宋体" w:hAnsi="宋体"/>
          <w:color w:val="auto"/>
          <w:highlight w:val="none"/>
        </w:rPr>
        <w:t>。</w:t>
      </w:r>
    </w:p>
    <w:p w14:paraId="2FDDDA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18.7 通知义务</w:t>
      </w:r>
    </w:p>
    <w:p w14:paraId="28E9B274">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 xml:space="preserve"> 关于变更保险合同时的通知义务的约定：</w:t>
      </w:r>
      <w:r>
        <w:rPr>
          <w:rFonts w:hint="eastAsia" w:ascii="宋体" w:hAnsi="宋体"/>
          <w:color w:val="auto"/>
          <w:highlight w:val="none"/>
          <w:u w:val="single"/>
        </w:rPr>
        <w:t xml:space="preserve">按《通用合同条款》执行  </w:t>
      </w:r>
      <w:r>
        <w:rPr>
          <w:rFonts w:hint="eastAsia" w:ascii="宋体" w:hAnsi="宋体"/>
          <w:color w:val="auto"/>
          <w:highlight w:val="none"/>
        </w:rPr>
        <w:t>。</w:t>
      </w:r>
    </w:p>
    <w:p w14:paraId="6D6B9AAF">
      <w:pPr>
        <w:pStyle w:val="91"/>
        <w:spacing w:before="120" w:after="120" w:line="440" w:lineRule="exact"/>
        <w:outlineLvl w:val="0"/>
        <w:rPr>
          <w:rFonts w:ascii="宋体" w:hAnsi="宋体"/>
          <w:color w:val="auto"/>
          <w:highlight w:val="none"/>
        </w:rPr>
      </w:pPr>
      <w:r>
        <w:rPr>
          <w:rFonts w:hint="eastAsia" w:ascii="宋体" w:hAnsi="宋体"/>
          <w:color w:val="auto"/>
          <w:highlight w:val="none"/>
        </w:rPr>
        <w:t>20. 争议解决</w:t>
      </w:r>
    </w:p>
    <w:p w14:paraId="63C22F4A">
      <w:pPr>
        <w:pStyle w:val="91"/>
        <w:spacing w:before="120" w:after="120" w:line="440" w:lineRule="exact"/>
        <w:outlineLvl w:val="0"/>
        <w:rPr>
          <w:rFonts w:ascii="宋体" w:hAnsi="宋体"/>
          <w:color w:val="auto"/>
          <w:highlight w:val="none"/>
        </w:rPr>
      </w:pPr>
      <w:r>
        <w:rPr>
          <w:rFonts w:hint="eastAsia" w:ascii="宋体" w:hAnsi="宋体"/>
          <w:color w:val="auto"/>
          <w:highlight w:val="none"/>
        </w:rPr>
        <w:t>20.3 争议评审</w:t>
      </w:r>
    </w:p>
    <w:p w14:paraId="26EE59CB">
      <w:pPr>
        <w:pStyle w:val="77"/>
        <w:spacing w:line="440" w:lineRule="exact"/>
        <w:ind w:left="149" w:leftChars="71" w:firstLine="360" w:firstLineChars="150"/>
        <w:jc w:val="left"/>
        <w:rPr>
          <w:rFonts w:ascii="宋体" w:hAnsi="宋体"/>
          <w:color w:val="auto"/>
          <w:highlight w:val="none"/>
          <w:u w:val="single"/>
        </w:rPr>
      </w:pPr>
      <w:r>
        <w:rPr>
          <w:rFonts w:hint="eastAsia" w:ascii="宋体" w:hAnsi="宋体"/>
          <w:color w:val="auto"/>
          <w:highlight w:val="none"/>
        </w:rPr>
        <w:t xml:space="preserve">合同当事人是否同意将工程争议提交争议评审小组决定：  </w:t>
      </w:r>
      <w:r>
        <w:rPr>
          <w:rFonts w:hint="eastAsia" w:ascii="宋体" w:hAnsi="宋体"/>
          <w:color w:val="auto"/>
          <w:highlight w:val="none"/>
          <w:u w:val="single"/>
        </w:rPr>
        <w:t xml:space="preserve"> 否   </w:t>
      </w:r>
      <w:r>
        <w:rPr>
          <w:rFonts w:hint="eastAsia" w:ascii="宋体" w:hAnsi="宋体"/>
          <w:color w:val="auto"/>
          <w:highlight w:val="none"/>
        </w:rPr>
        <w:t xml:space="preserve">。  </w:t>
      </w:r>
    </w:p>
    <w:p w14:paraId="0EA52C8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20.3.1 争议评审小组的确定</w:t>
      </w:r>
    </w:p>
    <w:p w14:paraId="0877B4D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争议评审小组成员的确定：</w:t>
      </w:r>
      <w:r>
        <w:rPr>
          <w:rFonts w:hint="eastAsia" w:ascii="宋体" w:hAnsi="宋体"/>
          <w:color w:val="auto"/>
          <w:highlight w:val="none"/>
          <w:u w:val="single"/>
        </w:rPr>
        <w:t xml:space="preserve">   /   </w:t>
      </w:r>
      <w:r>
        <w:rPr>
          <w:rFonts w:hint="eastAsia" w:ascii="宋体" w:hAnsi="宋体"/>
          <w:color w:val="auto"/>
          <w:highlight w:val="none"/>
        </w:rPr>
        <w:t>。</w:t>
      </w:r>
    </w:p>
    <w:p w14:paraId="464FA03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选定争议评审员的期限：</w:t>
      </w:r>
      <w:r>
        <w:rPr>
          <w:rFonts w:hint="eastAsia" w:ascii="宋体" w:hAnsi="宋体"/>
          <w:color w:val="auto"/>
          <w:highlight w:val="none"/>
          <w:u w:val="single"/>
        </w:rPr>
        <w:t xml:space="preserve">    /   </w:t>
      </w:r>
      <w:r>
        <w:rPr>
          <w:rFonts w:hint="eastAsia" w:ascii="宋体" w:hAnsi="宋体"/>
          <w:color w:val="auto"/>
          <w:highlight w:val="none"/>
        </w:rPr>
        <w:t>。</w:t>
      </w:r>
    </w:p>
    <w:p w14:paraId="45021C8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争议评审小组成员的报酬承担方式：</w:t>
      </w:r>
      <w:r>
        <w:rPr>
          <w:rFonts w:hint="eastAsia" w:ascii="宋体" w:hAnsi="宋体"/>
          <w:color w:val="auto"/>
          <w:highlight w:val="none"/>
          <w:u w:val="single"/>
        </w:rPr>
        <w:t xml:space="preserve">   /    </w:t>
      </w:r>
      <w:r>
        <w:rPr>
          <w:rFonts w:hint="eastAsia" w:ascii="宋体" w:hAnsi="宋体"/>
          <w:color w:val="auto"/>
          <w:highlight w:val="none"/>
        </w:rPr>
        <w:t>。</w:t>
      </w:r>
    </w:p>
    <w:p w14:paraId="3974A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其他事项的约定：</w:t>
      </w:r>
      <w:r>
        <w:rPr>
          <w:rFonts w:hint="eastAsia" w:ascii="宋体" w:hAnsi="宋体"/>
          <w:color w:val="auto"/>
          <w:highlight w:val="none"/>
          <w:u w:val="single"/>
        </w:rPr>
        <w:t xml:space="preserve">      /         </w:t>
      </w:r>
      <w:r>
        <w:rPr>
          <w:rFonts w:hint="eastAsia" w:ascii="宋体" w:hAnsi="宋体"/>
          <w:color w:val="auto"/>
          <w:highlight w:val="none"/>
        </w:rPr>
        <w:t>。</w:t>
      </w:r>
    </w:p>
    <w:p w14:paraId="41FC4EB2">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20.3.2 争议评审小组的决定</w:t>
      </w:r>
    </w:p>
    <w:p w14:paraId="54DA8B6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合同当事人关于本项的约定：</w:t>
      </w:r>
      <w:r>
        <w:rPr>
          <w:rFonts w:hint="eastAsia" w:ascii="宋体" w:hAnsi="宋体"/>
          <w:color w:val="auto"/>
          <w:highlight w:val="none"/>
          <w:u w:val="single"/>
        </w:rPr>
        <w:t xml:space="preserve">  /    </w:t>
      </w:r>
      <w:r>
        <w:rPr>
          <w:rFonts w:hint="eastAsia" w:ascii="宋体" w:hAnsi="宋体"/>
          <w:color w:val="auto"/>
          <w:highlight w:val="none"/>
        </w:rPr>
        <w:t>。</w:t>
      </w:r>
    </w:p>
    <w:p w14:paraId="61358487">
      <w:pPr>
        <w:pStyle w:val="91"/>
        <w:spacing w:before="120" w:after="120" w:line="440" w:lineRule="exact"/>
        <w:rPr>
          <w:rFonts w:ascii="宋体" w:hAnsi="宋体"/>
          <w:color w:val="auto"/>
          <w:highlight w:val="none"/>
        </w:rPr>
      </w:pPr>
      <w:r>
        <w:rPr>
          <w:rFonts w:hint="eastAsia" w:ascii="宋体" w:hAnsi="宋体"/>
          <w:color w:val="auto"/>
          <w:highlight w:val="none"/>
        </w:rPr>
        <w:t>20.4仲裁或诉讼</w:t>
      </w:r>
    </w:p>
    <w:p w14:paraId="7AB0CAF7">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因合同及合同有关事项发生的争议，按下列第</w:t>
      </w:r>
      <w:r>
        <w:rPr>
          <w:rFonts w:hint="eastAsia" w:ascii="宋体" w:hAnsi="宋体"/>
          <w:color w:val="auto"/>
          <w:highlight w:val="none"/>
          <w:u w:val="single"/>
        </w:rPr>
        <w:t xml:space="preserve">  （2）  </w:t>
      </w:r>
      <w:r>
        <w:rPr>
          <w:rFonts w:hint="eastAsia" w:ascii="宋体" w:hAnsi="宋体"/>
          <w:color w:val="auto"/>
          <w:highlight w:val="none"/>
        </w:rPr>
        <w:t>种方式解决：</w:t>
      </w:r>
    </w:p>
    <w:p w14:paraId="779F367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（1）向</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 </w:t>
      </w:r>
      <w:r>
        <w:rPr>
          <w:rFonts w:hint="eastAsia" w:ascii="宋体" w:hAnsi="宋体"/>
          <w:color w:val="auto"/>
          <w:highlight w:val="none"/>
          <w:u w:val="single"/>
        </w:rPr>
        <w:t xml:space="preserve"> </w:t>
      </w:r>
      <w:r>
        <w:rPr>
          <w:rFonts w:hint="eastAsia" w:ascii="宋体" w:hAnsi="宋体"/>
          <w:color w:val="auto"/>
          <w:highlight w:val="none"/>
        </w:rPr>
        <w:t>仲裁委员会申请仲裁；</w:t>
      </w:r>
    </w:p>
    <w:p w14:paraId="148273BD">
      <w:pPr>
        <w:pStyle w:val="77"/>
        <w:spacing w:line="440" w:lineRule="exact"/>
        <w:ind w:firstLine="480" w:firstLineChars="200"/>
        <w:jc w:val="left"/>
        <w:rPr>
          <w:rFonts w:hint="eastAsia" w:ascii="宋体" w:hAnsi="宋体"/>
          <w:color w:val="auto"/>
          <w:highlight w:val="none"/>
        </w:rPr>
      </w:pPr>
      <w:r>
        <w:rPr>
          <w:rFonts w:hint="eastAsia" w:ascii="宋体" w:hAnsi="宋体"/>
          <w:color w:val="auto"/>
          <w:highlight w:val="none"/>
        </w:rPr>
        <w:t>（2）向</w:t>
      </w:r>
      <w:r>
        <w:rPr>
          <w:rFonts w:hint="eastAsia" w:ascii="宋体" w:hAnsi="宋体"/>
          <w:color w:val="auto"/>
          <w:highlight w:val="none"/>
          <w:u w:val="single"/>
        </w:rPr>
        <w:t xml:space="preserve"> </w:t>
      </w:r>
      <w:r>
        <w:rPr>
          <w:rFonts w:hint="eastAsia" w:ascii="宋体" w:hAnsi="宋体"/>
          <w:color w:val="auto"/>
          <w:highlight w:val="none"/>
          <w:u w:val="single"/>
          <w:lang w:eastAsia="zh-CN"/>
        </w:rPr>
        <w:t>浦北县</w:t>
      </w:r>
      <w:r>
        <w:rPr>
          <w:rFonts w:hint="eastAsia" w:ascii="宋体" w:hAnsi="宋体"/>
          <w:color w:val="auto"/>
          <w:highlight w:val="none"/>
          <w:lang w:val="en-US" w:eastAsia="zh-CN"/>
        </w:rPr>
        <w:t>人民法院</w:t>
      </w:r>
      <w:r>
        <w:rPr>
          <w:rFonts w:hint="eastAsia" w:ascii="宋体" w:hAnsi="宋体"/>
          <w:color w:val="auto"/>
          <w:highlight w:val="none"/>
        </w:rPr>
        <w:t>起诉。</w:t>
      </w:r>
    </w:p>
    <w:p w14:paraId="66FF6A49">
      <w:pPr>
        <w:tabs>
          <w:tab w:val="left" w:pos="463"/>
        </w:tabs>
        <w:spacing w:line="360" w:lineRule="auto"/>
        <w:ind w:firstLine="680"/>
        <w:rPr>
          <w:rFonts w:ascii="宋体" w:hAnsi="宋体" w:eastAsia="宋体" w:cs="宋体"/>
          <w:color w:val="auto"/>
          <w:spacing w:val="20"/>
          <w:sz w:val="30"/>
          <w:szCs w:val="30"/>
        </w:rPr>
      </w:pPr>
    </w:p>
    <w:p w14:paraId="12D0A6CB">
      <w:pPr>
        <w:tabs>
          <w:tab w:val="left" w:pos="463"/>
        </w:tabs>
        <w:spacing w:line="360" w:lineRule="auto"/>
        <w:ind w:firstLine="680"/>
        <w:rPr>
          <w:rFonts w:ascii="宋体" w:hAnsi="宋体" w:eastAsia="宋体" w:cs="宋体"/>
          <w:color w:val="auto"/>
          <w:spacing w:val="20"/>
          <w:sz w:val="30"/>
          <w:szCs w:val="30"/>
        </w:rPr>
      </w:pPr>
    </w:p>
    <w:p w14:paraId="73B1CE90">
      <w:pPr>
        <w:tabs>
          <w:tab w:val="left" w:pos="463"/>
        </w:tabs>
        <w:spacing w:line="360" w:lineRule="auto"/>
        <w:ind w:firstLine="680"/>
        <w:rPr>
          <w:rFonts w:ascii="宋体" w:hAnsi="宋体" w:eastAsia="宋体" w:cs="宋体"/>
          <w:color w:val="auto"/>
          <w:spacing w:val="20"/>
          <w:sz w:val="30"/>
          <w:szCs w:val="30"/>
        </w:rPr>
      </w:pPr>
    </w:p>
    <w:p w14:paraId="0DAF1466">
      <w:pPr>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br w:type="page"/>
      </w:r>
    </w:p>
    <w:p w14:paraId="69304D5A">
      <w:pPr>
        <w:shd w:val="clear"/>
        <w:spacing w:beforeLines="50" w:afterLines="50" w:line="360" w:lineRule="auto"/>
        <w:rPr>
          <w:rFonts w:ascii="宋体" w:hAnsi="宋体" w:eastAsia="宋体" w:cs="宋体"/>
          <w:color w:val="auto"/>
          <w:spacing w:val="20"/>
          <w:sz w:val="24"/>
          <w:highlight w:val="none"/>
        </w:rPr>
      </w:pPr>
      <w:r>
        <w:rPr>
          <w:rFonts w:hint="eastAsia" w:ascii="宋体" w:hAnsi="宋体" w:eastAsia="宋体" w:cs="宋体"/>
          <w:color w:val="auto"/>
          <w:spacing w:val="20"/>
          <w:sz w:val="24"/>
          <w:highlight w:val="none"/>
        </w:rPr>
        <w:t>附件1</w:t>
      </w:r>
    </w:p>
    <w:p w14:paraId="506DFCCB">
      <w:pPr>
        <w:shd w:val="clear"/>
        <w:spacing w:beforeLines="50" w:afterLines="50" w:line="360" w:lineRule="auto"/>
        <w:jc w:val="center"/>
        <w:rPr>
          <w:rFonts w:ascii="宋体" w:hAnsi="宋体" w:eastAsia="宋体" w:cs="宋体"/>
          <w:b/>
          <w:bCs/>
          <w:color w:val="auto"/>
          <w:spacing w:val="20"/>
          <w:sz w:val="36"/>
          <w:szCs w:val="36"/>
          <w:highlight w:val="none"/>
        </w:rPr>
      </w:pPr>
      <w:r>
        <w:rPr>
          <w:rFonts w:hint="eastAsia" w:ascii="宋体" w:hAnsi="宋体" w:eastAsia="宋体" w:cs="宋体"/>
          <w:b/>
          <w:bCs/>
          <w:color w:val="auto"/>
          <w:spacing w:val="20"/>
          <w:sz w:val="40"/>
          <w:szCs w:val="40"/>
          <w:highlight w:val="none"/>
        </w:rPr>
        <w:t>工程质量保修书</w:t>
      </w:r>
    </w:p>
    <w:p w14:paraId="69614072">
      <w:pPr>
        <w:shd w:val="clear"/>
        <w:spacing w:beforeLines="50" w:afterLines="50" w:line="360" w:lineRule="auto"/>
        <w:jc w:val="center"/>
        <w:rPr>
          <w:rFonts w:ascii="宋体" w:hAnsi="宋体" w:eastAsia="宋体" w:cs="宋体"/>
          <w:b/>
          <w:bCs/>
          <w:color w:val="auto"/>
          <w:spacing w:val="20"/>
          <w:sz w:val="36"/>
          <w:szCs w:val="36"/>
          <w:highlight w:val="none"/>
        </w:rPr>
      </w:pPr>
    </w:p>
    <w:p w14:paraId="1159300E">
      <w:pPr>
        <w:keepNext w:val="0"/>
        <w:keepLines w:val="0"/>
        <w:pageBreakBefore w:val="0"/>
        <w:widowControl w:val="0"/>
        <w:shd w:val="clear"/>
        <w:kinsoku/>
        <w:wordWrap/>
        <w:overflowPunct/>
        <w:topLinePunct w:val="0"/>
        <w:autoSpaceDE/>
        <w:autoSpaceDN/>
        <w:bidi w:val="0"/>
        <w:adjustRightInd w:val="0"/>
        <w:snapToGrid w:val="0"/>
        <w:spacing w:beforeLines="50" w:afterLines="50"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发包人（全称）：</w:t>
      </w:r>
      <w:r>
        <w:rPr>
          <w:rFonts w:hint="eastAsia" w:ascii="宋体" w:hAnsi="宋体" w:eastAsia="宋体" w:cs="宋体"/>
          <w:color w:val="auto"/>
          <w:spacing w:val="20"/>
          <w:sz w:val="24"/>
          <w:szCs w:val="24"/>
          <w:highlight w:val="none"/>
          <w:u w:val="single"/>
        </w:rPr>
        <w:t xml:space="preserve">   </w:t>
      </w:r>
      <w:r>
        <w:rPr>
          <w:rFonts w:hint="eastAsia" w:ascii="宋体" w:hAnsi="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4BD8637C">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承包人（全称）：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61816346">
      <w:pPr>
        <w:keepNext w:val="0"/>
        <w:keepLines w:val="0"/>
        <w:pageBreakBefore w:val="0"/>
        <w:widowControl w:val="0"/>
        <w:shd w:val="clear"/>
        <w:kinsoku/>
        <w:wordWrap/>
        <w:overflowPunct/>
        <w:topLinePunct w:val="0"/>
        <w:autoSpaceDE/>
        <w:autoSpaceDN/>
        <w:bidi w:val="0"/>
        <w:adjustRightInd w:val="0"/>
        <w:snapToGrid w:val="0"/>
        <w:spacing w:line="380" w:lineRule="exact"/>
        <w:ind w:firstLine="42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发包人和承包人根据《中华人民共和国建筑法》、《建设工程质量管理条例》和《房屋建筑工程质量保修办法》，经协商一致，对</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eastAsia="zh-CN"/>
        </w:rPr>
        <w:t>（工程名称）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签订工程质量保修书。</w:t>
      </w:r>
    </w:p>
    <w:p w14:paraId="141231E2">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1、工程质量保修范围和内容</w:t>
      </w:r>
    </w:p>
    <w:p w14:paraId="4EAFD19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承包人在质量保修期内，按照有关法律、法规、规章的管理规定和双方约定，承担工程质量保修责任。</w:t>
      </w:r>
    </w:p>
    <w:p w14:paraId="65DA290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D3CE58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u w:val="single"/>
        </w:rPr>
        <w:t xml:space="preserve"> 质量保修范围包括</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工程等承包人施工的项目  </w:t>
      </w:r>
      <w:r>
        <w:rPr>
          <w:rFonts w:hint="eastAsia" w:ascii="宋体" w:hAnsi="宋体" w:eastAsia="宋体" w:cs="宋体"/>
          <w:color w:val="auto"/>
          <w:spacing w:val="20"/>
          <w:sz w:val="24"/>
          <w:szCs w:val="24"/>
          <w:highlight w:val="none"/>
        </w:rPr>
        <w:t>。</w:t>
      </w:r>
    </w:p>
    <w:p w14:paraId="5C149D1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非承包人施工的项目或非承包人购买的材料、设备，不在保修范围内；因承包人之外的原因造成该部分材料、设备返修的经济支出，不由承包人承担。 </w:t>
      </w:r>
    </w:p>
    <w:p w14:paraId="6DF3976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因使用不当或者第三方造成质量缺陷的，承包人不负担责任 。 </w:t>
      </w:r>
    </w:p>
    <w:p w14:paraId="2D694FC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因不可抗力造成质量缺陷的，承包人不负担责任 。 </w:t>
      </w:r>
    </w:p>
    <w:p w14:paraId="4C34E42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2、质量保修期</w:t>
      </w:r>
    </w:p>
    <w:p w14:paraId="3D28525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根据《建设工程质量管理条例》及有关规定，约定本工程的质量保修期如下：</w:t>
      </w:r>
    </w:p>
    <w:p w14:paraId="77641258">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1.</w:t>
      </w:r>
      <w:r>
        <w:rPr>
          <w:rFonts w:hint="eastAsia" w:ascii="宋体" w:hAnsi="宋体" w:eastAsia="宋体" w:cs="宋体"/>
          <w:color w:val="auto"/>
          <w:spacing w:val="20"/>
          <w:sz w:val="24"/>
          <w:szCs w:val="24"/>
          <w:highlight w:val="none"/>
        </w:rPr>
        <w:t>主本工程为设计文件规定的该工程合理使用年限。</w:t>
      </w:r>
    </w:p>
    <w:p w14:paraId="7309686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2.</w:t>
      </w:r>
      <w:r>
        <w:rPr>
          <w:rFonts w:hint="eastAsia" w:ascii="宋体" w:hAnsi="宋体" w:eastAsia="宋体" w:cs="宋体"/>
          <w:color w:val="auto"/>
          <w:spacing w:val="20"/>
          <w:sz w:val="24"/>
          <w:szCs w:val="24"/>
          <w:highlight w:val="none"/>
        </w:rPr>
        <w:t>其他工程项目保修期  1  年。</w:t>
      </w:r>
    </w:p>
    <w:p w14:paraId="314AA9E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3.</w:t>
      </w:r>
      <w:r>
        <w:rPr>
          <w:rFonts w:hint="eastAsia" w:ascii="宋体" w:hAnsi="宋体" w:eastAsia="宋体" w:cs="宋体"/>
          <w:color w:val="auto"/>
          <w:spacing w:val="20"/>
          <w:sz w:val="24"/>
          <w:szCs w:val="24"/>
          <w:highlight w:val="none"/>
        </w:rPr>
        <w:t>质量保修期自工程竣工验收合格之日起计算器。</w:t>
      </w:r>
    </w:p>
    <w:p w14:paraId="5FC3938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3、质量保修责任</w:t>
      </w:r>
    </w:p>
    <w:p w14:paraId="40297395">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1．属于保修范围、内容的项目，承包人应当在接到保修通知之日起</w:t>
      </w:r>
      <w:r>
        <w:rPr>
          <w:rFonts w:hint="eastAsia" w:ascii="宋体" w:hAnsi="宋体" w:eastAsia="宋体" w:cs="宋体"/>
          <w:color w:val="auto"/>
          <w:spacing w:val="20"/>
          <w:sz w:val="24"/>
          <w:szCs w:val="24"/>
          <w:highlight w:val="none"/>
          <w:u w:val="single"/>
        </w:rPr>
        <w:t xml:space="preserve">  7    </w:t>
      </w:r>
      <w:r>
        <w:rPr>
          <w:rFonts w:hint="eastAsia" w:ascii="宋体" w:hAnsi="宋体" w:eastAsia="宋体" w:cs="宋体"/>
          <w:color w:val="auto"/>
          <w:spacing w:val="20"/>
          <w:sz w:val="24"/>
          <w:szCs w:val="24"/>
          <w:highlight w:val="none"/>
        </w:rPr>
        <w:t>天内派人保修。承包人不在约定期限内派人保修的，发包人可以委托他人修理，发生费用由承包人承担。</w:t>
      </w:r>
    </w:p>
    <w:p w14:paraId="265F2CD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2．发生须紧急抢修事故的，承包人在接到事故通知后，应当立即到达事故现场抢修。</w:t>
      </w:r>
    </w:p>
    <w:p w14:paraId="3087BF7D">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1C293A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4．质量保修完成后，由发包人组织验收。</w:t>
      </w:r>
    </w:p>
    <w:p w14:paraId="45C84A6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4、保修费用</w:t>
      </w:r>
    </w:p>
    <w:p w14:paraId="0C7C69E3">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保修费用由造成质量缺陷的责任方承担。</w:t>
      </w:r>
    </w:p>
    <w:p w14:paraId="0430D2F9">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380" w:lineRule="exact"/>
        <w:jc w:val="lef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其他</w:t>
      </w:r>
    </w:p>
    <w:p w14:paraId="7D951202">
      <w:pPr>
        <w:keepNext w:val="0"/>
        <w:keepLines w:val="0"/>
        <w:pageBreakBefore w:val="0"/>
        <w:widowControl w:val="0"/>
        <w:shd w:val="clear"/>
        <w:kinsoku/>
        <w:wordWrap/>
        <w:overflowPunct/>
        <w:topLinePunct w:val="0"/>
        <w:autoSpaceDE/>
        <w:autoSpaceDN/>
        <w:bidi w:val="0"/>
        <w:adjustRightInd w:val="0"/>
        <w:snapToGrid w:val="0"/>
        <w:spacing w:line="380" w:lineRule="exact"/>
        <w:jc w:val="left"/>
        <w:textAlignment w:val="auto"/>
        <w:rPr>
          <w:rFonts w:hint="default" w:ascii="宋体" w:hAnsi="宋体" w:eastAsia="宋体" w:cs="宋体"/>
          <w:color w:val="auto"/>
          <w:spacing w:val="20"/>
          <w:sz w:val="24"/>
          <w:szCs w:val="24"/>
          <w:highlight w:val="none"/>
          <w:lang w:val="en-US" w:eastAsia="zh-CN"/>
        </w:rPr>
      </w:pPr>
      <w:r>
        <w:rPr>
          <w:rFonts w:hint="eastAsia" w:ascii="宋体" w:hAnsi="宋体" w:eastAsia="宋体" w:cs="宋体"/>
          <w:color w:val="auto"/>
          <w:spacing w:val="20"/>
          <w:sz w:val="24"/>
          <w:szCs w:val="24"/>
          <w:highlight w:val="none"/>
        </w:rPr>
        <w:t>双方约定的其他工程质量保修事项：</w:t>
      </w:r>
      <w:r>
        <w:rPr>
          <w:rFonts w:hint="eastAsia" w:ascii="宋体" w:hAnsi="宋体" w:cs="宋体"/>
          <w:color w:val="auto"/>
          <w:spacing w:val="20"/>
          <w:sz w:val="24"/>
          <w:szCs w:val="24"/>
          <w:highlight w:val="none"/>
          <w:u w:val="single"/>
          <w:lang w:val="en-US" w:eastAsia="zh-CN"/>
        </w:rPr>
        <w:t xml:space="preserve">                 </w:t>
      </w:r>
      <w:r>
        <w:rPr>
          <w:rFonts w:hint="eastAsia" w:ascii="宋体" w:hAnsi="宋体" w:cs="宋体"/>
          <w:color w:val="auto"/>
          <w:spacing w:val="20"/>
          <w:sz w:val="24"/>
          <w:szCs w:val="24"/>
          <w:highlight w:val="none"/>
          <w:u w:val="none"/>
          <w:lang w:val="en-US" w:eastAsia="zh-CN"/>
        </w:rPr>
        <w:t>。</w:t>
      </w:r>
    </w:p>
    <w:p w14:paraId="5EC57D38">
      <w:pPr>
        <w:keepNext w:val="0"/>
        <w:keepLines w:val="0"/>
        <w:pageBreakBefore w:val="0"/>
        <w:widowControl w:val="0"/>
        <w:shd w:val="clear"/>
        <w:kinsoku/>
        <w:wordWrap/>
        <w:overflowPunct/>
        <w:topLinePunct w:val="0"/>
        <w:autoSpaceDE/>
        <w:autoSpaceDN/>
        <w:bidi w:val="0"/>
        <w:adjustRightInd w:val="0"/>
        <w:snapToGrid w:val="0"/>
        <w:spacing w:line="380" w:lineRule="exact"/>
        <w:ind w:firstLine="532" w:firstLineChars="19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本工程质量保修书，由施工合同发包人、承包人双方在竣工验收前共同签署，作为施工合同附件，其有效期限至保修期满。</w:t>
      </w:r>
    </w:p>
    <w:p w14:paraId="58C59E1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7B263C1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1F52E179">
      <w:pPr>
        <w:keepNext w:val="0"/>
        <w:keepLines w:val="0"/>
        <w:pageBreakBefore w:val="0"/>
        <w:widowControl w:val="0"/>
        <w:shd w:val="clear"/>
        <w:kinsoku/>
        <w:wordWrap/>
        <w:overflowPunct/>
        <w:topLinePunct w:val="0"/>
        <w:autoSpaceDE/>
        <w:autoSpaceDN/>
        <w:bidi w:val="0"/>
        <w:adjustRightInd w:val="0"/>
        <w:snapToGrid w:val="0"/>
        <w:spacing w:line="380" w:lineRule="exact"/>
        <w:ind w:firstLine="840" w:firstLineChars="3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发包人（公章）                        承包人（公章）</w:t>
      </w:r>
    </w:p>
    <w:p w14:paraId="7E1C6DD5">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24256FC3">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p>
    <w:p w14:paraId="5064416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5B175A61">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14:paraId="2F00BF84">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p>
    <w:p w14:paraId="153F13CF">
      <w:pPr>
        <w:shd w:val="clear"/>
        <w:adjustRightInd w:val="0"/>
        <w:snapToGrid w:val="0"/>
        <w:spacing w:line="400" w:lineRule="exact"/>
        <w:rPr>
          <w:rFonts w:ascii="宋体" w:hAnsi="宋体" w:eastAsia="宋体" w:cs="宋体"/>
          <w:color w:val="auto"/>
          <w:spacing w:val="20"/>
          <w:sz w:val="24"/>
          <w:highlight w:val="none"/>
          <w:u w:val="single"/>
        </w:rPr>
      </w:pPr>
    </w:p>
    <w:p w14:paraId="0095EE7A">
      <w:pPr>
        <w:shd w:val="clear"/>
        <w:adjustRightInd w:val="0"/>
        <w:snapToGrid w:val="0"/>
        <w:spacing w:line="400" w:lineRule="exact"/>
        <w:rPr>
          <w:rFonts w:ascii="宋体" w:hAnsi="宋体" w:eastAsia="宋体" w:cs="宋体"/>
          <w:color w:val="auto"/>
          <w:spacing w:val="20"/>
          <w:sz w:val="24"/>
          <w:highlight w:val="none"/>
          <w:u w:val="single"/>
        </w:rPr>
      </w:pPr>
    </w:p>
    <w:p w14:paraId="23DADF35">
      <w:pPr>
        <w:rPr>
          <w:rFonts w:hint="eastAsia"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br w:type="page"/>
      </w:r>
    </w:p>
    <w:p w14:paraId="58C7F4F6">
      <w:pPr>
        <w:shd w:val="clear"/>
        <w:spacing w:beforeLines="50" w:afterLines="50" w:line="360" w:lineRule="auto"/>
        <w:rPr>
          <w:rFonts w:hint="default"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t>附件2</w:t>
      </w:r>
    </w:p>
    <w:p w14:paraId="27F155DE">
      <w:pPr>
        <w:keepNext w:val="0"/>
        <w:keepLines w:val="0"/>
        <w:pageBreakBefore w:val="0"/>
        <w:widowControl w:val="0"/>
        <w:shd w:val="clear"/>
        <w:kinsoku/>
        <w:wordWrap/>
        <w:overflowPunct/>
        <w:topLinePunct w:val="0"/>
        <w:autoSpaceDE/>
        <w:autoSpaceDN/>
        <w:bidi w:val="0"/>
        <w:spacing w:line="380" w:lineRule="exact"/>
        <w:jc w:val="center"/>
        <w:textAlignment w:val="auto"/>
        <w:outlineLvl w:val="3"/>
        <w:rPr>
          <w:rFonts w:hint="eastAsia" w:ascii="宋体" w:hAnsi="宋体" w:eastAsia="宋体" w:cs="宋体"/>
          <w:b/>
          <w:bCs/>
          <w:color w:val="auto"/>
          <w:kern w:val="1"/>
          <w:sz w:val="24"/>
          <w:szCs w:val="24"/>
          <w:highlight w:val="none"/>
        </w:rPr>
      </w:pPr>
      <w:r>
        <w:rPr>
          <w:rFonts w:hint="eastAsia" w:ascii="宋体" w:hAnsi="宋体" w:eastAsia="宋体" w:cs="宋体"/>
          <w:b/>
          <w:bCs/>
          <w:color w:val="auto"/>
          <w:sz w:val="24"/>
          <w:szCs w:val="24"/>
          <w:highlight w:val="none"/>
        </w:rPr>
        <w:t>安全生产合同</w:t>
      </w:r>
    </w:p>
    <w:p w14:paraId="05A091F5">
      <w:pPr>
        <w:keepNext w:val="0"/>
        <w:keepLines w:val="0"/>
        <w:pageBreakBefore w:val="0"/>
        <w:widowControl w:val="0"/>
        <w:shd w:val="clear"/>
        <w:kinsoku/>
        <w:wordWrap/>
        <w:overflowPunct/>
        <w:topLinePunct w:val="0"/>
        <w:autoSpaceDE/>
        <w:autoSpaceDN/>
        <w:bidi w:val="0"/>
        <w:spacing w:line="380" w:lineRule="exact"/>
        <w:textAlignment w:val="auto"/>
        <w:rPr>
          <w:rFonts w:hint="eastAsia" w:ascii="宋体" w:hAnsi="宋体" w:eastAsia="宋体" w:cs="宋体"/>
          <w:color w:val="auto"/>
          <w:kern w:val="1"/>
          <w:sz w:val="24"/>
          <w:szCs w:val="24"/>
          <w:highlight w:val="none"/>
        </w:rPr>
      </w:pPr>
    </w:p>
    <w:p w14:paraId="4E98D9B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为在</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cs="宋体"/>
          <w:b/>
          <w:color w:val="auto"/>
          <w:sz w:val="24"/>
          <w:szCs w:val="24"/>
          <w:highlight w:val="none"/>
          <w:u w:val="single"/>
          <w:lang w:val="en-US" w:eastAsia="zh-CN"/>
        </w:rPr>
        <w:t xml:space="preserve">（工程名称）  </w:t>
      </w:r>
      <w:r>
        <w:rPr>
          <w:rFonts w:hint="eastAsia" w:ascii="宋体" w:hAnsi="宋体" w:eastAsia="宋体" w:cs="宋体"/>
          <w:color w:val="auto"/>
          <w:kern w:val="1"/>
          <w:sz w:val="24"/>
          <w:szCs w:val="24"/>
          <w:highlight w:val="none"/>
        </w:rPr>
        <w:t>的实施过程中创造安全、高效的施工环境，切实搞好本项目的安全管理工作，本项目业主</w:t>
      </w:r>
      <w:r>
        <w:rPr>
          <w:rFonts w:hint="eastAsia" w:ascii="宋体" w:hAnsi="宋体" w:eastAsia="宋体" w:cs="宋体"/>
          <w:color w:val="auto"/>
          <w:kern w:val="1"/>
          <w:sz w:val="24"/>
          <w:szCs w:val="24"/>
          <w:highlight w:val="none"/>
          <w:u w:val="single"/>
        </w:rPr>
        <w:t xml:space="preserve"> </w:t>
      </w:r>
      <w:r>
        <w:rPr>
          <w:rFonts w:hint="eastAsia" w:ascii="宋体" w:hAnsi="宋体" w:cs="宋体"/>
          <w:color w:val="auto"/>
          <w:kern w:val="1"/>
          <w:sz w:val="24"/>
          <w:szCs w:val="24"/>
          <w:highlight w:val="none"/>
          <w:u w:val="single"/>
          <w:lang w:val="en-US" w:eastAsia="zh-CN"/>
        </w:rPr>
        <w:t xml:space="preserve">           </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（以下简称“甲方”）与承包人</w:t>
      </w:r>
      <w:r>
        <w:rPr>
          <w:rFonts w:hint="eastAsia" w:ascii="宋体" w:hAnsi="宋体" w:eastAsia="宋体" w:cs="宋体"/>
          <w:b/>
          <w:bCs/>
          <w:color w:val="auto"/>
          <w:kern w:val="1"/>
          <w:sz w:val="24"/>
          <w:szCs w:val="24"/>
          <w:highlight w:val="none"/>
          <w:u w:val="single"/>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color w:val="auto"/>
          <w:kern w:val="1"/>
          <w:sz w:val="24"/>
          <w:szCs w:val="24"/>
          <w:highlight w:val="none"/>
        </w:rPr>
        <w:t>（以下简称“乙方”）特此签订安全生产合同：</w:t>
      </w:r>
    </w:p>
    <w:p w14:paraId="0A3ED6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一、甲方职责</w:t>
      </w:r>
    </w:p>
    <w:p w14:paraId="2C5C868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严格遵守国家有关安全生产的法律法规，认真执行工程承包合同中的有关安全要求。</w:t>
      </w:r>
    </w:p>
    <w:p w14:paraId="3BD1EBD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按照“安全第一、预防为主”和坚持“管生产必须管安全”的原则进行安全生产管理，做到生产与安全工作同时计划、布置、检查、总结和评比。</w:t>
      </w:r>
    </w:p>
    <w:p w14:paraId="3D09BC9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重要的安全设施必须坚持与主体工程“三同时”的原则，即：同时设计、审批，同时施工，同时验收，投入使用。</w:t>
      </w:r>
    </w:p>
    <w:p w14:paraId="3B8F42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定期召开安全生产调度会，及时传达中央及地方有关安全生产的精神。</w:t>
      </w:r>
    </w:p>
    <w:p w14:paraId="64603D7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组织对乙方施工现场安全生产检查，监督乙方及时处理发现的各种安全隐患。</w:t>
      </w:r>
    </w:p>
    <w:p w14:paraId="16D6EB8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二、乙方职责</w:t>
      </w:r>
    </w:p>
    <w:p w14:paraId="0C9F740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严格遵守国家有关安全生产的法律法规、农业农村部、水利部颁发的有关安全生产的规定，认真执行工程承包合同中的有关安全要求。</w:t>
      </w:r>
    </w:p>
    <w:p w14:paraId="6CFC01B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E019B8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479EB7D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乙方在任何时候都应采取各种合理的预防措施，防止其员工发生任何违法、违禁、暴力或妨碍治安的行为。</w:t>
      </w:r>
    </w:p>
    <w:p w14:paraId="0977FA6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经理必须承担管理责任。</w:t>
      </w:r>
    </w:p>
    <w:p w14:paraId="2033FEE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6. 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A1BD8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7. 操作人员上岗，必须按规定穿戴防护用品。施工负责人和安全检查员应随时检查劳动防护用品的穿戴情况，不按规定穿戴防护用品的人员不得上岗。</w:t>
      </w:r>
    </w:p>
    <w:p w14:paraId="2FBD605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8. 所有施工机具设备和高空作业的设备均应定期检查，并有安全员的签字记录，保证其经常处于完好状态；不合格的机具、设备和劳动保护用品严禁使用。</w:t>
      </w:r>
    </w:p>
    <w:p w14:paraId="452585C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9. 施工中采用新技术、新工艺、新设备、新材料时，必须制定相应的安全技术措施，施工现场必须具有相关的安全标志牌。</w:t>
      </w:r>
    </w:p>
    <w:p w14:paraId="46B4EBD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10. 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2811A58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三、违约责任</w:t>
      </w:r>
    </w:p>
    <w:p w14:paraId="66EC69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kern w:val="1"/>
          <w:sz w:val="24"/>
          <w:szCs w:val="24"/>
          <w:highlight w:val="none"/>
        </w:rPr>
        <w:t xml:space="preserve">    如因甲方或乙方违约造成安全事故，将依法追究责任。</w:t>
      </w:r>
    </w:p>
    <w:p w14:paraId="53B48C29">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hint="eastAsia" w:ascii="宋体" w:hAnsi="宋体" w:eastAsia="宋体" w:cs="宋体"/>
          <w:color w:val="auto"/>
          <w:spacing w:val="20"/>
          <w:sz w:val="24"/>
          <w:szCs w:val="24"/>
          <w:highlight w:val="none"/>
        </w:rPr>
      </w:pPr>
    </w:p>
    <w:p w14:paraId="027CC42E">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发包人（公章）                        承包人（公章）</w:t>
      </w:r>
    </w:p>
    <w:p w14:paraId="4DC211A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p>
    <w:p w14:paraId="0408F5C6">
      <w:pPr>
        <w:keepNext w:val="0"/>
        <w:keepLines w:val="0"/>
        <w:pageBreakBefore w:val="0"/>
        <w:widowControl w:val="0"/>
        <w:shd w:val="clear"/>
        <w:kinsoku/>
        <w:wordWrap/>
        <w:overflowPunct/>
        <w:topLinePunct w:val="0"/>
        <w:autoSpaceDE/>
        <w:autoSpaceDN/>
        <w:bidi w:val="0"/>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p>
    <w:p w14:paraId="7AFD308E">
      <w:pPr>
        <w:rPr>
          <w:rFonts w:hint="eastAsia" w:asciiTheme="minorEastAsia" w:hAnsiTheme="minorEastAsia" w:cstheme="minorEastAsia"/>
          <w:b/>
          <w:bCs/>
          <w:color w:val="auto"/>
          <w:sz w:val="36"/>
          <w:szCs w:val="36"/>
          <w:highlight w:val="none"/>
        </w:rPr>
      </w:pPr>
      <w:r>
        <w:rPr>
          <w:rFonts w:hint="eastAsia" w:asciiTheme="minorEastAsia" w:hAnsiTheme="minorEastAsia" w:cstheme="minorEastAsia"/>
          <w:b/>
          <w:bCs/>
          <w:color w:val="auto"/>
          <w:sz w:val="36"/>
          <w:szCs w:val="36"/>
          <w:highlight w:val="none"/>
        </w:rPr>
        <w:br w:type="page"/>
      </w:r>
    </w:p>
    <w:p w14:paraId="25A786BB">
      <w:pPr>
        <w:spacing w:line="360" w:lineRule="auto"/>
        <w:ind w:firstLine="723"/>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施工合同补充协议书</w:t>
      </w:r>
    </w:p>
    <w:p w14:paraId="6488902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14:paraId="7BF92DB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14:paraId="3C12A37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根据广西壮族自治区解决企业拖欠工资问题联席会议关于印发《广西壮族自治区工程建设领域工人工资支付专用账户管理办法》的通知（桂薪联发〔2016〕1号）的规定，经甲乙双方共同协商，达成如下补充协议：</w:t>
      </w:r>
    </w:p>
    <w:p w14:paraId="46E1482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1、乙方必须按规定到国有专业银行开设工人工资支付专用账户。</w:t>
      </w:r>
    </w:p>
    <w:p w14:paraId="321354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2、双方约定该项目工资占工程款的比例是</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p>
    <w:p w14:paraId="37C1CB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3、乙方按规程办理工程进度款手续后，向甲方申请工程进度款时，甲方按约定工资比例将工程款部分划入乙方提供的工人工资支付专用账户（账户名称：</w:t>
      </w:r>
      <w:r>
        <w:rPr>
          <w:rFonts w:hint="eastAsia" w:ascii="宋体" w:hAnsi="宋体" w:eastAsia="宋体" w:cs="宋体"/>
          <w:color w:val="auto"/>
          <w:sz w:val="24"/>
          <w:szCs w:val="24"/>
          <w:lang w:val="en-US" w:eastAsia="zh-CN"/>
        </w:rPr>
        <w:t>（成交供应商名称）</w:t>
      </w:r>
      <w:r>
        <w:rPr>
          <w:rFonts w:hint="eastAsia" w:ascii="宋体" w:hAnsi="宋体" w:eastAsia="宋体" w:cs="宋体"/>
          <w:color w:val="auto"/>
          <w:sz w:val="24"/>
          <w:szCs w:val="24"/>
        </w:rPr>
        <w:t>农民工工资专户，开户银行：</w:t>
      </w:r>
      <w:r>
        <w:rPr>
          <w:rFonts w:hint="eastAsia" w:ascii="宋体" w:hAnsi="宋体" w:eastAsia="宋体" w:cs="宋体"/>
          <w:color w:val="auto"/>
          <w:sz w:val="24"/>
          <w:szCs w:val="24"/>
          <w:lang w:val="en-US" w:eastAsia="zh-CN"/>
        </w:rPr>
        <w:t>（成交供应商开户银行）</w:t>
      </w:r>
      <w:r>
        <w:rPr>
          <w:rFonts w:hint="eastAsia" w:ascii="宋体" w:hAnsi="宋体" w:eastAsia="宋体" w:cs="宋体"/>
          <w:color w:val="auto"/>
          <w:sz w:val="24"/>
          <w:szCs w:val="24"/>
        </w:rPr>
        <w:t>，账号：</w:t>
      </w:r>
      <w:r>
        <w:rPr>
          <w:rFonts w:hint="eastAsia" w:ascii="宋体" w:hAnsi="宋体" w:eastAsia="宋体" w:cs="宋体"/>
          <w:color w:val="auto"/>
          <w:sz w:val="24"/>
          <w:szCs w:val="24"/>
          <w:lang w:val="en-US" w:eastAsia="zh-CN"/>
        </w:rPr>
        <w:t>（成交供应商账号）</w:t>
      </w:r>
      <w:r>
        <w:rPr>
          <w:rFonts w:hint="eastAsia" w:ascii="宋体" w:hAnsi="宋体" w:eastAsia="宋体" w:cs="宋体"/>
          <w:color w:val="auto"/>
          <w:sz w:val="24"/>
          <w:szCs w:val="24"/>
        </w:rPr>
        <w:t xml:space="preserve"> ）用于支付工人工资，余款划入乙方提供的账户（账户名称：</w:t>
      </w:r>
      <w:r>
        <w:rPr>
          <w:rFonts w:hint="eastAsia" w:ascii="宋体" w:hAnsi="宋体" w:eastAsia="宋体" w:cs="宋体"/>
          <w:color w:val="auto"/>
          <w:sz w:val="24"/>
          <w:szCs w:val="24"/>
          <w:lang w:val="en-US" w:eastAsia="zh-CN"/>
        </w:rPr>
        <w:t>（成交供应商名称）</w:t>
      </w:r>
      <w:r>
        <w:rPr>
          <w:rFonts w:hint="eastAsia" w:ascii="宋体" w:hAnsi="宋体" w:eastAsia="宋体" w:cs="宋体"/>
          <w:color w:val="auto"/>
          <w:sz w:val="24"/>
          <w:szCs w:val="24"/>
        </w:rPr>
        <w:t>农民工工资专户，开户银行：</w:t>
      </w:r>
      <w:r>
        <w:rPr>
          <w:rFonts w:hint="eastAsia" w:ascii="宋体" w:hAnsi="宋体" w:eastAsia="宋体" w:cs="宋体"/>
          <w:color w:val="auto"/>
          <w:sz w:val="24"/>
          <w:szCs w:val="24"/>
          <w:lang w:val="en-US" w:eastAsia="zh-CN"/>
        </w:rPr>
        <w:t>（成交供应商开户银行）</w:t>
      </w:r>
      <w:r>
        <w:rPr>
          <w:rFonts w:hint="eastAsia" w:ascii="宋体" w:hAnsi="宋体" w:eastAsia="宋体" w:cs="宋体"/>
          <w:color w:val="auto"/>
          <w:sz w:val="24"/>
          <w:szCs w:val="24"/>
        </w:rPr>
        <w:t>，账号：</w:t>
      </w:r>
      <w:r>
        <w:rPr>
          <w:rFonts w:hint="eastAsia" w:ascii="宋体" w:hAnsi="宋体" w:eastAsia="宋体" w:cs="宋体"/>
          <w:color w:val="auto"/>
          <w:sz w:val="24"/>
          <w:szCs w:val="24"/>
          <w:lang w:val="en-US" w:eastAsia="zh-CN"/>
        </w:rPr>
        <w:t>（成交供应商账号）</w:t>
      </w:r>
      <w:r>
        <w:rPr>
          <w:rFonts w:hint="eastAsia" w:ascii="宋体" w:hAnsi="宋体" w:eastAsia="宋体" w:cs="宋体"/>
          <w:color w:val="auto"/>
          <w:sz w:val="24"/>
          <w:szCs w:val="24"/>
        </w:rPr>
        <w:t>）用于该工程的建设费用。</w:t>
      </w:r>
    </w:p>
    <w:p w14:paraId="07A6518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4、乙方没提交工人工资支付专用账户的，甲方有权不拨付工程进度款。</w:t>
      </w:r>
    </w:p>
    <w:p w14:paraId="5C66A4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本合同一式</w:t>
      </w:r>
      <w:r>
        <w:rPr>
          <w:rFonts w:hint="eastAsia" w:ascii="宋体" w:hAnsi="宋体" w:eastAsia="宋体" w:cs="宋体"/>
          <w:color w:val="auto"/>
          <w:sz w:val="24"/>
          <w:szCs w:val="24"/>
          <w:lang w:val="en-US" w:eastAsia="zh-CN"/>
        </w:rPr>
        <w:t>肆</w:t>
      </w:r>
      <w:r>
        <w:rPr>
          <w:rFonts w:hint="eastAsia" w:ascii="宋体" w:hAnsi="宋体" w:eastAsia="宋体" w:cs="宋体"/>
          <w:color w:val="auto"/>
          <w:sz w:val="24"/>
          <w:szCs w:val="24"/>
        </w:rPr>
        <w:t>份，甲乙双方各执</w:t>
      </w:r>
      <w:r>
        <w:rPr>
          <w:rFonts w:hint="eastAsia" w:ascii="宋体" w:hAnsi="宋体" w:eastAsia="宋体" w:cs="宋体"/>
          <w:color w:val="auto"/>
          <w:sz w:val="24"/>
          <w:szCs w:val="24"/>
          <w:lang w:val="en-US" w:eastAsia="zh-CN"/>
        </w:rPr>
        <w:t>贰</w:t>
      </w:r>
      <w:r>
        <w:rPr>
          <w:rFonts w:hint="eastAsia" w:ascii="宋体" w:hAnsi="宋体" w:eastAsia="宋体" w:cs="宋体"/>
          <w:color w:val="auto"/>
          <w:sz w:val="24"/>
          <w:szCs w:val="24"/>
        </w:rPr>
        <w:t>份，并与原合同共同执行。</w:t>
      </w:r>
    </w:p>
    <w:p w14:paraId="1059550A">
      <w:pPr>
        <w:spacing w:line="360" w:lineRule="auto"/>
        <w:rPr>
          <w:rFonts w:hint="eastAsia" w:ascii="宋体" w:hAnsi="宋体" w:eastAsia="宋体" w:cs="宋体"/>
          <w:color w:val="auto"/>
          <w:sz w:val="24"/>
          <w:szCs w:val="24"/>
        </w:rPr>
      </w:pPr>
    </w:p>
    <w:p w14:paraId="05EB536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甲方：                            乙方：</w:t>
      </w:r>
    </w:p>
    <w:p w14:paraId="7C6B202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代表签名：                        代表签名：</w:t>
      </w:r>
    </w:p>
    <w:p w14:paraId="6F78104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签订日期：                        签订日期：</w:t>
      </w:r>
    </w:p>
    <w:p w14:paraId="058836D2">
      <w:pPr>
        <w:pStyle w:val="10"/>
        <w:rPr>
          <w:rFonts w:hint="eastAsia" w:ascii="宋体" w:hAnsi="宋体" w:eastAsia="宋体" w:cs="宋体"/>
          <w:color w:val="auto"/>
          <w:sz w:val="24"/>
          <w:szCs w:val="24"/>
          <w:highlight w:val="none"/>
        </w:rPr>
      </w:pPr>
    </w:p>
    <w:sectPr>
      <w:headerReference r:id="rId5" w:type="default"/>
      <w:footerReference r:id="rId6" w:type="default"/>
      <w:pgSz w:w="11906" w:h="16838"/>
      <w:pgMar w:top="1440" w:right="1080" w:bottom="1440" w:left="1080" w:header="567" w:footer="567" w:gutter="567"/>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16E9BA-9A40-4D84-8772-0DB585A0F2F2}"/>
  </w:font>
  <w:font w:name="Arial">
    <w:panose1 w:val="020B0604020202020204"/>
    <w:charset w:val="01"/>
    <w:family w:val="swiss"/>
    <w:pitch w:val="default"/>
    <w:sig w:usb0="E0002EFF" w:usb1="C000785B" w:usb2="00000009" w:usb3="00000000" w:csb0="400001FF" w:csb1="FFFF0000"/>
    <w:embedRegular r:id="rId2" w:fontKey="{7658E34C-C9E6-4A46-8AE9-4B83CB05D140}"/>
  </w:font>
  <w:font w:name="黑体">
    <w:panose1 w:val="02010609060101010101"/>
    <w:charset w:val="86"/>
    <w:family w:val="auto"/>
    <w:pitch w:val="default"/>
    <w:sig w:usb0="800002BF" w:usb1="38CF7CFA" w:usb2="00000016" w:usb3="00000000" w:csb0="00040001" w:csb1="00000000"/>
    <w:embedRegular r:id="rId3" w:fontKey="{D724B625-C744-4936-BF50-65595DA52C35}"/>
  </w:font>
  <w:font w:name="Courier New">
    <w:panose1 w:val="02070309020205020404"/>
    <w:charset w:val="01"/>
    <w:family w:val="modern"/>
    <w:pitch w:val="default"/>
    <w:sig w:usb0="E0002EFF" w:usb1="C0007843" w:usb2="00000009" w:usb3="00000000" w:csb0="400001FF" w:csb1="FFFF0000"/>
    <w:embedRegular r:id="rId4" w:fontKey="{9223A4C6-389F-4F2B-BFB7-6EB20B3BEF3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9A02D8C-BF7C-468D-A36C-E5B117741C78}"/>
  </w:font>
  <w:font w:name="仿宋_GB2312">
    <w:panose1 w:val="02010609030101010101"/>
    <w:charset w:val="86"/>
    <w:family w:val="modern"/>
    <w:pitch w:val="default"/>
    <w:sig w:usb0="00000001" w:usb1="080E0000" w:usb2="00000000" w:usb3="00000000" w:csb0="00040000" w:csb1="00000000"/>
    <w:embedRegular r:id="rId6" w:fontKey="{431C8075-E8C8-4C14-93DB-772EF473F8A4}"/>
  </w:font>
  <w:font w:name="Cambria">
    <w:panose1 w:val="02040503050406030204"/>
    <w:charset w:val="00"/>
    <w:family w:val="auto"/>
    <w:pitch w:val="default"/>
    <w:sig w:usb0="E00006FF" w:usb1="420024FF" w:usb2="02000000" w:usb3="00000000" w:csb0="2000019F" w:csb1="00000000"/>
    <w:embedRegular r:id="rId7" w:fontKey="{DE4A6941-7EC9-4FE9-9A00-5B94ED1D295A}"/>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
    <w:altName w:val="宋体"/>
    <w:panose1 w:val="00000000000000000000"/>
    <w:charset w:val="86"/>
    <w:family w:val="roman"/>
    <w:pitch w:val="default"/>
    <w:sig w:usb0="00000000" w:usb1="00000000" w:usb2="00000010" w:usb3="00000000" w:csb0="00040000" w:csb1="00000000"/>
  </w:font>
  <w:font w:name="汉仪中宋简">
    <w:altName w:val="宋体"/>
    <w:panose1 w:val="02010609000101010101"/>
    <w:charset w:val="86"/>
    <w:family w:val="modern"/>
    <w:pitch w:val="default"/>
    <w:sig w:usb0="00000000" w:usb1="00000000" w:usb2="00000012" w:usb3="00000000" w:csb0="00040000" w:csb1="00000000"/>
  </w:font>
  <w:font w:name="汉仪字典宋简">
    <w:altName w:val="宋体"/>
    <w:panose1 w:val="02010609000101010101"/>
    <w:charset w:val="86"/>
    <w:family w:val="modern"/>
    <w:pitch w:val="default"/>
    <w:sig w:usb0="00000000" w:usb1="00000000" w:usb2="00000012"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仿宋">
    <w:panose1 w:val="02010609060101010101"/>
    <w:charset w:val="86"/>
    <w:family w:val="auto"/>
    <w:pitch w:val="default"/>
    <w:sig w:usb0="800002BF" w:usb1="38CF7CFA" w:usb2="00000016" w:usb3="00000000" w:csb0="00040001" w:csb1="00000000"/>
    <w:embedRegular r:id="rId8" w:fontKey="{25466130-DB17-46C9-91B4-A82E39AD3CEC}"/>
  </w:font>
  <w:font w:name="Tahoma">
    <w:panose1 w:val="020B0604030504040204"/>
    <w:charset w:val="00"/>
    <w:family w:val="auto"/>
    <w:pitch w:val="default"/>
    <w:sig w:usb0="E1002EFF" w:usb1="C000605B" w:usb2="00000029" w:usb3="00000000" w:csb0="200101FF" w:csb1="20280000"/>
    <w:embedRegular r:id="rId9" w:fontKey="{BCECB90A-03CD-4F76-AD02-7F3942F6386D}"/>
  </w:font>
  <w:font w:name="方正小标宋简体">
    <w:panose1 w:val="02000000000000000000"/>
    <w:charset w:val="86"/>
    <w:family w:val="auto"/>
    <w:pitch w:val="default"/>
    <w:sig w:usb0="00000001" w:usb1="08000000" w:usb2="00000000" w:usb3="00000000" w:csb0="00040000" w:csb1="00000000"/>
    <w:embedRegular r:id="rId10" w:fontKey="{97DBE2FF-11A2-414F-AB90-16F081763C5A}"/>
  </w:font>
  <w:font w:name="Ђˎ̥">
    <w:altName w:val="Times New Roman"/>
    <w:panose1 w:val="00000000000000000000"/>
    <w:charset w:val="00"/>
    <w:family w:val="roman"/>
    <w:pitch w:val="default"/>
    <w:sig w:usb0="00000000" w:usb1="00000000" w:usb2="00000000" w:usb3="00000000" w:csb0="00040001" w:csb1="00000000"/>
    <w:embedRegular r:id="rId11" w:fontKey="{4DB4429E-905C-4EEC-92FA-2EC9934981D9}"/>
  </w:font>
  <w:font w:name="MingLiU_HKSCS">
    <w:altName w:val="PMingLiU-ExtB"/>
    <w:panose1 w:val="02020500000000000000"/>
    <w:charset w:val="88"/>
    <w:family w:val="roman"/>
    <w:pitch w:val="default"/>
    <w:sig w:usb0="00000000" w:usb1="00000000" w:usb2="00000016" w:usb3="00000000" w:csb0="00100001" w:csb1="00000000"/>
    <w:embedRegular r:id="rId12" w:fontKey="{64CB3CE2-CFB6-4DDD-96E2-6A79F1230FA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57469">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2E04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52E04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54D5">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54508">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054508">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ED9D">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0BC8">
    <w:pPr>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A84D"/>
    <w:multiLevelType w:val="singleLevel"/>
    <w:tmpl w:val="872EA84D"/>
    <w:lvl w:ilvl="0" w:tentative="0">
      <w:start w:val="6"/>
      <w:numFmt w:val="chineseCounting"/>
      <w:suff w:val="space"/>
      <w:lvlText w:val="第%1章"/>
      <w:lvlJc w:val="left"/>
      <w:rPr>
        <w:rFonts w:hint="eastAsia"/>
      </w:rPr>
    </w:lvl>
  </w:abstractNum>
  <w:abstractNum w:abstractNumId="1">
    <w:nsid w:val="A8BB11CC"/>
    <w:multiLevelType w:val="singleLevel"/>
    <w:tmpl w:val="A8BB11CC"/>
    <w:lvl w:ilvl="0" w:tentative="0">
      <w:start w:val="5"/>
      <w:numFmt w:val="decimal"/>
      <w:suff w:val="nothing"/>
      <w:lvlText w:val="%1、"/>
      <w:lvlJc w:val="left"/>
    </w:lvl>
  </w:abstractNum>
  <w:abstractNum w:abstractNumId="2">
    <w:nsid w:val="EDA70614"/>
    <w:multiLevelType w:val="singleLevel"/>
    <w:tmpl w:val="EDA70614"/>
    <w:lvl w:ilvl="0" w:tentative="0">
      <w:start w:val="1"/>
      <w:numFmt w:val="chineseCounting"/>
      <w:suff w:val="space"/>
      <w:lvlText w:val="第%1部分"/>
      <w:lvlJc w:val="left"/>
      <w:rPr>
        <w:rFonts w:hint="eastAsia"/>
        <w:sz w:val="40"/>
        <w:szCs w:val="40"/>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124D1AAD"/>
    <w:multiLevelType w:val="singleLevel"/>
    <w:tmpl w:val="124D1AAD"/>
    <w:lvl w:ilvl="0" w:tentative="0">
      <w:start w:val="1"/>
      <w:numFmt w:val="decimal"/>
      <w:lvlText w:val="%1."/>
      <w:lvlJc w:val="left"/>
      <w:pPr>
        <w:tabs>
          <w:tab w:val="left" w:pos="312"/>
        </w:tabs>
      </w:pPr>
    </w:lvl>
  </w:abstractNum>
  <w:abstractNum w:abstractNumId="5">
    <w:nsid w:val="21A205B0"/>
    <w:multiLevelType w:val="singleLevel"/>
    <w:tmpl w:val="21A205B0"/>
    <w:lvl w:ilvl="0" w:tentative="0">
      <w:start w:val="2"/>
      <w:numFmt w:val="chineseCounting"/>
      <w:suff w:val="space"/>
      <w:lvlText w:val="第%1章"/>
      <w:lvlJc w:val="left"/>
      <w:rPr>
        <w:rFonts w:hint="eastAsia"/>
      </w:rPr>
    </w:lvl>
  </w:abstractNum>
  <w:abstractNum w:abstractNumId="6">
    <w:nsid w:val="56AE54E7"/>
    <w:multiLevelType w:val="singleLevel"/>
    <w:tmpl w:val="56AE54E7"/>
    <w:lvl w:ilvl="0" w:tentative="0">
      <w:start w:val="1"/>
      <w:numFmt w:val="decimal"/>
      <w:suff w:val="nothing"/>
      <w:lvlText w:val="（%1）"/>
      <w:lvlJc w:val="left"/>
    </w:lvl>
  </w:abstractNum>
  <w:abstractNum w:abstractNumId="7">
    <w:nsid w:val="6EDD6596"/>
    <w:multiLevelType w:val="multilevel"/>
    <w:tmpl w:val="6EDD6596"/>
    <w:lvl w:ilvl="0" w:tentative="0">
      <w:start w:val="1"/>
      <w:numFmt w:val="decimal"/>
      <w:lvlText w:val="（%1）"/>
      <w:lvlJc w:val="left"/>
      <w:pPr>
        <w:ind w:left="1035" w:hanging="72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5"/>
  </w:num>
  <w:num w:numId="2">
    <w:abstractNumId w:val="6"/>
  </w:num>
  <w:num w:numId="3">
    <w:abstractNumId w:val="4"/>
  </w:num>
  <w:num w:numId="4">
    <w:abstractNumId w:val="0"/>
  </w:num>
  <w:num w:numId="5">
    <w:abstractNumId w:val="2"/>
  </w:num>
  <w:num w:numId="6">
    <w:abstractNumId w:val="3"/>
    <w:lvlOverride w:ilvl="0">
      <w:startOverride w:val="1"/>
    </w:lvlOverride>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hZTY4NDNiMDZlYzQ3MWFhYWQ4Yjg3YzZmZjE2MDMifQ=="/>
  </w:docVars>
  <w:rsids>
    <w:rsidRoot w:val="556F068E"/>
    <w:rsid w:val="00022272"/>
    <w:rsid w:val="00046300"/>
    <w:rsid w:val="00092EAF"/>
    <w:rsid w:val="000A365B"/>
    <w:rsid w:val="000C199D"/>
    <w:rsid w:val="000E03F8"/>
    <w:rsid w:val="001A5BFD"/>
    <w:rsid w:val="001C657D"/>
    <w:rsid w:val="002203C2"/>
    <w:rsid w:val="00222EAA"/>
    <w:rsid w:val="0028721A"/>
    <w:rsid w:val="002C2E79"/>
    <w:rsid w:val="00341A32"/>
    <w:rsid w:val="00344260"/>
    <w:rsid w:val="003479CE"/>
    <w:rsid w:val="00350E8A"/>
    <w:rsid w:val="003566F1"/>
    <w:rsid w:val="00396966"/>
    <w:rsid w:val="003B5B92"/>
    <w:rsid w:val="004302EE"/>
    <w:rsid w:val="00430665"/>
    <w:rsid w:val="00446559"/>
    <w:rsid w:val="004B25EB"/>
    <w:rsid w:val="00511007"/>
    <w:rsid w:val="0055311E"/>
    <w:rsid w:val="005F1692"/>
    <w:rsid w:val="006C03D0"/>
    <w:rsid w:val="006E49D4"/>
    <w:rsid w:val="006F4DB7"/>
    <w:rsid w:val="007051D0"/>
    <w:rsid w:val="0073092E"/>
    <w:rsid w:val="00740C23"/>
    <w:rsid w:val="00753155"/>
    <w:rsid w:val="00762457"/>
    <w:rsid w:val="0079775D"/>
    <w:rsid w:val="007B713C"/>
    <w:rsid w:val="00822614"/>
    <w:rsid w:val="0086498E"/>
    <w:rsid w:val="008A64A8"/>
    <w:rsid w:val="008D11E2"/>
    <w:rsid w:val="008D54D8"/>
    <w:rsid w:val="008E648C"/>
    <w:rsid w:val="008F25AF"/>
    <w:rsid w:val="00922F24"/>
    <w:rsid w:val="00946919"/>
    <w:rsid w:val="009564A4"/>
    <w:rsid w:val="00985A95"/>
    <w:rsid w:val="009A2CCA"/>
    <w:rsid w:val="009B2168"/>
    <w:rsid w:val="009D2098"/>
    <w:rsid w:val="009E6A77"/>
    <w:rsid w:val="00A360B5"/>
    <w:rsid w:val="00A461D0"/>
    <w:rsid w:val="00A51D4B"/>
    <w:rsid w:val="00A74461"/>
    <w:rsid w:val="00A806A3"/>
    <w:rsid w:val="00A974A6"/>
    <w:rsid w:val="00AA6128"/>
    <w:rsid w:val="00AD4031"/>
    <w:rsid w:val="00AF24A3"/>
    <w:rsid w:val="00B27491"/>
    <w:rsid w:val="00B3531B"/>
    <w:rsid w:val="00B57815"/>
    <w:rsid w:val="00BA74DD"/>
    <w:rsid w:val="00BC04D1"/>
    <w:rsid w:val="00BC2F65"/>
    <w:rsid w:val="00C720D9"/>
    <w:rsid w:val="00CD32AF"/>
    <w:rsid w:val="00CE6497"/>
    <w:rsid w:val="00D12F80"/>
    <w:rsid w:val="00D17065"/>
    <w:rsid w:val="00D676B2"/>
    <w:rsid w:val="00D7037D"/>
    <w:rsid w:val="00DA25AA"/>
    <w:rsid w:val="00DD6B5C"/>
    <w:rsid w:val="00E828D2"/>
    <w:rsid w:val="00F447E0"/>
    <w:rsid w:val="00F5573C"/>
    <w:rsid w:val="00FA5913"/>
    <w:rsid w:val="00FF0247"/>
    <w:rsid w:val="00FF6368"/>
    <w:rsid w:val="01003FCC"/>
    <w:rsid w:val="01104A24"/>
    <w:rsid w:val="013730A5"/>
    <w:rsid w:val="014C3BDB"/>
    <w:rsid w:val="016D676E"/>
    <w:rsid w:val="01813E16"/>
    <w:rsid w:val="0190392E"/>
    <w:rsid w:val="01A340D1"/>
    <w:rsid w:val="01D152A8"/>
    <w:rsid w:val="01D16F05"/>
    <w:rsid w:val="01D9471B"/>
    <w:rsid w:val="01E5765B"/>
    <w:rsid w:val="01E8610D"/>
    <w:rsid w:val="0217360F"/>
    <w:rsid w:val="02365E7D"/>
    <w:rsid w:val="02756169"/>
    <w:rsid w:val="027827AD"/>
    <w:rsid w:val="02806C74"/>
    <w:rsid w:val="02932757"/>
    <w:rsid w:val="02B62811"/>
    <w:rsid w:val="02C47A2B"/>
    <w:rsid w:val="02DC227F"/>
    <w:rsid w:val="02E80E6A"/>
    <w:rsid w:val="02E93C7C"/>
    <w:rsid w:val="02F76F90"/>
    <w:rsid w:val="032075CD"/>
    <w:rsid w:val="03244D3B"/>
    <w:rsid w:val="03361F3B"/>
    <w:rsid w:val="03A41F96"/>
    <w:rsid w:val="03BE5C4F"/>
    <w:rsid w:val="03C57F1D"/>
    <w:rsid w:val="03D3354B"/>
    <w:rsid w:val="043C2B7C"/>
    <w:rsid w:val="045D6149"/>
    <w:rsid w:val="04631E56"/>
    <w:rsid w:val="047553ED"/>
    <w:rsid w:val="04832496"/>
    <w:rsid w:val="048838BB"/>
    <w:rsid w:val="04924FE3"/>
    <w:rsid w:val="04A24CDA"/>
    <w:rsid w:val="04AF1326"/>
    <w:rsid w:val="04E771C2"/>
    <w:rsid w:val="04FD0E31"/>
    <w:rsid w:val="050637A5"/>
    <w:rsid w:val="054769B3"/>
    <w:rsid w:val="05480B39"/>
    <w:rsid w:val="05571F68"/>
    <w:rsid w:val="05A0262C"/>
    <w:rsid w:val="05F46366"/>
    <w:rsid w:val="06021BFE"/>
    <w:rsid w:val="061631B2"/>
    <w:rsid w:val="06191E33"/>
    <w:rsid w:val="061C3D5B"/>
    <w:rsid w:val="06352C8D"/>
    <w:rsid w:val="06376F97"/>
    <w:rsid w:val="065A3ABE"/>
    <w:rsid w:val="06836237"/>
    <w:rsid w:val="06A7419D"/>
    <w:rsid w:val="06E35353"/>
    <w:rsid w:val="06F75494"/>
    <w:rsid w:val="07245A59"/>
    <w:rsid w:val="0745028B"/>
    <w:rsid w:val="075A22F1"/>
    <w:rsid w:val="07AD2721"/>
    <w:rsid w:val="07AF6F49"/>
    <w:rsid w:val="07BB664B"/>
    <w:rsid w:val="082006F3"/>
    <w:rsid w:val="083C3003"/>
    <w:rsid w:val="08406DEA"/>
    <w:rsid w:val="086871CD"/>
    <w:rsid w:val="086E336F"/>
    <w:rsid w:val="087B43C8"/>
    <w:rsid w:val="08B531C4"/>
    <w:rsid w:val="08B74801"/>
    <w:rsid w:val="08E06F07"/>
    <w:rsid w:val="0903492F"/>
    <w:rsid w:val="090A71E9"/>
    <w:rsid w:val="0916122C"/>
    <w:rsid w:val="094B34E5"/>
    <w:rsid w:val="0950282C"/>
    <w:rsid w:val="099D12AF"/>
    <w:rsid w:val="09AD5E3C"/>
    <w:rsid w:val="09B12057"/>
    <w:rsid w:val="09C735AB"/>
    <w:rsid w:val="09D21F78"/>
    <w:rsid w:val="09D41DD9"/>
    <w:rsid w:val="09FB0360"/>
    <w:rsid w:val="0A312D88"/>
    <w:rsid w:val="0A443EE4"/>
    <w:rsid w:val="0A722F08"/>
    <w:rsid w:val="0A9C7D1B"/>
    <w:rsid w:val="0ADB0DD6"/>
    <w:rsid w:val="0AF95B2E"/>
    <w:rsid w:val="0AFA3F41"/>
    <w:rsid w:val="0B163B89"/>
    <w:rsid w:val="0B1A6F5A"/>
    <w:rsid w:val="0B311F83"/>
    <w:rsid w:val="0B5934C2"/>
    <w:rsid w:val="0B7023F3"/>
    <w:rsid w:val="0B9665C6"/>
    <w:rsid w:val="0BC2585F"/>
    <w:rsid w:val="0BC4602F"/>
    <w:rsid w:val="0BC50665"/>
    <w:rsid w:val="0BE0389B"/>
    <w:rsid w:val="0C03028C"/>
    <w:rsid w:val="0C3E0AA9"/>
    <w:rsid w:val="0C5636E2"/>
    <w:rsid w:val="0C770701"/>
    <w:rsid w:val="0C816B43"/>
    <w:rsid w:val="0C8353F1"/>
    <w:rsid w:val="0CB060DE"/>
    <w:rsid w:val="0CB43D56"/>
    <w:rsid w:val="0CBA47E6"/>
    <w:rsid w:val="0CBF41E0"/>
    <w:rsid w:val="0D001946"/>
    <w:rsid w:val="0D006A41"/>
    <w:rsid w:val="0D1A6DAB"/>
    <w:rsid w:val="0D236286"/>
    <w:rsid w:val="0D4357F1"/>
    <w:rsid w:val="0D66160F"/>
    <w:rsid w:val="0D98311E"/>
    <w:rsid w:val="0DB92613"/>
    <w:rsid w:val="0DC3449B"/>
    <w:rsid w:val="0DF13383"/>
    <w:rsid w:val="0E1D31AF"/>
    <w:rsid w:val="0E2E5189"/>
    <w:rsid w:val="0E4531F0"/>
    <w:rsid w:val="0E5114F5"/>
    <w:rsid w:val="0E8A703D"/>
    <w:rsid w:val="0EB12B04"/>
    <w:rsid w:val="0EB8284C"/>
    <w:rsid w:val="0EBF4D9D"/>
    <w:rsid w:val="0F2412D9"/>
    <w:rsid w:val="0F2E26DA"/>
    <w:rsid w:val="0F37609A"/>
    <w:rsid w:val="0F5E7FAF"/>
    <w:rsid w:val="0F666CCA"/>
    <w:rsid w:val="0F78123F"/>
    <w:rsid w:val="0F801C32"/>
    <w:rsid w:val="0FC73BE9"/>
    <w:rsid w:val="0FDD010F"/>
    <w:rsid w:val="0FEC00EE"/>
    <w:rsid w:val="0FEE6836"/>
    <w:rsid w:val="101A1FFE"/>
    <w:rsid w:val="10574280"/>
    <w:rsid w:val="1082606E"/>
    <w:rsid w:val="108A2DF9"/>
    <w:rsid w:val="109218D9"/>
    <w:rsid w:val="10A1515D"/>
    <w:rsid w:val="10AB7642"/>
    <w:rsid w:val="10B637C0"/>
    <w:rsid w:val="10EB474A"/>
    <w:rsid w:val="11170ED8"/>
    <w:rsid w:val="11215BE8"/>
    <w:rsid w:val="11347157"/>
    <w:rsid w:val="11467149"/>
    <w:rsid w:val="114E2AEE"/>
    <w:rsid w:val="115B567E"/>
    <w:rsid w:val="11A823B3"/>
    <w:rsid w:val="11BF6701"/>
    <w:rsid w:val="11C436DA"/>
    <w:rsid w:val="11CC3E60"/>
    <w:rsid w:val="120C4DAA"/>
    <w:rsid w:val="121E0907"/>
    <w:rsid w:val="12417917"/>
    <w:rsid w:val="12423A2C"/>
    <w:rsid w:val="125C359D"/>
    <w:rsid w:val="12972A6D"/>
    <w:rsid w:val="12A03046"/>
    <w:rsid w:val="12BB58E4"/>
    <w:rsid w:val="12F16C1F"/>
    <w:rsid w:val="137F578F"/>
    <w:rsid w:val="138A5D40"/>
    <w:rsid w:val="13B33EEB"/>
    <w:rsid w:val="13BC12BF"/>
    <w:rsid w:val="13BF768D"/>
    <w:rsid w:val="13CF3AB0"/>
    <w:rsid w:val="14034BB8"/>
    <w:rsid w:val="14236617"/>
    <w:rsid w:val="14405D22"/>
    <w:rsid w:val="1444201F"/>
    <w:rsid w:val="14990D44"/>
    <w:rsid w:val="14A17893"/>
    <w:rsid w:val="14BE5716"/>
    <w:rsid w:val="14C34F24"/>
    <w:rsid w:val="14EB19FB"/>
    <w:rsid w:val="14F670A8"/>
    <w:rsid w:val="151F00E8"/>
    <w:rsid w:val="153170A0"/>
    <w:rsid w:val="153C1486"/>
    <w:rsid w:val="1574696E"/>
    <w:rsid w:val="15BD2C4B"/>
    <w:rsid w:val="15C15585"/>
    <w:rsid w:val="15C6474A"/>
    <w:rsid w:val="15D762E2"/>
    <w:rsid w:val="15F46539"/>
    <w:rsid w:val="15F815D5"/>
    <w:rsid w:val="16326427"/>
    <w:rsid w:val="16433642"/>
    <w:rsid w:val="16441BC9"/>
    <w:rsid w:val="164A3658"/>
    <w:rsid w:val="164E4553"/>
    <w:rsid w:val="16621C8D"/>
    <w:rsid w:val="1665243A"/>
    <w:rsid w:val="16950C3B"/>
    <w:rsid w:val="169F132B"/>
    <w:rsid w:val="16A13E1C"/>
    <w:rsid w:val="16E77B3D"/>
    <w:rsid w:val="16F23CD8"/>
    <w:rsid w:val="16FA4E2C"/>
    <w:rsid w:val="171C17FB"/>
    <w:rsid w:val="171D46C2"/>
    <w:rsid w:val="171F74F7"/>
    <w:rsid w:val="17593127"/>
    <w:rsid w:val="17607065"/>
    <w:rsid w:val="176539F1"/>
    <w:rsid w:val="17863661"/>
    <w:rsid w:val="179F584D"/>
    <w:rsid w:val="17A941B6"/>
    <w:rsid w:val="180C7126"/>
    <w:rsid w:val="181C7503"/>
    <w:rsid w:val="18236833"/>
    <w:rsid w:val="18333BE2"/>
    <w:rsid w:val="18664E5B"/>
    <w:rsid w:val="18776039"/>
    <w:rsid w:val="188305B7"/>
    <w:rsid w:val="191C7213"/>
    <w:rsid w:val="19522F09"/>
    <w:rsid w:val="19813A83"/>
    <w:rsid w:val="19845EE9"/>
    <w:rsid w:val="199D157A"/>
    <w:rsid w:val="199D5C40"/>
    <w:rsid w:val="19A940E1"/>
    <w:rsid w:val="19BA6784"/>
    <w:rsid w:val="19C91BFF"/>
    <w:rsid w:val="19E80221"/>
    <w:rsid w:val="1A0D279E"/>
    <w:rsid w:val="1A397664"/>
    <w:rsid w:val="1A700B7C"/>
    <w:rsid w:val="1A9C70C5"/>
    <w:rsid w:val="1AB8269D"/>
    <w:rsid w:val="1AC47570"/>
    <w:rsid w:val="1AD35795"/>
    <w:rsid w:val="1AE41258"/>
    <w:rsid w:val="1B070751"/>
    <w:rsid w:val="1B090479"/>
    <w:rsid w:val="1B093739"/>
    <w:rsid w:val="1B093B1D"/>
    <w:rsid w:val="1B305F40"/>
    <w:rsid w:val="1B356C3A"/>
    <w:rsid w:val="1B3A401D"/>
    <w:rsid w:val="1B644C78"/>
    <w:rsid w:val="1B7156B8"/>
    <w:rsid w:val="1B757C39"/>
    <w:rsid w:val="1B770817"/>
    <w:rsid w:val="1B7B7487"/>
    <w:rsid w:val="1B7E7F14"/>
    <w:rsid w:val="1BB105B3"/>
    <w:rsid w:val="1BC04FD1"/>
    <w:rsid w:val="1BD27D58"/>
    <w:rsid w:val="1BE54582"/>
    <w:rsid w:val="1BF84AF8"/>
    <w:rsid w:val="1BFB09A3"/>
    <w:rsid w:val="1C164185"/>
    <w:rsid w:val="1C194E8D"/>
    <w:rsid w:val="1C262354"/>
    <w:rsid w:val="1C32066D"/>
    <w:rsid w:val="1C4D58A1"/>
    <w:rsid w:val="1C672639"/>
    <w:rsid w:val="1C735482"/>
    <w:rsid w:val="1C75643E"/>
    <w:rsid w:val="1C93342E"/>
    <w:rsid w:val="1C986933"/>
    <w:rsid w:val="1CBD2679"/>
    <w:rsid w:val="1CC31008"/>
    <w:rsid w:val="1CCC3CBC"/>
    <w:rsid w:val="1CD566D8"/>
    <w:rsid w:val="1CD974FA"/>
    <w:rsid w:val="1CDF3B2A"/>
    <w:rsid w:val="1CE4752C"/>
    <w:rsid w:val="1CE83302"/>
    <w:rsid w:val="1D167EEA"/>
    <w:rsid w:val="1D2F2D17"/>
    <w:rsid w:val="1D495FAC"/>
    <w:rsid w:val="1D4C4A30"/>
    <w:rsid w:val="1D503E27"/>
    <w:rsid w:val="1D8D58DE"/>
    <w:rsid w:val="1DB2375B"/>
    <w:rsid w:val="1DC05A19"/>
    <w:rsid w:val="1DC32A59"/>
    <w:rsid w:val="1DF47EFC"/>
    <w:rsid w:val="1DF71A39"/>
    <w:rsid w:val="1DFB4A45"/>
    <w:rsid w:val="1DFC6FA3"/>
    <w:rsid w:val="1E005F9D"/>
    <w:rsid w:val="1E096100"/>
    <w:rsid w:val="1E1D673B"/>
    <w:rsid w:val="1E231AEA"/>
    <w:rsid w:val="1E5C7AA3"/>
    <w:rsid w:val="1E6426A0"/>
    <w:rsid w:val="1E8500B7"/>
    <w:rsid w:val="1E8D2FC4"/>
    <w:rsid w:val="1ECA5910"/>
    <w:rsid w:val="1F5E1AA4"/>
    <w:rsid w:val="1F655403"/>
    <w:rsid w:val="1F807C45"/>
    <w:rsid w:val="1F86142A"/>
    <w:rsid w:val="1F8D47B9"/>
    <w:rsid w:val="1F8E2E26"/>
    <w:rsid w:val="1F9E53C0"/>
    <w:rsid w:val="1FAB4F33"/>
    <w:rsid w:val="1FE67D3D"/>
    <w:rsid w:val="1FE80522"/>
    <w:rsid w:val="1FE9475C"/>
    <w:rsid w:val="1FFC7D8E"/>
    <w:rsid w:val="20254C0F"/>
    <w:rsid w:val="204E5A2F"/>
    <w:rsid w:val="2051327A"/>
    <w:rsid w:val="20664963"/>
    <w:rsid w:val="20851A6A"/>
    <w:rsid w:val="20A9754C"/>
    <w:rsid w:val="20BA111E"/>
    <w:rsid w:val="20C454B5"/>
    <w:rsid w:val="20FE67E9"/>
    <w:rsid w:val="211713ED"/>
    <w:rsid w:val="21241618"/>
    <w:rsid w:val="21460B4D"/>
    <w:rsid w:val="219B7DE7"/>
    <w:rsid w:val="21BA18CA"/>
    <w:rsid w:val="21C4457A"/>
    <w:rsid w:val="21EC3353"/>
    <w:rsid w:val="21F05D61"/>
    <w:rsid w:val="21F3425F"/>
    <w:rsid w:val="22001A09"/>
    <w:rsid w:val="221E50FA"/>
    <w:rsid w:val="222D1D02"/>
    <w:rsid w:val="227B4DAD"/>
    <w:rsid w:val="22B4097F"/>
    <w:rsid w:val="22B64134"/>
    <w:rsid w:val="22D15291"/>
    <w:rsid w:val="22F22FF9"/>
    <w:rsid w:val="230F42A2"/>
    <w:rsid w:val="23141D1B"/>
    <w:rsid w:val="231470B2"/>
    <w:rsid w:val="23260413"/>
    <w:rsid w:val="235A7DCE"/>
    <w:rsid w:val="236B31BC"/>
    <w:rsid w:val="236D4D88"/>
    <w:rsid w:val="237B3D5E"/>
    <w:rsid w:val="237D3953"/>
    <w:rsid w:val="23856F77"/>
    <w:rsid w:val="239177CA"/>
    <w:rsid w:val="23CB3857"/>
    <w:rsid w:val="23F35D0C"/>
    <w:rsid w:val="23FA7E69"/>
    <w:rsid w:val="244627A5"/>
    <w:rsid w:val="245323A6"/>
    <w:rsid w:val="2460107D"/>
    <w:rsid w:val="24756BA6"/>
    <w:rsid w:val="2481156F"/>
    <w:rsid w:val="24B060A4"/>
    <w:rsid w:val="24B43F14"/>
    <w:rsid w:val="24E20219"/>
    <w:rsid w:val="24E309A7"/>
    <w:rsid w:val="24E449CE"/>
    <w:rsid w:val="25116E92"/>
    <w:rsid w:val="2532575D"/>
    <w:rsid w:val="25555D52"/>
    <w:rsid w:val="255D2553"/>
    <w:rsid w:val="25927C62"/>
    <w:rsid w:val="259A0584"/>
    <w:rsid w:val="25A247E7"/>
    <w:rsid w:val="25A87042"/>
    <w:rsid w:val="25B03EE3"/>
    <w:rsid w:val="25B111B0"/>
    <w:rsid w:val="25B92E0A"/>
    <w:rsid w:val="25BA7C53"/>
    <w:rsid w:val="25BE204F"/>
    <w:rsid w:val="26153106"/>
    <w:rsid w:val="261673CB"/>
    <w:rsid w:val="262D2DD3"/>
    <w:rsid w:val="26322B7B"/>
    <w:rsid w:val="26361BCE"/>
    <w:rsid w:val="264A53DE"/>
    <w:rsid w:val="26501172"/>
    <w:rsid w:val="265509DB"/>
    <w:rsid w:val="26616E22"/>
    <w:rsid w:val="266B1340"/>
    <w:rsid w:val="267257B3"/>
    <w:rsid w:val="267A636E"/>
    <w:rsid w:val="268D7140"/>
    <w:rsid w:val="269711B9"/>
    <w:rsid w:val="26B07978"/>
    <w:rsid w:val="26B26A7B"/>
    <w:rsid w:val="26BD6D0E"/>
    <w:rsid w:val="26D121AE"/>
    <w:rsid w:val="26E873DA"/>
    <w:rsid w:val="270933F2"/>
    <w:rsid w:val="27187560"/>
    <w:rsid w:val="272A0C68"/>
    <w:rsid w:val="27433C4E"/>
    <w:rsid w:val="27665E21"/>
    <w:rsid w:val="27736981"/>
    <w:rsid w:val="277C2603"/>
    <w:rsid w:val="278230B3"/>
    <w:rsid w:val="279961FC"/>
    <w:rsid w:val="27AE44D5"/>
    <w:rsid w:val="27D80610"/>
    <w:rsid w:val="280944AF"/>
    <w:rsid w:val="282646EC"/>
    <w:rsid w:val="282C6E8B"/>
    <w:rsid w:val="28662581"/>
    <w:rsid w:val="28687751"/>
    <w:rsid w:val="286B4291"/>
    <w:rsid w:val="289A528E"/>
    <w:rsid w:val="289F315B"/>
    <w:rsid w:val="28A8460E"/>
    <w:rsid w:val="28C24CA3"/>
    <w:rsid w:val="28F63507"/>
    <w:rsid w:val="28FC1E02"/>
    <w:rsid w:val="290E23D9"/>
    <w:rsid w:val="29157609"/>
    <w:rsid w:val="291D6FAC"/>
    <w:rsid w:val="29267D5D"/>
    <w:rsid w:val="292C56FA"/>
    <w:rsid w:val="29311834"/>
    <w:rsid w:val="29347D47"/>
    <w:rsid w:val="29611F8B"/>
    <w:rsid w:val="296C7C2C"/>
    <w:rsid w:val="299F4685"/>
    <w:rsid w:val="29AD67F7"/>
    <w:rsid w:val="29DC62F2"/>
    <w:rsid w:val="29E057D9"/>
    <w:rsid w:val="29E5641B"/>
    <w:rsid w:val="2A021B3E"/>
    <w:rsid w:val="2A290BDC"/>
    <w:rsid w:val="2A351F7B"/>
    <w:rsid w:val="2A3E35AD"/>
    <w:rsid w:val="2A4D76CB"/>
    <w:rsid w:val="2A652BD4"/>
    <w:rsid w:val="2A6C420C"/>
    <w:rsid w:val="2A7201A4"/>
    <w:rsid w:val="2AB26607"/>
    <w:rsid w:val="2ACE4FC6"/>
    <w:rsid w:val="2AD94755"/>
    <w:rsid w:val="2AF77367"/>
    <w:rsid w:val="2AFA0B1C"/>
    <w:rsid w:val="2B0A326E"/>
    <w:rsid w:val="2B411857"/>
    <w:rsid w:val="2B54148E"/>
    <w:rsid w:val="2B5E61B8"/>
    <w:rsid w:val="2B7118BF"/>
    <w:rsid w:val="2B724E22"/>
    <w:rsid w:val="2B8818D0"/>
    <w:rsid w:val="2B8A1EA0"/>
    <w:rsid w:val="2BC96E4E"/>
    <w:rsid w:val="2BE13188"/>
    <w:rsid w:val="2BE713FE"/>
    <w:rsid w:val="2BE83454"/>
    <w:rsid w:val="2C053476"/>
    <w:rsid w:val="2C113654"/>
    <w:rsid w:val="2C1B212D"/>
    <w:rsid w:val="2C3E2C44"/>
    <w:rsid w:val="2C44674C"/>
    <w:rsid w:val="2C920372"/>
    <w:rsid w:val="2CDD2828"/>
    <w:rsid w:val="2D28535E"/>
    <w:rsid w:val="2D735A67"/>
    <w:rsid w:val="2DAE2A8A"/>
    <w:rsid w:val="2DBA131A"/>
    <w:rsid w:val="2DBA5AC8"/>
    <w:rsid w:val="2DCB735A"/>
    <w:rsid w:val="2DD462C2"/>
    <w:rsid w:val="2DDD2134"/>
    <w:rsid w:val="2DDD4E5F"/>
    <w:rsid w:val="2DE60BE9"/>
    <w:rsid w:val="2E2668E4"/>
    <w:rsid w:val="2E3B5ECD"/>
    <w:rsid w:val="2E451A7C"/>
    <w:rsid w:val="2E993ECD"/>
    <w:rsid w:val="2ED36202"/>
    <w:rsid w:val="2EE13B2F"/>
    <w:rsid w:val="2EE15691"/>
    <w:rsid w:val="2F1F4FB0"/>
    <w:rsid w:val="2F4802E2"/>
    <w:rsid w:val="2F486E5D"/>
    <w:rsid w:val="2F4A5657"/>
    <w:rsid w:val="2F9C2E37"/>
    <w:rsid w:val="2FB000FC"/>
    <w:rsid w:val="2FC93316"/>
    <w:rsid w:val="2FCC5583"/>
    <w:rsid w:val="2FD61001"/>
    <w:rsid w:val="300852DE"/>
    <w:rsid w:val="30464020"/>
    <w:rsid w:val="306B512F"/>
    <w:rsid w:val="306D5C41"/>
    <w:rsid w:val="30A83EC2"/>
    <w:rsid w:val="30B80D4C"/>
    <w:rsid w:val="30BD2B5F"/>
    <w:rsid w:val="30F84E6F"/>
    <w:rsid w:val="31127E0D"/>
    <w:rsid w:val="3129025F"/>
    <w:rsid w:val="31320998"/>
    <w:rsid w:val="31453C7B"/>
    <w:rsid w:val="314D312F"/>
    <w:rsid w:val="31615C49"/>
    <w:rsid w:val="316D7D22"/>
    <w:rsid w:val="31843543"/>
    <w:rsid w:val="31857990"/>
    <w:rsid w:val="318B126D"/>
    <w:rsid w:val="31A1157A"/>
    <w:rsid w:val="31C25309"/>
    <w:rsid w:val="31D67B45"/>
    <w:rsid w:val="31E35430"/>
    <w:rsid w:val="3210510A"/>
    <w:rsid w:val="322055D3"/>
    <w:rsid w:val="322C2A8A"/>
    <w:rsid w:val="322E1180"/>
    <w:rsid w:val="324D07E6"/>
    <w:rsid w:val="32757B61"/>
    <w:rsid w:val="32822213"/>
    <w:rsid w:val="328F2B5E"/>
    <w:rsid w:val="32981347"/>
    <w:rsid w:val="329F7A2B"/>
    <w:rsid w:val="32D9561A"/>
    <w:rsid w:val="3311647A"/>
    <w:rsid w:val="33134964"/>
    <w:rsid w:val="3329346A"/>
    <w:rsid w:val="333659DA"/>
    <w:rsid w:val="33485D77"/>
    <w:rsid w:val="335553C6"/>
    <w:rsid w:val="3357102E"/>
    <w:rsid w:val="33572FB0"/>
    <w:rsid w:val="33633EB8"/>
    <w:rsid w:val="336D250C"/>
    <w:rsid w:val="33B30672"/>
    <w:rsid w:val="33D579CF"/>
    <w:rsid w:val="33E836FB"/>
    <w:rsid w:val="33F205F7"/>
    <w:rsid w:val="33FF2179"/>
    <w:rsid w:val="3410451E"/>
    <w:rsid w:val="345E13BA"/>
    <w:rsid w:val="345E3292"/>
    <w:rsid w:val="34664A0B"/>
    <w:rsid w:val="346E2D0F"/>
    <w:rsid w:val="34AE1E6A"/>
    <w:rsid w:val="350E3B42"/>
    <w:rsid w:val="35125628"/>
    <w:rsid w:val="352100FF"/>
    <w:rsid w:val="352167CF"/>
    <w:rsid w:val="35523A2F"/>
    <w:rsid w:val="3566212E"/>
    <w:rsid w:val="356B276A"/>
    <w:rsid w:val="358E654C"/>
    <w:rsid w:val="35965B9C"/>
    <w:rsid w:val="359F0A1F"/>
    <w:rsid w:val="35C43240"/>
    <w:rsid w:val="35D42CBE"/>
    <w:rsid w:val="361B3EDC"/>
    <w:rsid w:val="361F6493"/>
    <w:rsid w:val="365C025C"/>
    <w:rsid w:val="36626692"/>
    <w:rsid w:val="367242E0"/>
    <w:rsid w:val="36897340"/>
    <w:rsid w:val="36D05609"/>
    <w:rsid w:val="36E200B3"/>
    <w:rsid w:val="36E35E9F"/>
    <w:rsid w:val="36EC24B8"/>
    <w:rsid w:val="36FF2B34"/>
    <w:rsid w:val="3712448B"/>
    <w:rsid w:val="37A34A15"/>
    <w:rsid w:val="37A52ECC"/>
    <w:rsid w:val="37C64260"/>
    <w:rsid w:val="38282D9D"/>
    <w:rsid w:val="38473444"/>
    <w:rsid w:val="38496EE5"/>
    <w:rsid w:val="385308AB"/>
    <w:rsid w:val="38854458"/>
    <w:rsid w:val="389A51EB"/>
    <w:rsid w:val="38A22B6B"/>
    <w:rsid w:val="38D563EE"/>
    <w:rsid w:val="38EA10A6"/>
    <w:rsid w:val="390441CE"/>
    <w:rsid w:val="390B5D7B"/>
    <w:rsid w:val="39166111"/>
    <w:rsid w:val="39255B75"/>
    <w:rsid w:val="393F5C66"/>
    <w:rsid w:val="395370EE"/>
    <w:rsid w:val="39545D8E"/>
    <w:rsid w:val="3985179C"/>
    <w:rsid w:val="39BF1CE5"/>
    <w:rsid w:val="3A0B1954"/>
    <w:rsid w:val="3A151FA0"/>
    <w:rsid w:val="3A2B232A"/>
    <w:rsid w:val="3A793A8F"/>
    <w:rsid w:val="3ABF2507"/>
    <w:rsid w:val="3AC32E01"/>
    <w:rsid w:val="3AC9498B"/>
    <w:rsid w:val="3AEE7DE7"/>
    <w:rsid w:val="3B256DAF"/>
    <w:rsid w:val="3B33681B"/>
    <w:rsid w:val="3B533D48"/>
    <w:rsid w:val="3B5A1A2F"/>
    <w:rsid w:val="3B5B5758"/>
    <w:rsid w:val="3B8D3791"/>
    <w:rsid w:val="3BA27B10"/>
    <w:rsid w:val="3BA92E72"/>
    <w:rsid w:val="3BAA04FF"/>
    <w:rsid w:val="3BAD1686"/>
    <w:rsid w:val="3BAF6081"/>
    <w:rsid w:val="3BBD016F"/>
    <w:rsid w:val="3BE0479C"/>
    <w:rsid w:val="3BE96925"/>
    <w:rsid w:val="3BEE3761"/>
    <w:rsid w:val="3C0E5061"/>
    <w:rsid w:val="3C1F49BF"/>
    <w:rsid w:val="3C9A335A"/>
    <w:rsid w:val="3CBB635D"/>
    <w:rsid w:val="3CC05722"/>
    <w:rsid w:val="3CDC396E"/>
    <w:rsid w:val="3CF248ED"/>
    <w:rsid w:val="3D0D4A0D"/>
    <w:rsid w:val="3D312940"/>
    <w:rsid w:val="3D681D5A"/>
    <w:rsid w:val="3D6A1C0B"/>
    <w:rsid w:val="3D8D6ED1"/>
    <w:rsid w:val="3D8F3E21"/>
    <w:rsid w:val="3DC31ADA"/>
    <w:rsid w:val="3DFD7731"/>
    <w:rsid w:val="3E0C733A"/>
    <w:rsid w:val="3E874902"/>
    <w:rsid w:val="3E921361"/>
    <w:rsid w:val="3EB06A0E"/>
    <w:rsid w:val="3EB31640"/>
    <w:rsid w:val="3EB54AE2"/>
    <w:rsid w:val="3EB92D62"/>
    <w:rsid w:val="3EF16D0C"/>
    <w:rsid w:val="3F15023A"/>
    <w:rsid w:val="3F2476CE"/>
    <w:rsid w:val="3F273217"/>
    <w:rsid w:val="3F2A77CA"/>
    <w:rsid w:val="3F5C67E0"/>
    <w:rsid w:val="3F6046C3"/>
    <w:rsid w:val="3F816C8A"/>
    <w:rsid w:val="3FA93691"/>
    <w:rsid w:val="3FC568AC"/>
    <w:rsid w:val="3FD0385B"/>
    <w:rsid w:val="3FE6347C"/>
    <w:rsid w:val="402F6781"/>
    <w:rsid w:val="40394958"/>
    <w:rsid w:val="403A1C8F"/>
    <w:rsid w:val="404D5299"/>
    <w:rsid w:val="404E76D3"/>
    <w:rsid w:val="405B74E2"/>
    <w:rsid w:val="408560B2"/>
    <w:rsid w:val="408F3C3B"/>
    <w:rsid w:val="40AD0BEA"/>
    <w:rsid w:val="40B45FA1"/>
    <w:rsid w:val="40C50789"/>
    <w:rsid w:val="40E2404A"/>
    <w:rsid w:val="40FA0619"/>
    <w:rsid w:val="41141D46"/>
    <w:rsid w:val="41262582"/>
    <w:rsid w:val="41277321"/>
    <w:rsid w:val="415C5513"/>
    <w:rsid w:val="41661CEC"/>
    <w:rsid w:val="417304D2"/>
    <w:rsid w:val="41B67760"/>
    <w:rsid w:val="4200486D"/>
    <w:rsid w:val="42084854"/>
    <w:rsid w:val="420A4AA8"/>
    <w:rsid w:val="423C231C"/>
    <w:rsid w:val="424E5D3B"/>
    <w:rsid w:val="42894103"/>
    <w:rsid w:val="42962332"/>
    <w:rsid w:val="42DA35EB"/>
    <w:rsid w:val="42DC1373"/>
    <w:rsid w:val="42EB5F3F"/>
    <w:rsid w:val="43151FA6"/>
    <w:rsid w:val="433B4FAD"/>
    <w:rsid w:val="43494E83"/>
    <w:rsid w:val="434A1ED7"/>
    <w:rsid w:val="434B5F61"/>
    <w:rsid w:val="439452CD"/>
    <w:rsid w:val="43987C3E"/>
    <w:rsid w:val="43DF168F"/>
    <w:rsid w:val="43F70347"/>
    <w:rsid w:val="440D2A75"/>
    <w:rsid w:val="44151500"/>
    <w:rsid w:val="44225771"/>
    <w:rsid w:val="442E2C0A"/>
    <w:rsid w:val="443415E8"/>
    <w:rsid w:val="44471AAC"/>
    <w:rsid w:val="4491321B"/>
    <w:rsid w:val="449A2A3E"/>
    <w:rsid w:val="44C0114A"/>
    <w:rsid w:val="44CA2639"/>
    <w:rsid w:val="44D50E68"/>
    <w:rsid w:val="44E25F72"/>
    <w:rsid w:val="44E32866"/>
    <w:rsid w:val="44EB189F"/>
    <w:rsid w:val="44FD7B3F"/>
    <w:rsid w:val="451136F6"/>
    <w:rsid w:val="45127E77"/>
    <w:rsid w:val="451417BD"/>
    <w:rsid w:val="45355F69"/>
    <w:rsid w:val="45387544"/>
    <w:rsid w:val="453975C8"/>
    <w:rsid w:val="453B0148"/>
    <w:rsid w:val="453B36EE"/>
    <w:rsid w:val="45681A93"/>
    <w:rsid w:val="45730F25"/>
    <w:rsid w:val="459020E6"/>
    <w:rsid w:val="45EB5B41"/>
    <w:rsid w:val="45FC5122"/>
    <w:rsid w:val="4608625E"/>
    <w:rsid w:val="460E37F4"/>
    <w:rsid w:val="462E28FA"/>
    <w:rsid w:val="463D21F4"/>
    <w:rsid w:val="46726F6F"/>
    <w:rsid w:val="46E17C2E"/>
    <w:rsid w:val="46E66176"/>
    <w:rsid w:val="46F618BC"/>
    <w:rsid w:val="47172FCE"/>
    <w:rsid w:val="472D20DA"/>
    <w:rsid w:val="47322751"/>
    <w:rsid w:val="473E0204"/>
    <w:rsid w:val="473E1081"/>
    <w:rsid w:val="475075B1"/>
    <w:rsid w:val="477301BF"/>
    <w:rsid w:val="47770F2B"/>
    <w:rsid w:val="47D9109A"/>
    <w:rsid w:val="47DF1EDE"/>
    <w:rsid w:val="47E32A44"/>
    <w:rsid w:val="48001EB1"/>
    <w:rsid w:val="485F067A"/>
    <w:rsid w:val="48A46FB5"/>
    <w:rsid w:val="48C63978"/>
    <w:rsid w:val="48D931CF"/>
    <w:rsid w:val="48DB1A95"/>
    <w:rsid w:val="49095468"/>
    <w:rsid w:val="491B44C5"/>
    <w:rsid w:val="492B4F94"/>
    <w:rsid w:val="492E6967"/>
    <w:rsid w:val="49A25D9E"/>
    <w:rsid w:val="49A96B07"/>
    <w:rsid w:val="49C51CAF"/>
    <w:rsid w:val="49F53957"/>
    <w:rsid w:val="4A2057D5"/>
    <w:rsid w:val="4A2A06C4"/>
    <w:rsid w:val="4A6819DC"/>
    <w:rsid w:val="4A8A479E"/>
    <w:rsid w:val="4A8F0E29"/>
    <w:rsid w:val="4A902D26"/>
    <w:rsid w:val="4AC17322"/>
    <w:rsid w:val="4AEB7F8C"/>
    <w:rsid w:val="4B1506E1"/>
    <w:rsid w:val="4B182BCD"/>
    <w:rsid w:val="4B2E3F72"/>
    <w:rsid w:val="4B341A2A"/>
    <w:rsid w:val="4B375FBE"/>
    <w:rsid w:val="4B3B7B1E"/>
    <w:rsid w:val="4B414BEA"/>
    <w:rsid w:val="4B587F93"/>
    <w:rsid w:val="4B7103C2"/>
    <w:rsid w:val="4B812B8E"/>
    <w:rsid w:val="4B85737C"/>
    <w:rsid w:val="4B9F74CF"/>
    <w:rsid w:val="4C073223"/>
    <w:rsid w:val="4C1A464A"/>
    <w:rsid w:val="4C274913"/>
    <w:rsid w:val="4C602A7D"/>
    <w:rsid w:val="4CA14D01"/>
    <w:rsid w:val="4CAC3D23"/>
    <w:rsid w:val="4CBB0999"/>
    <w:rsid w:val="4CC74C57"/>
    <w:rsid w:val="4CCF792C"/>
    <w:rsid w:val="4CED7708"/>
    <w:rsid w:val="4CFB7F38"/>
    <w:rsid w:val="4CFE7AD0"/>
    <w:rsid w:val="4D033455"/>
    <w:rsid w:val="4D0463A4"/>
    <w:rsid w:val="4D10719D"/>
    <w:rsid w:val="4D2211D8"/>
    <w:rsid w:val="4D583F97"/>
    <w:rsid w:val="4DC002E1"/>
    <w:rsid w:val="4DC07059"/>
    <w:rsid w:val="4DD44A19"/>
    <w:rsid w:val="4DE75FC1"/>
    <w:rsid w:val="4E6E58E7"/>
    <w:rsid w:val="4EA551CE"/>
    <w:rsid w:val="4EA57992"/>
    <w:rsid w:val="4EC86811"/>
    <w:rsid w:val="4F112BD8"/>
    <w:rsid w:val="4F2359D6"/>
    <w:rsid w:val="4F27534F"/>
    <w:rsid w:val="4F3A6B04"/>
    <w:rsid w:val="4F6621C1"/>
    <w:rsid w:val="4F69181E"/>
    <w:rsid w:val="4F904F03"/>
    <w:rsid w:val="4F9A2167"/>
    <w:rsid w:val="4F9A2956"/>
    <w:rsid w:val="4FD0029E"/>
    <w:rsid w:val="50596932"/>
    <w:rsid w:val="50833C49"/>
    <w:rsid w:val="50880633"/>
    <w:rsid w:val="508F5958"/>
    <w:rsid w:val="50A32944"/>
    <w:rsid w:val="50DD469C"/>
    <w:rsid w:val="50E41AF7"/>
    <w:rsid w:val="50EC3EA9"/>
    <w:rsid w:val="50ED0E10"/>
    <w:rsid w:val="513B0119"/>
    <w:rsid w:val="513C7D41"/>
    <w:rsid w:val="515A0C65"/>
    <w:rsid w:val="515E27BB"/>
    <w:rsid w:val="51A45F6D"/>
    <w:rsid w:val="51B907B6"/>
    <w:rsid w:val="51DF0CDF"/>
    <w:rsid w:val="51E30B98"/>
    <w:rsid w:val="51E97071"/>
    <w:rsid w:val="51FD61FC"/>
    <w:rsid w:val="52203D61"/>
    <w:rsid w:val="52386D39"/>
    <w:rsid w:val="523C3645"/>
    <w:rsid w:val="5242431B"/>
    <w:rsid w:val="524877D4"/>
    <w:rsid w:val="524F0DF4"/>
    <w:rsid w:val="52A00B52"/>
    <w:rsid w:val="52A651A9"/>
    <w:rsid w:val="52CB4CC5"/>
    <w:rsid w:val="52D0584F"/>
    <w:rsid w:val="52E23DAC"/>
    <w:rsid w:val="52EB770C"/>
    <w:rsid w:val="52F6441F"/>
    <w:rsid w:val="52F653E4"/>
    <w:rsid w:val="5309719A"/>
    <w:rsid w:val="53140C09"/>
    <w:rsid w:val="531E1115"/>
    <w:rsid w:val="53273171"/>
    <w:rsid w:val="53311A2E"/>
    <w:rsid w:val="5366484D"/>
    <w:rsid w:val="53731EF1"/>
    <w:rsid w:val="53733493"/>
    <w:rsid w:val="53912B90"/>
    <w:rsid w:val="53AC07DC"/>
    <w:rsid w:val="53C41B44"/>
    <w:rsid w:val="53F969C4"/>
    <w:rsid w:val="5404740A"/>
    <w:rsid w:val="54050B1A"/>
    <w:rsid w:val="542362A5"/>
    <w:rsid w:val="54280325"/>
    <w:rsid w:val="546D41B1"/>
    <w:rsid w:val="547701CD"/>
    <w:rsid w:val="549501D8"/>
    <w:rsid w:val="54A65B3A"/>
    <w:rsid w:val="54C35989"/>
    <w:rsid w:val="54CD01EC"/>
    <w:rsid w:val="54F558F9"/>
    <w:rsid w:val="54FA6EB3"/>
    <w:rsid w:val="550348EE"/>
    <w:rsid w:val="550E3200"/>
    <w:rsid w:val="55135050"/>
    <w:rsid w:val="551E35E3"/>
    <w:rsid w:val="5520072C"/>
    <w:rsid w:val="55373ACE"/>
    <w:rsid w:val="556A2277"/>
    <w:rsid w:val="556F068E"/>
    <w:rsid w:val="558D4430"/>
    <w:rsid w:val="559427CA"/>
    <w:rsid w:val="55C8191C"/>
    <w:rsid w:val="55C8432B"/>
    <w:rsid w:val="55D33DE7"/>
    <w:rsid w:val="560047B0"/>
    <w:rsid w:val="56223544"/>
    <w:rsid w:val="562B0309"/>
    <w:rsid w:val="56320F1A"/>
    <w:rsid w:val="564D41A9"/>
    <w:rsid w:val="565E4274"/>
    <w:rsid w:val="5666031A"/>
    <w:rsid w:val="566A27F8"/>
    <w:rsid w:val="56803FF0"/>
    <w:rsid w:val="568F750C"/>
    <w:rsid w:val="569014CB"/>
    <w:rsid w:val="56925ED7"/>
    <w:rsid w:val="56B55995"/>
    <w:rsid w:val="56C91168"/>
    <w:rsid w:val="56E15BAE"/>
    <w:rsid w:val="56FA0DF2"/>
    <w:rsid w:val="56FF0F11"/>
    <w:rsid w:val="5714339A"/>
    <w:rsid w:val="5717042A"/>
    <w:rsid w:val="571A1A7B"/>
    <w:rsid w:val="572E4DA3"/>
    <w:rsid w:val="572E781C"/>
    <w:rsid w:val="575952E3"/>
    <w:rsid w:val="57842375"/>
    <w:rsid w:val="57866CAC"/>
    <w:rsid w:val="579B36BD"/>
    <w:rsid w:val="57B2220D"/>
    <w:rsid w:val="57C76DE6"/>
    <w:rsid w:val="57D165DD"/>
    <w:rsid w:val="57D80574"/>
    <w:rsid w:val="580A0E63"/>
    <w:rsid w:val="580E3A4B"/>
    <w:rsid w:val="5814779C"/>
    <w:rsid w:val="584357AA"/>
    <w:rsid w:val="58764BA4"/>
    <w:rsid w:val="588221AB"/>
    <w:rsid w:val="58870496"/>
    <w:rsid w:val="588A1876"/>
    <w:rsid w:val="588D71B2"/>
    <w:rsid w:val="58AC68EF"/>
    <w:rsid w:val="58BE53CF"/>
    <w:rsid w:val="58C007C6"/>
    <w:rsid w:val="58C41915"/>
    <w:rsid w:val="58E407EA"/>
    <w:rsid w:val="590649AC"/>
    <w:rsid w:val="591B616B"/>
    <w:rsid w:val="592D1F6B"/>
    <w:rsid w:val="59304CE8"/>
    <w:rsid w:val="59364F97"/>
    <w:rsid w:val="59370159"/>
    <w:rsid w:val="59532C2C"/>
    <w:rsid w:val="5981656F"/>
    <w:rsid w:val="59A06B52"/>
    <w:rsid w:val="59A26243"/>
    <w:rsid w:val="59C76055"/>
    <w:rsid w:val="59E75FD1"/>
    <w:rsid w:val="5A065F4B"/>
    <w:rsid w:val="5A0B1C28"/>
    <w:rsid w:val="5A2255E6"/>
    <w:rsid w:val="5A851E01"/>
    <w:rsid w:val="5A8F2EB6"/>
    <w:rsid w:val="5AA15ABA"/>
    <w:rsid w:val="5AB06C76"/>
    <w:rsid w:val="5AF63E2E"/>
    <w:rsid w:val="5B1128EC"/>
    <w:rsid w:val="5B29025F"/>
    <w:rsid w:val="5B3143F9"/>
    <w:rsid w:val="5B355990"/>
    <w:rsid w:val="5B503CBD"/>
    <w:rsid w:val="5BB95190"/>
    <w:rsid w:val="5BE17D55"/>
    <w:rsid w:val="5BEC3155"/>
    <w:rsid w:val="5BF21181"/>
    <w:rsid w:val="5BFA46DF"/>
    <w:rsid w:val="5BFD0432"/>
    <w:rsid w:val="5C1974E5"/>
    <w:rsid w:val="5C1C7E80"/>
    <w:rsid w:val="5C4828EE"/>
    <w:rsid w:val="5C855BE8"/>
    <w:rsid w:val="5C856CEB"/>
    <w:rsid w:val="5CA72002"/>
    <w:rsid w:val="5CBD3C20"/>
    <w:rsid w:val="5CDB3A5A"/>
    <w:rsid w:val="5CE075FF"/>
    <w:rsid w:val="5CE9518C"/>
    <w:rsid w:val="5D2166D8"/>
    <w:rsid w:val="5D272680"/>
    <w:rsid w:val="5D45468E"/>
    <w:rsid w:val="5D6B04DF"/>
    <w:rsid w:val="5D707B84"/>
    <w:rsid w:val="5D8B722E"/>
    <w:rsid w:val="5D9B1497"/>
    <w:rsid w:val="5DDC51F6"/>
    <w:rsid w:val="5DE3422A"/>
    <w:rsid w:val="5E05130E"/>
    <w:rsid w:val="5E135B29"/>
    <w:rsid w:val="5E466F37"/>
    <w:rsid w:val="5E6A0CC2"/>
    <w:rsid w:val="5E811469"/>
    <w:rsid w:val="5E845B3F"/>
    <w:rsid w:val="5E8D1899"/>
    <w:rsid w:val="5ED063E1"/>
    <w:rsid w:val="5EF4213A"/>
    <w:rsid w:val="5EF778DD"/>
    <w:rsid w:val="5F012051"/>
    <w:rsid w:val="5F150F5D"/>
    <w:rsid w:val="5F151A68"/>
    <w:rsid w:val="5F1E594E"/>
    <w:rsid w:val="5F2306D2"/>
    <w:rsid w:val="5F364291"/>
    <w:rsid w:val="5F720D05"/>
    <w:rsid w:val="5FB038A7"/>
    <w:rsid w:val="5FBB2542"/>
    <w:rsid w:val="5FFB489D"/>
    <w:rsid w:val="60055465"/>
    <w:rsid w:val="6014637F"/>
    <w:rsid w:val="601D6507"/>
    <w:rsid w:val="60304923"/>
    <w:rsid w:val="60340051"/>
    <w:rsid w:val="60350C06"/>
    <w:rsid w:val="603B74D8"/>
    <w:rsid w:val="60687CAA"/>
    <w:rsid w:val="6074197E"/>
    <w:rsid w:val="60A7279D"/>
    <w:rsid w:val="60C625CB"/>
    <w:rsid w:val="60C71D15"/>
    <w:rsid w:val="61036CD9"/>
    <w:rsid w:val="61097F16"/>
    <w:rsid w:val="612451AE"/>
    <w:rsid w:val="613E3C59"/>
    <w:rsid w:val="61450A94"/>
    <w:rsid w:val="61717233"/>
    <w:rsid w:val="61734481"/>
    <w:rsid w:val="61842912"/>
    <w:rsid w:val="619513BF"/>
    <w:rsid w:val="61A55E2E"/>
    <w:rsid w:val="61B90EE2"/>
    <w:rsid w:val="61C34C9F"/>
    <w:rsid w:val="61CF1FDD"/>
    <w:rsid w:val="61FA205F"/>
    <w:rsid w:val="620D15FF"/>
    <w:rsid w:val="620F0095"/>
    <w:rsid w:val="624F2F20"/>
    <w:rsid w:val="626C2C39"/>
    <w:rsid w:val="627A61C5"/>
    <w:rsid w:val="62841CE0"/>
    <w:rsid w:val="62B524F7"/>
    <w:rsid w:val="62E513AE"/>
    <w:rsid w:val="62EF4D57"/>
    <w:rsid w:val="62F1602A"/>
    <w:rsid w:val="63203A10"/>
    <w:rsid w:val="6321699F"/>
    <w:rsid w:val="63360CF0"/>
    <w:rsid w:val="63554E4D"/>
    <w:rsid w:val="63652DBD"/>
    <w:rsid w:val="63687E84"/>
    <w:rsid w:val="637257E9"/>
    <w:rsid w:val="63951967"/>
    <w:rsid w:val="63B50F8C"/>
    <w:rsid w:val="63D22FCA"/>
    <w:rsid w:val="640E61DB"/>
    <w:rsid w:val="641206A9"/>
    <w:rsid w:val="64545838"/>
    <w:rsid w:val="645F02B5"/>
    <w:rsid w:val="64681B01"/>
    <w:rsid w:val="64867FEE"/>
    <w:rsid w:val="649007B3"/>
    <w:rsid w:val="64AE06FA"/>
    <w:rsid w:val="64D401A5"/>
    <w:rsid w:val="65024685"/>
    <w:rsid w:val="652A7FEB"/>
    <w:rsid w:val="652B00E3"/>
    <w:rsid w:val="65535A5A"/>
    <w:rsid w:val="659D0DEE"/>
    <w:rsid w:val="65A6262A"/>
    <w:rsid w:val="65D219C2"/>
    <w:rsid w:val="65D21E1C"/>
    <w:rsid w:val="65DA54B3"/>
    <w:rsid w:val="65FB4D18"/>
    <w:rsid w:val="660A7073"/>
    <w:rsid w:val="660E3C9E"/>
    <w:rsid w:val="66164CE6"/>
    <w:rsid w:val="662326FA"/>
    <w:rsid w:val="66425F55"/>
    <w:rsid w:val="664E5D65"/>
    <w:rsid w:val="665C5C0C"/>
    <w:rsid w:val="66A80B4A"/>
    <w:rsid w:val="66BF254A"/>
    <w:rsid w:val="66EE49DE"/>
    <w:rsid w:val="676F09D5"/>
    <w:rsid w:val="67790849"/>
    <w:rsid w:val="677D4C69"/>
    <w:rsid w:val="67AA7DCF"/>
    <w:rsid w:val="67B34464"/>
    <w:rsid w:val="67BD22B9"/>
    <w:rsid w:val="67FE1162"/>
    <w:rsid w:val="68004140"/>
    <w:rsid w:val="681B0E12"/>
    <w:rsid w:val="688F28E2"/>
    <w:rsid w:val="68A11DD7"/>
    <w:rsid w:val="68A51FB8"/>
    <w:rsid w:val="68DB53E7"/>
    <w:rsid w:val="68EA3016"/>
    <w:rsid w:val="68EB7ABC"/>
    <w:rsid w:val="69062705"/>
    <w:rsid w:val="691B0B6B"/>
    <w:rsid w:val="69782CD3"/>
    <w:rsid w:val="697F5EFC"/>
    <w:rsid w:val="698A7439"/>
    <w:rsid w:val="69936875"/>
    <w:rsid w:val="69964E32"/>
    <w:rsid w:val="69AE114D"/>
    <w:rsid w:val="69DC7E67"/>
    <w:rsid w:val="69E80350"/>
    <w:rsid w:val="69EF047B"/>
    <w:rsid w:val="6A1D56B2"/>
    <w:rsid w:val="6A2B6FC3"/>
    <w:rsid w:val="6A3A339B"/>
    <w:rsid w:val="6A3A5E65"/>
    <w:rsid w:val="6A6F1C4C"/>
    <w:rsid w:val="6A7202DC"/>
    <w:rsid w:val="6AA74E35"/>
    <w:rsid w:val="6AA8466C"/>
    <w:rsid w:val="6AC6225B"/>
    <w:rsid w:val="6B505BBB"/>
    <w:rsid w:val="6B6333A7"/>
    <w:rsid w:val="6BCA5C39"/>
    <w:rsid w:val="6BE27CF9"/>
    <w:rsid w:val="6C2D1409"/>
    <w:rsid w:val="6C2D7D63"/>
    <w:rsid w:val="6C3206C8"/>
    <w:rsid w:val="6C357AB5"/>
    <w:rsid w:val="6C3628E8"/>
    <w:rsid w:val="6C3934B6"/>
    <w:rsid w:val="6C615C61"/>
    <w:rsid w:val="6C6367AC"/>
    <w:rsid w:val="6C80536B"/>
    <w:rsid w:val="6C862345"/>
    <w:rsid w:val="6C8B724B"/>
    <w:rsid w:val="6C9048E4"/>
    <w:rsid w:val="6C9E2A18"/>
    <w:rsid w:val="6CA35456"/>
    <w:rsid w:val="6CB017D7"/>
    <w:rsid w:val="6CB32B41"/>
    <w:rsid w:val="6CBC68B9"/>
    <w:rsid w:val="6CD66EDA"/>
    <w:rsid w:val="6CDD24BD"/>
    <w:rsid w:val="6D0F3EEF"/>
    <w:rsid w:val="6D146CD3"/>
    <w:rsid w:val="6D1566D6"/>
    <w:rsid w:val="6D1C589C"/>
    <w:rsid w:val="6D5502AA"/>
    <w:rsid w:val="6DA31776"/>
    <w:rsid w:val="6DA45FD5"/>
    <w:rsid w:val="6DA65016"/>
    <w:rsid w:val="6DCB15BA"/>
    <w:rsid w:val="6DEF5697"/>
    <w:rsid w:val="6E290AC9"/>
    <w:rsid w:val="6E2E4332"/>
    <w:rsid w:val="6E366026"/>
    <w:rsid w:val="6E3C157B"/>
    <w:rsid w:val="6E4628B1"/>
    <w:rsid w:val="6E6903A5"/>
    <w:rsid w:val="6E9905B2"/>
    <w:rsid w:val="6E9A74BE"/>
    <w:rsid w:val="6EB87125"/>
    <w:rsid w:val="6EBB6069"/>
    <w:rsid w:val="6EBB7EF6"/>
    <w:rsid w:val="6EC11D71"/>
    <w:rsid w:val="6EC647CC"/>
    <w:rsid w:val="6EEB4982"/>
    <w:rsid w:val="6F1222C5"/>
    <w:rsid w:val="6F161214"/>
    <w:rsid w:val="6F317DD0"/>
    <w:rsid w:val="6F322D6E"/>
    <w:rsid w:val="6F3A0D2D"/>
    <w:rsid w:val="6F710F7D"/>
    <w:rsid w:val="6F757BA3"/>
    <w:rsid w:val="6F794E16"/>
    <w:rsid w:val="6F8E0F7C"/>
    <w:rsid w:val="6FAF019B"/>
    <w:rsid w:val="6FB202FC"/>
    <w:rsid w:val="6FBA5851"/>
    <w:rsid w:val="6FD431BC"/>
    <w:rsid w:val="6FD64D8A"/>
    <w:rsid w:val="708F1BB8"/>
    <w:rsid w:val="709649ED"/>
    <w:rsid w:val="70A84AD3"/>
    <w:rsid w:val="70AE3508"/>
    <w:rsid w:val="70B351A6"/>
    <w:rsid w:val="70BF773C"/>
    <w:rsid w:val="70C41831"/>
    <w:rsid w:val="70CF7DE8"/>
    <w:rsid w:val="70E94F37"/>
    <w:rsid w:val="7117334E"/>
    <w:rsid w:val="711F7F62"/>
    <w:rsid w:val="712719C8"/>
    <w:rsid w:val="71336359"/>
    <w:rsid w:val="71492755"/>
    <w:rsid w:val="714B63FF"/>
    <w:rsid w:val="715C7408"/>
    <w:rsid w:val="717A4EBB"/>
    <w:rsid w:val="71A121E2"/>
    <w:rsid w:val="71AA47BF"/>
    <w:rsid w:val="71CD5454"/>
    <w:rsid w:val="71D40D4C"/>
    <w:rsid w:val="71D5629F"/>
    <w:rsid w:val="71EB57C6"/>
    <w:rsid w:val="71F46524"/>
    <w:rsid w:val="71F713D6"/>
    <w:rsid w:val="71FB06B4"/>
    <w:rsid w:val="720D5D43"/>
    <w:rsid w:val="72112D0B"/>
    <w:rsid w:val="72144DE3"/>
    <w:rsid w:val="72196118"/>
    <w:rsid w:val="72200435"/>
    <w:rsid w:val="723C3D7F"/>
    <w:rsid w:val="72671F4A"/>
    <w:rsid w:val="72736E18"/>
    <w:rsid w:val="728D1118"/>
    <w:rsid w:val="72B03A9F"/>
    <w:rsid w:val="72B25F6B"/>
    <w:rsid w:val="72B81190"/>
    <w:rsid w:val="72EF7206"/>
    <w:rsid w:val="73032A0D"/>
    <w:rsid w:val="731F3B82"/>
    <w:rsid w:val="734D21A1"/>
    <w:rsid w:val="73836ECE"/>
    <w:rsid w:val="73C67500"/>
    <w:rsid w:val="73C864B5"/>
    <w:rsid w:val="73DE7E71"/>
    <w:rsid w:val="744D411F"/>
    <w:rsid w:val="745C2CF4"/>
    <w:rsid w:val="74641182"/>
    <w:rsid w:val="74744A68"/>
    <w:rsid w:val="749D4770"/>
    <w:rsid w:val="74A622B2"/>
    <w:rsid w:val="74B50C75"/>
    <w:rsid w:val="74D43FCD"/>
    <w:rsid w:val="74D736BD"/>
    <w:rsid w:val="74E403D4"/>
    <w:rsid w:val="74EA6DE6"/>
    <w:rsid w:val="74FC6F38"/>
    <w:rsid w:val="74FE3413"/>
    <w:rsid w:val="751029AE"/>
    <w:rsid w:val="751111C4"/>
    <w:rsid w:val="752B6886"/>
    <w:rsid w:val="753649D0"/>
    <w:rsid w:val="756A1040"/>
    <w:rsid w:val="75921044"/>
    <w:rsid w:val="75970512"/>
    <w:rsid w:val="759944E1"/>
    <w:rsid w:val="759B5199"/>
    <w:rsid w:val="761A6BC1"/>
    <w:rsid w:val="762258C6"/>
    <w:rsid w:val="763E74B8"/>
    <w:rsid w:val="765C476B"/>
    <w:rsid w:val="765D6FD0"/>
    <w:rsid w:val="76764904"/>
    <w:rsid w:val="76952171"/>
    <w:rsid w:val="76BA690C"/>
    <w:rsid w:val="76EF17B7"/>
    <w:rsid w:val="76F275B7"/>
    <w:rsid w:val="77057570"/>
    <w:rsid w:val="773118FC"/>
    <w:rsid w:val="77313A2D"/>
    <w:rsid w:val="774A6DC8"/>
    <w:rsid w:val="77503EB2"/>
    <w:rsid w:val="77752D13"/>
    <w:rsid w:val="77953B9B"/>
    <w:rsid w:val="77CD4DD9"/>
    <w:rsid w:val="77E45A61"/>
    <w:rsid w:val="77F2017E"/>
    <w:rsid w:val="77FA423A"/>
    <w:rsid w:val="78005019"/>
    <w:rsid w:val="78092CC0"/>
    <w:rsid w:val="780C2435"/>
    <w:rsid w:val="782A0B51"/>
    <w:rsid w:val="78353363"/>
    <w:rsid w:val="783A31FE"/>
    <w:rsid w:val="78486CF0"/>
    <w:rsid w:val="78534919"/>
    <w:rsid w:val="785663DA"/>
    <w:rsid w:val="78584462"/>
    <w:rsid w:val="7895462E"/>
    <w:rsid w:val="78D631FC"/>
    <w:rsid w:val="78FC2FBF"/>
    <w:rsid w:val="78FD5501"/>
    <w:rsid w:val="791467F0"/>
    <w:rsid w:val="79430114"/>
    <w:rsid w:val="79430A37"/>
    <w:rsid w:val="795E7C16"/>
    <w:rsid w:val="795F01E3"/>
    <w:rsid w:val="79971CFA"/>
    <w:rsid w:val="79AD6C40"/>
    <w:rsid w:val="79B10333"/>
    <w:rsid w:val="79C95ADF"/>
    <w:rsid w:val="79EF0BCC"/>
    <w:rsid w:val="79FF02D1"/>
    <w:rsid w:val="7A0612C2"/>
    <w:rsid w:val="7A1833CE"/>
    <w:rsid w:val="7A1F3257"/>
    <w:rsid w:val="7A3C1967"/>
    <w:rsid w:val="7A60132A"/>
    <w:rsid w:val="7A6E2CF1"/>
    <w:rsid w:val="7A817696"/>
    <w:rsid w:val="7AA05017"/>
    <w:rsid w:val="7AA86BBE"/>
    <w:rsid w:val="7AC94AC1"/>
    <w:rsid w:val="7AC977F9"/>
    <w:rsid w:val="7AE11572"/>
    <w:rsid w:val="7AE31524"/>
    <w:rsid w:val="7AE70BEB"/>
    <w:rsid w:val="7B057C25"/>
    <w:rsid w:val="7B4C6C66"/>
    <w:rsid w:val="7B5C332E"/>
    <w:rsid w:val="7B904C22"/>
    <w:rsid w:val="7B9E18EF"/>
    <w:rsid w:val="7BB9672E"/>
    <w:rsid w:val="7C0968F5"/>
    <w:rsid w:val="7C1235AA"/>
    <w:rsid w:val="7C160893"/>
    <w:rsid w:val="7C5622FF"/>
    <w:rsid w:val="7C571497"/>
    <w:rsid w:val="7C810893"/>
    <w:rsid w:val="7C9A4347"/>
    <w:rsid w:val="7CB95588"/>
    <w:rsid w:val="7CBA56FF"/>
    <w:rsid w:val="7CE64D15"/>
    <w:rsid w:val="7CF732D1"/>
    <w:rsid w:val="7D131D7B"/>
    <w:rsid w:val="7D1E10B2"/>
    <w:rsid w:val="7D3511F9"/>
    <w:rsid w:val="7D3D5EFF"/>
    <w:rsid w:val="7D435739"/>
    <w:rsid w:val="7D93221A"/>
    <w:rsid w:val="7DA977AA"/>
    <w:rsid w:val="7DAC0454"/>
    <w:rsid w:val="7DB65BC0"/>
    <w:rsid w:val="7DED2A89"/>
    <w:rsid w:val="7DFA3D48"/>
    <w:rsid w:val="7E5020A2"/>
    <w:rsid w:val="7E980733"/>
    <w:rsid w:val="7E9B4DC3"/>
    <w:rsid w:val="7EC57197"/>
    <w:rsid w:val="7ED54355"/>
    <w:rsid w:val="7EFB4248"/>
    <w:rsid w:val="7EFD7DC7"/>
    <w:rsid w:val="7F274E2A"/>
    <w:rsid w:val="7F2C2F55"/>
    <w:rsid w:val="7F45439F"/>
    <w:rsid w:val="7F4A4D43"/>
    <w:rsid w:val="7F545830"/>
    <w:rsid w:val="7F590F20"/>
    <w:rsid w:val="7F8F3F40"/>
    <w:rsid w:val="7FA62478"/>
    <w:rsid w:val="7FB2257F"/>
    <w:rsid w:val="7FE92E70"/>
    <w:rsid w:val="7FF400FF"/>
    <w:rsid w:val="7FF67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360" w:lineRule="auto"/>
      <w:outlineLvl w:val="0"/>
    </w:pPr>
    <w:rPr>
      <w:rFonts w:ascii="Times New Roman" w:hAnsi="Times New Roman" w:eastAsia="宋体"/>
      <w:b/>
      <w:bCs/>
      <w:kern w:val="44"/>
      <w:sz w:val="28"/>
      <w:szCs w:val="44"/>
    </w:rPr>
  </w:style>
  <w:style w:type="paragraph" w:styleId="3">
    <w:name w:val="heading 2"/>
    <w:basedOn w:val="1"/>
    <w:next w:val="1"/>
    <w:autoRedefine/>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beforeLines="0" w:after="260" w:afterLines="0" w:line="24" w:lineRule="auto"/>
      <w:outlineLvl w:val="2"/>
    </w:pPr>
    <w:rPr>
      <w:rFonts w:ascii="宋体" w:hAnsi="宋体"/>
      <w:b/>
      <w:bCs/>
      <w:kern w:val="0"/>
      <w:sz w:val="24"/>
      <w:szCs w:val="32"/>
    </w:rPr>
  </w:style>
  <w:style w:type="paragraph" w:styleId="5">
    <w:name w:val="heading 4"/>
    <w:basedOn w:val="1"/>
    <w:next w:val="1"/>
    <w:autoRedefine/>
    <w:unhideWhenUsed/>
    <w:qFormat/>
    <w:uiPriority w:val="0"/>
    <w:pPr>
      <w:spacing w:before="35"/>
      <w:ind w:left="142"/>
      <w:jc w:val="center"/>
      <w:outlineLvl w:val="3"/>
    </w:pPr>
    <w:rPr>
      <w:rFonts w:ascii="宋体" w:hAnsi="宋体" w:cs="宋体"/>
      <w:b/>
      <w:bCs/>
      <w:sz w:val="32"/>
      <w:szCs w:val="32"/>
      <w:lang w:val="zh-CN" w:bidi="zh-CN"/>
    </w:rPr>
  </w:style>
  <w:style w:type="paragraph" w:styleId="6">
    <w:name w:val="heading 5"/>
    <w:basedOn w:val="1"/>
    <w:next w:val="1"/>
    <w:autoRedefine/>
    <w:qFormat/>
    <w:uiPriority w:val="0"/>
    <w:pPr>
      <w:keepNext/>
      <w:keepLines/>
      <w:spacing w:line="372" w:lineRule="auto"/>
      <w:outlineLvl w:val="4"/>
    </w:pPr>
    <w:rPr>
      <w:b/>
      <w:bCs/>
      <w:sz w:val="28"/>
      <w:szCs w:val="28"/>
    </w:rPr>
  </w:style>
  <w:style w:type="paragraph" w:styleId="7">
    <w:name w:val="heading 7"/>
    <w:basedOn w:val="1"/>
    <w:next w:val="1"/>
    <w:autoRedefine/>
    <w:unhideWhenUsed/>
    <w:qFormat/>
    <w:uiPriority w:val="0"/>
    <w:pPr>
      <w:ind w:left="448"/>
      <w:outlineLvl w:val="6"/>
    </w:pPr>
    <w:rPr>
      <w:rFonts w:ascii="宋体" w:hAnsi="宋体" w:cs="宋体"/>
      <w:sz w:val="24"/>
      <w:lang w:val="zh-CN" w:bidi="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unhideWhenUsed/>
    <w:qFormat/>
    <w:uiPriority w:val="0"/>
    <w:pPr>
      <w:ind w:firstLine="420" w:firstLineChars="200"/>
    </w:pPr>
  </w:style>
  <w:style w:type="paragraph" w:styleId="9">
    <w:name w:val="annotation text"/>
    <w:basedOn w:val="1"/>
    <w:link w:val="53"/>
    <w:autoRedefine/>
    <w:qFormat/>
    <w:uiPriority w:val="0"/>
    <w:pPr>
      <w:jc w:val="left"/>
    </w:pPr>
  </w:style>
  <w:style w:type="paragraph" w:styleId="10">
    <w:name w:val="Body Text"/>
    <w:basedOn w:val="1"/>
    <w:next w:val="1"/>
    <w:autoRedefine/>
    <w:qFormat/>
    <w:uiPriority w:val="0"/>
    <w:pPr>
      <w:autoSpaceDE w:val="0"/>
      <w:autoSpaceDN w:val="0"/>
      <w:adjustRightInd w:val="0"/>
      <w:spacing w:after="120"/>
      <w:jc w:val="left"/>
    </w:pPr>
    <w:rPr>
      <w:rFonts w:ascii="宋体"/>
      <w:kern w:val="0"/>
      <w:sz w:val="34"/>
      <w:szCs w:val="20"/>
    </w:rPr>
  </w:style>
  <w:style w:type="paragraph" w:styleId="11">
    <w:name w:val="Body Text Indent"/>
    <w:basedOn w:val="1"/>
    <w:autoRedefine/>
    <w:qFormat/>
    <w:uiPriority w:val="0"/>
    <w:pPr>
      <w:ind w:firstLine="830" w:firstLineChars="352"/>
    </w:pPr>
    <w:rPr>
      <w:rFonts w:ascii="仿宋_GB2312" w:eastAsia="仿宋_GB2312"/>
      <w:sz w:val="32"/>
      <w:szCs w:val="20"/>
    </w:rPr>
  </w:style>
  <w:style w:type="paragraph" w:styleId="12">
    <w:name w:val="List 2"/>
    <w:basedOn w:val="1"/>
    <w:autoRedefine/>
    <w:unhideWhenUsed/>
    <w:qFormat/>
    <w:uiPriority w:val="99"/>
    <w:pPr>
      <w:ind w:left="100" w:leftChars="200" w:hanging="200" w:hangingChars="200"/>
      <w:contextualSpacing/>
    </w:p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autoRedefine/>
    <w:qFormat/>
    <w:uiPriority w:val="0"/>
    <w:pPr>
      <w:ind w:left="100" w:leftChars="2500"/>
    </w:pPr>
    <w:rPr>
      <w:rFonts w:ascii="宋体" w:hAnsi="Courier New"/>
      <w:bCs/>
      <w:sz w:val="24"/>
    </w:rPr>
  </w:style>
  <w:style w:type="paragraph" w:styleId="15">
    <w:name w:val="Body Text Indent 2"/>
    <w:basedOn w:val="1"/>
    <w:autoRedefine/>
    <w:qFormat/>
    <w:uiPriority w:val="0"/>
    <w:pPr>
      <w:spacing w:after="120" w:line="480" w:lineRule="auto"/>
      <w:ind w:leftChars="200"/>
    </w:pPr>
  </w:style>
  <w:style w:type="paragraph" w:styleId="16">
    <w:name w:val="Balloon Text"/>
    <w:basedOn w:val="1"/>
    <w:link w:val="55"/>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szCs w:val="18"/>
    </w:rPr>
  </w:style>
  <w:style w:type="paragraph" w:styleId="18">
    <w:name w:val="envelope return"/>
    <w:basedOn w:val="1"/>
    <w:autoRedefine/>
    <w:unhideWhenUsed/>
    <w:qFormat/>
    <w:uiPriority w:val="0"/>
    <w:pPr>
      <w:snapToGrid w:val="0"/>
    </w:pPr>
    <w:rPr>
      <w:rFonts w:ascii="Arial" w:hAnsi="Arial"/>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Body Text Indent 3"/>
    <w:basedOn w:val="1"/>
    <w:autoRedefine/>
    <w:qFormat/>
    <w:uiPriority w:val="0"/>
    <w:pPr>
      <w:spacing w:after="120"/>
      <w:ind w:left="420" w:leftChars="200"/>
    </w:pPr>
    <w:rPr>
      <w:sz w:val="16"/>
      <w:szCs w:val="16"/>
    </w:rPr>
  </w:style>
  <w:style w:type="paragraph" w:styleId="22">
    <w:name w:val="toc 9"/>
    <w:basedOn w:val="1"/>
    <w:next w:val="1"/>
    <w:autoRedefine/>
    <w:qFormat/>
    <w:uiPriority w:val="0"/>
    <w:pPr>
      <w:tabs>
        <w:tab w:val="right" w:leader="dot" w:pos="9185"/>
      </w:tabs>
      <w:adjustRightInd w:val="0"/>
      <w:spacing w:line="312" w:lineRule="atLeast"/>
      <w:ind w:left="3360"/>
      <w:textAlignment w:val="baseline"/>
    </w:pPr>
    <w:rPr>
      <w:kern w:val="0"/>
      <w:szCs w:val="20"/>
    </w:rPr>
  </w:style>
  <w:style w:type="paragraph" w:styleId="23">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index 1"/>
    <w:basedOn w:val="1"/>
    <w:next w:val="1"/>
    <w:autoRedefine/>
    <w:qFormat/>
    <w:uiPriority w:val="0"/>
    <w:rPr>
      <w:lang w:eastAsia="en-US"/>
    </w:rPr>
  </w:style>
  <w:style w:type="paragraph" w:styleId="26">
    <w:name w:val="Title"/>
    <w:basedOn w:val="1"/>
    <w:next w:val="1"/>
    <w:autoRedefine/>
    <w:qFormat/>
    <w:uiPriority w:val="0"/>
    <w:pPr>
      <w:spacing w:before="240" w:after="60"/>
      <w:jc w:val="center"/>
      <w:outlineLvl w:val="0"/>
    </w:pPr>
    <w:rPr>
      <w:rFonts w:ascii="Cambria" w:hAnsi="Cambria"/>
      <w:b/>
      <w:bCs/>
      <w:sz w:val="32"/>
      <w:szCs w:val="32"/>
    </w:rPr>
  </w:style>
  <w:style w:type="paragraph" w:styleId="27">
    <w:name w:val="annotation subject"/>
    <w:basedOn w:val="9"/>
    <w:next w:val="9"/>
    <w:link w:val="54"/>
    <w:autoRedefine/>
    <w:qFormat/>
    <w:uiPriority w:val="0"/>
    <w:rPr>
      <w:b/>
      <w:bCs/>
    </w:rPr>
  </w:style>
  <w:style w:type="paragraph" w:styleId="28">
    <w:name w:val="Body Text First Indent"/>
    <w:basedOn w:val="10"/>
    <w:next w:val="1"/>
    <w:autoRedefine/>
    <w:qFormat/>
    <w:uiPriority w:val="0"/>
    <w:pPr>
      <w:ind w:firstLine="420" w:firstLineChars="100"/>
    </w:pPr>
    <w:rPr>
      <w:rFonts w:ascii="Times New Roman"/>
      <w:sz w:val="21"/>
      <w:szCs w:val="24"/>
    </w:rPr>
  </w:style>
  <w:style w:type="paragraph" w:styleId="29">
    <w:name w:val="Body Text First Indent 2"/>
    <w:basedOn w:val="11"/>
    <w:autoRedefine/>
    <w:qFormat/>
    <w:uiPriority w:val="0"/>
    <w:pPr>
      <w:spacing w:line="360" w:lineRule="auto"/>
      <w:ind w:firstLine="420" w:firstLineChars="200"/>
    </w:pPr>
    <w:rPr>
      <w:sz w:val="24"/>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uiPriority w:val="0"/>
    <w:rPr>
      <w:b/>
      <w:bCs/>
    </w:rPr>
  </w:style>
  <w:style w:type="character" w:styleId="34">
    <w:name w:val="page number"/>
    <w:basedOn w:val="32"/>
    <w:autoRedefine/>
    <w:qFormat/>
    <w:uiPriority w:val="0"/>
  </w:style>
  <w:style w:type="character" w:styleId="35">
    <w:name w:val="FollowedHyperlink"/>
    <w:basedOn w:val="32"/>
    <w:autoRedefine/>
    <w:qFormat/>
    <w:uiPriority w:val="0"/>
    <w:rPr>
      <w:color w:val="800080"/>
      <w:u w:val="none"/>
    </w:rPr>
  </w:style>
  <w:style w:type="character" w:styleId="36">
    <w:name w:val="Emphasis"/>
    <w:basedOn w:val="32"/>
    <w:autoRedefine/>
    <w:qFormat/>
    <w:uiPriority w:val="0"/>
    <w:rPr>
      <w:b/>
      <w:bCs/>
    </w:rPr>
  </w:style>
  <w:style w:type="character" w:styleId="37">
    <w:name w:val="HTML Definition"/>
    <w:basedOn w:val="32"/>
    <w:autoRedefine/>
    <w:qFormat/>
    <w:uiPriority w:val="0"/>
  </w:style>
  <w:style w:type="character" w:styleId="38">
    <w:name w:val="HTML Typewriter"/>
    <w:basedOn w:val="32"/>
    <w:autoRedefine/>
    <w:qFormat/>
    <w:uiPriority w:val="0"/>
    <w:rPr>
      <w:rFonts w:hint="default" w:ascii="monospace" w:hAnsi="monospace" w:eastAsia="monospace" w:cs="monospace"/>
      <w:sz w:val="20"/>
    </w:rPr>
  </w:style>
  <w:style w:type="character" w:styleId="39">
    <w:name w:val="HTML Acronym"/>
    <w:basedOn w:val="32"/>
    <w:autoRedefine/>
    <w:qFormat/>
    <w:uiPriority w:val="0"/>
  </w:style>
  <w:style w:type="character" w:styleId="40">
    <w:name w:val="HTML Variable"/>
    <w:basedOn w:val="32"/>
    <w:autoRedefine/>
    <w:qFormat/>
    <w:uiPriority w:val="0"/>
  </w:style>
  <w:style w:type="character" w:styleId="41">
    <w:name w:val="Hyperlink"/>
    <w:basedOn w:val="32"/>
    <w:autoRedefine/>
    <w:unhideWhenUsed/>
    <w:qFormat/>
    <w:uiPriority w:val="99"/>
    <w:rPr>
      <w:color w:val="0000FF"/>
      <w:u w:val="single"/>
    </w:rPr>
  </w:style>
  <w:style w:type="character" w:styleId="42">
    <w:name w:val="HTML Code"/>
    <w:basedOn w:val="32"/>
    <w:autoRedefine/>
    <w:qFormat/>
    <w:uiPriority w:val="0"/>
    <w:rPr>
      <w:rFonts w:hint="default" w:ascii="monospace" w:hAnsi="monospace" w:eastAsia="monospace" w:cs="monospace"/>
      <w:sz w:val="20"/>
    </w:rPr>
  </w:style>
  <w:style w:type="character" w:styleId="43">
    <w:name w:val="annotation reference"/>
    <w:autoRedefine/>
    <w:qFormat/>
    <w:uiPriority w:val="0"/>
    <w:rPr>
      <w:sz w:val="21"/>
      <w:szCs w:val="21"/>
    </w:rPr>
  </w:style>
  <w:style w:type="character" w:styleId="44">
    <w:name w:val="HTML Cite"/>
    <w:basedOn w:val="32"/>
    <w:autoRedefine/>
    <w:qFormat/>
    <w:uiPriority w:val="0"/>
  </w:style>
  <w:style w:type="character" w:styleId="45">
    <w:name w:val="HTML Keyboard"/>
    <w:basedOn w:val="32"/>
    <w:autoRedefine/>
    <w:qFormat/>
    <w:uiPriority w:val="0"/>
    <w:rPr>
      <w:rFonts w:hint="default" w:ascii="monospace" w:hAnsi="monospace" w:eastAsia="monospace" w:cs="monospace"/>
      <w:sz w:val="20"/>
    </w:rPr>
  </w:style>
  <w:style w:type="character" w:styleId="46">
    <w:name w:val="HTML Sample"/>
    <w:basedOn w:val="32"/>
    <w:autoRedefine/>
    <w:qFormat/>
    <w:uiPriority w:val="0"/>
    <w:rPr>
      <w:rFonts w:ascii="monospace" w:hAnsi="monospace" w:eastAsia="monospace" w:cs="monospace"/>
    </w:rPr>
  </w:style>
  <w:style w:type="paragraph" w:customStyle="1" w:styleId="47">
    <w:name w:val="表格文字"/>
    <w:basedOn w:val="48"/>
    <w:autoRedefine/>
    <w:qFormat/>
    <w:uiPriority w:val="99"/>
    <w:pPr>
      <w:spacing w:before="25" w:after="25"/>
      <w:jc w:val="left"/>
    </w:pPr>
    <w:rPr>
      <w:bCs/>
      <w:spacing w:val="10"/>
      <w:kern w:val="0"/>
      <w:sz w:val="24"/>
    </w:rPr>
  </w:style>
  <w:style w:type="paragraph" w:customStyle="1" w:styleId="48">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Default"/>
    <w:autoRedefine/>
    <w:qFormat/>
    <w:uiPriority w:val="0"/>
    <w:pPr>
      <w:widowControl w:val="0"/>
      <w:autoSpaceDE w:val="0"/>
      <w:autoSpaceDN w:val="0"/>
      <w:adjustRightInd w:val="0"/>
    </w:pPr>
    <w:rPr>
      <w:rFonts w:ascii="......." w:hAnsi="......." w:eastAsia="......." w:cs="......."/>
      <w:color w:val="000000"/>
      <w:sz w:val="21"/>
      <w:szCs w:val="24"/>
      <w:lang w:val="en-US" w:eastAsia="zh-CN" w:bidi="ar-SA"/>
    </w:rPr>
  </w:style>
  <w:style w:type="paragraph" w:styleId="50">
    <w:name w:val="List Paragraph"/>
    <w:basedOn w:val="1"/>
    <w:autoRedefine/>
    <w:qFormat/>
    <w:uiPriority w:val="34"/>
    <w:pPr>
      <w:ind w:firstLine="420" w:firstLineChars="200"/>
    </w:pPr>
  </w:style>
  <w:style w:type="paragraph" w:customStyle="1" w:styleId="51">
    <w:name w:val="Plain Text1"/>
    <w:basedOn w:val="1"/>
    <w:autoRedefine/>
    <w:qFormat/>
    <w:uiPriority w:val="0"/>
    <w:rPr>
      <w:rFonts w:ascii="宋体" w:hAnsi="Courier New" w:cs="Courier New"/>
      <w:szCs w:val="21"/>
    </w:rPr>
  </w:style>
  <w:style w:type="paragraph" w:customStyle="1" w:styleId="52">
    <w:name w:val="Table Paragraph"/>
    <w:basedOn w:val="1"/>
    <w:autoRedefine/>
    <w:qFormat/>
    <w:uiPriority w:val="1"/>
    <w:rPr>
      <w:rFonts w:ascii="宋体" w:hAnsi="宋体" w:cs="宋体"/>
      <w:lang w:val="zh-CN" w:bidi="zh-CN"/>
    </w:rPr>
  </w:style>
  <w:style w:type="character" w:customStyle="1" w:styleId="53">
    <w:name w:val="批注文字 Char"/>
    <w:basedOn w:val="32"/>
    <w:link w:val="9"/>
    <w:autoRedefine/>
    <w:qFormat/>
    <w:uiPriority w:val="0"/>
    <w:rPr>
      <w:kern w:val="2"/>
      <w:sz w:val="21"/>
      <w:szCs w:val="24"/>
    </w:rPr>
  </w:style>
  <w:style w:type="character" w:customStyle="1" w:styleId="54">
    <w:name w:val="批注主题 Char"/>
    <w:basedOn w:val="53"/>
    <w:link w:val="27"/>
    <w:autoRedefine/>
    <w:qFormat/>
    <w:uiPriority w:val="0"/>
    <w:rPr>
      <w:b/>
      <w:bCs/>
      <w:kern w:val="2"/>
      <w:sz w:val="21"/>
      <w:szCs w:val="24"/>
    </w:rPr>
  </w:style>
  <w:style w:type="character" w:customStyle="1" w:styleId="55">
    <w:name w:val="批注框文本 Char"/>
    <w:basedOn w:val="32"/>
    <w:link w:val="16"/>
    <w:autoRedefine/>
    <w:qFormat/>
    <w:uiPriority w:val="0"/>
    <w:rPr>
      <w:kern w:val="2"/>
      <w:sz w:val="18"/>
      <w:szCs w:val="18"/>
    </w:rPr>
  </w:style>
  <w:style w:type="paragraph" w:customStyle="1" w:styleId="56">
    <w:name w:val="纯文本1"/>
    <w:basedOn w:val="1"/>
    <w:autoRedefine/>
    <w:qFormat/>
    <w:uiPriority w:val="0"/>
    <w:pPr>
      <w:suppressAutoHyphens/>
    </w:pPr>
    <w:rPr>
      <w:rFonts w:ascii="宋体" w:hAnsi="宋体" w:cs="Courier New"/>
      <w:szCs w:val="21"/>
      <w:lang w:eastAsia="ar-SA"/>
    </w:rPr>
  </w:style>
  <w:style w:type="paragraph" w:customStyle="1" w:styleId="57">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Theme="minorEastAsia" w:cstheme="minorBidi"/>
      <w:kern w:val="0"/>
      <w:szCs w:val="21"/>
    </w:rPr>
  </w:style>
  <w:style w:type="character" w:customStyle="1" w:styleId="58">
    <w:name w:val="textcontents"/>
    <w:basedOn w:val="32"/>
    <w:autoRedefine/>
    <w:qFormat/>
    <w:uiPriority w:val="0"/>
  </w:style>
  <w:style w:type="paragraph" w:customStyle="1" w:styleId="59">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60">
    <w:name w:val="WPSOffice手动目录 1"/>
    <w:autoRedefine/>
    <w:qFormat/>
    <w:uiPriority w:val="0"/>
    <w:pPr>
      <w:ind w:leftChars="0"/>
    </w:pPr>
    <w:rPr>
      <w:rFonts w:ascii="Times New Roman" w:hAnsi="Times New Roman" w:eastAsia="宋体" w:cs="Times New Roman"/>
      <w:sz w:val="20"/>
      <w:szCs w:val="20"/>
    </w:rPr>
  </w:style>
  <w:style w:type="table" w:customStyle="1" w:styleId="61">
    <w:name w:val="Table Normal"/>
    <w:autoRedefine/>
    <w:semiHidden/>
    <w:unhideWhenUsed/>
    <w:qFormat/>
    <w:uiPriority w:val="0"/>
    <w:tblPr>
      <w:tblCellMar>
        <w:top w:w="0" w:type="dxa"/>
        <w:left w:w="0" w:type="dxa"/>
        <w:bottom w:w="0" w:type="dxa"/>
        <w:right w:w="0" w:type="dxa"/>
      </w:tblCellMar>
    </w:tblPr>
  </w:style>
  <w:style w:type="paragraph" w:customStyle="1" w:styleId="62">
    <w:name w:val="正文文本_0"/>
    <w:basedOn w:val="48"/>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63">
    <w:name w:val="Normal_1"/>
    <w:autoRedefine/>
    <w:qFormat/>
    <w:uiPriority w:val="0"/>
    <w:rPr>
      <w:rFonts w:ascii="Times New Roman" w:hAnsi="Times New Roman" w:eastAsia="Times New Roman" w:cs="Times New Roman"/>
      <w:sz w:val="24"/>
      <w:szCs w:val="24"/>
    </w:rPr>
  </w:style>
  <w:style w:type="paragraph" w:customStyle="1" w:styleId="64">
    <w:name w:val="Body text|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5">
    <w:name w:val="Other|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6">
    <w:name w:val="标题 2_1"/>
    <w:basedOn w:val="48"/>
    <w:next w:val="48"/>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7">
    <w:name w:val="标题 3_2"/>
    <w:basedOn w:val="48"/>
    <w:next w:val="48"/>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68">
    <w:name w:val="标题 2_0"/>
    <w:basedOn w:val="69"/>
    <w:next w:val="69"/>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9">
    <w:name w:val="正文_2"/>
    <w:basedOn w:val="70"/>
    <w:next w:val="71"/>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70">
    <w:name w:val="正文_3"/>
    <w:basedOn w:val="48"/>
    <w:autoRedefine/>
    <w:qFormat/>
    <w:uiPriority w:val="0"/>
    <w:rPr>
      <w:rFonts w:eastAsia="宋体"/>
      <w:lang w:eastAsia="zh-CN" w:bidi="ar-SA"/>
    </w:rPr>
  </w:style>
  <w:style w:type="paragraph" w:customStyle="1" w:styleId="71">
    <w:name w:val="标题 3_0"/>
    <w:basedOn w:val="1"/>
    <w:next w:val="69"/>
    <w:autoRedefine/>
    <w:qFormat/>
    <w:uiPriority w:val="99"/>
    <w:rPr>
      <w:szCs w:val="20"/>
    </w:rPr>
  </w:style>
  <w:style w:type="paragraph" w:customStyle="1" w:styleId="72">
    <w:name w:val="表格文字_0"/>
    <w:basedOn w:val="69"/>
    <w:qFormat/>
    <w:uiPriority w:val="0"/>
    <w:pPr>
      <w:adjustRightInd w:val="0"/>
      <w:snapToGrid w:val="0"/>
      <w:jc w:val="center"/>
    </w:pPr>
    <w:rPr>
      <w:rFonts w:ascii="Times New Roman" w:hAnsi="Times New Roman"/>
      <w:kern w:val="0"/>
      <w:sz w:val="24"/>
      <w:szCs w:val="24"/>
    </w:rPr>
  </w:style>
  <w:style w:type="paragraph" w:customStyle="1" w:styleId="73">
    <w:name w:val="标题 3_1"/>
    <w:basedOn w:val="69"/>
    <w:next w:val="69"/>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74">
    <w:name w:val="Body text|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5">
    <w:name w:val="Body text|2_0"/>
    <w:basedOn w:val="69"/>
    <w:autoRedefine/>
    <w:qFormat/>
    <w:uiPriority w:val="0"/>
    <w:pPr>
      <w:spacing w:after="30"/>
      <w:ind w:firstLine="420"/>
    </w:pPr>
    <w:rPr>
      <w:rFonts w:eastAsia="宋体"/>
      <w:color w:val="auto"/>
      <w:sz w:val="20"/>
      <w:szCs w:val="20"/>
      <w:lang w:bidi="ar-SA"/>
    </w:rPr>
  </w:style>
  <w:style w:type="paragraph" w:customStyle="1" w:styleId="76">
    <w:name w:val="Other|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7">
    <w:name w:val="正文_2_0"/>
    <w:basedOn w:val="69"/>
    <w:next w:val="69"/>
    <w:autoRedefine/>
    <w:qFormat/>
    <w:uiPriority w:val="0"/>
    <w:rPr>
      <w:rFonts w:eastAsia="宋体"/>
      <w:lang w:eastAsia="zh-CN" w:bidi="ar-SA"/>
    </w:rPr>
  </w:style>
  <w:style w:type="character" w:customStyle="1" w:styleId="78">
    <w:name w:val="10"/>
    <w:autoRedefine/>
    <w:qFormat/>
    <w:uiPriority w:val="0"/>
    <w:rPr>
      <w:rFonts w:hint="default" w:ascii="Times New Roman" w:hAnsi="Times New Roman" w:eastAsia="Times New Roman" w:cs="Times New Roman"/>
      <w:lang w:eastAsia="en-US" w:bidi="en-US"/>
    </w:rPr>
  </w:style>
  <w:style w:type="paragraph" w:customStyle="1" w:styleId="79">
    <w:name w:val="样式 样式16 + 首行缩进:  2 字符"/>
    <w:basedOn w:val="1"/>
    <w:autoRedefine/>
    <w:qFormat/>
    <w:uiPriority w:val="0"/>
    <w:pPr>
      <w:spacing w:line="400" w:lineRule="exact"/>
      <w:ind w:firstLine="200" w:firstLineChars="200"/>
    </w:pPr>
    <w:rPr>
      <w:rFonts w:ascii="汉仪中宋简" w:hAnsi="宋体" w:eastAsia="汉仪字典宋简"/>
      <w:b/>
      <w:bCs/>
      <w:spacing w:val="2"/>
      <w:sz w:val="24"/>
      <w:szCs w:val="20"/>
    </w:rPr>
  </w:style>
  <w:style w:type="paragraph" w:customStyle="1" w:styleId="80">
    <w:name w:val="样式 正文首行缩进 + 首行缩进:  1 字符1"/>
    <w:basedOn w:val="1"/>
    <w:next w:val="1"/>
    <w:autoRedefine/>
    <w:qFormat/>
    <w:uiPriority w:val="0"/>
    <w:pPr>
      <w:spacing w:line="360" w:lineRule="auto"/>
      <w:ind w:firstLine="480" w:firstLineChars="200"/>
      <w:jc w:val="left"/>
    </w:pPr>
    <w:rPr>
      <w:rFonts w:hint="eastAsia" w:ascii="宋体" w:hAnsi="宋体" w:cs="宋体"/>
      <w:szCs w:val="20"/>
    </w:rPr>
  </w:style>
  <w:style w:type="paragraph" w:customStyle="1" w:styleId="81">
    <w:name w:val="Other|1"/>
    <w:basedOn w:val="1"/>
    <w:autoRedefine/>
    <w:qFormat/>
    <w:uiPriority w:val="0"/>
    <w:pPr>
      <w:spacing w:line="360" w:lineRule="auto"/>
      <w:ind w:firstLine="400"/>
      <w:jc w:val="left"/>
    </w:pPr>
    <w:rPr>
      <w:rFonts w:ascii="宋体" w:hAnsi="宋体" w:cs="宋体"/>
      <w:kern w:val="0"/>
      <w:sz w:val="20"/>
      <w:szCs w:val="20"/>
      <w:lang w:val="zh-CN" w:bidi="zh-CN"/>
    </w:rPr>
  </w:style>
  <w:style w:type="paragraph" w:customStyle="1" w:styleId="82">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纯文本_0"/>
    <w:basedOn w:val="1"/>
    <w:autoRedefine/>
    <w:qFormat/>
    <w:uiPriority w:val="99"/>
    <w:rPr>
      <w:szCs w:val="20"/>
    </w:rPr>
  </w:style>
  <w:style w:type="paragraph" w:customStyle="1" w:styleId="84">
    <w:name w:val="Normal_0"/>
    <w:autoRedefine/>
    <w:qFormat/>
    <w:uiPriority w:val="0"/>
    <w:rPr>
      <w:rFonts w:ascii="Times New Roman" w:hAnsi="Times New Roman" w:eastAsia="Times New Roman" w:cs="Times New Roman"/>
      <w:sz w:val="24"/>
      <w:szCs w:val="24"/>
    </w:rPr>
  </w:style>
  <w:style w:type="paragraph" w:customStyle="1" w:styleId="85">
    <w:name w:val="正文_5"/>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6">
    <w:name w:val="hover"/>
    <w:basedOn w:val="32"/>
    <w:autoRedefine/>
    <w:qFormat/>
    <w:uiPriority w:val="0"/>
    <w:rPr>
      <w:color w:val="2590EB"/>
    </w:rPr>
  </w:style>
  <w:style w:type="character" w:customStyle="1" w:styleId="87">
    <w:name w:val="hover1"/>
    <w:basedOn w:val="32"/>
    <w:autoRedefine/>
    <w:qFormat/>
    <w:uiPriority w:val="0"/>
    <w:rPr>
      <w:color w:val="2590EB"/>
    </w:rPr>
  </w:style>
  <w:style w:type="character" w:customStyle="1" w:styleId="88">
    <w:name w:val="hover2"/>
    <w:basedOn w:val="32"/>
    <w:autoRedefine/>
    <w:qFormat/>
    <w:uiPriority w:val="0"/>
  </w:style>
  <w:style w:type="character" w:customStyle="1" w:styleId="89">
    <w:name w:val="hover3"/>
    <w:basedOn w:val="32"/>
    <w:autoRedefine/>
    <w:qFormat/>
    <w:uiPriority w:val="0"/>
  </w:style>
  <w:style w:type="paragraph" w:customStyle="1" w:styleId="90">
    <w:name w:val="标题 1_0"/>
    <w:basedOn w:val="69"/>
    <w:next w:val="69"/>
    <w:qFormat/>
    <w:uiPriority w:val="0"/>
    <w:pPr>
      <w:keepNext/>
      <w:keepLines/>
      <w:spacing w:line="360" w:lineRule="auto"/>
      <w:outlineLvl w:val="0"/>
    </w:pPr>
    <w:rPr>
      <w:rFonts w:ascii="Times New Roman" w:hAnsi="Times New Roman" w:eastAsia="黑体"/>
      <w:b/>
      <w:bCs/>
      <w:kern w:val="44"/>
      <w:sz w:val="32"/>
      <w:szCs w:val="44"/>
    </w:rPr>
  </w:style>
  <w:style w:type="paragraph" w:customStyle="1" w:styleId="91">
    <w:name w:val="标题 4_1"/>
    <w:basedOn w:val="77"/>
    <w:next w:val="77"/>
    <w:qFormat/>
    <w:uiPriority w:val="0"/>
    <w:pPr>
      <w:keepNext/>
      <w:keepLines/>
      <w:spacing w:line="360" w:lineRule="auto"/>
      <w:outlineLvl w:val="3"/>
    </w:pPr>
    <w:rPr>
      <w:rFonts w:ascii="Arial" w:hAnsi="Arial"/>
      <w:b/>
      <w:bCs/>
      <w:szCs w:val="28"/>
    </w:rPr>
  </w:style>
  <w:style w:type="paragraph" w:customStyle="1" w:styleId="92">
    <w:name w:val="正文_2_0_0"/>
    <w:basedOn w:val="77"/>
    <w:next w:val="69"/>
    <w:qFormat/>
    <w:uiPriority w:val="0"/>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image" Target="media/image1.w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151</Pages>
  <Words>18775</Words>
  <Characters>20607</Characters>
  <Lines>51</Lines>
  <Paragraphs>59</Paragraphs>
  <TotalTime>9</TotalTime>
  <ScaleCrop>false</ScaleCrop>
  <LinksUpToDate>false</LinksUpToDate>
  <CharactersWithSpaces>21380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2018-08-29T07:43:00Z</dcterms:created>
  <dc:creator>Administrator</dc:creator>
  <cp:lastModifiedBy>没有彩排的^_^青春</cp:lastModifiedBy>
  <cp:lastPrinted>2024-09-25T03:13:00Z</cp:lastPrinted>
  <dcterms:modified xsi:type="dcterms:W3CDTF">2025-10-13T08:16:17Z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767268CBE1C349219F9558DB4315DC23_13</vt:lpwstr>
  </property>
  <property fmtid="{D5CDD505-2E9C-101B-9397-08002B2CF9AE}" pid="4" name="KSOTemplateDocerSaveRecord">
    <vt:lpwstr>eyJoZGlkIjoiYzZhZTY4NDNiMDZlYzQ3MWFhYWQ4Yjg3YzZmZjE2MDMiLCJ1c2VySWQiOiI0MTU1NDEzODYifQ==</vt:lpwstr>
  </property>
</Properties>
</file>