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FD7D9">
      <w:pPr>
        <w:rPr>
          <w:rFonts w:ascii="宋体" w:hAnsi="宋体" w:cs="宋体"/>
          <w:b/>
          <w:color w:val="auto"/>
          <w:sz w:val="32"/>
          <w:szCs w:val="32"/>
          <w:highlight w:val="none"/>
        </w:rPr>
      </w:pPr>
      <w:bookmarkStart w:id="1055" w:name="_GoBack"/>
      <w:bookmarkEnd w:id="1055"/>
    </w:p>
    <w:p w14:paraId="7DC58F60">
      <w:pPr>
        <w:rPr>
          <w:rFonts w:ascii="宋体" w:hAnsi="宋体" w:cs="宋体"/>
          <w:b/>
          <w:color w:val="auto"/>
          <w:sz w:val="32"/>
          <w:szCs w:val="32"/>
          <w:highlight w:val="none"/>
        </w:rPr>
      </w:pPr>
    </w:p>
    <w:p w14:paraId="2AA5D3CB">
      <w:pPr>
        <w:rPr>
          <w:rFonts w:ascii="宋体" w:hAnsi="宋体" w:cs="宋体"/>
          <w:b/>
          <w:color w:val="auto"/>
          <w:sz w:val="32"/>
          <w:szCs w:val="32"/>
          <w:highlight w:val="none"/>
        </w:rPr>
      </w:pPr>
    </w:p>
    <w:p w14:paraId="6E71C014">
      <w:pPr>
        <w:jc w:val="center"/>
        <w:rPr>
          <w:rFonts w:ascii="宋体" w:hAnsi="宋体" w:cs="宋体"/>
          <w:b/>
          <w:bCs/>
          <w:color w:val="auto"/>
          <w:sz w:val="44"/>
          <w:szCs w:val="44"/>
          <w:highlight w:val="none"/>
        </w:rPr>
      </w:pPr>
      <w:r>
        <w:rPr>
          <w:rFonts w:hint="eastAsia" w:ascii="宋体" w:hAnsi="宋体" w:cs="宋体"/>
          <w:b/>
          <w:bCs/>
          <w:color w:val="auto"/>
          <w:sz w:val="84"/>
          <w:highlight w:val="none"/>
        </w:rPr>
        <w:t>竞争性磋商文件</w:t>
      </w:r>
    </w:p>
    <w:p w14:paraId="15BF3D6C">
      <w:pPr>
        <w:spacing w:beforeLines="100" w:line="360" w:lineRule="auto"/>
        <w:jc w:val="center"/>
        <w:rPr>
          <w:rFonts w:ascii="宋体" w:hAnsi="宋体" w:cs="宋体"/>
          <w:b/>
          <w:color w:val="auto"/>
          <w:sz w:val="48"/>
          <w:szCs w:val="48"/>
          <w:highlight w:val="none"/>
        </w:rPr>
      </w:pPr>
      <w:r>
        <w:rPr>
          <w:rFonts w:hint="eastAsia" w:ascii="宋体" w:hAnsi="宋体" w:cs="宋体"/>
          <w:color w:val="auto"/>
          <w:sz w:val="48"/>
          <w:szCs w:val="48"/>
          <w:highlight w:val="none"/>
        </w:rPr>
        <w:t>（全流程电子化评标）</w:t>
      </w:r>
    </w:p>
    <w:p w14:paraId="261552A9">
      <w:pPr>
        <w:rPr>
          <w:rFonts w:ascii="宋体" w:hAnsi="宋体" w:cs="宋体"/>
          <w:b/>
          <w:color w:val="auto"/>
          <w:sz w:val="32"/>
          <w:szCs w:val="32"/>
          <w:highlight w:val="none"/>
        </w:rPr>
      </w:pPr>
    </w:p>
    <w:p w14:paraId="15E49BDD">
      <w:pPr>
        <w:rPr>
          <w:rFonts w:ascii="宋体" w:hAnsi="宋体" w:cs="宋体"/>
          <w:b/>
          <w:color w:val="auto"/>
          <w:sz w:val="32"/>
          <w:szCs w:val="32"/>
          <w:highlight w:val="none"/>
        </w:rPr>
      </w:pPr>
    </w:p>
    <w:p w14:paraId="254C6802">
      <w:pPr>
        <w:rPr>
          <w:rFonts w:ascii="宋体" w:hAnsi="宋体" w:cs="宋体"/>
          <w:b/>
          <w:color w:val="auto"/>
          <w:sz w:val="32"/>
          <w:szCs w:val="32"/>
          <w:highlight w:val="none"/>
        </w:rPr>
      </w:pPr>
    </w:p>
    <w:p w14:paraId="40DADA19">
      <w:pPr>
        <w:rPr>
          <w:rFonts w:ascii="宋体" w:hAnsi="宋体" w:cs="宋体"/>
          <w:b/>
          <w:color w:val="auto"/>
          <w:sz w:val="32"/>
          <w:szCs w:val="32"/>
          <w:highlight w:val="none"/>
        </w:rPr>
      </w:pPr>
    </w:p>
    <w:p w14:paraId="2C6D5D8C">
      <w:pPr>
        <w:rPr>
          <w:rFonts w:ascii="宋体" w:hAnsi="宋体" w:cs="宋体"/>
          <w:b/>
          <w:color w:val="auto"/>
          <w:sz w:val="32"/>
          <w:szCs w:val="32"/>
          <w:highlight w:val="none"/>
        </w:rPr>
      </w:pPr>
    </w:p>
    <w:p w14:paraId="296B5367">
      <w:pPr>
        <w:rPr>
          <w:rFonts w:ascii="宋体" w:hAnsi="宋体" w:cs="宋体"/>
          <w:b/>
          <w:color w:val="auto"/>
          <w:sz w:val="32"/>
          <w:szCs w:val="32"/>
          <w:highlight w:val="none"/>
        </w:rPr>
      </w:pPr>
    </w:p>
    <w:p w14:paraId="770FD8AD">
      <w:pPr>
        <w:rPr>
          <w:rFonts w:ascii="宋体" w:hAnsi="宋体" w:cs="宋体"/>
          <w:b/>
          <w:color w:val="auto"/>
          <w:sz w:val="32"/>
          <w:szCs w:val="32"/>
          <w:highlight w:val="none"/>
        </w:rPr>
      </w:pPr>
    </w:p>
    <w:p w14:paraId="06EE45E4">
      <w:pPr>
        <w:rPr>
          <w:rFonts w:ascii="宋体" w:hAnsi="宋体" w:cs="宋体"/>
          <w:b/>
          <w:color w:val="auto"/>
          <w:sz w:val="32"/>
          <w:szCs w:val="32"/>
          <w:highlight w:val="none"/>
        </w:rPr>
      </w:pPr>
    </w:p>
    <w:p w14:paraId="586CDB4C">
      <w:pPr>
        <w:rPr>
          <w:rFonts w:ascii="宋体" w:hAnsi="宋体" w:cs="宋体"/>
          <w:b/>
          <w:color w:val="auto"/>
          <w:sz w:val="32"/>
          <w:szCs w:val="32"/>
          <w:highlight w:val="none"/>
        </w:rPr>
      </w:pPr>
    </w:p>
    <w:p w14:paraId="6CC23D8E">
      <w:pPr>
        <w:rPr>
          <w:rFonts w:ascii="宋体" w:hAnsi="宋体" w:cs="宋体"/>
          <w:b/>
          <w:color w:val="auto"/>
          <w:sz w:val="32"/>
          <w:szCs w:val="32"/>
          <w:highlight w:val="none"/>
        </w:rPr>
      </w:pPr>
    </w:p>
    <w:p w14:paraId="6FF4874F">
      <w:pPr>
        <w:rPr>
          <w:rFonts w:ascii="宋体" w:hAnsi="宋体" w:cs="宋体"/>
          <w:b/>
          <w:color w:val="auto"/>
          <w:sz w:val="32"/>
          <w:szCs w:val="32"/>
          <w:highlight w:val="none"/>
        </w:rPr>
      </w:pPr>
    </w:p>
    <w:p w14:paraId="5AB83C63">
      <w:pPr>
        <w:rPr>
          <w:rFonts w:ascii="宋体" w:hAnsi="宋体" w:cs="宋体"/>
          <w:b/>
          <w:color w:val="auto"/>
          <w:sz w:val="32"/>
          <w:szCs w:val="32"/>
          <w:highlight w:val="none"/>
        </w:rPr>
      </w:pPr>
    </w:p>
    <w:p w14:paraId="736B97B0">
      <w:pPr>
        <w:spacing w:line="360" w:lineRule="auto"/>
        <w:ind w:firstLine="1134" w:firstLineChars="353"/>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梧州职业学院一食堂一楼新增电缆项目</w:t>
      </w:r>
    </w:p>
    <w:p w14:paraId="48C68E95">
      <w:pPr>
        <w:spacing w:line="360" w:lineRule="auto"/>
        <w:ind w:firstLine="1134" w:firstLineChars="353"/>
        <w:jc w:val="left"/>
        <w:rPr>
          <w:rFonts w:hint="eastAsia" w:ascii="宋体" w:hAnsi="宋体" w:eastAsia="宋体" w:cs="宋体"/>
          <w:b/>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WZZC2025-C3-990306-GXTZ</w:t>
      </w:r>
    </w:p>
    <w:p w14:paraId="4C7F7BF5">
      <w:pPr>
        <w:spacing w:line="360" w:lineRule="auto"/>
        <w:ind w:firstLine="1134" w:firstLineChars="353"/>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梧州职业学院（梧州市职业教育中心）</w:t>
      </w:r>
    </w:p>
    <w:p w14:paraId="2D339050">
      <w:pPr>
        <w:spacing w:line="360" w:lineRule="auto"/>
        <w:ind w:firstLine="1134" w:firstLineChars="353"/>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广西同泽工程项目管理股份有限公司</w:t>
      </w:r>
    </w:p>
    <w:p w14:paraId="44544BAB">
      <w:pPr>
        <w:rPr>
          <w:rFonts w:ascii="宋体" w:hAnsi="宋体" w:cs="宋体"/>
          <w:b/>
          <w:color w:val="auto"/>
          <w:sz w:val="32"/>
          <w:szCs w:val="32"/>
          <w:highlight w:val="none"/>
        </w:rPr>
      </w:pPr>
    </w:p>
    <w:p w14:paraId="2107B910">
      <w:pPr>
        <w:rPr>
          <w:rFonts w:ascii="宋体" w:hAnsi="宋体" w:cs="宋体"/>
          <w:b/>
          <w:color w:val="auto"/>
          <w:sz w:val="32"/>
          <w:szCs w:val="32"/>
          <w:highlight w:val="none"/>
        </w:rPr>
      </w:pPr>
    </w:p>
    <w:p w14:paraId="73B45E5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年11月</w:t>
      </w:r>
    </w:p>
    <w:p w14:paraId="12CE151B">
      <w:pPr>
        <w:rPr>
          <w:rFonts w:ascii="宋体" w:hAnsi="宋体" w:cs="宋体"/>
          <w:b/>
          <w:color w:val="auto"/>
          <w:sz w:val="32"/>
          <w:szCs w:val="32"/>
          <w:highlight w:val="none"/>
        </w:rPr>
      </w:pPr>
    </w:p>
    <w:p w14:paraId="2DB3329C">
      <w:pPr>
        <w:pStyle w:val="13"/>
        <w:rPr>
          <w:rFonts w:ascii="宋体" w:hAnsi="宋体" w:cs="宋体"/>
          <w:color w:val="auto"/>
          <w:highlight w:val="none"/>
        </w:rPr>
      </w:pPr>
    </w:p>
    <w:p w14:paraId="4A96BF2D">
      <w:pPr>
        <w:spacing w:line="360" w:lineRule="auto"/>
        <w:jc w:val="center"/>
        <w:rPr>
          <w:rFonts w:ascii="宋体" w:hAnsi="宋体" w:cs="宋体"/>
          <w:b/>
          <w:color w:val="auto"/>
          <w:sz w:val="32"/>
          <w:szCs w:val="32"/>
          <w:highlight w:val="none"/>
        </w:rPr>
        <w:sectPr>
          <w:pgSz w:w="11911" w:h="16838"/>
          <w:pgMar w:top="1418" w:right="1418" w:bottom="1418" w:left="1418" w:header="851" w:footer="964" w:gutter="0"/>
          <w:cols w:space="720" w:num="1"/>
          <w:docGrid w:linePitch="312" w:charSpace="0"/>
        </w:sectPr>
      </w:pPr>
    </w:p>
    <w:p w14:paraId="71B87A6B">
      <w:pPr>
        <w:spacing w:line="360" w:lineRule="auto"/>
        <w:jc w:val="center"/>
        <w:rPr>
          <w:rFonts w:ascii="宋体" w:hAnsi="宋体" w:cs="宋体"/>
          <w:b/>
          <w:color w:val="auto"/>
          <w:sz w:val="44"/>
          <w:szCs w:val="44"/>
          <w:highlight w:val="none"/>
        </w:rPr>
      </w:pPr>
      <w:r>
        <w:rPr>
          <w:rFonts w:hint="eastAsia" w:ascii="宋体" w:hAnsi="宋体" w:cs="宋体"/>
          <w:b/>
          <w:color w:val="auto"/>
          <w:sz w:val="32"/>
          <w:szCs w:val="32"/>
          <w:highlight w:val="none"/>
        </w:rPr>
        <w:t>目 录</w:t>
      </w:r>
    </w:p>
    <w:p w14:paraId="6CCE9B53">
      <w:pPr>
        <w:pStyle w:val="22"/>
        <w:tabs>
          <w:tab w:val="right" w:leader="dot" w:pos="9077"/>
        </w:tabs>
        <w:spacing w:line="360" w:lineRule="auto"/>
        <w:rPr>
          <w:rFonts w:ascii="宋体" w:hAnsi="宋体" w:cs="宋体"/>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"_Toc26732"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_Toc26732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133C793">
      <w:pPr>
        <w:pStyle w:val="22"/>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"_Toc15873" </w:instrText>
      </w:r>
      <w:r>
        <w:rPr>
          <w:color w:val="auto"/>
          <w:highlight w:val="none"/>
        </w:rPr>
        <w:fldChar w:fldCharType="separate"/>
      </w:r>
      <w:r>
        <w:rPr>
          <w:rFonts w:hint="eastAsia" w:ascii="宋体" w:hAnsi="宋体" w:cs="宋体"/>
          <w:color w:val="auto"/>
          <w:sz w:val="24"/>
          <w:highlight w:val="none"/>
        </w:rPr>
        <w:t>第二章 供应商须知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_Toc15873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353AD33">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"_Toc31224" </w:instrText>
      </w:r>
      <w:r>
        <w:rPr>
          <w:color w:val="auto"/>
          <w:highlight w:val="none"/>
        </w:rPr>
        <w:fldChar w:fldCharType="separate"/>
      </w:r>
      <w:r>
        <w:rPr>
          <w:rFonts w:hint="eastAsia" w:ascii="宋体" w:hAnsi="宋体" w:cs="宋体"/>
          <w:color w:val="auto"/>
          <w:sz w:val="24"/>
          <w:highlight w:val="none"/>
        </w:rPr>
        <w:t>第一节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_Toc31224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90EC942">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"_Toc3871" </w:instrText>
      </w:r>
      <w:r>
        <w:rPr>
          <w:color w:val="auto"/>
          <w:highlight w:val="none"/>
        </w:rPr>
        <w:fldChar w:fldCharType="separate"/>
      </w:r>
      <w:r>
        <w:rPr>
          <w:rFonts w:hint="eastAsia" w:ascii="宋体" w:hAnsi="宋体" w:cs="宋体"/>
          <w:color w:val="auto"/>
          <w:sz w:val="24"/>
          <w:highlight w:val="none"/>
        </w:rPr>
        <w:t>第二节 供应商须知正文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_Toc3871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A3E7700">
      <w:pPr>
        <w:pStyle w:val="16"/>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"_Toc14066" </w:instrText>
      </w:r>
      <w:r>
        <w:rPr>
          <w:color w:val="auto"/>
          <w:highlight w:val="none"/>
        </w:rPr>
        <w:fldChar w:fldCharType="separate"/>
      </w:r>
      <w:r>
        <w:rPr>
          <w:rFonts w:hint="eastAsia" w:ascii="宋体" w:hAnsi="宋体" w:cs="宋体"/>
          <w:bCs/>
          <w:color w:val="auto"/>
          <w:sz w:val="24"/>
          <w:highlight w:val="none"/>
        </w:rPr>
        <w:t>一、总则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_Toc14066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205E0B6">
      <w:pPr>
        <w:pStyle w:val="16"/>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"_Toc597" </w:instrText>
      </w:r>
      <w:r>
        <w:rPr>
          <w:color w:val="auto"/>
          <w:highlight w:val="none"/>
        </w:rPr>
        <w:fldChar w:fldCharType="separate"/>
      </w:r>
      <w:r>
        <w:rPr>
          <w:rFonts w:hint="eastAsia" w:ascii="宋体" w:hAnsi="宋体" w:cs="宋体"/>
          <w:bCs/>
          <w:color w:val="auto"/>
          <w:sz w:val="24"/>
          <w:highlight w:val="none"/>
        </w:rPr>
        <w:t>二、磋商文件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_Toc597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4162AC7">
      <w:pPr>
        <w:pStyle w:val="16"/>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"_Toc11654" </w:instrText>
      </w:r>
      <w:r>
        <w:rPr>
          <w:color w:val="auto"/>
          <w:highlight w:val="none"/>
        </w:rPr>
        <w:fldChar w:fldCharType="separate"/>
      </w:r>
      <w:r>
        <w:rPr>
          <w:rFonts w:hint="eastAsia" w:ascii="宋体" w:hAnsi="宋体" w:cs="宋体"/>
          <w:bCs/>
          <w:color w:val="auto"/>
          <w:sz w:val="24"/>
          <w:highlight w:val="none"/>
        </w:rPr>
        <w:t>三、响应文件的编制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_Toc11654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4F5DF4A">
      <w:pPr>
        <w:pStyle w:val="16"/>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"_Toc16919" </w:instrText>
      </w:r>
      <w:r>
        <w:rPr>
          <w:color w:val="auto"/>
          <w:highlight w:val="none"/>
        </w:rPr>
        <w:fldChar w:fldCharType="separate"/>
      </w:r>
      <w:r>
        <w:rPr>
          <w:rFonts w:hint="eastAsia" w:ascii="宋体" w:hAnsi="宋体" w:cs="宋体"/>
          <w:bCs/>
          <w:color w:val="auto"/>
          <w:sz w:val="24"/>
          <w:highlight w:val="none"/>
        </w:rPr>
        <w:t>四、评审及磋商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_Toc16919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AC952C6">
      <w:pPr>
        <w:pStyle w:val="16"/>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"_Toc18284" </w:instrText>
      </w:r>
      <w:r>
        <w:rPr>
          <w:color w:val="auto"/>
          <w:highlight w:val="none"/>
        </w:rPr>
        <w:fldChar w:fldCharType="separate"/>
      </w:r>
      <w:r>
        <w:rPr>
          <w:rFonts w:hint="eastAsia" w:ascii="宋体" w:hAnsi="宋体" w:cs="宋体"/>
          <w:bCs/>
          <w:color w:val="auto"/>
          <w:sz w:val="24"/>
          <w:highlight w:val="none"/>
        </w:rPr>
        <w:t>五、成交及合同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_Toc18284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DF08C1A">
      <w:pPr>
        <w:pStyle w:val="16"/>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"_Toc7683" </w:instrText>
      </w:r>
      <w:r>
        <w:rPr>
          <w:color w:val="auto"/>
          <w:highlight w:val="none"/>
        </w:rPr>
        <w:fldChar w:fldCharType="separate"/>
      </w:r>
      <w:r>
        <w:rPr>
          <w:rFonts w:hint="eastAsia" w:ascii="宋体" w:hAnsi="宋体" w:cs="宋体"/>
          <w:bCs/>
          <w:color w:val="auto"/>
          <w:sz w:val="24"/>
          <w:highlight w:val="none"/>
        </w:rPr>
        <w:t>六、验收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_Toc7683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7894B7">
      <w:pPr>
        <w:pStyle w:val="16"/>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"_Toc5991" </w:instrText>
      </w:r>
      <w:r>
        <w:rPr>
          <w:color w:val="auto"/>
          <w:highlight w:val="none"/>
        </w:rPr>
        <w:fldChar w:fldCharType="separate"/>
      </w:r>
      <w:r>
        <w:rPr>
          <w:rFonts w:hint="eastAsia" w:ascii="宋体" w:hAnsi="宋体" w:cs="宋体"/>
          <w:bCs/>
          <w:color w:val="auto"/>
          <w:sz w:val="24"/>
          <w:highlight w:val="none"/>
        </w:rPr>
        <w:t>七、其他事项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_Toc5991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8EE4AD">
      <w:pPr>
        <w:pStyle w:val="22"/>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"_Toc24815" </w:instrText>
      </w:r>
      <w:r>
        <w:rPr>
          <w:color w:val="auto"/>
          <w:highlight w:val="none"/>
        </w:rPr>
        <w:fldChar w:fldCharType="separate"/>
      </w:r>
      <w:r>
        <w:rPr>
          <w:rFonts w:hint="eastAsia" w:ascii="宋体" w:hAnsi="宋体" w:cs="宋体"/>
          <w:color w:val="auto"/>
          <w:sz w:val="24"/>
          <w:highlight w:val="none"/>
        </w:rPr>
        <w:t>第三章 采购需求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_Toc24815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0E5AD7">
      <w:pPr>
        <w:pStyle w:val="22"/>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"_Toc7085" </w:instrText>
      </w:r>
      <w:r>
        <w:rPr>
          <w:color w:val="auto"/>
          <w:highlight w:val="none"/>
        </w:rPr>
        <w:fldChar w:fldCharType="separate"/>
      </w:r>
      <w:r>
        <w:rPr>
          <w:rFonts w:hint="eastAsia" w:ascii="宋体" w:hAnsi="宋体" w:cs="宋体"/>
          <w:bCs/>
          <w:color w:val="auto"/>
          <w:sz w:val="24"/>
          <w:highlight w:val="none"/>
        </w:rPr>
        <w:t>第四章 评审程序、评审方法和评审标准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_Toc7085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8A25CE3">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"_Toc15394" </w:instrText>
      </w:r>
      <w:r>
        <w:rPr>
          <w:color w:val="auto"/>
          <w:highlight w:val="none"/>
        </w:rPr>
        <w:fldChar w:fldCharType="separate"/>
      </w:r>
      <w:r>
        <w:rPr>
          <w:rFonts w:hint="eastAsia" w:ascii="宋体" w:hAnsi="宋体" w:cs="宋体"/>
          <w:color w:val="auto"/>
          <w:sz w:val="24"/>
          <w:highlight w:val="none"/>
        </w:rPr>
        <w:t>第一节 评审程序和评审方法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_Toc15394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A8A5D68">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"_Toc25766" </w:instrText>
      </w:r>
      <w:r>
        <w:rPr>
          <w:color w:val="auto"/>
          <w:highlight w:val="none"/>
        </w:rPr>
        <w:fldChar w:fldCharType="separate"/>
      </w:r>
      <w:r>
        <w:rPr>
          <w:rFonts w:hint="eastAsia" w:ascii="宋体" w:hAnsi="宋体" w:cs="宋体"/>
          <w:color w:val="auto"/>
          <w:sz w:val="24"/>
          <w:highlight w:val="none"/>
        </w:rPr>
        <w:t>第二节 评标报告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_Toc25766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A6E6205">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"_Toc6554" </w:instrText>
      </w:r>
      <w:r>
        <w:rPr>
          <w:color w:val="auto"/>
          <w:highlight w:val="none"/>
        </w:rPr>
        <w:fldChar w:fldCharType="separate"/>
      </w:r>
      <w:r>
        <w:rPr>
          <w:rFonts w:hint="eastAsia" w:ascii="宋体" w:hAnsi="宋体" w:cs="宋体"/>
          <w:color w:val="auto"/>
          <w:sz w:val="24"/>
          <w:highlight w:val="none"/>
        </w:rPr>
        <w:t>第三节 评审过程的保密与录像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_Toc6554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E2EA919">
      <w:pPr>
        <w:pStyle w:val="22"/>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"_Toc19118" </w:instrText>
      </w:r>
      <w:r>
        <w:rPr>
          <w:color w:val="auto"/>
          <w:highlight w:val="none"/>
        </w:rPr>
        <w:fldChar w:fldCharType="separate"/>
      </w:r>
      <w:r>
        <w:rPr>
          <w:rFonts w:hint="eastAsia" w:ascii="宋体" w:hAnsi="宋体" w:cs="宋体"/>
          <w:color w:val="auto"/>
          <w:sz w:val="24"/>
          <w:highlight w:val="none"/>
        </w:rPr>
        <w:t>第五章 工程量清单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_Toc19118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B8CDF7">
      <w:pPr>
        <w:pStyle w:val="22"/>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"_Toc30036" </w:instrText>
      </w:r>
      <w:r>
        <w:rPr>
          <w:color w:val="auto"/>
          <w:highlight w:val="none"/>
        </w:rPr>
        <w:fldChar w:fldCharType="separate"/>
      </w:r>
      <w:r>
        <w:rPr>
          <w:rFonts w:hint="eastAsia" w:ascii="宋体" w:hAnsi="宋体" w:cs="宋体"/>
          <w:color w:val="auto"/>
          <w:sz w:val="24"/>
          <w:highlight w:val="none"/>
        </w:rPr>
        <w:t>第六章 图纸（另册）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_Toc30036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9F22F8A">
      <w:pPr>
        <w:pStyle w:val="22"/>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"_Toc29359" </w:instrText>
      </w:r>
      <w:r>
        <w:rPr>
          <w:color w:val="auto"/>
          <w:highlight w:val="none"/>
        </w:rPr>
        <w:fldChar w:fldCharType="separate"/>
      </w:r>
      <w:r>
        <w:rPr>
          <w:rFonts w:hint="eastAsia" w:ascii="宋体" w:hAnsi="宋体" w:cs="宋体"/>
          <w:bCs/>
          <w:color w:val="auto"/>
          <w:sz w:val="24"/>
          <w:highlight w:val="none"/>
        </w:rPr>
        <w:t>第七章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_Toc29359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AF4DA3">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"_Toc7655" </w:instrText>
      </w:r>
      <w:r>
        <w:rPr>
          <w:color w:val="auto"/>
          <w:highlight w:val="none"/>
        </w:rPr>
        <w:fldChar w:fldCharType="separate"/>
      </w:r>
      <w:r>
        <w:rPr>
          <w:rFonts w:hint="eastAsia" w:ascii="宋体" w:hAnsi="宋体" w:cs="宋体"/>
          <w:color w:val="auto"/>
          <w:sz w:val="24"/>
          <w:highlight w:val="none"/>
        </w:rPr>
        <w:t>第一节 封面格式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_Toc7655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ECB5D1">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"_Toc8406" </w:instrText>
      </w:r>
      <w:r>
        <w:rPr>
          <w:color w:val="auto"/>
          <w:highlight w:val="none"/>
        </w:rPr>
        <w:fldChar w:fldCharType="separate"/>
      </w:r>
      <w:r>
        <w:rPr>
          <w:rFonts w:hint="eastAsia" w:ascii="宋体" w:hAnsi="宋体" w:cs="宋体"/>
          <w:color w:val="auto"/>
          <w:sz w:val="24"/>
          <w:highlight w:val="none"/>
        </w:rPr>
        <w:t>第二节 资格证明文件格式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7559165">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"_Toc32504" </w:instrText>
      </w:r>
      <w:r>
        <w:rPr>
          <w:color w:val="auto"/>
          <w:highlight w:val="none"/>
        </w:rPr>
        <w:fldChar w:fldCharType="separate"/>
      </w:r>
      <w:r>
        <w:rPr>
          <w:rFonts w:hint="eastAsia" w:ascii="宋体" w:hAnsi="宋体" w:cs="宋体"/>
          <w:bCs/>
          <w:color w:val="auto"/>
          <w:sz w:val="24"/>
          <w:highlight w:val="none"/>
        </w:rPr>
        <w:t>第三节 商务技术文件格式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_Toc32504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8D39D62">
      <w:pPr>
        <w:pStyle w:val="24"/>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"_Toc4530" </w:instrText>
      </w:r>
      <w:r>
        <w:rPr>
          <w:color w:val="auto"/>
          <w:highlight w:val="none"/>
        </w:rPr>
        <w:fldChar w:fldCharType="separate"/>
      </w:r>
      <w:r>
        <w:rPr>
          <w:rFonts w:hint="eastAsia" w:ascii="宋体" w:hAnsi="宋体" w:cs="宋体"/>
          <w:color w:val="auto"/>
          <w:sz w:val="24"/>
          <w:highlight w:val="none"/>
        </w:rPr>
        <w:t>第四节 报价文件格式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_Toc4530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A197CE8">
      <w:pPr>
        <w:pStyle w:val="22"/>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cs="宋体"/>
          <w:color w:val="auto"/>
          <w:sz w:val="24"/>
          <w:highlight w:val="none"/>
        </w:rPr>
        <w:t>第八章 合同文本</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_Toc27730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67291A">
      <w:pPr>
        <w:pStyle w:val="22"/>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"_Toc5496" </w:instrText>
      </w:r>
      <w:r>
        <w:rPr>
          <w:color w:val="auto"/>
          <w:highlight w:val="none"/>
        </w:rPr>
        <w:fldChar w:fldCharType="separate"/>
      </w:r>
      <w:r>
        <w:rPr>
          <w:rFonts w:hint="eastAsia" w:ascii="宋体" w:hAnsi="宋体" w:cs="宋体"/>
          <w:color w:val="auto"/>
          <w:sz w:val="24"/>
          <w:highlight w:val="none"/>
        </w:rPr>
        <w:t>第九章 质疑、投诉材料格式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_Toc5496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86B2DD0">
      <w:pPr>
        <w:pStyle w:val="24"/>
        <w:spacing w:line="360" w:lineRule="auto"/>
        <w:rPr>
          <w:rFonts w:ascii="宋体" w:hAnsi="宋体" w:cs="宋体"/>
          <w:b/>
          <w:color w:val="auto"/>
          <w:sz w:val="32"/>
          <w:szCs w:val="32"/>
          <w:highlight w:val="none"/>
        </w:rPr>
      </w:pPr>
      <w:r>
        <w:rPr>
          <w:rFonts w:hint="eastAsia" w:ascii="宋体" w:hAnsi="宋体" w:cs="宋体"/>
          <w:color w:val="auto"/>
          <w:sz w:val="24"/>
          <w:highlight w:val="none"/>
        </w:rPr>
        <w:fldChar w:fldCharType="end"/>
      </w:r>
    </w:p>
    <w:p w14:paraId="4ADB1EA4">
      <w:pPr>
        <w:pStyle w:val="3"/>
        <w:spacing w:before="0" w:after="0" w:line="360" w:lineRule="auto"/>
        <w:jc w:val="center"/>
        <w:rPr>
          <w:rFonts w:ascii="宋体" w:hAnsi="宋体" w:cs="宋体"/>
          <w:bCs w:val="0"/>
          <w:color w:val="auto"/>
          <w:kern w:val="2"/>
          <w:sz w:val="32"/>
          <w:szCs w:val="32"/>
          <w:highlight w:val="none"/>
        </w:rPr>
        <w:sectPr>
          <w:footerReference r:id="rId3" w:type="default"/>
          <w:pgSz w:w="11911" w:h="16838"/>
          <w:pgMar w:top="1418" w:right="1418" w:bottom="1418" w:left="1418" w:header="851" w:footer="964" w:gutter="0"/>
          <w:pgNumType w:start="1"/>
          <w:cols w:space="720" w:num="1"/>
          <w:docGrid w:linePitch="312" w:charSpace="0"/>
        </w:sectPr>
      </w:pPr>
    </w:p>
    <w:p w14:paraId="3C38B3F9">
      <w:pPr>
        <w:pStyle w:val="3"/>
        <w:spacing w:before="0" w:after="0" w:line="360" w:lineRule="auto"/>
        <w:jc w:val="center"/>
        <w:rPr>
          <w:rFonts w:ascii="宋体" w:hAnsi="宋体" w:cs="宋体"/>
          <w:bCs w:val="0"/>
          <w:color w:val="auto"/>
          <w:kern w:val="2"/>
          <w:sz w:val="32"/>
          <w:szCs w:val="32"/>
          <w:highlight w:val="none"/>
        </w:rPr>
      </w:pPr>
      <w:bookmarkStart w:id="0" w:name="_Toc26732"/>
      <w:r>
        <w:rPr>
          <w:rFonts w:hint="eastAsia" w:ascii="宋体" w:hAnsi="宋体" w:cs="宋体"/>
          <w:bCs w:val="0"/>
          <w:color w:val="auto"/>
          <w:kern w:val="2"/>
          <w:sz w:val="32"/>
          <w:szCs w:val="32"/>
          <w:highlight w:val="none"/>
        </w:rPr>
        <w:t>第一章 竞争性磋商公告</w:t>
      </w:r>
      <w:bookmarkEnd w:id="0"/>
      <w:bookmarkStart w:id="1" w:name="_Toc35393629"/>
      <w:bookmarkStart w:id="2" w:name="_Toc44229878"/>
      <w:bookmarkStart w:id="3" w:name="_Toc35393798"/>
      <w:bookmarkStart w:id="4" w:name="_Toc28359089"/>
      <w:bookmarkStart w:id="5" w:name="_Toc28359012"/>
      <w:bookmarkStart w:id="6" w:name="_Toc35393792"/>
      <w:bookmarkStart w:id="7" w:name="_Toc35393623"/>
      <w:bookmarkStart w:id="8" w:name="_Toc28359004"/>
      <w:bookmarkStart w:id="9" w:name="_Toc28359081"/>
    </w:p>
    <w:tbl>
      <w:tblPr>
        <w:tblStyle w:val="29"/>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9"/>
      </w:tblGrid>
      <w:tr w14:paraId="7CB6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9079" w:type="dxa"/>
            <w:vAlign w:val="center"/>
          </w:tcPr>
          <w:p w14:paraId="4CDF0B5D">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A7849EF">
            <w:pPr>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梧州职业学院一食堂一楼新增电缆项目</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获取采购文件，并于</w:t>
            </w:r>
            <w:bookmarkStart w:id="10" w:name="OLE_LINK2"/>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日9:30</w:t>
            </w:r>
            <w:bookmarkEnd w:id="10"/>
            <w:r>
              <w:rPr>
                <w:rFonts w:hint="eastAsia" w:ascii="宋体" w:hAnsi="宋体" w:cs="宋体"/>
                <w:color w:val="auto"/>
                <w:szCs w:val="21"/>
                <w:highlight w:val="none"/>
              </w:rPr>
              <w:t>（北京时间）前提交响应文件。</w:t>
            </w:r>
          </w:p>
        </w:tc>
      </w:tr>
    </w:tbl>
    <w:p w14:paraId="67FCED2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一、项目基本情况</w:t>
      </w:r>
      <w:bookmarkEnd w:id="1"/>
      <w:bookmarkEnd w:id="2"/>
      <w:bookmarkEnd w:id="3"/>
      <w:bookmarkEnd w:id="4"/>
      <w:bookmarkEnd w:id="5"/>
    </w:p>
    <w:p w14:paraId="743E0DA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WZZC2025-C3-990306-GXTZ</w:t>
      </w:r>
    </w:p>
    <w:p w14:paraId="0E9A9A59">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梧州职业学院一食堂一楼新增电缆项目</w:t>
      </w:r>
    </w:p>
    <w:p w14:paraId="36F45F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76A425C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686576.40</w:t>
      </w:r>
    </w:p>
    <w:p w14:paraId="162147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33FC8BDD">
      <w:pPr>
        <w:spacing w:line="360" w:lineRule="auto"/>
        <w:ind w:left="850" w:leftChars="40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梧州职业学院一食堂一楼新增电缆项目</w:t>
      </w:r>
    </w:p>
    <w:p w14:paraId="0D203AF7">
      <w:pPr>
        <w:spacing w:line="360" w:lineRule="auto"/>
        <w:ind w:left="850" w:leftChars="405"/>
        <w:rPr>
          <w:rFonts w:ascii="宋体" w:hAnsi="宋体" w:cs="宋体"/>
          <w:color w:val="auto"/>
          <w:szCs w:val="21"/>
          <w:highlight w:val="none"/>
        </w:rPr>
      </w:pPr>
      <w:r>
        <w:rPr>
          <w:rFonts w:hint="eastAsia" w:ascii="宋体" w:hAnsi="宋体" w:cs="宋体"/>
          <w:color w:val="auto"/>
          <w:szCs w:val="21"/>
          <w:highlight w:val="none"/>
        </w:rPr>
        <w:t>数量：不限</w:t>
      </w:r>
    </w:p>
    <w:p w14:paraId="43F8F68A">
      <w:pPr>
        <w:spacing w:line="360" w:lineRule="auto"/>
        <w:ind w:left="850" w:leftChars="40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bookmarkStart w:id="11" w:name="OLE_LINK1"/>
      <w:r>
        <w:rPr>
          <w:rFonts w:hint="eastAsia" w:ascii="宋体" w:hAnsi="宋体" w:cs="宋体"/>
          <w:color w:val="auto"/>
          <w:szCs w:val="21"/>
          <w:highlight w:val="none"/>
          <w:lang w:eastAsia="zh-CN"/>
        </w:rPr>
        <w:t>686576.40</w:t>
      </w:r>
      <w:bookmarkEnd w:id="11"/>
    </w:p>
    <w:p w14:paraId="0D3C763D">
      <w:pPr>
        <w:widowControl/>
        <w:adjustRightInd w:val="0"/>
        <w:spacing w:line="360" w:lineRule="auto"/>
        <w:ind w:left="850" w:leftChars="405"/>
        <w:jc w:val="left"/>
        <w:textAlignment w:val="baseline"/>
        <w:rPr>
          <w:rStyle w:val="96"/>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bookmarkStart w:id="12" w:name="PO_3000001868_PM004"/>
      <w:r>
        <w:rPr>
          <w:rFonts w:hint="eastAsia" w:ascii="宋体" w:hAnsi="宋体" w:cs="宋体"/>
          <w:color w:val="auto"/>
          <w:szCs w:val="21"/>
          <w:highlight w:val="none"/>
          <w:lang w:val="en-US" w:eastAsia="zh-CN"/>
        </w:rPr>
        <w:t>新增埋地电缆YJV(4×240）500余米、PVC套管PVC160及相关配套工程</w:t>
      </w:r>
      <w:r>
        <w:rPr>
          <w:rFonts w:hint="eastAsia" w:ascii="宋体" w:hAnsi="宋体" w:cs="宋体"/>
          <w:color w:val="auto"/>
          <w:szCs w:val="21"/>
          <w:highlight w:val="none"/>
        </w:rPr>
        <w:t>。具体按施工图纸、工程量清单、竞争性磋商文件及相关补充通知的全部内容。</w:t>
      </w:r>
    </w:p>
    <w:bookmarkEnd w:id="12"/>
    <w:p w14:paraId="495F742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w:t>
      </w:r>
      <w:bookmarkStart w:id="13" w:name="_Hlk66782034"/>
      <w:r>
        <w:rPr>
          <w:rFonts w:hint="eastAsia" w:ascii="宋体" w:hAnsi="宋体" w:cs="宋体"/>
          <w:color w:val="auto"/>
          <w:szCs w:val="21"/>
          <w:highlight w:val="none"/>
        </w:rPr>
        <w:t>（如有）</w:t>
      </w:r>
      <w:bookmarkEnd w:id="13"/>
      <w:r>
        <w:rPr>
          <w:rFonts w:hint="eastAsia" w:ascii="宋体" w:hAnsi="宋体" w:cs="宋体"/>
          <w:color w:val="auto"/>
          <w:szCs w:val="21"/>
          <w:highlight w:val="none"/>
        </w:rPr>
        <w:t>：</w:t>
      </w:r>
      <w:r>
        <w:rPr>
          <w:rFonts w:hint="eastAsia" w:ascii="宋体" w:hAnsi="宋体" w:cs="宋体"/>
          <w:color w:val="auto"/>
          <w:szCs w:val="21"/>
          <w:highlight w:val="none"/>
          <w:lang w:eastAsia="zh-CN"/>
        </w:rPr>
        <w:t>686576.40</w:t>
      </w:r>
    </w:p>
    <w:p w14:paraId="469401E7">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bidi="zh-CN"/>
        </w:rPr>
        <w:t>工期</w:t>
      </w:r>
      <w:r>
        <w:rPr>
          <w:rFonts w:hint="eastAsia" w:ascii="宋体" w:hAnsi="宋体" w:cs="宋体"/>
          <w:color w:val="auto"/>
          <w:szCs w:val="21"/>
          <w:highlight w:val="none"/>
          <w:u w:val="single"/>
          <w:lang w:val="en-US" w:bidi="zh-CN"/>
        </w:rPr>
        <w:t>30</w:t>
      </w:r>
      <w:r>
        <w:rPr>
          <w:rFonts w:hint="eastAsia" w:ascii="宋体" w:hAnsi="宋体" w:cs="宋体"/>
          <w:color w:val="auto"/>
          <w:szCs w:val="21"/>
          <w:highlight w:val="none"/>
          <w:lang w:bidi="zh-CN"/>
        </w:rPr>
        <w:t>日历天</w:t>
      </w:r>
      <w:r>
        <w:rPr>
          <w:rFonts w:hint="eastAsia" w:ascii="宋体" w:hAnsi="宋体" w:cs="宋体"/>
          <w:color w:val="auto"/>
          <w:szCs w:val="21"/>
          <w:highlight w:val="none"/>
        </w:rPr>
        <w:t>。</w:t>
      </w:r>
    </w:p>
    <w:p w14:paraId="45BFA9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本项目（否）接受联合体</w:t>
      </w:r>
    </w:p>
    <w:p w14:paraId="2E8F3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备注：本项目为专门面向中小企业预留采购份额。</w:t>
      </w:r>
      <w:r>
        <w:rPr>
          <w:rFonts w:ascii="宋体" w:hAnsi="宋体" w:cs="宋体"/>
          <w:color w:val="auto"/>
          <w:szCs w:val="21"/>
          <w:highlight w:val="none"/>
        </w:rPr>
        <w:t>供应商应为中小微企业</w:t>
      </w:r>
      <w:r>
        <w:rPr>
          <w:rFonts w:hint="eastAsia" w:ascii="宋体" w:hAnsi="宋体" w:cs="宋体"/>
          <w:color w:val="auto"/>
          <w:szCs w:val="21"/>
          <w:highlight w:val="none"/>
        </w:rPr>
        <w:t>，残疾人福利性单位、监狱企业视同小型和微型企业。</w:t>
      </w:r>
    </w:p>
    <w:p w14:paraId="5A956934">
      <w:pPr>
        <w:spacing w:line="360" w:lineRule="auto"/>
        <w:ind w:firstLine="422" w:firstLineChars="200"/>
        <w:rPr>
          <w:rFonts w:ascii="宋体" w:hAnsi="宋体" w:cs="宋体"/>
          <w:bCs/>
          <w:color w:val="auto"/>
          <w:szCs w:val="21"/>
          <w:highlight w:val="none"/>
        </w:rPr>
      </w:pPr>
      <w:bookmarkStart w:id="14" w:name="_Toc44229879"/>
      <w:bookmarkStart w:id="15" w:name="_Toc28359090"/>
      <w:bookmarkStart w:id="16" w:name="_Toc35393799"/>
      <w:bookmarkStart w:id="17" w:name="_Toc28359013"/>
      <w:bookmarkStart w:id="18" w:name="_Toc35393630"/>
      <w:r>
        <w:rPr>
          <w:rFonts w:hint="eastAsia" w:ascii="宋体" w:hAnsi="宋体" w:cs="宋体"/>
          <w:b/>
          <w:color w:val="auto"/>
          <w:szCs w:val="21"/>
          <w:highlight w:val="none"/>
        </w:rPr>
        <w:t>二、申请人的资格要求：</w:t>
      </w:r>
      <w:bookmarkEnd w:id="14"/>
      <w:bookmarkEnd w:id="15"/>
      <w:bookmarkEnd w:id="16"/>
      <w:bookmarkEnd w:id="17"/>
      <w:bookmarkEnd w:id="18"/>
    </w:p>
    <w:p w14:paraId="2103F6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0354E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2.落实政府采购政策需满足的资格要求：供应商为中小企业；</w:t>
      </w:r>
    </w:p>
    <w:p w14:paraId="4B49B5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1）供应商资质要求：具备电力工程施工总承包三级（含）以上或输变电工程专业承包三级（含）以上资质，并具备《承装（修、试）电力设施许可证》（许可类别和等级要求：承装类、承修类、承试类五级（含）以上）资质，且具备有效的安全生产许可证。</w:t>
      </w:r>
    </w:p>
    <w:p w14:paraId="4818A0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经理：拟派的项目经理须具备机电工程专业二级或以上注册建造师执业资格，具备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6C909FC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三、获取采购文件</w:t>
      </w:r>
      <w:bookmarkEnd w:id="6"/>
      <w:bookmarkEnd w:id="7"/>
      <w:bookmarkEnd w:id="8"/>
      <w:bookmarkEnd w:id="9"/>
    </w:p>
    <w:p w14:paraId="3B33E63B">
      <w:pPr>
        <w:spacing w:line="360" w:lineRule="auto"/>
        <w:ind w:firstLine="420" w:firstLineChars="200"/>
        <w:rPr>
          <w:rFonts w:ascii="宋体" w:hAnsi="宋体" w:cs="宋体"/>
          <w:color w:val="auto"/>
          <w:szCs w:val="21"/>
          <w:highlight w:val="none"/>
        </w:rPr>
      </w:pPr>
      <w:bookmarkStart w:id="19" w:name="_Toc35393793"/>
      <w:bookmarkStart w:id="20" w:name="_Toc35393624"/>
      <w:bookmarkStart w:id="21" w:name="_Toc28359005"/>
      <w:bookmarkStart w:id="22" w:name="_Toc28359082"/>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日，每天上午00:00至12:00，下午12:00至23:59（北京时间，法定节假日除外）</w:t>
      </w:r>
    </w:p>
    <w:p w14:paraId="4DFB1F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12E9980B">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方式：</w:t>
      </w:r>
      <w:r>
        <w:rPr>
          <w:rFonts w:ascii="宋体" w:hAnsi="宋体" w:cs="宋体"/>
          <w:color w:val="auto"/>
          <w:szCs w:val="21"/>
          <w:highlight w:val="none"/>
        </w:rPr>
        <w:t>供应商登录广西政府采购云平台https://www.gcy.zfcg.gxzf.gov.cn/在线申请获取采购文件（进入“项目采购”应用，在获取采购文件菜单中选择项目，申请获取采购文件）</w:t>
      </w:r>
    </w:p>
    <w:p w14:paraId="2EB03A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14:paraId="07A44FC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w:t>
      </w:r>
      <w:bookmarkEnd w:id="19"/>
      <w:bookmarkEnd w:id="20"/>
      <w:bookmarkEnd w:id="21"/>
      <w:bookmarkEnd w:id="22"/>
      <w:r>
        <w:rPr>
          <w:rFonts w:hint="eastAsia" w:ascii="宋体" w:hAnsi="宋体" w:cs="宋体"/>
          <w:b/>
          <w:bCs/>
          <w:color w:val="auto"/>
          <w:szCs w:val="21"/>
          <w:highlight w:val="none"/>
        </w:rPr>
        <w:t>响应文件提交</w:t>
      </w:r>
    </w:p>
    <w:p w14:paraId="55552E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日9:30</w:t>
      </w:r>
      <w:r>
        <w:rPr>
          <w:rFonts w:hint="eastAsia" w:ascii="宋体" w:hAnsi="宋体" w:cs="宋体"/>
          <w:color w:val="auto"/>
          <w:szCs w:val="21"/>
          <w:highlight w:val="none"/>
        </w:rPr>
        <w:t>（北京时间）</w:t>
      </w:r>
    </w:p>
    <w:p w14:paraId="280E2D9E">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地点（网址）：</w:t>
      </w:r>
      <w:r>
        <w:rPr>
          <w:rFonts w:ascii="宋体" w:hAnsi="宋体" w:cs="宋体"/>
          <w:bCs/>
          <w:color w:val="auto"/>
          <w:szCs w:val="21"/>
          <w:highlight w:val="none"/>
        </w:rPr>
        <w:t>请登录广西政府采购云平台投标客户端投标</w:t>
      </w:r>
    </w:p>
    <w:p w14:paraId="5CC3281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五、响应文件开启</w:t>
      </w:r>
    </w:p>
    <w:p w14:paraId="224B2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开启时间：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日9:30</w:t>
      </w:r>
      <w:r>
        <w:rPr>
          <w:rFonts w:hint="eastAsia" w:ascii="宋体" w:hAnsi="宋体" w:cs="宋体"/>
          <w:color w:val="auto"/>
          <w:szCs w:val="21"/>
          <w:highlight w:val="none"/>
        </w:rPr>
        <w:t>（北京时间）</w:t>
      </w:r>
    </w:p>
    <w:p w14:paraId="66F1647D">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地点：通过广西政府采购云平台（https://www.gcy.zfcg.gxzf.gov.cn/）实行在线解密开启</w:t>
      </w:r>
    </w:p>
    <w:p w14:paraId="5EC8E23E">
      <w:pPr>
        <w:spacing w:line="360" w:lineRule="auto"/>
        <w:ind w:firstLine="422" w:firstLineChars="200"/>
        <w:rPr>
          <w:rFonts w:ascii="宋体" w:hAnsi="宋体" w:cs="宋体"/>
          <w:b/>
          <w:bCs/>
          <w:color w:val="auto"/>
          <w:szCs w:val="21"/>
          <w:highlight w:val="none"/>
        </w:rPr>
      </w:pPr>
      <w:bookmarkStart w:id="23" w:name="_Toc35393794"/>
      <w:bookmarkStart w:id="24" w:name="_Toc28359007"/>
      <w:bookmarkStart w:id="25" w:name="_Toc28359084"/>
      <w:bookmarkStart w:id="26" w:name="_Toc35393625"/>
      <w:r>
        <w:rPr>
          <w:rFonts w:hint="eastAsia" w:ascii="宋体" w:hAnsi="宋体" w:cs="宋体"/>
          <w:b/>
          <w:bCs/>
          <w:color w:val="auto"/>
          <w:szCs w:val="21"/>
          <w:highlight w:val="none"/>
        </w:rPr>
        <w:t>六、公告期限</w:t>
      </w:r>
      <w:bookmarkEnd w:id="23"/>
      <w:bookmarkEnd w:id="24"/>
      <w:bookmarkEnd w:id="25"/>
      <w:bookmarkEnd w:id="26"/>
    </w:p>
    <w:p w14:paraId="3D1098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16D94BA9">
      <w:pPr>
        <w:spacing w:line="360" w:lineRule="auto"/>
        <w:ind w:firstLine="422" w:firstLineChars="200"/>
        <w:rPr>
          <w:rFonts w:ascii="宋体" w:hAnsi="宋体" w:cs="宋体"/>
          <w:b/>
          <w:bCs/>
          <w:color w:val="auto"/>
          <w:szCs w:val="21"/>
          <w:highlight w:val="none"/>
        </w:rPr>
      </w:pPr>
      <w:bookmarkStart w:id="27" w:name="_Toc35393626"/>
      <w:bookmarkStart w:id="28" w:name="_Toc35393795"/>
      <w:r>
        <w:rPr>
          <w:rFonts w:hint="eastAsia" w:ascii="宋体" w:hAnsi="宋体" w:cs="宋体"/>
          <w:b/>
          <w:bCs/>
          <w:color w:val="auto"/>
          <w:szCs w:val="21"/>
          <w:highlight w:val="none"/>
        </w:rPr>
        <w:t>七、其他补充事宜</w:t>
      </w:r>
      <w:bookmarkEnd w:id="27"/>
      <w:bookmarkEnd w:id="28"/>
    </w:p>
    <w:p w14:paraId="2068F7B3">
      <w:pPr>
        <w:spacing w:line="360" w:lineRule="auto"/>
        <w:ind w:firstLine="420" w:firstLineChars="200"/>
        <w:rPr>
          <w:rFonts w:ascii="宋体" w:hAnsi="宋体" w:cs="宋体"/>
          <w:color w:val="auto"/>
          <w:szCs w:val="21"/>
          <w:highlight w:val="none"/>
        </w:rPr>
      </w:pPr>
      <w:bookmarkStart w:id="29" w:name="_Hlk37429585"/>
      <w:bookmarkStart w:id="30" w:name="_Hlk37429595"/>
      <w:r>
        <w:rPr>
          <w:rFonts w:hint="eastAsia" w:ascii="宋体" w:hAnsi="宋体" w:cs="宋体"/>
          <w:color w:val="auto"/>
          <w:szCs w:val="21"/>
          <w:highlight w:val="none"/>
        </w:rPr>
        <w:t>1.网上查询地址</w:t>
      </w:r>
      <w:bookmarkEnd w:id="29"/>
      <w:bookmarkEnd w:id="30"/>
      <w:bookmarkStart w:id="31" w:name="_Hlk37429674"/>
      <w:r>
        <w:rPr>
          <w:rFonts w:hint="eastAsia" w:ascii="宋体" w:hAnsi="宋体" w:cs="宋体"/>
          <w:color w:val="auto"/>
          <w:szCs w:val="21"/>
          <w:highlight w:val="none"/>
        </w:rPr>
        <w:t>：</w:t>
      </w:r>
      <w:r>
        <w:rPr>
          <w:rFonts w:hint="eastAsia" w:ascii="宋体" w:hAnsi="宋体" w:cs="宋体"/>
          <w:bCs/>
          <w:color w:val="auto"/>
          <w:szCs w:val="21"/>
          <w:highlight w:val="none"/>
        </w:rPr>
        <w:t>中国政府采购网、广西壮族自治区政府采购网、梧州市政府采购网。</w:t>
      </w:r>
    </w:p>
    <w:bookmarkEnd w:id="31"/>
    <w:p w14:paraId="1110E5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2.在线投标响应（电子投标）说明</w:t>
      </w:r>
    </w:p>
    <w:p w14:paraId="7536A0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2E2D0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5BD746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E7200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C1647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（4）供应商需要在具备有摄像头及语音功能且互联网网络状况良好的电脑登录广西政府采购云平台远程开标大厅参与本次磋商，否则后果自负。</w:t>
      </w:r>
    </w:p>
    <w:p w14:paraId="32974F7F">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八、凡对本次采购提出询问，请按以下方式联系</w:t>
      </w:r>
    </w:p>
    <w:p w14:paraId="004CB7B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5839BC62">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梧州职业学院（梧州市职业教育中心）</w:t>
      </w:r>
    </w:p>
    <w:p w14:paraId="21F2AF7C">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 xml:space="preserve">梧州市三龙大道88号 </w:t>
      </w:r>
    </w:p>
    <w:p w14:paraId="62CAA21F">
      <w:pPr>
        <w:pStyle w:val="17"/>
        <w:spacing w:line="360" w:lineRule="auto"/>
        <w:ind w:firstLine="420" w:firstLineChars="200"/>
        <w:rPr>
          <w:rFonts w:hint="eastAsia" w:hAnsi="宋体" w:eastAsia="宋体" w:cs="宋体"/>
          <w:color w:val="auto"/>
          <w:kern w:val="2"/>
          <w:sz w:val="21"/>
          <w:highlight w:val="none"/>
          <w:lang w:eastAsia="zh-CN"/>
        </w:rPr>
      </w:pPr>
      <w:r>
        <w:rPr>
          <w:rFonts w:hint="eastAsia" w:hAnsi="宋体" w:cs="宋体"/>
          <w:color w:val="auto"/>
          <w:kern w:val="2"/>
          <w:sz w:val="21"/>
          <w:highlight w:val="none"/>
        </w:rPr>
        <w:t>项目联系人：</w:t>
      </w:r>
      <w:r>
        <w:rPr>
          <w:rFonts w:hint="eastAsia" w:hAnsi="宋体" w:cs="宋体"/>
          <w:color w:val="auto"/>
          <w:kern w:val="2"/>
          <w:sz w:val="21"/>
          <w:highlight w:val="none"/>
          <w:lang w:eastAsia="zh-CN"/>
        </w:rPr>
        <w:t>宋老师</w:t>
      </w:r>
    </w:p>
    <w:p w14:paraId="2BD4C960">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项目联系方式：</w:t>
      </w:r>
      <w:r>
        <w:rPr>
          <w:rFonts w:hint="eastAsia" w:ascii="宋体" w:hAnsi="宋体" w:cs="宋体"/>
          <w:color w:val="auto"/>
          <w:szCs w:val="21"/>
          <w:highlight w:val="none"/>
          <w:lang w:eastAsia="zh-CN"/>
        </w:rPr>
        <w:t>0774-3832396</w:t>
      </w:r>
    </w:p>
    <w:p w14:paraId="40F5E67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4A19EB6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广西同泽工程项目管理股份有限公司</w:t>
      </w:r>
    </w:p>
    <w:p w14:paraId="56A8186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广西壮族自治区梧州市长洲区新兴二路御山帝景1栋3单元402房</w:t>
      </w:r>
    </w:p>
    <w:p w14:paraId="5B99829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胡工</w:t>
      </w:r>
    </w:p>
    <w:p w14:paraId="4E1A209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项目联系方式：</w:t>
      </w:r>
      <w:r>
        <w:rPr>
          <w:rFonts w:hint="eastAsia" w:ascii="宋体" w:hAnsi="宋体" w:cs="宋体"/>
          <w:color w:val="auto"/>
          <w:szCs w:val="21"/>
          <w:highlight w:val="none"/>
          <w:lang w:eastAsia="zh-CN"/>
        </w:rPr>
        <w:t>0771-3181854</w:t>
      </w:r>
    </w:p>
    <w:p w14:paraId="417327E7">
      <w:pPr>
        <w:spacing w:line="360" w:lineRule="auto"/>
        <w:ind w:firstLine="420" w:firstLineChars="200"/>
        <w:rPr>
          <w:rFonts w:ascii="宋体" w:hAnsi="宋体" w:cs="宋体"/>
          <w:color w:val="auto"/>
          <w:szCs w:val="21"/>
          <w:highlight w:val="none"/>
        </w:rPr>
      </w:pPr>
    </w:p>
    <w:p w14:paraId="64E341FE">
      <w:pPr>
        <w:pStyle w:val="11"/>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广西同泽工程项目管理股份有限公司</w:t>
      </w:r>
    </w:p>
    <w:p w14:paraId="46B3B923">
      <w:pPr>
        <w:pStyle w:val="20"/>
        <w:snapToGrid/>
        <w:spacing w:line="360" w:lineRule="auto"/>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rPr>
        <w:t>202</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lang w:val="en-US" w:eastAsia="zh-CN"/>
        </w:rPr>
        <w:t>11</w:t>
      </w:r>
      <w:r>
        <w:rPr>
          <w:rFonts w:hint="eastAsia" w:ascii="宋体" w:hAnsi="宋体" w:cs="宋体"/>
          <w:color w:val="auto"/>
          <w:kern w:val="2"/>
          <w:sz w:val="21"/>
          <w:szCs w:val="21"/>
          <w:highlight w:val="none"/>
        </w:rPr>
        <w:t>月</w:t>
      </w:r>
      <w:r>
        <w:rPr>
          <w:rFonts w:hint="eastAsia" w:ascii="宋体" w:hAnsi="宋体" w:cs="宋体"/>
          <w:color w:val="auto"/>
          <w:kern w:val="2"/>
          <w:sz w:val="21"/>
          <w:szCs w:val="21"/>
          <w:highlight w:val="none"/>
          <w:lang w:val="en-US" w:eastAsia="zh-CN"/>
        </w:rPr>
        <w:t>19</w:t>
      </w:r>
      <w:r>
        <w:rPr>
          <w:rFonts w:hint="eastAsia" w:ascii="宋体" w:hAnsi="宋体" w:cs="宋体"/>
          <w:color w:val="auto"/>
          <w:kern w:val="2"/>
          <w:sz w:val="21"/>
          <w:szCs w:val="21"/>
          <w:highlight w:val="none"/>
        </w:rPr>
        <w:t>日</w:t>
      </w:r>
    </w:p>
    <w:p w14:paraId="0C22D0A8">
      <w:pPr>
        <w:spacing w:line="360" w:lineRule="auto"/>
        <w:jc w:val="center"/>
        <w:outlineLvl w:val="0"/>
        <w:rPr>
          <w:rFonts w:ascii="宋体" w:hAnsi="宋体" w:cs="宋体"/>
          <w:b/>
          <w:color w:val="auto"/>
          <w:sz w:val="32"/>
          <w:szCs w:val="32"/>
          <w:highlight w:val="none"/>
        </w:rPr>
      </w:pPr>
      <w:bookmarkStart w:id="32" w:name="_Toc19892"/>
      <w:bookmarkStart w:id="33" w:name="_Toc5839"/>
      <w:r>
        <w:rPr>
          <w:rFonts w:hint="eastAsia" w:ascii="宋体" w:hAnsi="宋体" w:cs="宋体"/>
          <w:color w:val="auto"/>
          <w:szCs w:val="21"/>
          <w:highlight w:val="none"/>
        </w:rPr>
        <w:br w:type="page"/>
      </w:r>
      <w:bookmarkEnd w:id="32"/>
      <w:bookmarkEnd w:id="33"/>
      <w:bookmarkStart w:id="34" w:name="_Toc15873"/>
      <w:r>
        <w:rPr>
          <w:rFonts w:hint="eastAsia" w:ascii="宋体" w:hAnsi="宋体" w:cs="宋体"/>
          <w:b/>
          <w:color w:val="auto"/>
          <w:sz w:val="32"/>
          <w:szCs w:val="32"/>
          <w:highlight w:val="none"/>
        </w:rPr>
        <w:t>第二章 供应商须知</w:t>
      </w:r>
      <w:bookmarkEnd w:id="34"/>
    </w:p>
    <w:p w14:paraId="1EB49440">
      <w:pPr>
        <w:pStyle w:val="4"/>
        <w:spacing w:before="0" w:after="0" w:line="360" w:lineRule="auto"/>
        <w:jc w:val="center"/>
        <w:rPr>
          <w:rFonts w:ascii="宋体" w:hAnsi="宋体" w:cs="宋体"/>
          <w:bCs w:val="0"/>
          <w:color w:val="auto"/>
          <w:sz w:val="28"/>
          <w:szCs w:val="28"/>
          <w:highlight w:val="none"/>
        </w:rPr>
      </w:pPr>
      <w:bookmarkStart w:id="35" w:name="_Toc31224"/>
      <w:r>
        <w:rPr>
          <w:rFonts w:hint="eastAsia" w:ascii="宋体" w:hAnsi="宋体" w:cs="宋体"/>
          <w:bCs w:val="0"/>
          <w:color w:val="auto"/>
          <w:sz w:val="28"/>
          <w:szCs w:val="28"/>
          <w:highlight w:val="none"/>
        </w:rPr>
        <w:t>第一节 供应商须知前附表</w:t>
      </w:r>
      <w:bookmarkEnd w:id="35"/>
    </w:p>
    <w:tbl>
      <w:tblPr>
        <w:tblStyle w:val="29"/>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
        <w:gridCol w:w="1613"/>
        <w:gridCol w:w="6882"/>
      </w:tblGrid>
      <w:tr w14:paraId="4184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44" w:type="dxa"/>
            <w:vAlign w:val="center"/>
          </w:tcPr>
          <w:p w14:paraId="7E8C7BFE">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613" w:type="dxa"/>
            <w:vAlign w:val="center"/>
          </w:tcPr>
          <w:p w14:paraId="4F0117E3">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82" w:type="dxa"/>
            <w:vAlign w:val="center"/>
          </w:tcPr>
          <w:p w14:paraId="30DA6DD8">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135A5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7E5A9C6B">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613" w:type="dxa"/>
            <w:vAlign w:val="center"/>
          </w:tcPr>
          <w:p w14:paraId="33893E2A">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82" w:type="dxa"/>
            <w:vAlign w:val="center"/>
          </w:tcPr>
          <w:p w14:paraId="7B0DC949">
            <w:pPr>
              <w:spacing w:line="30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68DA2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6FFE7DE0">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1613" w:type="dxa"/>
            <w:vAlign w:val="center"/>
          </w:tcPr>
          <w:p w14:paraId="29C1CB2B">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82" w:type="dxa"/>
            <w:vAlign w:val="center"/>
          </w:tcPr>
          <w:p w14:paraId="39BD82D6">
            <w:pPr>
              <w:spacing w:line="30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38D98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31F035BB">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1613" w:type="dxa"/>
            <w:vAlign w:val="center"/>
          </w:tcPr>
          <w:p w14:paraId="3DCD370B">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82" w:type="dxa"/>
            <w:vAlign w:val="center"/>
          </w:tcPr>
          <w:p w14:paraId="3CF47C68">
            <w:pPr>
              <w:spacing w:line="300" w:lineRule="auto"/>
              <w:rPr>
                <w:rFonts w:ascii="宋体" w:hAnsi="宋体" w:cs="宋体"/>
                <w:color w:val="auto"/>
                <w:szCs w:val="21"/>
                <w:highlight w:val="none"/>
              </w:rPr>
            </w:pPr>
            <w:r>
              <w:rPr>
                <w:rFonts w:hint="eastAsia" w:ascii="宋体" w:hAnsi="宋体" w:cs="宋体"/>
                <w:color w:val="auto"/>
                <w:szCs w:val="21"/>
                <w:highlight w:val="none"/>
              </w:rPr>
              <w:t>无</w:t>
            </w:r>
          </w:p>
        </w:tc>
      </w:tr>
      <w:tr w14:paraId="251E5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5D31D113">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1613" w:type="dxa"/>
            <w:vAlign w:val="center"/>
          </w:tcPr>
          <w:p w14:paraId="41B18DB3">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82" w:type="dxa"/>
            <w:vAlign w:val="center"/>
          </w:tcPr>
          <w:p w14:paraId="1714C406">
            <w:pPr>
              <w:spacing w:line="30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不允许分包</w:t>
            </w:r>
          </w:p>
          <w:p w14:paraId="6A27C60E">
            <w:pPr>
              <w:spacing w:line="300" w:lineRule="auto"/>
              <w:rPr>
                <w:rFonts w:ascii="宋体" w:hAnsi="宋体" w:cs="宋体"/>
                <w:color w:val="auto"/>
                <w:szCs w:val="21"/>
                <w:highlight w:val="none"/>
              </w:rPr>
            </w:pPr>
            <w:r>
              <w:rPr>
                <w:rFonts w:hint="eastAsia" w:ascii="宋体" w:hAnsi="宋体" w:cs="宋体"/>
                <w:color w:val="auto"/>
                <w:szCs w:val="21"/>
                <w:highlight w:val="none"/>
              </w:rPr>
              <w:t>□允许分包</w:t>
            </w:r>
          </w:p>
          <w:p w14:paraId="71763247">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AFC6CE7">
            <w:pPr>
              <w:pStyle w:val="11"/>
              <w:spacing w:line="300" w:lineRule="auto"/>
              <w:jc w:val="both"/>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370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5062D20F">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1613" w:type="dxa"/>
            <w:vAlign w:val="center"/>
          </w:tcPr>
          <w:p w14:paraId="110588C7">
            <w:pPr>
              <w:spacing w:line="30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882" w:type="dxa"/>
            <w:vAlign w:val="center"/>
          </w:tcPr>
          <w:p w14:paraId="7BE02900">
            <w:pPr>
              <w:spacing w:line="300" w:lineRule="auto"/>
              <w:rPr>
                <w:rFonts w:ascii="宋体" w:hAnsi="宋体" w:cs="宋体"/>
                <w:color w:val="auto"/>
                <w:szCs w:val="21"/>
                <w:highlight w:val="none"/>
              </w:rPr>
            </w:pPr>
            <w:r>
              <w:rPr>
                <w:rFonts w:hint="eastAsia" w:ascii="宋体" w:hAnsi="宋体" w:cs="宋体"/>
                <w:color w:val="auto"/>
                <w:szCs w:val="21"/>
                <w:highlight w:val="none"/>
              </w:rPr>
              <w:t>1.供应商有效的营业执照复印件；</w:t>
            </w:r>
            <w:r>
              <w:rPr>
                <w:rFonts w:hint="eastAsia" w:ascii="宋体" w:hAnsi="宋体" w:cs="宋体"/>
                <w:b/>
                <w:bCs/>
                <w:color w:val="auto"/>
                <w:szCs w:val="21"/>
                <w:highlight w:val="none"/>
              </w:rPr>
              <w:t>（必须提供，否则响应文件按无效响应处理）</w:t>
            </w:r>
          </w:p>
          <w:p w14:paraId="4CAF762F">
            <w:pPr>
              <w:spacing w:line="300" w:lineRule="auto"/>
              <w:rPr>
                <w:rFonts w:ascii="宋体" w:hAnsi="宋体" w:cs="宋体"/>
                <w:color w:val="auto"/>
                <w:szCs w:val="21"/>
                <w:highlight w:val="none"/>
              </w:rPr>
            </w:pPr>
            <w:r>
              <w:rPr>
                <w:rFonts w:hint="eastAsia" w:ascii="宋体" w:hAnsi="宋体" w:cs="宋体"/>
                <w:color w:val="auto"/>
                <w:szCs w:val="21"/>
                <w:highlight w:val="none"/>
              </w:rPr>
              <w:t>2.供应商依法缴纳税收的相关材料[响应文件递交截止时间前半年内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bCs/>
                <w:color w:val="auto"/>
                <w:szCs w:val="21"/>
                <w:highlight w:val="none"/>
              </w:rPr>
              <w:t>（必须提供，否则响应文件按无效响应处理）</w:t>
            </w:r>
          </w:p>
          <w:p w14:paraId="025618FB">
            <w:pPr>
              <w:spacing w:line="300" w:lineRule="auto"/>
              <w:rPr>
                <w:rFonts w:ascii="宋体" w:hAnsi="宋体" w:cs="宋体"/>
                <w:b/>
                <w:bCs/>
                <w:color w:val="auto"/>
                <w:szCs w:val="21"/>
                <w:highlight w:val="none"/>
              </w:rPr>
            </w:pPr>
            <w:r>
              <w:rPr>
                <w:rFonts w:hint="eastAsia" w:ascii="宋体" w:hAnsi="宋体" w:cs="宋体"/>
                <w:color w:val="auto"/>
                <w:szCs w:val="21"/>
                <w:highlight w:val="none"/>
              </w:rPr>
              <w:t>3.供应商依法缴纳社会保障资金的相关材料[响应文件递交截止时间前半年内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70A91949">
            <w:pPr>
              <w:spacing w:line="300" w:lineRule="auto"/>
              <w:rPr>
                <w:rFonts w:ascii="宋体" w:hAnsi="宋体" w:cs="宋体"/>
                <w:b/>
                <w:color w:val="auto"/>
                <w:szCs w:val="21"/>
                <w:highlight w:val="none"/>
              </w:rPr>
            </w:pPr>
            <w:r>
              <w:rPr>
                <w:rFonts w:hint="eastAsia" w:ascii="宋体" w:hAnsi="宋体" w:cs="宋体"/>
                <w:color w:val="auto"/>
                <w:szCs w:val="21"/>
                <w:highlight w:val="none"/>
              </w:rPr>
              <w:t>4.供应商财务状况报告[2024年财务状况报告复印件，应提供经审计的财务报告（含第三方审计机构评估的财务报告），或是供应商本单位出具的财务报表（至少包含资产负债表、利润表、现金流量表）复印件（新成立的公司应提供公司成立日之后次月起到响应文件递交截止前一个月的财务报表复印件），或者其基本开户银行出具的资信证明]；</w:t>
            </w:r>
            <w:r>
              <w:rPr>
                <w:rFonts w:hint="eastAsia" w:ascii="宋体" w:hAnsi="宋体" w:cs="宋体"/>
                <w:b/>
                <w:bCs/>
                <w:color w:val="auto"/>
                <w:szCs w:val="21"/>
                <w:highlight w:val="none"/>
              </w:rPr>
              <w:t>（必须提供，否则响应文件按无效响应处理）</w:t>
            </w:r>
          </w:p>
          <w:p w14:paraId="7EBE6A95">
            <w:pPr>
              <w:spacing w:line="300" w:lineRule="auto"/>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bCs/>
                <w:color w:val="auto"/>
                <w:szCs w:val="21"/>
                <w:highlight w:val="none"/>
              </w:rPr>
              <w:t>（必须提供，否则响应文件按无效响应处理）</w:t>
            </w:r>
          </w:p>
          <w:p w14:paraId="5531BCB4">
            <w:pPr>
              <w:spacing w:line="300" w:lineRule="auto"/>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bCs/>
                <w:color w:val="auto"/>
                <w:szCs w:val="21"/>
                <w:highlight w:val="none"/>
              </w:rPr>
              <w:t>（必须提供，否则响应文件按无效响应处理）</w:t>
            </w:r>
          </w:p>
          <w:p w14:paraId="13499C8F">
            <w:pPr>
              <w:spacing w:line="300" w:lineRule="auto"/>
              <w:rPr>
                <w:rFonts w:ascii="宋体" w:hAnsi="宋体" w:cs="宋体"/>
                <w:color w:val="auto"/>
                <w:szCs w:val="21"/>
                <w:highlight w:val="none"/>
              </w:rPr>
            </w:pPr>
            <w:r>
              <w:rPr>
                <w:rFonts w:hint="eastAsia" w:ascii="宋体" w:hAnsi="宋体" w:cs="宋体"/>
                <w:color w:val="auto"/>
                <w:szCs w:val="21"/>
                <w:highlight w:val="none"/>
              </w:rPr>
              <w:t>7.建设工程项目管理承诺书；</w:t>
            </w:r>
            <w:r>
              <w:rPr>
                <w:rFonts w:hint="eastAsia" w:ascii="宋体" w:hAnsi="宋体" w:cs="宋体"/>
                <w:b/>
                <w:bCs/>
                <w:color w:val="auto"/>
                <w:szCs w:val="21"/>
                <w:highlight w:val="none"/>
              </w:rPr>
              <w:t>（必须提供，否则响应文件按无效响应处理）</w:t>
            </w:r>
          </w:p>
          <w:p w14:paraId="5888A36B">
            <w:pPr>
              <w:spacing w:line="300" w:lineRule="auto"/>
              <w:rPr>
                <w:rFonts w:ascii="宋体" w:hAnsi="宋体" w:cs="宋体"/>
                <w:b/>
                <w:bCs/>
                <w:color w:val="auto"/>
                <w:szCs w:val="21"/>
                <w:highlight w:val="none"/>
              </w:rPr>
            </w:pPr>
            <w:r>
              <w:rPr>
                <w:rFonts w:hint="eastAsia" w:ascii="宋体" w:hAnsi="宋体" w:cs="宋体"/>
                <w:color w:val="auto"/>
                <w:szCs w:val="21"/>
                <w:highlight w:val="none"/>
              </w:rPr>
              <w:t>8.供应商《中小企业的声明函》或《残疾人福利性单位声明函》或监狱企业证明；</w:t>
            </w:r>
            <w:r>
              <w:rPr>
                <w:rFonts w:hint="eastAsia" w:ascii="宋体" w:hAnsi="宋体" w:cs="宋体"/>
                <w:b/>
                <w:bCs/>
                <w:color w:val="auto"/>
                <w:szCs w:val="21"/>
                <w:highlight w:val="none"/>
              </w:rPr>
              <w:t>（必须提供，格式以采购文件要求为准）</w:t>
            </w:r>
          </w:p>
          <w:p w14:paraId="2A81E7FE">
            <w:pPr>
              <w:spacing w:line="300" w:lineRule="auto"/>
              <w:rPr>
                <w:rFonts w:ascii="宋体" w:hAnsi="宋体" w:cs="宋体"/>
                <w:color w:val="auto"/>
                <w:szCs w:val="21"/>
                <w:highlight w:val="none"/>
              </w:rPr>
            </w:pPr>
            <w:r>
              <w:rPr>
                <w:rFonts w:hint="eastAsia" w:ascii="宋体" w:hAnsi="宋体" w:cs="宋体"/>
                <w:color w:val="auto"/>
                <w:szCs w:val="21"/>
                <w:highlight w:val="none"/>
              </w:rPr>
              <w:t>9.电力工程施工总承包三级（含）以上或输变电工程专业承包三级（含）以上资质，并具备《承装（修、试）电力设施许可证》（许可类别和等级要求：承装类、承修类、承试类五级（含）以上）资质，且具备有效的安全生产许可证；</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5A7EB130">
            <w:pPr>
              <w:spacing w:line="300" w:lineRule="auto"/>
              <w:rPr>
                <w:rFonts w:ascii="宋体" w:hAnsi="宋体" w:cs="宋体"/>
                <w:color w:val="auto"/>
                <w:szCs w:val="21"/>
                <w:highlight w:val="none"/>
              </w:rPr>
            </w:pPr>
            <w:r>
              <w:rPr>
                <w:rFonts w:hint="eastAsia" w:ascii="宋体" w:hAnsi="宋体" w:cs="宋体"/>
                <w:color w:val="auto"/>
                <w:szCs w:val="21"/>
                <w:highlight w:val="none"/>
              </w:rPr>
              <w:t>10.拟投入本项目项目经理的机电工程专业二级或以上注册建造师执业资格证、有效的安全生产考核合格证书（B类）复印件以及供应商单位为该项目经理于响应文件递交截止时间前半年内连续三个月依法缴纳社会保险的证明材料及相关材料的复印件；</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41F23AD7">
            <w:pPr>
              <w:spacing w:line="30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.除磋商文件规定必须提供以外，供应商认为需要提供的其他证明材料；</w:t>
            </w:r>
          </w:p>
          <w:p w14:paraId="63BB1651">
            <w:pPr>
              <w:spacing w:line="30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2E62E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7E1F149D">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1613" w:type="dxa"/>
            <w:vAlign w:val="center"/>
          </w:tcPr>
          <w:p w14:paraId="73B5F973">
            <w:pPr>
              <w:spacing w:line="30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882" w:type="dxa"/>
            <w:vAlign w:val="center"/>
          </w:tcPr>
          <w:p w14:paraId="4EE4031B">
            <w:pPr>
              <w:spacing w:line="30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bCs/>
                <w:color w:val="auto"/>
                <w:szCs w:val="21"/>
                <w:highlight w:val="none"/>
              </w:rPr>
              <w:t>（必须提供，否则响应文件按无效响应处理）</w:t>
            </w:r>
          </w:p>
          <w:p w14:paraId="6B6C99FF">
            <w:pPr>
              <w:spacing w:line="300" w:lineRule="auto"/>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（除自然人竞标外必须提供，否则响应文件按无效响应处理）</w:t>
            </w:r>
          </w:p>
          <w:p w14:paraId="4AA968D9">
            <w:pPr>
              <w:spacing w:line="300" w:lineRule="auto"/>
              <w:rPr>
                <w:rFonts w:ascii="宋体" w:hAnsi="宋体" w:cs="宋体"/>
                <w:b/>
                <w:bCs/>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bCs/>
                <w:color w:val="auto"/>
                <w:szCs w:val="21"/>
                <w:highlight w:val="none"/>
              </w:rPr>
              <w:t>（委托时必须提供，否则响应文件按无效响应处理）</w:t>
            </w:r>
          </w:p>
          <w:p w14:paraId="28B4B0CF">
            <w:pPr>
              <w:spacing w:line="300" w:lineRule="auto"/>
              <w:rPr>
                <w:rFonts w:ascii="宋体" w:hAnsi="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.供应商基本情况表；</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2ADA2CF7">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.施工组织设计；（如有，请提供）</w:t>
            </w:r>
          </w:p>
          <w:p w14:paraId="1008A05B">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.项目管理机构；（如有，请提供）</w:t>
            </w:r>
          </w:p>
          <w:p w14:paraId="765A227D">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.业绩材料；</w:t>
            </w:r>
            <w:bookmarkStart w:id="36" w:name="OLE_LINK4"/>
            <w:r>
              <w:rPr>
                <w:rFonts w:hint="eastAsia" w:ascii="宋体" w:hAnsi="宋体" w:cs="宋体"/>
                <w:color w:val="auto"/>
                <w:szCs w:val="21"/>
                <w:highlight w:val="none"/>
              </w:rPr>
              <w:t>（</w:t>
            </w:r>
            <w:bookmarkStart w:id="37" w:name="OLE_LINK3"/>
            <w:r>
              <w:rPr>
                <w:rFonts w:hint="eastAsia" w:ascii="宋体" w:hAnsi="宋体" w:cs="宋体"/>
                <w:color w:val="auto"/>
                <w:szCs w:val="21"/>
                <w:highlight w:val="none"/>
              </w:rPr>
              <w:t>如有，请提供</w:t>
            </w:r>
            <w:bookmarkEnd w:id="37"/>
            <w:r>
              <w:rPr>
                <w:rFonts w:hint="eastAsia" w:ascii="宋体" w:hAnsi="宋体" w:cs="宋体"/>
                <w:color w:val="auto"/>
                <w:szCs w:val="21"/>
                <w:highlight w:val="none"/>
              </w:rPr>
              <w:t>）</w:t>
            </w:r>
            <w:bookmarkEnd w:id="36"/>
          </w:p>
          <w:p w14:paraId="2A082E58">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.供应商认为需要提供的其他有关资料。</w:t>
            </w:r>
          </w:p>
          <w:p w14:paraId="69DD4107">
            <w:pPr>
              <w:spacing w:line="300" w:lineRule="auto"/>
              <w:rPr>
                <w:rFonts w:ascii="宋体" w:hAnsi="宋体" w:cs="宋体"/>
                <w:b/>
                <w:color w:val="auto"/>
                <w:szCs w:val="21"/>
                <w:highlight w:val="none"/>
              </w:rPr>
            </w:pPr>
            <w:r>
              <w:rPr>
                <w:rFonts w:hint="eastAsia" w:ascii="宋体" w:hAnsi="宋体" w:cs="宋体"/>
                <w:b/>
                <w:color w:val="auto"/>
                <w:szCs w:val="21"/>
                <w:highlight w:val="none"/>
              </w:rPr>
              <w:t>注：</w:t>
            </w:r>
          </w:p>
          <w:p w14:paraId="0452669B">
            <w:pPr>
              <w:spacing w:line="300" w:lineRule="auto"/>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1.法定代表人授权委托书必须由法定代表人及委托代理人签字，并加盖供应商电子公章，否则响应文件按无效响应处理。</w:t>
            </w:r>
          </w:p>
          <w:p w14:paraId="607A573B">
            <w:pPr>
              <w:spacing w:line="300" w:lineRule="auto"/>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53721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574D8260">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1613" w:type="dxa"/>
            <w:vAlign w:val="center"/>
          </w:tcPr>
          <w:p w14:paraId="46155DE1">
            <w:pPr>
              <w:spacing w:line="30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82" w:type="dxa"/>
            <w:vAlign w:val="center"/>
          </w:tcPr>
          <w:p w14:paraId="5340E165">
            <w:pPr>
              <w:spacing w:line="300" w:lineRule="auto"/>
              <w:rPr>
                <w:rFonts w:ascii="宋体" w:hAnsi="宋体" w:cs="宋体"/>
                <w:color w:val="auto"/>
                <w:szCs w:val="21"/>
                <w:highlight w:val="none"/>
              </w:rPr>
            </w:pPr>
            <w:r>
              <w:rPr>
                <w:rFonts w:hint="eastAsia" w:ascii="宋体" w:hAnsi="宋体" w:cs="宋体"/>
                <w:color w:val="auto"/>
                <w:szCs w:val="21"/>
                <w:highlight w:val="none"/>
              </w:rPr>
              <w:t>1.报价函</w:t>
            </w:r>
            <w:r>
              <w:rPr>
                <w:rFonts w:hint="eastAsia" w:ascii="宋体" w:hAnsi="宋体" w:cs="宋体"/>
                <w:b/>
                <w:color w:val="auto"/>
                <w:szCs w:val="21"/>
                <w:highlight w:val="none"/>
              </w:rPr>
              <w:t>（必须提供，否则响应文件按无效响应处理）</w:t>
            </w:r>
          </w:p>
          <w:p w14:paraId="683D0D33">
            <w:pPr>
              <w:spacing w:line="300" w:lineRule="auto"/>
              <w:rPr>
                <w:rFonts w:ascii="宋体" w:hAnsi="宋体" w:cs="宋体"/>
                <w:color w:val="auto"/>
                <w:szCs w:val="21"/>
                <w:highlight w:val="none"/>
              </w:rPr>
            </w:pPr>
            <w:r>
              <w:rPr>
                <w:rFonts w:hint="eastAsia" w:ascii="宋体" w:hAnsi="宋体" w:cs="宋体"/>
                <w:color w:val="auto"/>
                <w:szCs w:val="21"/>
                <w:highlight w:val="none"/>
              </w:rPr>
              <w:t>2.报价函附录</w:t>
            </w:r>
            <w:r>
              <w:rPr>
                <w:rFonts w:hint="eastAsia" w:ascii="宋体" w:hAnsi="宋体" w:cs="宋体"/>
                <w:b/>
                <w:color w:val="auto"/>
                <w:szCs w:val="21"/>
                <w:highlight w:val="none"/>
              </w:rPr>
              <w:t>（必须提供，否则响应文件按无效响应处理）</w:t>
            </w:r>
          </w:p>
          <w:p w14:paraId="457692D7">
            <w:pPr>
              <w:spacing w:line="300" w:lineRule="auto"/>
              <w:rPr>
                <w:rFonts w:ascii="宋体" w:hAnsi="宋体" w:cs="宋体"/>
                <w:color w:val="auto"/>
                <w:szCs w:val="21"/>
                <w:highlight w:val="none"/>
              </w:rPr>
            </w:pPr>
            <w:r>
              <w:rPr>
                <w:rFonts w:hint="eastAsia" w:ascii="宋体" w:hAnsi="宋体" w:cs="宋体"/>
                <w:color w:val="auto"/>
                <w:szCs w:val="21"/>
                <w:highlight w:val="none"/>
              </w:rPr>
              <w:t>3.已标价的工程量清单</w:t>
            </w:r>
            <w:r>
              <w:rPr>
                <w:rFonts w:hint="eastAsia" w:ascii="宋体" w:hAnsi="宋体" w:cs="宋体"/>
                <w:b/>
                <w:bCs/>
                <w:color w:val="auto"/>
                <w:szCs w:val="21"/>
                <w:highlight w:val="none"/>
              </w:rPr>
              <w:t>（必须提供，否则响应文件按无效响应处理）</w:t>
            </w:r>
          </w:p>
          <w:p w14:paraId="73974D52">
            <w:pPr>
              <w:spacing w:line="300" w:lineRule="auto"/>
              <w:rPr>
                <w:rFonts w:ascii="宋体" w:hAnsi="宋体" w:cs="宋体"/>
                <w:color w:val="auto"/>
                <w:szCs w:val="21"/>
                <w:highlight w:val="none"/>
              </w:rPr>
            </w:pPr>
            <w:r>
              <w:rPr>
                <w:rFonts w:hint="eastAsia" w:ascii="宋体" w:hAnsi="宋体" w:cs="宋体"/>
                <w:color w:val="auto"/>
                <w:szCs w:val="21"/>
                <w:highlight w:val="none"/>
              </w:rPr>
              <w:t>4.供应商《中小企业的声明函》或《残疾人福利性单位声明函》或监狱企业证明（由省级以上监狱管理局、戒毒管理局（含新疆生产建设兵团）出具的属于监狱企业的证明文件）（如项目为非专门面向中小企业预留采购份额时，供应商按实际情况提供）</w:t>
            </w:r>
          </w:p>
          <w:p w14:paraId="7E5BEB6D">
            <w:pPr>
              <w:spacing w:line="300" w:lineRule="auto"/>
              <w:rPr>
                <w:rFonts w:ascii="宋体" w:hAnsi="宋体" w:cs="宋体"/>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7D4F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6DDCF9D4">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613" w:type="dxa"/>
            <w:vAlign w:val="center"/>
          </w:tcPr>
          <w:p w14:paraId="13ECAC1F">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82" w:type="dxa"/>
            <w:vAlign w:val="center"/>
          </w:tcPr>
          <w:p w14:paraId="3E9EFA91">
            <w:pPr>
              <w:spacing w:line="300" w:lineRule="auto"/>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1.响应文件电子版要求：按照本采购文件“第七章 响应文件格式”编写（第七章未附格式的，由供应商自行拟定），不可涂改并在规定加盖公章处加盖电子公章，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5D2A88D">
            <w:pPr>
              <w:spacing w:line="300" w:lineRule="auto"/>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50E1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3E39BC5F">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1613" w:type="dxa"/>
            <w:vAlign w:val="center"/>
          </w:tcPr>
          <w:p w14:paraId="4BECC7CF">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82" w:type="dxa"/>
            <w:vAlign w:val="center"/>
          </w:tcPr>
          <w:p w14:paraId="5E0D762A">
            <w:pPr>
              <w:spacing w:line="300" w:lineRule="auto"/>
              <w:rPr>
                <w:rFonts w:ascii="宋体" w:hAnsi="宋体" w:cs="宋体"/>
                <w:color w:val="auto"/>
                <w:szCs w:val="21"/>
                <w:highlight w:val="none"/>
              </w:rPr>
            </w:pPr>
            <w:r>
              <w:rPr>
                <w:rFonts w:hint="eastAsia" w:ascii="宋体" w:hAnsi="宋体" w:cs="宋体"/>
                <w:color w:val="auto"/>
                <w:szCs w:val="21"/>
                <w:highlight w:val="none"/>
              </w:rPr>
              <w:t>供应商必须就所竞标分标的全部“工程量清单”内容作完整唯一报价，漏项报价的或对发包清单内容做更改、选择填报的或有条件的报价，其竞标将视为无效。</w:t>
            </w:r>
            <w:r>
              <w:rPr>
                <w:rFonts w:hint="eastAsia" w:ascii="宋体" w:hAnsi="宋体" w:cs="宋体"/>
                <w:b/>
                <w:bCs/>
                <w:color w:val="auto"/>
                <w:szCs w:val="21"/>
                <w:highlight w:val="none"/>
              </w:rPr>
              <w:t>磋商过程中，供应商的最后报价如有变动，则必须以工程量清单报价表的格式编制提交，供应商须提前做好相关准备并按时递交最后报价文件，否则磋商无效</w:t>
            </w:r>
            <w:r>
              <w:rPr>
                <w:rFonts w:hint="eastAsia" w:ascii="宋体" w:hAnsi="宋体" w:cs="宋体"/>
                <w:color w:val="auto"/>
                <w:szCs w:val="21"/>
                <w:highlight w:val="none"/>
              </w:rPr>
              <w:t>。</w:t>
            </w:r>
          </w:p>
        </w:tc>
      </w:tr>
      <w:tr w14:paraId="21D2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6B08E5BE">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1613" w:type="dxa"/>
            <w:vAlign w:val="center"/>
          </w:tcPr>
          <w:p w14:paraId="1CA83D4E">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882" w:type="dxa"/>
            <w:vAlign w:val="center"/>
          </w:tcPr>
          <w:p w14:paraId="78D8AFFD">
            <w:pPr>
              <w:pStyle w:val="10"/>
              <w:widowControl w:val="0"/>
              <w:tabs>
                <w:tab w:val="clear" w:pos="454"/>
              </w:tabs>
              <w:spacing w:afterLines="0" w:line="300" w:lineRule="auto"/>
              <w:ind w:left="0"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bookmarkStart w:id="38" w:name="PO_3000001868_PM046"/>
            <w:r>
              <w:rPr>
                <w:rFonts w:hint="eastAsia" w:ascii="宋体" w:hAnsi="宋体" w:cs="宋体"/>
                <w:color w:val="auto"/>
                <w:kern w:val="2"/>
                <w:sz w:val="21"/>
                <w:szCs w:val="21"/>
                <w:highlight w:val="none"/>
                <w:u w:val="single"/>
              </w:rPr>
              <w:t>60</w:t>
            </w:r>
            <w:bookmarkEnd w:id="38"/>
            <w:r>
              <w:rPr>
                <w:rFonts w:hint="eastAsia" w:ascii="宋体" w:hAnsi="宋体" w:cs="宋体"/>
                <w:color w:val="auto"/>
                <w:kern w:val="2"/>
                <w:sz w:val="21"/>
                <w:szCs w:val="21"/>
                <w:highlight w:val="none"/>
              </w:rPr>
              <w:t>日。</w:t>
            </w:r>
          </w:p>
        </w:tc>
      </w:tr>
      <w:tr w14:paraId="5807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09212B38">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1613" w:type="dxa"/>
            <w:vAlign w:val="center"/>
          </w:tcPr>
          <w:p w14:paraId="0E2A0A74">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82" w:type="dxa"/>
            <w:vAlign w:val="center"/>
          </w:tcPr>
          <w:p w14:paraId="40C97C93">
            <w:pPr>
              <w:spacing w:line="300" w:lineRule="auto"/>
              <w:rPr>
                <w:rFonts w:hint="eastAsia" w:ascii="宋体" w:hAnsi="宋体" w:cs="宋体"/>
                <w:b/>
                <w:bCs/>
                <w:color w:val="auto"/>
                <w:szCs w:val="21"/>
                <w:highlight w:val="none"/>
              </w:rPr>
            </w:pPr>
            <w:r>
              <w:rPr>
                <w:rFonts w:hint="eastAsia" w:ascii="宋体" w:hAnsi="宋体" w:cs="宋体"/>
                <w:b/>
                <w:bCs/>
                <w:color w:val="auto"/>
                <w:szCs w:val="21"/>
                <w:highlight w:val="none"/>
              </w:rPr>
              <w:t>☑本项目</w:t>
            </w:r>
            <w:r>
              <w:rPr>
                <w:rFonts w:hint="eastAsia" w:ascii="宋体" w:hAnsi="宋体" w:cs="宋体"/>
                <w:b/>
                <w:bCs/>
                <w:color w:val="auto"/>
                <w:szCs w:val="21"/>
                <w:highlight w:val="none"/>
                <w:lang w:eastAsia="zh-CN"/>
              </w:rPr>
              <w:t>不收取</w:t>
            </w:r>
            <w:r>
              <w:rPr>
                <w:rFonts w:hint="eastAsia" w:ascii="宋体" w:hAnsi="宋体" w:cs="宋体"/>
                <w:b/>
                <w:bCs/>
                <w:color w:val="auto"/>
                <w:szCs w:val="21"/>
                <w:highlight w:val="none"/>
              </w:rPr>
              <w:t>磋商保证金。</w:t>
            </w:r>
          </w:p>
          <w:p w14:paraId="3F1A5245">
            <w:pPr>
              <w:spacing w:line="300" w:lineRule="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□本项目收取磋商保证金，具体规定如下</w:t>
            </w:r>
            <w:r>
              <w:rPr>
                <w:rFonts w:hint="eastAsia" w:ascii="宋体" w:hAnsi="宋体" w:cs="宋体"/>
                <w:b/>
                <w:bCs/>
                <w:color w:val="auto"/>
                <w:szCs w:val="21"/>
                <w:highlight w:val="none"/>
                <w:lang w:eastAsia="zh-CN"/>
              </w:rPr>
              <w:t>：</w:t>
            </w:r>
          </w:p>
          <w:p w14:paraId="18495BE5">
            <w:pPr>
              <w:spacing w:line="300" w:lineRule="auto"/>
              <w:rPr>
                <w:rFonts w:ascii="宋体" w:hAnsi="宋体" w:cs="宋体"/>
                <w:color w:val="auto"/>
                <w:szCs w:val="21"/>
                <w:highlight w:val="none"/>
              </w:rPr>
            </w:pPr>
            <w:r>
              <w:rPr>
                <w:rFonts w:hint="eastAsia" w:ascii="宋体" w:hAnsi="宋体" w:cs="宋体"/>
                <w:color w:val="auto"/>
                <w:szCs w:val="21"/>
                <w:highlight w:val="none"/>
              </w:rPr>
              <w:t>磋商保证金的交纳方式：银行转账、支票、汇票、本票、银行出具的保函或保险机构出具的保函（包含电子保函）、保险单，禁止采用现钞方式。</w:t>
            </w:r>
          </w:p>
          <w:p w14:paraId="09CBAD29">
            <w:pPr>
              <w:spacing w:line="300" w:lineRule="auto"/>
              <w:rPr>
                <w:rFonts w:ascii="宋体" w:hAnsi="宋体" w:cs="宋体"/>
                <w:color w:val="auto"/>
                <w:szCs w:val="21"/>
                <w:highlight w:val="none"/>
              </w:rPr>
            </w:pPr>
            <w:r>
              <w:rPr>
                <w:rFonts w:hint="eastAsia" w:ascii="宋体" w:hAnsi="宋体" w:cs="宋体"/>
                <w:color w:val="auto"/>
                <w:szCs w:val="21"/>
                <w:highlight w:val="none"/>
              </w:rPr>
              <w:t>相关要求：</w:t>
            </w:r>
          </w:p>
          <w:p w14:paraId="1F3B56D5">
            <w:pPr>
              <w:spacing w:line="30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14:paraId="48D93FEB">
            <w:pPr>
              <w:spacing w:line="300" w:lineRule="auto"/>
              <w:rPr>
                <w:rFonts w:ascii="宋体" w:hAnsi="宋体" w:cs="宋体"/>
                <w:color w:val="auto"/>
                <w:szCs w:val="21"/>
                <w:highlight w:val="none"/>
              </w:rPr>
            </w:pPr>
            <w:r>
              <w:rPr>
                <w:rFonts w:hint="eastAsia" w:ascii="宋体" w:hAnsi="宋体" w:cs="宋体"/>
                <w:color w:val="auto"/>
                <w:szCs w:val="21"/>
                <w:highlight w:val="none"/>
              </w:rPr>
              <w:t>2.磋商保证金采用支票、汇票或本票交纳方式的，供应商应将支票、汇票或本票的复印件作为磋商保证金提交凭证，放置于商务技术文件中，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14:paraId="1E972BDF">
            <w:pPr>
              <w:spacing w:line="300" w:lineRule="auto"/>
              <w:rPr>
                <w:rFonts w:ascii="宋体" w:hAnsi="宋体" w:cs="宋体"/>
                <w:color w:val="auto"/>
                <w:szCs w:val="21"/>
                <w:highlight w:val="none"/>
              </w:rPr>
            </w:pPr>
            <w:r>
              <w:rPr>
                <w:rFonts w:hint="eastAsia" w:ascii="宋体" w:hAnsi="宋体" w:cs="宋体"/>
                <w:color w:val="auto"/>
                <w:szCs w:val="21"/>
                <w:highlight w:val="none"/>
              </w:rPr>
              <w:t>3.磋商保证金采用银行、保险机构出具的保函交纳方式的，供应商应将保函的复印件作为磋商保证金提交凭证，放置于商务技术文件中，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并在首次响应文件提交截止时间前，递交单独密封的保函原件（原件单独放入一个密封袋中，并在封口处加盖供应商公章或委托代理人签字，以示密封，在封套上标记“项目名称（项目编号）磋商保证金”字样），</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14:paraId="4A610A68">
            <w:pPr>
              <w:spacing w:line="300" w:lineRule="auto"/>
              <w:rPr>
                <w:rFonts w:ascii="宋体" w:hAnsi="宋体" w:cs="宋体"/>
                <w:color w:val="auto"/>
                <w:szCs w:val="21"/>
                <w:highlight w:val="none"/>
              </w:rPr>
            </w:pPr>
            <w:r>
              <w:rPr>
                <w:rFonts w:hint="eastAsia" w:ascii="宋体" w:hAnsi="宋体" w:cs="宋体"/>
                <w:color w:val="auto"/>
                <w:szCs w:val="21"/>
                <w:highlight w:val="none"/>
              </w:rPr>
              <w:t>4.磋商保证金指定帐户：</w:t>
            </w:r>
          </w:p>
          <w:p w14:paraId="78ECD7A9">
            <w:pPr>
              <w:spacing w:line="300" w:lineRule="auto"/>
              <w:rPr>
                <w:rFonts w:ascii="宋体" w:hAnsi="宋体" w:cs="宋体"/>
                <w:b/>
                <w:bCs/>
                <w:color w:val="auto"/>
                <w:szCs w:val="21"/>
                <w:highlight w:val="none"/>
              </w:rPr>
            </w:pPr>
            <w:r>
              <w:rPr>
                <w:rFonts w:hint="eastAsia" w:ascii="宋体" w:hAnsi="宋体" w:cs="宋体"/>
                <w:b/>
                <w:bCs/>
                <w:color w:val="auto"/>
                <w:szCs w:val="21"/>
                <w:highlight w:val="none"/>
              </w:rPr>
              <w:t>开户名称：</w:t>
            </w:r>
            <w:r>
              <w:rPr>
                <w:rFonts w:hint="eastAsia" w:ascii="宋体" w:hAnsi="宋体" w:cs="宋体"/>
                <w:b/>
                <w:bCs/>
                <w:color w:val="auto"/>
                <w:szCs w:val="21"/>
                <w:highlight w:val="none"/>
                <w:lang w:val="en-US" w:eastAsia="zh-CN"/>
              </w:rPr>
              <w:t xml:space="preserve"> </w:t>
            </w:r>
          </w:p>
          <w:p w14:paraId="73A2C48E">
            <w:pPr>
              <w:spacing w:line="30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开户银行：</w:t>
            </w:r>
            <w:r>
              <w:rPr>
                <w:rFonts w:hint="eastAsia" w:ascii="宋体" w:hAnsi="宋体" w:cs="宋体"/>
                <w:b/>
                <w:bCs/>
                <w:color w:val="auto"/>
                <w:szCs w:val="21"/>
                <w:highlight w:val="none"/>
                <w:lang w:val="en-US" w:eastAsia="zh-CN"/>
              </w:rPr>
              <w:t xml:space="preserve"> </w:t>
            </w:r>
          </w:p>
          <w:p w14:paraId="3324B337">
            <w:pPr>
              <w:spacing w:line="300" w:lineRule="auto"/>
              <w:rPr>
                <w:rFonts w:hint="eastAsia" w:ascii="宋体" w:hAnsi="宋体" w:eastAsia="宋体"/>
                <w:color w:val="auto"/>
                <w:szCs w:val="21"/>
                <w:highlight w:val="none"/>
                <w:lang w:eastAsia="zh-CN"/>
              </w:rPr>
            </w:pPr>
            <w:r>
              <w:rPr>
                <w:rFonts w:hint="eastAsia" w:ascii="宋体" w:hAnsi="宋体" w:cs="宋体"/>
                <w:b/>
                <w:bCs/>
                <w:color w:val="auto"/>
                <w:szCs w:val="21"/>
                <w:highlight w:val="none"/>
              </w:rPr>
              <w:t>银行账号：</w:t>
            </w:r>
            <w:r>
              <w:rPr>
                <w:rFonts w:hint="eastAsia" w:ascii="宋体" w:hAnsi="宋体" w:cs="宋体"/>
                <w:b/>
                <w:bCs/>
                <w:color w:val="auto"/>
                <w:szCs w:val="21"/>
                <w:highlight w:val="none"/>
                <w:lang w:val="en-US" w:eastAsia="zh-CN"/>
              </w:rPr>
              <w:t xml:space="preserve"> </w:t>
            </w:r>
          </w:p>
          <w:p w14:paraId="68198234">
            <w:pPr>
              <w:spacing w:line="30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8E7DF42">
            <w:pPr>
              <w:spacing w:line="300" w:lineRule="auto"/>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1.磋商保证金在首次响应文件提交截止时间后提交的，或不按规定交纳方式交纳的，或未足额交纳的（包含保函额度不足的），视为无效磋商保证金。</w:t>
            </w:r>
          </w:p>
          <w:p w14:paraId="25D8C644">
            <w:pPr>
              <w:spacing w:line="30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2.供应商采用现钞方式或从个人账户（自然人竞标除外）转出的磋商保证金，视为无效磋商保证金。</w:t>
            </w:r>
          </w:p>
          <w:p w14:paraId="678ADDD8">
            <w:pPr>
              <w:spacing w:line="300" w:lineRule="auto"/>
              <w:rPr>
                <w:rFonts w:ascii="宋体" w:hAnsi="宋体" w:cs="宋体"/>
                <w:b/>
                <w:color w:val="auto"/>
                <w:szCs w:val="21"/>
                <w:highlight w:val="none"/>
              </w:rPr>
            </w:pPr>
            <w:r>
              <w:rPr>
                <w:rFonts w:hint="eastAsia" w:ascii="宋体" w:hAnsi="宋体" w:cs="宋体"/>
                <w:b/>
                <w:color w:val="auto"/>
                <w:szCs w:val="21"/>
                <w:highlight w:val="none"/>
              </w:rPr>
              <w:t>3.支票、汇票或本票出现无效或者背书情形的，视为无效磋商保证金。</w:t>
            </w:r>
          </w:p>
          <w:p w14:paraId="5BEC296C">
            <w:pPr>
              <w:spacing w:line="300" w:lineRule="auto"/>
              <w:rPr>
                <w:rFonts w:ascii="宋体" w:hAnsi="宋体" w:cs="宋体"/>
                <w:b/>
                <w:color w:val="auto"/>
                <w:szCs w:val="21"/>
                <w:highlight w:val="none"/>
              </w:rPr>
            </w:pPr>
            <w:r>
              <w:rPr>
                <w:rFonts w:hint="eastAsia" w:ascii="宋体" w:hAnsi="宋体" w:cs="宋体"/>
                <w:b/>
                <w:color w:val="auto"/>
                <w:szCs w:val="21"/>
                <w:highlight w:val="none"/>
              </w:rPr>
              <w:t>4.保函有效期低于磋商有效期的，视为无效磋商保证金。</w:t>
            </w:r>
          </w:p>
          <w:p w14:paraId="39D0C772">
            <w:pPr>
              <w:autoSpaceDE w:val="0"/>
              <w:autoSpaceDN w:val="0"/>
              <w:spacing w:line="30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tc>
      </w:tr>
      <w:tr w14:paraId="22D0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44" w:type="dxa"/>
            <w:vMerge w:val="restart"/>
            <w:vAlign w:val="center"/>
          </w:tcPr>
          <w:p w14:paraId="41CBA1E6">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613" w:type="dxa"/>
            <w:vAlign w:val="center"/>
          </w:tcPr>
          <w:p w14:paraId="4A719949">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82" w:type="dxa"/>
            <w:vAlign w:val="center"/>
          </w:tcPr>
          <w:p w14:paraId="026B60D0">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017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Merge w:val="continue"/>
            <w:vAlign w:val="center"/>
          </w:tcPr>
          <w:p w14:paraId="70E44335">
            <w:pPr>
              <w:spacing w:line="300" w:lineRule="auto"/>
              <w:jc w:val="center"/>
              <w:rPr>
                <w:rFonts w:ascii="宋体" w:hAnsi="宋体" w:cs="宋体"/>
                <w:color w:val="auto"/>
                <w:szCs w:val="21"/>
                <w:highlight w:val="none"/>
              </w:rPr>
            </w:pPr>
          </w:p>
        </w:tc>
        <w:tc>
          <w:tcPr>
            <w:tcW w:w="1613" w:type="dxa"/>
            <w:vAlign w:val="center"/>
          </w:tcPr>
          <w:p w14:paraId="1BC23AB3">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82" w:type="dxa"/>
            <w:vAlign w:val="center"/>
          </w:tcPr>
          <w:p w14:paraId="367032F7">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8EC8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Align w:val="center"/>
          </w:tcPr>
          <w:p w14:paraId="6D4D0FDD">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1613" w:type="dxa"/>
            <w:vAlign w:val="center"/>
          </w:tcPr>
          <w:p w14:paraId="66C4D4C9">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82" w:type="dxa"/>
            <w:vAlign w:val="center"/>
          </w:tcPr>
          <w:p w14:paraId="34A4A0F7">
            <w:pPr>
              <w:spacing w:line="300" w:lineRule="auto"/>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0154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Align w:val="center"/>
          </w:tcPr>
          <w:p w14:paraId="7B0B42D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613" w:type="dxa"/>
            <w:vAlign w:val="center"/>
          </w:tcPr>
          <w:p w14:paraId="6DE174D1">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82" w:type="dxa"/>
            <w:vAlign w:val="center"/>
          </w:tcPr>
          <w:p w14:paraId="6D47C6A0">
            <w:pPr>
              <w:spacing w:line="300" w:lineRule="auto"/>
              <w:rPr>
                <w:rFonts w:ascii="宋体" w:hAnsi="宋体" w:cs="宋体"/>
                <w:color w:val="auto"/>
                <w:szCs w:val="21"/>
                <w:highlight w:val="none"/>
              </w:rPr>
            </w:pPr>
            <w:r>
              <w:rPr>
                <w:rFonts w:hint="eastAsia" w:ascii="宋体" w:hAnsi="宋体" w:cs="宋体"/>
                <w:color w:val="auto"/>
                <w:szCs w:val="21"/>
                <w:highlight w:val="none"/>
              </w:rPr>
              <w:t>不退回</w:t>
            </w:r>
          </w:p>
        </w:tc>
      </w:tr>
      <w:tr w14:paraId="0DAFC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44" w:type="dxa"/>
            <w:vMerge w:val="restart"/>
            <w:vAlign w:val="center"/>
          </w:tcPr>
          <w:p w14:paraId="3862CE04">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1613" w:type="dxa"/>
            <w:vAlign w:val="center"/>
          </w:tcPr>
          <w:p w14:paraId="38C0122A">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82" w:type="dxa"/>
            <w:vAlign w:val="center"/>
          </w:tcPr>
          <w:p w14:paraId="22EA50FE">
            <w:pPr>
              <w:spacing w:line="30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A2A1292">
            <w:pPr>
              <w:spacing w:line="30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A99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14:paraId="471E8832">
            <w:pPr>
              <w:spacing w:line="300" w:lineRule="auto"/>
              <w:jc w:val="center"/>
              <w:rPr>
                <w:rFonts w:ascii="宋体" w:hAnsi="宋体" w:cs="宋体"/>
                <w:color w:val="auto"/>
                <w:szCs w:val="21"/>
                <w:highlight w:val="none"/>
              </w:rPr>
            </w:pPr>
          </w:p>
        </w:tc>
        <w:tc>
          <w:tcPr>
            <w:tcW w:w="1613" w:type="dxa"/>
            <w:vAlign w:val="center"/>
          </w:tcPr>
          <w:p w14:paraId="603B5812">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882" w:type="dxa"/>
            <w:vAlign w:val="center"/>
          </w:tcPr>
          <w:p w14:paraId="30560D64">
            <w:pPr>
              <w:pStyle w:val="11"/>
              <w:spacing w:line="300" w:lineRule="auto"/>
              <w:jc w:val="both"/>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7530B06">
            <w:pPr>
              <w:spacing w:line="300" w:lineRule="auto"/>
              <w:rPr>
                <w:rFonts w:ascii="宋体" w:hAnsi="宋体" w:cs="宋体"/>
                <w:color w:val="auto"/>
                <w:szCs w:val="21"/>
                <w:highlight w:val="none"/>
              </w:rPr>
            </w:pPr>
            <w:r>
              <w:rPr>
                <w:rFonts w:hint="eastAsia" w:ascii="宋体" w:hAnsi="宋体" w:cs="宋体"/>
                <w:b/>
                <w:color w:val="auto"/>
                <w:szCs w:val="21"/>
                <w:highlight w:val="none"/>
              </w:rPr>
              <w:sym w:font="Wingdings 2" w:char="0052"/>
            </w:r>
            <w:r>
              <w:rPr>
                <w:rFonts w:hint="eastAsia" w:ascii="宋体" w:hAnsi="宋体" w:cs="宋体"/>
                <w:color w:val="auto"/>
                <w:szCs w:val="21"/>
                <w:highlight w:val="none"/>
              </w:rPr>
              <w:t>随机排序。</w:t>
            </w:r>
          </w:p>
          <w:p w14:paraId="1A1C7F77">
            <w:pPr>
              <w:spacing w:line="300" w:lineRule="auto"/>
              <w:rPr>
                <w:rFonts w:ascii="宋体" w:hAnsi="宋体" w:cs="宋体"/>
                <w:color w:val="auto"/>
                <w:szCs w:val="21"/>
                <w:highlight w:val="none"/>
              </w:rPr>
            </w:pPr>
            <w:r>
              <w:rPr>
                <w:rFonts w:hint="eastAsia" w:ascii="宋体" w:hAnsi="宋体" w:cs="宋体"/>
                <w:bCs/>
                <w:color w:val="auto"/>
                <w:szCs w:val="21"/>
                <w:highlight w:val="none"/>
              </w:rPr>
              <w:t>参与磋商前，</w:t>
            </w:r>
            <w:r>
              <w:rPr>
                <w:rFonts w:hint="eastAsia" w:ascii="宋体" w:hAnsi="宋体" w:cs="宋体"/>
                <w:color w:val="auto"/>
                <w:szCs w:val="21"/>
                <w:highlight w:val="none"/>
              </w:rPr>
              <w:t>供应商法定代表人、负责人、自然人或相应的委托代理人应在广西政府采购云平台携带CA数字证书在线参加磋商</w:t>
            </w:r>
            <w:r>
              <w:rPr>
                <w:rFonts w:hint="eastAsia" w:ascii="宋体" w:hAnsi="宋体" w:cs="宋体"/>
                <w:b/>
                <w:bCs/>
                <w:color w:val="auto"/>
                <w:szCs w:val="21"/>
                <w:highlight w:val="none"/>
              </w:rPr>
              <w:t>【开标当日磋商供应商法定代表人或授权委托人的通讯工具须保持畅通，在规定时间内在线等候磋商</w:t>
            </w:r>
            <w:r>
              <w:rPr>
                <w:rFonts w:hint="eastAsia" w:ascii="宋体" w:hAnsi="宋体" w:cs="宋体"/>
                <w:bCs/>
                <w:color w:val="auto"/>
                <w:szCs w:val="21"/>
                <w:highlight w:val="none"/>
              </w:rPr>
              <w:t>】</w:t>
            </w:r>
            <w:r>
              <w:rPr>
                <w:rFonts w:hint="eastAsia" w:ascii="宋体" w:hAnsi="宋体" w:cs="宋体"/>
                <w:color w:val="auto"/>
                <w:szCs w:val="21"/>
                <w:highlight w:val="none"/>
              </w:rPr>
              <w:t>，否则视同放弃参加磋商权利，其响应文件按无效响应处理。</w:t>
            </w:r>
          </w:p>
        </w:tc>
      </w:tr>
      <w:tr w14:paraId="5DE8A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2006986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1613" w:type="dxa"/>
            <w:vAlign w:val="center"/>
          </w:tcPr>
          <w:p w14:paraId="6D8FB231">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82" w:type="dxa"/>
            <w:vAlign w:val="center"/>
          </w:tcPr>
          <w:p w14:paraId="03F0086E">
            <w:pPr>
              <w:autoSpaceDE w:val="0"/>
              <w:autoSpaceDN w:val="0"/>
              <w:spacing w:line="300" w:lineRule="auto"/>
              <w:textAlignment w:val="bottom"/>
              <w:rPr>
                <w:rFonts w:ascii="宋体" w:hAnsi="宋体" w:cs="宋体"/>
                <w:color w:val="auto"/>
                <w:szCs w:val="21"/>
                <w:highlight w:val="none"/>
              </w:rPr>
            </w:pPr>
            <w:r>
              <w:rPr>
                <w:rFonts w:hint="eastAsia" w:ascii="宋体" w:hAnsi="MS Mincho" w:eastAsia="MS Mincho" w:cs="MS Mincho"/>
                <w:color w:val="auto"/>
                <w:szCs w:val="21"/>
                <w:highlight w:val="none"/>
              </w:rPr>
              <w:t>☑</w:t>
            </w:r>
            <w:r>
              <w:rPr>
                <w:rFonts w:hint="eastAsia" w:ascii="宋体" w:hAnsi="宋体" w:cs="宋体"/>
                <w:color w:val="auto"/>
                <w:szCs w:val="21"/>
                <w:highlight w:val="none"/>
              </w:rPr>
              <w:t>本项目不收取履约保证金。</w:t>
            </w:r>
          </w:p>
          <w:p w14:paraId="0F258A91">
            <w:pPr>
              <w:autoSpaceDE w:val="0"/>
              <w:autoSpaceDN w:val="0"/>
              <w:spacing w:line="30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37CDCC3E">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合同价款的2%</w:t>
            </w:r>
            <w:r>
              <w:rPr>
                <w:rFonts w:hint="eastAsia" w:ascii="宋体" w:hAnsi="宋体" w:cs="宋体"/>
                <w:color w:val="auto"/>
                <w:szCs w:val="21"/>
                <w:highlight w:val="none"/>
              </w:rPr>
              <w:t>。</w:t>
            </w:r>
            <w:r>
              <w:rPr>
                <w:rFonts w:hint="eastAsia" w:ascii="宋体" w:hAnsi="宋体" w:cs="宋体"/>
                <w:b/>
                <w:i/>
                <w:color w:val="auto"/>
                <w:szCs w:val="21"/>
                <w:highlight w:val="none"/>
              </w:rPr>
              <w:t>（注：履约保证金不超过政府采购合同金额的5%，对中小企业收取的履约保证金数额不得超过政府采购合同金额的2%。采购人可根据供应商的资信等情况减免履约保证金。）</w:t>
            </w:r>
          </w:p>
          <w:p w14:paraId="1BA80F40">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19FF627D">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履约保证金退付方式、时间及条件：采购人应在收到申请之日起28个日历天内扣减供应商赔偿金和其他应从供应商扣回的款项后，将履约金退给供应商（无息）。</w:t>
            </w:r>
          </w:p>
          <w:p w14:paraId="1E8A56A8">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履约保证金指定账户：（合同签订前提供）</w:t>
            </w:r>
          </w:p>
          <w:p w14:paraId="5A05BC84">
            <w:pPr>
              <w:spacing w:line="300" w:lineRule="auto"/>
              <w:rPr>
                <w:rFonts w:ascii="宋体" w:hAnsi="宋体" w:cs="宋体"/>
                <w:b/>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w:t>
            </w:r>
            <w:bookmarkStart w:id="39" w:name="_Hlk54170335"/>
            <w:r>
              <w:rPr>
                <w:rFonts w:hint="eastAsia" w:ascii="宋体" w:hAnsi="宋体" w:cs="宋体"/>
                <w:b/>
                <w:color w:val="auto"/>
                <w:szCs w:val="21"/>
                <w:highlight w:val="none"/>
              </w:rPr>
              <w:t>根据《广西壮族自治区财政厅关于进一步发挥政府采购政策功能促进企业发展的通知》（桂财采〔2023〕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9"/>
          </w:p>
          <w:p w14:paraId="4F73F3D7">
            <w:pPr>
              <w:spacing w:line="300" w:lineRule="auto"/>
              <w:rPr>
                <w:rFonts w:ascii="宋体" w:hAnsi="宋体" w:cs="宋体"/>
                <w:b/>
                <w:color w:val="auto"/>
                <w:szCs w:val="21"/>
                <w:highlight w:val="none"/>
              </w:rPr>
            </w:pPr>
            <w:r>
              <w:rPr>
                <w:rFonts w:hint="eastAsia" w:ascii="宋体" w:hAnsi="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color w:val="auto"/>
                <w:szCs w:val="21"/>
                <w:highlight w:val="none"/>
              </w:rPr>
              <w:br w:type="textWrapping"/>
            </w:r>
            <w:r>
              <w:rPr>
                <w:rFonts w:hint="eastAsia" w:ascii="宋体" w:hAnsi="宋体" w:cs="宋体"/>
                <w:b/>
                <w:color w:val="auto"/>
                <w:szCs w:val="21"/>
                <w:highlight w:val="none"/>
              </w:rPr>
              <w:t>3.采用银行、保险机构出具的保函的，必须为无条件保函，否则不予签订合同。</w:t>
            </w:r>
          </w:p>
          <w:p w14:paraId="6576D654">
            <w:pPr>
              <w:spacing w:line="300" w:lineRule="auto"/>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7D402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1412DF7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1613" w:type="dxa"/>
            <w:vAlign w:val="center"/>
          </w:tcPr>
          <w:p w14:paraId="1843D49E">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82" w:type="dxa"/>
            <w:vAlign w:val="center"/>
          </w:tcPr>
          <w:p w14:paraId="2B190EAA">
            <w:pPr>
              <w:spacing w:line="300" w:lineRule="auto"/>
              <w:rPr>
                <w:rFonts w:ascii="宋体" w:hAnsi="宋体" w:cs="宋体"/>
                <w:color w:val="auto"/>
                <w:szCs w:val="21"/>
                <w:highlight w:val="none"/>
              </w:rPr>
            </w:pPr>
            <w:r>
              <w:rPr>
                <w:rFonts w:hint="eastAsia" w:ascii="宋体" w:hAnsi="宋体" w:cs="宋体"/>
                <w:color w:val="auto"/>
                <w:szCs w:val="21"/>
                <w:highlight w:val="none"/>
              </w:rPr>
              <w:t>营业执照副本复印件、单位授权委托书及被授权人身份证原件等其它证明材料。</w:t>
            </w:r>
          </w:p>
        </w:tc>
      </w:tr>
      <w:tr w14:paraId="4BC42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restart"/>
            <w:vAlign w:val="center"/>
          </w:tcPr>
          <w:p w14:paraId="17540813">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1613" w:type="dxa"/>
            <w:vAlign w:val="center"/>
          </w:tcPr>
          <w:p w14:paraId="47C2AF55">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82" w:type="dxa"/>
            <w:vAlign w:val="center"/>
          </w:tcPr>
          <w:p w14:paraId="21C773F5">
            <w:pPr>
              <w:spacing w:line="30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594C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14:paraId="4DA39A8E">
            <w:pPr>
              <w:spacing w:line="300" w:lineRule="auto"/>
              <w:jc w:val="center"/>
              <w:rPr>
                <w:rFonts w:ascii="宋体" w:hAnsi="宋体" w:cs="宋体"/>
                <w:color w:val="auto"/>
                <w:szCs w:val="21"/>
                <w:highlight w:val="none"/>
              </w:rPr>
            </w:pPr>
          </w:p>
        </w:tc>
        <w:tc>
          <w:tcPr>
            <w:tcW w:w="1613" w:type="dxa"/>
            <w:vAlign w:val="center"/>
          </w:tcPr>
          <w:p w14:paraId="0FB27839">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82" w:type="dxa"/>
            <w:vAlign w:val="center"/>
          </w:tcPr>
          <w:p w14:paraId="1BA99E48">
            <w:pPr>
              <w:spacing w:line="30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广西同泽工程项目管理股份有限公司</w:t>
            </w:r>
            <w:r>
              <w:rPr>
                <w:rFonts w:hint="eastAsia" w:ascii="宋体" w:hAnsi="宋体" w:cs="宋体"/>
                <w:color w:val="auto"/>
                <w:szCs w:val="21"/>
                <w:highlight w:val="none"/>
              </w:rPr>
              <w:t>；</w:t>
            </w:r>
          </w:p>
          <w:p w14:paraId="6C70CCA7">
            <w:pPr>
              <w:spacing w:line="30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0771-3181854</w:t>
            </w:r>
            <w:r>
              <w:rPr>
                <w:rFonts w:hint="eastAsia" w:ascii="宋体" w:hAnsi="宋体" w:cs="宋体"/>
                <w:color w:val="auto"/>
                <w:szCs w:val="21"/>
                <w:highlight w:val="none"/>
              </w:rPr>
              <w:t>；</w:t>
            </w:r>
          </w:p>
          <w:p w14:paraId="4C3421D1">
            <w:pPr>
              <w:spacing w:line="300" w:lineRule="auto"/>
              <w:ind w:left="1575" w:leftChars="250" w:hanging="1050" w:hangingChars="5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广西壮族自治区梧州市长洲区新兴二路御山帝景1栋3单元402房</w:t>
            </w:r>
          </w:p>
          <w:p w14:paraId="0ADFBAF4">
            <w:pPr>
              <w:spacing w:line="30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梧州职业学院（梧州市职业教育中心）</w:t>
            </w:r>
            <w:r>
              <w:rPr>
                <w:rFonts w:hint="eastAsia" w:ascii="宋体" w:hAnsi="宋体" w:cs="宋体"/>
                <w:color w:val="auto"/>
                <w:szCs w:val="21"/>
                <w:highlight w:val="none"/>
              </w:rPr>
              <w:t>；</w:t>
            </w:r>
          </w:p>
          <w:p w14:paraId="409FEDD3">
            <w:pPr>
              <w:spacing w:line="30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0774-3832396</w:t>
            </w:r>
            <w:r>
              <w:rPr>
                <w:rFonts w:hint="eastAsia" w:ascii="宋体" w:hAnsi="宋体" w:cs="宋体"/>
                <w:color w:val="auto"/>
                <w:szCs w:val="21"/>
                <w:highlight w:val="none"/>
              </w:rPr>
              <w:t>；</w:t>
            </w:r>
          </w:p>
          <w:p w14:paraId="644D1983">
            <w:pPr>
              <w:spacing w:line="300" w:lineRule="auto"/>
              <w:ind w:firstLine="525" w:firstLineChars="2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 xml:space="preserve">梧州市三龙大道88号 </w:t>
            </w:r>
          </w:p>
        </w:tc>
      </w:tr>
      <w:tr w14:paraId="48EF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14:paraId="0D81402E">
            <w:pPr>
              <w:spacing w:line="300" w:lineRule="auto"/>
              <w:jc w:val="center"/>
              <w:rPr>
                <w:rFonts w:ascii="宋体" w:hAnsi="宋体" w:cs="宋体"/>
                <w:color w:val="auto"/>
                <w:szCs w:val="21"/>
                <w:highlight w:val="none"/>
              </w:rPr>
            </w:pPr>
          </w:p>
        </w:tc>
        <w:tc>
          <w:tcPr>
            <w:tcW w:w="1613" w:type="dxa"/>
            <w:vAlign w:val="center"/>
          </w:tcPr>
          <w:p w14:paraId="17D6836D">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882" w:type="dxa"/>
            <w:vAlign w:val="center"/>
          </w:tcPr>
          <w:p w14:paraId="6B29BA81">
            <w:pPr>
              <w:spacing w:line="300" w:lineRule="auto"/>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8</w:t>
            </w:r>
            <w:r>
              <w:rPr>
                <w:rFonts w:hint="eastAsia" w:ascii="宋体" w:hAnsi="宋体" w:cs="宋体"/>
                <w:color w:val="auto"/>
                <w:szCs w:val="21"/>
                <w:highlight w:val="none"/>
              </w:rPr>
              <w:t>时</w:t>
            </w:r>
            <w:r>
              <w:rPr>
                <w:rFonts w:hint="eastAsia" w:ascii="宋体" w:hAnsi="宋体" w:cs="宋体"/>
                <w:color w:val="auto"/>
                <w:szCs w:val="21"/>
                <w:highlight w:val="none"/>
                <w:u w:val="single"/>
              </w:rPr>
              <w:t>30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2650E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20E91662">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1613" w:type="dxa"/>
            <w:vAlign w:val="center"/>
          </w:tcPr>
          <w:p w14:paraId="652A188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82" w:type="dxa"/>
            <w:vAlign w:val="center"/>
          </w:tcPr>
          <w:p w14:paraId="65B7FC08">
            <w:pPr>
              <w:spacing w:line="30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6E06943D">
            <w:pPr>
              <w:spacing w:line="300" w:lineRule="auto"/>
              <w:rPr>
                <w:rFonts w:ascii="宋体" w:hAnsi="宋体" w:cs="宋体"/>
                <w:color w:val="auto"/>
                <w:szCs w:val="21"/>
                <w:highlight w:val="none"/>
              </w:rPr>
            </w:pPr>
            <w:r>
              <w:rPr>
                <w:rFonts w:hint="eastAsia" w:ascii="宋体" w:hAnsi="宋体" w:cs="宋体"/>
                <w:color w:val="auto"/>
                <w:szCs w:val="21"/>
                <w:highlight w:val="none"/>
              </w:rPr>
              <w:t>2.邮寄地址：</w:t>
            </w:r>
          </w:p>
          <w:p w14:paraId="6A543D49">
            <w:pPr>
              <w:spacing w:line="30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名称：</w:t>
            </w:r>
            <w:bookmarkStart w:id="40" w:name="PO_3000001868_PM036"/>
            <w:bookmarkEnd w:id="40"/>
            <w:r>
              <w:rPr>
                <w:rFonts w:hint="eastAsia" w:ascii="宋体" w:hAnsi="宋体" w:cs="宋体"/>
                <w:color w:val="auto"/>
                <w:szCs w:val="21"/>
                <w:highlight w:val="none"/>
              </w:rPr>
              <w:t>梧州市财政局政府采购监督管理科</w:t>
            </w:r>
          </w:p>
          <w:p w14:paraId="52B72EEF">
            <w:pPr>
              <w:spacing w:line="30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地址：</w:t>
            </w:r>
            <w:bookmarkStart w:id="41" w:name="PO_3000001868_PM039"/>
            <w:bookmarkEnd w:id="41"/>
            <w:r>
              <w:rPr>
                <w:rFonts w:hint="eastAsia" w:ascii="宋体" w:hAnsi="宋体" w:cs="宋体"/>
                <w:color w:val="auto"/>
                <w:szCs w:val="21"/>
                <w:highlight w:val="none"/>
              </w:rPr>
              <w:t>梧州市长洲区三龙大道红岭大厦22楼</w:t>
            </w:r>
          </w:p>
          <w:p w14:paraId="40FBAF31">
            <w:pPr>
              <w:spacing w:line="30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联系电话：0774-3856434</w:t>
            </w:r>
          </w:p>
        </w:tc>
      </w:tr>
      <w:tr w14:paraId="445D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1A8B9141">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1613" w:type="dxa"/>
            <w:vAlign w:val="center"/>
          </w:tcPr>
          <w:p w14:paraId="6EDE2587">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82" w:type="dxa"/>
            <w:vAlign w:val="center"/>
          </w:tcPr>
          <w:p w14:paraId="262BFCC9">
            <w:pPr>
              <w:pStyle w:val="17"/>
              <w:spacing w:line="300" w:lineRule="auto"/>
              <w:rPr>
                <w:rFonts w:hAnsi="宋体" w:cs="宋体"/>
                <w:color w:val="auto"/>
                <w:kern w:val="2"/>
                <w:sz w:val="21"/>
                <w:highlight w:val="none"/>
              </w:rPr>
            </w:pPr>
            <w:r>
              <w:rPr>
                <w:rFonts w:hint="eastAsia" w:hAnsi="宋体" w:cs="宋体"/>
                <w:color w:val="auto"/>
                <w:kern w:val="2"/>
                <w:sz w:val="21"/>
                <w:highlight w:val="none"/>
              </w:rPr>
              <w:t>1.是否收取采购代理费：</w:t>
            </w:r>
          </w:p>
          <w:p w14:paraId="1E1D13C2">
            <w:pPr>
              <w:pStyle w:val="17"/>
              <w:spacing w:line="300" w:lineRule="auto"/>
              <w:ind w:firstLine="210" w:firstLineChars="100"/>
              <w:rPr>
                <w:rFonts w:hAnsi="宋体" w:cs="宋体"/>
                <w:color w:val="auto"/>
                <w:kern w:val="2"/>
                <w:sz w:val="21"/>
                <w:highlight w:val="none"/>
              </w:rPr>
            </w:pPr>
            <w:r>
              <w:rPr>
                <w:rFonts w:hint="eastAsia" w:hAnsi="宋体" w:cs="宋体"/>
                <w:color w:val="auto"/>
                <w:kern w:val="2"/>
                <w:sz w:val="21"/>
                <w:highlight w:val="none"/>
              </w:rPr>
              <w:sym w:font="Wingdings 2" w:char="0052"/>
            </w:r>
            <w:r>
              <w:rPr>
                <w:rFonts w:hint="eastAsia" w:hAnsi="宋体" w:cs="宋体"/>
                <w:color w:val="auto"/>
                <w:kern w:val="2"/>
                <w:sz w:val="21"/>
                <w:highlight w:val="none"/>
              </w:rPr>
              <w:t>是；□否</w:t>
            </w:r>
          </w:p>
          <w:p w14:paraId="3A634ACB">
            <w:pPr>
              <w:pStyle w:val="17"/>
              <w:spacing w:line="300" w:lineRule="auto"/>
              <w:rPr>
                <w:rFonts w:hAnsi="宋体" w:cs="宋体"/>
                <w:color w:val="auto"/>
                <w:kern w:val="2"/>
                <w:sz w:val="21"/>
                <w:highlight w:val="none"/>
              </w:rPr>
            </w:pPr>
            <w:r>
              <w:rPr>
                <w:rFonts w:hint="eastAsia" w:hAnsi="宋体" w:cs="宋体"/>
                <w:color w:val="auto"/>
                <w:kern w:val="2"/>
                <w:sz w:val="21"/>
                <w:highlight w:val="none"/>
              </w:rPr>
              <w:t>2.采购代理费支付方式：</w:t>
            </w:r>
          </w:p>
          <w:p w14:paraId="6461A6B9">
            <w:pPr>
              <w:pStyle w:val="17"/>
              <w:spacing w:line="300" w:lineRule="auto"/>
              <w:ind w:left="525" w:leftChars="100" w:hanging="315" w:hangingChars="150"/>
              <w:rPr>
                <w:rFonts w:hAnsi="宋体" w:cs="宋体"/>
                <w:color w:val="auto"/>
                <w:kern w:val="2"/>
                <w:sz w:val="21"/>
                <w:highlight w:val="none"/>
              </w:rPr>
            </w:pPr>
            <w:r>
              <w:rPr>
                <w:rFonts w:hint="eastAsia" w:hAnsi="宋体" w:cs="宋体"/>
                <w:color w:val="auto"/>
                <w:kern w:val="2"/>
                <w:sz w:val="21"/>
                <w:highlight w:val="none"/>
              </w:rPr>
              <w:sym w:font="Wingdings 2" w:char="0052"/>
            </w:r>
            <w:r>
              <w:rPr>
                <w:rFonts w:hint="eastAsia" w:hAnsi="宋体" w:cs="宋体"/>
                <w:color w:val="auto"/>
                <w:kern w:val="2"/>
                <w:sz w:val="21"/>
                <w:highlight w:val="none"/>
              </w:rPr>
              <w:t>本项目代理服务费由</w:t>
            </w:r>
            <w:r>
              <w:rPr>
                <w:rFonts w:hint="eastAsia" w:hAnsi="宋体" w:cs="宋体"/>
                <w:color w:val="auto"/>
                <w:kern w:val="2"/>
                <w:sz w:val="21"/>
                <w:highlight w:val="none"/>
                <w:u w:val="single"/>
              </w:rPr>
              <w:t>成交供应商</w:t>
            </w:r>
            <w:r>
              <w:rPr>
                <w:rFonts w:hint="eastAsia" w:hAnsi="宋体" w:cs="宋体"/>
                <w:color w:val="auto"/>
                <w:kern w:val="2"/>
                <w:sz w:val="21"/>
                <w:highlight w:val="none"/>
              </w:rPr>
              <w:t>领取成交通知书前，一次性向采购代理机构支付。</w:t>
            </w:r>
          </w:p>
          <w:p w14:paraId="10DEC7E8">
            <w:pPr>
              <w:pStyle w:val="17"/>
              <w:spacing w:line="300" w:lineRule="auto"/>
              <w:ind w:firstLine="210" w:firstLineChars="100"/>
              <w:rPr>
                <w:rFonts w:hAnsi="宋体" w:cs="宋体"/>
                <w:color w:val="auto"/>
                <w:kern w:val="2"/>
                <w:sz w:val="21"/>
                <w:highlight w:val="none"/>
              </w:rPr>
            </w:pPr>
            <w:r>
              <w:rPr>
                <w:rFonts w:hint="eastAsia" w:hAnsi="宋体" w:cs="宋体"/>
                <w:color w:val="auto"/>
                <w:kern w:val="2"/>
                <w:sz w:val="21"/>
                <w:highlight w:val="none"/>
              </w:rPr>
              <w:t>□采购人支付。</w:t>
            </w:r>
          </w:p>
          <w:p w14:paraId="23F25F45">
            <w:pPr>
              <w:pStyle w:val="17"/>
              <w:spacing w:line="300" w:lineRule="auto"/>
              <w:rPr>
                <w:rFonts w:hAnsi="宋体" w:cs="宋体"/>
                <w:color w:val="auto"/>
                <w:kern w:val="2"/>
                <w:sz w:val="21"/>
                <w:highlight w:val="none"/>
              </w:rPr>
            </w:pPr>
            <w:r>
              <w:rPr>
                <w:rFonts w:hint="eastAsia" w:hAnsi="宋体" w:cs="宋体"/>
                <w:color w:val="auto"/>
                <w:kern w:val="2"/>
                <w:sz w:val="21"/>
                <w:highlight w:val="none"/>
              </w:rPr>
              <w:t>3.采购代理费收取标准：本项目采购代理服务费按国家发展计划委员会计价格[2002]1980号《招标代理服务费管理暂行办法》收费标准、发改价格[2011]534号下浮10%收取，评审费按实际发生计取，由成交供应商在领取成交通知书时，一次性向采购代理机构支付</w:t>
            </w:r>
            <w:r>
              <w:rPr>
                <w:rFonts w:hint="eastAsia" w:hAnsi="宋体" w:cs="宋体"/>
                <w:b w:val="0"/>
                <w:bCs w:val="0"/>
                <w:color w:val="auto"/>
                <w:kern w:val="2"/>
                <w:sz w:val="21"/>
                <w:highlight w:val="none"/>
              </w:rPr>
              <w:t>。</w:t>
            </w:r>
          </w:p>
          <w:p w14:paraId="2A150C18">
            <w:pPr>
              <w:spacing w:line="300" w:lineRule="auto"/>
              <w:rPr>
                <w:rFonts w:ascii="宋体" w:hAnsi="宋体" w:cs="宋体"/>
                <w:color w:val="auto"/>
                <w:szCs w:val="21"/>
                <w:highlight w:val="none"/>
              </w:rPr>
            </w:pPr>
            <w:r>
              <w:rPr>
                <w:rFonts w:hint="eastAsia" w:ascii="宋体" w:hAnsi="宋体" w:cs="宋体"/>
                <w:color w:val="auto"/>
                <w:szCs w:val="21"/>
                <w:highlight w:val="none"/>
              </w:rPr>
              <w:t>4.采购代理费收取银行账户</w:t>
            </w:r>
          </w:p>
          <w:p w14:paraId="295A8795">
            <w:pPr>
              <w:pStyle w:val="25"/>
              <w:snapToGrid w:val="0"/>
              <w:spacing w:line="360" w:lineRule="auto"/>
              <w:ind w:firstLine="420" w:firstLineChars="200"/>
              <w:rPr>
                <w:rFonts w:hAnsi="宋体"/>
                <w:color w:val="auto"/>
                <w:sz w:val="21"/>
                <w:szCs w:val="21"/>
                <w:highlight w:val="none"/>
              </w:rPr>
            </w:pPr>
            <w:r>
              <w:rPr>
                <w:rFonts w:hint="eastAsia" w:ascii="宋体" w:hAnsi="宋体"/>
                <w:color w:val="auto"/>
                <w:sz w:val="21"/>
                <w:szCs w:val="21"/>
                <w:highlight w:val="none"/>
                <w:lang w:bidi="ar"/>
              </w:rPr>
              <w:t>账户名称：</w:t>
            </w:r>
            <w:r>
              <w:rPr>
                <w:rFonts w:hint="eastAsia" w:hAnsi="宋体"/>
                <w:color w:val="auto"/>
                <w:sz w:val="21"/>
                <w:highlight w:val="none"/>
              </w:rPr>
              <w:t>广西同泽工程项目管理股份有限公司南宁第二分公司</w:t>
            </w:r>
          </w:p>
          <w:p w14:paraId="74A4F6B1">
            <w:pPr>
              <w:pStyle w:val="25"/>
              <w:snapToGrid w:val="0"/>
              <w:spacing w:line="360" w:lineRule="auto"/>
              <w:ind w:firstLine="420" w:firstLineChars="200"/>
              <w:rPr>
                <w:rFonts w:hint="eastAsia" w:hAnsi="宋体" w:eastAsia="宋体"/>
                <w:color w:val="auto"/>
                <w:sz w:val="21"/>
                <w:szCs w:val="21"/>
                <w:highlight w:val="none"/>
                <w:lang w:eastAsia="zh-CN"/>
              </w:rPr>
            </w:pPr>
            <w:r>
              <w:rPr>
                <w:rFonts w:hint="eastAsia" w:ascii="宋体" w:hAnsi="宋体"/>
                <w:color w:val="auto"/>
                <w:sz w:val="21"/>
                <w:szCs w:val="21"/>
                <w:highlight w:val="none"/>
                <w:lang w:bidi="ar"/>
              </w:rPr>
              <w:t>开户银行：工商银行南宁五象支行</w:t>
            </w:r>
          </w:p>
          <w:p w14:paraId="0554DB41">
            <w:pPr>
              <w:spacing w:line="300" w:lineRule="auto"/>
              <w:ind w:firstLine="420" w:firstLineChars="200"/>
              <w:rPr>
                <w:rFonts w:ascii="宋体" w:hAnsi="宋体" w:cs="宋体"/>
                <w:color w:val="auto"/>
                <w:szCs w:val="21"/>
                <w:highlight w:val="none"/>
              </w:rPr>
            </w:pPr>
            <w:r>
              <w:rPr>
                <w:rFonts w:hint="eastAsia" w:hAnsi="宋体" w:cs="宋体"/>
                <w:color w:val="auto"/>
                <w:sz w:val="21"/>
                <w:szCs w:val="21"/>
                <w:highlight w:val="none"/>
                <w:lang w:bidi="ar"/>
              </w:rPr>
              <w:t>银行账号：2102116019300170843</w:t>
            </w:r>
          </w:p>
        </w:tc>
      </w:tr>
      <w:tr w14:paraId="5297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3E928640">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1613" w:type="dxa"/>
            <w:vAlign w:val="center"/>
          </w:tcPr>
          <w:p w14:paraId="16B5670D">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解释</w:t>
            </w:r>
          </w:p>
        </w:tc>
        <w:tc>
          <w:tcPr>
            <w:tcW w:w="6882" w:type="dxa"/>
            <w:vAlign w:val="center"/>
          </w:tcPr>
          <w:p w14:paraId="6E67A1FD">
            <w:pPr>
              <w:spacing w:line="30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13BAD7C4">
            <w:pPr>
              <w:pStyle w:val="17"/>
              <w:spacing w:line="300" w:lineRule="auto"/>
              <w:rPr>
                <w:rFonts w:hAnsi="宋体" w:cs="宋体"/>
                <w:color w:val="auto"/>
                <w:kern w:val="2"/>
                <w:sz w:val="21"/>
                <w:highlight w:val="none"/>
              </w:rPr>
            </w:pPr>
            <w:r>
              <w:rPr>
                <w:rFonts w:hint="eastAsia" w:hAnsi="宋体" w:cs="宋体"/>
                <w:b/>
                <w:color w:val="auto"/>
                <w:kern w:val="2"/>
                <w:sz w:val="21"/>
                <w:highlight w:val="none"/>
              </w:rPr>
              <w:t>法律责任：</w:t>
            </w:r>
            <w:r>
              <w:rPr>
                <w:rFonts w:hint="eastAsia" w:hAnsi="宋体" w:cs="宋体"/>
                <w:color w:val="auto"/>
                <w:kern w:val="2"/>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34170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500EAAFF">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1613" w:type="dxa"/>
            <w:vAlign w:val="center"/>
          </w:tcPr>
          <w:p w14:paraId="58B0604A">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82" w:type="dxa"/>
            <w:vAlign w:val="center"/>
          </w:tcPr>
          <w:p w14:paraId="661612D4">
            <w:pPr>
              <w:pStyle w:val="17"/>
              <w:spacing w:line="300" w:lineRule="auto"/>
              <w:rPr>
                <w:rFonts w:hAnsi="宋体" w:cs="宋体"/>
                <w:color w:val="auto"/>
                <w:kern w:val="2"/>
                <w:sz w:val="21"/>
                <w:highlight w:val="none"/>
              </w:rPr>
            </w:pPr>
            <w:r>
              <w:rPr>
                <w:rFonts w:hint="eastAsia" w:hAnsi="宋体" w:cs="宋体"/>
                <w:color w:val="auto"/>
                <w:kern w:val="2"/>
                <w:sz w:val="21"/>
                <w:highlight w:val="none"/>
              </w:rPr>
              <w:t xml:space="preserve">1.电子响应文件中须加盖供应商公章部分均采用CA签章，并根据“政府采购项目电子交易管理操作指南-供应商”及本竞争性磋商文件规定的格式和顺序编制电子投标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投标文件被误读、漏读，或者在按采购文件规定的部位查找不到相关内容的，由供应商自行承担。 </w:t>
            </w:r>
          </w:p>
          <w:p w14:paraId="5B8101C0">
            <w:pPr>
              <w:pStyle w:val="17"/>
              <w:spacing w:line="300" w:lineRule="auto"/>
              <w:rPr>
                <w:rFonts w:hAnsi="宋体" w:cs="宋体"/>
                <w:color w:val="auto"/>
                <w:kern w:val="2"/>
                <w:sz w:val="21"/>
                <w:highlight w:val="none"/>
              </w:rPr>
            </w:pPr>
            <w:r>
              <w:rPr>
                <w:rFonts w:hint="eastAsia" w:hAnsi="宋体" w:cs="宋体"/>
                <w:color w:val="auto"/>
                <w:kern w:val="2"/>
                <w:sz w:val="21"/>
                <w:highlight w:val="none"/>
              </w:rPr>
              <w:t xml:space="preserve">2.供应商为其他组织或者自然人时，本磋商文件规定的法定代表人指负责人或者自然人。 本磋商文件所称负责人是指参加竞标的其他组织营业执照或者执业许可证等证照上的负责人，本磋商文件所称自然人指参与竞标的自然人本人，且应具备独立承担民事责任能力，自然人应当为年满 18 岁以上成年人（十六周岁以上的未成年人，以自己的劳动收入为主要生活来源的，视为完全民事行为能力人）。 </w:t>
            </w:r>
          </w:p>
          <w:p w14:paraId="466C98A3">
            <w:pPr>
              <w:pStyle w:val="17"/>
              <w:spacing w:line="300" w:lineRule="auto"/>
              <w:rPr>
                <w:rFonts w:hAnsi="宋体" w:cs="宋体"/>
                <w:color w:val="auto"/>
                <w:kern w:val="2"/>
                <w:sz w:val="21"/>
                <w:highlight w:val="none"/>
              </w:rPr>
            </w:pPr>
            <w:r>
              <w:rPr>
                <w:rFonts w:hint="eastAsia" w:hAnsi="宋体" w:cs="宋体"/>
                <w:color w:val="auto"/>
                <w:kern w:val="2"/>
                <w:sz w:val="21"/>
                <w:highlight w:val="none"/>
              </w:rPr>
              <w:t xml:space="preserve">3.本磋商文件中描述供应商的“签字”是指供应商的法定代表人或者委托代理人亲自在文件规定签署处亲笔写上个人的名字的行为，私章、签字章、印鉴、影印等其他形式均不能代替亲笔签字。 </w:t>
            </w:r>
          </w:p>
          <w:p w14:paraId="14DB70D3">
            <w:pPr>
              <w:pStyle w:val="17"/>
              <w:spacing w:line="300" w:lineRule="auto"/>
              <w:rPr>
                <w:rFonts w:hAnsi="宋体" w:cs="宋体"/>
                <w:color w:val="auto"/>
                <w:kern w:val="2"/>
                <w:sz w:val="21"/>
                <w:highlight w:val="none"/>
              </w:rPr>
            </w:pPr>
            <w:r>
              <w:rPr>
                <w:rFonts w:hint="eastAsia" w:hAnsi="宋体" w:cs="宋体"/>
                <w:color w:val="auto"/>
                <w:kern w:val="2"/>
                <w:sz w:val="21"/>
                <w:highlight w:val="none"/>
              </w:rPr>
              <w:t>4.自然人竞标的，磋商文件规定盖公章处由自然人摁手指指印。</w:t>
            </w:r>
          </w:p>
          <w:p w14:paraId="410D0591">
            <w:pPr>
              <w:pStyle w:val="17"/>
              <w:spacing w:line="300" w:lineRule="auto"/>
              <w:rPr>
                <w:rFonts w:hAnsi="宋体" w:cs="宋体"/>
                <w:color w:val="auto"/>
                <w:kern w:val="2"/>
                <w:sz w:val="21"/>
                <w:highlight w:val="none"/>
              </w:rPr>
            </w:pPr>
            <w:r>
              <w:rPr>
                <w:rFonts w:hint="eastAsia" w:hAnsi="宋体" w:cs="宋体"/>
                <w:color w:val="auto"/>
                <w:kern w:val="2"/>
                <w:sz w:val="21"/>
                <w:highlight w:val="none"/>
              </w:rPr>
              <w:t xml:space="preserve">5.本磋商文件所称的“以上”“以下”“以内”“届满”，包括本数；所称的“不满”“超过”“以外”，不包括本数。 </w:t>
            </w:r>
          </w:p>
          <w:p w14:paraId="539E5B3F">
            <w:pPr>
              <w:pStyle w:val="17"/>
              <w:spacing w:line="300" w:lineRule="auto"/>
              <w:rPr>
                <w:rFonts w:hAnsi="宋体" w:cs="宋体"/>
                <w:color w:val="auto"/>
                <w:kern w:val="2"/>
                <w:sz w:val="21"/>
                <w:highlight w:val="none"/>
              </w:rPr>
            </w:pPr>
            <w:r>
              <w:rPr>
                <w:rFonts w:hint="eastAsia" w:hAnsi="宋体" w:cs="宋体"/>
                <w:color w:val="auto"/>
                <w:kern w:val="2"/>
                <w:sz w:val="21"/>
                <w:highlight w:val="none"/>
              </w:rPr>
              <w:t>6.CA 签章上目前没有法定代表人（负责人）或授权代表签字信息，供应商在响应文件中涉及到签字的位置线下签好字然后扫描或者拍照做成 PDF 的格式亦可。响应文件中涉及到签字的位置未按要求签字的，提供的材料视为无效。</w:t>
            </w:r>
          </w:p>
        </w:tc>
      </w:tr>
    </w:tbl>
    <w:p w14:paraId="29D6BF9E">
      <w:pPr>
        <w:spacing w:line="360" w:lineRule="auto"/>
        <w:ind w:firstLine="440" w:firstLineChars="200"/>
        <w:rPr>
          <w:rFonts w:ascii="宋体" w:hAnsi="宋体" w:cs="宋体"/>
          <w:color w:val="auto"/>
          <w:sz w:val="22"/>
          <w:szCs w:val="22"/>
          <w:highlight w:val="none"/>
        </w:rPr>
      </w:pPr>
      <w:bookmarkStart w:id="42" w:name="_Toc3871"/>
    </w:p>
    <w:p w14:paraId="034C47A4">
      <w:pPr>
        <w:widowControl/>
        <w:jc w:val="left"/>
        <w:rPr>
          <w:rFonts w:ascii="宋体" w:hAnsi="宋体" w:cs="宋体"/>
          <w:color w:val="auto"/>
          <w:sz w:val="22"/>
          <w:szCs w:val="22"/>
          <w:highlight w:val="none"/>
        </w:rPr>
      </w:pPr>
      <w:r>
        <w:rPr>
          <w:rFonts w:ascii="宋体" w:hAnsi="宋体" w:cs="宋体"/>
          <w:color w:val="auto"/>
          <w:sz w:val="22"/>
          <w:szCs w:val="22"/>
          <w:highlight w:val="none"/>
        </w:rPr>
        <w:br w:type="page"/>
      </w:r>
    </w:p>
    <w:p w14:paraId="58CA9B86">
      <w:pPr>
        <w:spacing w:line="360" w:lineRule="auto"/>
        <w:ind w:firstLine="440" w:firstLineChars="200"/>
        <w:rPr>
          <w:rFonts w:ascii="宋体" w:hAnsi="宋体" w:cs="宋体"/>
          <w:color w:val="auto"/>
          <w:sz w:val="22"/>
          <w:szCs w:val="22"/>
          <w:highlight w:val="none"/>
        </w:rPr>
      </w:pPr>
    </w:p>
    <w:p w14:paraId="7A5D7C58">
      <w:pPr>
        <w:pStyle w:val="4"/>
        <w:spacing w:before="0" w:after="0" w:line="360" w:lineRule="auto"/>
        <w:jc w:val="center"/>
        <w:rPr>
          <w:rFonts w:ascii="宋体" w:hAnsi="宋体" w:cs="宋体"/>
          <w:b w:val="0"/>
          <w:color w:val="auto"/>
          <w:highlight w:val="none"/>
        </w:rPr>
      </w:pPr>
      <w:r>
        <w:rPr>
          <w:rFonts w:hint="eastAsia" w:ascii="宋体" w:hAnsi="宋体" w:cs="宋体"/>
          <w:bCs w:val="0"/>
          <w:color w:val="auto"/>
          <w:sz w:val="28"/>
          <w:szCs w:val="28"/>
          <w:highlight w:val="none"/>
        </w:rPr>
        <w:t>第二节 供应商须知正文</w:t>
      </w:r>
      <w:bookmarkEnd w:id="42"/>
    </w:p>
    <w:p w14:paraId="7D009745">
      <w:pPr>
        <w:spacing w:line="360" w:lineRule="auto"/>
        <w:ind w:firstLine="562" w:firstLineChars="200"/>
        <w:outlineLvl w:val="2"/>
        <w:rPr>
          <w:rFonts w:ascii="宋体" w:hAnsi="宋体" w:cs="宋体"/>
          <w:b/>
          <w:bCs/>
          <w:color w:val="auto"/>
          <w:sz w:val="28"/>
          <w:szCs w:val="28"/>
          <w:highlight w:val="none"/>
        </w:rPr>
      </w:pPr>
      <w:bookmarkStart w:id="43" w:name="_Toc14066"/>
      <w:r>
        <w:rPr>
          <w:rFonts w:hint="eastAsia" w:ascii="宋体" w:hAnsi="宋体" w:cs="宋体"/>
          <w:b/>
          <w:bCs/>
          <w:color w:val="auto"/>
          <w:sz w:val="28"/>
          <w:szCs w:val="28"/>
          <w:highlight w:val="none"/>
        </w:rPr>
        <w:t>一、总则</w:t>
      </w:r>
      <w:bookmarkEnd w:id="43"/>
    </w:p>
    <w:p w14:paraId="688D410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1.适用范围</w:t>
      </w:r>
    </w:p>
    <w:p w14:paraId="646114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DE249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p>
    <w:p w14:paraId="51625A1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2.定义</w:t>
      </w:r>
    </w:p>
    <w:p w14:paraId="7F798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49264F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33110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0B074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BF350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49A92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2.6“响应文件”是指：供应商根据本磋商文件要求，编制包含资格证明、报价商务技术等所有内容的文件。</w:t>
      </w:r>
    </w:p>
    <w:p w14:paraId="363687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602AEC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83F67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4B418A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DB724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0B576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F4127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053777F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0A3679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506628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4.磋商费用</w:t>
      </w:r>
    </w:p>
    <w:p w14:paraId="46F2B7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CE4F01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5.联合体竞标</w:t>
      </w:r>
    </w:p>
    <w:p w14:paraId="2C1A88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FAC9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15FF68DA">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管理办法》（财库[2020]46号）第九条规定，接受大中型企业与小微企业组成联合体的采购项目，对于联合协议约定小微企业的合同份额占到合同总金额30%以上的，采购人、采购代理机构应当对联合体的报价给予2%-3%（工程项目为1%-2%）的扣除，用扣除后的价格参加评审。组成联合体的小微企业与联合体内其他企业、分包企业之间存在直接控股、管理关系的，不享受价格扣除优惠政策。</w:t>
      </w:r>
    </w:p>
    <w:p w14:paraId="48E92F8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6.转包与分包</w:t>
      </w:r>
    </w:p>
    <w:p w14:paraId="32F39C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FBA26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2%-3%的扣除，用扣除后的价格参加评审。接受分包的小微企业与分包企业之间存在直接控股、管理关系的，不享受价格扣除优惠政策。</w:t>
      </w:r>
    </w:p>
    <w:p w14:paraId="3D451871">
      <w:pPr>
        <w:spacing w:line="360" w:lineRule="auto"/>
        <w:ind w:firstLine="422" w:firstLineChars="200"/>
        <w:rPr>
          <w:rFonts w:ascii="宋体" w:hAnsi="宋体" w:cs="宋体"/>
          <w:b/>
          <w:bCs/>
          <w:color w:val="auto"/>
          <w:szCs w:val="21"/>
          <w:highlight w:val="none"/>
        </w:rPr>
      </w:pPr>
      <w:bookmarkStart w:id="44" w:name="_Toc254970532"/>
      <w:bookmarkStart w:id="45" w:name="_Toc254970673"/>
      <w:r>
        <w:rPr>
          <w:rFonts w:hint="eastAsia" w:ascii="宋体" w:hAnsi="宋体" w:cs="宋体"/>
          <w:b/>
          <w:bCs/>
          <w:color w:val="auto"/>
          <w:szCs w:val="21"/>
          <w:highlight w:val="none"/>
        </w:rPr>
        <w:t>7.特别说明</w:t>
      </w:r>
      <w:bookmarkEnd w:id="44"/>
      <w:bookmarkEnd w:id="45"/>
    </w:p>
    <w:p w14:paraId="3E7647AA">
      <w:pPr>
        <w:spacing w:line="360" w:lineRule="auto"/>
        <w:ind w:firstLine="420" w:firstLineChars="200"/>
        <w:rPr>
          <w:rFonts w:ascii="宋体" w:hAnsi="宋体" w:cs="宋体"/>
          <w:color w:val="auto"/>
          <w:szCs w:val="21"/>
          <w:highlight w:val="none"/>
        </w:rPr>
      </w:pPr>
      <w:bookmarkStart w:id="46" w:name="_8.1提供相同品牌产品且通过资格审查、符合性审查的不同投标人参加同一合"/>
      <w:bookmarkEnd w:id="46"/>
      <w:r>
        <w:rPr>
          <w:rFonts w:hint="eastAsia" w:ascii="宋体" w:hAnsi="宋体" w:cs="宋体"/>
          <w:color w:val="auto"/>
          <w:szCs w:val="21"/>
          <w:highlight w:val="none"/>
        </w:rPr>
        <w:t>7.1</w:t>
      </w:r>
      <w:bookmarkStart w:id="47"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47"/>
    <w:p w14:paraId="5F1C4B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4E4DB9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2A8A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4F62CF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C0EDD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00D2A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198BC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5D0EC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43B0F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797F1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37979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5880BA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5542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C1A1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58C61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49CDBBD">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D6687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F1071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5F0B6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2FCEE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0B11B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3703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38785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45737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5EA31DE">
      <w:pPr>
        <w:spacing w:line="360" w:lineRule="auto"/>
        <w:ind w:firstLine="562" w:firstLineChars="200"/>
        <w:outlineLvl w:val="2"/>
        <w:rPr>
          <w:rFonts w:ascii="宋体" w:hAnsi="宋体" w:cs="宋体"/>
          <w:b/>
          <w:bCs/>
          <w:color w:val="auto"/>
          <w:sz w:val="28"/>
          <w:szCs w:val="28"/>
          <w:highlight w:val="none"/>
        </w:rPr>
      </w:pPr>
      <w:bookmarkStart w:id="48" w:name="_Toc597"/>
      <w:bookmarkStart w:id="49" w:name="_Toc254970534"/>
      <w:bookmarkStart w:id="50" w:name="_Toc254970675"/>
      <w:r>
        <w:rPr>
          <w:rFonts w:hint="eastAsia" w:ascii="宋体" w:hAnsi="宋体" w:cs="宋体"/>
          <w:b/>
          <w:bCs/>
          <w:color w:val="auto"/>
          <w:sz w:val="28"/>
          <w:szCs w:val="28"/>
          <w:highlight w:val="none"/>
        </w:rPr>
        <w:t>二、磋商文件</w:t>
      </w:r>
      <w:bookmarkEnd w:id="48"/>
      <w:bookmarkEnd w:id="49"/>
      <w:bookmarkEnd w:id="50"/>
    </w:p>
    <w:p w14:paraId="7A922F5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8.磋商文件的构成</w:t>
      </w:r>
    </w:p>
    <w:p w14:paraId="055113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0190D3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采购需求；</w:t>
      </w:r>
    </w:p>
    <w:p w14:paraId="5AA54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工程量清单；</w:t>
      </w:r>
    </w:p>
    <w:p w14:paraId="088861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图纸（另册）；</w:t>
      </w:r>
    </w:p>
    <w:p w14:paraId="50F170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第五章 供应商须知； </w:t>
      </w:r>
    </w:p>
    <w:p w14:paraId="73587C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评审程序、评审方法和评审标准；</w:t>
      </w:r>
    </w:p>
    <w:p w14:paraId="1480B1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响应文件格式；</w:t>
      </w:r>
    </w:p>
    <w:p w14:paraId="3E173C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合同文本；</w:t>
      </w:r>
    </w:p>
    <w:p w14:paraId="0C39AC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第九章 质疑、投诉材料格式。</w:t>
      </w:r>
    </w:p>
    <w:p w14:paraId="4758953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9.供应商的询问</w:t>
      </w:r>
    </w:p>
    <w:p w14:paraId="64B115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供应商应认真阅读磋商文件，如供应商对磋商文件有疑问的，如要求采购人作出澄清或者修改的，供应商尽应在提交首次响应文件截止之日前，以书面形式向采购人、采购代理机构提出。</w:t>
      </w:r>
    </w:p>
    <w:p w14:paraId="56ACE51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08080C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79A132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E058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E6105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2F081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采购人和采购代理机构可以视采购具体情况，变更提交首次响应文件截止时间和磋商时间，将变更时间将在“采购文件公告”中“七、其他补充事宜1.网上查询地址”规定的政府采购信息发布媒体上发布更正公告。</w:t>
      </w:r>
    </w:p>
    <w:p w14:paraId="6FFEE7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响应文件未按磋商文件的澄清、修改的内容编制，又不符合实质性要求的，其响应文件作无效处理。</w:t>
      </w:r>
    </w:p>
    <w:p w14:paraId="48C72B2C">
      <w:pPr>
        <w:spacing w:line="360" w:lineRule="auto"/>
        <w:ind w:firstLine="562" w:firstLineChars="200"/>
        <w:outlineLvl w:val="2"/>
        <w:rPr>
          <w:rFonts w:ascii="宋体" w:hAnsi="宋体" w:cs="宋体"/>
          <w:b/>
          <w:bCs/>
          <w:color w:val="auto"/>
          <w:sz w:val="28"/>
          <w:szCs w:val="28"/>
          <w:highlight w:val="none"/>
        </w:rPr>
      </w:pPr>
      <w:bookmarkStart w:id="51" w:name="_Toc11654"/>
      <w:r>
        <w:rPr>
          <w:rFonts w:hint="eastAsia" w:ascii="宋体" w:hAnsi="宋体" w:cs="宋体"/>
          <w:b/>
          <w:bCs/>
          <w:color w:val="auto"/>
          <w:sz w:val="28"/>
          <w:szCs w:val="28"/>
          <w:highlight w:val="none"/>
        </w:rPr>
        <w:t>三、响应文件的编制</w:t>
      </w:r>
      <w:bookmarkEnd w:id="51"/>
    </w:p>
    <w:p w14:paraId="631FDDB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57ED76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FA3CEC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12.响应文件的组成</w:t>
      </w:r>
    </w:p>
    <w:p w14:paraId="138ACD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3B0B08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86BA8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D3F70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3421A3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178D3D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13.计量单位</w:t>
      </w:r>
    </w:p>
    <w:p w14:paraId="023A97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63CB8E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14.竞标的风险</w:t>
      </w:r>
    </w:p>
    <w:p w14:paraId="49CD2E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B12E5E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15.响应报价要求和构成</w:t>
      </w:r>
    </w:p>
    <w:p w14:paraId="719C30B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15.1响应报价应按“第七章 响应文件格式”中“报价函及报价函附录”格式填写。</w:t>
      </w:r>
    </w:p>
    <w:p w14:paraId="06BE80A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6A60E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5AAD97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757D71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085ABD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95DF2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69B81C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2"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2"/>
    <w:p w14:paraId="4562AAB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16.磋商有效期</w:t>
      </w:r>
    </w:p>
    <w:p w14:paraId="793F9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16.1磋商有效期是指为保证采购人有足够的时间在提交响应文件后完成评审、确定成交供应商、合同签订等工作而要求供应商提交的响应文件在一定时间内保持有效的期限。</w:t>
      </w:r>
    </w:p>
    <w:p w14:paraId="5C3C1B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磋商有效期应由供应商按“供应商须知前附表”规定的期限作出响应。</w:t>
      </w:r>
    </w:p>
    <w:p w14:paraId="267929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16.3供应商的响应文件在磋商有效期内均保持有效。</w:t>
      </w:r>
    </w:p>
    <w:p w14:paraId="5038AC3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17.磋商保证金</w:t>
      </w:r>
    </w:p>
    <w:p w14:paraId="78AEFA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456C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08D734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17.2.1未成交供应商的磋商保证金自成交通知书发出之日起5个工作日内退还，退还方式如下：</w:t>
      </w:r>
    </w:p>
    <w:p w14:paraId="095D71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1A1CB8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（2）采用支票、汇票或本票方式的，以转账方式退回到供应商银行账户或由供应商代表持相关授权证明材料至磋商保证金收取单位办理支票、汇票或本票原件退还手续。 </w:t>
      </w:r>
    </w:p>
    <w:p w14:paraId="108C9C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（3）采用银行、保险机构出具的保函方式的，由供应商代表持相关授权证明材料至磋商保证金收取单位办理保函原件退还手续。 </w:t>
      </w:r>
    </w:p>
    <w:p w14:paraId="79A00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14:paraId="1D381A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7174FE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4A27B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7EF8ED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0F0993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（3）除因不可抗力或竞争性磋商文件认可的情形以外，成交供应商不与采购人签订合同的；</w:t>
      </w:r>
    </w:p>
    <w:p w14:paraId="0F979E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5CE669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（5）竞争性磋商文件规定的其他情形。</w:t>
      </w:r>
    </w:p>
    <w:p w14:paraId="5B33912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3D1A3E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18.1各供应商在编制响应文件时请按照磋商文件“第七章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12B1C8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775E20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3" w:name="_Hlk65832699"/>
      <w:r>
        <w:rPr>
          <w:rFonts w:hint="eastAsia" w:ascii="宋体" w:hAnsi="宋体" w:cs="宋体"/>
          <w:color w:val="auto"/>
          <w:szCs w:val="21"/>
          <w:highlight w:val="none"/>
        </w:rPr>
        <w:t>3响应文件须由供应商在</w:t>
      </w:r>
      <w:r>
        <w:rPr>
          <w:rFonts w:hint="eastAsia" w:ascii="宋体" w:hAnsi="宋体" w:cs="宋体"/>
          <w:color w:val="auto"/>
          <w:szCs w:val="21"/>
          <w:highlight w:val="none"/>
          <w:lang w:val="zh-CN"/>
        </w:rPr>
        <w:t>“</w:t>
      </w:r>
      <w:r>
        <w:rPr>
          <w:rFonts w:hint="eastAsia" w:ascii="宋体" w:hAnsi="宋体" w:cs="宋体"/>
          <w:color w:val="auto"/>
          <w:szCs w:val="21"/>
          <w:highlight w:val="none"/>
        </w:rPr>
        <w:t>第七章 响应文件格式</w:t>
      </w:r>
      <w:r>
        <w:rPr>
          <w:rFonts w:hint="eastAsia" w:ascii="宋体" w:hAnsi="宋体" w:cs="宋体"/>
          <w:color w:val="auto"/>
          <w:szCs w:val="21"/>
          <w:highlight w:val="none"/>
          <w:lang w:val="zh-CN"/>
        </w:rPr>
        <w:t>”</w:t>
      </w:r>
      <w:r>
        <w:rPr>
          <w:rFonts w:hint="eastAsia" w:ascii="宋体" w:hAnsi="宋体" w:cs="宋体"/>
          <w:color w:val="auto"/>
          <w:szCs w:val="21"/>
          <w:highlight w:val="none"/>
        </w:rPr>
        <w:t>规定位置进行签署、盖章</w:t>
      </w:r>
      <w:bookmarkEnd w:id="53"/>
      <w:r>
        <w:rPr>
          <w:rFonts w:hint="eastAsia" w:ascii="宋体" w:hAnsi="宋体" w:cs="宋体"/>
          <w:color w:val="auto"/>
          <w:szCs w:val="21"/>
          <w:highlight w:val="none"/>
        </w:rPr>
        <w:t>，否则其响应文件按无效响应处理。骑缝盖公章不视为在规定位置盖章。</w:t>
      </w:r>
    </w:p>
    <w:p w14:paraId="5F6191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8EC9C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4A11084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19.响应文件的密封和标记</w:t>
      </w:r>
    </w:p>
    <w:p w14:paraId="7EDA05B9">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19.1供应商进行电子交易应安装客户端软件</w:t>
      </w:r>
      <w:r>
        <w:rPr>
          <w:rFonts w:hint="eastAsia" w:ascii="宋体" w:hAnsi="宋体" w:cs="宋体"/>
          <w:color w:val="auto"/>
          <w:szCs w:val="21"/>
          <w:highlight w:val="none"/>
        </w:rPr>
        <w:t>-</w:t>
      </w:r>
      <w:r>
        <w:rPr>
          <w:rFonts w:hint="eastAsia" w:ascii="宋体" w:hAnsi="宋体" w:cs="宋体"/>
          <w:color w:val="auto"/>
          <w:szCs w:val="21"/>
          <w:highlight w:val="none"/>
          <w:lang w:val="zh-CN"/>
        </w:rPr>
        <w:t>“政采云电子交易客户端”，并按照磋商文件和电子交易平台的要求编制并加密响应文件。供应商未按规定加密的响应文件，电子交易平台将拒收并提示。</w:t>
      </w:r>
    </w:p>
    <w:p w14:paraId="6A6473B7">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19.2使用“政采云电子交易客户端”需要提前申领CA数字证书。</w:t>
      </w:r>
    </w:p>
    <w:p w14:paraId="678E288E">
      <w:pPr>
        <w:pStyle w:val="17"/>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B6D69E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20.响应文件的提交</w:t>
      </w:r>
    </w:p>
    <w:p w14:paraId="1B93D7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06E9F1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20.2在响应文件提交截止时间以后，不能补充、修改响应文件。</w:t>
      </w:r>
    </w:p>
    <w:p w14:paraId="34958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20.3在提交“最后报价”后，供应商不能退出磋商。</w:t>
      </w:r>
    </w:p>
    <w:p w14:paraId="39845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7377F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20.5采购机构不可视情况延长提交响应文件的截止时间。</w:t>
      </w:r>
    </w:p>
    <w:p w14:paraId="27D409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11C96DB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7C36AB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0ADF902">
      <w:pPr>
        <w:spacing w:line="360" w:lineRule="auto"/>
        <w:ind w:firstLine="422" w:firstLineChars="200"/>
        <w:rPr>
          <w:rFonts w:ascii="宋体" w:hAnsi="宋体" w:cs="宋体"/>
          <w:b/>
          <w:bCs/>
          <w:color w:val="auto"/>
          <w:szCs w:val="21"/>
          <w:highlight w:val="none"/>
        </w:rPr>
      </w:pPr>
      <w:bookmarkStart w:id="54" w:name="_Hlk45702405"/>
      <w:r>
        <w:rPr>
          <w:rFonts w:hint="eastAsia" w:ascii="宋体" w:hAnsi="宋体" w:cs="宋体"/>
          <w:b/>
          <w:bCs/>
          <w:color w:val="auto"/>
          <w:szCs w:val="21"/>
          <w:highlight w:val="none"/>
        </w:rPr>
        <w:t>22.首次响应文件的退回</w:t>
      </w:r>
    </w:p>
    <w:p w14:paraId="6B87CC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4E27DA8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789836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供应商在首次响应文件提交截止时间后可向采购人、采购代理机构书面申请撤回电子响应文件。</w:t>
      </w:r>
      <w:bookmarkEnd w:id="54"/>
    </w:p>
    <w:p w14:paraId="5DD3529B">
      <w:pPr>
        <w:spacing w:line="360" w:lineRule="auto"/>
        <w:ind w:firstLine="562" w:firstLineChars="200"/>
        <w:outlineLvl w:val="2"/>
        <w:rPr>
          <w:rFonts w:ascii="宋体" w:hAnsi="宋体" w:cs="宋体"/>
          <w:b/>
          <w:bCs/>
          <w:color w:val="auto"/>
          <w:sz w:val="28"/>
          <w:szCs w:val="28"/>
          <w:highlight w:val="none"/>
        </w:rPr>
      </w:pPr>
      <w:bookmarkStart w:id="55" w:name="_Toc16919"/>
      <w:r>
        <w:rPr>
          <w:rFonts w:hint="eastAsia" w:ascii="宋体" w:hAnsi="宋体" w:cs="宋体"/>
          <w:b/>
          <w:bCs/>
          <w:color w:val="auto"/>
          <w:sz w:val="28"/>
          <w:szCs w:val="28"/>
          <w:highlight w:val="none"/>
        </w:rPr>
        <w:t>四、评审及磋商</w:t>
      </w:r>
      <w:bookmarkEnd w:id="55"/>
    </w:p>
    <w:p w14:paraId="00E550C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24.磋商小组成立</w:t>
      </w:r>
    </w:p>
    <w:p w14:paraId="263A3D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D128E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5ED478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25.首次响应文件的开启</w:t>
      </w:r>
    </w:p>
    <w:p w14:paraId="5586D8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3C11A4D6">
      <w:pPr>
        <w:pStyle w:val="17"/>
        <w:spacing w:line="360" w:lineRule="auto"/>
        <w:ind w:firstLine="420" w:firstLineChars="200"/>
        <w:rPr>
          <w:rFonts w:hAnsi="宋体" w:cs="宋体"/>
          <w:bCs/>
          <w:color w:val="auto"/>
          <w:kern w:val="2"/>
          <w:sz w:val="21"/>
          <w:highlight w:val="none"/>
        </w:rPr>
      </w:pPr>
      <w:r>
        <w:rPr>
          <w:rFonts w:hint="eastAsia" w:hAnsi="宋体" w:cs="宋体"/>
          <w:color w:val="auto"/>
          <w:kern w:val="2"/>
          <w:sz w:val="21"/>
          <w:highlight w:val="none"/>
        </w:rPr>
        <w:t xml:space="preserve">25.2 </w:t>
      </w:r>
      <w:r>
        <w:rPr>
          <w:rFonts w:hint="eastAsia" w:hAnsi="宋体" w:cs="宋体"/>
          <w:bCs/>
          <w:color w:val="auto"/>
          <w:kern w:val="2"/>
          <w:sz w:val="21"/>
          <w:highlight w:val="none"/>
        </w:rPr>
        <w:t>响应文件解密</w:t>
      </w:r>
    </w:p>
    <w:p w14:paraId="7E261973">
      <w:pPr>
        <w:pStyle w:val="17"/>
        <w:spacing w:line="360" w:lineRule="auto"/>
        <w:ind w:firstLine="420" w:firstLineChars="200"/>
        <w:rPr>
          <w:rFonts w:hAnsi="宋体" w:cs="宋体"/>
          <w:color w:val="auto"/>
          <w:kern w:val="2"/>
          <w:sz w:val="21"/>
          <w:highlight w:val="none"/>
        </w:rPr>
      </w:pPr>
      <w:r>
        <w:rPr>
          <w:rFonts w:hint="eastAsia" w:hAnsi="宋体" w:cs="宋体"/>
          <w:bCs/>
          <w:color w:val="auto"/>
          <w:kern w:val="2"/>
          <w:sz w:val="21"/>
          <w:highlight w:val="none"/>
        </w:rPr>
        <w:t>采购代理机构将在“供应商须知前附表”规定的时</w:t>
      </w:r>
      <w:r>
        <w:rPr>
          <w:rFonts w:hint="eastAsia" w:hAnsi="宋体" w:cs="宋体"/>
          <w:color w:val="auto"/>
          <w:kern w:val="2"/>
          <w:sz w:val="21"/>
          <w:highlight w:val="none"/>
        </w:rPr>
        <w:t>间通过电子交易平台组织响应文件开启，采购机构依托电子交易平台发起开始解密指令，供应商的法定代表人或其委托代理人</w:t>
      </w:r>
      <w:r>
        <w:rPr>
          <w:rFonts w:hint="eastAsia" w:hAnsi="宋体" w:cs="宋体"/>
          <w:b/>
          <w:color w:val="auto"/>
          <w:kern w:val="2"/>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kern w:val="2"/>
          <w:sz w:val="21"/>
          <w:highlight w:val="none"/>
        </w:rPr>
        <w:t>视为响应文件无效。</w:t>
      </w:r>
      <w:r>
        <w:rPr>
          <w:rFonts w:hint="eastAsia" w:hAnsi="宋体" w:cs="宋体"/>
          <w:color w:val="auto"/>
          <w:kern w:val="2"/>
          <w:sz w:val="21"/>
          <w:highlight w:val="none"/>
        </w:rPr>
        <w:t>（解密</w:t>
      </w:r>
      <w:r>
        <w:rPr>
          <w:rFonts w:hint="eastAsia" w:hAnsi="宋体" w:cs="宋体"/>
          <w:bCs/>
          <w:color w:val="auto"/>
          <w:kern w:val="2"/>
          <w:sz w:val="21"/>
          <w:highlight w:val="none"/>
        </w:rPr>
        <w:t>异常情况处理：详见本章</w:t>
      </w:r>
      <w:r>
        <w:rPr>
          <w:rFonts w:hint="eastAsia" w:hAnsi="宋体" w:cs="宋体"/>
          <w:color w:val="auto"/>
          <w:kern w:val="2"/>
          <w:sz w:val="21"/>
          <w:highlight w:val="none"/>
        </w:rPr>
        <w:t>26.3电子交易活动的中止。）</w:t>
      </w:r>
    </w:p>
    <w:p w14:paraId="2B8CA2C0">
      <w:pPr>
        <w:pStyle w:val="17"/>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如</w:t>
      </w:r>
      <w:r>
        <w:rPr>
          <w:rFonts w:hint="eastAsia" w:hAnsi="宋体" w:cs="宋体"/>
          <w:bCs/>
          <w:color w:val="auto"/>
          <w:kern w:val="2"/>
          <w:sz w:val="21"/>
          <w:highlight w:val="none"/>
        </w:rPr>
        <w:t>供应商成功解密响应文件，但未在“政采云”电子开标大厅参加谈判的，视同认可磋商过程和结果，</w:t>
      </w:r>
      <w:r>
        <w:rPr>
          <w:rFonts w:hint="eastAsia" w:hAnsi="宋体" w:cs="宋体"/>
          <w:color w:val="auto"/>
          <w:kern w:val="2"/>
          <w:sz w:val="21"/>
          <w:highlight w:val="none"/>
        </w:rPr>
        <w:t>由此产生的后果由供应商自行负责。参与</w:t>
      </w:r>
      <w:r>
        <w:rPr>
          <w:rFonts w:hint="eastAsia" w:hAnsi="宋体" w:cs="宋体"/>
          <w:bCs/>
          <w:color w:val="auto"/>
          <w:kern w:val="2"/>
          <w:sz w:val="21"/>
          <w:highlight w:val="none"/>
        </w:rPr>
        <w:t>磋商</w:t>
      </w:r>
      <w:r>
        <w:rPr>
          <w:rFonts w:hint="eastAsia" w:hAnsi="宋体" w:cs="宋体"/>
          <w:color w:val="auto"/>
          <w:kern w:val="2"/>
          <w:sz w:val="21"/>
          <w:highlight w:val="none"/>
        </w:rPr>
        <w:t>的供应商不足3家的，不得</w:t>
      </w:r>
      <w:r>
        <w:rPr>
          <w:rFonts w:hint="eastAsia" w:hAnsi="宋体" w:cs="宋体"/>
          <w:bCs/>
          <w:color w:val="auto"/>
          <w:kern w:val="2"/>
          <w:sz w:val="21"/>
          <w:highlight w:val="none"/>
        </w:rPr>
        <w:t>磋商</w:t>
      </w:r>
      <w:r>
        <w:rPr>
          <w:rFonts w:hint="eastAsia" w:hAnsi="宋体" w:cs="宋体"/>
          <w:color w:val="auto"/>
          <w:kern w:val="2"/>
          <w:sz w:val="21"/>
          <w:highlight w:val="none"/>
        </w:rPr>
        <w:t>。</w:t>
      </w:r>
    </w:p>
    <w:p w14:paraId="4FAC45E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6CD944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26.1磋商小组按照“第六章 评审程序、评审方法和评审标准”规定的方法、评审因素、标准和程序对响应文件进行评审。</w:t>
      </w:r>
    </w:p>
    <w:p w14:paraId="0C414D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26.2负偏离要求及磋商顺序详见“供应商须知前附表”。</w:t>
      </w:r>
    </w:p>
    <w:p w14:paraId="0C1D6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26.3电子交易活动的中止。采购过程中出现以下情形，导致电子交易平台无法正常运行，或者无法保证电子交易的公平、公正和安全时，采购机构可中止电子交易活动：</w:t>
      </w:r>
    </w:p>
    <w:p w14:paraId="0C5C58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000DD7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2F3E68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D1E7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1814D4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2C1D39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0C6AAD">
      <w:pPr>
        <w:spacing w:line="360" w:lineRule="auto"/>
        <w:ind w:firstLine="562" w:firstLineChars="200"/>
        <w:outlineLvl w:val="2"/>
        <w:rPr>
          <w:rFonts w:ascii="宋体" w:hAnsi="宋体" w:cs="宋体"/>
          <w:b/>
          <w:bCs/>
          <w:color w:val="auto"/>
          <w:sz w:val="28"/>
          <w:szCs w:val="28"/>
          <w:highlight w:val="none"/>
        </w:rPr>
      </w:pPr>
      <w:bookmarkStart w:id="56" w:name="_Toc18284"/>
      <w:r>
        <w:rPr>
          <w:rFonts w:hint="eastAsia" w:ascii="宋体" w:hAnsi="宋体" w:cs="宋体"/>
          <w:b/>
          <w:bCs/>
          <w:color w:val="auto"/>
          <w:sz w:val="28"/>
          <w:szCs w:val="28"/>
          <w:highlight w:val="none"/>
        </w:rPr>
        <w:t>五、成交及合同</w:t>
      </w:r>
      <w:bookmarkEnd w:id="56"/>
    </w:p>
    <w:p w14:paraId="1ED509A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3E00769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B4EBC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27.2成交通知及成交结果公告。成交供应商确定后2个工作日内，在省级以上财政部门指定的媒体上公告成交结果，同时向成交供应商发出成交通知书，</w:t>
      </w:r>
      <w:r>
        <w:rPr>
          <w:rFonts w:hint="eastAsia" w:ascii="宋体" w:hAnsi="宋体" w:cs="宋体"/>
          <w:b/>
          <w:bCs/>
          <w:color w:val="auto"/>
          <w:szCs w:val="21"/>
          <w:highlight w:val="none"/>
          <w:u w:val="single"/>
        </w:rPr>
        <w:t>成交通知书规定签订合同的时间不得超过15日</w:t>
      </w:r>
      <w:r>
        <w:rPr>
          <w:rFonts w:hint="eastAsia" w:ascii="宋体" w:hAnsi="宋体" w:cs="宋体"/>
          <w:color w:val="auto"/>
          <w:szCs w:val="21"/>
          <w:highlight w:val="none"/>
        </w:rPr>
        <w:t>。</w:t>
      </w:r>
    </w:p>
    <w:p w14:paraId="7CD638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3EB9B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FC7106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D8FFAF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28.履约保证金</w:t>
      </w:r>
    </w:p>
    <w:p w14:paraId="5764D3EE">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详见“供应商须知前附表”</w:t>
      </w:r>
    </w:p>
    <w:p w14:paraId="1D5A478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29.签订合同</w:t>
      </w:r>
    </w:p>
    <w:p w14:paraId="50ADB5EC">
      <w:pPr>
        <w:pStyle w:val="76"/>
        <w:spacing w:before="0"/>
        <w:ind w:firstLine="420"/>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
          <w:sz w:val="21"/>
          <w:szCs w:val="21"/>
          <w:highlight w:val="none"/>
          <w:lang w:val="zh-CN"/>
        </w:rPr>
        <w:t>如成交供应商为联合体的，由联合体成员各方法定代表人或其授权代表与采购人代表签订合同。</w:t>
      </w:r>
    </w:p>
    <w:p w14:paraId="7B72D3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0C379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AC141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41AA4DED">
      <w:pPr>
        <w:pStyle w:val="76"/>
        <w:spacing w:before="0"/>
        <w:ind w:firstLine="420"/>
        <w:rPr>
          <w:rFonts w:ascii="宋体" w:hAnsi="宋体" w:cs="宋体"/>
          <w:color w:val="auto"/>
          <w:kern w:val="2"/>
          <w:sz w:val="21"/>
          <w:szCs w:val="21"/>
          <w:highlight w:val="none"/>
        </w:rPr>
      </w:pPr>
      <w:r>
        <w:rPr>
          <w:rFonts w:hint="eastAsia" w:ascii="宋体" w:hAnsi="宋体" w:cs="宋体"/>
          <w:color w:val="auto"/>
          <w:kern w:val="2"/>
          <w:sz w:val="21"/>
          <w:szCs w:val="21"/>
          <w:highlight w:val="none"/>
        </w:rPr>
        <w:t>29.5采购合同由采购人与成交供应商根据磋商文件、响应文件等内容签订，签订须携带的材料见“ 供应商须知前附表”。</w:t>
      </w:r>
    </w:p>
    <w:p w14:paraId="0ECF4EC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127DEF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采购人或者受托采购代理机构应当自政府采购合同签订之日起2个工作日内，将政府采购合同</w:t>
      </w:r>
      <w:r>
        <w:rPr>
          <w:rFonts w:hint="eastAsia" w:ascii="宋体" w:hAnsi="宋体" w:cs="宋体"/>
          <w:bCs/>
          <w:color w:val="auto"/>
          <w:szCs w:val="21"/>
          <w:highlight w:val="none"/>
        </w:rPr>
        <w:t>在以下媒体上发布：</w:t>
      </w:r>
      <w:r>
        <w:rPr>
          <w:rFonts w:hint="eastAsia" w:ascii="宋体" w:hAnsi="宋体" w:cs="宋体"/>
          <w:color w:val="auto"/>
          <w:szCs w:val="21"/>
          <w:highlight w:val="none"/>
        </w:rPr>
        <w:t>广西壮族自治区政府采购网（zfcg.gxzf.gov.cn）、梧州市政府采购网（http：//117.141.250.58：10030/web/cgw/index.ptl）上公告，但政府采购合同中涉及国家秘密、商业秘密的内容除外。</w:t>
      </w:r>
    </w:p>
    <w:p w14:paraId="0752981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31.询问、质疑和投诉</w:t>
      </w:r>
    </w:p>
    <w:p w14:paraId="4D7B1D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w:t>
      </w:r>
    </w:p>
    <w:p w14:paraId="1C2E8B4D">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b/>
          <w:color w:val="auto"/>
          <w:szCs w:val="21"/>
          <w:highlight w:val="none"/>
        </w:rPr>
        <w:t xml:space="preserve">具体质疑起算时间及处理方式如下： </w:t>
      </w:r>
    </w:p>
    <w:p w14:paraId="5172595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szCs w:val="21"/>
          <w:highlight w:val="none"/>
        </w:rPr>
        <w:t>委托代理协议无特殊约定的，</w:t>
      </w:r>
      <w:r>
        <w:rPr>
          <w:rFonts w:hint="eastAsia" w:ascii="宋体" w:hAnsi="宋体" w:cs="宋体"/>
          <w:bCs/>
          <w:color w:val="auto"/>
          <w:szCs w:val="21"/>
          <w:highlight w:val="none"/>
        </w:rPr>
        <w:t>对竞争性磋商文件中</w:t>
      </w:r>
      <w:r>
        <w:rPr>
          <w:rFonts w:hint="eastAsia" w:ascii="宋体" w:hAnsi="宋体" w:cs="宋体"/>
          <w:color w:val="auto"/>
          <w:szCs w:val="21"/>
          <w:highlight w:val="none"/>
        </w:rPr>
        <w:t>采购需求</w:t>
      </w:r>
      <w:r>
        <w:rPr>
          <w:rFonts w:hint="eastAsia" w:ascii="宋体" w:hAnsi="宋体" w:cs="宋体"/>
          <w:bCs/>
          <w:color w:val="auto"/>
          <w:szCs w:val="21"/>
          <w:highlight w:val="none"/>
        </w:rPr>
        <w:t>（含资格要求、采购预算和评分办法）的质疑由采购人受理并负责答复；对竞争性磋商文件中的采购执行程序的质疑由采购代理机构受理并负责答复。</w:t>
      </w:r>
    </w:p>
    <w:p w14:paraId="0FDDBE9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F73E09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（3）供应商认为成交结果使自己的权益受到损害的，应当在成交结果公告期限届满之日起7个工作日内提出质疑，由采购人受理并负责答复。</w:t>
      </w:r>
    </w:p>
    <w:p w14:paraId="4640B0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3793F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15F704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13F7C6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5B70F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41C696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485C9D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14:paraId="0A86D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（6）提出质疑的日期。</w:t>
      </w:r>
    </w:p>
    <w:p w14:paraId="6C449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1F5E25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6EF12E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3167F3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2E0BDD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5C4AA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7" w:name="_Toc80205930"/>
    </w:p>
    <w:p w14:paraId="0BD8657C">
      <w:pPr>
        <w:spacing w:line="360" w:lineRule="auto"/>
        <w:ind w:firstLine="562" w:firstLineChars="200"/>
        <w:outlineLvl w:val="2"/>
        <w:rPr>
          <w:rFonts w:ascii="宋体" w:hAnsi="宋体" w:cs="宋体"/>
          <w:b/>
          <w:bCs/>
          <w:color w:val="auto"/>
          <w:sz w:val="28"/>
          <w:szCs w:val="28"/>
          <w:highlight w:val="none"/>
        </w:rPr>
      </w:pPr>
      <w:bookmarkStart w:id="58" w:name="_Toc7683"/>
      <w:r>
        <w:rPr>
          <w:rFonts w:hint="eastAsia" w:ascii="宋体" w:hAnsi="宋体" w:cs="宋体"/>
          <w:b/>
          <w:bCs/>
          <w:color w:val="auto"/>
          <w:sz w:val="28"/>
          <w:szCs w:val="28"/>
          <w:highlight w:val="none"/>
        </w:rPr>
        <w:t>六、验收</w:t>
      </w:r>
      <w:bookmarkEnd w:id="57"/>
      <w:bookmarkEnd w:id="58"/>
    </w:p>
    <w:p w14:paraId="50E08314">
      <w:pPr>
        <w:tabs>
          <w:tab w:val="left" w:pos="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32.验收</w:t>
      </w:r>
    </w:p>
    <w:p w14:paraId="1ED9D425">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8D4814">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32.2采购人可以邀请参加本项目的其他供应商或者第三方机构参与验收。参与验收的供应商或者第三方机构的意见作为验收书的参考资料一并存档。</w:t>
      </w:r>
    </w:p>
    <w:p w14:paraId="54E34827">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F7A34C">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89F6EA5">
      <w:pPr>
        <w:spacing w:line="360" w:lineRule="auto"/>
        <w:ind w:firstLine="562" w:firstLineChars="200"/>
        <w:outlineLvl w:val="2"/>
        <w:rPr>
          <w:rFonts w:ascii="宋体" w:hAnsi="宋体" w:cs="宋体"/>
          <w:b/>
          <w:bCs/>
          <w:color w:val="auto"/>
          <w:sz w:val="28"/>
          <w:szCs w:val="28"/>
          <w:highlight w:val="none"/>
        </w:rPr>
      </w:pPr>
      <w:bookmarkStart w:id="59" w:name="_Toc5991"/>
      <w:r>
        <w:rPr>
          <w:rFonts w:hint="eastAsia" w:ascii="宋体" w:hAnsi="宋体" w:cs="宋体"/>
          <w:b/>
          <w:bCs/>
          <w:color w:val="auto"/>
          <w:sz w:val="28"/>
          <w:szCs w:val="28"/>
          <w:highlight w:val="none"/>
        </w:rPr>
        <w:t>七、其他事项</w:t>
      </w:r>
      <w:bookmarkEnd w:id="59"/>
    </w:p>
    <w:p w14:paraId="593231E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33.代理服务费</w:t>
      </w:r>
    </w:p>
    <w:p w14:paraId="7E6DDD3B">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EF3291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34.需要补充的其他内容</w:t>
      </w:r>
    </w:p>
    <w:p w14:paraId="5C5921FC">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22CBBA8C">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C84F575">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425F72F4">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308749E7">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4E98AF1">
      <w:pPr>
        <w:widowControl/>
        <w:spacing w:line="360" w:lineRule="auto"/>
        <w:jc w:val="left"/>
        <w:rPr>
          <w:rFonts w:ascii="宋体" w:hAnsi="宋体"/>
          <w:color w:val="auto"/>
          <w:highlight w:val="none"/>
        </w:rPr>
      </w:pPr>
      <w:r>
        <w:rPr>
          <w:rFonts w:ascii="宋体" w:hAnsi="宋体"/>
          <w:color w:val="auto"/>
          <w:highlight w:val="none"/>
        </w:rPr>
        <w:br w:type="page"/>
      </w:r>
    </w:p>
    <w:p w14:paraId="42134CBD">
      <w:pPr>
        <w:pStyle w:val="13"/>
        <w:rPr>
          <w:rFonts w:ascii="宋体" w:hAnsi="宋体"/>
          <w:color w:val="auto"/>
          <w:highlight w:val="none"/>
        </w:rPr>
      </w:pPr>
    </w:p>
    <w:p w14:paraId="32586A8E">
      <w:pPr>
        <w:pStyle w:val="3"/>
        <w:spacing w:before="0" w:after="0" w:line="360" w:lineRule="auto"/>
        <w:jc w:val="center"/>
        <w:rPr>
          <w:rFonts w:ascii="宋体" w:hAnsi="宋体" w:cs="宋体"/>
          <w:bCs w:val="0"/>
          <w:color w:val="auto"/>
          <w:kern w:val="2"/>
          <w:sz w:val="32"/>
          <w:szCs w:val="32"/>
          <w:highlight w:val="none"/>
        </w:rPr>
      </w:pPr>
      <w:bookmarkStart w:id="60" w:name="_Toc24815"/>
      <w:r>
        <w:rPr>
          <w:rFonts w:hint="eastAsia" w:ascii="宋体" w:hAnsi="宋体" w:cs="宋体"/>
          <w:bCs w:val="0"/>
          <w:color w:val="auto"/>
          <w:kern w:val="2"/>
          <w:sz w:val="32"/>
          <w:szCs w:val="32"/>
          <w:highlight w:val="none"/>
        </w:rPr>
        <w:t>第三章 采购需求</w:t>
      </w:r>
      <w:bookmarkEnd w:id="60"/>
    </w:p>
    <w:p w14:paraId="6AA31B48">
      <w:pPr>
        <w:spacing w:line="360" w:lineRule="auto"/>
        <w:ind w:firstLine="482" w:firstLineChars="200"/>
        <w:rPr>
          <w:rFonts w:ascii="宋体" w:hAnsi="宋体" w:cs="宋体"/>
          <w:b/>
          <w:bCs/>
          <w:color w:val="auto"/>
          <w:sz w:val="24"/>
          <w:highlight w:val="none"/>
        </w:rPr>
      </w:pPr>
      <w:bookmarkStart w:id="61" w:name="_Toc1789"/>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w:t>
      </w:r>
      <w:bookmarkEnd w:id="61"/>
      <w:bookmarkStart w:id="62" w:name="_Toc24484"/>
      <w:r>
        <w:rPr>
          <w:rFonts w:hint="eastAsia" w:ascii="宋体" w:hAnsi="宋体" w:cs="宋体"/>
          <w:b/>
          <w:bCs/>
          <w:color w:val="auto"/>
          <w:sz w:val="24"/>
          <w:highlight w:val="none"/>
        </w:rPr>
        <w:t>建设内容及规模：</w:t>
      </w:r>
    </w:p>
    <w:p w14:paraId="4C0849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（一）工程名称：</w:t>
      </w:r>
      <w:r>
        <w:rPr>
          <w:rFonts w:hint="eastAsia" w:ascii="宋体" w:hAnsi="宋体" w:cs="宋体"/>
          <w:color w:val="auto"/>
          <w:sz w:val="24"/>
          <w:highlight w:val="none"/>
          <w:lang w:eastAsia="zh-CN"/>
        </w:rPr>
        <w:t>梧州职业学院一食堂一楼新增电缆项目</w:t>
      </w:r>
      <w:r>
        <w:rPr>
          <w:rFonts w:hint="eastAsia" w:ascii="宋体" w:hAnsi="宋体" w:cs="宋体"/>
          <w:color w:val="auto"/>
          <w:sz w:val="24"/>
          <w:highlight w:val="none"/>
        </w:rPr>
        <w:t>。</w:t>
      </w:r>
    </w:p>
    <w:p w14:paraId="7A45FE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（二）建设单位：</w:t>
      </w:r>
      <w:r>
        <w:rPr>
          <w:rFonts w:hint="eastAsia" w:ascii="宋体" w:hAnsi="宋体" w:cs="宋体"/>
          <w:color w:val="auto"/>
          <w:sz w:val="24"/>
          <w:highlight w:val="none"/>
          <w:lang w:eastAsia="zh-CN"/>
        </w:rPr>
        <w:t>梧州职业学院（梧州市职业教育中心）</w:t>
      </w:r>
      <w:r>
        <w:rPr>
          <w:rFonts w:hint="eastAsia" w:ascii="宋体" w:hAnsi="宋体" w:cs="宋体"/>
          <w:color w:val="auto"/>
          <w:sz w:val="24"/>
          <w:highlight w:val="none"/>
        </w:rPr>
        <w:t>。</w:t>
      </w:r>
    </w:p>
    <w:p w14:paraId="170D43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三</w:t>
      </w:r>
      <w:r>
        <w:rPr>
          <w:rFonts w:hint="eastAsia" w:ascii="宋体" w:hAnsi="宋体" w:cs="宋体"/>
          <w:color w:val="auto"/>
          <w:sz w:val="24"/>
          <w:highlight w:val="none"/>
        </w:rPr>
        <w:t>）建设地点：</w:t>
      </w:r>
      <w:r>
        <w:rPr>
          <w:rFonts w:hint="eastAsia" w:ascii="宋体" w:hAnsi="宋体" w:cs="宋体"/>
          <w:color w:val="auto"/>
          <w:sz w:val="24"/>
          <w:highlight w:val="none"/>
          <w:lang w:eastAsia="zh-CN"/>
        </w:rPr>
        <w:t>梧州职业学院（梧州市职业教育中心）</w:t>
      </w:r>
      <w:r>
        <w:rPr>
          <w:rFonts w:hint="eastAsia" w:ascii="宋体" w:hAnsi="宋体" w:cs="宋体"/>
          <w:color w:val="auto"/>
          <w:sz w:val="24"/>
          <w:highlight w:val="none"/>
        </w:rPr>
        <w:t>内。</w:t>
      </w:r>
    </w:p>
    <w:p w14:paraId="699C16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四</w:t>
      </w:r>
      <w:r>
        <w:rPr>
          <w:rFonts w:hint="eastAsia" w:ascii="宋体" w:hAnsi="宋体" w:cs="宋体"/>
          <w:color w:val="auto"/>
          <w:sz w:val="24"/>
          <w:highlight w:val="none"/>
        </w:rPr>
        <w:t>）资金来源：财政资金。</w:t>
      </w:r>
    </w:p>
    <w:p w14:paraId="0278EBD6">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五</w:t>
      </w:r>
      <w:r>
        <w:rPr>
          <w:rFonts w:hint="eastAsia" w:ascii="宋体" w:hAnsi="宋体" w:cs="宋体"/>
          <w:color w:val="auto"/>
          <w:sz w:val="24"/>
          <w:highlight w:val="none"/>
        </w:rPr>
        <w:t>）项目主要内容包括:</w:t>
      </w:r>
      <w:r>
        <w:rPr>
          <w:rFonts w:hint="eastAsia" w:ascii="宋体" w:hAnsi="宋体" w:cs="宋体"/>
          <w:color w:val="auto"/>
          <w:sz w:val="24"/>
          <w:highlight w:val="none"/>
          <w:lang w:eastAsia="zh-CN"/>
        </w:rPr>
        <w:t>新增埋地电缆YJV(4×240）500余米、PVC套管PVC160及相关配套工程</w:t>
      </w:r>
      <w:r>
        <w:rPr>
          <w:rFonts w:hint="eastAsia" w:ascii="宋体" w:hAnsi="宋体" w:cs="宋体"/>
          <w:color w:val="auto"/>
          <w:sz w:val="24"/>
          <w:highlight w:val="none"/>
        </w:rPr>
        <w:t>。</w:t>
      </w:r>
    </w:p>
    <w:p w14:paraId="0A9485D6">
      <w:pPr>
        <w:widowControl/>
        <w:adjustRightInd w:val="0"/>
        <w:spacing w:line="360" w:lineRule="auto"/>
        <w:ind w:firstLine="480" w:firstLineChars="200"/>
        <w:jc w:val="left"/>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六</w:t>
      </w:r>
      <w:r>
        <w:rPr>
          <w:rFonts w:hint="eastAsia" w:ascii="宋体" w:hAnsi="宋体" w:cs="宋体"/>
          <w:color w:val="auto"/>
          <w:sz w:val="24"/>
          <w:highlight w:val="none"/>
        </w:rPr>
        <w:t>）招标控制价：</w:t>
      </w:r>
      <w:r>
        <w:rPr>
          <w:rFonts w:hint="eastAsia" w:ascii="宋体" w:hAnsi="宋体" w:cs="宋体"/>
          <w:color w:val="auto"/>
          <w:sz w:val="24"/>
          <w:highlight w:val="none"/>
          <w:lang w:eastAsia="zh-CN"/>
        </w:rPr>
        <w:t>686576.40</w:t>
      </w:r>
    </w:p>
    <w:p w14:paraId="39C72B3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color w:val="auto"/>
          <w:sz w:val="24"/>
          <w:highlight w:val="none"/>
          <w:lang w:eastAsia="zh-CN"/>
        </w:rPr>
        <w:t>七</w:t>
      </w:r>
      <w:r>
        <w:rPr>
          <w:rFonts w:hint="eastAsia" w:ascii="宋体" w:hAnsi="宋体" w:cs="宋体"/>
          <w:color w:val="auto"/>
          <w:sz w:val="24"/>
          <w:highlight w:val="none"/>
        </w:rPr>
        <w:t>）合同履行期限：</w:t>
      </w:r>
      <w:r>
        <w:rPr>
          <w:rFonts w:hint="eastAsia" w:ascii="宋体" w:hAnsi="宋体" w:cs="宋体"/>
          <w:color w:val="auto"/>
          <w:sz w:val="24"/>
          <w:highlight w:val="none"/>
          <w:lang w:bidi="zh-CN"/>
        </w:rPr>
        <w:t>工期</w:t>
      </w:r>
      <w:r>
        <w:rPr>
          <w:rFonts w:hint="eastAsia" w:ascii="宋体" w:hAnsi="宋体" w:cs="宋体"/>
          <w:color w:val="auto"/>
          <w:sz w:val="24"/>
          <w:highlight w:val="none"/>
          <w:lang w:val="en-US" w:bidi="zh-CN"/>
        </w:rPr>
        <w:t>30</w:t>
      </w:r>
      <w:r>
        <w:rPr>
          <w:rFonts w:hint="eastAsia" w:ascii="宋体" w:hAnsi="宋体" w:cs="宋体"/>
          <w:color w:val="auto"/>
          <w:sz w:val="24"/>
          <w:highlight w:val="none"/>
          <w:lang w:bidi="zh-CN"/>
        </w:rPr>
        <w:t>日历天</w:t>
      </w:r>
      <w:r>
        <w:rPr>
          <w:rFonts w:hint="eastAsia" w:ascii="宋体" w:hAnsi="宋体" w:cs="宋体"/>
          <w:color w:val="auto"/>
          <w:sz w:val="24"/>
          <w:highlight w:val="none"/>
        </w:rPr>
        <w:t>。</w:t>
      </w:r>
    </w:p>
    <w:p w14:paraId="431BE8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eastAsia="zh-CN"/>
        </w:rPr>
        <w:t>二</w:t>
      </w:r>
      <w:r>
        <w:rPr>
          <w:rFonts w:hint="eastAsia" w:ascii="宋体" w:hAnsi="宋体" w:cs="宋体"/>
          <w:b/>
          <w:bCs/>
          <w:color w:val="auto"/>
          <w:sz w:val="24"/>
          <w:highlight w:val="none"/>
        </w:rPr>
        <w:t>、项目质量等级</w:t>
      </w:r>
      <w:bookmarkEnd w:id="62"/>
    </w:p>
    <w:p w14:paraId="4E805F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满足国家现行与本项目相应的施工竣工验收规范之“合格”标准。</w:t>
      </w:r>
    </w:p>
    <w:p w14:paraId="13FFAB79">
      <w:pPr>
        <w:spacing w:line="360" w:lineRule="auto"/>
        <w:ind w:firstLine="482" w:firstLineChars="200"/>
        <w:rPr>
          <w:rFonts w:ascii="宋体" w:hAnsi="宋体" w:cs="宋体"/>
          <w:b/>
          <w:bCs/>
          <w:color w:val="auto"/>
          <w:sz w:val="24"/>
          <w:highlight w:val="none"/>
        </w:rPr>
      </w:pPr>
      <w:bookmarkStart w:id="63" w:name="_Toc32651"/>
      <w:r>
        <w:rPr>
          <w:rFonts w:hint="eastAsia" w:ascii="宋体" w:hAnsi="宋体" w:cs="宋体"/>
          <w:b/>
          <w:bCs/>
          <w:color w:val="auto"/>
          <w:sz w:val="24"/>
          <w:highlight w:val="none"/>
          <w:lang w:eastAsia="zh-CN"/>
        </w:rPr>
        <w:t>三</w:t>
      </w:r>
      <w:r>
        <w:rPr>
          <w:rFonts w:hint="eastAsia" w:ascii="宋体" w:hAnsi="宋体" w:cs="宋体"/>
          <w:b/>
          <w:bCs/>
          <w:color w:val="auto"/>
          <w:sz w:val="24"/>
          <w:highlight w:val="none"/>
        </w:rPr>
        <w:t>、合同履行期限</w:t>
      </w:r>
      <w:bookmarkEnd w:id="63"/>
    </w:p>
    <w:p w14:paraId="0890C8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总工期</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0个日历天。</w:t>
      </w:r>
    </w:p>
    <w:p w14:paraId="1153C1DE">
      <w:pPr>
        <w:spacing w:line="360" w:lineRule="auto"/>
        <w:ind w:firstLine="482" w:firstLineChars="20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四、承包方式</w:t>
      </w:r>
    </w:p>
    <w:p w14:paraId="6B4F8E8B">
      <w:pPr>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lang w:val="en-US" w:eastAsia="zh-CN"/>
        </w:rPr>
        <w:t>工程量清单和施工图范围内总价固定</w:t>
      </w:r>
      <w:r>
        <w:rPr>
          <w:rFonts w:hint="eastAsia" w:ascii="宋体" w:hAnsi="宋体" w:cs="宋体"/>
          <w:color w:val="auto"/>
          <w:sz w:val="24"/>
          <w:highlight w:val="none"/>
          <w:lang w:eastAsia="zh-CN"/>
        </w:rPr>
        <w:t>(按实际工程量结算)</w:t>
      </w:r>
      <w:r>
        <w:rPr>
          <w:rFonts w:hint="eastAsia" w:ascii="宋体" w:hAnsi="宋体" w:cs="宋体"/>
          <w:b/>
          <w:bCs/>
          <w:color w:val="auto"/>
          <w:sz w:val="24"/>
          <w:highlight w:val="none"/>
          <w:lang w:eastAsia="zh-CN"/>
        </w:rPr>
        <w:t>。</w:t>
      </w:r>
    </w:p>
    <w:p w14:paraId="7DD00DC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五、付款方式</w:t>
      </w:r>
    </w:p>
    <w:p w14:paraId="3E2447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1 \* GB3</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eastAsia="zh-CN"/>
        </w:rPr>
        <w:t>合同签订后，采购人</w:t>
      </w:r>
      <w:r>
        <w:rPr>
          <w:rFonts w:hint="eastAsia" w:ascii="宋体" w:hAnsi="宋体" w:cs="宋体"/>
          <w:color w:val="auto"/>
          <w:sz w:val="24"/>
          <w:highlight w:val="none"/>
          <w:lang w:val="en-US" w:eastAsia="zh-CN"/>
        </w:rPr>
        <w:t>自</w:t>
      </w:r>
      <w:r>
        <w:rPr>
          <w:rFonts w:hint="eastAsia" w:ascii="宋体" w:hAnsi="宋体" w:cs="宋体"/>
          <w:color w:val="auto"/>
          <w:sz w:val="24"/>
          <w:highlight w:val="none"/>
          <w:lang w:eastAsia="zh-CN"/>
        </w:rPr>
        <w:t>收到发票后10 个工作日内向成交供应商支付合同金额的 30%作为预付款。项目履约完成工程竣工验收后，采购人</w:t>
      </w:r>
      <w:r>
        <w:rPr>
          <w:rFonts w:hint="eastAsia" w:ascii="宋体" w:hAnsi="宋体" w:cs="宋体"/>
          <w:color w:val="auto"/>
          <w:sz w:val="24"/>
          <w:highlight w:val="none"/>
          <w:lang w:val="en-US" w:eastAsia="zh-CN"/>
        </w:rPr>
        <w:t>自</w:t>
      </w:r>
      <w:r>
        <w:rPr>
          <w:rFonts w:hint="eastAsia" w:ascii="宋体" w:hAnsi="宋体" w:cs="宋体"/>
          <w:color w:val="auto"/>
          <w:sz w:val="24"/>
          <w:highlight w:val="none"/>
          <w:lang w:eastAsia="zh-CN"/>
        </w:rPr>
        <w:t>收到发票后10 个工作日内向</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eastAsia="zh-CN"/>
        </w:rPr>
        <w:t>支付至合同金额的80%，待项目结算审核完成并且由审计（或财政）部门出具审计报告后，由</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eastAsia="zh-CN"/>
        </w:rPr>
        <w:t>支付工程结算价款的3%到采购人账户作为质量保证(保修)金，</w:t>
      </w:r>
      <w:bookmarkStart w:id="64" w:name="OLE_LINK5"/>
      <w:r>
        <w:rPr>
          <w:rFonts w:hint="eastAsia" w:ascii="宋体" w:hAnsi="宋体" w:cs="宋体"/>
          <w:color w:val="auto"/>
          <w:sz w:val="24"/>
          <w:highlight w:val="none"/>
          <w:lang w:eastAsia="zh-CN"/>
        </w:rPr>
        <w:t>采购人</w:t>
      </w:r>
      <w:bookmarkEnd w:id="64"/>
      <w:r>
        <w:rPr>
          <w:rFonts w:hint="eastAsia" w:ascii="宋体" w:hAnsi="宋体" w:cs="宋体"/>
          <w:color w:val="auto"/>
          <w:sz w:val="24"/>
          <w:highlight w:val="none"/>
          <w:lang w:eastAsia="zh-CN"/>
        </w:rPr>
        <w:t>自结算审计报告确认之日起15天内拨付剩余价款。3%的质量保证(保修)金自质保期满后14天内，</w:t>
      </w:r>
      <w:bookmarkStart w:id="65" w:name="OLE_LINK6"/>
      <w:r>
        <w:rPr>
          <w:rFonts w:hint="eastAsia" w:ascii="宋体" w:hAnsi="宋体" w:cs="宋体"/>
          <w:color w:val="auto"/>
          <w:sz w:val="24"/>
          <w:highlight w:val="none"/>
          <w:lang w:eastAsia="zh-CN"/>
        </w:rPr>
        <w:t>采购人</w:t>
      </w:r>
      <w:bookmarkEnd w:id="65"/>
      <w:r>
        <w:rPr>
          <w:rFonts w:hint="eastAsia" w:ascii="宋体" w:hAnsi="宋体" w:cs="宋体"/>
          <w:color w:val="auto"/>
          <w:sz w:val="24"/>
          <w:highlight w:val="none"/>
          <w:lang w:eastAsia="zh-CN"/>
        </w:rPr>
        <w:t>扣除保修费用后一次性返还（不计息）至</w:t>
      </w:r>
      <w:bookmarkStart w:id="66" w:name="OLE_LINK7"/>
      <w:r>
        <w:rPr>
          <w:rFonts w:hint="eastAsia" w:ascii="宋体" w:hAnsi="宋体" w:cs="宋体"/>
          <w:color w:val="auto"/>
          <w:sz w:val="24"/>
          <w:highlight w:val="none"/>
          <w:lang w:val="en-US" w:eastAsia="zh-CN"/>
        </w:rPr>
        <w:t>成交供应商</w:t>
      </w:r>
      <w:bookmarkEnd w:id="66"/>
      <w:r>
        <w:rPr>
          <w:rFonts w:hint="eastAsia" w:ascii="宋体" w:hAnsi="宋体" w:cs="宋体"/>
          <w:color w:val="auto"/>
          <w:sz w:val="24"/>
          <w:highlight w:val="none"/>
          <w:lang w:val="en-US" w:eastAsia="zh-CN"/>
        </w:rPr>
        <w:t>账户</w:t>
      </w:r>
      <w:r>
        <w:rPr>
          <w:rFonts w:hint="eastAsia" w:ascii="宋体" w:hAnsi="宋体" w:cs="宋体"/>
          <w:color w:val="auto"/>
          <w:sz w:val="24"/>
          <w:highlight w:val="none"/>
        </w:rPr>
        <w:t>。</w:t>
      </w:r>
    </w:p>
    <w:p w14:paraId="745735FA">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eastAsia="zh-CN"/>
        </w:rPr>
        <w:t>六、技术要求</w:t>
      </w:r>
    </w:p>
    <w:p w14:paraId="5185C5EF">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1.按照根据国家行业和地方现行标准、规范和规程等施工；</w:t>
      </w:r>
    </w:p>
    <w:p w14:paraId="0F89ECAA">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2.工程项目按国家或行业的施工验收规范、工程质量检验评定标准及设计文件等检验评定标准；</w:t>
      </w:r>
    </w:p>
    <w:p w14:paraId="1918566E">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3.标准产品按选定的国家或行业检验评定标准；。</w:t>
      </w:r>
    </w:p>
    <w:p w14:paraId="5AF7A5B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 xml:space="preserve">、所属行业 </w:t>
      </w:r>
    </w:p>
    <w:p w14:paraId="3E42EE69">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依照《中小企业划型标准规定》（工信部联企业〔2011〕300 号）及《国民经济行业分类》（GB/T 4754—2017）的有关规定执行，本项目所属行业为</w:t>
      </w:r>
      <w:r>
        <w:rPr>
          <w:rFonts w:hint="eastAsia" w:ascii="宋体" w:hAnsi="宋体" w:cs="宋体"/>
          <w:b/>
          <w:bCs/>
          <w:color w:val="auto"/>
          <w:sz w:val="24"/>
          <w:highlight w:val="none"/>
        </w:rPr>
        <w:t>建筑业</w:t>
      </w:r>
      <w:r>
        <w:rPr>
          <w:rFonts w:hint="eastAsia" w:ascii="宋体" w:hAnsi="宋体" w:cs="宋体"/>
          <w:color w:val="auto"/>
          <w:sz w:val="24"/>
          <w:highlight w:val="none"/>
        </w:rPr>
        <w:t>。</w:t>
      </w:r>
    </w:p>
    <w:p w14:paraId="465F2BEF">
      <w:pPr>
        <w:pStyle w:val="17"/>
        <w:jc w:val="left"/>
        <w:rPr>
          <w:rFonts w:hint="eastAsia" w:hAnsi="宋体" w:cs="宋体"/>
          <w:b/>
          <w:bCs/>
          <w:color w:val="auto"/>
          <w:kern w:val="2"/>
          <w:sz w:val="28"/>
          <w:szCs w:val="28"/>
          <w:highlight w:val="none"/>
        </w:rPr>
      </w:pPr>
    </w:p>
    <w:p w14:paraId="1F58DA2F">
      <w:pPr>
        <w:pStyle w:val="17"/>
        <w:jc w:val="left"/>
        <w:rPr>
          <w:rFonts w:hint="eastAsia" w:hAnsi="宋体" w:cs="宋体"/>
          <w:b/>
          <w:bCs/>
          <w:color w:val="auto"/>
          <w:kern w:val="2"/>
          <w:sz w:val="28"/>
          <w:szCs w:val="28"/>
          <w:highlight w:val="none"/>
        </w:rPr>
      </w:pPr>
    </w:p>
    <w:p w14:paraId="2673DCAF">
      <w:pPr>
        <w:pStyle w:val="17"/>
        <w:jc w:val="left"/>
        <w:rPr>
          <w:rFonts w:hint="eastAsia" w:hAnsi="宋体" w:cs="宋体"/>
          <w:b/>
          <w:bCs/>
          <w:color w:val="auto"/>
          <w:kern w:val="2"/>
          <w:sz w:val="28"/>
          <w:szCs w:val="28"/>
          <w:highlight w:val="none"/>
        </w:rPr>
      </w:pPr>
    </w:p>
    <w:p w14:paraId="26C3A175">
      <w:pPr>
        <w:pStyle w:val="17"/>
        <w:jc w:val="left"/>
        <w:rPr>
          <w:rFonts w:hint="eastAsia" w:hAnsi="宋体" w:cs="宋体"/>
          <w:b/>
          <w:bCs/>
          <w:color w:val="auto"/>
          <w:kern w:val="2"/>
          <w:sz w:val="28"/>
          <w:szCs w:val="28"/>
          <w:highlight w:val="none"/>
        </w:rPr>
      </w:pPr>
    </w:p>
    <w:p w14:paraId="0335785A">
      <w:pPr>
        <w:pStyle w:val="17"/>
        <w:jc w:val="left"/>
        <w:rPr>
          <w:rFonts w:hint="eastAsia" w:hAnsi="宋体" w:cs="宋体"/>
          <w:b/>
          <w:bCs/>
          <w:color w:val="auto"/>
          <w:kern w:val="2"/>
          <w:sz w:val="28"/>
          <w:szCs w:val="28"/>
          <w:highlight w:val="none"/>
        </w:rPr>
      </w:pPr>
    </w:p>
    <w:p w14:paraId="3FA4A955">
      <w:pPr>
        <w:pStyle w:val="17"/>
        <w:jc w:val="left"/>
        <w:rPr>
          <w:rFonts w:hint="eastAsia" w:hAnsi="宋体" w:cs="宋体"/>
          <w:b/>
          <w:bCs/>
          <w:color w:val="auto"/>
          <w:kern w:val="2"/>
          <w:sz w:val="28"/>
          <w:szCs w:val="28"/>
          <w:highlight w:val="none"/>
        </w:rPr>
      </w:pPr>
    </w:p>
    <w:p w14:paraId="3133AE07">
      <w:pPr>
        <w:pStyle w:val="17"/>
        <w:jc w:val="left"/>
        <w:rPr>
          <w:rFonts w:hint="eastAsia" w:hAnsi="宋体" w:cs="宋体"/>
          <w:b/>
          <w:bCs/>
          <w:color w:val="auto"/>
          <w:kern w:val="2"/>
          <w:sz w:val="28"/>
          <w:szCs w:val="28"/>
          <w:highlight w:val="none"/>
        </w:rPr>
      </w:pPr>
    </w:p>
    <w:p w14:paraId="50879EAF">
      <w:pPr>
        <w:pStyle w:val="17"/>
        <w:jc w:val="left"/>
        <w:rPr>
          <w:rFonts w:hint="eastAsia" w:hAnsi="宋体" w:cs="宋体"/>
          <w:b/>
          <w:bCs/>
          <w:color w:val="auto"/>
          <w:kern w:val="2"/>
          <w:sz w:val="28"/>
          <w:szCs w:val="28"/>
          <w:highlight w:val="none"/>
        </w:rPr>
      </w:pPr>
    </w:p>
    <w:p w14:paraId="4CF6DE50">
      <w:pPr>
        <w:pStyle w:val="17"/>
        <w:jc w:val="left"/>
        <w:rPr>
          <w:rFonts w:hint="eastAsia" w:hAnsi="宋体" w:cs="宋体"/>
          <w:b/>
          <w:bCs/>
          <w:color w:val="auto"/>
          <w:kern w:val="2"/>
          <w:sz w:val="28"/>
          <w:szCs w:val="28"/>
          <w:highlight w:val="none"/>
        </w:rPr>
      </w:pPr>
    </w:p>
    <w:p w14:paraId="79FB54E0">
      <w:pPr>
        <w:pStyle w:val="17"/>
        <w:jc w:val="left"/>
        <w:rPr>
          <w:rFonts w:hint="eastAsia" w:hAnsi="宋体" w:cs="宋体"/>
          <w:b/>
          <w:bCs/>
          <w:color w:val="auto"/>
          <w:kern w:val="2"/>
          <w:sz w:val="28"/>
          <w:szCs w:val="28"/>
          <w:highlight w:val="none"/>
        </w:rPr>
      </w:pPr>
    </w:p>
    <w:p w14:paraId="19FFF8A2">
      <w:pPr>
        <w:pStyle w:val="17"/>
        <w:jc w:val="left"/>
        <w:rPr>
          <w:rFonts w:hint="eastAsia" w:hAnsi="宋体" w:cs="宋体"/>
          <w:b/>
          <w:bCs/>
          <w:color w:val="auto"/>
          <w:kern w:val="2"/>
          <w:sz w:val="28"/>
          <w:szCs w:val="28"/>
          <w:highlight w:val="none"/>
        </w:rPr>
      </w:pPr>
    </w:p>
    <w:p w14:paraId="5A05F0D9">
      <w:pPr>
        <w:pStyle w:val="17"/>
        <w:jc w:val="left"/>
        <w:rPr>
          <w:rFonts w:hint="eastAsia" w:hAnsi="宋体" w:cs="宋体"/>
          <w:b/>
          <w:bCs/>
          <w:color w:val="auto"/>
          <w:kern w:val="2"/>
          <w:sz w:val="28"/>
          <w:szCs w:val="28"/>
          <w:highlight w:val="none"/>
        </w:rPr>
      </w:pPr>
    </w:p>
    <w:p w14:paraId="57B4E164">
      <w:pPr>
        <w:pStyle w:val="17"/>
        <w:jc w:val="left"/>
        <w:rPr>
          <w:rFonts w:hint="eastAsia" w:hAnsi="宋体" w:cs="宋体"/>
          <w:b/>
          <w:bCs/>
          <w:color w:val="auto"/>
          <w:kern w:val="2"/>
          <w:sz w:val="28"/>
          <w:szCs w:val="28"/>
          <w:highlight w:val="none"/>
        </w:rPr>
      </w:pPr>
    </w:p>
    <w:p w14:paraId="66257563">
      <w:pPr>
        <w:pStyle w:val="17"/>
        <w:jc w:val="left"/>
        <w:rPr>
          <w:rFonts w:hint="eastAsia" w:hAnsi="宋体" w:cs="宋体"/>
          <w:b/>
          <w:bCs/>
          <w:color w:val="auto"/>
          <w:kern w:val="2"/>
          <w:sz w:val="28"/>
          <w:szCs w:val="28"/>
          <w:highlight w:val="none"/>
        </w:rPr>
      </w:pPr>
    </w:p>
    <w:p w14:paraId="4C36E642">
      <w:pPr>
        <w:pStyle w:val="17"/>
        <w:jc w:val="left"/>
        <w:rPr>
          <w:rFonts w:hint="eastAsia" w:hAnsi="宋体" w:cs="宋体"/>
          <w:b/>
          <w:bCs/>
          <w:color w:val="auto"/>
          <w:kern w:val="2"/>
          <w:sz w:val="28"/>
          <w:szCs w:val="28"/>
          <w:highlight w:val="none"/>
        </w:rPr>
      </w:pPr>
    </w:p>
    <w:p w14:paraId="3F5E5BA2">
      <w:pPr>
        <w:pStyle w:val="17"/>
        <w:jc w:val="left"/>
        <w:rPr>
          <w:rFonts w:hint="eastAsia" w:hAnsi="宋体" w:cs="宋体"/>
          <w:b/>
          <w:bCs/>
          <w:color w:val="auto"/>
          <w:kern w:val="2"/>
          <w:sz w:val="28"/>
          <w:szCs w:val="28"/>
          <w:highlight w:val="none"/>
        </w:rPr>
      </w:pPr>
    </w:p>
    <w:p w14:paraId="1BD9B99E">
      <w:pPr>
        <w:pStyle w:val="17"/>
        <w:jc w:val="left"/>
        <w:rPr>
          <w:rFonts w:hint="eastAsia" w:hAnsi="宋体" w:cs="宋体"/>
          <w:b/>
          <w:bCs/>
          <w:color w:val="auto"/>
          <w:kern w:val="2"/>
          <w:sz w:val="28"/>
          <w:szCs w:val="28"/>
          <w:highlight w:val="none"/>
        </w:rPr>
      </w:pPr>
    </w:p>
    <w:p w14:paraId="66EB5A0E">
      <w:pPr>
        <w:pStyle w:val="17"/>
        <w:jc w:val="left"/>
        <w:rPr>
          <w:rFonts w:hint="eastAsia" w:hAnsi="宋体" w:cs="宋体"/>
          <w:b/>
          <w:bCs/>
          <w:color w:val="auto"/>
          <w:kern w:val="2"/>
          <w:sz w:val="28"/>
          <w:szCs w:val="28"/>
          <w:highlight w:val="none"/>
        </w:rPr>
      </w:pPr>
    </w:p>
    <w:p w14:paraId="55197386">
      <w:pPr>
        <w:pStyle w:val="17"/>
        <w:jc w:val="left"/>
        <w:rPr>
          <w:rFonts w:hint="eastAsia" w:hAnsi="宋体" w:cs="宋体"/>
          <w:b/>
          <w:bCs/>
          <w:color w:val="auto"/>
          <w:kern w:val="2"/>
          <w:sz w:val="28"/>
          <w:szCs w:val="28"/>
          <w:highlight w:val="none"/>
        </w:rPr>
      </w:pPr>
    </w:p>
    <w:p w14:paraId="30BD6AEF">
      <w:pPr>
        <w:pStyle w:val="17"/>
        <w:jc w:val="left"/>
        <w:rPr>
          <w:rFonts w:hint="eastAsia" w:hAnsi="宋体" w:cs="宋体"/>
          <w:b/>
          <w:bCs/>
          <w:color w:val="auto"/>
          <w:kern w:val="2"/>
          <w:sz w:val="28"/>
          <w:szCs w:val="28"/>
          <w:highlight w:val="none"/>
        </w:rPr>
      </w:pPr>
    </w:p>
    <w:p w14:paraId="110BA456">
      <w:pPr>
        <w:pStyle w:val="17"/>
        <w:jc w:val="left"/>
        <w:rPr>
          <w:rFonts w:hint="eastAsia" w:hAnsi="宋体" w:cs="宋体"/>
          <w:b/>
          <w:bCs/>
          <w:color w:val="auto"/>
          <w:kern w:val="2"/>
          <w:sz w:val="28"/>
          <w:szCs w:val="28"/>
          <w:highlight w:val="none"/>
        </w:rPr>
      </w:pPr>
    </w:p>
    <w:p w14:paraId="63AB2A96">
      <w:pPr>
        <w:pStyle w:val="17"/>
        <w:jc w:val="left"/>
        <w:rPr>
          <w:rFonts w:hint="eastAsia" w:hAnsi="宋体" w:cs="宋体"/>
          <w:b/>
          <w:bCs/>
          <w:color w:val="auto"/>
          <w:kern w:val="2"/>
          <w:sz w:val="28"/>
          <w:szCs w:val="28"/>
          <w:highlight w:val="none"/>
        </w:rPr>
      </w:pPr>
    </w:p>
    <w:p w14:paraId="7632FEC9">
      <w:pPr>
        <w:pStyle w:val="17"/>
        <w:jc w:val="left"/>
        <w:rPr>
          <w:rFonts w:hint="eastAsia" w:hAnsi="宋体" w:cs="宋体"/>
          <w:b/>
          <w:bCs/>
          <w:color w:val="auto"/>
          <w:kern w:val="2"/>
          <w:sz w:val="28"/>
          <w:szCs w:val="28"/>
          <w:highlight w:val="none"/>
        </w:rPr>
      </w:pPr>
    </w:p>
    <w:p w14:paraId="1E17F4B3">
      <w:pPr>
        <w:pStyle w:val="17"/>
        <w:jc w:val="left"/>
        <w:rPr>
          <w:rFonts w:hint="eastAsia" w:hAnsi="宋体" w:cs="宋体"/>
          <w:b/>
          <w:bCs/>
          <w:color w:val="auto"/>
          <w:kern w:val="2"/>
          <w:sz w:val="28"/>
          <w:szCs w:val="28"/>
          <w:highlight w:val="none"/>
        </w:rPr>
      </w:pPr>
    </w:p>
    <w:p w14:paraId="5B7BD47F">
      <w:pPr>
        <w:pStyle w:val="17"/>
        <w:jc w:val="left"/>
        <w:rPr>
          <w:rFonts w:hint="eastAsia" w:hAnsi="宋体" w:cs="宋体"/>
          <w:b/>
          <w:bCs/>
          <w:color w:val="auto"/>
          <w:kern w:val="2"/>
          <w:sz w:val="28"/>
          <w:szCs w:val="28"/>
          <w:highlight w:val="none"/>
        </w:rPr>
      </w:pPr>
    </w:p>
    <w:p w14:paraId="462696FE">
      <w:pPr>
        <w:pStyle w:val="17"/>
        <w:jc w:val="left"/>
        <w:rPr>
          <w:rFonts w:hint="eastAsia" w:hAnsi="宋体" w:cs="宋体"/>
          <w:b/>
          <w:bCs/>
          <w:color w:val="auto"/>
          <w:kern w:val="2"/>
          <w:sz w:val="28"/>
          <w:szCs w:val="28"/>
          <w:highlight w:val="none"/>
        </w:rPr>
      </w:pPr>
    </w:p>
    <w:p w14:paraId="0141328B">
      <w:pPr>
        <w:pStyle w:val="17"/>
        <w:jc w:val="left"/>
        <w:rPr>
          <w:rFonts w:hint="eastAsia" w:hAnsi="宋体" w:cs="宋体"/>
          <w:b/>
          <w:bCs/>
          <w:color w:val="auto"/>
          <w:kern w:val="2"/>
          <w:sz w:val="28"/>
          <w:szCs w:val="28"/>
          <w:highlight w:val="none"/>
        </w:rPr>
      </w:pPr>
    </w:p>
    <w:p w14:paraId="718D716A">
      <w:pPr>
        <w:pStyle w:val="17"/>
        <w:jc w:val="left"/>
        <w:rPr>
          <w:rFonts w:hint="eastAsia" w:hAnsi="宋体" w:cs="宋体"/>
          <w:b/>
          <w:bCs/>
          <w:color w:val="auto"/>
          <w:kern w:val="2"/>
          <w:sz w:val="28"/>
          <w:szCs w:val="28"/>
          <w:highlight w:val="none"/>
        </w:rPr>
      </w:pPr>
    </w:p>
    <w:p w14:paraId="1814D933">
      <w:pPr>
        <w:rPr>
          <w:rFonts w:hint="eastAsia" w:hAnsi="宋体" w:cs="宋体"/>
          <w:b/>
          <w:bCs/>
          <w:color w:val="auto"/>
          <w:kern w:val="2"/>
          <w:sz w:val="28"/>
          <w:szCs w:val="28"/>
          <w:highlight w:val="none"/>
        </w:rPr>
      </w:pPr>
    </w:p>
    <w:p w14:paraId="5116D059">
      <w:pPr>
        <w:pStyle w:val="2"/>
        <w:rPr>
          <w:rFonts w:hint="eastAsia"/>
          <w:color w:val="auto"/>
          <w:highlight w:val="none"/>
        </w:rPr>
      </w:pPr>
    </w:p>
    <w:p w14:paraId="571B8C49">
      <w:pPr>
        <w:pStyle w:val="17"/>
        <w:jc w:val="left"/>
        <w:rPr>
          <w:rFonts w:hint="eastAsia" w:hAnsi="宋体" w:cs="宋体"/>
          <w:b/>
          <w:bCs/>
          <w:color w:val="auto"/>
          <w:kern w:val="2"/>
          <w:sz w:val="28"/>
          <w:szCs w:val="28"/>
          <w:highlight w:val="none"/>
        </w:rPr>
      </w:pPr>
    </w:p>
    <w:p w14:paraId="1B9ACCCF">
      <w:pPr>
        <w:pStyle w:val="17"/>
        <w:jc w:val="left"/>
        <w:rPr>
          <w:rFonts w:hAnsi="宋体" w:cs="宋体"/>
          <w:b/>
          <w:bCs/>
          <w:color w:val="auto"/>
          <w:kern w:val="2"/>
          <w:sz w:val="28"/>
          <w:szCs w:val="28"/>
          <w:highlight w:val="none"/>
        </w:rPr>
      </w:pPr>
      <w:r>
        <w:rPr>
          <w:rFonts w:hint="eastAsia" w:hAnsi="宋体" w:cs="宋体"/>
          <w:b/>
          <w:bCs/>
          <w:color w:val="auto"/>
          <w:kern w:val="2"/>
          <w:sz w:val="28"/>
          <w:szCs w:val="28"/>
          <w:highlight w:val="none"/>
        </w:rPr>
        <w:t>附件1：</w:t>
      </w:r>
    </w:p>
    <w:p w14:paraId="75378F39">
      <w:pPr>
        <w:spacing w:line="528"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中小微企业划型标准</w:t>
      </w:r>
    </w:p>
    <w:tbl>
      <w:tblPr>
        <w:tblStyle w:val="29"/>
        <w:tblW w:w="9458" w:type="dxa"/>
        <w:tblInd w:w="0" w:type="dxa"/>
        <w:tblLayout w:type="fixed"/>
        <w:tblCellMar>
          <w:top w:w="0" w:type="dxa"/>
          <w:left w:w="108" w:type="dxa"/>
          <w:bottom w:w="0" w:type="dxa"/>
          <w:right w:w="108" w:type="dxa"/>
        </w:tblCellMar>
      </w:tblPr>
      <w:tblGrid>
        <w:gridCol w:w="1726"/>
        <w:gridCol w:w="2042"/>
        <w:gridCol w:w="876"/>
        <w:gridCol w:w="1896"/>
        <w:gridCol w:w="1751"/>
        <w:gridCol w:w="1167"/>
      </w:tblGrid>
      <w:tr w14:paraId="09344F2E">
        <w:tblPrEx>
          <w:tblCellMar>
            <w:top w:w="0" w:type="dxa"/>
            <w:left w:w="108" w:type="dxa"/>
            <w:bottom w:w="0" w:type="dxa"/>
            <w:right w:w="108" w:type="dxa"/>
          </w:tblCellMar>
        </w:tblPrEx>
        <w:trPr>
          <w:trHeight w:val="690" w:hRule="atLeast"/>
        </w:trPr>
        <w:tc>
          <w:tcPr>
            <w:tcW w:w="1726" w:type="dxa"/>
            <w:tcBorders>
              <w:top w:val="single" w:color="auto" w:sz="4" w:space="0"/>
              <w:left w:val="single" w:color="auto" w:sz="4" w:space="0"/>
              <w:bottom w:val="single" w:color="auto" w:sz="4" w:space="0"/>
              <w:right w:val="single" w:color="auto" w:sz="4" w:space="0"/>
            </w:tcBorders>
            <w:vAlign w:val="center"/>
          </w:tcPr>
          <w:p w14:paraId="24A7143F">
            <w:pPr>
              <w:widowControl/>
              <w:spacing w:line="340" w:lineRule="exact"/>
              <w:jc w:val="center"/>
              <w:rPr>
                <w:rFonts w:ascii="宋体" w:hAnsi="宋体" w:cs="宋体"/>
                <w:b/>
                <w:color w:val="auto"/>
                <w:sz w:val="24"/>
                <w:highlight w:val="none"/>
              </w:rPr>
            </w:pPr>
            <w:r>
              <w:rPr>
                <w:rFonts w:hint="eastAsia" w:ascii="宋体" w:hAnsi="宋体" w:cs="宋体"/>
                <w:b/>
                <w:color w:val="auto"/>
                <w:sz w:val="24"/>
                <w:highlight w:val="none"/>
              </w:rPr>
              <w:t>行业名称</w:t>
            </w:r>
          </w:p>
        </w:tc>
        <w:tc>
          <w:tcPr>
            <w:tcW w:w="2042" w:type="dxa"/>
            <w:tcBorders>
              <w:top w:val="single" w:color="auto" w:sz="4" w:space="0"/>
              <w:left w:val="nil"/>
              <w:bottom w:val="single" w:color="auto" w:sz="4" w:space="0"/>
              <w:right w:val="single" w:color="auto" w:sz="4" w:space="0"/>
            </w:tcBorders>
            <w:vAlign w:val="center"/>
          </w:tcPr>
          <w:p w14:paraId="1F84A0DF">
            <w:pPr>
              <w:widowControl/>
              <w:spacing w:line="340" w:lineRule="exact"/>
              <w:jc w:val="center"/>
              <w:rPr>
                <w:rFonts w:ascii="宋体" w:hAnsi="宋体" w:cs="宋体"/>
                <w:b/>
                <w:color w:val="auto"/>
                <w:sz w:val="24"/>
                <w:highlight w:val="none"/>
              </w:rPr>
            </w:pPr>
            <w:r>
              <w:rPr>
                <w:rFonts w:hint="eastAsia" w:ascii="宋体" w:hAnsi="宋体" w:cs="宋体"/>
                <w:b/>
                <w:color w:val="auto"/>
                <w:sz w:val="24"/>
                <w:highlight w:val="none"/>
              </w:rPr>
              <w:t>指标名称</w:t>
            </w:r>
          </w:p>
        </w:tc>
        <w:tc>
          <w:tcPr>
            <w:tcW w:w="876" w:type="dxa"/>
            <w:tcBorders>
              <w:top w:val="single" w:color="auto" w:sz="4" w:space="0"/>
              <w:left w:val="nil"/>
              <w:bottom w:val="single" w:color="auto" w:sz="4" w:space="0"/>
              <w:right w:val="single" w:color="auto" w:sz="4" w:space="0"/>
            </w:tcBorders>
            <w:vAlign w:val="center"/>
          </w:tcPr>
          <w:p w14:paraId="1B1AC07E">
            <w:pPr>
              <w:widowControl/>
              <w:spacing w:line="340" w:lineRule="exact"/>
              <w:jc w:val="center"/>
              <w:rPr>
                <w:rFonts w:ascii="宋体" w:hAnsi="宋体" w:cs="宋体"/>
                <w:b/>
                <w:color w:val="auto"/>
                <w:sz w:val="24"/>
                <w:highlight w:val="none"/>
              </w:rPr>
            </w:pPr>
            <w:r>
              <w:rPr>
                <w:rFonts w:hint="eastAsia" w:ascii="宋体" w:hAnsi="宋体" w:cs="宋体"/>
                <w:b/>
                <w:color w:val="auto"/>
                <w:sz w:val="24"/>
                <w:highlight w:val="none"/>
              </w:rPr>
              <w:t>计量单位</w:t>
            </w:r>
          </w:p>
        </w:tc>
        <w:tc>
          <w:tcPr>
            <w:tcW w:w="1896" w:type="dxa"/>
            <w:tcBorders>
              <w:top w:val="single" w:color="auto" w:sz="4" w:space="0"/>
              <w:left w:val="nil"/>
              <w:bottom w:val="single" w:color="auto" w:sz="4" w:space="0"/>
              <w:right w:val="single" w:color="auto" w:sz="4" w:space="0"/>
            </w:tcBorders>
            <w:vAlign w:val="center"/>
          </w:tcPr>
          <w:p w14:paraId="3846CD4F">
            <w:pPr>
              <w:widowControl/>
              <w:spacing w:line="340" w:lineRule="exact"/>
              <w:jc w:val="center"/>
              <w:rPr>
                <w:rFonts w:ascii="宋体" w:hAnsi="宋体" w:cs="宋体"/>
                <w:b/>
                <w:color w:val="auto"/>
                <w:sz w:val="24"/>
                <w:highlight w:val="none"/>
              </w:rPr>
            </w:pPr>
            <w:r>
              <w:rPr>
                <w:rFonts w:hint="eastAsia" w:ascii="宋体" w:hAnsi="宋体" w:cs="宋体"/>
                <w:b/>
                <w:color w:val="auto"/>
                <w:sz w:val="24"/>
                <w:highlight w:val="none"/>
              </w:rPr>
              <w:t>中型</w:t>
            </w:r>
          </w:p>
        </w:tc>
        <w:tc>
          <w:tcPr>
            <w:tcW w:w="1751" w:type="dxa"/>
            <w:tcBorders>
              <w:top w:val="single" w:color="auto" w:sz="4" w:space="0"/>
              <w:left w:val="nil"/>
              <w:bottom w:val="single" w:color="auto" w:sz="4" w:space="0"/>
              <w:right w:val="single" w:color="auto" w:sz="4" w:space="0"/>
            </w:tcBorders>
            <w:vAlign w:val="center"/>
          </w:tcPr>
          <w:p w14:paraId="3CDC77A5">
            <w:pPr>
              <w:widowControl/>
              <w:spacing w:line="340" w:lineRule="exact"/>
              <w:jc w:val="center"/>
              <w:rPr>
                <w:rFonts w:ascii="宋体" w:hAnsi="宋体" w:cs="宋体"/>
                <w:b/>
                <w:color w:val="auto"/>
                <w:sz w:val="24"/>
                <w:highlight w:val="none"/>
              </w:rPr>
            </w:pPr>
            <w:r>
              <w:rPr>
                <w:rFonts w:hint="eastAsia" w:ascii="宋体" w:hAnsi="宋体" w:cs="宋体"/>
                <w:b/>
                <w:color w:val="auto"/>
                <w:sz w:val="24"/>
                <w:highlight w:val="none"/>
              </w:rPr>
              <w:t>小型</w:t>
            </w:r>
          </w:p>
        </w:tc>
        <w:tc>
          <w:tcPr>
            <w:tcW w:w="1167" w:type="dxa"/>
            <w:tcBorders>
              <w:top w:val="single" w:color="auto" w:sz="4" w:space="0"/>
              <w:left w:val="nil"/>
              <w:bottom w:val="single" w:color="auto" w:sz="4" w:space="0"/>
              <w:right w:val="single" w:color="auto" w:sz="4" w:space="0"/>
            </w:tcBorders>
            <w:vAlign w:val="center"/>
          </w:tcPr>
          <w:p w14:paraId="225E73FB">
            <w:pPr>
              <w:widowControl/>
              <w:spacing w:line="340" w:lineRule="exact"/>
              <w:jc w:val="center"/>
              <w:rPr>
                <w:rFonts w:ascii="宋体" w:hAnsi="宋体" w:cs="宋体"/>
                <w:b/>
                <w:color w:val="auto"/>
                <w:sz w:val="24"/>
                <w:highlight w:val="none"/>
              </w:rPr>
            </w:pPr>
            <w:r>
              <w:rPr>
                <w:rFonts w:hint="eastAsia" w:ascii="宋体" w:hAnsi="宋体" w:cs="宋体"/>
                <w:b/>
                <w:color w:val="auto"/>
                <w:sz w:val="24"/>
                <w:highlight w:val="none"/>
              </w:rPr>
              <w:t>微型</w:t>
            </w:r>
          </w:p>
        </w:tc>
      </w:tr>
      <w:tr w14:paraId="03D2A280">
        <w:tblPrEx>
          <w:tblCellMar>
            <w:top w:w="0" w:type="dxa"/>
            <w:left w:w="108" w:type="dxa"/>
            <w:bottom w:w="0" w:type="dxa"/>
            <w:right w:w="108" w:type="dxa"/>
          </w:tblCellMar>
        </w:tblPrEx>
        <w:trPr>
          <w:trHeight w:val="350" w:hRule="atLeast"/>
        </w:trPr>
        <w:tc>
          <w:tcPr>
            <w:tcW w:w="1726" w:type="dxa"/>
            <w:tcBorders>
              <w:top w:val="nil"/>
              <w:left w:val="single" w:color="auto" w:sz="4" w:space="0"/>
              <w:bottom w:val="single" w:color="auto" w:sz="4" w:space="0"/>
              <w:right w:val="single" w:color="auto" w:sz="4" w:space="0"/>
            </w:tcBorders>
            <w:vAlign w:val="center"/>
          </w:tcPr>
          <w:p w14:paraId="436CCF6D">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农、林、牧、渔</w:t>
            </w:r>
          </w:p>
        </w:tc>
        <w:tc>
          <w:tcPr>
            <w:tcW w:w="2042" w:type="dxa"/>
            <w:tcBorders>
              <w:top w:val="nil"/>
              <w:left w:val="nil"/>
              <w:bottom w:val="single" w:color="auto" w:sz="4" w:space="0"/>
              <w:right w:val="single" w:color="auto" w:sz="4" w:space="0"/>
            </w:tcBorders>
            <w:vAlign w:val="center"/>
          </w:tcPr>
          <w:p w14:paraId="4DB8F46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60AE8AD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420A58C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1751" w:type="dxa"/>
            <w:tcBorders>
              <w:top w:val="nil"/>
              <w:left w:val="nil"/>
              <w:bottom w:val="single" w:color="auto" w:sz="4" w:space="0"/>
              <w:right w:val="single" w:color="auto" w:sz="4" w:space="0"/>
            </w:tcBorders>
            <w:vAlign w:val="center"/>
          </w:tcPr>
          <w:p w14:paraId="19A4664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50≤Y＜500</w:t>
            </w:r>
          </w:p>
        </w:tc>
        <w:tc>
          <w:tcPr>
            <w:tcW w:w="1167" w:type="dxa"/>
            <w:tcBorders>
              <w:top w:val="nil"/>
              <w:left w:val="nil"/>
              <w:bottom w:val="single" w:color="auto" w:sz="4" w:space="0"/>
              <w:right w:val="single" w:color="auto" w:sz="4" w:space="0"/>
            </w:tcBorders>
            <w:vAlign w:val="center"/>
          </w:tcPr>
          <w:p w14:paraId="4AD352E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Y＜50</w:t>
            </w:r>
          </w:p>
        </w:tc>
      </w:tr>
      <w:tr w14:paraId="08DAB937">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37C5A5A4">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工业</w:t>
            </w:r>
          </w:p>
        </w:tc>
        <w:tc>
          <w:tcPr>
            <w:tcW w:w="2042" w:type="dxa"/>
            <w:tcBorders>
              <w:top w:val="nil"/>
              <w:left w:val="nil"/>
              <w:bottom w:val="single" w:color="auto" w:sz="4" w:space="0"/>
              <w:right w:val="single" w:color="auto" w:sz="4" w:space="0"/>
            </w:tcBorders>
            <w:vAlign w:val="center"/>
          </w:tcPr>
          <w:p w14:paraId="09A5053A">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0AF15B1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565364B7">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751" w:type="dxa"/>
            <w:tcBorders>
              <w:top w:val="nil"/>
              <w:left w:val="nil"/>
              <w:bottom w:val="single" w:color="auto" w:sz="4" w:space="0"/>
              <w:right w:val="single" w:color="auto" w:sz="4" w:space="0"/>
            </w:tcBorders>
            <w:vAlign w:val="center"/>
          </w:tcPr>
          <w:p w14:paraId="0751E2D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167" w:type="dxa"/>
            <w:tcBorders>
              <w:top w:val="nil"/>
              <w:left w:val="nil"/>
              <w:bottom w:val="single" w:color="auto" w:sz="4" w:space="0"/>
              <w:right w:val="single" w:color="auto" w:sz="4" w:space="0"/>
            </w:tcBorders>
            <w:vAlign w:val="center"/>
          </w:tcPr>
          <w:p w14:paraId="7071A59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X＜20</w:t>
            </w:r>
          </w:p>
        </w:tc>
      </w:tr>
      <w:tr w14:paraId="7325C07B">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7FFB20E9">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64A6F8B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0669E5E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2847FA2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2000≤Y＜40000</w:t>
            </w:r>
          </w:p>
        </w:tc>
        <w:tc>
          <w:tcPr>
            <w:tcW w:w="1751" w:type="dxa"/>
            <w:tcBorders>
              <w:top w:val="nil"/>
              <w:left w:val="nil"/>
              <w:bottom w:val="single" w:color="auto" w:sz="4" w:space="0"/>
              <w:right w:val="single" w:color="auto" w:sz="4" w:space="0"/>
            </w:tcBorders>
            <w:vAlign w:val="center"/>
          </w:tcPr>
          <w:p w14:paraId="26727FB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300≤Y＜2000</w:t>
            </w:r>
          </w:p>
        </w:tc>
        <w:tc>
          <w:tcPr>
            <w:tcW w:w="1167" w:type="dxa"/>
            <w:tcBorders>
              <w:top w:val="nil"/>
              <w:left w:val="nil"/>
              <w:bottom w:val="single" w:color="auto" w:sz="4" w:space="0"/>
              <w:right w:val="single" w:color="auto" w:sz="4" w:space="0"/>
            </w:tcBorders>
            <w:vAlign w:val="center"/>
          </w:tcPr>
          <w:p w14:paraId="65488B3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1DB76A3C">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20A581D0">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建筑业</w:t>
            </w:r>
          </w:p>
        </w:tc>
        <w:tc>
          <w:tcPr>
            <w:tcW w:w="2042" w:type="dxa"/>
            <w:tcBorders>
              <w:top w:val="nil"/>
              <w:left w:val="nil"/>
              <w:bottom w:val="single" w:color="auto" w:sz="4" w:space="0"/>
              <w:right w:val="single" w:color="auto" w:sz="4" w:space="0"/>
            </w:tcBorders>
            <w:vAlign w:val="center"/>
          </w:tcPr>
          <w:p w14:paraId="4980D43A">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61E0F85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3324C9E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6000≤Y＜80000</w:t>
            </w:r>
          </w:p>
        </w:tc>
        <w:tc>
          <w:tcPr>
            <w:tcW w:w="1751" w:type="dxa"/>
            <w:tcBorders>
              <w:top w:val="nil"/>
              <w:left w:val="nil"/>
              <w:bottom w:val="single" w:color="auto" w:sz="4" w:space="0"/>
              <w:right w:val="single" w:color="auto" w:sz="4" w:space="0"/>
            </w:tcBorders>
            <w:vAlign w:val="center"/>
          </w:tcPr>
          <w:p w14:paraId="4710029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300≤Y＜6000</w:t>
            </w:r>
          </w:p>
        </w:tc>
        <w:tc>
          <w:tcPr>
            <w:tcW w:w="1167" w:type="dxa"/>
            <w:tcBorders>
              <w:top w:val="nil"/>
              <w:left w:val="nil"/>
              <w:bottom w:val="single" w:color="auto" w:sz="4" w:space="0"/>
              <w:right w:val="single" w:color="auto" w:sz="4" w:space="0"/>
            </w:tcBorders>
            <w:vAlign w:val="center"/>
          </w:tcPr>
          <w:p w14:paraId="33336B1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7ED2B68A">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251ECD8F">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09E7BC6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876" w:type="dxa"/>
            <w:tcBorders>
              <w:top w:val="nil"/>
              <w:left w:val="nil"/>
              <w:bottom w:val="single" w:color="auto" w:sz="4" w:space="0"/>
              <w:right w:val="single" w:color="auto" w:sz="4" w:space="0"/>
            </w:tcBorders>
            <w:vAlign w:val="center"/>
          </w:tcPr>
          <w:p w14:paraId="6D0AEDE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0D06509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5000≤Z＜80000</w:t>
            </w:r>
          </w:p>
        </w:tc>
        <w:tc>
          <w:tcPr>
            <w:tcW w:w="1751" w:type="dxa"/>
            <w:tcBorders>
              <w:top w:val="nil"/>
              <w:left w:val="nil"/>
              <w:bottom w:val="single" w:color="auto" w:sz="4" w:space="0"/>
              <w:right w:val="single" w:color="auto" w:sz="4" w:space="0"/>
            </w:tcBorders>
            <w:vAlign w:val="center"/>
          </w:tcPr>
          <w:p w14:paraId="2DF27AA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300≤Z＜5000</w:t>
            </w:r>
          </w:p>
        </w:tc>
        <w:tc>
          <w:tcPr>
            <w:tcW w:w="1167" w:type="dxa"/>
            <w:tcBorders>
              <w:top w:val="nil"/>
              <w:left w:val="nil"/>
              <w:bottom w:val="single" w:color="auto" w:sz="4" w:space="0"/>
              <w:right w:val="single" w:color="auto" w:sz="4" w:space="0"/>
            </w:tcBorders>
            <w:vAlign w:val="center"/>
          </w:tcPr>
          <w:p w14:paraId="26BBB524">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Z＜300</w:t>
            </w:r>
          </w:p>
        </w:tc>
      </w:tr>
      <w:tr w14:paraId="23D143F0">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47EE59B1">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批发业</w:t>
            </w:r>
          </w:p>
        </w:tc>
        <w:tc>
          <w:tcPr>
            <w:tcW w:w="2042" w:type="dxa"/>
            <w:tcBorders>
              <w:top w:val="nil"/>
              <w:left w:val="nil"/>
              <w:bottom w:val="single" w:color="auto" w:sz="4" w:space="0"/>
              <w:right w:val="single" w:color="auto" w:sz="4" w:space="0"/>
            </w:tcBorders>
            <w:vAlign w:val="center"/>
          </w:tcPr>
          <w:p w14:paraId="6885160F">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1F17A2A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4F9F7A6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20≤X＜200</w:t>
            </w:r>
          </w:p>
        </w:tc>
        <w:tc>
          <w:tcPr>
            <w:tcW w:w="1751" w:type="dxa"/>
            <w:tcBorders>
              <w:top w:val="nil"/>
              <w:left w:val="nil"/>
              <w:bottom w:val="single" w:color="auto" w:sz="4" w:space="0"/>
              <w:right w:val="single" w:color="auto" w:sz="4" w:space="0"/>
            </w:tcBorders>
            <w:vAlign w:val="center"/>
          </w:tcPr>
          <w:p w14:paraId="3B2F5A5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5≤X＜20</w:t>
            </w:r>
          </w:p>
        </w:tc>
        <w:tc>
          <w:tcPr>
            <w:tcW w:w="1167" w:type="dxa"/>
            <w:tcBorders>
              <w:top w:val="nil"/>
              <w:left w:val="nil"/>
              <w:bottom w:val="single" w:color="auto" w:sz="4" w:space="0"/>
              <w:right w:val="single" w:color="auto" w:sz="4" w:space="0"/>
            </w:tcBorders>
            <w:vAlign w:val="center"/>
          </w:tcPr>
          <w:p w14:paraId="1D37DC1F">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X＜5</w:t>
            </w:r>
          </w:p>
        </w:tc>
      </w:tr>
      <w:tr w14:paraId="43F12AE5">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319C87D0">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0D4D223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31CC969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13823B5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5000≤Y＜40000</w:t>
            </w:r>
          </w:p>
        </w:tc>
        <w:tc>
          <w:tcPr>
            <w:tcW w:w="1751" w:type="dxa"/>
            <w:tcBorders>
              <w:top w:val="nil"/>
              <w:left w:val="nil"/>
              <w:bottom w:val="single" w:color="auto" w:sz="4" w:space="0"/>
              <w:right w:val="single" w:color="auto" w:sz="4" w:space="0"/>
            </w:tcBorders>
            <w:vAlign w:val="center"/>
          </w:tcPr>
          <w:p w14:paraId="08196C0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1167" w:type="dxa"/>
            <w:tcBorders>
              <w:top w:val="nil"/>
              <w:left w:val="nil"/>
              <w:bottom w:val="single" w:color="auto" w:sz="4" w:space="0"/>
              <w:right w:val="single" w:color="auto" w:sz="4" w:space="0"/>
            </w:tcBorders>
            <w:vAlign w:val="center"/>
          </w:tcPr>
          <w:p w14:paraId="46FB6B5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Y＜1000</w:t>
            </w:r>
          </w:p>
        </w:tc>
      </w:tr>
      <w:tr w14:paraId="363D9CCE">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614A2EF0">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零售业</w:t>
            </w:r>
          </w:p>
        </w:tc>
        <w:tc>
          <w:tcPr>
            <w:tcW w:w="2042" w:type="dxa"/>
            <w:tcBorders>
              <w:top w:val="nil"/>
              <w:left w:val="nil"/>
              <w:bottom w:val="single" w:color="auto" w:sz="4" w:space="0"/>
              <w:right w:val="single" w:color="auto" w:sz="4" w:space="0"/>
            </w:tcBorders>
            <w:vAlign w:val="center"/>
          </w:tcPr>
          <w:p w14:paraId="152D378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49DEE94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6596556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50≤X＜300</w:t>
            </w:r>
          </w:p>
        </w:tc>
        <w:tc>
          <w:tcPr>
            <w:tcW w:w="1751" w:type="dxa"/>
            <w:tcBorders>
              <w:top w:val="nil"/>
              <w:left w:val="nil"/>
              <w:bottom w:val="single" w:color="auto" w:sz="4" w:space="0"/>
              <w:right w:val="single" w:color="auto" w:sz="4" w:space="0"/>
            </w:tcBorders>
            <w:vAlign w:val="center"/>
          </w:tcPr>
          <w:p w14:paraId="53FB3A33">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10≤X＜50</w:t>
            </w:r>
          </w:p>
        </w:tc>
        <w:tc>
          <w:tcPr>
            <w:tcW w:w="1167" w:type="dxa"/>
            <w:tcBorders>
              <w:top w:val="nil"/>
              <w:left w:val="nil"/>
              <w:bottom w:val="single" w:color="auto" w:sz="4" w:space="0"/>
              <w:right w:val="single" w:color="auto" w:sz="4" w:space="0"/>
            </w:tcBorders>
            <w:vAlign w:val="center"/>
          </w:tcPr>
          <w:p w14:paraId="0AAEB00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w:t>
            </w:r>
          </w:p>
        </w:tc>
      </w:tr>
      <w:tr w14:paraId="5E0837BE">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5CC7F272">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4F8210F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466B633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56D9335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1751" w:type="dxa"/>
            <w:tcBorders>
              <w:top w:val="nil"/>
              <w:left w:val="nil"/>
              <w:bottom w:val="single" w:color="auto" w:sz="4" w:space="0"/>
              <w:right w:val="single" w:color="auto" w:sz="4" w:space="0"/>
            </w:tcBorders>
            <w:vAlign w:val="center"/>
          </w:tcPr>
          <w:p w14:paraId="0D0CDC5A">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100≤Y＜500</w:t>
            </w:r>
          </w:p>
        </w:tc>
        <w:tc>
          <w:tcPr>
            <w:tcW w:w="1167" w:type="dxa"/>
            <w:tcBorders>
              <w:top w:val="nil"/>
              <w:left w:val="nil"/>
              <w:bottom w:val="single" w:color="auto" w:sz="4" w:space="0"/>
              <w:right w:val="single" w:color="auto" w:sz="4" w:space="0"/>
            </w:tcBorders>
            <w:vAlign w:val="center"/>
          </w:tcPr>
          <w:p w14:paraId="423CD89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AA8EB94">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00427C2A">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交通运输业</w:t>
            </w:r>
          </w:p>
        </w:tc>
        <w:tc>
          <w:tcPr>
            <w:tcW w:w="2042" w:type="dxa"/>
            <w:tcBorders>
              <w:top w:val="nil"/>
              <w:left w:val="nil"/>
              <w:bottom w:val="single" w:color="auto" w:sz="4" w:space="0"/>
              <w:right w:val="single" w:color="auto" w:sz="4" w:space="0"/>
            </w:tcBorders>
            <w:vAlign w:val="center"/>
          </w:tcPr>
          <w:p w14:paraId="032900C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076C159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665737D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751" w:type="dxa"/>
            <w:tcBorders>
              <w:top w:val="nil"/>
              <w:left w:val="nil"/>
              <w:bottom w:val="single" w:color="auto" w:sz="4" w:space="0"/>
              <w:right w:val="single" w:color="auto" w:sz="4" w:space="0"/>
            </w:tcBorders>
            <w:vAlign w:val="center"/>
          </w:tcPr>
          <w:p w14:paraId="02B788D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167" w:type="dxa"/>
            <w:tcBorders>
              <w:top w:val="nil"/>
              <w:left w:val="nil"/>
              <w:bottom w:val="single" w:color="auto" w:sz="4" w:space="0"/>
              <w:right w:val="single" w:color="auto" w:sz="4" w:space="0"/>
            </w:tcBorders>
            <w:vAlign w:val="center"/>
          </w:tcPr>
          <w:p w14:paraId="2135348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X＜20</w:t>
            </w:r>
          </w:p>
        </w:tc>
      </w:tr>
      <w:tr w14:paraId="1C15DDBA">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1EDF9EA9">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7D6829C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766F283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6119EB7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3000≤Y＜30000</w:t>
            </w:r>
          </w:p>
        </w:tc>
        <w:tc>
          <w:tcPr>
            <w:tcW w:w="1751" w:type="dxa"/>
            <w:tcBorders>
              <w:top w:val="nil"/>
              <w:left w:val="nil"/>
              <w:bottom w:val="single" w:color="auto" w:sz="4" w:space="0"/>
              <w:right w:val="single" w:color="auto" w:sz="4" w:space="0"/>
            </w:tcBorders>
            <w:vAlign w:val="center"/>
          </w:tcPr>
          <w:p w14:paraId="5F7D30C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200≤Y＜3000</w:t>
            </w:r>
          </w:p>
        </w:tc>
        <w:tc>
          <w:tcPr>
            <w:tcW w:w="1167" w:type="dxa"/>
            <w:tcBorders>
              <w:top w:val="nil"/>
              <w:left w:val="nil"/>
              <w:bottom w:val="single" w:color="auto" w:sz="4" w:space="0"/>
              <w:right w:val="single" w:color="auto" w:sz="4" w:space="0"/>
            </w:tcBorders>
            <w:vAlign w:val="center"/>
          </w:tcPr>
          <w:p w14:paraId="5554E1C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Y＜200</w:t>
            </w:r>
          </w:p>
        </w:tc>
      </w:tr>
      <w:tr w14:paraId="0DAB0F73">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1EEE1891">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仓储业</w:t>
            </w:r>
          </w:p>
        </w:tc>
        <w:tc>
          <w:tcPr>
            <w:tcW w:w="2042" w:type="dxa"/>
            <w:tcBorders>
              <w:top w:val="nil"/>
              <w:left w:val="nil"/>
              <w:bottom w:val="single" w:color="auto" w:sz="4" w:space="0"/>
              <w:right w:val="single" w:color="auto" w:sz="4" w:space="0"/>
            </w:tcBorders>
            <w:vAlign w:val="center"/>
          </w:tcPr>
          <w:p w14:paraId="0896F63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0D3B0F6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7CFC06E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100≤X＜200</w:t>
            </w:r>
          </w:p>
        </w:tc>
        <w:tc>
          <w:tcPr>
            <w:tcW w:w="1751" w:type="dxa"/>
            <w:tcBorders>
              <w:top w:val="nil"/>
              <w:left w:val="nil"/>
              <w:bottom w:val="single" w:color="auto" w:sz="4" w:space="0"/>
              <w:right w:val="single" w:color="auto" w:sz="4" w:space="0"/>
            </w:tcBorders>
            <w:vAlign w:val="center"/>
          </w:tcPr>
          <w:p w14:paraId="30E4BDE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20≤X＜100</w:t>
            </w:r>
          </w:p>
        </w:tc>
        <w:tc>
          <w:tcPr>
            <w:tcW w:w="1167" w:type="dxa"/>
            <w:tcBorders>
              <w:top w:val="nil"/>
              <w:left w:val="nil"/>
              <w:bottom w:val="single" w:color="auto" w:sz="4" w:space="0"/>
              <w:right w:val="single" w:color="auto" w:sz="4" w:space="0"/>
            </w:tcBorders>
            <w:vAlign w:val="center"/>
          </w:tcPr>
          <w:p w14:paraId="5A8CE124">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X＜20</w:t>
            </w:r>
          </w:p>
        </w:tc>
      </w:tr>
      <w:tr w14:paraId="16ABEB14">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05241391">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489D0AF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19E30FAA">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690581FF">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1000≤Y＜30000</w:t>
            </w:r>
          </w:p>
        </w:tc>
        <w:tc>
          <w:tcPr>
            <w:tcW w:w="1751" w:type="dxa"/>
            <w:tcBorders>
              <w:top w:val="nil"/>
              <w:left w:val="nil"/>
              <w:bottom w:val="single" w:color="auto" w:sz="4" w:space="0"/>
              <w:right w:val="single" w:color="auto" w:sz="4" w:space="0"/>
            </w:tcBorders>
            <w:vAlign w:val="center"/>
          </w:tcPr>
          <w:p w14:paraId="3DE0030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1167" w:type="dxa"/>
            <w:tcBorders>
              <w:top w:val="nil"/>
              <w:left w:val="nil"/>
              <w:bottom w:val="single" w:color="auto" w:sz="4" w:space="0"/>
              <w:right w:val="single" w:color="auto" w:sz="4" w:space="0"/>
            </w:tcBorders>
            <w:vAlign w:val="center"/>
          </w:tcPr>
          <w:p w14:paraId="7A71A1F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2A5C0087">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4875E216">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邮政业</w:t>
            </w:r>
          </w:p>
        </w:tc>
        <w:tc>
          <w:tcPr>
            <w:tcW w:w="2042" w:type="dxa"/>
            <w:tcBorders>
              <w:top w:val="nil"/>
              <w:left w:val="nil"/>
              <w:bottom w:val="single" w:color="auto" w:sz="4" w:space="0"/>
              <w:right w:val="single" w:color="auto" w:sz="4" w:space="0"/>
            </w:tcBorders>
            <w:vAlign w:val="center"/>
          </w:tcPr>
          <w:p w14:paraId="5607E597">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79E81B6A">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4D11BF1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751" w:type="dxa"/>
            <w:tcBorders>
              <w:top w:val="nil"/>
              <w:left w:val="nil"/>
              <w:bottom w:val="single" w:color="auto" w:sz="4" w:space="0"/>
              <w:right w:val="single" w:color="auto" w:sz="4" w:space="0"/>
            </w:tcBorders>
            <w:vAlign w:val="center"/>
          </w:tcPr>
          <w:p w14:paraId="318D2AF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167" w:type="dxa"/>
            <w:tcBorders>
              <w:top w:val="nil"/>
              <w:left w:val="nil"/>
              <w:bottom w:val="single" w:color="auto" w:sz="4" w:space="0"/>
              <w:right w:val="single" w:color="auto" w:sz="4" w:space="0"/>
            </w:tcBorders>
            <w:vAlign w:val="center"/>
          </w:tcPr>
          <w:p w14:paraId="70B75A7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X＜20</w:t>
            </w:r>
          </w:p>
        </w:tc>
      </w:tr>
      <w:tr w14:paraId="60BDCB36">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05C1BBD8">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69175D0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04EE03C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21E6BF0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2000≤Y＜30000</w:t>
            </w:r>
          </w:p>
        </w:tc>
        <w:tc>
          <w:tcPr>
            <w:tcW w:w="1751" w:type="dxa"/>
            <w:tcBorders>
              <w:top w:val="nil"/>
              <w:left w:val="nil"/>
              <w:bottom w:val="single" w:color="auto" w:sz="4" w:space="0"/>
              <w:right w:val="single" w:color="auto" w:sz="4" w:space="0"/>
            </w:tcBorders>
            <w:vAlign w:val="center"/>
          </w:tcPr>
          <w:p w14:paraId="483F010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167" w:type="dxa"/>
            <w:tcBorders>
              <w:top w:val="nil"/>
              <w:left w:val="nil"/>
              <w:bottom w:val="single" w:color="auto" w:sz="4" w:space="0"/>
              <w:right w:val="single" w:color="auto" w:sz="4" w:space="0"/>
            </w:tcBorders>
            <w:vAlign w:val="center"/>
          </w:tcPr>
          <w:p w14:paraId="6C5AB064">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7BD56501">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06003996">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住宿业</w:t>
            </w:r>
          </w:p>
        </w:tc>
        <w:tc>
          <w:tcPr>
            <w:tcW w:w="2042" w:type="dxa"/>
            <w:tcBorders>
              <w:top w:val="nil"/>
              <w:left w:val="nil"/>
              <w:bottom w:val="single" w:color="auto" w:sz="4" w:space="0"/>
              <w:right w:val="single" w:color="auto" w:sz="4" w:space="0"/>
            </w:tcBorders>
            <w:vAlign w:val="center"/>
          </w:tcPr>
          <w:p w14:paraId="446E4B6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23B3D54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10F8790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751" w:type="dxa"/>
            <w:tcBorders>
              <w:top w:val="nil"/>
              <w:left w:val="nil"/>
              <w:bottom w:val="single" w:color="auto" w:sz="4" w:space="0"/>
              <w:right w:val="single" w:color="auto" w:sz="4" w:space="0"/>
            </w:tcBorders>
            <w:vAlign w:val="center"/>
          </w:tcPr>
          <w:p w14:paraId="4F32166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167" w:type="dxa"/>
            <w:tcBorders>
              <w:top w:val="nil"/>
              <w:left w:val="nil"/>
              <w:bottom w:val="single" w:color="auto" w:sz="4" w:space="0"/>
              <w:right w:val="single" w:color="auto" w:sz="4" w:space="0"/>
            </w:tcBorders>
            <w:vAlign w:val="center"/>
          </w:tcPr>
          <w:p w14:paraId="4AB9FB3F">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w:t>
            </w:r>
          </w:p>
        </w:tc>
      </w:tr>
      <w:tr w14:paraId="2E1BA9D3">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1C8C9D26">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2675E15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2B48767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201D6CE3">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751" w:type="dxa"/>
            <w:tcBorders>
              <w:top w:val="nil"/>
              <w:left w:val="nil"/>
              <w:bottom w:val="single" w:color="auto" w:sz="4" w:space="0"/>
              <w:right w:val="single" w:color="auto" w:sz="4" w:space="0"/>
            </w:tcBorders>
            <w:vAlign w:val="center"/>
          </w:tcPr>
          <w:p w14:paraId="4F177D0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167" w:type="dxa"/>
            <w:tcBorders>
              <w:top w:val="nil"/>
              <w:left w:val="nil"/>
              <w:bottom w:val="single" w:color="auto" w:sz="4" w:space="0"/>
              <w:right w:val="single" w:color="auto" w:sz="4" w:space="0"/>
            </w:tcBorders>
            <w:vAlign w:val="center"/>
          </w:tcPr>
          <w:p w14:paraId="387D0A5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62FF4BD">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2B99A50E">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餐饮业</w:t>
            </w:r>
          </w:p>
        </w:tc>
        <w:tc>
          <w:tcPr>
            <w:tcW w:w="2042" w:type="dxa"/>
            <w:tcBorders>
              <w:top w:val="nil"/>
              <w:left w:val="nil"/>
              <w:bottom w:val="single" w:color="auto" w:sz="4" w:space="0"/>
              <w:right w:val="single" w:color="auto" w:sz="4" w:space="0"/>
            </w:tcBorders>
            <w:vAlign w:val="center"/>
          </w:tcPr>
          <w:p w14:paraId="53FC087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1BB83CC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20F5C92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751" w:type="dxa"/>
            <w:tcBorders>
              <w:top w:val="nil"/>
              <w:left w:val="nil"/>
              <w:bottom w:val="single" w:color="auto" w:sz="4" w:space="0"/>
              <w:right w:val="single" w:color="auto" w:sz="4" w:space="0"/>
            </w:tcBorders>
            <w:vAlign w:val="center"/>
          </w:tcPr>
          <w:p w14:paraId="64D1F74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167" w:type="dxa"/>
            <w:tcBorders>
              <w:top w:val="nil"/>
              <w:left w:val="nil"/>
              <w:bottom w:val="single" w:color="auto" w:sz="4" w:space="0"/>
              <w:right w:val="single" w:color="auto" w:sz="4" w:space="0"/>
            </w:tcBorders>
            <w:vAlign w:val="center"/>
          </w:tcPr>
          <w:p w14:paraId="738AC18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0083BDA">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262EEEFE">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7BBDC76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5536B4E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413EC61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751" w:type="dxa"/>
            <w:tcBorders>
              <w:top w:val="nil"/>
              <w:left w:val="nil"/>
              <w:bottom w:val="single" w:color="auto" w:sz="4" w:space="0"/>
              <w:right w:val="single" w:color="auto" w:sz="4" w:space="0"/>
            </w:tcBorders>
            <w:vAlign w:val="center"/>
          </w:tcPr>
          <w:p w14:paraId="3A89657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167" w:type="dxa"/>
            <w:tcBorders>
              <w:top w:val="nil"/>
              <w:left w:val="nil"/>
              <w:bottom w:val="single" w:color="auto" w:sz="4" w:space="0"/>
              <w:right w:val="single" w:color="auto" w:sz="4" w:space="0"/>
            </w:tcBorders>
            <w:vAlign w:val="center"/>
          </w:tcPr>
          <w:p w14:paraId="74E2C8B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4FF4960">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375F3F83">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信息传输业</w:t>
            </w:r>
          </w:p>
        </w:tc>
        <w:tc>
          <w:tcPr>
            <w:tcW w:w="2042" w:type="dxa"/>
            <w:tcBorders>
              <w:top w:val="nil"/>
              <w:left w:val="nil"/>
              <w:bottom w:val="single" w:color="auto" w:sz="4" w:space="0"/>
              <w:right w:val="single" w:color="auto" w:sz="4" w:space="0"/>
            </w:tcBorders>
            <w:vAlign w:val="center"/>
          </w:tcPr>
          <w:p w14:paraId="1F9CDB6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7247B87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522CB34A">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100≤X＜2000</w:t>
            </w:r>
          </w:p>
        </w:tc>
        <w:tc>
          <w:tcPr>
            <w:tcW w:w="1751" w:type="dxa"/>
            <w:tcBorders>
              <w:top w:val="nil"/>
              <w:left w:val="nil"/>
              <w:bottom w:val="single" w:color="auto" w:sz="4" w:space="0"/>
              <w:right w:val="single" w:color="auto" w:sz="4" w:space="0"/>
            </w:tcBorders>
            <w:vAlign w:val="center"/>
          </w:tcPr>
          <w:p w14:paraId="1A67EA3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167" w:type="dxa"/>
            <w:tcBorders>
              <w:top w:val="nil"/>
              <w:left w:val="nil"/>
              <w:bottom w:val="single" w:color="auto" w:sz="4" w:space="0"/>
              <w:right w:val="single" w:color="auto" w:sz="4" w:space="0"/>
            </w:tcBorders>
            <w:vAlign w:val="center"/>
          </w:tcPr>
          <w:p w14:paraId="4012F5E4">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EB09C22">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13A4292B">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3704EFA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2B9CEC9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3A480D54">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1000≤Y＜100000</w:t>
            </w:r>
          </w:p>
        </w:tc>
        <w:tc>
          <w:tcPr>
            <w:tcW w:w="1751" w:type="dxa"/>
            <w:tcBorders>
              <w:top w:val="nil"/>
              <w:left w:val="nil"/>
              <w:bottom w:val="single" w:color="auto" w:sz="4" w:space="0"/>
              <w:right w:val="single" w:color="auto" w:sz="4" w:space="0"/>
            </w:tcBorders>
            <w:vAlign w:val="center"/>
          </w:tcPr>
          <w:p w14:paraId="27DFC02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1167" w:type="dxa"/>
            <w:tcBorders>
              <w:top w:val="nil"/>
              <w:left w:val="nil"/>
              <w:bottom w:val="single" w:color="auto" w:sz="4" w:space="0"/>
              <w:right w:val="single" w:color="auto" w:sz="4" w:space="0"/>
            </w:tcBorders>
            <w:vAlign w:val="center"/>
          </w:tcPr>
          <w:p w14:paraId="361DBBC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4927E807">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18EE6386">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软件和信息技术服务业</w:t>
            </w:r>
          </w:p>
        </w:tc>
        <w:tc>
          <w:tcPr>
            <w:tcW w:w="2042" w:type="dxa"/>
            <w:tcBorders>
              <w:top w:val="nil"/>
              <w:left w:val="nil"/>
              <w:bottom w:val="single" w:color="auto" w:sz="4" w:space="0"/>
              <w:right w:val="single" w:color="auto" w:sz="4" w:space="0"/>
            </w:tcBorders>
            <w:vAlign w:val="center"/>
          </w:tcPr>
          <w:p w14:paraId="3B924E7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7C205F3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5C7F7CB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751" w:type="dxa"/>
            <w:tcBorders>
              <w:top w:val="nil"/>
              <w:left w:val="nil"/>
              <w:bottom w:val="single" w:color="auto" w:sz="4" w:space="0"/>
              <w:right w:val="single" w:color="auto" w:sz="4" w:space="0"/>
            </w:tcBorders>
            <w:vAlign w:val="center"/>
          </w:tcPr>
          <w:p w14:paraId="603E98F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167" w:type="dxa"/>
            <w:tcBorders>
              <w:top w:val="nil"/>
              <w:left w:val="nil"/>
              <w:bottom w:val="single" w:color="auto" w:sz="4" w:space="0"/>
              <w:right w:val="single" w:color="auto" w:sz="4" w:space="0"/>
            </w:tcBorders>
            <w:vAlign w:val="center"/>
          </w:tcPr>
          <w:p w14:paraId="55BDDF6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w:t>
            </w:r>
          </w:p>
        </w:tc>
      </w:tr>
      <w:tr w14:paraId="1F95346D">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35B02F0C">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18D147B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774287D3">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37FAF85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1000≤Y＜10000</w:t>
            </w:r>
          </w:p>
        </w:tc>
        <w:tc>
          <w:tcPr>
            <w:tcW w:w="1751" w:type="dxa"/>
            <w:tcBorders>
              <w:top w:val="nil"/>
              <w:left w:val="nil"/>
              <w:bottom w:val="single" w:color="auto" w:sz="4" w:space="0"/>
              <w:right w:val="single" w:color="auto" w:sz="4" w:space="0"/>
            </w:tcBorders>
            <w:vAlign w:val="center"/>
          </w:tcPr>
          <w:p w14:paraId="1576FAC0">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50≤Y＜1000</w:t>
            </w:r>
          </w:p>
        </w:tc>
        <w:tc>
          <w:tcPr>
            <w:tcW w:w="1167" w:type="dxa"/>
            <w:tcBorders>
              <w:top w:val="nil"/>
              <w:left w:val="nil"/>
              <w:bottom w:val="single" w:color="auto" w:sz="4" w:space="0"/>
              <w:right w:val="single" w:color="auto" w:sz="4" w:space="0"/>
            </w:tcBorders>
            <w:vAlign w:val="center"/>
          </w:tcPr>
          <w:p w14:paraId="59599E83">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Y＜50</w:t>
            </w:r>
          </w:p>
        </w:tc>
      </w:tr>
      <w:tr w14:paraId="24CA0E00">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6953115A">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房地产开发经营</w:t>
            </w:r>
          </w:p>
        </w:tc>
        <w:tc>
          <w:tcPr>
            <w:tcW w:w="2042" w:type="dxa"/>
            <w:tcBorders>
              <w:top w:val="nil"/>
              <w:left w:val="nil"/>
              <w:bottom w:val="single" w:color="auto" w:sz="4" w:space="0"/>
              <w:right w:val="single" w:color="auto" w:sz="4" w:space="0"/>
            </w:tcBorders>
            <w:vAlign w:val="center"/>
          </w:tcPr>
          <w:p w14:paraId="4E3CF6F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03C2C64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4184439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1000≤Y＜200000</w:t>
            </w:r>
          </w:p>
        </w:tc>
        <w:tc>
          <w:tcPr>
            <w:tcW w:w="1751" w:type="dxa"/>
            <w:tcBorders>
              <w:top w:val="nil"/>
              <w:left w:val="nil"/>
              <w:bottom w:val="single" w:color="auto" w:sz="4" w:space="0"/>
              <w:right w:val="single" w:color="auto" w:sz="4" w:space="0"/>
            </w:tcBorders>
            <w:vAlign w:val="center"/>
          </w:tcPr>
          <w:p w14:paraId="43C43D3F">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100≤X＜1000</w:t>
            </w:r>
          </w:p>
        </w:tc>
        <w:tc>
          <w:tcPr>
            <w:tcW w:w="1167" w:type="dxa"/>
            <w:tcBorders>
              <w:top w:val="nil"/>
              <w:left w:val="nil"/>
              <w:bottom w:val="single" w:color="auto" w:sz="4" w:space="0"/>
              <w:right w:val="single" w:color="auto" w:sz="4" w:space="0"/>
            </w:tcBorders>
            <w:vAlign w:val="center"/>
          </w:tcPr>
          <w:p w14:paraId="676E90C4">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34F60120">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4E33DA72">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4DE1DFE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876" w:type="dxa"/>
            <w:tcBorders>
              <w:top w:val="nil"/>
              <w:left w:val="nil"/>
              <w:bottom w:val="single" w:color="auto" w:sz="4" w:space="0"/>
              <w:right w:val="single" w:color="auto" w:sz="4" w:space="0"/>
            </w:tcBorders>
            <w:vAlign w:val="center"/>
          </w:tcPr>
          <w:p w14:paraId="26CB89F7">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0F649DC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5000≤Z＜10000</w:t>
            </w:r>
          </w:p>
        </w:tc>
        <w:tc>
          <w:tcPr>
            <w:tcW w:w="1751" w:type="dxa"/>
            <w:tcBorders>
              <w:top w:val="nil"/>
              <w:left w:val="nil"/>
              <w:bottom w:val="single" w:color="auto" w:sz="4" w:space="0"/>
              <w:right w:val="single" w:color="auto" w:sz="4" w:space="0"/>
            </w:tcBorders>
            <w:vAlign w:val="center"/>
          </w:tcPr>
          <w:p w14:paraId="66514CC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2000≤Y＜5000</w:t>
            </w:r>
          </w:p>
        </w:tc>
        <w:tc>
          <w:tcPr>
            <w:tcW w:w="1167" w:type="dxa"/>
            <w:tcBorders>
              <w:top w:val="nil"/>
              <w:left w:val="nil"/>
              <w:bottom w:val="single" w:color="auto" w:sz="4" w:space="0"/>
              <w:right w:val="single" w:color="auto" w:sz="4" w:space="0"/>
            </w:tcBorders>
            <w:vAlign w:val="center"/>
          </w:tcPr>
          <w:p w14:paraId="02A920BA">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Y＜2000</w:t>
            </w:r>
          </w:p>
        </w:tc>
      </w:tr>
      <w:tr w14:paraId="2A0B9E53">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71145703">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物业管理</w:t>
            </w:r>
          </w:p>
        </w:tc>
        <w:tc>
          <w:tcPr>
            <w:tcW w:w="2042" w:type="dxa"/>
            <w:tcBorders>
              <w:top w:val="nil"/>
              <w:left w:val="nil"/>
              <w:bottom w:val="single" w:color="auto" w:sz="4" w:space="0"/>
              <w:right w:val="single" w:color="auto" w:sz="4" w:space="0"/>
            </w:tcBorders>
            <w:vAlign w:val="center"/>
          </w:tcPr>
          <w:p w14:paraId="0B8B549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6390994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007F46C7">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751" w:type="dxa"/>
            <w:tcBorders>
              <w:top w:val="nil"/>
              <w:left w:val="nil"/>
              <w:bottom w:val="single" w:color="auto" w:sz="4" w:space="0"/>
              <w:right w:val="single" w:color="auto" w:sz="4" w:space="0"/>
            </w:tcBorders>
            <w:vAlign w:val="center"/>
          </w:tcPr>
          <w:p w14:paraId="4675EDE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167" w:type="dxa"/>
            <w:tcBorders>
              <w:top w:val="nil"/>
              <w:left w:val="nil"/>
              <w:bottom w:val="single" w:color="auto" w:sz="4" w:space="0"/>
              <w:right w:val="single" w:color="auto" w:sz="4" w:space="0"/>
            </w:tcBorders>
            <w:vAlign w:val="center"/>
          </w:tcPr>
          <w:p w14:paraId="11DE895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07C8C280">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045C2FE5">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5052A6B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876" w:type="dxa"/>
            <w:tcBorders>
              <w:top w:val="nil"/>
              <w:left w:val="nil"/>
              <w:bottom w:val="single" w:color="auto" w:sz="4" w:space="0"/>
              <w:right w:val="single" w:color="auto" w:sz="4" w:space="0"/>
            </w:tcBorders>
            <w:vAlign w:val="center"/>
          </w:tcPr>
          <w:p w14:paraId="2B956A68">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4E23A7AF">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1751" w:type="dxa"/>
            <w:tcBorders>
              <w:top w:val="nil"/>
              <w:left w:val="nil"/>
              <w:bottom w:val="single" w:color="auto" w:sz="4" w:space="0"/>
              <w:right w:val="single" w:color="auto" w:sz="4" w:space="0"/>
            </w:tcBorders>
            <w:vAlign w:val="center"/>
          </w:tcPr>
          <w:p w14:paraId="243AB757">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500≤Y＜1000</w:t>
            </w:r>
          </w:p>
        </w:tc>
        <w:tc>
          <w:tcPr>
            <w:tcW w:w="1167" w:type="dxa"/>
            <w:tcBorders>
              <w:top w:val="nil"/>
              <w:left w:val="nil"/>
              <w:bottom w:val="single" w:color="auto" w:sz="4" w:space="0"/>
              <w:right w:val="single" w:color="auto" w:sz="4" w:space="0"/>
            </w:tcBorders>
            <w:vAlign w:val="center"/>
          </w:tcPr>
          <w:p w14:paraId="5FAB282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Y＜500</w:t>
            </w:r>
          </w:p>
        </w:tc>
      </w:tr>
      <w:tr w14:paraId="59D5624D">
        <w:tblPrEx>
          <w:tblCellMar>
            <w:top w:w="0" w:type="dxa"/>
            <w:left w:w="108" w:type="dxa"/>
            <w:bottom w:w="0" w:type="dxa"/>
            <w:right w:w="108" w:type="dxa"/>
          </w:tblCellMar>
        </w:tblPrEx>
        <w:trPr>
          <w:trHeight w:val="350" w:hRule="atLeast"/>
        </w:trPr>
        <w:tc>
          <w:tcPr>
            <w:tcW w:w="1726" w:type="dxa"/>
            <w:vMerge w:val="restart"/>
            <w:tcBorders>
              <w:top w:val="nil"/>
              <w:left w:val="single" w:color="auto" w:sz="4" w:space="0"/>
              <w:bottom w:val="single" w:color="auto" w:sz="4" w:space="0"/>
              <w:right w:val="single" w:color="auto" w:sz="4" w:space="0"/>
            </w:tcBorders>
            <w:vAlign w:val="center"/>
          </w:tcPr>
          <w:p w14:paraId="08BCC116">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租赁和商务服务业</w:t>
            </w:r>
          </w:p>
        </w:tc>
        <w:tc>
          <w:tcPr>
            <w:tcW w:w="2042" w:type="dxa"/>
            <w:tcBorders>
              <w:top w:val="nil"/>
              <w:left w:val="nil"/>
              <w:bottom w:val="single" w:color="auto" w:sz="4" w:space="0"/>
              <w:right w:val="single" w:color="auto" w:sz="4" w:space="0"/>
            </w:tcBorders>
            <w:vAlign w:val="center"/>
          </w:tcPr>
          <w:p w14:paraId="409EF3CD">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293A47B6">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02A85B7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751" w:type="dxa"/>
            <w:tcBorders>
              <w:top w:val="nil"/>
              <w:left w:val="nil"/>
              <w:bottom w:val="single" w:color="auto" w:sz="4" w:space="0"/>
              <w:right w:val="single" w:color="auto" w:sz="4" w:space="0"/>
            </w:tcBorders>
            <w:vAlign w:val="center"/>
          </w:tcPr>
          <w:p w14:paraId="09B6D513">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167" w:type="dxa"/>
            <w:tcBorders>
              <w:top w:val="nil"/>
              <w:left w:val="nil"/>
              <w:bottom w:val="single" w:color="auto" w:sz="4" w:space="0"/>
              <w:right w:val="single" w:color="auto" w:sz="4" w:space="0"/>
            </w:tcBorders>
            <w:vAlign w:val="center"/>
          </w:tcPr>
          <w:p w14:paraId="15966A6C">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763E069">
        <w:tblPrEx>
          <w:tblCellMar>
            <w:top w:w="0" w:type="dxa"/>
            <w:left w:w="108" w:type="dxa"/>
            <w:bottom w:w="0" w:type="dxa"/>
            <w:right w:w="108" w:type="dxa"/>
          </w:tblCellMar>
        </w:tblPrEx>
        <w:trPr>
          <w:trHeight w:val="350" w:hRule="atLeast"/>
        </w:trPr>
        <w:tc>
          <w:tcPr>
            <w:tcW w:w="1726" w:type="dxa"/>
            <w:vMerge w:val="continue"/>
            <w:tcBorders>
              <w:top w:val="nil"/>
              <w:left w:val="single" w:color="auto" w:sz="4" w:space="0"/>
              <w:bottom w:val="single" w:color="auto" w:sz="4" w:space="0"/>
              <w:right w:val="single" w:color="auto" w:sz="4" w:space="0"/>
            </w:tcBorders>
            <w:vAlign w:val="center"/>
          </w:tcPr>
          <w:p w14:paraId="5418A001">
            <w:pPr>
              <w:widowControl/>
              <w:spacing w:line="340" w:lineRule="exact"/>
              <w:jc w:val="center"/>
              <w:rPr>
                <w:rFonts w:ascii="宋体" w:hAnsi="宋体" w:cs="宋体"/>
                <w:b/>
                <w:bCs/>
                <w:color w:val="auto"/>
                <w:szCs w:val="21"/>
                <w:highlight w:val="none"/>
              </w:rPr>
            </w:pPr>
          </w:p>
        </w:tc>
        <w:tc>
          <w:tcPr>
            <w:tcW w:w="2042" w:type="dxa"/>
            <w:tcBorders>
              <w:top w:val="nil"/>
              <w:left w:val="nil"/>
              <w:bottom w:val="single" w:color="auto" w:sz="4" w:space="0"/>
              <w:right w:val="single" w:color="auto" w:sz="4" w:space="0"/>
            </w:tcBorders>
            <w:vAlign w:val="center"/>
          </w:tcPr>
          <w:p w14:paraId="47923DB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876" w:type="dxa"/>
            <w:tcBorders>
              <w:top w:val="nil"/>
              <w:left w:val="nil"/>
              <w:bottom w:val="single" w:color="auto" w:sz="4" w:space="0"/>
              <w:right w:val="single" w:color="auto" w:sz="4" w:space="0"/>
            </w:tcBorders>
            <w:vAlign w:val="center"/>
          </w:tcPr>
          <w:p w14:paraId="49F0262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896" w:type="dxa"/>
            <w:tcBorders>
              <w:top w:val="nil"/>
              <w:left w:val="nil"/>
              <w:bottom w:val="single" w:color="auto" w:sz="4" w:space="0"/>
              <w:right w:val="single" w:color="auto" w:sz="4" w:space="0"/>
            </w:tcBorders>
            <w:vAlign w:val="center"/>
          </w:tcPr>
          <w:p w14:paraId="5FF293CF">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8000≤Z＜120000</w:t>
            </w:r>
          </w:p>
        </w:tc>
        <w:tc>
          <w:tcPr>
            <w:tcW w:w="1751" w:type="dxa"/>
            <w:tcBorders>
              <w:top w:val="nil"/>
              <w:left w:val="nil"/>
              <w:bottom w:val="single" w:color="auto" w:sz="4" w:space="0"/>
              <w:right w:val="single" w:color="auto" w:sz="4" w:space="0"/>
            </w:tcBorders>
            <w:vAlign w:val="center"/>
          </w:tcPr>
          <w:p w14:paraId="55CEEF8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100≤Z＜8000</w:t>
            </w:r>
          </w:p>
        </w:tc>
        <w:tc>
          <w:tcPr>
            <w:tcW w:w="1167" w:type="dxa"/>
            <w:tcBorders>
              <w:top w:val="nil"/>
              <w:left w:val="nil"/>
              <w:bottom w:val="single" w:color="auto" w:sz="4" w:space="0"/>
              <w:right w:val="single" w:color="auto" w:sz="4" w:space="0"/>
            </w:tcBorders>
            <w:vAlign w:val="center"/>
          </w:tcPr>
          <w:p w14:paraId="3DED5D02">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26C50609">
        <w:tblPrEx>
          <w:tblCellMar>
            <w:top w:w="0" w:type="dxa"/>
            <w:left w:w="108" w:type="dxa"/>
            <w:bottom w:w="0" w:type="dxa"/>
            <w:right w:w="108" w:type="dxa"/>
          </w:tblCellMar>
        </w:tblPrEx>
        <w:trPr>
          <w:trHeight w:val="480" w:hRule="atLeast"/>
        </w:trPr>
        <w:tc>
          <w:tcPr>
            <w:tcW w:w="1726" w:type="dxa"/>
            <w:tcBorders>
              <w:top w:val="nil"/>
              <w:left w:val="single" w:color="auto" w:sz="4" w:space="0"/>
              <w:bottom w:val="single" w:color="auto" w:sz="4" w:space="0"/>
              <w:right w:val="single" w:color="auto" w:sz="4" w:space="0"/>
            </w:tcBorders>
            <w:vAlign w:val="center"/>
          </w:tcPr>
          <w:p w14:paraId="6B644AF8">
            <w:pPr>
              <w:widowControl/>
              <w:spacing w:line="3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其他未列明行业</w:t>
            </w:r>
          </w:p>
        </w:tc>
        <w:tc>
          <w:tcPr>
            <w:tcW w:w="2042" w:type="dxa"/>
            <w:tcBorders>
              <w:top w:val="nil"/>
              <w:left w:val="nil"/>
              <w:bottom w:val="single" w:color="auto" w:sz="4" w:space="0"/>
              <w:right w:val="single" w:color="auto" w:sz="4" w:space="0"/>
            </w:tcBorders>
            <w:vAlign w:val="center"/>
          </w:tcPr>
          <w:p w14:paraId="70E3C1D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876" w:type="dxa"/>
            <w:tcBorders>
              <w:top w:val="nil"/>
              <w:left w:val="nil"/>
              <w:bottom w:val="single" w:color="auto" w:sz="4" w:space="0"/>
              <w:right w:val="single" w:color="auto" w:sz="4" w:space="0"/>
            </w:tcBorders>
            <w:vAlign w:val="center"/>
          </w:tcPr>
          <w:p w14:paraId="042EC2C4">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896" w:type="dxa"/>
            <w:tcBorders>
              <w:top w:val="nil"/>
              <w:left w:val="nil"/>
              <w:bottom w:val="single" w:color="auto" w:sz="4" w:space="0"/>
              <w:right w:val="single" w:color="auto" w:sz="4" w:space="0"/>
            </w:tcBorders>
            <w:vAlign w:val="center"/>
          </w:tcPr>
          <w:p w14:paraId="3861819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751" w:type="dxa"/>
            <w:tcBorders>
              <w:top w:val="nil"/>
              <w:left w:val="nil"/>
              <w:bottom w:val="single" w:color="auto" w:sz="4" w:space="0"/>
              <w:right w:val="single" w:color="auto" w:sz="4" w:space="0"/>
            </w:tcBorders>
            <w:vAlign w:val="center"/>
          </w:tcPr>
          <w:p w14:paraId="325DB32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167" w:type="dxa"/>
            <w:tcBorders>
              <w:top w:val="nil"/>
              <w:left w:val="nil"/>
              <w:bottom w:val="single" w:color="auto" w:sz="4" w:space="0"/>
              <w:right w:val="single" w:color="auto" w:sz="4" w:space="0"/>
            </w:tcBorders>
            <w:vAlign w:val="center"/>
          </w:tcPr>
          <w:p w14:paraId="5BB246A9">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rPr>
              <w:t>X＜10</w:t>
            </w:r>
          </w:p>
        </w:tc>
      </w:tr>
    </w:tbl>
    <w:p w14:paraId="72E8FE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ascii="宋体" w:hAnsi="宋体" w:cs="宋体"/>
          <w:color w:val="auto"/>
          <w:szCs w:val="21"/>
          <w:highlight w:val="none"/>
        </w:rPr>
        <w:br w:type="page"/>
      </w:r>
    </w:p>
    <w:p w14:paraId="139ADA63">
      <w:pPr>
        <w:spacing w:line="360" w:lineRule="auto"/>
        <w:ind w:firstLine="420" w:firstLineChars="200"/>
        <w:rPr>
          <w:rFonts w:ascii="宋体" w:hAnsi="宋体" w:cs="宋体"/>
          <w:color w:val="auto"/>
          <w:szCs w:val="21"/>
          <w:highlight w:val="none"/>
        </w:rPr>
      </w:pPr>
    </w:p>
    <w:p w14:paraId="1370818B">
      <w:pPr>
        <w:pStyle w:val="17"/>
        <w:spacing w:line="360" w:lineRule="auto"/>
        <w:ind w:firstLine="643" w:firstLineChars="200"/>
        <w:jc w:val="center"/>
        <w:textAlignment w:val="center"/>
        <w:outlineLvl w:val="0"/>
        <w:rPr>
          <w:rFonts w:hAnsi="宋体" w:cs="宋体"/>
          <w:color w:val="auto"/>
          <w:kern w:val="2"/>
          <w:sz w:val="44"/>
          <w:szCs w:val="44"/>
          <w:highlight w:val="none"/>
        </w:rPr>
      </w:pPr>
      <w:bookmarkStart w:id="67" w:name="_Toc7085"/>
      <w:r>
        <w:rPr>
          <w:rFonts w:hint="eastAsia" w:hAnsi="宋体" w:cs="宋体"/>
          <w:b/>
          <w:bCs/>
          <w:color w:val="auto"/>
          <w:kern w:val="2"/>
          <w:sz w:val="32"/>
          <w:szCs w:val="32"/>
          <w:highlight w:val="none"/>
        </w:rPr>
        <w:t>第四章 评审程序、评审方法和评审标准</w:t>
      </w:r>
      <w:bookmarkEnd w:id="67"/>
    </w:p>
    <w:p w14:paraId="22C8C2BC">
      <w:pPr>
        <w:pStyle w:val="4"/>
        <w:spacing w:before="0" w:after="0" w:line="360" w:lineRule="auto"/>
        <w:jc w:val="center"/>
        <w:rPr>
          <w:rFonts w:ascii="宋体" w:hAnsi="宋体" w:cs="宋体"/>
          <w:bCs w:val="0"/>
          <w:color w:val="auto"/>
          <w:sz w:val="28"/>
          <w:szCs w:val="28"/>
          <w:highlight w:val="none"/>
        </w:rPr>
      </w:pPr>
      <w:bookmarkStart w:id="68" w:name="_Toc15394"/>
      <w:r>
        <w:rPr>
          <w:rFonts w:hint="eastAsia" w:ascii="宋体" w:hAnsi="宋体" w:cs="宋体"/>
          <w:bCs w:val="0"/>
          <w:color w:val="auto"/>
          <w:sz w:val="28"/>
          <w:szCs w:val="28"/>
          <w:highlight w:val="none"/>
        </w:rPr>
        <w:t>第一节 评审程序和评审方法</w:t>
      </w:r>
      <w:bookmarkEnd w:id="68"/>
    </w:p>
    <w:p w14:paraId="2CC3F205">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1A937B64">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由磋商小组确认磋商文件。</w:t>
      </w:r>
    </w:p>
    <w:p w14:paraId="097D9948">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2ACEFF0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2.1响应文件开启后，磋商小组依法对供应商的资格证明文件进行审查。</w:t>
      </w:r>
    </w:p>
    <w:p w14:paraId="4A316D6E">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注：采购人代表或者采购代理机构在资格审查结束前，对供应商进行信用查询。</w:t>
      </w:r>
    </w:p>
    <w:p w14:paraId="3370CDD8">
      <w:pPr>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5"/>
          <w:rFonts w:hint="eastAsia" w:ascii="宋体" w:hAnsi="宋体" w:cs="宋体"/>
          <w:color w:val="auto"/>
          <w:sz w:val="24"/>
          <w:highlight w:val="none"/>
          <w:u w:val="none"/>
        </w:rPr>
        <w:t>www.creditchina.gov.cn</w:t>
      </w:r>
      <w:r>
        <w:rPr>
          <w:rStyle w:val="35"/>
          <w:rFonts w:hint="eastAsia" w:ascii="宋体" w:hAnsi="宋体" w:cs="宋体"/>
          <w:color w:val="auto"/>
          <w:sz w:val="24"/>
          <w:highlight w:val="none"/>
          <w:u w:val="none"/>
        </w:rPr>
        <w:fldChar w:fldCharType="end"/>
      </w:r>
      <w:r>
        <w:rPr>
          <w:rFonts w:hint="eastAsia" w:ascii="宋体" w:hAnsi="宋体" w:cs="宋体"/>
          <w:color w:val="auto"/>
          <w:sz w:val="24"/>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5"/>
          <w:rFonts w:hint="eastAsia" w:ascii="宋体" w:hAnsi="宋体" w:cs="宋体"/>
          <w:color w:val="auto"/>
          <w:sz w:val="24"/>
          <w:highlight w:val="none"/>
          <w:u w:val="none"/>
        </w:rPr>
        <w:t>www.ccgp.gov.cn</w:t>
      </w:r>
      <w:r>
        <w:rPr>
          <w:rStyle w:val="35"/>
          <w:rFonts w:hint="eastAsia" w:ascii="宋体" w:hAnsi="宋体" w:cs="宋体"/>
          <w:color w:val="auto"/>
          <w:sz w:val="24"/>
          <w:highlight w:val="none"/>
          <w:u w:val="none"/>
        </w:rPr>
        <w:fldChar w:fldCharType="end"/>
      </w:r>
      <w:r>
        <w:rPr>
          <w:rFonts w:hint="eastAsia" w:ascii="宋体" w:hAnsi="宋体" w:cs="宋体"/>
          <w:color w:val="auto"/>
          <w:sz w:val="24"/>
          <w:highlight w:val="none"/>
        </w:rPr>
        <w:t>）链接入口。</w:t>
      </w:r>
    </w:p>
    <w:p w14:paraId="7C8D4F2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2E03A92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查询记录和证据留存方式：在查询网站中直接打印查询记录，截图另存为电子文档作为评审资料保存。</w:t>
      </w:r>
    </w:p>
    <w:p w14:paraId="1E478E6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信用信息使用规则：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0F5A7C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2.2资格审查标准为本磋商文件中载明对供应商资格要求的条件。资格审查采用合格制，凡符合磋商文件规定的供应商资格要求的响应文件均通过资格审查。</w:t>
      </w:r>
    </w:p>
    <w:p w14:paraId="29D8398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2.3供应商有下列情形之一的，资格审查不通过，其响应文件按无效响应处理：</w:t>
      </w:r>
    </w:p>
    <w:p w14:paraId="2E14B76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0E0FB9D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（2）响应文件未提供任一项“供应商须知前附表”资格证明文件规定的“必须提供”的文件资料的；</w:t>
      </w:r>
    </w:p>
    <w:p w14:paraId="4E64BD16">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（3）响应文件提供的资格证明文件出现任一项不符合“供应商须知前附表”资格证明文件规定的“必须提供”的文件资料要求或者无效的。</w:t>
      </w:r>
    </w:p>
    <w:p w14:paraId="567DCC91">
      <w:pPr>
        <w:spacing w:line="430" w:lineRule="exact"/>
        <w:ind w:firstLine="480" w:firstLineChars="200"/>
        <w:rPr>
          <w:rFonts w:ascii="宋体" w:hAnsi="宋体" w:cs="宋体"/>
          <w:color w:val="auto"/>
          <w:sz w:val="24"/>
          <w:highlight w:val="none"/>
        </w:rPr>
      </w:pPr>
      <w:bookmarkStart w:id="69" w:name="_Hlk68601553"/>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69"/>
    </w:p>
    <w:p w14:paraId="5BA37A2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2.4通过资格审查的合格供应商不足3家的，不得进入符合性审查环节，采购人或者采购代理机构应当重新开展采购活动。</w:t>
      </w:r>
    </w:p>
    <w:p w14:paraId="196E7C3B">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7311AFC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3.1由磋商小组对通过资格审查的合格供应商的响应文件的响应报价、商务、技术等实质性要求进行符合性审查，以确定其是否满足磋商文件的实质性要求。</w:t>
      </w:r>
    </w:p>
    <w:p w14:paraId="4092F7F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E4324D">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3B92AE6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3.4首次响应文件报价出现前后不一致的，按照下列规定修正： </w:t>
      </w:r>
    </w:p>
    <w:p w14:paraId="7701E904">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5034A1F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711E107C">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44F727B2">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13AF9B0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632FA5F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14:paraId="6A5AB81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在评审时，如发现下列情形之一的，将被视为响应文件无效处理：</w:t>
      </w:r>
    </w:p>
    <w:p w14:paraId="78B50EA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2C8916C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4C8743B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2）委托代理人未能出具有效身份证明或者出具的身份证明与授权委托书中的信息不符； </w:t>
      </w:r>
    </w:p>
    <w:p w14:paraId="51C0F10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3）响应文件未提供任一项“供应商须知前附表” 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3D70140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4）商务条款中标“▲”的条款发生负偏离的或者允许负偏离的条款数超过“供应商须知前附表”规定项数的或者标明实质性的要求发生负偏离；</w:t>
      </w:r>
    </w:p>
    <w:p w14:paraId="4D74F04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5）未对磋商有效期作出响应或者响应文件承诺的磋商有效期不满足磋商文件要求；</w:t>
      </w:r>
    </w:p>
    <w:p w14:paraId="3267102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6）响应文件的实质性内容未使用中文表述、使用计量单位不符合磋商文件要求；</w:t>
      </w:r>
    </w:p>
    <w:p w14:paraId="4BBFB48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7）响应文件中的文件资料因填写不齐全或者内容虚假或者出现其他情形而导致被磋商小组认定无效；</w:t>
      </w:r>
    </w:p>
    <w:p w14:paraId="4AADD5F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8）响应文件含有采购人不能接受的附加条件；</w:t>
      </w:r>
    </w:p>
    <w:p w14:paraId="229F0D2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9）属于“供应商须知正文”第7.5条情形；</w:t>
      </w:r>
    </w:p>
    <w:p w14:paraId="74F0A8F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10）技术需求允许负偏离的条款数超过“供应商须知前附表”规定项数；</w:t>
      </w:r>
    </w:p>
    <w:p w14:paraId="4FD7D4A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11）虚假竞标，或者出现其他情形而导致被磋商小组认定无效；</w:t>
      </w:r>
    </w:p>
    <w:p w14:paraId="3BEFB55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12）竞标技术方案不明确，磋商文件未允许但响应文件中存在一个或者一个以上备选（替代）竞标方案；</w:t>
      </w:r>
    </w:p>
    <w:p w14:paraId="6CAA4B3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13）响应文件标注的项目名称或者项目编号与竞争性磋商文件标注的项目名称或者项目编号不一致的；</w:t>
      </w:r>
    </w:p>
    <w:p w14:paraId="7B4639C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14）未响应磋商文件实质性要求；</w:t>
      </w:r>
    </w:p>
    <w:p w14:paraId="5669757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15）法律、法规和磋商文件规定的其他无效情形。</w:t>
      </w:r>
    </w:p>
    <w:p w14:paraId="1DC776AC">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6C6C84B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1）响应文件未提供“供应商须知前附表”报价文件中规定的“报价函及报价函附录”；</w:t>
      </w:r>
    </w:p>
    <w:p w14:paraId="19D78672">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06F0E03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80B3C0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6A3659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F0E7DF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6）响应文件响应的标的数量及单位与竞争性磋商采购文件要求实质性不一致的。</w:t>
      </w:r>
    </w:p>
    <w:p w14:paraId="27936A7C">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C54DE6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D48CAE4">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0EEE84E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176613C">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71570D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4.3对磋商文件作出的实质性变动是磋商文件的有效组成部分，由磋商小组及时以电子澄清函形式同时通知所有参加磋商的供应商。</w:t>
      </w:r>
    </w:p>
    <w:p w14:paraId="30D90B6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2E4DF4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4.5磋商中，磋商的任何一方不得透露与磋商有关的其他供应商的技术资料、价格和其他信息。</w:t>
      </w:r>
    </w:p>
    <w:p w14:paraId="42D88B9E">
      <w:pPr>
        <w:widowControl/>
        <w:tabs>
          <w:tab w:val="left" w:pos="540"/>
        </w:tabs>
        <w:spacing w:line="43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4.6磋商小组应对磋商过程和重要磋商内容进行记录，作为评标报告一部分，磋商小组在记录上签字确认。</w:t>
      </w:r>
      <w:r>
        <w:rPr>
          <w:rFonts w:hint="eastAsia" w:ascii="宋体" w:hAnsi="宋体" w:cs="宋体"/>
          <w:b/>
          <w:color w:val="auto"/>
          <w:sz w:val="24"/>
          <w:highlight w:val="none"/>
        </w:rPr>
        <w:t>主要内容包括：</w:t>
      </w:r>
    </w:p>
    <w:p w14:paraId="3A32BE72">
      <w:pPr>
        <w:pStyle w:val="76"/>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（1）按照相关规定进行公示的，公示情况说明；</w:t>
      </w:r>
    </w:p>
    <w:p w14:paraId="3FB8F87F">
      <w:pPr>
        <w:pStyle w:val="76"/>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（2）磋商日期和地点，磋商人员名单；</w:t>
      </w:r>
    </w:p>
    <w:p w14:paraId="3D332891">
      <w:pPr>
        <w:pStyle w:val="76"/>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（3）合同主要条款及价格商定情况。</w:t>
      </w:r>
    </w:p>
    <w:p w14:paraId="32055F3A">
      <w:pPr>
        <w:widowControl/>
        <w:tabs>
          <w:tab w:val="left" w:pos="540"/>
        </w:tabs>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4.7磋商过程中重新提交的响应文件，供应商可以在开启前补充、修改。</w:t>
      </w:r>
    </w:p>
    <w:p w14:paraId="5D7FCCE5">
      <w:pPr>
        <w:tabs>
          <w:tab w:val="left" w:pos="2835"/>
        </w:tabs>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6DD13515">
      <w:pPr>
        <w:spacing w:line="43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5.竞标报价</w:t>
      </w:r>
    </w:p>
    <w:p w14:paraId="109BB23B">
      <w:pPr>
        <w:spacing w:line="43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5.1本工程竞标报价采用工程量清单报价。工程量按实际结算。供应商应就本项目作完整唯一报价。</w:t>
      </w:r>
    </w:p>
    <w:p w14:paraId="49793C8D">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本工程采用固定综合单价承包，竞标报价为供应商在响应文件中提出的各项支付金额的总和。供应商工程量清单中原有项目的工程量无论增减多少，均按原单价结算，承包人必须按发包人的指令完成施工，不得以任何理由拒绝，否则视为违约，供应商应在报价中考虑由工程量变化带来的风险。</w:t>
      </w:r>
    </w:p>
    <w:p w14:paraId="426C80B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供应商所填报的各项综合单价中的各种材料单价及综合单价，在合同实施期间不因市场价格变化因素而变动,供应商所填报的单价及综合单价在合同实施期间在任何情况下不再作调整（工程变更、本工程约定的材料价格风险及政策性调整除外），供应商在报价时应考虑各种风险因素和自己的承受能力。</w:t>
      </w:r>
    </w:p>
    <w:p w14:paraId="608DBFFD">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5.1.3本合同实施期间因设计变更引起工程项目、工程量变化的，其工程量按实际发生并经监理工程师及发包人签证认可，变更合同价款按下列方法进行：</w:t>
      </w:r>
    </w:p>
    <w:p w14:paraId="1BC3D3F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（1）合同中已有适用于变更工程的价格，按合同已有的价格变更合同价款；</w:t>
      </w:r>
    </w:p>
    <w:p w14:paraId="1DB4CC7B">
      <w:pPr>
        <w:spacing w:line="43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（2）合同中只有类似于变更工程的价格，可以参照类似价格变更合同价款；</w:t>
      </w:r>
    </w:p>
    <w:p w14:paraId="3395A03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合同中没有适用或类似于变更工程的价格，则有定额的套定额计算（土石方除外），执行本工程竞标报价的计算及结算依据并乘以下浮系数（成交价/工程预算控制价）计算，其中材料价格有信息价的按施工期间的信息价进行计算，无信息的按市场价；新增项目无定额可套的，由发包人、承包人及监理根据市场价格协商确定。</w:t>
      </w:r>
    </w:p>
    <w:p w14:paraId="04EB521D">
      <w:pPr>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本工程最终结算以财政审计部门审定为准。</w:t>
      </w:r>
    </w:p>
    <w:p w14:paraId="04E263D6">
      <w:pPr>
        <w:spacing w:line="430" w:lineRule="exact"/>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5.2本项目采用多次报价方式，作最终报价时，供应商的最终报价如有变动，则必须以完整的工程量清单报价表的格式（按磋商文件中的相关规定签字盖章）编制提交，供应商须提前做好相关准备并按时递交最终报价文件，否则按竞标无效处理。</w:t>
      </w:r>
    </w:p>
    <w:p w14:paraId="41376AC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5.3竞标货币</w:t>
      </w:r>
    </w:p>
    <w:p w14:paraId="145FBE9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响应文件中的报价全部采用人民币表示。</w:t>
      </w:r>
    </w:p>
    <w:p w14:paraId="3014C782">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A43E07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5.5已经提交响应文件的供应商，在提交最后报价之前，可以根据磋商情况退出磋商，退出磋商的供应商的响应文件按无效响应处理。</w:t>
      </w:r>
    </w:p>
    <w:p w14:paraId="70A429C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5.6供应商未在规定时间内提交最后报价的，视同退出磋商。</w:t>
      </w:r>
    </w:p>
    <w:p w14:paraId="3F62D37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5.7磋商小组收齐某一分标最后报价后统一开启，磋商小组对最后报价进行有效性、完整性和响应程度的审查。</w:t>
      </w:r>
    </w:p>
    <w:p w14:paraId="3E23C6DD">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5.8最终响应文件的报价出现前后不一致的，按照本章第3.4条的规定修正。 </w:t>
      </w:r>
    </w:p>
    <w:p w14:paraId="20761A3E">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5.9修正后的最终报价出现下列情形的，按无效响应处理：</w:t>
      </w:r>
    </w:p>
    <w:p w14:paraId="04015AEC">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（1）供应商不确认的（全流程电子化评标采取在线确认）；</w:t>
      </w:r>
    </w:p>
    <w:p w14:paraId="07DCCB7C">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（2）经供应商确认修正后的响应报价（包含首次报价、最后报价）超过所竞标分标规定的采购预算金额或者最高限价的（如本项目公布了最高限价）；</w:t>
      </w:r>
    </w:p>
    <w:p w14:paraId="05641A1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（3）经供应商确认修正后的响应报价（包含首次报价、最后报价）超过分项采购预算金额或者最高限价的（如本项目公布了最高限价）。</w:t>
      </w:r>
    </w:p>
    <w:p w14:paraId="0B4F41F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5.10经供应商确认修正后的最后报价作为评审及签订合同的依据。</w:t>
      </w:r>
    </w:p>
    <w:p w14:paraId="2F9DEAD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5.11供应商出现最后报价按无效响应处理或者响应文件按无效处理时，磋商小组应当告知有关供应商。</w:t>
      </w:r>
    </w:p>
    <w:p w14:paraId="1A22A96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5.12最后报价结束后，磋商小组不得再与供应商进行任何形式的商谈。</w:t>
      </w:r>
    </w:p>
    <w:p w14:paraId="3DD18C07">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34462A62">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6.1评审方法：综合评分法。</w:t>
      </w:r>
    </w:p>
    <w:p w14:paraId="7F7E1AE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6.2经磋商确定最终提交最后报价的供应商后，由磋商小组采用综合评分法对提交最后报价的供应商的响应文件和最后报价进行综合评分。</w:t>
      </w:r>
    </w:p>
    <w:p w14:paraId="04319D3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6.3评审时，磋商小组各成员应当独立对每个有效响应的文件进行评价、打分，然后汇总每个供应商每项评分因素的得分。</w:t>
      </w:r>
    </w:p>
    <w:p w14:paraId="0632E04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14:paraId="2E8E1CC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14:paraId="3E229A8E">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14:paraId="1CD295B4">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252F731E">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5F0839">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7F0BAFEC">
      <w:pPr>
        <w:spacing w:line="43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7.1评审依据：磋商小组将以磋商响应文件为评审依据，对供应商的报价、技术、商务等方面内容按百分制打分。（计分方法按四舍五入取至百分位）</w:t>
      </w:r>
    </w:p>
    <w:p w14:paraId="2CF019ED">
      <w:pPr>
        <w:spacing w:line="43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总得分=1+2+3</w:t>
      </w:r>
    </w:p>
    <w:p w14:paraId="193A1E8C">
      <w:pPr>
        <w:spacing w:line="440" w:lineRule="exact"/>
        <w:ind w:firstLine="480" w:firstLineChars="200"/>
        <w:jc w:val="center"/>
        <w:rPr>
          <w:rFonts w:ascii="宋体" w:hAnsi="宋体" w:cs="宋体"/>
          <w:bCs/>
          <w:color w:val="auto"/>
          <w:szCs w:val="21"/>
          <w:highlight w:val="none"/>
        </w:rPr>
      </w:pPr>
      <w:bookmarkStart w:id="70" w:name="PO_TDCUS_ITEM_SM_TITLE_1"/>
      <w:r>
        <w:rPr>
          <w:rFonts w:hint="eastAsia" w:ascii="宋体" w:hAnsi="宋体" w:cs="宋体"/>
          <w:bCs/>
          <w:color w:val="auto"/>
          <w:sz w:val="24"/>
          <w:highlight w:val="none"/>
        </w:rPr>
        <w:br w:type="page"/>
      </w:r>
      <w:r>
        <w:rPr>
          <w:rFonts w:hint="eastAsia" w:ascii="宋体" w:hAnsi="宋体" w:cs="宋体"/>
          <w:b/>
          <w:color w:val="auto"/>
          <w:sz w:val="28"/>
          <w:szCs w:val="28"/>
          <w:highlight w:val="none"/>
        </w:rPr>
        <w:t>评分方法</w:t>
      </w:r>
      <w:bookmarkEnd w:id="70"/>
      <w:bookmarkStart w:id="71" w:name="PO_TDCUS_ITEM_SM_TABLE_1"/>
    </w:p>
    <w:tbl>
      <w:tblPr>
        <w:tblStyle w:val="29"/>
        <w:tblW w:w="9700" w:type="dxa"/>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404"/>
        <w:gridCol w:w="7677"/>
      </w:tblGrid>
      <w:tr w14:paraId="1627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noWrap w:val="0"/>
            <w:vAlign w:val="top"/>
          </w:tcPr>
          <w:p w14:paraId="08EC988D">
            <w:pPr>
              <w:spacing w:line="360" w:lineRule="auto"/>
              <w:jc w:val="center"/>
              <w:rPr>
                <w:rFonts w:ascii="宋体" w:hAnsi="宋体"/>
                <w:bCs/>
                <w:color w:val="auto"/>
                <w:sz w:val="20"/>
                <w:szCs w:val="20"/>
                <w:highlight w:val="none"/>
              </w:rPr>
            </w:pPr>
            <w:r>
              <w:rPr>
                <w:rFonts w:hint="eastAsia" w:ascii="宋体" w:hAnsi="宋体"/>
                <w:bCs/>
                <w:color w:val="auto"/>
                <w:sz w:val="20"/>
                <w:szCs w:val="20"/>
                <w:highlight w:val="none"/>
              </w:rPr>
              <w:t>序号</w:t>
            </w:r>
          </w:p>
        </w:tc>
        <w:tc>
          <w:tcPr>
            <w:tcW w:w="1404" w:type="dxa"/>
            <w:noWrap w:val="0"/>
            <w:vAlign w:val="top"/>
          </w:tcPr>
          <w:p w14:paraId="07DFC472">
            <w:pPr>
              <w:spacing w:line="360" w:lineRule="auto"/>
              <w:jc w:val="center"/>
              <w:rPr>
                <w:rFonts w:ascii="宋体" w:hAnsi="宋体"/>
                <w:bCs/>
                <w:color w:val="auto"/>
                <w:sz w:val="20"/>
                <w:szCs w:val="20"/>
                <w:highlight w:val="none"/>
              </w:rPr>
            </w:pPr>
            <w:r>
              <w:rPr>
                <w:rFonts w:hint="eastAsia" w:ascii="宋体" w:hAnsi="宋体"/>
                <w:bCs/>
                <w:color w:val="auto"/>
                <w:sz w:val="20"/>
                <w:szCs w:val="20"/>
                <w:highlight w:val="none"/>
              </w:rPr>
              <w:t>评分类型</w:t>
            </w:r>
          </w:p>
        </w:tc>
        <w:tc>
          <w:tcPr>
            <w:tcW w:w="7677" w:type="dxa"/>
            <w:noWrap w:val="0"/>
            <w:vAlign w:val="top"/>
          </w:tcPr>
          <w:p w14:paraId="18CA0E5D">
            <w:pPr>
              <w:spacing w:line="360" w:lineRule="auto"/>
              <w:jc w:val="center"/>
              <w:rPr>
                <w:rFonts w:ascii="宋体" w:hAnsi="宋体"/>
                <w:bCs/>
                <w:color w:val="auto"/>
                <w:sz w:val="20"/>
                <w:szCs w:val="20"/>
                <w:highlight w:val="none"/>
              </w:rPr>
            </w:pPr>
            <w:r>
              <w:rPr>
                <w:rFonts w:hint="eastAsia" w:ascii="宋体" w:hAnsi="宋体"/>
                <w:bCs/>
                <w:color w:val="auto"/>
                <w:sz w:val="20"/>
                <w:szCs w:val="20"/>
                <w:highlight w:val="none"/>
              </w:rPr>
              <w:t>评分标准</w:t>
            </w:r>
          </w:p>
        </w:tc>
      </w:tr>
      <w:tr w14:paraId="19CF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noWrap w:val="0"/>
            <w:vAlign w:val="top"/>
          </w:tcPr>
          <w:p w14:paraId="6EBC27B4">
            <w:pPr>
              <w:spacing w:line="360" w:lineRule="auto"/>
              <w:rPr>
                <w:rFonts w:ascii="宋体" w:hAnsi="宋体"/>
                <w:bCs/>
                <w:color w:val="auto"/>
                <w:sz w:val="20"/>
                <w:szCs w:val="20"/>
                <w:highlight w:val="none"/>
              </w:rPr>
            </w:pPr>
            <w:r>
              <w:rPr>
                <w:rFonts w:hint="eastAsia" w:ascii="宋体" w:hAnsi="宋体"/>
                <w:bCs/>
                <w:color w:val="auto"/>
                <w:sz w:val="20"/>
                <w:szCs w:val="20"/>
                <w:highlight w:val="none"/>
              </w:rPr>
              <w:t>1</w:t>
            </w:r>
          </w:p>
        </w:tc>
        <w:tc>
          <w:tcPr>
            <w:tcW w:w="1404" w:type="dxa"/>
            <w:noWrap w:val="0"/>
            <w:vAlign w:val="center"/>
          </w:tcPr>
          <w:p w14:paraId="54FA981E">
            <w:pPr>
              <w:spacing w:line="240" w:lineRule="atLeast"/>
              <w:jc w:val="center"/>
              <w:rPr>
                <w:rFonts w:hint="eastAsia" w:ascii="宋体" w:hAnsi="宋体" w:cs="宋体"/>
                <w:color w:val="auto"/>
                <w:sz w:val="20"/>
                <w:szCs w:val="20"/>
                <w:highlight w:val="none"/>
                <w:lang w:bidi="ar"/>
              </w:rPr>
            </w:pPr>
            <w:r>
              <w:rPr>
                <w:rFonts w:hint="eastAsia" w:ascii="宋体" w:hAnsi="宋体" w:cs="宋体"/>
                <w:color w:val="auto"/>
                <w:sz w:val="20"/>
                <w:szCs w:val="20"/>
                <w:highlight w:val="none"/>
                <w:lang w:bidi="ar"/>
              </w:rPr>
              <w:t>价格分</w:t>
            </w:r>
          </w:p>
          <w:p w14:paraId="08D1EEA5">
            <w:pPr>
              <w:spacing w:line="360" w:lineRule="auto"/>
              <w:jc w:val="center"/>
              <w:rPr>
                <w:rFonts w:ascii="宋体" w:hAnsi="宋体"/>
                <w:bCs/>
                <w:color w:val="auto"/>
                <w:sz w:val="20"/>
                <w:szCs w:val="20"/>
                <w:highlight w:val="none"/>
              </w:rPr>
            </w:pPr>
            <w:r>
              <w:rPr>
                <w:rFonts w:hint="eastAsia" w:ascii="宋体" w:hAnsi="宋体" w:cs="宋体"/>
                <w:color w:val="auto"/>
                <w:sz w:val="20"/>
                <w:szCs w:val="20"/>
                <w:highlight w:val="none"/>
                <w:lang w:bidi="ar"/>
              </w:rPr>
              <w:t>（满分</w:t>
            </w:r>
            <w:r>
              <w:rPr>
                <w:rFonts w:hint="eastAsia" w:ascii="宋体" w:hAnsi="宋体" w:cs="宋体"/>
                <w:color w:val="auto"/>
                <w:sz w:val="20"/>
                <w:szCs w:val="20"/>
                <w:highlight w:val="none"/>
                <w:lang w:val="en-US" w:eastAsia="zh-CN" w:bidi="ar"/>
              </w:rPr>
              <w:t>20</w:t>
            </w:r>
            <w:r>
              <w:rPr>
                <w:rFonts w:hint="eastAsia" w:ascii="宋体" w:hAnsi="宋体" w:cs="宋体"/>
                <w:color w:val="auto"/>
                <w:sz w:val="20"/>
                <w:szCs w:val="20"/>
                <w:highlight w:val="none"/>
                <w:lang w:bidi="ar"/>
              </w:rPr>
              <w:t>分）</w:t>
            </w:r>
          </w:p>
        </w:tc>
        <w:tc>
          <w:tcPr>
            <w:tcW w:w="7677" w:type="dxa"/>
            <w:noWrap w:val="0"/>
            <w:vAlign w:val="top"/>
          </w:tcPr>
          <w:p w14:paraId="1F609CB8">
            <w:pPr>
              <w:spacing w:line="400" w:lineRule="exact"/>
              <w:rPr>
                <w:rFonts w:ascii="宋体" w:hAnsi="宋体" w:cs="宋体"/>
                <w:color w:val="auto"/>
                <w:sz w:val="20"/>
                <w:szCs w:val="20"/>
                <w:highlight w:val="none"/>
              </w:rPr>
            </w:pPr>
            <w:r>
              <w:rPr>
                <w:rFonts w:hint="eastAsia" w:ascii="宋体" w:hAnsi="宋体" w:cs="宋体"/>
                <w:bCs/>
                <w:color w:val="auto"/>
                <w:sz w:val="20"/>
                <w:szCs w:val="20"/>
                <w:highlight w:val="none"/>
              </w:rPr>
              <w:t>1.</w:t>
            </w:r>
            <w:r>
              <w:rPr>
                <w:rFonts w:hint="eastAsia" w:ascii="宋体" w:hAnsi="宋体" w:cs="宋体"/>
                <w:color w:val="auto"/>
                <w:sz w:val="20"/>
                <w:szCs w:val="20"/>
                <w:highlight w:val="none"/>
              </w:rPr>
              <w:t>评审报价为供应商的最后报价进行政策性扣除后的价格，评审报价只是作为评审时使用。最终成交供应商的成交金额等于最后报价（如有修正，以确认修正后的最后报价为准）。</w:t>
            </w:r>
          </w:p>
          <w:p w14:paraId="32870A27">
            <w:pPr>
              <w:pStyle w:val="17"/>
              <w:spacing w:line="400" w:lineRule="exact"/>
              <w:ind w:left="0" w:leftChars="0" w:firstLine="0" w:firstLineChars="0"/>
              <w:rPr>
                <w:rFonts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2.价格分计算公式：</w:t>
            </w:r>
          </w:p>
          <w:p w14:paraId="6E95F169">
            <w:pPr>
              <w:spacing w:line="360" w:lineRule="auto"/>
              <w:rPr>
                <w:rFonts w:ascii="宋体" w:hAnsi="宋体"/>
                <w:bCs/>
                <w:color w:val="auto"/>
                <w:sz w:val="20"/>
                <w:szCs w:val="20"/>
                <w:highlight w:val="none"/>
              </w:rPr>
            </w:pPr>
            <w:r>
              <w:rPr>
                <w:rFonts w:hint="eastAsia" w:ascii="宋体" w:hAnsi="宋体" w:cs="宋体"/>
                <w:bCs/>
                <w:color w:val="auto"/>
                <w:sz w:val="20"/>
                <w:szCs w:val="20"/>
                <w:highlight w:val="none"/>
              </w:rPr>
              <w:t>报价得分=（基准价/最终报价）×</w:t>
            </w:r>
            <w:r>
              <w:rPr>
                <w:rFonts w:hint="eastAsia" w:ascii="宋体" w:hAnsi="宋体" w:cs="宋体"/>
                <w:bCs/>
                <w:color w:val="auto"/>
                <w:sz w:val="20"/>
                <w:szCs w:val="20"/>
                <w:highlight w:val="none"/>
                <w:u w:val="single"/>
                <w:lang w:val="en-US" w:eastAsia="zh-CN"/>
              </w:rPr>
              <w:t>20</w:t>
            </w:r>
            <w:r>
              <w:rPr>
                <w:rFonts w:hint="eastAsia" w:ascii="宋体" w:hAnsi="宋体" w:cs="宋体"/>
                <w:bCs/>
                <w:color w:val="auto"/>
                <w:sz w:val="20"/>
                <w:szCs w:val="20"/>
                <w:highlight w:val="none"/>
                <w:u w:val="single"/>
              </w:rPr>
              <w:t>分</w:t>
            </w:r>
          </w:p>
        </w:tc>
      </w:tr>
      <w:tr w14:paraId="637F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9" w:type="dxa"/>
            <w:noWrap w:val="0"/>
            <w:vAlign w:val="top"/>
          </w:tcPr>
          <w:p w14:paraId="0C0F27D8">
            <w:pPr>
              <w:spacing w:line="360" w:lineRule="auto"/>
              <w:rPr>
                <w:rFonts w:hint="eastAsia" w:ascii="宋体" w:hAnsi="宋体" w:eastAsia="宋体"/>
                <w:bCs/>
                <w:color w:val="auto"/>
                <w:sz w:val="20"/>
                <w:szCs w:val="20"/>
                <w:highlight w:val="none"/>
                <w:lang w:eastAsia="zh-CN"/>
              </w:rPr>
            </w:pPr>
            <w:r>
              <w:rPr>
                <w:rFonts w:hint="eastAsia" w:ascii="宋体" w:hAnsi="宋体"/>
                <w:bCs/>
                <w:color w:val="auto"/>
                <w:sz w:val="20"/>
                <w:szCs w:val="20"/>
                <w:highlight w:val="none"/>
                <w:lang w:val="en-US" w:eastAsia="zh-CN"/>
              </w:rPr>
              <w:t>2</w:t>
            </w:r>
          </w:p>
        </w:tc>
        <w:tc>
          <w:tcPr>
            <w:tcW w:w="9081" w:type="dxa"/>
            <w:gridSpan w:val="2"/>
            <w:noWrap w:val="0"/>
            <w:vAlign w:val="top"/>
          </w:tcPr>
          <w:p w14:paraId="5DC410D6">
            <w:pPr>
              <w:spacing w:line="360" w:lineRule="auto"/>
              <w:rPr>
                <w:rFonts w:ascii="宋体" w:hAnsi="宋体"/>
                <w:bCs/>
                <w:color w:val="auto"/>
                <w:sz w:val="20"/>
                <w:szCs w:val="20"/>
                <w:highlight w:val="none"/>
              </w:rPr>
            </w:pPr>
            <w:r>
              <w:rPr>
                <w:rFonts w:hint="eastAsia" w:ascii="宋体" w:hAnsi="宋体"/>
                <w:bCs/>
                <w:color w:val="auto"/>
                <w:sz w:val="20"/>
                <w:szCs w:val="20"/>
                <w:highlight w:val="none"/>
              </w:rPr>
              <w:t>技术分：施工组织设计方案分（满分63分）</w:t>
            </w:r>
          </w:p>
        </w:tc>
      </w:tr>
      <w:tr w14:paraId="7BAB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19" w:type="dxa"/>
            <w:noWrap w:val="0"/>
            <w:vAlign w:val="top"/>
          </w:tcPr>
          <w:p w14:paraId="2BE01052">
            <w:pPr>
              <w:spacing w:line="360" w:lineRule="auto"/>
              <w:rPr>
                <w:rFonts w:ascii="宋体" w:hAnsi="宋体"/>
                <w:bCs/>
                <w:color w:val="auto"/>
                <w:sz w:val="20"/>
                <w:szCs w:val="20"/>
                <w:highlight w:val="none"/>
              </w:rPr>
            </w:pPr>
            <w:r>
              <w:rPr>
                <w:rFonts w:hint="eastAsia" w:ascii="宋体" w:hAnsi="宋体"/>
                <w:bCs/>
                <w:color w:val="auto"/>
                <w:sz w:val="20"/>
                <w:szCs w:val="20"/>
                <w:highlight w:val="none"/>
                <w:lang w:val="en-US" w:eastAsia="zh-CN"/>
              </w:rPr>
              <w:t>2</w:t>
            </w:r>
            <w:r>
              <w:rPr>
                <w:rFonts w:hint="eastAsia" w:ascii="宋体" w:hAnsi="宋体"/>
                <w:bCs/>
                <w:color w:val="auto"/>
                <w:sz w:val="20"/>
                <w:szCs w:val="20"/>
                <w:highlight w:val="none"/>
              </w:rPr>
              <w:t>.1</w:t>
            </w:r>
          </w:p>
        </w:tc>
        <w:tc>
          <w:tcPr>
            <w:tcW w:w="1404" w:type="dxa"/>
            <w:noWrap w:val="0"/>
            <w:vAlign w:val="center"/>
          </w:tcPr>
          <w:p w14:paraId="4BAAF822">
            <w:pPr>
              <w:spacing w:line="360" w:lineRule="auto"/>
              <w:jc w:val="center"/>
              <w:rPr>
                <w:rFonts w:ascii="宋体" w:hAnsi="宋体"/>
                <w:bCs/>
                <w:color w:val="auto"/>
                <w:sz w:val="20"/>
                <w:szCs w:val="20"/>
                <w:highlight w:val="none"/>
              </w:rPr>
            </w:pPr>
            <w:r>
              <w:rPr>
                <w:rFonts w:hint="eastAsia" w:ascii="宋体" w:hAnsi="宋体"/>
                <w:color w:val="auto"/>
                <w:sz w:val="20"/>
                <w:szCs w:val="20"/>
                <w:highlight w:val="none"/>
              </w:rPr>
              <w:t>施工组织技术方案</w:t>
            </w:r>
          </w:p>
        </w:tc>
        <w:tc>
          <w:tcPr>
            <w:tcW w:w="7677" w:type="dxa"/>
            <w:noWrap w:val="0"/>
            <w:vAlign w:val="top"/>
          </w:tcPr>
          <w:p w14:paraId="4B84D046">
            <w:pPr>
              <w:spacing w:line="360" w:lineRule="auto"/>
              <w:rPr>
                <w:rFonts w:ascii="宋体" w:hAnsi="宋体"/>
                <w:color w:val="auto"/>
                <w:sz w:val="20"/>
                <w:szCs w:val="20"/>
                <w:highlight w:val="none"/>
              </w:rPr>
            </w:pPr>
            <w:r>
              <w:rPr>
                <w:rFonts w:hint="eastAsia" w:ascii="宋体" w:hAnsi="宋体"/>
                <w:color w:val="auto"/>
                <w:sz w:val="20"/>
                <w:szCs w:val="20"/>
                <w:highlight w:val="none"/>
              </w:rPr>
              <w:t>1）实施本项目的技术方案（满分53分）</w:t>
            </w:r>
          </w:p>
          <w:p w14:paraId="7372C982">
            <w:pPr>
              <w:spacing w:line="360" w:lineRule="auto"/>
              <w:rPr>
                <w:rFonts w:ascii="宋体" w:hAnsi="宋体"/>
                <w:color w:val="auto"/>
                <w:sz w:val="20"/>
                <w:szCs w:val="20"/>
                <w:highlight w:val="none"/>
              </w:rPr>
            </w:pPr>
            <w:r>
              <w:rPr>
                <w:rFonts w:hint="eastAsia" w:ascii="宋体" w:hAnsi="宋体"/>
                <w:color w:val="auto"/>
                <w:sz w:val="20"/>
                <w:szCs w:val="20"/>
                <w:highlight w:val="none"/>
              </w:rPr>
              <w:t>根据编制施工组织设计的要求：编制时应采用文字并结合图表形式说明施工方法；拟投入的主要物资计划、拟投入的主要施工机械、设备计划、劳动力计划等；结合工程特点提出切实可行的工程质量、安全生产、文明施工、工程进度、技术组织措施，同时应对关键工序、复杂环节重点提出相应技术措施等技术方案打分。</w:t>
            </w:r>
          </w:p>
          <w:p w14:paraId="79221EE1">
            <w:pPr>
              <w:spacing w:line="360" w:lineRule="auto"/>
              <w:rPr>
                <w:rFonts w:ascii="宋体" w:hAnsi="宋体"/>
                <w:color w:val="auto"/>
                <w:sz w:val="20"/>
                <w:szCs w:val="20"/>
                <w:highlight w:val="none"/>
              </w:rPr>
            </w:pPr>
            <w:r>
              <w:rPr>
                <w:rFonts w:hint="eastAsia" w:ascii="宋体" w:hAnsi="宋体"/>
                <w:color w:val="auto"/>
                <w:sz w:val="20"/>
                <w:szCs w:val="20"/>
                <w:highlight w:val="none"/>
              </w:rPr>
              <w:t>①主要施工方法（6分）</w:t>
            </w:r>
          </w:p>
          <w:p w14:paraId="54669E19">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一档（0分）：无主要施工方法；</w:t>
            </w:r>
          </w:p>
          <w:p w14:paraId="619172B1">
            <w:pPr>
              <w:spacing w:line="360" w:lineRule="auto"/>
              <w:rPr>
                <w:rFonts w:ascii="宋体" w:hAnsi="宋体"/>
                <w:color w:val="auto"/>
                <w:sz w:val="20"/>
                <w:szCs w:val="20"/>
                <w:highlight w:val="none"/>
              </w:rPr>
            </w:pPr>
            <w:r>
              <w:rPr>
                <w:rFonts w:hint="eastAsia" w:ascii="宋体" w:hAnsi="宋体"/>
                <w:color w:val="auto"/>
                <w:sz w:val="20"/>
                <w:szCs w:val="20"/>
                <w:highlight w:val="none"/>
              </w:rPr>
              <w:t>二档（2分）：各主要分部施工方法符合项目实际，施工技术方案齐全，方法可行，能指导具体施工；</w:t>
            </w:r>
          </w:p>
          <w:p w14:paraId="3D3CB3D0">
            <w:pPr>
              <w:spacing w:line="360" w:lineRule="auto"/>
              <w:rPr>
                <w:rFonts w:hint="eastAsia" w:ascii="宋体" w:hAnsi="宋体" w:eastAsia="宋体"/>
                <w:color w:val="auto"/>
                <w:sz w:val="20"/>
                <w:szCs w:val="20"/>
                <w:highlight w:val="none"/>
                <w:lang w:eastAsia="zh-CN"/>
              </w:rPr>
            </w:pPr>
            <w:r>
              <w:rPr>
                <w:rFonts w:hint="eastAsia" w:ascii="宋体" w:hAnsi="宋体"/>
                <w:color w:val="auto"/>
                <w:sz w:val="20"/>
                <w:szCs w:val="20"/>
                <w:highlight w:val="none"/>
              </w:rPr>
              <w:t>三档（4分）：各主要分部施工方法符合项目实际，施工技术方案齐全，工艺成熟、方法合理、可行，能指导具体施工并确保安全；</w:t>
            </w:r>
          </w:p>
          <w:p w14:paraId="612AF7E1">
            <w:pPr>
              <w:spacing w:line="360" w:lineRule="auto"/>
              <w:rPr>
                <w:rFonts w:ascii="宋体" w:hAnsi="宋体"/>
                <w:color w:val="auto"/>
                <w:sz w:val="20"/>
                <w:szCs w:val="20"/>
                <w:highlight w:val="none"/>
              </w:rPr>
            </w:pPr>
            <w:r>
              <w:rPr>
                <w:rFonts w:hint="eastAsia" w:ascii="宋体" w:hAnsi="宋体"/>
                <w:color w:val="auto"/>
                <w:sz w:val="20"/>
                <w:szCs w:val="20"/>
                <w:highlight w:val="none"/>
              </w:rPr>
              <w:t>四档（6分）：各主要分部施工方法针对性强，施工技术方案详尽周密，工艺先进、方法科学、可行，能很好的指导具体施工合理确保安全，承诺机械配备结合施工进度完成施工。</w:t>
            </w:r>
          </w:p>
          <w:p w14:paraId="3A85D295">
            <w:pPr>
              <w:spacing w:line="360" w:lineRule="auto"/>
              <w:rPr>
                <w:rFonts w:hint="default" w:ascii="宋体" w:hAnsi="宋体" w:eastAsia="宋体"/>
                <w:color w:val="auto"/>
                <w:sz w:val="20"/>
                <w:szCs w:val="20"/>
                <w:highlight w:val="none"/>
                <w:lang w:val="en-US" w:eastAsia="zh-CN"/>
              </w:rPr>
            </w:pPr>
            <w:r>
              <w:rPr>
                <w:rFonts w:hint="eastAsia" w:ascii="宋体" w:hAnsi="宋体"/>
                <w:color w:val="auto"/>
                <w:sz w:val="20"/>
                <w:szCs w:val="20"/>
                <w:highlight w:val="none"/>
              </w:rPr>
              <w:t>②拟投入的主要物资计划（6分）</w:t>
            </w:r>
          </w:p>
          <w:p w14:paraId="4A205700">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一档（0分）：无主要物资计划；</w:t>
            </w:r>
          </w:p>
          <w:p w14:paraId="7DA13335">
            <w:pPr>
              <w:spacing w:line="360" w:lineRule="auto"/>
              <w:rPr>
                <w:rFonts w:ascii="宋体" w:hAnsi="宋体"/>
                <w:color w:val="auto"/>
                <w:sz w:val="20"/>
                <w:szCs w:val="20"/>
                <w:highlight w:val="none"/>
              </w:rPr>
            </w:pPr>
            <w:r>
              <w:rPr>
                <w:rFonts w:hint="eastAsia" w:ascii="宋体" w:hAnsi="宋体"/>
                <w:color w:val="auto"/>
                <w:sz w:val="20"/>
                <w:szCs w:val="20"/>
                <w:highlight w:val="none"/>
              </w:rPr>
              <w:t>二档（2分）：投入的施工材料有完整的组织计划，投入计划与进</w:t>
            </w:r>
          </w:p>
          <w:p w14:paraId="0264962D">
            <w:pPr>
              <w:spacing w:line="360" w:lineRule="auto"/>
              <w:rPr>
                <w:rFonts w:ascii="宋体" w:hAnsi="宋体"/>
                <w:color w:val="auto"/>
                <w:sz w:val="20"/>
                <w:szCs w:val="20"/>
                <w:highlight w:val="none"/>
              </w:rPr>
            </w:pPr>
            <w:r>
              <w:rPr>
                <w:rFonts w:hint="eastAsia" w:ascii="宋体" w:hAnsi="宋体"/>
                <w:color w:val="auto"/>
                <w:sz w:val="20"/>
                <w:szCs w:val="20"/>
                <w:highlight w:val="none"/>
              </w:rPr>
              <w:t>度计划呼应，基本满足施工需要，调配投入计划基本合理；</w:t>
            </w:r>
          </w:p>
          <w:p w14:paraId="47E7A8B8">
            <w:pPr>
              <w:spacing w:line="360" w:lineRule="auto"/>
              <w:rPr>
                <w:rFonts w:hint="eastAsia" w:ascii="宋体" w:hAnsi="宋体" w:eastAsia="宋体"/>
                <w:color w:val="auto"/>
                <w:sz w:val="20"/>
                <w:szCs w:val="20"/>
                <w:highlight w:val="none"/>
                <w:lang w:eastAsia="zh-CN"/>
              </w:rPr>
            </w:pPr>
            <w:r>
              <w:rPr>
                <w:rFonts w:hint="eastAsia" w:ascii="宋体" w:hAnsi="宋体"/>
                <w:color w:val="auto"/>
                <w:sz w:val="20"/>
                <w:szCs w:val="20"/>
                <w:highlight w:val="none"/>
              </w:rPr>
              <w:t>三档（4分）：投入的施工材料有详细的组织计划，投入计划与进度计划呼应，可以满足施工需要，调配投入计划基本合理、准确；</w:t>
            </w:r>
          </w:p>
          <w:p w14:paraId="6F1EE614">
            <w:pPr>
              <w:spacing w:line="360" w:lineRule="auto"/>
              <w:rPr>
                <w:rFonts w:ascii="宋体" w:hAnsi="宋体"/>
                <w:color w:val="auto"/>
                <w:sz w:val="20"/>
                <w:szCs w:val="20"/>
                <w:highlight w:val="none"/>
              </w:rPr>
            </w:pPr>
            <w:r>
              <w:rPr>
                <w:rFonts w:hint="eastAsia" w:ascii="宋体" w:hAnsi="宋体"/>
                <w:color w:val="auto"/>
                <w:sz w:val="20"/>
                <w:szCs w:val="20"/>
                <w:highlight w:val="none"/>
              </w:rPr>
              <w:t>四档（6分）：投入的施工材料有详细的组织计划且计划周密，投入计划与进度计划呼应，完全满足施工需要，调配投入计划合理、准确、完整。</w:t>
            </w:r>
          </w:p>
          <w:p w14:paraId="3666CA50">
            <w:pPr>
              <w:spacing w:line="360" w:lineRule="auto"/>
              <w:rPr>
                <w:rFonts w:ascii="宋体" w:hAnsi="宋体"/>
                <w:color w:val="auto"/>
                <w:sz w:val="20"/>
                <w:szCs w:val="20"/>
                <w:highlight w:val="none"/>
              </w:rPr>
            </w:pPr>
            <w:r>
              <w:rPr>
                <w:rFonts w:hint="eastAsia" w:ascii="宋体" w:hAnsi="宋体"/>
                <w:color w:val="auto"/>
                <w:sz w:val="20"/>
                <w:szCs w:val="20"/>
                <w:highlight w:val="none"/>
              </w:rPr>
              <w:t>③拟投入的主要施工机械、设备计划（6分）</w:t>
            </w:r>
          </w:p>
          <w:p w14:paraId="7F6C602D">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一档（0分）：无主要施工机械、设备计划</w:t>
            </w:r>
          </w:p>
          <w:p w14:paraId="0A85BC1B">
            <w:pPr>
              <w:spacing w:line="360" w:lineRule="auto"/>
              <w:rPr>
                <w:rFonts w:ascii="宋体" w:hAnsi="宋体"/>
                <w:color w:val="auto"/>
                <w:sz w:val="20"/>
                <w:szCs w:val="20"/>
                <w:highlight w:val="none"/>
              </w:rPr>
            </w:pPr>
            <w:r>
              <w:rPr>
                <w:rFonts w:hint="eastAsia" w:ascii="宋体" w:hAnsi="宋体"/>
                <w:color w:val="auto"/>
                <w:sz w:val="20"/>
                <w:szCs w:val="20"/>
                <w:highlight w:val="none"/>
              </w:rPr>
              <w:t>二档（2分）：投入的施工机械、设备、机具有组织计划，基本满足施工需要；</w:t>
            </w:r>
          </w:p>
          <w:p w14:paraId="7580E613">
            <w:pPr>
              <w:spacing w:line="360" w:lineRule="auto"/>
              <w:rPr>
                <w:rFonts w:ascii="宋体" w:hAnsi="宋体"/>
                <w:color w:val="auto"/>
                <w:sz w:val="20"/>
                <w:szCs w:val="20"/>
                <w:highlight w:val="none"/>
              </w:rPr>
            </w:pPr>
            <w:r>
              <w:rPr>
                <w:rFonts w:hint="eastAsia" w:ascii="宋体" w:hAnsi="宋体"/>
                <w:color w:val="auto"/>
                <w:sz w:val="20"/>
                <w:szCs w:val="20"/>
                <w:highlight w:val="none"/>
              </w:rPr>
              <w:t>三档（4分）：投入的施工机械、设备、机具有详细的组织计划，</w:t>
            </w:r>
          </w:p>
          <w:p w14:paraId="21BE5749">
            <w:pPr>
              <w:spacing w:line="360" w:lineRule="auto"/>
              <w:rPr>
                <w:rFonts w:ascii="宋体" w:hAnsi="宋体"/>
                <w:color w:val="auto"/>
                <w:sz w:val="20"/>
                <w:szCs w:val="20"/>
                <w:highlight w:val="none"/>
              </w:rPr>
            </w:pPr>
            <w:r>
              <w:rPr>
                <w:rFonts w:hint="eastAsia" w:ascii="宋体" w:hAnsi="宋体"/>
                <w:color w:val="auto"/>
                <w:sz w:val="20"/>
                <w:szCs w:val="20"/>
                <w:highlight w:val="none"/>
              </w:rPr>
              <w:t>设备数量、选型配置、进场投入计划与进度计划呼应，满足施工需要；</w:t>
            </w:r>
          </w:p>
          <w:p w14:paraId="2827EA37">
            <w:pPr>
              <w:spacing w:line="360" w:lineRule="auto"/>
              <w:rPr>
                <w:rFonts w:ascii="宋体" w:hAnsi="宋体"/>
                <w:color w:val="auto"/>
                <w:sz w:val="20"/>
                <w:szCs w:val="20"/>
                <w:highlight w:val="none"/>
              </w:rPr>
            </w:pPr>
            <w:r>
              <w:rPr>
                <w:rFonts w:hint="eastAsia" w:ascii="宋体" w:hAnsi="宋体"/>
                <w:color w:val="auto"/>
                <w:sz w:val="20"/>
                <w:szCs w:val="20"/>
                <w:highlight w:val="none"/>
              </w:rPr>
              <w:t>四档（6分）：投入的施工机械、设备、机具有详细的组织计划且计划周密，设备数量、选型配置、进场时间安排合理，完全满足施工需要。</w:t>
            </w:r>
          </w:p>
          <w:p w14:paraId="13A44D68">
            <w:pPr>
              <w:spacing w:line="360" w:lineRule="auto"/>
              <w:rPr>
                <w:rFonts w:ascii="宋体" w:hAnsi="宋体"/>
                <w:color w:val="auto"/>
                <w:sz w:val="20"/>
                <w:szCs w:val="20"/>
                <w:highlight w:val="none"/>
              </w:rPr>
            </w:pPr>
            <w:r>
              <w:rPr>
                <w:rFonts w:hint="eastAsia" w:ascii="宋体" w:hAnsi="宋体"/>
                <w:color w:val="auto"/>
                <w:sz w:val="20"/>
                <w:szCs w:val="20"/>
                <w:highlight w:val="none"/>
              </w:rPr>
              <w:t>④确保工程质量的技术组织措施（6分）</w:t>
            </w:r>
          </w:p>
          <w:p w14:paraId="1369B7A0">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一档（0分）：无技术组织措施</w:t>
            </w:r>
          </w:p>
          <w:p w14:paraId="300D7922">
            <w:pPr>
              <w:spacing w:line="360" w:lineRule="auto"/>
              <w:rPr>
                <w:rFonts w:ascii="宋体" w:hAnsi="宋体"/>
                <w:color w:val="auto"/>
                <w:sz w:val="20"/>
                <w:szCs w:val="20"/>
                <w:highlight w:val="none"/>
              </w:rPr>
            </w:pPr>
            <w:r>
              <w:rPr>
                <w:rFonts w:hint="eastAsia" w:ascii="宋体" w:hAnsi="宋体"/>
                <w:color w:val="auto"/>
                <w:sz w:val="20"/>
                <w:szCs w:val="20"/>
                <w:highlight w:val="none"/>
              </w:rPr>
              <w:t>二档（2分）：质量技术管理班子人员配备基本合理，制度基本健全。主要工序有质量技术保证措施和手段，能有效保证技术质量，满足招标文件的质量要求；</w:t>
            </w:r>
          </w:p>
          <w:p w14:paraId="6E0F4807">
            <w:pPr>
              <w:spacing w:line="360" w:lineRule="auto"/>
              <w:rPr>
                <w:rFonts w:ascii="宋体" w:hAnsi="宋体"/>
                <w:color w:val="auto"/>
                <w:sz w:val="20"/>
                <w:szCs w:val="20"/>
                <w:highlight w:val="none"/>
              </w:rPr>
            </w:pPr>
            <w:r>
              <w:rPr>
                <w:rFonts w:hint="eastAsia" w:ascii="宋体" w:hAnsi="宋体"/>
                <w:color w:val="auto"/>
                <w:sz w:val="20"/>
                <w:szCs w:val="20"/>
                <w:highlight w:val="none"/>
              </w:rPr>
              <w:t>三档（4分）：有专门的质量技术管理班子和制度，且人员配备合理，制度健全。主要工序有质量技术保证措施和手段，自控体系完整，能有效保证技术质量，可以达到承诺的质量标准；</w:t>
            </w:r>
          </w:p>
          <w:p w14:paraId="205E5F75">
            <w:pPr>
              <w:spacing w:line="360" w:lineRule="auto"/>
              <w:rPr>
                <w:rFonts w:ascii="宋体" w:hAnsi="宋体"/>
                <w:color w:val="auto"/>
                <w:sz w:val="20"/>
                <w:szCs w:val="20"/>
                <w:highlight w:val="none"/>
              </w:rPr>
            </w:pPr>
            <w:r>
              <w:rPr>
                <w:rFonts w:hint="eastAsia" w:ascii="宋体" w:hAnsi="宋体"/>
                <w:color w:val="auto"/>
                <w:sz w:val="20"/>
                <w:szCs w:val="20"/>
                <w:highlight w:val="none"/>
              </w:rPr>
              <w:t>四档（6分）：有专门的质量技术管理班子和制度，且人员配备合理，制度健全。主要工序有质量技术保证措施和手段，且先进、可行、具体，高于招标文件的质量要求及施工验收规范要求，达到承诺的质量标准。</w:t>
            </w:r>
          </w:p>
          <w:p w14:paraId="101E5F38">
            <w:pPr>
              <w:spacing w:line="360" w:lineRule="auto"/>
              <w:rPr>
                <w:rFonts w:ascii="宋体" w:hAnsi="宋体"/>
                <w:color w:val="auto"/>
                <w:sz w:val="20"/>
                <w:szCs w:val="20"/>
                <w:highlight w:val="none"/>
              </w:rPr>
            </w:pPr>
            <w:r>
              <w:rPr>
                <w:rFonts w:hint="eastAsia" w:ascii="宋体" w:hAnsi="宋体"/>
                <w:color w:val="auto"/>
                <w:sz w:val="20"/>
                <w:szCs w:val="20"/>
                <w:highlight w:val="none"/>
              </w:rPr>
              <w:t>⑤确保安全生产的技术组织措施（6分）</w:t>
            </w:r>
          </w:p>
          <w:p w14:paraId="385891DD">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一档（0分）：无技术组织措施</w:t>
            </w:r>
          </w:p>
          <w:p w14:paraId="710EBFB6">
            <w:pPr>
              <w:spacing w:line="360" w:lineRule="auto"/>
              <w:rPr>
                <w:rFonts w:ascii="宋体" w:hAnsi="宋体"/>
                <w:color w:val="auto"/>
                <w:sz w:val="20"/>
                <w:szCs w:val="20"/>
                <w:highlight w:val="none"/>
              </w:rPr>
            </w:pPr>
            <w:r>
              <w:rPr>
                <w:rFonts w:hint="eastAsia" w:ascii="宋体" w:hAnsi="宋体"/>
                <w:color w:val="auto"/>
                <w:sz w:val="20"/>
                <w:szCs w:val="20"/>
                <w:highlight w:val="none"/>
              </w:rPr>
              <w:t>二档（2分）：各主要分部施工方法基本符合项目实际，施工技术方案基本齐全，方法基本合理、基本可行，基本能指导具体施工并确保安全；</w:t>
            </w:r>
          </w:p>
          <w:p w14:paraId="1854B009">
            <w:pPr>
              <w:spacing w:line="360" w:lineRule="auto"/>
              <w:rPr>
                <w:rFonts w:ascii="宋体" w:hAnsi="宋体"/>
                <w:color w:val="auto"/>
                <w:sz w:val="20"/>
                <w:szCs w:val="20"/>
                <w:highlight w:val="none"/>
              </w:rPr>
            </w:pPr>
            <w:r>
              <w:rPr>
                <w:rFonts w:hint="eastAsia" w:ascii="宋体" w:hAnsi="宋体"/>
                <w:color w:val="auto"/>
                <w:sz w:val="20"/>
                <w:szCs w:val="20"/>
                <w:highlight w:val="none"/>
              </w:rPr>
              <w:t>三档（4分）：有配备满足项目要求的专职安全员，人员配备合理，有健全的安全管理制度，各道工序安全技术措施符合实际且满足有关安全技术标准要求。现场防火、应急救援、社会治安安全措施合理；</w:t>
            </w:r>
          </w:p>
          <w:p w14:paraId="7E55BF4F">
            <w:pPr>
              <w:spacing w:line="360" w:lineRule="auto"/>
              <w:rPr>
                <w:rFonts w:ascii="宋体" w:hAnsi="宋体"/>
                <w:color w:val="auto"/>
                <w:sz w:val="20"/>
                <w:szCs w:val="20"/>
                <w:highlight w:val="none"/>
              </w:rPr>
            </w:pPr>
            <w:r>
              <w:rPr>
                <w:rFonts w:hint="eastAsia" w:ascii="宋体" w:hAnsi="宋体"/>
                <w:color w:val="auto"/>
                <w:sz w:val="20"/>
                <w:szCs w:val="20"/>
                <w:highlight w:val="none"/>
              </w:rPr>
              <w:t>四档（6分）：有配备满足项目要求的专职安全员，人员配备合理。有健全的安全管理制度，各道工序安全技术措施针对性强，符合实际且高于国家有关安全技术标准要求。现场防火、应急救援、社会治安安全措施得力。</w:t>
            </w:r>
          </w:p>
          <w:p w14:paraId="2DAFBC4A">
            <w:pPr>
              <w:spacing w:line="360" w:lineRule="auto"/>
              <w:rPr>
                <w:rFonts w:ascii="宋体" w:hAnsi="宋体"/>
                <w:color w:val="auto"/>
                <w:sz w:val="20"/>
                <w:szCs w:val="20"/>
                <w:highlight w:val="none"/>
              </w:rPr>
            </w:pPr>
            <w:r>
              <w:rPr>
                <w:rFonts w:hint="eastAsia" w:ascii="宋体" w:hAnsi="宋体"/>
                <w:color w:val="auto"/>
                <w:sz w:val="20"/>
                <w:szCs w:val="20"/>
                <w:highlight w:val="none"/>
              </w:rPr>
              <w:t>⑥劳动力安排计划（6分）</w:t>
            </w:r>
          </w:p>
          <w:p w14:paraId="20935CCC">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一档（0分）：无劳动力安排计划</w:t>
            </w:r>
          </w:p>
          <w:p w14:paraId="52A41E37">
            <w:pPr>
              <w:spacing w:line="360" w:lineRule="auto"/>
              <w:rPr>
                <w:rFonts w:ascii="宋体" w:hAnsi="宋体"/>
                <w:color w:val="auto"/>
                <w:sz w:val="20"/>
                <w:szCs w:val="20"/>
                <w:highlight w:val="none"/>
              </w:rPr>
            </w:pPr>
            <w:r>
              <w:rPr>
                <w:rFonts w:hint="eastAsia" w:ascii="宋体" w:hAnsi="宋体"/>
                <w:color w:val="auto"/>
                <w:sz w:val="20"/>
                <w:szCs w:val="20"/>
                <w:highlight w:val="none"/>
              </w:rPr>
              <w:t>二档（2分）：各主要施工工序应有劳动力安排计划，有各工种劳动力安排计划，劳动力投入基本合理，基本满足施工需要；</w:t>
            </w:r>
          </w:p>
          <w:p w14:paraId="0E9468EF">
            <w:pPr>
              <w:spacing w:line="360" w:lineRule="auto"/>
              <w:rPr>
                <w:rFonts w:ascii="宋体" w:hAnsi="宋体"/>
                <w:color w:val="auto"/>
                <w:sz w:val="20"/>
                <w:szCs w:val="20"/>
                <w:highlight w:val="none"/>
              </w:rPr>
            </w:pPr>
            <w:r>
              <w:rPr>
                <w:rFonts w:hint="eastAsia" w:ascii="宋体" w:hAnsi="宋体"/>
                <w:color w:val="auto"/>
                <w:sz w:val="20"/>
                <w:szCs w:val="20"/>
                <w:highlight w:val="none"/>
              </w:rPr>
              <w:t>三档（4分）：各主要施工工序有详细的劳动力安排计划，有各工种劳动力安排计划，劳动力投入合理，可以满足施工需要；</w:t>
            </w:r>
          </w:p>
          <w:p w14:paraId="3A6A660C">
            <w:pPr>
              <w:spacing w:line="360" w:lineRule="auto"/>
              <w:rPr>
                <w:rFonts w:ascii="宋体" w:hAnsi="宋体"/>
                <w:color w:val="auto"/>
                <w:sz w:val="20"/>
                <w:szCs w:val="20"/>
                <w:highlight w:val="none"/>
              </w:rPr>
            </w:pPr>
            <w:r>
              <w:rPr>
                <w:rFonts w:hint="eastAsia" w:ascii="宋体" w:hAnsi="宋体"/>
                <w:color w:val="auto"/>
                <w:sz w:val="20"/>
                <w:szCs w:val="20"/>
                <w:highlight w:val="none"/>
              </w:rPr>
              <w:t>四档（6分）：各主要施工工序有详细周密的劳动力安排计划，各工种劳动力安排计划齐全，劳动力投入与进度计划呼应合理，完全满足施工需要。</w:t>
            </w:r>
          </w:p>
          <w:p w14:paraId="32AA35A9">
            <w:pPr>
              <w:spacing w:line="360" w:lineRule="auto"/>
              <w:rPr>
                <w:rFonts w:ascii="宋体" w:hAnsi="宋体"/>
                <w:color w:val="auto"/>
                <w:sz w:val="20"/>
                <w:szCs w:val="20"/>
                <w:highlight w:val="none"/>
              </w:rPr>
            </w:pPr>
            <w:r>
              <w:rPr>
                <w:rFonts w:hint="eastAsia" w:ascii="宋体" w:hAnsi="宋体"/>
                <w:color w:val="auto"/>
                <w:sz w:val="20"/>
                <w:szCs w:val="20"/>
                <w:highlight w:val="none"/>
              </w:rPr>
              <w:t>⑦确保工期的技术组织措施（6分）</w:t>
            </w:r>
          </w:p>
          <w:p w14:paraId="22D89F2A">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一档（0分）：无技术组织措施</w:t>
            </w:r>
          </w:p>
          <w:p w14:paraId="17FD40B8">
            <w:pPr>
              <w:spacing w:line="360" w:lineRule="auto"/>
              <w:rPr>
                <w:rFonts w:hint="eastAsia" w:ascii="宋体" w:hAnsi="宋体" w:eastAsia="宋体"/>
                <w:color w:val="auto"/>
                <w:sz w:val="20"/>
                <w:szCs w:val="20"/>
                <w:highlight w:val="none"/>
                <w:lang w:eastAsia="zh-CN"/>
              </w:rPr>
            </w:pPr>
            <w:r>
              <w:rPr>
                <w:rFonts w:hint="eastAsia" w:ascii="宋体" w:hAnsi="宋体"/>
                <w:color w:val="auto"/>
                <w:sz w:val="20"/>
                <w:szCs w:val="20"/>
                <w:highlight w:val="none"/>
              </w:rPr>
              <w:t>二档（2分）：有保证工期的具体措施，措施基本得当。各项计划图表编制基本齐全，安排基本合理，基本符合本项目施工实际要求；</w:t>
            </w:r>
          </w:p>
          <w:p w14:paraId="5D01F9DB">
            <w:pPr>
              <w:spacing w:line="360" w:lineRule="auto"/>
              <w:rPr>
                <w:rFonts w:ascii="宋体" w:hAnsi="宋体"/>
                <w:color w:val="auto"/>
                <w:sz w:val="20"/>
                <w:szCs w:val="20"/>
                <w:highlight w:val="none"/>
              </w:rPr>
            </w:pPr>
            <w:r>
              <w:rPr>
                <w:rFonts w:hint="eastAsia" w:ascii="宋体" w:hAnsi="宋体"/>
                <w:color w:val="auto"/>
                <w:sz w:val="20"/>
                <w:szCs w:val="20"/>
                <w:highlight w:val="none"/>
              </w:rPr>
              <w:t>三档（4分）：有保证工期的具体措施且措施得当。各项计划图表编制完善，安排较合理，符合本项目施工实际要求；</w:t>
            </w:r>
          </w:p>
          <w:p w14:paraId="35992484">
            <w:pPr>
              <w:spacing w:line="360" w:lineRule="auto"/>
              <w:rPr>
                <w:rFonts w:ascii="宋体" w:hAnsi="宋体"/>
                <w:color w:val="auto"/>
                <w:sz w:val="20"/>
                <w:szCs w:val="20"/>
                <w:highlight w:val="none"/>
              </w:rPr>
            </w:pPr>
            <w:r>
              <w:rPr>
                <w:rFonts w:hint="eastAsia" w:ascii="宋体" w:hAnsi="宋体"/>
                <w:color w:val="auto"/>
                <w:sz w:val="20"/>
                <w:szCs w:val="20"/>
                <w:highlight w:val="none"/>
              </w:rPr>
              <w:t>四档（6分）：有保证工期的具体措施且措施得力。各项计划图表编制详尽周密，安排科学合理，符合本项目施工实际要求。</w:t>
            </w:r>
          </w:p>
          <w:p w14:paraId="7A3E844B">
            <w:pPr>
              <w:spacing w:line="360" w:lineRule="auto"/>
              <w:rPr>
                <w:rFonts w:ascii="宋体" w:hAnsi="宋体"/>
                <w:color w:val="auto"/>
                <w:sz w:val="20"/>
                <w:szCs w:val="20"/>
                <w:highlight w:val="none"/>
              </w:rPr>
            </w:pPr>
            <w:r>
              <w:rPr>
                <w:rFonts w:hint="eastAsia" w:ascii="宋体" w:hAnsi="宋体"/>
                <w:color w:val="auto"/>
                <w:sz w:val="20"/>
                <w:szCs w:val="20"/>
                <w:highlight w:val="none"/>
              </w:rPr>
              <w:t>⑧确保文明施工的技术组织措施（6分）</w:t>
            </w:r>
          </w:p>
          <w:p w14:paraId="00AE5E2A">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一档（0分）：无技术组织措施</w:t>
            </w:r>
          </w:p>
          <w:p w14:paraId="4253DC03">
            <w:pPr>
              <w:spacing w:line="360" w:lineRule="auto"/>
              <w:rPr>
                <w:rFonts w:ascii="宋体" w:hAnsi="宋体"/>
                <w:color w:val="auto"/>
                <w:sz w:val="20"/>
                <w:szCs w:val="20"/>
                <w:highlight w:val="none"/>
              </w:rPr>
            </w:pPr>
            <w:r>
              <w:rPr>
                <w:rFonts w:hint="eastAsia" w:ascii="宋体" w:hAnsi="宋体"/>
                <w:color w:val="auto"/>
                <w:sz w:val="20"/>
                <w:szCs w:val="20"/>
                <w:highlight w:val="none"/>
              </w:rPr>
              <w:t>二档（2分）：现场文明施工、环境保护措施和内容基本达到相关施工安全生产标准或文明施工要求的；有具体实现现场文明施工目标的承诺，而且各项措施基本周全、具体、有效的；</w:t>
            </w:r>
          </w:p>
          <w:p w14:paraId="312B0D3B">
            <w:pPr>
              <w:spacing w:line="360" w:lineRule="auto"/>
              <w:rPr>
                <w:rFonts w:ascii="宋体" w:hAnsi="宋体"/>
                <w:color w:val="auto"/>
                <w:sz w:val="20"/>
                <w:szCs w:val="20"/>
                <w:highlight w:val="none"/>
              </w:rPr>
            </w:pPr>
            <w:r>
              <w:rPr>
                <w:rFonts w:hint="eastAsia" w:ascii="宋体" w:hAnsi="宋体"/>
                <w:color w:val="auto"/>
                <w:sz w:val="20"/>
                <w:szCs w:val="20"/>
                <w:highlight w:val="none"/>
              </w:rPr>
              <w:t>三档（4分）：现场文明施工、环境保护措施和内容达到相关施工安全生产标准或文明施工要求的；承诺创建市级文明工地和标准化工地，而且各项措施周全、具体、有效的；</w:t>
            </w:r>
          </w:p>
          <w:p w14:paraId="7A6BE2A9">
            <w:pPr>
              <w:spacing w:line="360" w:lineRule="auto"/>
              <w:rPr>
                <w:rFonts w:ascii="宋体" w:hAnsi="宋体"/>
                <w:color w:val="auto"/>
                <w:sz w:val="20"/>
                <w:szCs w:val="20"/>
                <w:highlight w:val="none"/>
              </w:rPr>
            </w:pPr>
            <w:r>
              <w:rPr>
                <w:rFonts w:hint="eastAsia" w:ascii="宋体" w:hAnsi="宋体"/>
                <w:color w:val="auto"/>
                <w:sz w:val="20"/>
                <w:szCs w:val="20"/>
                <w:highlight w:val="none"/>
              </w:rPr>
              <w:t>四档（6分）：现场文明施工、环境保护措施和内容达到相关施工安全生产标准或文明施工等要求；承诺创建自治区级及以上文明工地和标准化工地，而且各项措施周全、具体、有效的。</w:t>
            </w:r>
          </w:p>
          <w:p w14:paraId="7B67DDC6">
            <w:pPr>
              <w:spacing w:line="360" w:lineRule="auto"/>
              <w:rPr>
                <w:rFonts w:ascii="宋体" w:hAnsi="宋体"/>
                <w:color w:val="auto"/>
                <w:sz w:val="20"/>
                <w:szCs w:val="20"/>
                <w:highlight w:val="none"/>
              </w:rPr>
            </w:pPr>
            <w:r>
              <w:rPr>
                <w:rFonts w:ascii="宋体" w:hAnsi="宋体"/>
                <w:color w:val="auto"/>
                <w:sz w:val="20"/>
                <w:szCs w:val="20"/>
                <w:highlight w:val="none"/>
              </w:rPr>
              <w:t>⑨</w:t>
            </w:r>
            <w:r>
              <w:rPr>
                <w:rFonts w:hint="eastAsia" w:ascii="宋体" w:hAnsi="宋体"/>
                <w:color w:val="auto"/>
                <w:sz w:val="20"/>
                <w:szCs w:val="20"/>
                <w:highlight w:val="none"/>
              </w:rPr>
              <w:t>工程施工的重点和难点及保证措施（5分）</w:t>
            </w:r>
          </w:p>
          <w:p w14:paraId="5CA7FC4D">
            <w:pPr>
              <w:spacing w:line="360" w:lineRule="auto"/>
              <w:rPr>
                <w:rFonts w:ascii="宋体" w:hAnsi="宋体"/>
                <w:color w:val="auto"/>
                <w:sz w:val="20"/>
                <w:szCs w:val="20"/>
                <w:highlight w:val="none"/>
              </w:rPr>
            </w:pPr>
            <w:r>
              <w:rPr>
                <w:rFonts w:hint="eastAsia" w:ascii="宋体" w:hAnsi="宋体"/>
                <w:color w:val="auto"/>
                <w:sz w:val="20"/>
                <w:szCs w:val="20"/>
                <w:highlight w:val="none"/>
              </w:rPr>
              <w:t>一档（</w:t>
            </w:r>
            <w:r>
              <w:rPr>
                <w:rFonts w:ascii="宋体" w:hAnsi="宋体"/>
                <w:color w:val="auto"/>
                <w:sz w:val="20"/>
                <w:szCs w:val="20"/>
                <w:highlight w:val="none"/>
              </w:rPr>
              <w:t>0</w:t>
            </w:r>
            <w:r>
              <w:rPr>
                <w:rFonts w:hint="eastAsia" w:ascii="宋体" w:hAnsi="宋体"/>
                <w:color w:val="auto"/>
                <w:sz w:val="20"/>
                <w:szCs w:val="20"/>
                <w:highlight w:val="none"/>
              </w:rPr>
              <w:t>分）：无工程施工的重点和难点及保证措施</w:t>
            </w:r>
          </w:p>
          <w:p w14:paraId="022D0535">
            <w:pPr>
              <w:spacing w:line="360" w:lineRule="auto"/>
              <w:rPr>
                <w:rFonts w:ascii="宋体" w:hAnsi="宋体"/>
                <w:color w:val="auto"/>
                <w:sz w:val="20"/>
                <w:szCs w:val="20"/>
                <w:highlight w:val="none"/>
              </w:rPr>
            </w:pPr>
            <w:r>
              <w:rPr>
                <w:rFonts w:hint="eastAsia" w:ascii="宋体" w:hAnsi="宋体"/>
                <w:color w:val="auto"/>
                <w:sz w:val="20"/>
                <w:szCs w:val="20"/>
                <w:highlight w:val="none"/>
              </w:rPr>
              <w:t>二档（</w:t>
            </w:r>
            <w:r>
              <w:rPr>
                <w:rFonts w:hint="eastAsia" w:ascii="宋体" w:hAnsi="宋体"/>
                <w:color w:val="auto"/>
                <w:sz w:val="20"/>
                <w:szCs w:val="20"/>
                <w:highlight w:val="none"/>
                <w:lang w:val="en-US" w:eastAsia="zh-CN"/>
              </w:rPr>
              <w:t>1</w:t>
            </w:r>
            <w:r>
              <w:rPr>
                <w:rFonts w:hint="eastAsia" w:ascii="宋体" w:hAnsi="宋体"/>
                <w:color w:val="auto"/>
                <w:sz w:val="20"/>
                <w:szCs w:val="20"/>
                <w:highlight w:val="none"/>
              </w:rPr>
              <w:t>分）：针对该项目的难点、重点分析不具体，各部分施工如何相互交叉和衔接不合理，施工质量效果和设计效果有较大差距；</w:t>
            </w:r>
          </w:p>
          <w:p w14:paraId="055941F7">
            <w:pPr>
              <w:spacing w:line="360" w:lineRule="auto"/>
              <w:rPr>
                <w:rFonts w:hint="eastAsia" w:ascii="宋体" w:hAnsi="宋体" w:eastAsia="宋体"/>
                <w:color w:val="auto"/>
                <w:sz w:val="20"/>
                <w:szCs w:val="20"/>
                <w:highlight w:val="none"/>
                <w:lang w:eastAsia="zh-CN"/>
              </w:rPr>
            </w:pPr>
            <w:r>
              <w:rPr>
                <w:rFonts w:hint="eastAsia" w:ascii="宋体" w:hAnsi="宋体"/>
                <w:color w:val="auto"/>
                <w:sz w:val="20"/>
                <w:szCs w:val="20"/>
                <w:highlight w:val="none"/>
              </w:rPr>
              <w:t>三档（3分）：针对该项目的难点、重点分析到位，未重点考虑各部分施工如何相互交叉和衔接，施工质量效果基本达到设计效果；</w:t>
            </w:r>
          </w:p>
          <w:p w14:paraId="30958864">
            <w:pPr>
              <w:spacing w:line="360" w:lineRule="auto"/>
              <w:rPr>
                <w:rFonts w:ascii="宋体" w:hAnsi="宋体"/>
                <w:color w:val="auto"/>
                <w:sz w:val="20"/>
                <w:szCs w:val="20"/>
                <w:highlight w:val="none"/>
              </w:rPr>
            </w:pPr>
            <w:r>
              <w:rPr>
                <w:rFonts w:hint="eastAsia" w:ascii="宋体" w:hAnsi="宋体"/>
                <w:color w:val="auto"/>
                <w:sz w:val="20"/>
                <w:szCs w:val="20"/>
                <w:highlight w:val="none"/>
              </w:rPr>
              <w:t>四档（5分）：针对该项目的难点、重点详细分析，重点考虑各部分施工如何相互交叉和衔接，以保证施工质量效果和设计效果的完</w:t>
            </w:r>
            <w:r>
              <w:rPr>
                <w:rFonts w:ascii="宋体" w:hAnsi="宋体"/>
                <w:color w:val="auto"/>
                <w:sz w:val="20"/>
                <w:szCs w:val="20"/>
                <w:highlight w:val="none"/>
              </w:rPr>
              <w:t>美统一。</w:t>
            </w:r>
          </w:p>
        </w:tc>
      </w:tr>
      <w:tr w14:paraId="073C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noWrap w:val="0"/>
            <w:vAlign w:val="top"/>
          </w:tcPr>
          <w:p w14:paraId="3E6E11EB">
            <w:pPr>
              <w:spacing w:line="360" w:lineRule="auto"/>
              <w:rPr>
                <w:rFonts w:ascii="宋体" w:hAnsi="宋体"/>
                <w:bCs/>
                <w:color w:val="auto"/>
                <w:sz w:val="20"/>
                <w:szCs w:val="20"/>
                <w:highlight w:val="none"/>
              </w:rPr>
            </w:pPr>
            <w:r>
              <w:rPr>
                <w:rFonts w:hint="eastAsia" w:ascii="宋体" w:hAnsi="宋体"/>
                <w:bCs/>
                <w:color w:val="auto"/>
                <w:sz w:val="20"/>
                <w:szCs w:val="20"/>
                <w:highlight w:val="none"/>
                <w:lang w:val="en-US" w:eastAsia="zh-CN"/>
              </w:rPr>
              <w:t>2</w:t>
            </w:r>
            <w:r>
              <w:rPr>
                <w:rFonts w:hint="eastAsia" w:ascii="宋体" w:hAnsi="宋体"/>
                <w:bCs/>
                <w:color w:val="auto"/>
                <w:sz w:val="20"/>
                <w:szCs w:val="20"/>
                <w:highlight w:val="none"/>
              </w:rPr>
              <w:t>.2</w:t>
            </w:r>
          </w:p>
        </w:tc>
        <w:tc>
          <w:tcPr>
            <w:tcW w:w="1404" w:type="dxa"/>
            <w:noWrap w:val="0"/>
            <w:vAlign w:val="center"/>
          </w:tcPr>
          <w:p w14:paraId="139F75CA">
            <w:pPr>
              <w:spacing w:line="360" w:lineRule="auto"/>
              <w:jc w:val="center"/>
              <w:rPr>
                <w:rFonts w:ascii="宋体" w:hAnsi="宋体"/>
                <w:bCs/>
                <w:color w:val="auto"/>
                <w:sz w:val="20"/>
                <w:szCs w:val="20"/>
                <w:highlight w:val="none"/>
              </w:rPr>
            </w:pPr>
            <w:r>
              <w:rPr>
                <w:rFonts w:ascii="宋体" w:hAnsi="宋体"/>
                <w:color w:val="auto"/>
                <w:spacing w:val="4"/>
                <w:sz w:val="20"/>
                <w:szCs w:val="20"/>
                <w:highlight w:val="none"/>
              </w:rPr>
              <w:t>技术</w:t>
            </w:r>
          </w:p>
        </w:tc>
        <w:tc>
          <w:tcPr>
            <w:tcW w:w="7677" w:type="dxa"/>
            <w:noWrap w:val="0"/>
            <w:vAlign w:val="top"/>
          </w:tcPr>
          <w:p w14:paraId="6FD6B451">
            <w:pPr>
              <w:spacing w:line="360" w:lineRule="auto"/>
              <w:rPr>
                <w:rFonts w:ascii="宋体" w:hAnsi="宋体"/>
                <w:color w:val="auto"/>
                <w:sz w:val="20"/>
                <w:szCs w:val="20"/>
                <w:highlight w:val="none"/>
              </w:rPr>
            </w:pPr>
            <w:r>
              <w:rPr>
                <w:rFonts w:hint="eastAsia" w:ascii="宋体" w:hAnsi="宋体"/>
                <w:color w:val="auto"/>
                <w:sz w:val="20"/>
                <w:szCs w:val="20"/>
                <w:highlight w:val="none"/>
              </w:rPr>
              <w:t>（2）施工总平面布置图（满分5分）</w:t>
            </w:r>
          </w:p>
          <w:p w14:paraId="0BD5CB2A">
            <w:pPr>
              <w:spacing w:line="360" w:lineRule="auto"/>
              <w:rPr>
                <w:rFonts w:ascii="宋体" w:hAnsi="宋体"/>
                <w:color w:val="auto"/>
                <w:sz w:val="20"/>
                <w:szCs w:val="20"/>
                <w:highlight w:val="none"/>
              </w:rPr>
            </w:pPr>
            <w:r>
              <w:rPr>
                <w:rFonts w:hint="eastAsia" w:ascii="宋体" w:hAnsi="宋体"/>
                <w:color w:val="auto"/>
                <w:sz w:val="20"/>
                <w:szCs w:val="20"/>
                <w:highlight w:val="none"/>
              </w:rPr>
              <w:t>一档（0分）：无施工总平面布置图</w:t>
            </w:r>
          </w:p>
          <w:p w14:paraId="3B35AE54">
            <w:pPr>
              <w:spacing w:line="360" w:lineRule="auto"/>
              <w:rPr>
                <w:rFonts w:ascii="宋体" w:hAnsi="宋体"/>
                <w:color w:val="auto"/>
                <w:sz w:val="20"/>
                <w:szCs w:val="20"/>
                <w:highlight w:val="none"/>
              </w:rPr>
            </w:pPr>
            <w:r>
              <w:rPr>
                <w:rFonts w:hint="eastAsia" w:ascii="宋体" w:hAnsi="宋体"/>
                <w:color w:val="auto"/>
                <w:sz w:val="20"/>
                <w:szCs w:val="20"/>
                <w:highlight w:val="none"/>
              </w:rPr>
              <w:t>二档（1分）：总体布置不合理，不符合安全、文明生产要求。</w:t>
            </w:r>
          </w:p>
          <w:p w14:paraId="2DE8F637">
            <w:pPr>
              <w:spacing w:line="360" w:lineRule="auto"/>
              <w:rPr>
                <w:rFonts w:ascii="宋体" w:hAnsi="宋体"/>
                <w:color w:val="auto"/>
                <w:sz w:val="20"/>
                <w:szCs w:val="20"/>
                <w:highlight w:val="none"/>
              </w:rPr>
            </w:pPr>
            <w:r>
              <w:rPr>
                <w:rFonts w:hint="eastAsia" w:ascii="宋体" w:hAnsi="宋体"/>
                <w:color w:val="auto"/>
                <w:sz w:val="20"/>
                <w:szCs w:val="20"/>
                <w:highlight w:val="none"/>
              </w:rPr>
              <w:t>三档（3分）：总体布置达到施工要求，安排合理，可以符合安全、文明生产要求。</w:t>
            </w:r>
          </w:p>
          <w:p w14:paraId="0E76B29C">
            <w:pPr>
              <w:spacing w:line="360" w:lineRule="auto"/>
              <w:rPr>
                <w:rFonts w:ascii="宋体" w:hAnsi="宋体"/>
                <w:color w:val="auto"/>
                <w:sz w:val="20"/>
                <w:szCs w:val="20"/>
                <w:highlight w:val="none"/>
              </w:rPr>
            </w:pPr>
            <w:r>
              <w:rPr>
                <w:rFonts w:hint="eastAsia" w:ascii="宋体" w:hAnsi="宋体"/>
                <w:color w:val="auto"/>
                <w:sz w:val="20"/>
                <w:szCs w:val="20"/>
                <w:highlight w:val="none"/>
              </w:rPr>
              <w:t>四档（5分）：总体布置有针对性、合理，完全满足施工需求，符合安全、文明生产要求。</w:t>
            </w:r>
          </w:p>
        </w:tc>
      </w:tr>
      <w:tr w14:paraId="76DC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noWrap w:val="0"/>
            <w:vAlign w:val="top"/>
          </w:tcPr>
          <w:p w14:paraId="40831F5A">
            <w:pPr>
              <w:spacing w:line="360" w:lineRule="auto"/>
              <w:rPr>
                <w:rFonts w:ascii="宋体" w:hAnsi="宋体"/>
                <w:color w:val="auto"/>
                <w:sz w:val="20"/>
                <w:szCs w:val="20"/>
                <w:highlight w:val="none"/>
              </w:rPr>
            </w:pPr>
            <w:r>
              <w:rPr>
                <w:rFonts w:hint="eastAsia" w:ascii="宋体" w:hAnsi="宋体"/>
                <w:color w:val="auto"/>
                <w:sz w:val="20"/>
                <w:szCs w:val="20"/>
                <w:highlight w:val="none"/>
                <w:lang w:val="en-US" w:eastAsia="zh-CN"/>
              </w:rPr>
              <w:t>2</w:t>
            </w:r>
            <w:r>
              <w:rPr>
                <w:rFonts w:ascii="宋体" w:hAnsi="宋体"/>
                <w:color w:val="auto"/>
                <w:sz w:val="20"/>
                <w:szCs w:val="20"/>
                <w:highlight w:val="none"/>
              </w:rPr>
              <w:t>.3</w:t>
            </w:r>
          </w:p>
        </w:tc>
        <w:tc>
          <w:tcPr>
            <w:tcW w:w="1404" w:type="dxa"/>
            <w:noWrap w:val="0"/>
            <w:vAlign w:val="center"/>
          </w:tcPr>
          <w:p w14:paraId="7CA6B1FA">
            <w:pPr>
              <w:spacing w:line="360" w:lineRule="auto"/>
              <w:jc w:val="center"/>
              <w:rPr>
                <w:rFonts w:ascii="宋体" w:hAnsi="宋体"/>
                <w:color w:val="auto"/>
                <w:sz w:val="20"/>
                <w:szCs w:val="20"/>
                <w:highlight w:val="none"/>
              </w:rPr>
            </w:pPr>
            <w:r>
              <w:rPr>
                <w:rFonts w:ascii="宋体" w:hAnsi="宋体"/>
                <w:color w:val="auto"/>
                <w:sz w:val="20"/>
                <w:szCs w:val="20"/>
                <w:highlight w:val="none"/>
              </w:rPr>
              <w:t>技术</w:t>
            </w:r>
          </w:p>
        </w:tc>
        <w:tc>
          <w:tcPr>
            <w:tcW w:w="7677" w:type="dxa"/>
            <w:noWrap w:val="0"/>
            <w:vAlign w:val="top"/>
          </w:tcPr>
          <w:p w14:paraId="76874F64">
            <w:pPr>
              <w:spacing w:line="360" w:lineRule="auto"/>
              <w:rPr>
                <w:rFonts w:ascii="宋体" w:hAnsi="宋体"/>
                <w:color w:val="auto"/>
                <w:sz w:val="20"/>
                <w:szCs w:val="20"/>
                <w:highlight w:val="none"/>
              </w:rPr>
            </w:pPr>
            <w:r>
              <w:rPr>
                <w:rFonts w:ascii="宋体" w:hAnsi="宋体"/>
                <w:color w:val="auto"/>
                <w:sz w:val="20"/>
                <w:szCs w:val="20"/>
                <w:highlight w:val="none"/>
              </w:rPr>
              <w:t>（3）服务承诺分（满分5分）</w:t>
            </w:r>
          </w:p>
          <w:p w14:paraId="21FB7BB2">
            <w:pPr>
              <w:spacing w:line="360" w:lineRule="auto"/>
              <w:rPr>
                <w:rFonts w:ascii="宋体" w:hAnsi="宋体"/>
                <w:color w:val="auto"/>
                <w:sz w:val="20"/>
                <w:szCs w:val="20"/>
                <w:highlight w:val="none"/>
              </w:rPr>
            </w:pPr>
            <w:r>
              <w:rPr>
                <w:rFonts w:ascii="宋体" w:hAnsi="宋体"/>
                <w:color w:val="auto"/>
                <w:sz w:val="20"/>
                <w:szCs w:val="20"/>
                <w:highlight w:val="none"/>
              </w:rPr>
              <w:t>一档（0分）：无服务承诺分</w:t>
            </w:r>
          </w:p>
          <w:p w14:paraId="105AF519">
            <w:pPr>
              <w:spacing w:line="360" w:lineRule="auto"/>
              <w:rPr>
                <w:rFonts w:ascii="宋体" w:hAnsi="宋体"/>
                <w:color w:val="auto"/>
                <w:sz w:val="20"/>
                <w:szCs w:val="20"/>
                <w:highlight w:val="none"/>
              </w:rPr>
            </w:pPr>
            <w:r>
              <w:rPr>
                <w:rFonts w:ascii="宋体" w:hAnsi="宋体"/>
                <w:color w:val="auto"/>
                <w:sz w:val="20"/>
                <w:szCs w:val="20"/>
                <w:highlight w:val="none"/>
              </w:rPr>
              <w:t>二档（1分）：服务承诺不完整，可行性不强，承诺在施工过程中出现问题时作出响应并在业主要求的时间内派本项目专职代表到现场解决问题。</w:t>
            </w:r>
          </w:p>
          <w:p w14:paraId="4BF8D35F">
            <w:pPr>
              <w:spacing w:line="360" w:lineRule="auto"/>
              <w:rPr>
                <w:rFonts w:ascii="宋体" w:hAnsi="宋体"/>
                <w:color w:val="auto"/>
                <w:sz w:val="20"/>
                <w:szCs w:val="20"/>
                <w:highlight w:val="none"/>
              </w:rPr>
            </w:pPr>
            <w:r>
              <w:rPr>
                <w:rFonts w:ascii="宋体" w:hAnsi="宋体"/>
                <w:color w:val="auto"/>
                <w:sz w:val="20"/>
                <w:szCs w:val="20"/>
                <w:highlight w:val="none"/>
              </w:rPr>
              <w:t>三档（3分）：服务承诺明确，内容合理，承诺在施工过程中及时响应并在业主要求的时间内派本项目专职代表到现场主动解决问题。</w:t>
            </w:r>
          </w:p>
          <w:p w14:paraId="38B68F1A">
            <w:pPr>
              <w:spacing w:line="360" w:lineRule="auto"/>
              <w:rPr>
                <w:rFonts w:ascii="宋体" w:hAnsi="宋体"/>
                <w:color w:val="auto"/>
                <w:sz w:val="20"/>
                <w:szCs w:val="20"/>
                <w:highlight w:val="none"/>
              </w:rPr>
            </w:pPr>
            <w:r>
              <w:rPr>
                <w:rFonts w:ascii="宋体" w:hAnsi="宋体"/>
                <w:color w:val="auto"/>
                <w:sz w:val="20"/>
                <w:szCs w:val="20"/>
                <w:highlight w:val="none"/>
              </w:rPr>
              <w:t>四档（5分）：服务承诺完整，内容详细，可行性强，承诺在施工过程中迅速响应并在业主要求的时间内派本项目专职代表到现场主动解决问题。</w:t>
            </w:r>
          </w:p>
        </w:tc>
      </w:tr>
      <w:tr w14:paraId="578A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noWrap w:val="0"/>
            <w:vAlign w:val="top"/>
          </w:tcPr>
          <w:p w14:paraId="471C144E">
            <w:pPr>
              <w:spacing w:line="360" w:lineRule="auto"/>
              <w:rPr>
                <w:rFonts w:hint="eastAsia" w:ascii="宋体" w:hAnsi="宋体" w:eastAsia="宋体"/>
                <w:bCs/>
                <w:color w:val="auto"/>
                <w:sz w:val="20"/>
                <w:szCs w:val="20"/>
                <w:highlight w:val="none"/>
                <w:lang w:eastAsia="zh-CN"/>
              </w:rPr>
            </w:pPr>
            <w:r>
              <w:rPr>
                <w:rFonts w:hint="eastAsia" w:ascii="宋体" w:hAnsi="宋体"/>
                <w:bCs/>
                <w:color w:val="auto"/>
                <w:sz w:val="20"/>
                <w:szCs w:val="20"/>
                <w:highlight w:val="none"/>
                <w:lang w:val="en-US" w:eastAsia="zh-CN"/>
              </w:rPr>
              <w:t>3</w:t>
            </w:r>
          </w:p>
        </w:tc>
        <w:tc>
          <w:tcPr>
            <w:tcW w:w="9081" w:type="dxa"/>
            <w:gridSpan w:val="2"/>
            <w:noWrap w:val="0"/>
            <w:vAlign w:val="top"/>
          </w:tcPr>
          <w:p w14:paraId="288E349E">
            <w:pPr>
              <w:spacing w:line="360" w:lineRule="auto"/>
              <w:rPr>
                <w:rFonts w:ascii="宋体" w:hAnsi="宋体"/>
                <w:bCs/>
                <w:color w:val="auto"/>
                <w:sz w:val="20"/>
                <w:szCs w:val="20"/>
                <w:highlight w:val="none"/>
              </w:rPr>
            </w:pPr>
            <w:r>
              <w:rPr>
                <w:rFonts w:hint="eastAsia" w:ascii="宋体" w:hAnsi="宋体"/>
                <w:bCs/>
                <w:color w:val="auto"/>
                <w:sz w:val="20"/>
                <w:szCs w:val="20"/>
                <w:highlight w:val="none"/>
              </w:rPr>
              <w:t>商务分（满分</w:t>
            </w:r>
            <w:r>
              <w:rPr>
                <w:rFonts w:hint="eastAsia" w:ascii="宋体" w:hAnsi="宋体"/>
                <w:bCs/>
                <w:color w:val="auto"/>
                <w:sz w:val="20"/>
                <w:szCs w:val="20"/>
                <w:highlight w:val="none"/>
                <w:lang w:val="en-US" w:eastAsia="zh-CN"/>
              </w:rPr>
              <w:t>17</w:t>
            </w:r>
            <w:r>
              <w:rPr>
                <w:rFonts w:hint="eastAsia" w:ascii="宋体" w:hAnsi="宋体"/>
                <w:bCs/>
                <w:color w:val="auto"/>
                <w:sz w:val="20"/>
                <w:szCs w:val="20"/>
                <w:highlight w:val="none"/>
              </w:rPr>
              <w:t>分）</w:t>
            </w:r>
          </w:p>
        </w:tc>
      </w:tr>
      <w:tr w14:paraId="6ACA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19" w:type="dxa"/>
            <w:noWrap w:val="0"/>
            <w:vAlign w:val="center"/>
          </w:tcPr>
          <w:p w14:paraId="6977E754">
            <w:pPr>
              <w:spacing w:line="360" w:lineRule="auto"/>
              <w:jc w:val="both"/>
              <w:rPr>
                <w:rFonts w:hint="eastAsia" w:ascii="宋体" w:hAnsi="宋体"/>
                <w:bCs/>
                <w:color w:val="auto"/>
                <w:sz w:val="20"/>
                <w:szCs w:val="20"/>
                <w:highlight w:val="none"/>
                <w:lang w:val="en-US" w:eastAsia="zh-CN"/>
              </w:rPr>
            </w:pPr>
            <w:r>
              <w:rPr>
                <w:rFonts w:hint="eastAsia" w:ascii="宋体" w:hAnsi="宋体"/>
                <w:bCs/>
                <w:color w:val="auto"/>
                <w:sz w:val="20"/>
                <w:szCs w:val="20"/>
                <w:highlight w:val="none"/>
                <w:lang w:val="en-US" w:eastAsia="zh-CN"/>
              </w:rPr>
              <w:t>3</w:t>
            </w:r>
            <w:r>
              <w:rPr>
                <w:rFonts w:hint="eastAsia" w:ascii="宋体" w:hAnsi="宋体"/>
                <w:bCs/>
                <w:color w:val="auto"/>
                <w:sz w:val="20"/>
                <w:szCs w:val="20"/>
                <w:highlight w:val="none"/>
              </w:rPr>
              <w:t>.1</w:t>
            </w:r>
          </w:p>
          <w:p w14:paraId="285BE697">
            <w:pPr>
              <w:spacing w:line="360" w:lineRule="auto"/>
              <w:jc w:val="both"/>
              <w:rPr>
                <w:rFonts w:ascii="宋体" w:hAnsi="宋体"/>
                <w:bCs/>
                <w:color w:val="auto"/>
                <w:sz w:val="20"/>
                <w:szCs w:val="20"/>
                <w:highlight w:val="none"/>
              </w:rPr>
            </w:pPr>
          </w:p>
        </w:tc>
        <w:tc>
          <w:tcPr>
            <w:tcW w:w="1404" w:type="dxa"/>
            <w:noWrap w:val="0"/>
            <w:vAlign w:val="center"/>
          </w:tcPr>
          <w:p w14:paraId="1F700D1D">
            <w:pPr>
              <w:spacing w:line="360" w:lineRule="auto"/>
              <w:jc w:val="center"/>
              <w:rPr>
                <w:rFonts w:hint="eastAsia" w:ascii="宋体" w:hAnsi="宋体"/>
                <w:bCs/>
                <w:color w:val="auto"/>
                <w:sz w:val="20"/>
                <w:szCs w:val="20"/>
                <w:highlight w:val="none"/>
              </w:rPr>
            </w:pPr>
            <w:r>
              <w:rPr>
                <w:rFonts w:hint="eastAsia" w:ascii="宋体" w:hAnsi="宋体"/>
                <w:bCs/>
                <w:color w:val="auto"/>
                <w:sz w:val="20"/>
                <w:szCs w:val="20"/>
                <w:highlight w:val="none"/>
              </w:rPr>
              <w:t>商务资信</w:t>
            </w:r>
          </w:p>
          <w:p w14:paraId="43C30B20">
            <w:pPr>
              <w:spacing w:line="360" w:lineRule="auto"/>
              <w:jc w:val="center"/>
              <w:rPr>
                <w:rFonts w:ascii="宋体" w:hAnsi="宋体"/>
                <w:bCs/>
                <w:color w:val="auto"/>
                <w:sz w:val="20"/>
                <w:szCs w:val="20"/>
                <w:highlight w:val="none"/>
              </w:rPr>
            </w:pPr>
          </w:p>
        </w:tc>
        <w:tc>
          <w:tcPr>
            <w:tcW w:w="7677" w:type="dxa"/>
            <w:noWrap w:val="0"/>
            <w:vAlign w:val="top"/>
          </w:tcPr>
          <w:p w14:paraId="70EA3A6B">
            <w:pPr>
              <w:spacing w:line="360" w:lineRule="auto"/>
              <w:rPr>
                <w:rFonts w:hint="eastAsia" w:ascii="宋体" w:hAnsi="宋体"/>
                <w:bCs/>
                <w:color w:val="auto"/>
                <w:sz w:val="20"/>
                <w:szCs w:val="20"/>
                <w:highlight w:val="none"/>
              </w:rPr>
            </w:pPr>
            <w:r>
              <w:rPr>
                <w:rFonts w:hint="eastAsia" w:ascii="宋体" w:hAnsi="宋体"/>
                <w:bCs/>
                <w:color w:val="auto"/>
                <w:sz w:val="20"/>
                <w:szCs w:val="20"/>
                <w:highlight w:val="none"/>
              </w:rPr>
              <w:t>人员配置（满分</w:t>
            </w:r>
            <w:r>
              <w:rPr>
                <w:rFonts w:hint="eastAsia" w:ascii="宋体" w:hAnsi="宋体"/>
                <w:bCs/>
                <w:color w:val="auto"/>
                <w:sz w:val="20"/>
                <w:szCs w:val="20"/>
                <w:highlight w:val="none"/>
                <w:lang w:val="en-US" w:eastAsia="zh-CN"/>
              </w:rPr>
              <w:t>12</w:t>
            </w:r>
            <w:r>
              <w:rPr>
                <w:rFonts w:hint="eastAsia" w:ascii="宋体" w:hAnsi="宋体"/>
                <w:bCs/>
                <w:color w:val="auto"/>
                <w:sz w:val="20"/>
                <w:szCs w:val="20"/>
                <w:highlight w:val="none"/>
              </w:rPr>
              <w:t>分）：拟投入人员必须提供资格证书或上岗证的复印件及开标前三个月供应商为其缴纳社会养老保险金缴纳证明复印件，并加盖单位公章，不按照要求提供的不得分。</w:t>
            </w:r>
          </w:p>
          <w:p w14:paraId="10A2249B">
            <w:pPr>
              <w:pStyle w:val="69"/>
              <w:numPr>
                <w:ilvl w:val="0"/>
                <w:numId w:val="0"/>
              </w:numPr>
              <w:spacing w:line="360" w:lineRule="auto"/>
              <w:rPr>
                <w:rFonts w:ascii="宋体" w:hAnsi="宋体" w:eastAsia="宋体" w:cs="Calibri"/>
                <w:bCs/>
                <w:color w:val="auto"/>
                <w:sz w:val="20"/>
                <w:szCs w:val="20"/>
                <w:highlight w:val="none"/>
              </w:rPr>
            </w:pPr>
            <w:r>
              <w:rPr>
                <w:rFonts w:hint="default" w:ascii="Calibri" w:hAnsi="Calibri" w:eastAsia="宋体" w:cs="Calibri"/>
                <w:bCs/>
                <w:color w:val="auto"/>
                <w:sz w:val="20"/>
                <w:szCs w:val="20"/>
                <w:highlight w:val="none"/>
              </w:rPr>
              <w:t>①</w:t>
            </w:r>
            <w:r>
              <w:rPr>
                <w:rFonts w:hint="eastAsia" w:ascii="宋体" w:hAnsi="宋体" w:eastAsia="宋体" w:cs="Calibri"/>
                <w:bCs/>
                <w:color w:val="auto"/>
                <w:sz w:val="20"/>
                <w:szCs w:val="20"/>
                <w:highlight w:val="none"/>
              </w:rPr>
              <w:t>投入本项目的项目经理具备中级职称的，得1分；拟投入本项目的项目经理具备高级职称的，得2分；满分2分。</w:t>
            </w:r>
          </w:p>
          <w:p w14:paraId="07F55696">
            <w:pPr>
              <w:spacing w:line="360" w:lineRule="auto"/>
              <w:rPr>
                <w:rFonts w:ascii="宋体" w:hAnsi="宋体" w:cs="Calibri"/>
                <w:bCs/>
                <w:color w:val="auto"/>
                <w:sz w:val="20"/>
                <w:szCs w:val="20"/>
                <w:highlight w:val="none"/>
              </w:rPr>
            </w:pPr>
            <w:r>
              <w:rPr>
                <w:rFonts w:hint="default" w:ascii="Calibri" w:hAnsi="Calibri" w:cs="Calibri"/>
                <w:bCs/>
                <w:color w:val="auto"/>
                <w:sz w:val="20"/>
                <w:szCs w:val="20"/>
                <w:highlight w:val="none"/>
              </w:rPr>
              <w:t>②</w:t>
            </w:r>
            <w:r>
              <w:rPr>
                <w:rFonts w:hint="eastAsia" w:ascii="宋体" w:hAnsi="宋体" w:cs="Calibri"/>
                <w:bCs/>
                <w:color w:val="auto"/>
                <w:sz w:val="20"/>
                <w:szCs w:val="20"/>
                <w:highlight w:val="none"/>
              </w:rPr>
              <w:t>拟投入本项目的</w:t>
            </w:r>
            <w:r>
              <w:rPr>
                <w:rFonts w:hint="eastAsia" w:ascii="宋体" w:hAnsi="宋体" w:cs="Calibri"/>
                <w:bCs/>
                <w:color w:val="auto"/>
                <w:sz w:val="20"/>
                <w:szCs w:val="20"/>
                <w:highlight w:val="none"/>
                <w:lang w:val="en-US" w:eastAsia="zh-CN"/>
              </w:rPr>
              <w:t>技术负责人</w:t>
            </w:r>
            <w:r>
              <w:rPr>
                <w:rFonts w:hint="eastAsia" w:ascii="宋体" w:hAnsi="宋体" w:cs="Calibri"/>
                <w:bCs/>
                <w:color w:val="auto"/>
                <w:sz w:val="20"/>
                <w:szCs w:val="20"/>
                <w:highlight w:val="none"/>
              </w:rPr>
              <w:t>具有</w:t>
            </w:r>
            <w:r>
              <w:rPr>
                <w:rFonts w:hint="eastAsia" w:ascii="宋体" w:hAnsi="宋体" w:cs="Calibri"/>
                <w:bCs/>
                <w:color w:val="auto"/>
                <w:sz w:val="20"/>
                <w:szCs w:val="20"/>
                <w:highlight w:val="none"/>
                <w:lang w:val="en-US" w:eastAsia="zh-CN"/>
              </w:rPr>
              <w:t>二级建造师（机电工程专业）</w:t>
            </w:r>
            <w:r>
              <w:rPr>
                <w:rFonts w:hint="eastAsia" w:ascii="宋体" w:hAnsi="宋体" w:cs="Calibri"/>
                <w:bCs/>
                <w:color w:val="auto"/>
                <w:sz w:val="20"/>
                <w:szCs w:val="20"/>
                <w:highlight w:val="none"/>
              </w:rPr>
              <w:t>得</w:t>
            </w:r>
            <w:r>
              <w:rPr>
                <w:rFonts w:hint="eastAsia" w:ascii="宋体" w:hAnsi="宋体" w:cs="Calibri"/>
                <w:bCs/>
                <w:color w:val="auto"/>
                <w:sz w:val="20"/>
                <w:szCs w:val="20"/>
                <w:highlight w:val="none"/>
                <w:lang w:val="en-US" w:eastAsia="zh-CN"/>
              </w:rPr>
              <w:t>3</w:t>
            </w:r>
            <w:r>
              <w:rPr>
                <w:rFonts w:hint="eastAsia" w:ascii="宋体" w:hAnsi="宋体" w:cs="Calibri"/>
                <w:bCs/>
                <w:color w:val="auto"/>
                <w:sz w:val="20"/>
                <w:szCs w:val="20"/>
                <w:highlight w:val="none"/>
              </w:rPr>
              <w:t>分，具有</w:t>
            </w:r>
            <w:r>
              <w:rPr>
                <w:rFonts w:hint="eastAsia" w:ascii="宋体" w:hAnsi="宋体" w:cs="Calibri"/>
                <w:bCs/>
                <w:color w:val="auto"/>
                <w:sz w:val="20"/>
                <w:szCs w:val="20"/>
                <w:highlight w:val="none"/>
                <w:lang w:val="en-US" w:eastAsia="zh-CN"/>
              </w:rPr>
              <w:t>一级建造师（机电工程专业）得6分，</w:t>
            </w:r>
            <w:r>
              <w:rPr>
                <w:rFonts w:hint="eastAsia" w:ascii="宋体" w:hAnsi="宋体" w:cs="Calibri"/>
                <w:bCs/>
                <w:color w:val="auto"/>
                <w:sz w:val="20"/>
                <w:szCs w:val="20"/>
                <w:highlight w:val="none"/>
              </w:rPr>
              <w:t>满分6分。</w:t>
            </w:r>
          </w:p>
          <w:p w14:paraId="7BD3E7E0">
            <w:pPr>
              <w:spacing w:line="360" w:lineRule="auto"/>
              <w:rPr>
                <w:rFonts w:ascii="宋体" w:hAnsi="宋体" w:cs="Calibri"/>
                <w:bCs/>
                <w:color w:val="auto"/>
                <w:sz w:val="20"/>
                <w:szCs w:val="20"/>
                <w:highlight w:val="none"/>
              </w:rPr>
            </w:pPr>
            <w:r>
              <w:rPr>
                <w:rFonts w:hint="default" w:ascii="Calibri" w:hAnsi="Calibri" w:cs="Calibri"/>
                <w:bCs/>
                <w:color w:val="auto"/>
                <w:sz w:val="20"/>
                <w:szCs w:val="20"/>
                <w:highlight w:val="none"/>
              </w:rPr>
              <w:t>③</w:t>
            </w:r>
            <w:r>
              <w:rPr>
                <w:rFonts w:hint="eastAsia" w:ascii="宋体" w:hAnsi="宋体" w:cs="Calibri"/>
                <w:bCs/>
                <w:color w:val="auto"/>
                <w:sz w:val="20"/>
                <w:szCs w:val="20"/>
                <w:highlight w:val="none"/>
              </w:rPr>
              <w:t>配备的施工员、质量员、材料员、安全员等人员具备相应岗位证书（符合国家有关规定）并具有初级（或以上）职称的每个得1分，满分4分。</w:t>
            </w:r>
          </w:p>
        </w:tc>
      </w:tr>
      <w:tr w14:paraId="0736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619" w:type="dxa"/>
            <w:noWrap w:val="0"/>
            <w:vAlign w:val="top"/>
          </w:tcPr>
          <w:p w14:paraId="03347BBA">
            <w:pPr>
              <w:spacing w:line="360" w:lineRule="auto"/>
              <w:rPr>
                <w:rFonts w:ascii="宋体" w:hAnsi="宋体"/>
                <w:bCs/>
                <w:color w:val="auto"/>
                <w:sz w:val="20"/>
                <w:szCs w:val="20"/>
                <w:highlight w:val="none"/>
              </w:rPr>
            </w:pPr>
            <w:r>
              <w:rPr>
                <w:rFonts w:hint="eastAsia" w:ascii="宋体" w:hAnsi="宋体"/>
                <w:bCs/>
                <w:color w:val="auto"/>
                <w:sz w:val="20"/>
                <w:szCs w:val="20"/>
                <w:highlight w:val="none"/>
                <w:lang w:val="en-US" w:eastAsia="zh-CN"/>
              </w:rPr>
              <w:t>3</w:t>
            </w:r>
            <w:r>
              <w:rPr>
                <w:rFonts w:hint="eastAsia" w:ascii="宋体" w:hAnsi="宋体"/>
                <w:bCs/>
                <w:color w:val="auto"/>
                <w:sz w:val="20"/>
                <w:szCs w:val="20"/>
                <w:highlight w:val="none"/>
              </w:rPr>
              <w:t>.2</w:t>
            </w:r>
          </w:p>
        </w:tc>
        <w:tc>
          <w:tcPr>
            <w:tcW w:w="1404" w:type="dxa"/>
            <w:noWrap w:val="0"/>
            <w:vAlign w:val="top"/>
          </w:tcPr>
          <w:p w14:paraId="62E46F67">
            <w:pPr>
              <w:spacing w:line="360" w:lineRule="auto"/>
              <w:rPr>
                <w:rFonts w:ascii="宋体" w:hAnsi="宋体"/>
                <w:bCs/>
                <w:color w:val="auto"/>
                <w:sz w:val="20"/>
                <w:szCs w:val="20"/>
                <w:highlight w:val="none"/>
              </w:rPr>
            </w:pPr>
            <w:r>
              <w:rPr>
                <w:rFonts w:hint="eastAsia" w:ascii="宋体" w:hAnsi="宋体"/>
                <w:bCs/>
                <w:color w:val="auto"/>
                <w:sz w:val="20"/>
                <w:szCs w:val="20"/>
                <w:highlight w:val="none"/>
              </w:rPr>
              <w:t>商务资信</w:t>
            </w:r>
          </w:p>
        </w:tc>
        <w:tc>
          <w:tcPr>
            <w:tcW w:w="7677" w:type="dxa"/>
            <w:noWrap w:val="0"/>
            <w:vAlign w:val="top"/>
          </w:tcPr>
          <w:p w14:paraId="4F86E00D">
            <w:pPr>
              <w:spacing w:line="360" w:lineRule="auto"/>
              <w:rPr>
                <w:rFonts w:ascii="宋体" w:hAnsi="宋体"/>
                <w:bCs/>
                <w:color w:val="auto"/>
                <w:sz w:val="20"/>
                <w:szCs w:val="20"/>
                <w:highlight w:val="none"/>
              </w:rPr>
            </w:pPr>
            <w:r>
              <w:rPr>
                <w:rFonts w:hint="eastAsia" w:ascii="宋体" w:hAnsi="宋体"/>
                <w:bCs/>
                <w:color w:val="auto"/>
                <w:sz w:val="20"/>
                <w:szCs w:val="20"/>
                <w:highlight w:val="none"/>
              </w:rPr>
              <w:t>业绩分（满分</w:t>
            </w:r>
            <w:r>
              <w:rPr>
                <w:rFonts w:hint="eastAsia" w:ascii="宋体" w:hAnsi="宋体"/>
                <w:bCs/>
                <w:color w:val="auto"/>
                <w:sz w:val="20"/>
                <w:szCs w:val="20"/>
                <w:highlight w:val="none"/>
                <w:lang w:val="en-US" w:eastAsia="zh-CN"/>
              </w:rPr>
              <w:t>5</w:t>
            </w:r>
            <w:r>
              <w:rPr>
                <w:rFonts w:hint="eastAsia" w:ascii="宋体" w:hAnsi="宋体"/>
                <w:bCs/>
                <w:color w:val="auto"/>
                <w:sz w:val="20"/>
                <w:szCs w:val="20"/>
                <w:highlight w:val="none"/>
              </w:rPr>
              <w:t>分）</w:t>
            </w:r>
          </w:p>
          <w:p w14:paraId="2CE76D07">
            <w:pPr>
              <w:spacing w:line="360" w:lineRule="auto"/>
              <w:rPr>
                <w:rFonts w:ascii="宋体" w:hAnsi="宋体"/>
                <w:bCs/>
                <w:color w:val="auto"/>
                <w:sz w:val="20"/>
                <w:szCs w:val="20"/>
                <w:highlight w:val="none"/>
              </w:rPr>
            </w:pPr>
            <w:r>
              <w:rPr>
                <w:rFonts w:hint="eastAsia" w:ascii="宋体" w:hAnsi="宋体"/>
                <w:bCs/>
                <w:color w:val="auto"/>
                <w:sz w:val="20"/>
                <w:szCs w:val="20"/>
                <w:highlight w:val="none"/>
              </w:rPr>
              <w:t>供应商在</w:t>
            </w:r>
            <w:r>
              <w:rPr>
                <w:rFonts w:hint="eastAsia" w:ascii="宋体" w:hAnsi="宋体"/>
                <w:bCs/>
                <w:color w:val="auto"/>
                <w:sz w:val="20"/>
                <w:szCs w:val="20"/>
                <w:highlight w:val="none"/>
                <w:lang w:val="en-US" w:eastAsia="zh-CN"/>
              </w:rPr>
              <w:t>2022年11月以来</w:t>
            </w:r>
            <w:r>
              <w:rPr>
                <w:rFonts w:hint="eastAsia" w:ascii="宋体" w:hAnsi="宋体"/>
                <w:bCs/>
                <w:color w:val="auto"/>
                <w:sz w:val="20"/>
                <w:szCs w:val="20"/>
                <w:highlight w:val="none"/>
              </w:rPr>
              <w:t>承担过同类项目业绩，每有一个项目得</w:t>
            </w:r>
            <w:r>
              <w:rPr>
                <w:rFonts w:hint="eastAsia" w:ascii="宋体" w:hAnsi="宋体"/>
                <w:bCs/>
                <w:color w:val="auto"/>
                <w:sz w:val="20"/>
                <w:szCs w:val="20"/>
                <w:highlight w:val="none"/>
                <w:lang w:val="en-US" w:eastAsia="zh-CN"/>
              </w:rPr>
              <w:t>2.5</w:t>
            </w:r>
            <w:r>
              <w:rPr>
                <w:rFonts w:hint="eastAsia" w:ascii="宋体" w:hAnsi="宋体"/>
                <w:bCs/>
                <w:color w:val="auto"/>
                <w:sz w:val="20"/>
                <w:szCs w:val="20"/>
                <w:highlight w:val="none"/>
              </w:rPr>
              <w:t>分，满分</w:t>
            </w:r>
            <w:r>
              <w:rPr>
                <w:rFonts w:hint="eastAsia" w:ascii="宋体" w:hAnsi="宋体"/>
                <w:bCs/>
                <w:color w:val="auto"/>
                <w:sz w:val="20"/>
                <w:szCs w:val="20"/>
                <w:highlight w:val="none"/>
                <w:lang w:val="en-US" w:eastAsia="zh-CN"/>
              </w:rPr>
              <w:t>5</w:t>
            </w:r>
            <w:r>
              <w:rPr>
                <w:rFonts w:hint="eastAsia" w:ascii="宋体" w:hAnsi="宋体"/>
                <w:bCs/>
                <w:color w:val="auto"/>
                <w:sz w:val="20"/>
                <w:szCs w:val="20"/>
                <w:highlight w:val="none"/>
              </w:rPr>
              <w:t>分（须提供合同或中标（成交）通知书复印件并加盖公章，不按照上述要求提供资料者，不作为评分依据）。</w:t>
            </w:r>
          </w:p>
        </w:tc>
      </w:tr>
    </w:tbl>
    <w:p w14:paraId="6483FA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w:t>
      </w:r>
      <w:bookmarkEnd w:id="71"/>
    </w:p>
    <w:p w14:paraId="5AD0B910">
      <w:pPr>
        <w:spacing w:line="360" w:lineRule="auto"/>
        <w:ind w:firstLine="482" w:firstLineChars="200"/>
        <w:rPr>
          <w:rFonts w:ascii="宋体" w:hAnsi="宋体" w:cs="宋体"/>
          <w:b/>
          <w:bCs/>
          <w:color w:val="auto"/>
          <w:sz w:val="24"/>
          <w:highlight w:val="none"/>
        </w:rPr>
      </w:pPr>
      <w:bookmarkStart w:id="72" w:name="_Toc80205935"/>
      <w:r>
        <w:rPr>
          <w:rFonts w:hint="eastAsia" w:ascii="宋体" w:hAnsi="宋体" w:cs="宋体"/>
          <w:b/>
          <w:bCs/>
          <w:color w:val="auto"/>
          <w:sz w:val="24"/>
          <w:highlight w:val="none"/>
        </w:rPr>
        <w:t>7.2终止竞争性磋商采购活动</w:t>
      </w:r>
    </w:p>
    <w:p w14:paraId="27049E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2744BE7">
      <w:pPr>
        <w:widowControl/>
        <w:jc w:val="left"/>
        <w:rPr>
          <w:rFonts w:ascii="宋体" w:hAnsi="宋体" w:cs="宋体"/>
          <w:color w:val="auto"/>
          <w:sz w:val="24"/>
          <w:highlight w:val="none"/>
        </w:rPr>
      </w:pPr>
      <w:r>
        <w:rPr>
          <w:rFonts w:ascii="宋体" w:hAnsi="宋体" w:cs="宋体"/>
          <w:color w:val="auto"/>
          <w:sz w:val="24"/>
          <w:highlight w:val="none"/>
        </w:rPr>
        <w:br w:type="page"/>
      </w:r>
    </w:p>
    <w:p w14:paraId="7AC452D0">
      <w:pPr>
        <w:spacing w:line="360" w:lineRule="auto"/>
        <w:ind w:firstLine="480" w:firstLineChars="200"/>
        <w:rPr>
          <w:rFonts w:ascii="宋体" w:hAnsi="宋体" w:cs="宋体"/>
          <w:color w:val="auto"/>
          <w:sz w:val="24"/>
          <w:highlight w:val="none"/>
        </w:rPr>
      </w:pPr>
    </w:p>
    <w:p w14:paraId="5F43EA7F">
      <w:pPr>
        <w:pStyle w:val="4"/>
        <w:spacing w:beforeLines="50" w:after="0" w:line="360" w:lineRule="auto"/>
        <w:jc w:val="center"/>
        <w:rPr>
          <w:rFonts w:ascii="宋体" w:hAnsi="宋体" w:cs="宋体"/>
          <w:bCs w:val="0"/>
          <w:color w:val="auto"/>
          <w:sz w:val="28"/>
          <w:szCs w:val="28"/>
          <w:highlight w:val="none"/>
        </w:rPr>
      </w:pPr>
      <w:bookmarkStart w:id="73" w:name="_Toc25766"/>
      <w:r>
        <w:rPr>
          <w:rFonts w:hint="eastAsia" w:ascii="宋体" w:hAnsi="宋体" w:cs="宋体"/>
          <w:bCs w:val="0"/>
          <w:color w:val="auto"/>
          <w:sz w:val="28"/>
          <w:szCs w:val="28"/>
          <w:highlight w:val="none"/>
        </w:rPr>
        <w:t>第二节 评标报告</w:t>
      </w:r>
      <w:bookmarkEnd w:id="72"/>
      <w:bookmarkEnd w:id="73"/>
    </w:p>
    <w:p w14:paraId="60F93935">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1.成交标准</w:t>
      </w:r>
    </w:p>
    <w:p w14:paraId="392CDEC9">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由磋商小组根据综合评分情况，按照评审得分由高到低顺序推荐3名以上成交候选供应商</w:t>
      </w:r>
      <w:r>
        <w:rPr>
          <w:rFonts w:hint="eastAsia" w:ascii="宋体" w:hAnsi="宋体" w:cs="宋体"/>
          <w:color w:val="auto"/>
          <w:sz w:val="24"/>
          <w:highlight w:val="none"/>
        </w:rPr>
        <w:t>,并在线编写电子评审报告</w:t>
      </w:r>
      <w:r>
        <w:rPr>
          <w:rFonts w:hint="eastAsia" w:ascii="宋体" w:hAnsi="宋体" w:cs="宋体"/>
          <w:bCs/>
          <w:color w:val="auto"/>
          <w:sz w:val="24"/>
          <w:highlight w:val="none"/>
        </w:rPr>
        <w:t>。符合本章第一节第5.4条情形的，可以推荐2家成交候选供应商。评审得分相同的，按照最后报价（不计算价格折扣）由低到高的顺序推荐。评审得分且最后报价（不计算价格折扣）相同的，按照技术得分由高到低排序推荐，技术得分相同的按照商务得分由高到低排序推荐。评审得分、最后报价（不计算价格折扣）、技术得分、商务得分均相同的，由磋商小组随机抽取推荐。</w:t>
      </w:r>
    </w:p>
    <w:p w14:paraId="2571FAB5">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2.评标争议事项处理</w:t>
      </w:r>
    </w:p>
    <w:p w14:paraId="1907A724">
      <w:pPr>
        <w:pStyle w:val="76"/>
        <w:spacing w:before="0" w:line="40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0BD1960">
      <w:pPr>
        <w:pStyle w:val="76"/>
        <w:spacing w:before="0" w:line="400" w:lineRule="exact"/>
        <w:ind w:firstLine="480"/>
        <w:rPr>
          <w:rFonts w:ascii="宋体" w:hAnsi="宋体" w:cs="宋体"/>
          <w:color w:val="auto"/>
          <w:kern w:val="2"/>
          <w:szCs w:val="24"/>
          <w:highlight w:val="none"/>
        </w:rPr>
      </w:pPr>
    </w:p>
    <w:p w14:paraId="7492DE2D">
      <w:pPr>
        <w:pStyle w:val="4"/>
        <w:spacing w:before="0" w:after="0" w:line="360" w:lineRule="auto"/>
        <w:jc w:val="center"/>
        <w:rPr>
          <w:rFonts w:ascii="宋体" w:hAnsi="宋体" w:cs="宋体"/>
          <w:b w:val="0"/>
          <w:color w:val="auto"/>
          <w:highlight w:val="none"/>
        </w:rPr>
      </w:pPr>
      <w:bookmarkStart w:id="74" w:name="_Toc6554"/>
      <w:bookmarkStart w:id="75" w:name="_Toc80205936"/>
      <w:r>
        <w:rPr>
          <w:rFonts w:hint="eastAsia" w:ascii="宋体" w:hAnsi="宋体" w:cs="宋体"/>
          <w:bCs w:val="0"/>
          <w:color w:val="auto"/>
          <w:sz w:val="28"/>
          <w:szCs w:val="28"/>
          <w:highlight w:val="none"/>
        </w:rPr>
        <w:t>第三节 评审过程的保密与录像</w:t>
      </w:r>
      <w:bookmarkEnd w:id="74"/>
      <w:bookmarkEnd w:id="75"/>
    </w:p>
    <w:p w14:paraId="2282CD09">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1.保密</w:t>
      </w:r>
    </w:p>
    <w:p w14:paraId="68F53A4B">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59D7DEEF">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2.录音录像</w:t>
      </w:r>
    </w:p>
    <w:p w14:paraId="1C2AB64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采购代理机构对评审工作现场及操作屏幕进行全过程录音录像，录音录像资料作为采购项目文件随其他文件一并存档。</w:t>
      </w:r>
    </w:p>
    <w:p w14:paraId="245A9A1C">
      <w:pPr>
        <w:widowControl/>
        <w:jc w:val="left"/>
        <w:rPr>
          <w:rFonts w:ascii="宋体" w:hAnsi="宋体" w:cs="宋体"/>
          <w:color w:val="auto"/>
          <w:highlight w:val="none"/>
        </w:rPr>
      </w:pPr>
      <w:r>
        <w:rPr>
          <w:rFonts w:ascii="宋体" w:hAnsi="宋体" w:cs="宋体"/>
          <w:color w:val="auto"/>
          <w:highlight w:val="none"/>
        </w:rPr>
        <w:br w:type="page"/>
      </w:r>
    </w:p>
    <w:p w14:paraId="2ECDEEC8">
      <w:pPr>
        <w:spacing w:line="400" w:lineRule="exact"/>
        <w:ind w:firstLine="420" w:firstLineChars="200"/>
        <w:rPr>
          <w:rFonts w:ascii="宋体" w:hAnsi="宋体" w:cs="宋体"/>
          <w:color w:val="auto"/>
          <w:highlight w:val="none"/>
        </w:rPr>
      </w:pPr>
    </w:p>
    <w:p w14:paraId="035AC1EB">
      <w:pPr>
        <w:pStyle w:val="3"/>
        <w:spacing w:before="0" w:after="0" w:line="360" w:lineRule="auto"/>
        <w:jc w:val="center"/>
        <w:rPr>
          <w:rFonts w:ascii="宋体" w:hAnsi="宋体" w:cs="宋体"/>
          <w:bCs w:val="0"/>
          <w:color w:val="auto"/>
          <w:kern w:val="2"/>
          <w:sz w:val="32"/>
          <w:szCs w:val="32"/>
          <w:highlight w:val="none"/>
        </w:rPr>
      </w:pPr>
      <w:bookmarkStart w:id="76" w:name="_Toc19118"/>
      <w:r>
        <w:rPr>
          <w:rFonts w:hint="eastAsia" w:ascii="宋体" w:hAnsi="宋体" w:cs="宋体"/>
          <w:bCs w:val="0"/>
          <w:color w:val="auto"/>
          <w:kern w:val="2"/>
          <w:sz w:val="32"/>
          <w:szCs w:val="32"/>
          <w:highlight w:val="none"/>
        </w:rPr>
        <w:t>第五章  工程量清单</w:t>
      </w:r>
      <w:bookmarkEnd w:id="76"/>
    </w:p>
    <w:p w14:paraId="2C399C4F">
      <w:pPr>
        <w:pStyle w:val="13"/>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工程量清单[登陆广西政府采购云平台（https://www.gcy.zfcg.gxzf.gov.cn/）获取（下载）]是本竞争性磋商文件的组成部分。</w:t>
      </w:r>
    </w:p>
    <w:p w14:paraId="31E4CB58">
      <w:pPr>
        <w:spacing w:line="500" w:lineRule="exact"/>
        <w:ind w:firstLine="480" w:firstLineChars="200"/>
        <w:rPr>
          <w:rFonts w:ascii="宋体" w:hAnsi="宋体" w:cs="宋体"/>
          <w:color w:val="auto"/>
          <w:sz w:val="24"/>
          <w:highlight w:val="none"/>
        </w:rPr>
      </w:pPr>
    </w:p>
    <w:p w14:paraId="2A790B7F">
      <w:pPr>
        <w:widowControl/>
        <w:jc w:val="left"/>
        <w:rPr>
          <w:rFonts w:ascii="宋体" w:hAnsi="宋体" w:cs="宋体"/>
          <w:color w:val="auto"/>
          <w:sz w:val="24"/>
          <w:highlight w:val="none"/>
        </w:rPr>
      </w:pPr>
      <w:r>
        <w:rPr>
          <w:rFonts w:ascii="宋体" w:hAnsi="宋体" w:cs="宋体"/>
          <w:color w:val="auto"/>
          <w:sz w:val="24"/>
          <w:highlight w:val="none"/>
        </w:rPr>
        <w:br w:type="page"/>
      </w:r>
    </w:p>
    <w:p w14:paraId="39E881D3">
      <w:pPr>
        <w:spacing w:line="500" w:lineRule="exact"/>
        <w:ind w:firstLine="480" w:firstLineChars="200"/>
        <w:rPr>
          <w:rFonts w:ascii="宋体" w:hAnsi="宋体" w:cs="宋体"/>
          <w:color w:val="auto"/>
          <w:sz w:val="24"/>
          <w:highlight w:val="none"/>
        </w:rPr>
      </w:pPr>
    </w:p>
    <w:p w14:paraId="6126A744">
      <w:pPr>
        <w:pStyle w:val="3"/>
        <w:spacing w:before="0" w:after="0" w:line="360" w:lineRule="auto"/>
        <w:jc w:val="center"/>
        <w:rPr>
          <w:rFonts w:ascii="宋体" w:hAnsi="宋体" w:cs="宋体"/>
          <w:bCs w:val="0"/>
          <w:color w:val="auto"/>
          <w:kern w:val="2"/>
          <w:sz w:val="32"/>
          <w:szCs w:val="32"/>
          <w:highlight w:val="none"/>
        </w:rPr>
      </w:pPr>
      <w:bookmarkStart w:id="77" w:name="_Toc30036"/>
      <w:r>
        <w:rPr>
          <w:rFonts w:hint="eastAsia" w:ascii="宋体" w:hAnsi="宋体" w:cs="宋体"/>
          <w:bCs w:val="0"/>
          <w:color w:val="auto"/>
          <w:kern w:val="2"/>
          <w:sz w:val="32"/>
          <w:szCs w:val="32"/>
          <w:highlight w:val="none"/>
        </w:rPr>
        <w:t>第六章 图纸（另册）</w:t>
      </w:r>
      <w:bookmarkEnd w:id="77"/>
    </w:p>
    <w:p w14:paraId="13580B60">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施工图纸（如有的话）[登陆广西政府采购云平台（https://www.gcy.zfcg.gxzf.gov.cn/）获取（下载）]，是本竞争性磋商文件的组成部分。</w:t>
      </w:r>
    </w:p>
    <w:p w14:paraId="64E54CBE">
      <w:pPr>
        <w:widowControl/>
        <w:jc w:val="left"/>
        <w:rPr>
          <w:rFonts w:ascii="宋体" w:hAnsi="宋体" w:cs="宋体"/>
          <w:color w:val="auto"/>
          <w:sz w:val="28"/>
          <w:szCs w:val="28"/>
          <w:highlight w:val="none"/>
        </w:rPr>
      </w:pPr>
      <w:r>
        <w:rPr>
          <w:rFonts w:ascii="宋体" w:hAnsi="宋体" w:cs="宋体"/>
          <w:color w:val="auto"/>
          <w:sz w:val="28"/>
          <w:szCs w:val="28"/>
          <w:highlight w:val="none"/>
        </w:rPr>
        <w:br w:type="page"/>
      </w:r>
    </w:p>
    <w:p w14:paraId="02452CB1">
      <w:pPr>
        <w:pStyle w:val="17"/>
        <w:rPr>
          <w:rFonts w:hAnsi="宋体" w:cs="宋体"/>
          <w:color w:val="auto"/>
          <w:kern w:val="2"/>
          <w:sz w:val="22"/>
          <w:szCs w:val="24"/>
          <w:highlight w:val="none"/>
        </w:rPr>
      </w:pPr>
      <w:r>
        <w:rPr>
          <w:rFonts w:hint="eastAsia" w:hAnsi="宋体" w:cs="宋体"/>
          <w:color w:val="auto"/>
          <w:kern w:val="2"/>
          <w:sz w:val="22"/>
          <w:szCs w:val="24"/>
          <w:highlight w:val="none"/>
        </w:rPr>
        <w:t>附件1：</w:t>
      </w:r>
    </w:p>
    <w:p w14:paraId="37903E30">
      <w:pPr>
        <w:pStyle w:val="17"/>
        <w:ind w:firstLine="400" w:firstLineChars="200"/>
        <w:rPr>
          <w:rFonts w:hAnsi="宋体" w:cs="宋体"/>
          <w:color w:val="auto"/>
          <w:kern w:val="2"/>
          <w:highlight w:val="none"/>
        </w:rPr>
      </w:pPr>
    </w:p>
    <w:p w14:paraId="2F10633B">
      <w:pPr>
        <w:widowControl/>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广西壮族自治区政府采购项目合同验收书（格式）</w:t>
      </w:r>
    </w:p>
    <w:p w14:paraId="1163BD9A">
      <w:pPr>
        <w:widowControl/>
        <w:spacing w:before="100" w:beforeAutospacing="1" w:after="100" w:afterAutospacing="1" w:line="320" w:lineRule="exact"/>
        <w:ind w:left="-359" w:leftChars="-171"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根据政府采购项目（</w:t>
      </w:r>
      <w:r>
        <w:rPr>
          <w:rFonts w:hint="eastAsia" w:ascii="宋体" w:hAnsi="宋体" w:cs="宋体"/>
          <w:color w:val="auto"/>
          <w:szCs w:val="21"/>
          <w:highlight w:val="none"/>
          <w:u w:val="single"/>
        </w:rPr>
        <w:t>采购合同编号：</w:t>
      </w:r>
      <w:r>
        <w:rPr>
          <w:rFonts w:hint="eastAsia" w:ascii="宋体" w:hAnsi="宋体" w:cs="宋体"/>
          <w:color w:val="auto"/>
          <w:szCs w:val="21"/>
          <w:highlight w:val="none"/>
          <w:u w:val="single"/>
        </w:rPr>
        <w:softHyphen/>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）的约定，我单位对（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）政府采购项目中标（或成交）供应商（</w:t>
      </w:r>
      <w:r>
        <w:rPr>
          <w:rFonts w:hint="eastAsia" w:ascii="宋体" w:hAnsi="宋体" w:cs="宋体"/>
          <w:color w:val="auto"/>
          <w:szCs w:val="21"/>
          <w:highlight w:val="none"/>
          <w:u w:val="single"/>
        </w:rPr>
        <w:t xml:space="preserve">            公司名称              </w:t>
      </w:r>
      <w:r>
        <w:rPr>
          <w:rFonts w:hint="eastAsia" w:ascii="宋体" w:hAnsi="宋体" w:cs="宋体"/>
          <w:color w:val="auto"/>
          <w:szCs w:val="21"/>
          <w:highlight w:val="none"/>
        </w:rPr>
        <w:t>）提供的货物（或工程、服务）进行了验收，验收情况如下：</w:t>
      </w:r>
    </w:p>
    <w:tbl>
      <w:tblPr>
        <w:tblStyle w:val="29"/>
        <w:tblW w:w="92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38"/>
        <w:gridCol w:w="2173"/>
        <w:gridCol w:w="895"/>
        <w:gridCol w:w="2363"/>
        <w:gridCol w:w="192"/>
        <w:gridCol w:w="751"/>
        <w:gridCol w:w="1296"/>
      </w:tblGrid>
      <w:tr w14:paraId="7611D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711" w:type="dxa"/>
            <w:gridSpan w:val="2"/>
            <w:tcBorders>
              <w:top w:val="single" w:color="auto" w:sz="8" w:space="0"/>
              <w:left w:val="single" w:color="auto" w:sz="8" w:space="0"/>
              <w:bottom w:val="single" w:color="auto" w:sz="8" w:space="0"/>
              <w:right w:val="single" w:color="auto" w:sz="8" w:space="0"/>
            </w:tcBorders>
            <w:vAlign w:val="center"/>
          </w:tcPr>
          <w:p w14:paraId="034EB808">
            <w:pPr>
              <w:widowControl/>
              <w:spacing w:before="100" w:beforeAutospacing="1" w:after="100" w:afterAutospacing="1" w:line="320" w:lineRule="exact"/>
              <w:ind w:left="-3" w:firstLine="4" w:firstLineChars="2"/>
              <w:jc w:val="center"/>
              <w:rPr>
                <w:rFonts w:ascii="宋体" w:hAnsi="宋体" w:cs="宋体"/>
                <w:color w:val="auto"/>
                <w:szCs w:val="21"/>
                <w:highlight w:val="none"/>
              </w:rPr>
            </w:pPr>
            <w:r>
              <w:rPr>
                <w:rFonts w:hint="eastAsia" w:ascii="宋体" w:hAnsi="宋体" w:cs="宋体"/>
                <w:color w:val="auto"/>
                <w:szCs w:val="21"/>
                <w:highlight w:val="none"/>
              </w:rPr>
              <w:t>验收方式：</w:t>
            </w:r>
          </w:p>
        </w:tc>
        <w:tc>
          <w:tcPr>
            <w:tcW w:w="5497" w:type="dxa"/>
            <w:gridSpan w:val="5"/>
            <w:tcBorders>
              <w:top w:val="single" w:color="auto" w:sz="8" w:space="0"/>
              <w:left w:val="single" w:color="auto" w:sz="8" w:space="0"/>
              <w:bottom w:val="single" w:color="auto" w:sz="8" w:space="0"/>
              <w:right w:val="single" w:color="auto" w:sz="8" w:space="0"/>
            </w:tcBorders>
            <w:vAlign w:val="center"/>
          </w:tcPr>
          <w:p w14:paraId="39CC09A4">
            <w:pPr>
              <w:widowControl/>
              <w:spacing w:before="100" w:beforeAutospacing="1" w:after="100" w:afterAutospacing="1" w:line="320" w:lineRule="exact"/>
              <w:ind w:left="-3" w:firstLine="420" w:firstLineChars="200"/>
              <w:jc w:val="center"/>
              <w:rPr>
                <w:rFonts w:ascii="宋体" w:hAnsi="宋体" w:cs="宋体"/>
                <w:color w:val="auto"/>
                <w:szCs w:val="21"/>
                <w:highlight w:val="none"/>
              </w:rPr>
            </w:pPr>
            <w:r>
              <w:rPr>
                <w:rFonts w:hint="eastAsia" w:ascii="宋体" w:hAnsi="宋体" w:cs="宋体"/>
                <w:color w:val="auto"/>
                <w:szCs w:val="21"/>
                <w:highlight w:val="none"/>
              </w:rPr>
              <w:t>□自行验收         □委托验收</w:t>
            </w:r>
          </w:p>
        </w:tc>
      </w:tr>
      <w:tr w14:paraId="4AD9A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38" w:type="dxa"/>
            <w:tcBorders>
              <w:top w:val="single" w:color="auto" w:sz="8" w:space="0"/>
              <w:left w:val="single" w:color="auto" w:sz="8" w:space="0"/>
              <w:bottom w:val="single" w:color="auto" w:sz="8" w:space="0"/>
              <w:right w:val="single" w:color="auto" w:sz="8" w:space="0"/>
            </w:tcBorders>
            <w:vAlign w:val="center"/>
          </w:tcPr>
          <w:p w14:paraId="759B21D3">
            <w:pPr>
              <w:widowControl/>
              <w:spacing w:before="100" w:beforeAutospacing="1" w:after="100" w:afterAutospacing="1" w:line="320" w:lineRule="exact"/>
              <w:ind w:firstLine="2" w:firstLineChars="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73" w:type="dxa"/>
            <w:tcBorders>
              <w:top w:val="single" w:color="auto" w:sz="8" w:space="0"/>
              <w:left w:val="single" w:color="auto" w:sz="8" w:space="0"/>
              <w:bottom w:val="single" w:color="auto" w:sz="8" w:space="0"/>
              <w:right w:val="single" w:color="auto" w:sz="8" w:space="0"/>
            </w:tcBorders>
            <w:vAlign w:val="center"/>
          </w:tcPr>
          <w:p w14:paraId="44375C40">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名  称</w:t>
            </w:r>
          </w:p>
        </w:tc>
        <w:tc>
          <w:tcPr>
            <w:tcW w:w="3258" w:type="dxa"/>
            <w:gridSpan w:val="2"/>
            <w:tcBorders>
              <w:top w:val="single" w:color="auto" w:sz="8" w:space="0"/>
              <w:left w:val="single" w:color="auto" w:sz="8" w:space="0"/>
              <w:bottom w:val="single" w:color="auto" w:sz="8" w:space="0"/>
              <w:right w:val="single" w:color="auto" w:sz="8" w:space="0"/>
            </w:tcBorders>
            <w:vAlign w:val="center"/>
          </w:tcPr>
          <w:p w14:paraId="23368871">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货物型号规格、标准及配置等（或服务内容、标准）</w:t>
            </w:r>
          </w:p>
        </w:tc>
        <w:tc>
          <w:tcPr>
            <w:tcW w:w="943" w:type="dxa"/>
            <w:gridSpan w:val="2"/>
            <w:tcBorders>
              <w:top w:val="single" w:color="auto" w:sz="8" w:space="0"/>
              <w:left w:val="single" w:color="auto" w:sz="8" w:space="0"/>
              <w:bottom w:val="single" w:color="auto" w:sz="8" w:space="0"/>
              <w:right w:val="single" w:color="auto" w:sz="8" w:space="0"/>
            </w:tcBorders>
            <w:vAlign w:val="center"/>
          </w:tcPr>
          <w:p w14:paraId="3011673F">
            <w:pPr>
              <w:widowControl/>
              <w:spacing w:before="100" w:beforeAutospacing="1" w:after="100" w:afterAutospacing="1" w:line="32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96" w:type="dxa"/>
            <w:tcBorders>
              <w:top w:val="single" w:color="auto" w:sz="8" w:space="0"/>
              <w:left w:val="single" w:color="auto" w:sz="8" w:space="0"/>
              <w:bottom w:val="single" w:color="auto" w:sz="8" w:space="0"/>
              <w:right w:val="single" w:color="auto" w:sz="8" w:space="0"/>
            </w:tcBorders>
            <w:vAlign w:val="center"/>
          </w:tcPr>
          <w:p w14:paraId="2C871104">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金  额</w:t>
            </w:r>
          </w:p>
        </w:tc>
      </w:tr>
      <w:tr w14:paraId="67231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38" w:type="dxa"/>
            <w:tcBorders>
              <w:top w:val="single" w:color="auto" w:sz="8" w:space="0"/>
              <w:left w:val="single" w:color="auto" w:sz="8" w:space="0"/>
              <w:bottom w:val="single" w:color="auto" w:sz="8" w:space="0"/>
              <w:right w:val="single" w:color="auto" w:sz="8" w:space="0"/>
            </w:tcBorders>
            <w:vAlign w:val="center"/>
          </w:tcPr>
          <w:p w14:paraId="2BFA13B8">
            <w:pPr>
              <w:widowControl/>
              <w:spacing w:before="100" w:beforeAutospacing="1" w:after="100" w:afterAutospacing="1" w:line="320" w:lineRule="exact"/>
              <w:ind w:left="-3" w:firstLine="4" w:firstLineChars="2"/>
              <w:jc w:val="left"/>
              <w:rPr>
                <w:rFonts w:ascii="宋体" w:hAnsi="宋体" w:cs="宋体"/>
                <w:color w:val="auto"/>
                <w:szCs w:val="21"/>
                <w:highlight w:val="none"/>
              </w:rPr>
            </w:pPr>
            <w:r>
              <w:rPr>
                <w:rFonts w:hint="eastAsia" w:ascii="宋体" w:hAnsi="宋体" w:cs="宋体"/>
                <w:color w:val="auto"/>
                <w:szCs w:val="21"/>
                <w:highlight w:val="none"/>
              </w:rPr>
              <w:t> </w:t>
            </w:r>
          </w:p>
        </w:tc>
        <w:tc>
          <w:tcPr>
            <w:tcW w:w="2173" w:type="dxa"/>
            <w:tcBorders>
              <w:top w:val="single" w:color="auto" w:sz="8" w:space="0"/>
              <w:left w:val="single" w:color="auto" w:sz="8" w:space="0"/>
              <w:bottom w:val="single" w:color="auto" w:sz="8" w:space="0"/>
              <w:right w:val="single" w:color="auto" w:sz="8" w:space="0"/>
            </w:tcBorders>
            <w:vAlign w:val="center"/>
          </w:tcPr>
          <w:p w14:paraId="2F5ED619">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3258" w:type="dxa"/>
            <w:gridSpan w:val="2"/>
            <w:tcBorders>
              <w:top w:val="single" w:color="auto" w:sz="8" w:space="0"/>
              <w:left w:val="single" w:color="auto" w:sz="8" w:space="0"/>
              <w:bottom w:val="single" w:color="auto" w:sz="8" w:space="0"/>
              <w:right w:val="single" w:color="auto" w:sz="8" w:space="0"/>
            </w:tcBorders>
            <w:vAlign w:val="center"/>
          </w:tcPr>
          <w:p w14:paraId="7268DFC2">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943" w:type="dxa"/>
            <w:gridSpan w:val="2"/>
            <w:tcBorders>
              <w:top w:val="single" w:color="auto" w:sz="8" w:space="0"/>
              <w:left w:val="single" w:color="auto" w:sz="8" w:space="0"/>
              <w:bottom w:val="single" w:color="auto" w:sz="8" w:space="0"/>
              <w:right w:val="single" w:color="auto" w:sz="8" w:space="0"/>
            </w:tcBorders>
            <w:vAlign w:val="center"/>
          </w:tcPr>
          <w:p w14:paraId="20EDF55F">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296" w:type="dxa"/>
            <w:tcBorders>
              <w:top w:val="single" w:color="auto" w:sz="8" w:space="0"/>
              <w:left w:val="single" w:color="auto" w:sz="8" w:space="0"/>
              <w:bottom w:val="single" w:color="auto" w:sz="8" w:space="0"/>
              <w:right w:val="single" w:color="auto" w:sz="8" w:space="0"/>
            </w:tcBorders>
            <w:vAlign w:val="center"/>
          </w:tcPr>
          <w:p w14:paraId="0A8FB989">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r>
      <w:tr w14:paraId="3AB50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38" w:type="dxa"/>
            <w:tcBorders>
              <w:top w:val="single" w:color="auto" w:sz="8" w:space="0"/>
              <w:left w:val="single" w:color="auto" w:sz="8" w:space="0"/>
              <w:bottom w:val="single" w:color="auto" w:sz="8" w:space="0"/>
              <w:right w:val="single" w:color="auto" w:sz="8" w:space="0"/>
            </w:tcBorders>
            <w:vAlign w:val="center"/>
          </w:tcPr>
          <w:p w14:paraId="7F67143E">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2173" w:type="dxa"/>
            <w:tcBorders>
              <w:top w:val="single" w:color="auto" w:sz="8" w:space="0"/>
              <w:left w:val="single" w:color="auto" w:sz="8" w:space="0"/>
              <w:bottom w:val="single" w:color="auto" w:sz="8" w:space="0"/>
              <w:right w:val="single" w:color="auto" w:sz="8" w:space="0"/>
            </w:tcBorders>
            <w:vAlign w:val="center"/>
          </w:tcPr>
          <w:p w14:paraId="3A12B92A">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3258" w:type="dxa"/>
            <w:gridSpan w:val="2"/>
            <w:tcBorders>
              <w:top w:val="single" w:color="auto" w:sz="8" w:space="0"/>
              <w:left w:val="single" w:color="auto" w:sz="8" w:space="0"/>
              <w:bottom w:val="single" w:color="auto" w:sz="8" w:space="0"/>
              <w:right w:val="single" w:color="auto" w:sz="8" w:space="0"/>
            </w:tcBorders>
            <w:vAlign w:val="center"/>
          </w:tcPr>
          <w:p w14:paraId="26CEE3E2">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943" w:type="dxa"/>
            <w:gridSpan w:val="2"/>
            <w:tcBorders>
              <w:top w:val="single" w:color="auto" w:sz="8" w:space="0"/>
              <w:left w:val="single" w:color="auto" w:sz="8" w:space="0"/>
              <w:bottom w:val="single" w:color="auto" w:sz="8" w:space="0"/>
              <w:right w:val="single" w:color="auto" w:sz="8" w:space="0"/>
            </w:tcBorders>
            <w:vAlign w:val="center"/>
          </w:tcPr>
          <w:p w14:paraId="79D9853F">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296" w:type="dxa"/>
            <w:tcBorders>
              <w:top w:val="single" w:color="auto" w:sz="8" w:space="0"/>
              <w:left w:val="single" w:color="auto" w:sz="8" w:space="0"/>
              <w:bottom w:val="single" w:color="auto" w:sz="8" w:space="0"/>
              <w:right w:val="single" w:color="auto" w:sz="8" w:space="0"/>
            </w:tcBorders>
            <w:vAlign w:val="center"/>
          </w:tcPr>
          <w:p w14:paraId="31AD405B">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r>
      <w:tr w14:paraId="6EFA5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38" w:type="dxa"/>
            <w:tcBorders>
              <w:top w:val="single" w:color="auto" w:sz="8" w:space="0"/>
              <w:left w:val="single" w:color="auto" w:sz="8" w:space="0"/>
              <w:bottom w:val="single" w:color="auto" w:sz="8" w:space="0"/>
              <w:right w:val="single" w:color="auto" w:sz="8" w:space="0"/>
            </w:tcBorders>
            <w:vAlign w:val="center"/>
          </w:tcPr>
          <w:p w14:paraId="0CC8EB81">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2173" w:type="dxa"/>
            <w:tcBorders>
              <w:top w:val="single" w:color="auto" w:sz="8" w:space="0"/>
              <w:left w:val="single" w:color="auto" w:sz="8" w:space="0"/>
              <w:bottom w:val="single" w:color="auto" w:sz="8" w:space="0"/>
              <w:right w:val="single" w:color="auto" w:sz="8" w:space="0"/>
            </w:tcBorders>
            <w:vAlign w:val="center"/>
          </w:tcPr>
          <w:p w14:paraId="7E24FB1B">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3258" w:type="dxa"/>
            <w:gridSpan w:val="2"/>
            <w:tcBorders>
              <w:top w:val="single" w:color="auto" w:sz="8" w:space="0"/>
              <w:left w:val="single" w:color="auto" w:sz="8" w:space="0"/>
              <w:bottom w:val="single" w:color="auto" w:sz="8" w:space="0"/>
              <w:right w:val="single" w:color="auto" w:sz="8" w:space="0"/>
            </w:tcBorders>
            <w:vAlign w:val="center"/>
          </w:tcPr>
          <w:p w14:paraId="6C7AC3CC">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943" w:type="dxa"/>
            <w:gridSpan w:val="2"/>
            <w:tcBorders>
              <w:top w:val="single" w:color="auto" w:sz="8" w:space="0"/>
              <w:left w:val="single" w:color="auto" w:sz="8" w:space="0"/>
              <w:bottom w:val="single" w:color="auto" w:sz="8" w:space="0"/>
              <w:right w:val="single" w:color="auto" w:sz="8" w:space="0"/>
            </w:tcBorders>
            <w:vAlign w:val="center"/>
          </w:tcPr>
          <w:p w14:paraId="4021C3AE">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296" w:type="dxa"/>
            <w:tcBorders>
              <w:top w:val="single" w:color="auto" w:sz="8" w:space="0"/>
              <w:left w:val="single" w:color="auto" w:sz="8" w:space="0"/>
              <w:bottom w:val="single" w:color="auto" w:sz="8" w:space="0"/>
              <w:right w:val="single" w:color="auto" w:sz="8" w:space="0"/>
            </w:tcBorders>
            <w:vAlign w:val="center"/>
          </w:tcPr>
          <w:p w14:paraId="5CEDCF81">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r>
      <w:tr w14:paraId="4D482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969" w:type="dxa"/>
            <w:gridSpan w:val="4"/>
            <w:tcBorders>
              <w:top w:val="single" w:color="auto" w:sz="8" w:space="0"/>
              <w:left w:val="single" w:color="auto" w:sz="8" w:space="0"/>
              <w:bottom w:val="single" w:color="auto" w:sz="8" w:space="0"/>
              <w:right w:val="single" w:color="auto" w:sz="8" w:space="0"/>
            </w:tcBorders>
            <w:vAlign w:val="center"/>
          </w:tcPr>
          <w:p w14:paraId="58F0DFF2">
            <w:pPr>
              <w:widowControl/>
              <w:spacing w:before="100" w:beforeAutospacing="1" w:after="100" w:afterAutospacing="1" w:line="320" w:lineRule="exact"/>
              <w:ind w:left="-3" w:firstLine="4" w:firstLineChars="2"/>
              <w:jc w:val="left"/>
              <w:rPr>
                <w:rFonts w:ascii="宋体" w:hAnsi="宋体" w:cs="宋体"/>
                <w:color w:val="auto"/>
                <w:szCs w:val="21"/>
                <w:highlight w:val="none"/>
              </w:rPr>
            </w:pPr>
            <w:r>
              <w:rPr>
                <w:rFonts w:hint="eastAsia" w:ascii="宋体" w:hAnsi="宋体" w:cs="宋体"/>
                <w:color w:val="auto"/>
                <w:szCs w:val="21"/>
                <w:highlight w:val="none"/>
              </w:rPr>
              <w:t>合        计</w:t>
            </w:r>
          </w:p>
        </w:tc>
        <w:tc>
          <w:tcPr>
            <w:tcW w:w="943" w:type="dxa"/>
            <w:gridSpan w:val="2"/>
            <w:tcBorders>
              <w:top w:val="single" w:color="auto" w:sz="8" w:space="0"/>
              <w:left w:val="single" w:color="auto" w:sz="8" w:space="0"/>
              <w:bottom w:val="single" w:color="auto" w:sz="8" w:space="0"/>
              <w:right w:val="single" w:color="auto" w:sz="8" w:space="0"/>
            </w:tcBorders>
            <w:vAlign w:val="center"/>
          </w:tcPr>
          <w:p w14:paraId="45538977">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296" w:type="dxa"/>
            <w:tcBorders>
              <w:top w:val="single" w:color="auto" w:sz="8" w:space="0"/>
              <w:left w:val="single" w:color="auto" w:sz="8" w:space="0"/>
              <w:bottom w:val="single" w:color="auto" w:sz="8" w:space="0"/>
              <w:right w:val="single" w:color="auto" w:sz="8" w:space="0"/>
            </w:tcBorders>
            <w:vAlign w:val="center"/>
          </w:tcPr>
          <w:p w14:paraId="1A6A88F0">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r>
      <w:tr w14:paraId="21E29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208" w:type="dxa"/>
            <w:gridSpan w:val="7"/>
            <w:tcBorders>
              <w:top w:val="single" w:color="auto" w:sz="8" w:space="0"/>
              <w:left w:val="single" w:color="auto" w:sz="8" w:space="0"/>
              <w:bottom w:val="single" w:color="auto" w:sz="8" w:space="0"/>
              <w:right w:val="single" w:color="auto" w:sz="8" w:space="0"/>
            </w:tcBorders>
            <w:vAlign w:val="center"/>
          </w:tcPr>
          <w:p w14:paraId="67283BF1">
            <w:pPr>
              <w:widowControl/>
              <w:spacing w:before="100" w:beforeAutospacing="1" w:after="100" w:afterAutospacing="1" w:line="320" w:lineRule="exact"/>
              <w:ind w:firstLine="2" w:firstLineChars="1"/>
              <w:jc w:val="left"/>
              <w:rPr>
                <w:rFonts w:ascii="宋体" w:hAnsi="宋体" w:cs="宋体"/>
                <w:color w:val="auto"/>
                <w:szCs w:val="21"/>
                <w:highlight w:val="none"/>
              </w:rPr>
            </w:pPr>
            <w:r>
              <w:rPr>
                <w:rFonts w:hint="eastAsia" w:ascii="宋体" w:hAnsi="宋体" w:cs="宋体"/>
                <w:color w:val="auto"/>
                <w:szCs w:val="21"/>
                <w:highlight w:val="none"/>
              </w:rPr>
              <w:t>合计大写金额：   仟    佰    拾    万    仟    佰    拾    元</w:t>
            </w:r>
          </w:p>
        </w:tc>
      </w:tr>
      <w:tr w14:paraId="7D612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38" w:type="dxa"/>
            <w:tcBorders>
              <w:top w:val="single" w:color="auto" w:sz="8" w:space="0"/>
              <w:left w:val="single" w:color="auto" w:sz="8" w:space="0"/>
              <w:bottom w:val="single" w:color="auto" w:sz="8" w:space="0"/>
              <w:right w:val="single" w:color="auto" w:sz="8" w:space="0"/>
            </w:tcBorders>
            <w:vAlign w:val="center"/>
          </w:tcPr>
          <w:p w14:paraId="40C48ECF">
            <w:pPr>
              <w:widowControl/>
              <w:spacing w:before="100" w:beforeAutospacing="1" w:after="100" w:afterAutospacing="1" w:line="320" w:lineRule="exact"/>
              <w:ind w:firstLine="2" w:firstLineChars="1"/>
              <w:jc w:val="center"/>
              <w:rPr>
                <w:rFonts w:ascii="宋体" w:hAnsi="宋体" w:cs="宋体"/>
                <w:color w:val="auto"/>
                <w:szCs w:val="21"/>
                <w:highlight w:val="none"/>
              </w:rPr>
            </w:pPr>
            <w:r>
              <w:rPr>
                <w:rFonts w:hint="eastAsia" w:ascii="宋体" w:hAnsi="宋体" w:cs="宋体"/>
                <w:color w:val="auto"/>
                <w:szCs w:val="21"/>
                <w:highlight w:val="none"/>
              </w:rPr>
              <w:t>实际供货日期</w:t>
            </w:r>
          </w:p>
        </w:tc>
        <w:tc>
          <w:tcPr>
            <w:tcW w:w="3068" w:type="dxa"/>
            <w:gridSpan w:val="2"/>
            <w:tcBorders>
              <w:top w:val="single" w:color="auto" w:sz="8" w:space="0"/>
              <w:left w:val="single" w:color="auto" w:sz="8" w:space="0"/>
              <w:bottom w:val="single" w:color="auto" w:sz="8" w:space="0"/>
              <w:right w:val="single" w:color="auto" w:sz="8" w:space="0"/>
            </w:tcBorders>
            <w:vAlign w:val="center"/>
          </w:tcPr>
          <w:p w14:paraId="00920CCE">
            <w:pPr>
              <w:spacing w:before="100" w:beforeAutospacing="1" w:after="100" w:afterAutospacing="1" w:line="320" w:lineRule="exact"/>
              <w:ind w:firstLine="420" w:firstLineChars="200"/>
              <w:jc w:val="center"/>
              <w:rPr>
                <w:rFonts w:ascii="宋体" w:hAnsi="宋体" w:cs="宋体"/>
                <w:color w:val="auto"/>
                <w:szCs w:val="21"/>
                <w:highlight w:val="none"/>
              </w:rPr>
            </w:pPr>
          </w:p>
        </w:tc>
        <w:tc>
          <w:tcPr>
            <w:tcW w:w="2555" w:type="dxa"/>
            <w:gridSpan w:val="2"/>
            <w:tcBorders>
              <w:top w:val="single" w:color="auto" w:sz="8" w:space="0"/>
              <w:left w:val="single" w:color="auto" w:sz="8" w:space="0"/>
              <w:bottom w:val="single" w:color="auto" w:sz="8" w:space="0"/>
              <w:right w:val="single" w:color="auto" w:sz="8" w:space="0"/>
            </w:tcBorders>
            <w:vAlign w:val="center"/>
          </w:tcPr>
          <w:p w14:paraId="35FDC453">
            <w:pPr>
              <w:spacing w:before="100" w:beforeAutospacing="1" w:after="100" w:afterAutospacing="1" w:line="320" w:lineRule="exact"/>
              <w:ind w:firstLine="39" w:firstLineChars="19"/>
              <w:jc w:val="center"/>
              <w:rPr>
                <w:rFonts w:ascii="宋体" w:hAnsi="宋体" w:cs="宋体"/>
                <w:color w:val="auto"/>
                <w:szCs w:val="21"/>
                <w:highlight w:val="none"/>
              </w:rPr>
            </w:pPr>
            <w:r>
              <w:rPr>
                <w:rFonts w:hint="eastAsia" w:ascii="宋体" w:hAnsi="宋体" w:cs="宋体"/>
                <w:color w:val="auto"/>
                <w:szCs w:val="21"/>
                <w:highlight w:val="none"/>
              </w:rPr>
              <w:t>合同交货验收日期</w:t>
            </w:r>
          </w:p>
        </w:tc>
        <w:tc>
          <w:tcPr>
            <w:tcW w:w="2047" w:type="dxa"/>
            <w:gridSpan w:val="2"/>
            <w:tcBorders>
              <w:top w:val="single" w:color="auto" w:sz="8" w:space="0"/>
              <w:left w:val="single" w:color="auto" w:sz="8" w:space="0"/>
              <w:bottom w:val="single" w:color="auto" w:sz="8" w:space="0"/>
              <w:right w:val="single" w:color="auto" w:sz="8" w:space="0"/>
            </w:tcBorders>
            <w:vAlign w:val="center"/>
          </w:tcPr>
          <w:p w14:paraId="293B9720">
            <w:pPr>
              <w:spacing w:before="100" w:beforeAutospacing="1" w:after="100" w:afterAutospacing="1" w:line="320" w:lineRule="exact"/>
              <w:ind w:firstLine="420" w:firstLineChars="200"/>
              <w:jc w:val="left"/>
              <w:rPr>
                <w:rFonts w:ascii="宋体" w:hAnsi="宋体" w:cs="宋体"/>
                <w:color w:val="auto"/>
                <w:szCs w:val="21"/>
                <w:highlight w:val="none"/>
              </w:rPr>
            </w:pPr>
          </w:p>
        </w:tc>
      </w:tr>
      <w:tr w14:paraId="115AC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38" w:type="dxa"/>
            <w:tcBorders>
              <w:top w:val="single" w:color="auto" w:sz="8" w:space="0"/>
              <w:left w:val="single" w:color="auto" w:sz="8" w:space="0"/>
              <w:bottom w:val="single" w:color="auto" w:sz="8" w:space="0"/>
              <w:right w:val="single" w:color="auto" w:sz="8" w:space="0"/>
            </w:tcBorders>
            <w:vAlign w:val="center"/>
          </w:tcPr>
          <w:p w14:paraId="585A458D">
            <w:pPr>
              <w:widowControl/>
              <w:spacing w:before="100" w:beforeAutospacing="1" w:after="100" w:afterAutospacing="1" w:line="320" w:lineRule="exact"/>
              <w:ind w:firstLine="420" w:firstLineChars="200"/>
              <w:jc w:val="left"/>
              <w:rPr>
                <w:rFonts w:ascii="宋体" w:hAnsi="宋体" w:cs="宋体"/>
                <w:color w:val="auto"/>
                <w:szCs w:val="21"/>
                <w:highlight w:val="none"/>
              </w:rPr>
            </w:pPr>
          </w:p>
        </w:tc>
        <w:tc>
          <w:tcPr>
            <w:tcW w:w="3068" w:type="dxa"/>
            <w:gridSpan w:val="2"/>
            <w:tcBorders>
              <w:top w:val="single" w:color="auto" w:sz="8" w:space="0"/>
              <w:left w:val="single" w:color="auto" w:sz="8" w:space="0"/>
              <w:bottom w:val="single" w:color="auto" w:sz="8" w:space="0"/>
              <w:right w:val="single" w:color="auto" w:sz="8" w:space="0"/>
            </w:tcBorders>
            <w:vAlign w:val="center"/>
          </w:tcPr>
          <w:p w14:paraId="3784F368">
            <w:pPr>
              <w:spacing w:before="100" w:beforeAutospacing="1" w:after="100" w:afterAutospacing="1" w:line="320" w:lineRule="exact"/>
              <w:ind w:firstLine="420" w:firstLineChars="200"/>
              <w:jc w:val="left"/>
              <w:rPr>
                <w:rFonts w:ascii="宋体" w:hAnsi="宋体" w:cs="宋体"/>
                <w:color w:val="auto"/>
                <w:szCs w:val="21"/>
                <w:highlight w:val="none"/>
              </w:rPr>
            </w:pPr>
          </w:p>
        </w:tc>
        <w:tc>
          <w:tcPr>
            <w:tcW w:w="2555" w:type="dxa"/>
            <w:gridSpan w:val="2"/>
            <w:tcBorders>
              <w:top w:val="single" w:color="auto" w:sz="8" w:space="0"/>
              <w:left w:val="single" w:color="auto" w:sz="8" w:space="0"/>
              <w:bottom w:val="single" w:color="auto" w:sz="8" w:space="0"/>
              <w:right w:val="single" w:color="auto" w:sz="8" w:space="0"/>
            </w:tcBorders>
            <w:vAlign w:val="center"/>
          </w:tcPr>
          <w:p w14:paraId="5B6F2F27">
            <w:pPr>
              <w:spacing w:before="100" w:beforeAutospacing="1" w:after="100" w:afterAutospacing="1" w:line="320" w:lineRule="exact"/>
              <w:ind w:left="590" w:firstLine="420" w:firstLineChars="200"/>
              <w:jc w:val="left"/>
              <w:rPr>
                <w:rFonts w:ascii="宋体" w:hAnsi="宋体" w:cs="宋体"/>
                <w:color w:val="auto"/>
                <w:szCs w:val="21"/>
                <w:highlight w:val="none"/>
              </w:rPr>
            </w:pPr>
          </w:p>
        </w:tc>
        <w:tc>
          <w:tcPr>
            <w:tcW w:w="2047" w:type="dxa"/>
            <w:gridSpan w:val="2"/>
            <w:tcBorders>
              <w:top w:val="single" w:color="auto" w:sz="8" w:space="0"/>
              <w:left w:val="single" w:color="auto" w:sz="8" w:space="0"/>
              <w:bottom w:val="single" w:color="auto" w:sz="8" w:space="0"/>
              <w:right w:val="single" w:color="auto" w:sz="8" w:space="0"/>
            </w:tcBorders>
            <w:vAlign w:val="center"/>
          </w:tcPr>
          <w:p w14:paraId="7B7D521A">
            <w:pPr>
              <w:spacing w:before="100" w:beforeAutospacing="1" w:after="100" w:afterAutospacing="1" w:line="320" w:lineRule="exact"/>
              <w:ind w:firstLine="420" w:firstLineChars="200"/>
              <w:jc w:val="left"/>
              <w:rPr>
                <w:rFonts w:ascii="宋体" w:hAnsi="宋体" w:cs="宋体"/>
                <w:color w:val="auto"/>
                <w:szCs w:val="21"/>
                <w:highlight w:val="none"/>
              </w:rPr>
            </w:pPr>
          </w:p>
        </w:tc>
      </w:tr>
      <w:tr w14:paraId="41426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C3AF6E">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验收具体内容</w:t>
            </w:r>
          </w:p>
        </w:tc>
        <w:tc>
          <w:tcPr>
            <w:tcW w:w="767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DCB41C">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3E3B4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3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2692E1">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验收小组意见</w:t>
            </w:r>
          </w:p>
        </w:tc>
        <w:tc>
          <w:tcPr>
            <w:tcW w:w="7670" w:type="dxa"/>
            <w:gridSpan w:val="6"/>
            <w:tcBorders>
              <w:top w:val="single" w:color="auto" w:sz="8" w:space="0"/>
              <w:left w:val="single" w:color="auto" w:sz="8" w:space="0"/>
              <w:bottom w:val="single" w:color="auto" w:sz="4" w:space="0"/>
              <w:right w:val="single" w:color="auto" w:sz="8" w:space="0"/>
            </w:tcBorders>
            <w:vAlign w:val="center"/>
          </w:tcPr>
          <w:p w14:paraId="0F3B7FD5">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 验收结论性意见：</w:t>
            </w:r>
          </w:p>
        </w:tc>
      </w:tr>
      <w:tr w14:paraId="72E7B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38" w:type="dxa"/>
            <w:vMerge w:val="continue"/>
            <w:tcBorders>
              <w:top w:val="single" w:color="auto" w:sz="8" w:space="0"/>
              <w:left w:val="single" w:color="auto" w:sz="8" w:space="0"/>
              <w:bottom w:val="single" w:color="auto" w:sz="8" w:space="0"/>
              <w:right w:val="single" w:color="auto" w:sz="8" w:space="0"/>
            </w:tcBorders>
            <w:vAlign w:val="center"/>
          </w:tcPr>
          <w:p w14:paraId="5D3FAE5A">
            <w:pPr>
              <w:widowControl/>
              <w:spacing w:line="320" w:lineRule="exact"/>
              <w:jc w:val="left"/>
              <w:rPr>
                <w:rFonts w:ascii="宋体" w:hAnsi="宋体" w:cs="宋体"/>
                <w:color w:val="auto"/>
                <w:szCs w:val="21"/>
                <w:highlight w:val="none"/>
              </w:rPr>
            </w:pPr>
          </w:p>
        </w:tc>
        <w:tc>
          <w:tcPr>
            <w:tcW w:w="7670" w:type="dxa"/>
            <w:gridSpan w:val="6"/>
            <w:tcBorders>
              <w:top w:val="single" w:color="auto" w:sz="4" w:space="0"/>
              <w:left w:val="single" w:color="auto" w:sz="8" w:space="0"/>
              <w:bottom w:val="single" w:color="auto" w:sz="8" w:space="0"/>
              <w:right w:val="single" w:color="auto" w:sz="8" w:space="0"/>
            </w:tcBorders>
            <w:vAlign w:val="center"/>
          </w:tcPr>
          <w:p w14:paraId="4B3CCDB1">
            <w:pPr>
              <w:spacing w:before="100" w:beforeAutospacing="1" w:after="100" w:afterAutospacing="1" w:line="320" w:lineRule="exact"/>
              <w:ind w:firstLine="84" w:firstLineChars="40"/>
              <w:jc w:val="left"/>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253FDABF">
            <w:pPr>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签字：</w:t>
            </w:r>
          </w:p>
        </w:tc>
      </w:tr>
      <w:tr w14:paraId="3977A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208"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B0AC57">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验收小组成员签字：</w:t>
            </w:r>
          </w:p>
        </w:tc>
      </w:tr>
      <w:tr w14:paraId="40E428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208"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00D5AA">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监督人员或其他相关人员签字：</w:t>
            </w:r>
          </w:p>
          <w:p w14:paraId="69DFE4BA">
            <w:pPr>
              <w:widowControl/>
              <w:spacing w:before="100" w:beforeAutospacing="1" w:after="100" w:afterAutospacing="1" w:line="320" w:lineRule="exact"/>
              <w:ind w:firstLine="65" w:firstLineChars="31"/>
              <w:jc w:val="left"/>
              <w:rPr>
                <w:rFonts w:ascii="宋体" w:hAnsi="宋体" w:cs="宋体"/>
                <w:color w:val="auto"/>
                <w:szCs w:val="21"/>
                <w:highlight w:val="none"/>
              </w:rPr>
            </w:pPr>
            <w:r>
              <w:rPr>
                <w:rFonts w:hint="eastAsia" w:ascii="宋体" w:hAnsi="宋体" w:cs="宋体"/>
                <w:color w:val="auto"/>
                <w:szCs w:val="21"/>
                <w:highlight w:val="none"/>
              </w:rPr>
              <w:t>或受邀机构的意见（盖章）：</w:t>
            </w:r>
          </w:p>
        </w:tc>
      </w:tr>
      <w:tr w14:paraId="2E741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606"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F976737">
            <w:pPr>
              <w:widowControl/>
              <w:spacing w:before="100" w:beforeAutospacing="1" w:after="100" w:afterAutospacing="1" w:line="320" w:lineRule="exact"/>
              <w:ind w:firstLine="65" w:firstLineChars="31"/>
              <w:jc w:val="left"/>
              <w:rPr>
                <w:rFonts w:ascii="宋体" w:hAnsi="宋体" w:cs="宋体"/>
                <w:color w:val="auto"/>
                <w:szCs w:val="21"/>
                <w:highlight w:val="none"/>
              </w:rPr>
            </w:pPr>
            <w:r>
              <w:rPr>
                <w:rFonts w:hint="eastAsia" w:ascii="宋体" w:hAnsi="宋体" w:cs="宋体"/>
                <w:color w:val="auto"/>
                <w:szCs w:val="21"/>
                <w:highlight w:val="none"/>
              </w:rPr>
              <w:t>中标或者成交供应商负责人签字或盖章：</w:t>
            </w:r>
          </w:p>
          <w:p w14:paraId="6F787D59">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联系电话：         年 月 日</w:t>
            </w:r>
          </w:p>
        </w:tc>
        <w:tc>
          <w:tcPr>
            <w:tcW w:w="4602" w:type="dxa"/>
            <w:gridSpan w:val="4"/>
            <w:tcBorders>
              <w:top w:val="single" w:color="auto" w:sz="8" w:space="0"/>
              <w:left w:val="nil"/>
              <w:bottom w:val="single" w:color="auto" w:sz="8" w:space="0"/>
              <w:right w:val="single" w:color="auto" w:sz="8" w:space="0"/>
            </w:tcBorders>
            <w:vAlign w:val="center"/>
          </w:tcPr>
          <w:p w14:paraId="679119B2">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 采购人或受托机构的意见（盖章）：</w:t>
            </w:r>
          </w:p>
          <w:p w14:paraId="5AE85611">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联系电话：                 年   月   日</w:t>
            </w:r>
          </w:p>
        </w:tc>
      </w:tr>
    </w:tbl>
    <w:p w14:paraId="56E2067A">
      <w:pPr>
        <w:widowControl/>
        <w:jc w:val="left"/>
        <w:rPr>
          <w:rFonts w:ascii="宋体" w:hAnsi="宋体" w:cs="宋体"/>
          <w:color w:val="auto"/>
          <w:szCs w:val="21"/>
          <w:highlight w:val="none"/>
        </w:rPr>
      </w:pPr>
      <w:r>
        <w:rPr>
          <w:rFonts w:hint="eastAsia" w:ascii="宋体" w:hAnsi="宋体" w:cs="宋体"/>
          <w:color w:val="auto"/>
          <w:szCs w:val="21"/>
          <w:highlight w:val="none"/>
        </w:rPr>
        <w:t>备注：本报告单一式4份（采购单位1份、供应商1份、采购监督部门备案1份、采购代理机构1份）。</w:t>
      </w:r>
    </w:p>
    <w:p w14:paraId="1DAA3B20">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32"/>
          <w:highlight w:val="none"/>
        </w:rPr>
        <w:t>附件2：</w:t>
      </w:r>
    </w:p>
    <w:p w14:paraId="585CFCA1">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14:paraId="20A12BFD">
      <w:pPr>
        <w:jc w:val="center"/>
        <w:rPr>
          <w:rFonts w:ascii="宋体" w:hAnsi="宋体" w:cs="宋体"/>
          <w:color w:val="auto"/>
          <w:sz w:val="36"/>
          <w:szCs w:val="36"/>
          <w:highlight w:val="none"/>
        </w:rPr>
      </w:pPr>
    </w:p>
    <w:tbl>
      <w:tblPr>
        <w:tblStyle w:val="29"/>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706"/>
      </w:tblGrid>
      <w:tr w14:paraId="6B42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18CE1E9D">
            <w:pPr>
              <w:jc w:val="center"/>
              <w:rPr>
                <w:rFonts w:ascii="宋体" w:hAnsi="宋体" w:cs="宋体"/>
                <w:color w:val="auto"/>
                <w:sz w:val="24"/>
                <w:highlight w:val="none"/>
              </w:rPr>
            </w:pPr>
            <w:r>
              <w:rPr>
                <w:rFonts w:hint="eastAsia" w:ascii="宋体" w:hAnsi="宋体" w:cs="宋体"/>
                <w:color w:val="auto"/>
                <w:sz w:val="24"/>
                <w:highlight w:val="none"/>
              </w:rPr>
              <w:t>供</w:t>
            </w:r>
          </w:p>
          <w:p w14:paraId="6812763F">
            <w:pPr>
              <w:jc w:val="center"/>
              <w:rPr>
                <w:rFonts w:ascii="宋体" w:hAnsi="宋体" w:cs="宋体"/>
                <w:color w:val="auto"/>
                <w:sz w:val="24"/>
                <w:highlight w:val="none"/>
              </w:rPr>
            </w:pPr>
            <w:r>
              <w:rPr>
                <w:rFonts w:hint="eastAsia" w:ascii="宋体" w:hAnsi="宋体" w:cs="宋体"/>
                <w:color w:val="auto"/>
                <w:sz w:val="24"/>
                <w:highlight w:val="none"/>
              </w:rPr>
              <w:t>应</w:t>
            </w:r>
          </w:p>
          <w:p w14:paraId="179C2D49">
            <w:pPr>
              <w:jc w:val="center"/>
              <w:rPr>
                <w:rFonts w:ascii="宋体" w:hAnsi="宋体" w:cs="宋体"/>
                <w:color w:val="auto"/>
                <w:sz w:val="24"/>
                <w:highlight w:val="none"/>
              </w:rPr>
            </w:pPr>
            <w:r>
              <w:rPr>
                <w:rFonts w:hint="eastAsia" w:ascii="宋体" w:hAnsi="宋体" w:cs="宋体"/>
                <w:color w:val="auto"/>
                <w:sz w:val="24"/>
                <w:highlight w:val="none"/>
              </w:rPr>
              <w:t>商</w:t>
            </w:r>
          </w:p>
          <w:p w14:paraId="0CDED074">
            <w:pPr>
              <w:jc w:val="center"/>
              <w:rPr>
                <w:rFonts w:ascii="宋体" w:hAnsi="宋体" w:cs="宋体"/>
                <w:color w:val="auto"/>
                <w:sz w:val="24"/>
                <w:highlight w:val="none"/>
              </w:rPr>
            </w:pPr>
            <w:r>
              <w:rPr>
                <w:rFonts w:hint="eastAsia" w:ascii="宋体" w:hAnsi="宋体" w:cs="宋体"/>
                <w:color w:val="auto"/>
                <w:sz w:val="24"/>
                <w:highlight w:val="none"/>
              </w:rPr>
              <w:t>申</w:t>
            </w:r>
          </w:p>
          <w:p w14:paraId="37EBD92C">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7706" w:type="dxa"/>
            <w:tcBorders>
              <w:top w:val="single" w:color="auto" w:sz="4" w:space="0"/>
              <w:left w:val="single" w:color="auto" w:sz="4" w:space="0"/>
              <w:bottom w:val="single" w:color="auto" w:sz="4" w:space="0"/>
              <w:right w:val="single" w:color="auto" w:sz="4" w:space="0"/>
            </w:tcBorders>
            <w:vAlign w:val="center"/>
          </w:tcPr>
          <w:p w14:paraId="1F5A4320">
            <w:pPr>
              <w:rPr>
                <w:rFonts w:ascii="宋体" w:hAnsi="宋体" w:cs="宋体"/>
                <w:color w:val="auto"/>
                <w:sz w:val="24"/>
                <w:highlight w:val="none"/>
              </w:rPr>
            </w:pPr>
            <w:r>
              <w:rPr>
                <w:rFonts w:hint="eastAsia" w:ascii="宋体" w:hAnsi="宋体" w:cs="宋体"/>
                <w:color w:val="auto"/>
                <w:sz w:val="24"/>
                <w:highlight w:val="none"/>
              </w:rPr>
              <w:t>项目编号：</w:t>
            </w:r>
          </w:p>
        </w:tc>
      </w:tr>
      <w:tr w14:paraId="763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EFBAB7C">
            <w:pPr>
              <w:widowControl/>
              <w:jc w:val="left"/>
              <w:rPr>
                <w:rFonts w:ascii="宋体" w:hAnsi="宋体" w:cs="宋体"/>
                <w:color w:val="auto"/>
                <w:sz w:val="24"/>
                <w:highlight w:val="none"/>
              </w:rPr>
            </w:pPr>
          </w:p>
        </w:tc>
        <w:tc>
          <w:tcPr>
            <w:tcW w:w="7706" w:type="dxa"/>
            <w:tcBorders>
              <w:top w:val="single" w:color="auto" w:sz="4" w:space="0"/>
              <w:left w:val="single" w:color="auto" w:sz="4" w:space="0"/>
              <w:bottom w:val="single" w:color="auto" w:sz="4" w:space="0"/>
              <w:right w:val="single" w:color="auto" w:sz="4" w:space="0"/>
            </w:tcBorders>
            <w:vAlign w:val="center"/>
          </w:tcPr>
          <w:p w14:paraId="348CD734">
            <w:pPr>
              <w:rPr>
                <w:rFonts w:ascii="宋体" w:hAnsi="宋体" w:cs="宋体"/>
                <w:color w:val="auto"/>
                <w:sz w:val="24"/>
                <w:highlight w:val="none"/>
              </w:rPr>
            </w:pPr>
            <w:r>
              <w:rPr>
                <w:rFonts w:hint="eastAsia" w:ascii="宋体" w:hAnsi="宋体" w:cs="宋体"/>
                <w:color w:val="auto"/>
                <w:sz w:val="24"/>
                <w:highlight w:val="none"/>
              </w:rPr>
              <w:t>项目名称：</w:t>
            </w:r>
          </w:p>
        </w:tc>
      </w:tr>
      <w:tr w14:paraId="4DF4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6A3CAC1">
            <w:pPr>
              <w:widowControl/>
              <w:jc w:val="left"/>
              <w:rPr>
                <w:rFonts w:ascii="宋体" w:hAnsi="宋体" w:cs="宋体"/>
                <w:color w:val="auto"/>
                <w:sz w:val="24"/>
                <w:highlight w:val="none"/>
              </w:rPr>
            </w:pPr>
          </w:p>
        </w:tc>
        <w:tc>
          <w:tcPr>
            <w:tcW w:w="7706" w:type="dxa"/>
            <w:tcBorders>
              <w:top w:val="single" w:color="auto" w:sz="4" w:space="0"/>
              <w:left w:val="single" w:color="auto" w:sz="4" w:space="0"/>
              <w:bottom w:val="single" w:color="auto" w:sz="4" w:space="0"/>
              <w:right w:val="single" w:color="auto" w:sz="4" w:space="0"/>
            </w:tcBorders>
          </w:tcPr>
          <w:p w14:paraId="320E00CF">
            <w:pPr>
              <w:rPr>
                <w:rFonts w:ascii="宋体" w:hAnsi="宋体" w:cs="宋体"/>
                <w:color w:val="auto"/>
                <w:sz w:val="24"/>
                <w:highlight w:val="none"/>
              </w:rPr>
            </w:pPr>
            <w:r>
              <w:rPr>
                <w:rFonts w:hint="eastAsia" w:ascii="宋体" w:hAnsi="宋体" w:cs="宋体"/>
                <w:color w:val="auto"/>
                <w:sz w:val="24"/>
                <w:highlight w:val="none"/>
              </w:rPr>
              <w:t xml:space="preserve">  </w:t>
            </w:r>
          </w:p>
          <w:p w14:paraId="2716D40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0495C563">
            <w:pPr>
              <w:spacing w:line="400" w:lineRule="exac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（小写）退付到达以下帐户。</w:t>
            </w:r>
          </w:p>
          <w:p w14:paraId="54BD1EB8">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单位名称：</w:t>
            </w:r>
          </w:p>
          <w:p w14:paraId="731350A4">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开户银行：</w:t>
            </w:r>
          </w:p>
          <w:p w14:paraId="7A542A30">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帐   号：</w:t>
            </w:r>
          </w:p>
          <w:p w14:paraId="77473310">
            <w:pPr>
              <w:spacing w:line="400" w:lineRule="exact"/>
              <w:rPr>
                <w:rFonts w:ascii="宋体" w:hAnsi="宋体" w:cs="宋体"/>
                <w:color w:val="auto"/>
                <w:sz w:val="24"/>
                <w:highlight w:val="none"/>
              </w:rPr>
            </w:pPr>
            <w:r>
              <w:rPr>
                <w:rFonts w:hint="eastAsia" w:ascii="宋体" w:hAnsi="宋体" w:cs="宋体"/>
                <w:color w:val="auto"/>
                <w:sz w:val="24"/>
                <w:highlight w:val="none"/>
              </w:rPr>
              <w:t>联系人及电话：</w:t>
            </w:r>
          </w:p>
          <w:p w14:paraId="0CBE1C04">
            <w:pPr>
              <w:spacing w:line="400" w:lineRule="exact"/>
              <w:rPr>
                <w:rFonts w:ascii="宋体" w:hAnsi="宋体" w:cs="宋体"/>
                <w:color w:val="auto"/>
                <w:sz w:val="24"/>
                <w:highlight w:val="none"/>
              </w:rPr>
            </w:pPr>
          </w:p>
          <w:p w14:paraId="361FDAA5">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供应商（盖章）：</w:t>
            </w:r>
          </w:p>
          <w:p w14:paraId="4E7DAF3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1967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A5CEF30">
            <w:pPr>
              <w:jc w:val="center"/>
              <w:rPr>
                <w:rFonts w:ascii="宋体" w:hAnsi="宋体" w:cs="宋体"/>
                <w:color w:val="auto"/>
                <w:sz w:val="24"/>
                <w:highlight w:val="none"/>
              </w:rPr>
            </w:pPr>
            <w:r>
              <w:rPr>
                <w:rFonts w:hint="eastAsia" w:ascii="宋体" w:hAnsi="宋体" w:cs="宋体"/>
                <w:color w:val="auto"/>
                <w:sz w:val="24"/>
                <w:highlight w:val="none"/>
              </w:rPr>
              <w:t>采</w:t>
            </w:r>
          </w:p>
          <w:p w14:paraId="23E9062D">
            <w:pPr>
              <w:jc w:val="center"/>
              <w:rPr>
                <w:rFonts w:ascii="宋体" w:hAnsi="宋体" w:cs="宋体"/>
                <w:color w:val="auto"/>
                <w:sz w:val="24"/>
                <w:highlight w:val="none"/>
              </w:rPr>
            </w:pPr>
            <w:r>
              <w:rPr>
                <w:rFonts w:hint="eastAsia" w:ascii="宋体" w:hAnsi="宋体" w:cs="宋体"/>
                <w:color w:val="auto"/>
                <w:sz w:val="24"/>
                <w:highlight w:val="none"/>
              </w:rPr>
              <w:t>购</w:t>
            </w:r>
          </w:p>
          <w:p w14:paraId="0BCE97C1">
            <w:pPr>
              <w:jc w:val="center"/>
              <w:rPr>
                <w:rFonts w:ascii="宋体" w:hAnsi="宋体" w:cs="宋体"/>
                <w:color w:val="auto"/>
                <w:sz w:val="24"/>
                <w:highlight w:val="none"/>
              </w:rPr>
            </w:pPr>
            <w:r>
              <w:rPr>
                <w:rFonts w:hint="eastAsia" w:ascii="宋体" w:hAnsi="宋体" w:cs="宋体"/>
                <w:color w:val="auto"/>
                <w:sz w:val="24"/>
                <w:highlight w:val="none"/>
              </w:rPr>
              <w:t>人</w:t>
            </w:r>
          </w:p>
          <w:p w14:paraId="6C5A1E1B">
            <w:pPr>
              <w:jc w:val="center"/>
              <w:rPr>
                <w:rFonts w:ascii="宋体" w:hAnsi="宋体" w:cs="宋体"/>
                <w:color w:val="auto"/>
                <w:sz w:val="24"/>
                <w:highlight w:val="none"/>
              </w:rPr>
            </w:pPr>
            <w:r>
              <w:rPr>
                <w:rFonts w:hint="eastAsia" w:ascii="宋体" w:hAnsi="宋体" w:cs="宋体"/>
                <w:color w:val="auto"/>
                <w:sz w:val="24"/>
                <w:highlight w:val="none"/>
              </w:rPr>
              <w:t>意</w:t>
            </w:r>
          </w:p>
          <w:p w14:paraId="36FD82D2">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7706" w:type="dxa"/>
            <w:tcBorders>
              <w:top w:val="single" w:color="auto" w:sz="4" w:space="0"/>
              <w:left w:val="single" w:color="auto" w:sz="4" w:space="0"/>
              <w:bottom w:val="single" w:color="auto" w:sz="4" w:space="0"/>
              <w:right w:val="single" w:color="auto" w:sz="4" w:space="0"/>
            </w:tcBorders>
          </w:tcPr>
          <w:p w14:paraId="0EADCFB2">
            <w:pPr>
              <w:rPr>
                <w:rFonts w:ascii="宋体" w:hAnsi="宋体" w:cs="宋体"/>
                <w:color w:val="auto"/>
                <w:sz w:val="24"/>
                <w:highlight w:val="none"/>
              </w:rPr>
            </w:pPr>
          </w:p>
          <w:p w14:paraId="6C987043">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784B2E0">
            <w:pPr>
              <w:rPr>
                <w:rFonts w:ascii="宋体" w:hAnsi="宋体" w:cs="宋体"/>
                <w:color w:val="auto"/>
                <w:sz w:val="24"/>
                <w:highlight w:val="none"/>
              </w:rPr>
            </w:pPr>
          </w:p>
          <w:p w14:paraId="05E52238">
            <w:pPr>
              <w:rPr>
                <w:rFonts w:ascii="宋体" w:hAnsi="宋体" w:cs="宋体"/>
                <w:color w:val="auto"/>
                <w:sz w:val="24"/>
                <w:highlight w:val="none"/>
              </w:rPr>
            </w:pPr>
          </w:p>
          <w:p w14:paraId="737E68ED">
            <w:pPr>
              <w:rPr>
                <w:rFonts w:ascii="宋体" w:hAnsi="宋体" w:cs="宋体"/>
                <w:color w:val="auto"/>
                <w:sz w:val="24"/>
                <w:highlight w:val="none"/>
              </w:rPr>
            </w:pPr>
          </w:p>
          <w:p w14:paraId="5C4078C3">
            <w:pPr>
              <w:rPr>
                <w:rFonts w:ascii="宋体" w:hAnsi="宋体" w:cs="宋体"/>
                <w:color w:val="auto"/>
                <w:sz w:val="24"/>
                <w:highlight w:val="none"/>
              </w:rPr>
            </w:pPr>
          </w:p>
          <w:p w14:paraId="2B04B18E">
            <w:pPr>
              <w:rPr>
                <w:rFonts w:ascii="宋体" w:hAnsi="宋体" w:cs="宋体"/>
                <w:color w:val="auto"/>
                <w:sz w:val="24"/>
                <w:highlight w:val="none"/>
              </w:rPr>
            </w:pPr>
          </w:p>
          <w:p w14:paraId="2634DDA0">
            <w:pPr>
              <w:rPr>
                <w:rFonts w:ascii="宋体" w:hAnsi="宋体" w:cs="宋体"/>
                <w:color w:val="auto"/>
                <w:sz w:val="24"/>
                <w:highlight w:val="none"/>
              </w:rPr>
            </w:pPr>
          </w:p>
          <w:p w14:paraId="52EF4168">
            <w:pPr>
              <w:rPr>
                <w:rFonts w:ascii="宋体" w:hAnsi="宋体" w:cs="宋体"/>
                <w:color w:val="auto"/>
                <w:sz w:val="24"/>
                <w:highlight w:val="none"/>
              </w:rPr>
            </w:pPr>
          </w:p>
          <w:p w14:paraId="792716C4">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采购人（盖章）：</w:t>
            </w:r>
          </w:p>
          <w:p w14:paraId="03B53EFD">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EDBA865">
            <w:pPr>
              <w:spacing w:line="520" w:lineRule="exact"/>
              <w:jc w:val="center"/>
              <w:rPr>
                <w:rFonts w:ascii="宋体" w:hAnsi="宋体" w:cs="宋体"/>
                <w:color w:val="auto"/>
                <w:sz w:val="24"/>
                <w:highlight w:val="none"/>
              </w:rPr>
            </w:pPr>
          </w:p>
        </w:tc>
      </w:tr>
    </w:tbl>
    <w:p w14:paraId="7C3DDF1B">
      <w:pPr>
        <w:spacing w:before="120" w:after="120"/>
        <w:rPr>
          <w:rFonts w:ascii="宋体" w:hAnsi="宋体" w:cs="宋体"/>
          <w:b/>
          <w:bCs/>
          <w:color w:val="auto"/>
          <w:szCs w:val="21"/>
          <w:highlight w:val="none"/>
        </w:rPr>
      </w:pPr>
      <w:r>
        <w:rPr>
          <w:rFonts w:hint="eastAsia" w:ascii="宋体" w:hAnsi="宋体" w:cs="宋体"/>
          <w:b/>
          <w:bCs/>
          <w:color w:val="auto"/>
          <w:szCs w:val="21"/>
          <w:highlight w:val="none"/>
        </w:rPr>
        <w:t>注：供应商凭经采购人审批的退付意见书到保证金收取单位办理履约保证金退付事宜。</w:t>
      </w:r>
    </w:p>
    <w:p w14:paraId="3D4B799B">
      <w:pPr>
        <w:spacing w:before="120" w:after="120"/>
        <w:rPr>
          <w:rFonts w:ascii="宋体" w:hAnsi="宋体" w:cs="宋体"/>
          <w:b/>
          <w:bCs/>
          <w:color w:val="auto"/>
          <w:szCs w:val="21"/>
          <w:highlight w:val="none"/>
        </w:rPr>
      </w:pPr>
      <w:r>
        <w:rPr>
          <w:rFonts w:ascii="宋体" w:hAnsi="宋体" w:cs="宋体"/>
          <w:b/>
          <w:bCs/>
          <w:color w:val="auto"/>
          <w:szCs w:val="21"/>
          <w:highlight w:val="none"/>
        </w:rPr>
        <w:br w:type="page"/>
      </w:r>
    </w:p>
    <w:p w14:paraId="5B9018AE">
      <w:pPr>
        <w:pStyle w:val="95"/>
        <w:ind w:firstLine="420"/>
        <w:rPr>
          <w:rFonts w:ascii="宋体" w:hAnsi="宋体" w:cs="宋体"/>
          <w:color w:val="auto"/>
          <w:highlight w:val="none"/>
        </w:rPr>
      </w:pPr>
    </w:p>
    <w:p w14:paraId="35B39307">
      <w:pPr>
        <w:pStyle w:val="95"/>
        <w:ind w:firstLine="420"/>
        <w:rPr>
          <w:rFonts w:ascii="宋体" w:hAnsi="宋体" w:cs="宋体"/>
          <w:color w:val="auto"/>
          <w:highlight w:val="none"/>
        </w:rPr>
      </w:pPr>
    </w:p>
    <w:p w14:paraId="12E5EA1A">
      <w:pPr>
        <w:pStyle w:val="95"/>
        <w:ind w:firstLine="420"/>
        <w:rPr>
          <w:rFonts w:ascii="宋体" w:hAnsi="宋体" w:cs="宋体"/>
          <w:color w:val="auto"/>
          <w:highlight w:val="none"/>
        </w:rPr>
      </w:pPr>
    </w:p>
    <w:p w14:paraId="1968F39C">
      <w:pPr>
        <w:pStyle w:val="95"/>
        <w:ind w:firstLine="420"/>
        <w:rPr>
          <w:rFonts w:ascii="宋体" w:hAnsi="宋体" w:cs="宋体"/>
          <w:color w:val="auto"/>
          <w:highlight w:val="none"/>
        </w:rPr>
      </w:pPr>
    </w:p>
    <w:p w14:paraId="130AFE32">
      <w:pPr>
        <w:pStyle w:val="95"/>
        <w:ind w:firstLine="420"/>
        <w:rPr>
          <w:rFonts w:ascii="宋体" w:hAnsi="宋体" w:cs="宋体"/>
          <w:color w:val="auto"/>
          <w:highlight w:val="none"/>
        </w:rPr>
      </w:pPr>
    </w:p>
    <w:p w14:paraId="70400927">
      <w:pPr>
        <w:pStyle w:val="95"/>
        <w:ind w:firstLine="420"/>
        <w:rPr>
          <w:rFonts w:ascii="宋体" w:hAnsi="宋体" w:cs="宋体"/>
          <w:color w:val="auto"/>
          <w:highlight w:val="none"/>
        </w:rPr>
      </w:pPr>
    </w:p>
    <w:p w14:paraId="5A9FB55F">
      <w:pPr>
        <w:pStyle w:val="95"/>
        <w:ind w:firstLine="420"/>
        <w:rPr>
          <w:rFonts w:ascii="宋体" w:hAnsi="宋体" w:cs="宋体"/>
          <w:color w:val="auto"/>
          <w:highlight w:val="none"/>
        </w:rPr>
      </w:pPr>
    </w:p>
    <w:p w14:paraId="6214E08C">
      <w:pPr>
        <w:pStyle w:val="95"/>
        <w:ind w:firstLine="420"/>
        <w:rPr>
          <w:rFonts w:ascii="宋体" w:hAnsi="宋体" w:cs="宋体"/>
          <w:color w:val="auto"/>
          <w:highlight w:val="none"/>
        </w:rPr>
      </w:pPr>
    </w:p>
    <w:p w14:paraId="4F5B23C9">
      <w:pPr>
        <w:pStyle w:val="95"/>
        <w:ind w:firstLine="420"/>
        <w:rPr>
          <w:rFonts w:ascii="宋体" w:hAnsi="宋体" w:cs="宋体"/>
          <w:color w:val="auto"/>
          <w:highlight w:val="none"/>
        </w:rPr>
      </w:pPr>
    </w:p>
    <w:p w14:paraId="210A6A2B">
      <w:pPr>
        <w:pStyle w:val="3"/>
        <w:spacing w:before="0" w:after="0" w:line="360" w:lineRule="auto"/>
        <w:jc w:val="center"/>
        <w:rPr>
          <w:rFonts w:ascii="宋体" w:hAnsi="宋体" w:cs="宋体"/>
          <w:color w:val="auto"/>
          <w:kern w:val="2"/>
          <w:sz w:val="32"/>
          <w:szCs w:val="32"/>
          <w:highlight w:val="none"/>
        </w:rPr>
      </w:pPr>
      <w:bookmarkStart w:id="78" w:name="_Toc29359"/>
      <w:r>
        <w:rPr>
          <w:rFonts w:hint="eastAsia" w:ascii="宋体" w:hAnsi="宋体" w:cs="宋体"/>
          <w:color w:val="auto"/>
          <w:kern w:val="2"/>
          <w:sz w:val="32"/>
          <w:szCs w:val="32"/>
          <w:highlight w:val="none"/>
        </w:rPr>
        <w:t>第七章 响应文件格式</w:t>
      </w:r>
      <w:bookmarkEnd w:id="78"/>
    </w:p>
    <w:p w14:paraId="25C8BE13">
      <w:pPr>
        <w:rPr>
          <w:rFonts w:ascii="宋体" w:hAnsi="宋体"/>
          <w:color w:val="auto"/>
          <w:highlight w:val="none"/>
        </w:rPr>
      </w:pPr>
    </w:p>
    <w:p w14:paraId="54678CDF">
      <w:pPr>
        <w:rPr>
          <w:rFonts w:ascii="宋体" w:hAnsi="宋体"/>
          <w:color w:val="auto"/>
          <w:highlight w:val="none"/>
        </w:rPr>
      </w:pPr>
      <w:r>
        <w:rPr>
          <w:rFonts w:ascii="宋体" w:hAnsi="宋体"/>
          <w:color w:val="auto"/>
          <w:highlight w:val="none"/>
        </w:rPr>
        <w:br w:type="page"/>
      </w:r>
    </w:p>
    <w:p w14:paraId="6635E751">
      <w:pPr>
        <w:rPr>
          <w:rFonts w:ascii="宋体" w:hAnsi="宋体"/>
          <w:color w:val="auto"/>
          <w:highlight w:val="none"/>
        </w:rPr>
      </w:pPr>
    </w:p>
    <w:p w14:paraId="423DA28A">
      <w:pPr>
        <w:rPr>
          <w:rFonts w:ascii="宋体" w:hAnsi="宋体"/>
          <w:color w:val="auto"/>
          <w:highlight w:val="none"/>
        </w:rPr>
      </w:pPr>
    </w:p>
    <w:p w14:paraId="5EABC644">
      <w:pPr>
        <w:pStyle w:val="4"/>
        <w:spacing w:before="0" w:after="0" w:line="360" w:lineRule="auto"/>
        <w:jc w:val="center"/>
        <w:rPr>
          <w:rFonts w:ascii="宋体" w:hAnsi="宋体" w:cs="宋体"/>
          <w:bCs w:val="0"/>
          <w:color w:val="auto"/>
          <w:sz w:val="28"/>
          <w:szCs w:val="28"/>
          <w:highlight w:val="none"/>
        </w:rPr>
      </w:pPr>
      <w:bookmarkStart w:id="79" w:name="_Toc80205938"/>
      <w:bookmarkStart w:id="80" w:name="_Toc7655"/>
      <w:r>
        <w:rPr>
          <w:rFonts w:hint="eastAsia" w:ascii="宋体" w:hAnsi="宋体" w:cs="宋体"/>
          <w:bCs w:val="0"/>
          <w:color w:val="auto"/>
          <w:sz w:val="28"/>
          <w:szCs w:val="28"/>
          <w:highlight w:val="none"/>
        </w:rPr>
        <w:t>第一节 封面格式</w:t>
      </w:r>
      <w:bookmarkEnd w:id="79"/>
      <w:bookmarkEnd w:id="80"/>
    </w:p>
    <w:p w14:paraId="6DD0C019">
      <w:pPr>
        <w:spacing w:beforeLines="50" w:after="50"/>
        <w:rPr>
          <w:rFonts w:ascii="宋体" w:hAnsi="宋体" w:cs="宋体"/>
          <w:color w:val="auto"/>
          <w:sz w:val="24"/>
          <w:szCs w:val="20"/>
          <w:highlight w:val="none"/>
        </w:rPr>
      </w:pPr>
    </w:p>
    <w:p w14:paraId="2FF210FA">
      <w:pPr>
        <w:spacing w:beforeLines="50" w:after="50"/>
        <w:jc w:val="center"/>
        <w:rPr>
          <w:rFonts w:ascii="宋体" w:hAnsi="宋体" w:cs="宋体"/>
          <w:bCs/>
          <w:color w:val="auto"/>
          <w:sz w:val="24"/>
          <w:szCs w:val="20"/>
          <w:highlight w:val="none"/>
        </w:rPr>
      </w:pPr>
    </w:p>
    <w:p w14:paraId="7B530FFB">
      <w:pPr>
        <w:spacing w:beforeLines="50" w:after="50"/>
        <w:jc w:val="center"/>
        <w:rPr>
          <w:rFonts w:ascii="宋体" w:hAnsi="宋体" w:cs="宋体"/>
          <w:b/>
          <w:color w:val="auto"/>
          <w:sz w:val="48"/>
          <w:szCs w:val="48"/>
          <w:highlight w:val="none"/>
        </w:rPr>
      </w:pPr>
    </w:p>
    <w:p w14:paraId="1C748127">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响  应  文  件</w:t>
      </w:r>
    </w:p>
    <w:p w14:paraId="69ADD173">
      <w:pPr>
        <w:spacing w:beforeLines="50" w:after="50"/>
        <w:rPr>
          <w:rFonts w:ascii="宋体" w:hAnsi="宋体" w:cs="宋体"/>
          <w:bCs/>
          <w:color w:val="auto"/>
          <w:sz w:val="24"/>
          <w:szCs w:val="20"/>
          <w:highlight w:val="none"/>
        </w:rPr>
      </w:pPr>
    </w:p>
    <w:p w14:paraId="26B998A3">
      <w:pPr>
        <w:spacing w:beforeLines="50" w:after="50"/>
        <w:rPr>
          <w:rFonts w:ascii="宋体" w:hAnsi="宋体" w:cs="宋体"/>
          <w:bCs/>
          <w:color w:val="auto"/>
          <w:sz w:val="24"/>
          <w:szCs w:val="20"/>
          <w:highlight w:val="none"/>
        </w:rPr>
      </w:pPr>
    </w:p>
    <w:p w14:paraId="389354A1">
      <w:pPr>
        <w:spacing w:beforeLines="50" w:after="50"/>
        <w:rPr>
          <w:rFonts w:ascii="宋体" w:hAnsi="宋体" w:cs="宋体"/>
          <w:bCs/>
          <w:color w:val="auto"/>
          <w:sz w:val="32"/>
          <w:szCs w:val="32"/>
          <w:highlight w:val="none"/>
        </w:rPr>
      </w:pPr>
    </w:p>
    <w:p w14:paraId="216A26E8">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986DC50">
      <w:pPr>
        <w:spacing w:beforeLines="50" w:after="50"/>
        <w:ind w:firstLine="420" w:firstLineChars="150"/>
        <w:rPr>
          <w:rFonts w:ascii="宋体" w:hAnsi="宋体" w:cs="宋体"/>
          <w:bCs/>
          <w:color w:val="auto"/>
          <w:sz w:val="28"/>
          <w:szCs w:val="28"/>
          <w:highlight w:val="none"/>
        </w:rPr>
      </w:pPr>
    </w:p>
    <w:p w14:paraId="7E4C2738">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52236BF9">
      <w:pPr>
        <w:spacing w:beforeLines="50" w:after="50"/>
        <w:ind w:firstLine="420" w:firstLineChars="150"/>
        <w:rPr>
          <w:rFonts w:ascii="宋体" w:hAnsi="宋体" w:cs="宋体"/>
          <w:bCs/>
          <w:color w:val="auto"/>
          <w:sz w:val="28"/>
          <w:szCs w:val="28"/>
          <w:highlight w:val="none"/>
        </w:rPr>
      </w:pPr>
    </w:p>
    <w:p w14:paraId="41C1A227">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76CDF46D">
      <w:pPr>
        <w:spacing w:beforeLines="50" w:after="50"/>
        <w:rPr>
          <w:rFonts w:ascii="宋体" w:hAnsi="宋体" w:cs="宋体"/>
          <w:bCs/>
          <w:color w:val="auto"/>
          <w:sz w:val="28"/>
          <w:szCs w:val="28"/>
          <w:highlight w:val="none"/>
        </w:rPr>
      </w:pPr>
    </w:p>
    <w:p w14:paraId="37A722D7">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1CD53AF8">
      <w:pPr>
        <w:spacing w:beforeLines="50" w:after="50"/>
        <w:rPr>
          <w:rFonts w:ascii="宋体" w:hAnsi="宋体" w:cs="宋体"/>
          <w:bCs/>
          <w:color w:val="auto"/>
          <w:sz w:val="28"/>
          <w:szCs w:val="28"/>
          <w:highlight w:val="none"/>
        </w:rPr>
      </w:pPr>
    </w:p>
    <w:p w14:paraId="1D4AFA6B">
      <w:pPr>
        <w:spacing w:beforeLines="50" w:after="50"/>
        <w:ind w:firstLine="420" w:firstLineChars="150"/>
        <w:jc w:val="center"/>
        <w:rPr>
          <w:rFonts w:ascii="宋体" w:hAnsi="宋体" w:cs="宋体"/>
          <w:bCs/>
          <w:color w:val="auto"/>
          <w:sz w:val="28"/>
          <w:szCs w:val="28"/>
          <w:highlight w:val="none"/>
        </w:rPr>
      </w:pPr>
      <w:r>
        <w:rPr>
          <w:rFonts w:hint="eastAsia" w:ascii="宋体" w:hAnsi="宋体" w:cs="宋体"/>
          <w:bCs/>
          <w:color w:val="auto"/>
          <w:sz w:val="28"/>
          <w:szCs w:val="28"/>
          <w:highlight w:val="none"/>
        </w:rPr>
        <w:t>首次响应文件提交截止时间前不得解密</w:t>
      </w:r>
    </w:p>
    <w:p w14:paraId="4946625F">
      <w:pPr>
        <w:spacing w:beforeLines="50" w:after="50"/>
        <w:ind w:firstLine="4760" w:firstLineChars="1700"/>
        <w:jc w:val="center"/>
        <w:rPr>
          <w:rFonts w:ascii="宋体" w:hAnsi="宋体" w:cs="宋体"/>
          <w:bCs/>
          <w:color w:val="auto"/>
          <w:sz w:val="28"/>
          <w:szCs w:val="28"/>
          <w:highlight w:val="none"/>
        </w:rPr>
      </w:pPr>
    </w:p>
    <w:p w14:paraId="615AE630">
      <w:pPr>
        <w:spacing w:beforeLines="50" w:after="50"/>
        <w:ind w:firstLine="645"/>
        <w:jc w:val="center"/>
        <w:rPr>
          <w:rFonts w:ascii="宋体" w:hAnsi="宋体" w:cs="宋体"/>
          <w:bCs/>
          <w:color w:val="auto"/>
          <w:sz w:val="28"/>
          <w:szCs w:val="28"/>
          <w:highlight w:val="none"/>
        </w:rPr>
      </w:pPr>
      <w:r>
        <w:rPr>
          <w:rFonts w:hint="eastAsia" w:ascii="宋体" w:hAnsi="宋体" w:cs="宋体"/>
          <w:bCs/>
          <w:color w:val="auto"/>
          <w:sz w:val="28"/>
          <w:szCs w:val="28"/>
          <w:highlight w:val="none"/>
        </w:rPr>
        <w:t>年    月    日</w:t>
      </w:r>
    </w:p>
    <w:p w14:paraId="3DEBA408">
      <w:pPr>
        <w:spacing w:beforeLines="50" w:after="50"/>
        <w:ind w:firstLine="645"/>
        <w:jc w:val="center"/>
        <w:rPr>
          <w:rFonts w:ascii="宋体" w:hAnsi="宋体" w:cs="宋体"/>
          <w:bCs/>
          <w:color w:val="auto"/>
          <w:sz w:val="28"/>
          <w:szCs w:val="28"/>
          <w:highlight w:val="none"/>
        </w:rPr>
      </w:pPr>
    </w:p>
    <w:p w14:paraId="44E09CCC">
      <w:pPr>
        <w:spacing w:beforeLines="50" w:after="50"/>
        <w:ind w:firstLine="645"/>
        <w:jc w:val="center"/>
        <w:rPr>
          <w:rFonts w:ascii="宋体" w:hAnsi="宋体" w:cs="宋体"/>
          <w:bCs/>
          <w:color w:val="auto"/>
          <w:sz w:val="28"/>
          <w:szCs w:val="28"/>
          <w:highlight w:val="none"/>
        </w:rPr>
      </w:pPr>
      <w:r>
        <w:rPr>
          <w:rFonts w:ascii="宋体" w:hAnsi="宋体" w:cs="宋体"/>
          <w:bCs/>
          <w:color w:val="auto"/>
          <w:sz w:val="28"/>
          <w:szCs w:val="28"/>
          <w:highlight w:val="none"/>
        </w:rPr>
        <w:br w:type="page"/>
      </w:r>
    </w:p>
    <w:p w14:paraId="4820C7E2">
      <w:pPr>
        <w:spacing w:beforeLines="50" w:after="50"/>
        <w:rPr>
          <w:rFonts w:ascii="宋体" w:hAnsi="宋体" w:cs="宋体"/>
          <w:color w:val="auto"/>
          <w:sz w:val="24"/>
          <w:szCs w:val="20"/>
          <w:highlight w:val="none"/>
        </w:rPr>
      </w:pPr>
      <w:bookmarkStart w:id="81" w:name="_Toc80205939"/>
      <w:bookmarkStart w:id="82" w:name="_Toc8406"/>
    </w:p>
    <w:p w14:paraId="26CC1DFA">
      <w:pPr>
        <w:pStyle w:val="4"/>
        <w:jc w:val="center"/>
        <w:rPr>
          <w:rFonts w:ascii="宋体" w:hAnsi="宋体" w:cs="宋体"/>
          <w:bCs w:val="0"/>
          <w:color w:val="auto"/>
          <w:highlight w:val="none"/>
        </w:rPr>
      </w:pPr>
      <w:r>
        <w:rPr>
          <w:rFonts w:hint="eastAsia" w:ascii="宋体" w:hAnsi="宋体" w:cs="宋体"/>
          <w:bCs w:val="0"/>
          <w:color w:val="auto"/>
          <w:highlight w:val="none"/>
        </w:rPr>
        <w:t>第二节 资格证明文件格式</w:t>
      </w:r>
      <w:bookmarkEnd w:id="81"/>
      <w:bookmarkEnd w:id="82"/>
    </w:p>
    <w:p w14:paraId="3A414B57">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14:paraId="70A00901">
      <w:pPr>
        <w:spacing w:beforeLines="50" w:after="50"/>
        <w:rPr>
          <w:rFonts w:ascii="宋体" w:hAnsi="宋体" w:cs="宋体"/>
          <w:color w:val="auto"/>
          <w:sz w:val="24"/>
          <w:szCs w:val="20"/>
          <w:highlight w:val="none"/>
        </w:rPr>
      </w:pPr>
    </w:p>
    <w:p w14:paraId="0B719E89">
      <w:pPr>
        <w:spacing w:beforeLines="50" w:after="50"/>
        <w:rPr>
          <w:rFonts w:ascii="宋体" w:hAnsi="宋体" w:cs="宋体"/>
          <w:color w:val="auto"/>
          <w:sz w:val="24"/>
          <w:szCs w:val="20"/>
          <w:highlight w:val="none"/>
        </w:rPr>
      </w:pPr>
    </w:p>
    <w:p w14:paraId="68EDEBDC">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资 格 证 明 文 件</w:t>
      </w:r>
    </w:p>
    <w:p w14:paraId="27499C16">
      <w:pPr>
        <w:spacing w:beforeLines="50" w:after="50"/>
        <w:rPr>
          <w:rFonts w:ascii="宋体" w:hAnsi="宋体" w:cs="宋体"/>
          <w:bCs/>
          <w:color w:val="auto"/>
          <w:sz w:val="24"/>
          <w:szCs w:val="20"/>
          <w:highlight w:val="none"/>
        </w:rPr>
      </w:pPr>
    </w:p>
    <w:p w14:paraId="17772125">
      <w:pPr>
        <w:spacing w:beforeLines="50" w:after="50"/>
        <w:rPr>
          <w:rFonts w:ascii="宋体" w:hAnsi="宋体" w:cs="宋体"/>
          <w:bCs/>
          <w:color w:val="auto"/>
          <w:sz w:val="24"/>
          <w:szCs w:val="20"/>
          <w:highlight w:val="none"/>
        </w:rPr>
      </w:pPr>
    </w:p>
    <w:p w14:paraId="1BB728D3">
      <w:pPr>
        <w:spacing w:beforeLines="50" w:after="50"/>
        <w:rPr>
          <w:rFonts w:ascii="宋体" w:hAnsi="宋体" w:cs="宋体"/>
          <w:bCs/>
          <w:color w:val="auto"/>
          <w:sz w:val="24"/>
          <w:szCs w:val="20"/>
          <w:highlight w:val="none"/>
        </w:rPr>
      </w:pPr>
    </w:p>
    <w:p w14:paraId="2AF7C46C">
      <w:pPr>
        <w:spacing w:beforeLines="50" w:after="50"/>
        <w:rPr>
          <w:rFonts w:ascii="宋体" w:hAnsi="宋体" w:cs="宋体"/>
          <w:bCs/>
          <w:color w:val="auto"/>
          <w:sz w:val="24"/>
          <w:szCs w:val="20"/>
          <w:highlight w:val="none"/>
        </w:rPr>
      </w:pPr>
    </w:p>
    <w:p w14:paraId="7FD5DA50">
      <w:pPr>
        <w:spacing w:beforeLines="50" w:after="50"/>
        <w:rPr>
          <w:rFonts w:ascii="宋体" w:hAnsi="宋体" w:cs="宋体"/>
          <w:bCs/>
          <w:color w:val="auto"/>
          <w:sz w:val="24"/>
          <w:szCs w:val="20"/>
          <w:highlight w:val="none"/>
        </w:rPr>
      </w:pPr>
    </w:p>
    <w:p w14:paraId="4C1F0AD1">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1C0B89B2">
      <w:pPr>
        <w:spacing w:beforeLines="50" w:after="50"/>
        <w:ind w:firstLine="420" w:firstLineChars="150"/>
        <w:rPr>
          <w:rFonts w:ascii="宋体" w:hAnsi="宋体" w:cs="宋体"/>
          <w:bCs/>
          <w:color w:val="auto"/>
          <w:sz w:val="28"/>
          <w:szCs w:val="28"/>
          <w:highlight w:val="none"/>
        </w:rPr>
      </w:pPr>
    </w:p>
    <w:p w14:paraId="545EBE0C">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55845129">
      <w:pPr>
        <w:spacing w:beforeLines="50" w:after="50"/>
        <w:ind w:firstLine="420" w:firstLineChars="150"/>
        <w:rPr>
          <w:rFonts w:ascii="宋体" w:hAnsi="宋体" w:cs="宋体"/>
          <w:bCs/>
          <w:color w:val="auto"/>
          <w:sz w:val="28"/>
          <w:szCs w:val="28"/>
          <w:highlight w:val="none"/>
        </w:rPr>
      </w:pPr>
    </w:p>
    <w:p w14:paraId="60EB3685">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6615566E">
      <w:pPr>
        <w:spacing w:beforeLines="50" w:after="50"/>
        <w:rPr>
          <w:rFonts w:ascii="宋体" w:hAnsi="宋体" w:cs="宋体"/>
          <w:bCs/>
          <w:color w:val="auto"/>
          <w:sz w:val="28"/>
          <w:szCs w:val="28"/>
          <w:highlight w:val="none"/>
        </w:rPr>
      </w:pPr>
    </w:p>
    <w:p w14:paraId="5BEBAF00">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7B381610">
      <w:pPr>
        <w:pStyle w:val="7"/>
        <w:spacing w:before="50" w:after="50"/>
        <w:ind w:firstLine="720" w:firstLineChars="225"/>
        <w:rPr>
          <w:rFonts w:ascii="宋体" w:hAnsi="宋体" w:cs="宋体"/>
          <w:bCs/>
          <w:color w:val="auto"/>
          <w:sz w:val="32"/>
          <w:szCs w:val="32"/>
          <w:highlight w:val="none"/>
        </w:rPr>
      </w:pPr>
    </w:p>
    <w:p w14:paraId="437A9D6D">
      <w:pPr>
        <w:pStyle w:val="7"/>
        <w:spacing w:before="50" w:after="50"/>
        <w:ind w:firstLine="720" w:firstLineChars="225"/>
        <w:rPr>
          <w:rFonts w:ascii="宋体" w:hAnsi="宋体" w:cs="宋体"/>
          <w:bCs/>
          <w:color w:val="auto"/>
          <w:sz w:val="32"/>
          <w:szCs w:val="32"/>
          <w:highlight w:val="none"/>
        </w:rPr>
      </w:pPr>
    </w:p>
    <w:p w14:paraId="44FB98BA">
      <w:pPr>
        <w:pStyle w:val="7"/>
        <w:spacing w:before="50" w:after="50"/>
        <w:ind w:firstLine="1280" w:firstLineChars="400"/>
        <w:rPr>
          <w:rFonts w:ascii="宋体" w:hAnsi="宋体" w:cs="宋体"/>
          <w:bCs/>
          <w:color w:val="auto"/>
          <w:sz w:val="32"/>
          <w:szCs w:val="32"/>
          <w:highlight w:val="none"/>
        </w:rPr>
      </w:pPr>
    </w:p>
    <w:p w14:paraId="04CA3B0A">
      <w:pPr>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E283444">
      <w:pPr>
        <w:spacing w:beforeLines="50" w:after="50" w:line="360" w:lineRule="auto"/>
        <w:jc w:val="center"/>
        <w:rPr>
          <w:rFonts w:ascii="宋体" w:hAnsi="宋体" w:cs="宋体"/>
          <w:b/>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r>
        <w:rPr>
          <w:rFonts w:hint="eastAsia" w:ascii="宋体" w:hAnsi="宋体" w:cs="宋体"/>
          <w:b/>
          <w:color w:val="auto"/>
          <w:sz w:val="32"/>
          <w:szCs w:val="32"/>
          <w:highlight w:val="none"/>
        </w:rPr>
        <w:t>资格证明文件目录</w:t>
      </w:r>
    </w:p>
    <w:p w14:paraId="0BD42363">
      <w:pPr>
        <w:spacing w:line="360" w:lineRule="auto"/>
        <w:rPr>
          <w:rFonts w:ascii="宋体" w:hAnsi="宋体" w:cs="宋体"/>
          <w:color w:val="auto"/>
          <w:sz w:val="24"/>
          <w:highlight w:val="none"/>
        </w:rPr>
      </w:pPr>
    </w:p>
    <w:p w14:paraId="1F7FD102">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14:paraId="3015460D">
      <w:pPr>
        <w:spacing w:beforeLines="50" w:after="50" w:line="360" w:lineRule="auto"/>
        <w:ind w:left="142" w:firstLine="420" w:firstLineChars="200"/>
        <w:jc w:val="left"/>
        <w:rPr>
          <w:rFonts w:ascii="宋体" w:hAnsi="宋体" w:cs="宋体"/>
          <w:color w:val="auto"/>
          <w:szCs w:val="21"/>
          <w:highlight w:val="none"/>
        </w:rPr>
      </w:pPr>
    </w:p>
    <w:p w14:paraId="457FCBE1">
      <w:pPr>
        <w:spacing w:line="300" w:lineRule="auto"/>
        <w:rPr>
          <w:rFonts w:ascii="宋体" w:hAnsi="宋体" w:cs="宋体"/>
          <w:color w:val="auto"/>
          <w:szCs w:val="21"/>
          <w:highlight w:val="none"/>
        </w:rPr>
      </w:pPr>
    </w:p>
    <w:p w14:paraId="47879AF3">
      <w:pPr>
        <w:spacing w:line="300" w:lineRule="auto"/>
        <w:rPr>
          <w:rFonts w:ascii="宋体" w:hAnsi="宋体" w:cs="宋体"/>
          <w:color w:val="auto"/>
          <w:szCs w:val="21"/>
          <w:highlight w:val="none"/>
        </w:rPr>
      </w:pPr>
    </w:p>
    <w:p w14:paraId="235D95F4">
      <w:pPr>
        <w:spacing w:line="300" w:lineRule="auto"/>
        <w:rPr>
          <w:rFonts w:ascii="宋体" w:hAnsi="宋体" w:cs="宋体"/>
          <w:color w:val="auto"/>
          <w:szCs w:val="21"/>
          <w:highlight w:val="none"/>
        </w:rPr>
      </w:pPr>
    </w:p>
    <w:p w14:paraId="4E1251B2">
      <w:pPr>
        <w:spacing w:line="300" w:lineRule="auto"/>
        <w:rPr>
          <w:rFonts w:ascii="宋体" w:hAnsi="宋体" w:cs="宋体"/>
          <w:color w:val="auto"/>
          <w:szCs w:val="21"/>
          <w:highlight w:val="none"/>
        </w:rPr>
      </w:pPr>
    </w:p>
    <w:p w14:paraId="1721B00D">
      <w:pPr>
        <w:spacing w:line="300" w:lineRule="auto"/>
        <w:rPr>
          <w:rFonts w:ascii="宋体" w:hAnsi="宋体" w:cs="宋体"/>
          <w:color w:val="auto"/>
          <w:szCs w:val="21"/>
          <w:highlight w:val="none"/>
        </w:rPr>
      </w:pPr>
    </w:p>
    <w:p w14:paraId="3C4255CD">
      <w:pPr>
        <w:spacing w:line="300" w:lineRule="auto"/>
        <w:rPr>
          <w:rFonts w:ascii="宋体" w:hAnsi="宋体" w:cs="宋体"/>
          <w:color w:val="auto"/>
          <w:szCs w:val="21"/>
          <w:highlight w:val="none"/>
        </w:rPr>
      </w:pPr>
    </w:p>
    <w:p w14:paraId="240ED0E1">
      <w:pPr>
        <w:spacing w:line="300" w:lineRule="auto"/>
        <w:rPr>
          <w:rFonts w:ascii="宋体" w:hAnsi="宋体" w:cs="宋体"/>
          <w:color w:val="auto"/>
          <w:szCs w:val="21"/>
          <w:highlight w:val="none"/>
        </w:rPr>
      </w:pPr>
    </w:p>
    <w:p w14:paraId="39997B8E">
      <w:pPr>
        <w:spacing w:line="300" w:lineRule="auto"/>
        <w:rPr>
          <w:rFonts w:ascii="宋体" w:hAnsi="宋体" w:cs="宋体"/>
          <w:color w:val="auto"/>
          <w:szCs w:val="21"/>
          <w:highlight w:val="none"/>
        </w:rPr>
      </w:pPr>
    </w:p>
    <w:p w14:paraId="4DCBE7C5">
      <w:pPr>
        <w:spacing w:line="300" w:lineRule="auto"/>
        <w:rPr>
          <w:rFonts w:ascii="宋体" w:hAnsi="宋体" w:cs="宋体"/>
          <w:color w:val="auto"/>
          <w:szCs w:val="21"/>
          <w:highlight w:val="none"/>
        </w:rPr>
      </w:pPr>
    </w:p>
    <w:p w14:paraId="1129C9DC">
      <w:pPr>
        <w:spacing w:line="360" w:lineRule="auto"/>
        <w:rPr>
          <w:rFonts w:ascii="宋体" w:hAnsi="宋体" w:cs="宋体"/>
          <w:color w:val="auto"/>
          <w:highlight w:val="none"/>
        </w:rPr>
      </w:pPr>
      <w:r>
        <w:rPr>
          <w:rFonts w:hint="eastAsia" w:ascii="宋体" w:hAnsi="宋体" w:cs="宋体"/>
          <w:color w:val="auto"/>
          <w:highlight w:val="none"/>
        </w:rPr>
        <w:br w:type="page"/>
      </w:r>
    </w:p>
    <w:p w14:paraId="76EF4A06">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一、供应商有效的营业执照复印件</w:t>
      </w:r>
    </w:p>
    <w:p w14:paraId="07B025E2">
      <w:pPr>
        <w:spacing w:line="360" w:lineRule="auto"/>
        <w:ind w:firstLine="602" w:firstLineChars="200"/>
        <w:rPr>
          <w:rFonts w:ascii="宋体" w:hAnsi="宋体" w:cs="宋体"/>
          <w:b/>
          <w:color w:val="auto"/>
          <w:sz w:val="30"/>
          <w:szCs w:val="30"/>
          <w:highlight w:val="none"/>
        </w:rPr>
      </w:pPr>
    </w:p>
    <w:p w14:paraId="106C3294">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353E7E80">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12111736">
      <w:pPr>
        <w:spacing w:beforeLines="50" w:after="50"/>
        <w:rPr>
          <w:rFonts w:ascii="宋体" w:hAnsi="宋体" w:cs="宋体"/>
          <w:color w:val="auto"/>
          <w:sz w:val="24"/>
          <w:szCs w:val="20"/>
          <w:highlight w:val="none"/>
        </w:rPr>
      </w:pPr>
    </w:p>
    <w:p w14:paraId="286C454B">
      <w:pPr>
        <w:spacing w:line="360" w:lineRule="auto"/>
        <w:ind w:firstLine="602" w:firstLineChars="200"/>
        <w:rPr>
          <w:rFonts w:ascii="宋体" w:hAnsi="宋体" w:cs="宋体"/>
          <w:b/>
          <w:color w:val="auto"/>
          <w:sz w:val="30"/>
          <w:szCs w:val="30"/>
          <w:highlight w:val="none"/>
        </w:rPr>
      </w:pPr>
    </w:p>
    <w:p w14:paraId="215F9592">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二、供应商依法缴纳税收的相关材料</w:t>
      </w:r>
    </w:p>
    <w:p w14:paraId="5AA36A26">
      <w:pPr>
        <w:spacing w:line="360" w:lineRule="auto"/>
        <w:ind w:firstLine="602" w:firstLineChars="200"/>
        <w:rPr>
          <w:rFonts w:ascii="宋体" w:hAnsi="宋体" w:cs="宋体"/>
          <w:b/>
          <w:color w:val="auto"/>
          <w:sz w:val="30"/>
          <w:szCs w:val="30"/>
          <w:highlight w:val="none"/>
        </w:rPr>
      </w:pPr>
    </w:p>
    <w:p w14:paraId="5133107C">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6155C7FE">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24A2D5D0">
      <w:pPr>
        <w:spacing w:beforeLines="50" w:after="50"/>
        <w:rPr>
          <w:rFonts w:ascii="宋体" w:hAnsi="宋体" w:cs="宋体"/>
          <w:color w:val="auto"/>
          <w:sz w:val="24"/>
          <w:szCs w:val="20"/>
          <w:highlight w:val="none"/>
        </w:rPr>
      </w:pPr>
    </w:p>
    <w:p w14:paraId="570D1BE8">
      <w:pPr>
        <w:spacing w:line="360" w:lineRule="auto"/>
        <w:ind w:firstLine="602" w:firstLineChars="200"/>
        <w:rPr>
          <w:rFonts w:ascii="宋体" w:hAnsi="宋体" w:cs="宋体"/>
          <w:b/>
          <w:color w:val="auto"/>
          <w:sz w:val="30"/>
          <w:szCs w:val="30"/>
          <w:highlight w:val="none"/>
        </w:rPr>
      </w:pPr>
    </w:p>
    <w:p w14:paraId="395AF42D">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三、供应商依法缴纳社会保障资金的相关材料</w:t>
      </w:r>
    </w:p>
    <w:p w14:paraId="5F424F54">
      <w:pPr>
        <w:spacing w:line="360" w:lineRule="auto"/>
        <w:ind w:firstLine="602" w:firstLineChars="200"/>
        <w:rPr>
          <w:rFonts w:ascii="宋体" w:hAnsi="宋体" w:cs="宋体"/>
          <w:b/>
          <w:color w:val="auto"/>
          <w:sz w:val="30"/>
          <w:szCs w:val="30"/>
          <w:highlight w:val="none"/>
        </w:rPr>
      </w:pPr>
    </w:p>
    <w:p w14:paraId="51D1602B">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006ECFEF">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57F78AE6">
      <w:pPr>
        <w:spacing w:beforeLines="50" w:after="50"/>
        <w:rPr>
          <w:rFonts w:ascii="宋体" w:hAnsi="宋体" w:cs="宋体"/>
          <w:color w:val="auto"/>
          <w:sz w:val="24"/>
          <w:szCs w:val="20"/>
          <w:highlight w:val="none"/>
        </w:rPr>
      </w:pPr>
      <w:r>
        <w:rPr>
          <w:rFonts w:hint="eastAsia" w:ascii="宋体" w:hAnsi="宋体" w:cs="宋体"/>
          <w:color w:val="auto"/>
          <w:szCs w:val="21"/>
          <w:highlight w:val="none"/>
        </w:rPr>
        <w:t xml:space="preserve"> </w:t>
      </w:r>
    </w:p>
    <w:p w14:paraId="5F56E94C">
      <w:pPr>
        <w:spacing w:line="360" w:lineRule="auto"/>
        <w:ind w:firstLine="602" w:firstLineChars="200"/>
        <w:rPr>
          <w:rFonts w:ascii="宋体" w:hAnsi="宋体" w:cs="宋体"/>
          <w:b/>
          <w:color w:val="auto"/>
          <w:sz w:val="30"/>
          <w:szCs w:val="30"/>
          <w:highlight w:val="none"/>
        </w:rPr>
      </w:pPr>
    </w:p>
    <w:p w14:paraId="68CA0EA2">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四、供应商财务状况报告</w:t>
      </w:r>
    </w:p>
    <w:p w14:paraId="7CE43073">
      <w:pPr>
        <w:spacing w:line="360" w:lineRule="auto"/>
        <w:ind w:firstLine="602" w:firstLineChars="200"/>
        <w:rPr>
          <w:rFonts w:ascii="宋体" w:hAnsi="宋体" w:cs="宋体"/>
          <w:b/>
          <w:color w:val="auto"/>
          <w:sz w:val="30"/>
          <w:szCs w:val="30"/>
          <w:highlight w:val="none"/>
        </w:rPr>
      </w:pPr>
    </w:p>
    <w:p w14:paraId="06E37D20">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37C5444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1E0F0339">
      <w:pPr>
        <w:spacing w:line="300" w:lineRule="auto"/>
        <w:ind w:firstLine="596" w:firstLineChars="198"/>
        <w:rPr>
          <w:rFonts w:ascii="宋体" w:hAnsi="宋体" w:cs="宋体"/>
          <w:b/>
          <w:color w:val="auto"/>
          <w:sz w:val="30"/>
          <w:szCs w:val="30"/>
          <w:highlight w:val="none"/>
        </w:rPr>
      </w:pPr>
    </w:p>
    <w:p w14:paraId="2FFE1415">
      <w:pPr>
        <w:spacing w:line="360" w:lineRule="auto"/>
        <w:contextualSpacing/>
        <w:rPr>
          <w:rFonts w:ascii="宋体" w:hAnsi="宋体" w:cs="宋体"/>
          <w:b/>
          <w:color w:val="auto"/>
          <w:sz w:val="30"/>
          <w:szCs w:val="30"/>
          <w:highlight w:val="none"/>
        </w:rPr>
      </w:pPr>
    </w:p>
    <w:p w14:paraId="1D4AF39C">
      <w:pPr>
        <w:spacing w:line="360" w:lineRule="auto"/>
        <w:contextualSpacing/>
        <w:rPr>
          <w:rFonts w:ascii="宋体" w:hAnsi="宋体" w:cs="宋体"/>
          <w:b/>
          <w:color w:val="auto"/>
          <w:sz w:val="30"/>
          <w:szCs w:val="30"/>
          <w:highlight w:val="none"/>
        </w:rPr>
      </w:pPr>
    </w:p>
    <w:p w14:paraId="116433BB">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095A5F31">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五、供应商直接控股、管理关系信息表</w:t>
      </w:r>
    </w:p>
    <w:p w14:paraId="743A38C1">
      <w:pPr>
        <w:spacing w:line="360" w:lineRule="auto"/>
        <w:contextualSpacing/>
        <w:jc w:val="center"/>
        <w:rPr>
          <w:rFonts w:ascii="宋体" w:hAnsi="宋体" w:cs="宋体"/>
          <w:b/>
          <w:color w:val="auto"/>
          <w:sz w:val="30"/>
          <w:szCs w:val="30"/>
          <w:highlight w:val="none"/>
        </w:rPr>
      </w:pPr>
    </w:p>
    <w:p w14:paraId="1CB2F32E">
      <w:pPr>
        <w:spacing w:line="360" w:lineRule="auto"/>
        <w:contextualSpacing/>
        <w:jc w:val="center"/>
        <w:rPr>
          <w:rFonts w:ascii="宋体" w:hAnsi="宋体" w:cs="宋体"/>
          <w:b/>
          <w:color w:val="auto"/>
          <w:sz w:val="24"/>
          <w:highlight w:val="none"/>
        </w:rPr>
      </w:pPr>
      <w:r>
        <w:rPr>
          <w:rFonts w:hint="eastAsia" w:ascii="宋体" w:hAnsi="宋体" w:cs="宋体"/>
          <w:b/>
          <w:color w:val="auto"/>
          <w:sz w:val="30"/>
          <w:szCs w:val="30"/>
          <w:highlight w:val="none"/>
        </w:rPr>
        <w:t>供应商直接控股股东信息</w:t>
      </w:r>
    </w:p>
    <w:tbl>
      <w:tblPr>
        <w:tblStyle w:val="2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87F8FC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009174">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20F313">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2F75A7">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AF09E3">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080113">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61520E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746041">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B18CF6">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F49F9A">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88CD9C">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365FB3">
            <w:pPr>
              <w:widowControl/>
              <w:spacing w:line="400" w:lineRule="exact"/>
              <w:contextualSpacing/>
              <w:jc w:val="center"/>
              <w:rPr>
                <w:rFonts w:ascii="宋体" w:hAnsi="宋体" w:cs="宋体"/>
                <w:color w:val="auto"/>
                <w:sz w:val="24"/>
                <w:highlight w:val="none"/>
              </w:rPr>
            </w:pPr>
          </w:p>
        </w:tc>
      </w:tr>
      <w:tr w14:paraId="36FC711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B11DF2">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856C61">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BE54F6">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B87D24">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B556BD">
            <w:pPr>
              <w:widowControl/>
              <w:spacing w:line="400" w:lineRule="exact"/>
              <w:contextualSpacing/>
              <w:jc w:val="center"/>
              <w:rPr>
                <w:rFonts w:ascii="宋体" w:hAnsi="宋体" w:cs="宋体"/>
                <w:color w:val="auto"/>
                <w:sz w:val="24"/>
                <w:highlight w:val="none"/>
              </w:rPr>
            </w:pPr>
          </w:p>
        </w:tc>
      </w:tr>
      <w:tr w14:paraId="773B341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A33867">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802AFC">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FB159D">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ABF2EA">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845F83">
            <w:pPr>
              <w:widowControl/>
              <w:spacing w:line="400" w:lineRule="exact"/>
              <w:contextualSpacing/>
              <w:jc w:val="center"/>
              <w:rPr>
                <w:rFonts w:ascii="宋体" w:hAnsi="宋体" w:cs="宋体"/>
                <w:color w:val="auto"/>
                <w:sz w:val="24"/>
                <w:highlight w:val="none"/>
              </w:rPr>
            </w:pPr>
          </w:p>
        </w:tc>
      </w:tr>
      <w:tr w14:paraId="43FB894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618F6D">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E15D69">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56D219">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2D04B9">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32F488">
            <w:pPr>
              <w:widowControl/>
              <w:spacing w:line="400" w:lineRule="exact"/>
              <w:contextualSpacing/>
              <w:jc w:val="center"/>
              <w:rPr>
                <w:rFonts w:ascii="宋体" w:hAnsi="宋体" w:cs="宋体"/>
                <w:color w:val="auto"/>
                <w:sz w:val="24"/>
                <w:highlight w:val="none"/>
              </w:rPr>
            </w:pPr>
          </w:p>
        </w:tc>
      </w:tr>
    </w:tbl>
    <w:p w14:paraId="2AF074A8">
      <w:pPr>
        <w:spacing w:beforeLines="50"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1938C7F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E20E8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CCE834F">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59F14F7D">
      <w:pPr>
        <w:spacing w:line="360" w:lineRule="auto"/>
        <w:jc w:val="left"/>
        <w:rPr>
          <w:rFonts w:ascii="宋体" w:hAnsi="宋体" w:cs="宋体"/>
          <w:color w:val="auto"/>
          <w:sz w:val="24"/>
          <w:highlight w:val="none"/>
        </w:rPr>
      </w:pPr>
    </w:p>
    <w:p w14:paraId="61B8DED6">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23155A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1409FB36">
      <w:pPr>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6F8BFE48">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供应商直接管理关系信息表</w:t>
      </w:r>
    </w:p>
    <w:p w14:paraId="1F2EFD09">
      <w:pPr>
        <w:spacing w:line="360" w:lineRule="auto"/>
        <w:jc w:val="center"/>
        <w:rPr>
          <w:rFonts w:ascii="宋体" w:hAnsi="宋体" w:cs="宋体"/>
          <w:b/>
          <w:color w:val="auto"/>
          <w:sz w:val="24"/>
          <w:highlight w:val="none"/>
        </w:rPr>
      </w:pPr>
    </w:p>
    <w:tbl>
      <w:tblPr>
        <w:tblStyle w:val="2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5E3EB5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7EC3A6">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3163FB">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770EFC">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67ABE9">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4B48AF5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FB1BF8">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43925C">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4F2A14">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423A6B">
            <w:pPr>
              <w:widowControl/>
              <w:spacing w:line="400" w:lineRule="exact"/>
              <w:contextualSpacing/>
              <w:jc w:val="center"/>
              <w:rPr>
                <w:rFonts w:ascii="宋体" w:hAnsi="宋体" w:cs="宋体"/>
                <w:color w:val="auto"/>
                <w:sz w:val="24"/>
                <w:highlight w:val="none"/>
              </w:rPr>
            </w:pPr>
          </w:p>
        </w:tc>
      </w:tr>
      <w:tr w14:paraId="6D7BDDD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256319">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82F28B">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347396">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3614A1">
            <w:pPr>
              <w:widowControl/>
              <w:spacing w:line="400" w:lineRule="exact"/>
              <w:contextualSpacing/>
              <w:jc w:val="center"/>
              <w:rPr>
                <w:rFonts w:ascii="宋体" w:hAnsi="宋体" w:cs="宋体"/>
                <w:color w:val="auto"/>
                <w:sz w:val="24"/>
                <w:highlight w:val="none"/>
              </w:rPr>
            </w:pPr>
          </w:p>
        </w:tc>
      </w:tr>
      <w:tr w14:paraId="7159F51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918760">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AAD987">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6F7746">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594ADE">
            <w:pPr>
              <w:widowControl/>
              <w:spacing w:line="400" w:lineRule="exact"/>
              <w:contextualSpacing/>
              <w:jc w:val="center"/>
              <w:rPr>
                <w:rFonts w:ascii="宋体" w:hAnsi="宋体" w:cs="宋体"/>
                <w:color w:val="auto"/>
                <w:sz w:val="24"/>
                <w:highlight w:val="none"/>
              </w:rPr>
            </w:pPr>
          </w:p>
        </w:tc>
      </w:tr>
      <w:tr w14:paraId="7AB797C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88A053">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9377BE">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86E65C">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9263BE">
            <w:pPr>
              <w:widowControl/>
              <w:spacing w:line="400" w:lineRule="exact"/>
              <w:contextualSpacing/>
              <w:jc w:val="center"/>
              <w:rPr>
                <w:rFonts w:ascii="宋体" w:hAnsi="宋体" w:cs="宋体"/>
                <w:color w:val="auto"/>
                <w:sz w:val="24"/>
                <w:highlight w:val="none"/>
              </w:rPr>
            </w:pPr>
          </w:p>
        </w:tc>
      </w:tr>
    </w:tbl>
    <w:p w14:paraId="5CFA22A7">
      <w:pPr>
        <w:spacing w:beforeLines="50"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2940269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5223BF9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2.本表所指的管理关系仅限于直接管理关系，不包括间接的管理关系。</w:t>
      </w:r>
    </w:p>
    <w:p w14:paraId="7CA5E7C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09BD72FF">
      <w:pPr>
        <w:spacing w:line="360" w:lineRule="auto"/>
        <w:contextualSpacing/>
        <w:jc w:val="left"/>
        <w:rPr>
          <w:rFonts w:ascii="宋体" w:hAnsi="宋体" w:cs="宋体"/>
          <w:color w:val="auto"/>
          <w:sz w:val="24"/>
          <w:highlight w:val="none"/>
        </w:rPr>
      </w:pPr>
    </w:p>
    <w:p w14:paraId="5F48D671">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7FAC8B9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56A9B86B">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F36688B">
      <w:pPr>
        <w:spacing w:line="32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5F0644D">
      <w:pPr>
        <w:spacing w:line="320" w:lineRule="exact"/>
        <w:jc w:val="left"/>
        <w:rPr>
          <w:rFonts w:ascii="宋体" w:hAnsi="宋体" w:cs="宋体"/>
          <w:color w:val="auto"/>
          <w:sz w:val="28"/>
          <w:szCs w:val="28"/>
          <w:highlight w:val="none"/>
        </w:rPr>
      </w:pPr>
      <w:r>
        <w:rPr>
          <w:rFonts w:hint="eastAsia" w:ascii="宋体" w:hAnsi="宋体" w:cs="宋体"/>
          <w:b/>
          <w:color w:val="auto"/>
          <w:sz w:val="30"/>
          <w:szCs w:val="30"/>
          <w:highlight w:val="none"/>
        </w:rPr>
        <w:t>六、资格声明</w:t>
      </w:r>
    </w:p>
    <w:p w14:paraId="1970B2B0">
      <w:pPr>
        <w:spacing w:line="320" w:lineRule="exact"/>
        <w:jc w:val="center"/>
        <w:rPr>
          <w:rFonts w:ascii="宋体" w:hAnsi="宋体" w:cs="宋体"/>
          <w:b/>
          <w:color w:val="auto"/>
          <w:sz w:val="32"/>
          <w:szCs w:val="32"/>
          <w:highlight w:val="none"/>
        </w:rPr>
      </w:pPr>
    </w:p>
    <w:p w14:paraId="00764B7D">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22DBB0CE">
      <w:pPr>
        <w:spacing w:line="320" w:lineRule="exact"/>
        <w:jc w:val="center"/>
        <w:rPr>
          <w:rFonts w:ascii="宋体" w:hAnsi="宋体" w:cs="宋体"/>
          <w:color w:val="auto"/>
          <w:sz w:val="24"/>
          <w:szCs w:val="20"/>
          <w:highlight w:val="none"/>
        </w:rPr>
      </w:pPr>
    </w:p>
    <w:p w14:paraId="344A3AE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3B80CE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41B0F8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BEC30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E3753E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4C5B1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21E564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2B792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46648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3FCFCED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（4）响应磋商文件规定的磋商有效期。</w:t>
      </w:r>
    </w:p>
    <w:p w14:paraId="40EB91C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936970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14D2BD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14A31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FC73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EA3945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1B75E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25D6788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0795E7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347F2D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3FF9C99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6A3177">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7.与本磋商有关的一切正式往来信函请寄：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邮政编号：</w:t>
      </w:r>
      <w:r>
        <w:rPr>
          <w:rFonts w:hint="eastAsia" w:ascii="宋体" w:hAnsi="宋体" w:cs="宋体"/>
          <w:color w:val="auto"/>
          <w:sz w:val="24"/>
          <w:highlight w:val="none"/>
          <w:u w:val="single"/>
        </w:rPr>
        <w:t xml:space="preserve">        </w:t>
      </w:r>
    </w:p>
    <w:p w14:paraId="22A37FE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4DDC45">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35ED8DF2">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F1CBFD1">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4C32CE95">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260C2F8E">
      <w:pPr>
        <w:tabs>
          <w:tab w:val="left" w:pos="939"/>
        </w:tabs>
        <w:spacing w:line="360" w:lineRule="auto"/>
        <w:ind w:firstLine="480" w:firstLineChars="200"/>
        <w:contextualSpacing/>
        <w:rPr>
          <w:rFonts w:ascii="宋体" w:hAnsi="宋体" w:cs="宋体"/>
          <w:color w:val="auto"/>
          <w:sz w:val="24"/>
          <w:highlight w:val="none"/>
        </w:rPr>
      </w:pPr>
    </w:p>
    <w:p w14:paraId="36A45554">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1EE9AEDE">
      <w:pPr>
        <w:autoSpaceDE w:val="0"/>
        <w:autoSpaceDN w:val="0"/>
        <w:spacing w:line="360" w:lineRule="auto"/>
        <w:ind w:firstLine="6120" w:firstLineChars="2550"/>
        <w:rPr>
          <w:rFonts w:ascii="宋体" w:hAnsi="宋体" w:cs="宋体"/>
          <w:color w:val="auto"/>
          <w:sz w:val="24"/>
          <w:highlight w:val="none"/>
          <w:lang w:val="zh-CN"/>
        </w:rPr>
      </w:pPr>
      <w:r>
        <w:rPr>
          <w:rFonts w:hint="eastAsia" w:ascii="宋体" w:hAnsi="宋体" w:cs="宋体"/>
          <w:color w:val="auto"/>
          <w:sz w:val="24"/>
          <w:highlight w:val="none"/>
          <w:lang w:val="zh-CN"/>
        </w:rPr>
        <w:t xml:space="preserve">日期：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年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月   日</w:t>
      </w:r>
    </w:p>
    <w:p w14:paraId="00897BD3">
      <w:pPr>
        <w:autoSpaceDE w:val="0"/>
        <w:autoSpaceDN w:val="0"/>
        <w:spacing w:line="360" w:lineRule="auto"/>
        <w:ind w:firstLine="6120" w:firstLineChars="2550"/>
        <w:rPr>
          <w:rFonts w:ascii="宋体" w:hAnsi="宋体" w:cs="宋体"/>
          <w:color w:val="auto"/>
          <w:sz w:val="24"/>
          <w:highlight w:val="none"/>
          <w:lang w:val="zh-CN"/>
        </w:rPr>
      </w:pPr>
    </w:p>
    <w:p w14:paraId="28C9A43D">
      <w:pPr>
        <w:autoSpaceDE w:val="0"/>
        <w:autoSpaceDN w:val="0"/>
        <w:spacing w:line="360" w:lineRule="auto"/>
        <w:ind w:firstLine="6120" w:firstLineChars="2550"/>
        <w:rPr>
          <w:rFonts w:ascii="宋体" w:hAnsi="宋体" w:cs="宋体"/>
          <w:color w:val="auto"/>
          <w:sz w:val="24"/>
          <w:highlight w:val="none"/>
        </w:rPr>
      </w:pPr>
      <w:r>
        <w:rPr>
          <w:rFonts w:ascii="宋体" w:hAnsi="宋体" w:cs="宋体"/>
          <w:color w:val="auto"/>
          <w:sz w:val="24"/>
          <w:highlight w:val="none"/>
        </w:rPr>
        <w:br w:type="page"/>
      </w:r>
    </w:p>
    <w:p w14:paraId="1AE47AB4">
      <w:pPr>
        <w:autoSpaceDE w:val="0"/>
        <w:autoSpaceDN w:val="0"/>
        <w:spacing w:line="360" w:lineRule="auto"/>
        <w:ind w:firstLine="6120" w:firstLineChars="2550"/>
        <w:rPr>
          <w:rFonts w:ascii="宋体" w:hAnsi="宋体" w:cs="宋体"/>
          <w:color w:val="auto"/>
          <w:sz w:val="24"/>
          <w:highlight w:val="none"/>
          <w:lang w:val="zh-CN"/>
        </w:rPr>
      </w:pPr>
    </w:p>
    <w:p w14:paraId="451BC97D">
      <w:pPr>
        <w:pStyle w:val="97"/>
        <w:spacing w:beforeLines="50" w:line="360" w:lineRule="auto"/>
        <w:ind w:firstLine="0" w:firstLineChars="0"/>
        <w:rPr>
          <w:rFonts w:ascii="宋体" w:hAnsi="宋体" w:eastAsia="宋体" w:cs="宋体"/>
          <w:b/>
          <w:color w:val="auto"/>
          <w:spacing w:val="0"/>
          <w:sz w:val="30"/>
          <w:szCs w:val="30"/>
          <w:highlight w:val="none"/>
        </w:rPr>
      </w:pPr>
      <w:bookmarkStart w:id="83" w:name="_Toc80205940"/>
      <w:r>
        <w:rPr>
          <w:rFonts w:hint="eastAsia" w:ascii="宋体" w:hAnsi="宋体" w:eastAsia="宋体" w:cs="宋体"/>
          <w:b/>
          <w:color w:val="auto"/>
          <w:spacing w:val="0"/>
          <w:sz w:val="30"/>
          <w:szCs w:val="30"/>
          <w:highlight w:val="none"/>
        </w:rPr>
        <w:t>七、建设工程项目管理承诺书</w:t>
      </w:r>
    </w:p>
    <w:p w14:paraId="0F36AEFF">
      <w:pPr>
        <w:spacing w:line="360" w:lineRule="auto"/>
        <w:jc w:val="center"/>
        <w:rPr>
          <w:rFonts w:ascii="宋体" w:hAnsi="宋体" w:cs="宋体"/>
          <w:color w:val="auto"/>
          <w:sz w:val="24"/>
          <w:highlight w:val="none"/>
        </w:rPr>
      </w:pPr>
      <w:r>
        <w:rPr>
          <w:rFonts w:hint="eastAsia" w:ascii="宋体" w:hAnsi="宋体" w:cs="宋体"/>
          <w:b/>
          <w:color w:val="auto"/>
          <w:sz w:val="30"/>
          <w:szCs w:val="30"/>
          <w:highlight w:val="none"/>
        </w:rPr>
        <w:t>建设工程项目管理承诺书</w:t>
      </w:r>
    </w:p>
    <w:p w14:paraId="202F0489">
      <w:pPr>
        <w:spacing w:line="5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（采购人名称）</w:t>
      </w:r>
      <w:r>
        <w:rPr>
          <w:rFonts w:hint="eastAsia" w:ascii="宋体" w:hAnsi="宋体" w:cs="宋体"/>
          <w:color w:val="auto"/>
          <w:sz w:val="24"/>
          <w:highlight w:val="none"/>
        </w:rPr>
        <w:t>：</w:t>
      </w:r>
    </w:p>
    <w:p w14:paraId="07D29CDD">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MingLiU_HKSCS" w:hAnsi="MingLiU_HKSCS" w:eastAsia="MingLiU_HKSCS" w:cs="MingLiU_HKSCS"/>
          <w:color w:val="auto"/>
          <w:sz w:val="24"/>
          <w:highlight w:val="none"/>
          <w:u w:val="single"/>
        </w:rPr>
        <w:t></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项目的投标方，根据国家、自治区相关文件规定，我方在此向采购人承诺：</w:t>
      </w:r>
    </w:p>
    <w:p w14:paraId="0FF1C0C2">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1、一旦中标，我方保证按照政府相关部门的规定，在项目开工前设农民工工资支付专用账户。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14:paraId="3FD2C1FD">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2.一旦中标，我方保证在施工过程中，严格执行《广西壮族自治区建筑工程安全防护、文明施工措施费及使用管理细则》（桂建质【2015】16号）的有关规定，确保建设工程各项安全防护、文明施工措施落实到位。如我方在该项目的承包中出现未按桂建质【2015】16号文规定执行的情形，我方愿意按照相关规定接受建设单位及有关主管部门的处罚。</w:t>
      </w:r>
    </w:p>
    <w:p w14:paraId="1987EFD5">
      <w:pPr>
        <w:spacing w:line="520" w:lineRule="exact"/>
        <w:ind w:left="-2" w:leftChars="-1" w:firstLine="513" w:firstLineChars="214"/>
        <w:rPr>
          <w:rFonts w:ascii="宋体" w:hAnsi="宋体" w:cs="宋体"/>
          <w:color w:val="auto"/>
          <w:sz w:val="24"/>
          <w:highlight w:val="none"/>
        </w:rPr>
      </w:pPr>
      <w:r>
        <w:rPr>
          <w:rFonts w:hint="eastAsia" w:ascii="宋体" w:hAnsi="宋体" w:cs="宋体"/>
          <w:color w:val="auto"/>
          <w:sz w:val="24"/>
          <w:highlight w:val="none"/>
        </w:rPr>
        <w:t>3.一旦中标，我方保证在施工过程中，严格执行散装水泥和预拌混凝土（或商品混凝土）管理的有关规定，确保建设工程按规定使用散装水泥和预拌混凝土。如我方在该项目的承包中出现未按规定执行的情形，我方愿意按照相关规定接受建设单位及有关主管部门的处罚。</w:t>
      </w:r>
    </w:p>
    <w:p w14:paraId="36A8A5E5">
      <w:pPr>
        <w:spacing w:line="520" w:lineRule="exact"/>
        <w:ind w:left="-10" w:firstLine="520" w:firstLineChars="217"/>
        <w:rPr>
          <w:rFonts w:ascii="宋体" w:hAnsi="宋体" w:cs="宋体"/>
          <w:color w:val="auto"/>
          <w:highlight w:val="none"/>
        </w:rPr>
      </w:pPr>
      <w:r>
        <w:rPr>
          <w:rFonts w:hint="eastAsia" w:ascii="宋体" w:hAnsi="宋体" w:cs="宋体"/>
          <w:color w:val="auto"/>
          <w:sz w:val="24"/>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44A695E">
      <w:pPr>
        <w:autoSpaceDE w:val="0"/>
        <w:autoSpaceDN w:val="0"/>
        <w:spacing w:line="360" w:lineRule="auto"/>
        <w:ind w:left="4365" w:leftChars="1850" w:hanging="480" w:hangingChars="200"/>
        <w:rPr>
          <w:rFonts w:ascii="宋体" w:hAnsi="宋体" w:cs="宋体"/>
          <w:color w:val="auto"/>
          <w:sz w:val="24"/>
          <w:highlight w:val="none"/>
        </w:rPr>
      </w:pPr>
    </w:p>
    <w:p w14:paraId="33463CB2">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4BD3EB1D">
      <w:pPr>
        <w:autoSpaceDE w:val="0"/>
        <w:autoSpaceDN w:val="0"/>
        <w:spacing w:line="360" w:lineRule="auto"/>
        <w:ind w:firstLine="6120" w:firstLineChars="2550"/>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3DC2596D">
      <w:pPr>
        <w:autoSpaceDE w:val="0"/>
        <w:autoSpaceDN w:val="0"/>
        <w:spacing w:line="360" w:lineRule="auto"/>
        <w:ind w:firstLine="6120" w:firstLineChars="2550"/>
        <w:rPr>
          <w:rFonts w:ascii="宋体" w:hAnsi="宋体" w:cs="宋体"/>
          <w:color w:val="auto"/>
          <w:sz w:val="24"/>
          <w:highlight w:val="none"/>
        </w:rPr>
      </w:pPr>
      <w:r>
        <w:rPr>
          <w:rFonts w:ascii="宋体" w:hAnsi="宋体" w:cs="宋体"/>
          <w:color w:val="auto"/>
          <w:sz w:val="24"/>
          <w:highlight w:val="none"/>
        </w:rPr>
        <w:br w:type="page"/>
      </w:r>
    </w:p>
    <w:p w14:paraId="47FA866C">
      <w:pPr>
        <w:spacing w:line="360" w:lineRule="auto"/>
        <w:jc w:val="center"/>
        <w:rPr>
          <w:rFonts w:ascii="宋体" w:hAnsi="宋体" w:cs="宋体"/>
          <w:color w:val="auto"/>
          <w:highlight w:val="none"/>
        </w:rPr>
      </w:pPr>
      <w:r>
        <w:rPr>
          <w:rFonts w:hint="eastAsia" w:ascii="宋体" w:hAnsi="宋体" w:cs="宋体"/>
          <w:b/>
          <w:bCs/>
          <w:color w:val="auto"/>
          <w:sz w:val="28"/>
          <w:szCs w:val="28"/>
          <w:highlight w:val="none"/>
        </w:rPr>
        <w:t>广西壮族自治区建筑工程安全文明施工措施项目清单内容</w:t>
      </w:r>
    </w:p>
    <w:p w14:paraId="58D81F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（桂建质〔2015〕16号文附件一）</w:t>
      </w:r>
    </w:p>
    <w:p w14:paraId="21D46DAD">
      <w:pPr>
        <w:pStyle w:val="105"/>
        <w:spacing w:line="240" w:lineRule="atLeas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广西壮族自治区</w:t>
      </w:r>
    </w:p>
    <w:p w14:paraId="41003D7A">
      <w:pPr>
        <w:pStyle w:val="105"/>
        <w:spacing w:line="240" w:lineRule="atLeas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建设工程安全文明施工措施项目清单内容</w:t>
      </w:r>
    </w:p>
    <w:p w14:paraId="36203BB7">
      <w:pPr>
        <w:pStyle w:val="105"/>
        <w:spacing w:line="240" w:lineRule="atLeast"/>
        <w:ind w:firstLine="546"/>
        <w:jc w:val="center"/>
        <w:rPr>
          <w:rFonts w:ascii="宋体" w:hAnsi="宋体" w:cs="宋体"/>
          <w:b/>
          <w:bCs/>
          <w:color w:val="auto"/>
          <w:sz w:val="24"/>
          <w:szCs w:val="24"/>
          <w:highlight w:val="none"/>
        </w:rPr>
      </w:pPr>
    </w:p>
    <w:tbl>
      <w:tblPr>
        <w:tblStyle w:val="29"/>
        <w:tblW w:w="94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1EFA9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738" w:type="dxa"/>
            <w:tcBorders>
              <w:top w:val="single" w:color="auto" w:sz="12" w:space="0"/>
            </w:tcBorders>
            <w:vAlign w:val="center"/>
          </w:tcPr>
          <w:p w14:paraId="059F7AAA">
            <w:pPr>
              <w:pStyle w:val="105"/>
              <w:spacing w:line="300" w:lineRule="exact"/>
              <w:jc w:val="center"/>
              <w:rPr>
                <w:rFonts w:ascii="宋体" w:hAnsi="宋体" w:cs="宋体"/>
                <w:b/>
                <w:bCs/>
                <w:color w:val="auto"/>
                <w:highlight w:val="none"/>
              </w:rPr>
            </w:pPr>
            <w:r>
              <w:rPr>
                <w:rFonts w:hint="eastAsia" w:ascii="宋体" w:hAnsi="宋体" w:cs="宋体"/>
                <w:b/>
                <w:bCs/>
                <w:color w:val="auto"/>
                <w:highlight w:val="none"/>
              </w:rPr>
              <w:t>类别</w:t>
            </w:r>
          </w:p>
        </w:tc>
        <w:tc>
          <w:tcPr>
            <w:tcW w:w="2070" w:type="dxa"/>
            <w:gridSpan w:val="2"/>
            <w:tcBorders>
              <w:top w:val="single" w:color="auto" w:sz="12" w:space="0"/>
            </w:tcBorders>
            <w:vAlign w:val="center"/>
          </w:tcPr>
          <w:p w14:paraId="67B7F1D8">
            <w:pPr>
              <w:pStyle w:val="105"/>
              <w:spacing w:line="300" w:lineRule="exact"/>
              <w:jc w:val="center"/>
              <w:rPr>
                <w:rFonts w:ascii="宋体" w:hAnsi="宋体" w:cs="宋体"/>
                <w:b/>
                <w:bCs/>
                <w:color w:val="auto"/>
                <w:highlight w:val="none"/>
              </w:rPr>
            </w:pPr>
            <w:r>
              <w:rPr>
                <w:rFonts w:hint="eastAsia" w:ascii="宋体" w:hAnsi="宋体" w:cs="宋体"/>
                <w:b/>
                <w:bCs/>
                <w:color w:val="auto"/>
                <w:highlight w:val="none"/>
              </w:rPr>
              <w:t>项目名称</w:t>
            </w:r>
          </w:p>
        </w:tc>
        <w:tc>
          <w:tcPr>
            <w:tcW w:w="6645" w:type="dxa"/>
            <w:tcBorders>
              <w:top w:val="single" w:color="auto" w:sz="12" w:space="0"/>
            </w:tcBorders>
            <w:vAlign w:val="center"/>
          </w:tcPr>
          <w:p w14:paraId="72CEB43E">
            <w:pPr>
              <w:pStyle w:val="105"/>
              <w:spacing w:line="300" w:lineRule="exact"/>
              <w:jc w:val="center"/>
              <w:rPr>
                <w:rFonts w:ascii="宋体" w:hAnsi="宋体" w:cs="宋体"/>
                <w:b/>
                <w:bCs/>
                <w:color w:val="auto"/>
                <w:highlight w:val="none"/>
              </w:rPr>
            </w:pPr>
            <w:r>
              <w:rPr>
                <w:rFonts w:hint="eastAsia" w:ascii="宋体" w:hAnsi="宋体" w:cs="宋体"/>
                <w:b/>
                <w:bCs/>
                <w:color w:val="auto"/>
                <w:highlight w:val="none"/>
              </w:rPr>
              <w:t>主要内容和要求</w:t>
            </w:r>
          </w:p>
        </w:tc>
      </w:tr>
      <w:tr w14:paraId="74128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023A7FE2">
            <w:pPr>
              <w:pStyle w:val="105"/>
              <w:spacing w:line="300" w:lineRule="exact"/>
              <w:jc w:val="center"/>
              <w:rPr>
                <w:rFonts w:ascii="宋体" w:hAnsi="宋体" w:cs="宋体"/>
                <w:color w:val="auto"/>
                <w:highlight w:val="none"/>
              </w:rPr>
            </w:pPr>
            <w:r>
              <w:rPr>
                <w:rFonts w:hint="eastAsia" w:ascii="宋体" w:hAnsi="宋体" w:cs="宋体"/>
                <w:color w:val="auto"/>
                <w:highlight w:val="none"/>
              </w:rPr>
              <w:t>文明</w:t>
            </w:r>
          </w:p>
          <w:p w14:paraId="7B439D4A">
            <w:pPr>
              <w:pStyle w:val="105"/>
              <w:spacing w:line="300" w:lineRule="exact"/>
              <w:jc w:val="center"/>
              <w:rPr>
                <w:rFonts w:ascii="宋体" w:hAnsi="宋体" w:cs="宋体"/>
                <w:color w:val="auto"/>
                <w:highlight w:val="none"/>
              </w:rPr>
            </w:pPr>
            <w:r>
              <w:rPr>
                <w:rFonts w:hint="eastAsia" w:ascii="宋体" w:hAnsi="宋体" w:cs="宋体"/>
                <w:color w:val="auto"/>
                <w:highlight w:val="none"/>
              </w:rPr>
              <w:t>施工</w:t>
            </w:r>
          </w:p>
          <w:p w14:paraId="0ED58C29">
            <w:pPr>
              <w:pStyle w:val="105"/>
              <w:spacing w:line="300" w:lineRule="exact"/>
              <w:jc w:val="center"/>
              <w:rPr>
                <w:rFonts w:ascii="宋体" w:hAnsi="宋体" w:cs="宋体"/>
                <w:color w:val="auto"/>
                <w:highlight w:val="none"/>
              </w:rPr>
            </w:pPr>
            <w:r>
              <w:rPr>
                <w:rFonts w:hint="eastAsia" w:ascii="宋体" w:hAnsi="宋体" w:cs="宋体"/>
                <w:color w:val="auto"/>
                <w:highlight w:val="none"/>
              </w:rPr>
              <w:t>与</w:t>
            </w:r>
          </w:p>
          <w:p w14:paraId="432B5149">
            <w:pPr>
              <w:pStyle w:val="105"/>
              <w:spacing w:line="300" w:lineRule="exact"/>
              <w:jc w:val="center"/>
              <w:rPr>
                <w:rFonts w:ascii="宋体" w:hAnsi="宋体" w:cs="宋体"/>
                <w:color w:val="auto"/>
                <w:highlight w:val="none"/>
              </w:rPr>
            </w:pPr>
            <w:r>
              <w:rPr>
                <w:rFonts w:hint="eastAsia" w:ascii="宋体" w:hAnsi="宋体" w:cs="宋体"/>
                <w:color w:val="auto"/>
                <w:highlight w:val="none"/>
              </w:rPr>
              <w:t>环境</w:t>
            </w:r>
          </w:p>
          <w:p w14:paraId="514DB8CF">
            <w:pPr>
              <w:pStyle w:val="105"/>
              <w:spacing w:line="300" w:lineRule="exact"/>
              <w:jc w:val="center"/>
              <w:rPr>
                <w:rFonts w:ascii="宋体" w:hAnsi="宋体" w:cs="宋体"/>
                <w:color w:val="auto"/>
                <w:highlight w:val="none"/>
              </w:rPr>
            </w:pPr>
            <w:r>
              <w:rPr>
                <w:rFonts w:hint="eastAsia" w:ascii="宋体" w:hAnsi="宋体" w:cs="宋体"/>
                <w:color w:val="auto"/>
                <w:highlight w:val="none"/>
              </w:rPr>
              <w:t>保护</w:t>
            </w:r>
          </w:p>
        </w:tc>
        <w:tc>
          <w:tcPr>
            <w:tcW w:w="2070" w:type="dxa"/>
            <w:gridSpan w:val="2"/>
            <w:vAlign w:val="center"/>
          </w:tcPr>
          <w:p w14:paraId="2CB6F25C">
            <w:pPr>
              <w:pStyle w:val="105"/>
              <w:spacing w:line="300" w:lineRule="exact"/>
              <w:jc w:val="center"/>
              <w:rPr>
                <w:rFonts w:ascii="宋体" w:hAnsi="宋体" w:cs="宋体"/>
                <w:color w:val="auto"/>
                <w:highlight w:val="none"/>
              </w:rPr>
            </w:pPr>
            <w:r>
              <w:rPr>
                <w:rFonts w:hint="eastAsia" w:ascii="宋体" w:hAnsi="宋体" w:cs="宋体"/>
                <w:color w:val="auto"/>
                <w:highlight w:val="none"/>
              </w:rPr>
              <w:t>安全警示</w:t>
            </w:r>
          </w:p>
          <w:p w14:paraId="4D186DB8">
            <w:pPr>
              <w:pStyle w:val="105"/>
              <w:spacing w:line="300" w:lineRule="exact"/>
              <w:jc w:val="center"/>
              <w:rPr>
                <w:rFonts w:ascii="宋体" w:hAnsi="宋体" w:cs="宋体"/>
                <w:color w:val="auto"/>
                <w:highlight w:val="none"/>
              </w:rPr>
            </w:pPr>
            <w:r>
              <w:rPr>
                <w:rFonts w:hint="eastAsia" w:ascii="宋体" w:hAnsi="宋体" w:cs="宋体"/>
                <w:color w:val="auto"/>
                <w:highlight w:val="none"/>
              </w:rPr>
              <w:t>标志牌</w:t>
            </w:r>
          </w:p>
        </w:tc>
        <w:tc>
          <w:tcPr>
            <w:tcW w:w="6645" w:type="dxa"/>
            <w:vAlign w:val="center"/>
          </w:tcPr>
          <w:p w14:paraId="1C1D2C14">
            <w:pPr>
              <w:pStyle w:val="105"/>
              <w:spacing w:line="300" w:lineRule="exact"/>
              <w:rPr>
                <w:rFonts w:ascii="宋体" w:hAnsi="宋体" w:cs="宋体"/>
                <w:color w:val="auto"/>
                <w:highlight w:val="none"/>
              </w:rPr>
            </w:pPr>
            <w:r>
              <w:rPr>
                <w:rFonts w:hint="eastAsia" w:ascii="宋体" w:hAnsi="宋体" w:cs="宋体"/>
                <w:color w:val="auto"/>
                <w:highlight w:val="none"/>
              </w:rPr>
              <w:t>在易发伤亡事故（或危险）处设置明显的、符合国家标准要求的安全警示标志牌。</w:t>
            </w:r>
          </w:p>
        </w:tc>
      </w:tr>
      <w:tr w14:paraId="11AC8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56497C5">
            <w:pPr>
              <w:pStyle w:val="105"/>
              <w:spacing w:line="300" w:lineRule="exact"/>
              <w:jc w:val="center"/>
              <w:rPr>
                <w:rFonts w:ascii="宋体" w:hAnsi="宋体" w:cs="宋体"/>
                <w:color w:val="auto"/>
                <w:highlight w:val="none"/>
              </w:rPr>
            </w:pPr>
          </w:p>
        </w:tc>
        <w:tc>
          <w:tcPr>
            <w:tcW w:w="2070" w:type="dxa"/>
            <w:gridSpan w:val="2"/>
            <w:vAlign w:val="center"/>
          </w:tcPr>
          <w:p w14:paraId="0CF22027">
            <w:pPr>
              <w:pStyle w:val="105"/>
              <w:spacing w:line="300" w:lineRule="exact"/>
              <w:jc w:val="center"/>
              <w:rPr>
                <w:rFonts w:ascii="宋体" w:hAnsi="宋体" w:cs="宋体"/>
                <w:color w:val="auto"/>
                <w:highlight w:val="none"/>
              </w:rPr>
            </w:pPr>
            <w:r>
              <w:rPr>
                <w:rFonts w:hint="eastAsia" w:ascii="宋体" w:hAnsi="宋体" w:cs="宋体"/>
                <w:color w:val="auto"/>
                <w:highlight w:val="none"/>
              </w:rPr>
              <w:t>现场围挡</w:t>
            </w:r>
          </w:p>
        </w:tc>
        <w:tc>
          <w:tcPr>
            <w:tcW w:w="6645" w:type="dxa"/>
            <w:vAlign w:val="center"/>
          </w:tcPr>
          <w:p w14:paraId="733DD9F5">
            <w:pPr>
              <w:pStyle w:val="105"/>
              <w:spacing w:line="300" w:lineRule="exact"/>
              <w:rPr>
                <w:rFonts w:ascii="宋体" w:hAnsi="宋体" w:cs="宋体"/>
                <w:color w:val="auto"/>
                <w:highlight w:val="none"/>
              </w:rPr>
            </w:pPr>
            <w:r>
              <w:rPr>
                <w:rFonts w:hint="eastAsia" w:ascii="宋体" w:hAnsi="宋体" w:cs="宋体"/>
                <w:color w:val="auto"/>
                <w:highlight w:val="none"/>
              </w:rPr>
              <w:t>1. 现场采用封闭围挡，高度不小于1.8m。</w:t>
            </w:r>
          </w:p>
          <w:p w14:paraId="6B59A658">
            <w:pPr>
              <w:pStyle w:val="105"/>
              <w:spacing w:line="300" w:lineRule="exact"/>
              <w:rPr>
                <w:rFonts w:ascii="宋体" w:hAnsi="宋体" w:cs="宋体"/>
                <w:color w:val="auto"/>
                <w:highlight w:val="none"/>
              </w:rPr>
            </w:pPr>
            <w:r>
              <w:rPr>
                <w:rFonts w:hint="eastAsia" w:ascii="宋体" w:hAnsi="宋体" w:cs="宋体"/>
                <w:color w:val="auto"/>
                <w:highlight w:val="none"/>
              </w:rPr>
              <w:t>2. 围挡材料可用彩色、定型钢板，砌块等墙体。</w:t>
            </w:r>
          </w:p>
        </w:tc>
      </w:tr>
      <w:tr w14:paraId="07277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4F57AA0">
            <w:pPr>
              <w:pStyle w:val="105"/>
              <w:spacing w:line="300" w:lineRule="exact"/>
              <w:jc w:val="center"/>
              <w:rPr>
                <w:rFonts w:ascii="宋体" w:hAnsi="宋体" w:cs="宋体"/>
                <w:color w:val="auto"/>
                <w:highlight w:val="none"/>
              </w:rPr>
            </w:pPr>
          </w:p>
        </w:tc>
        <w:tc>
          <w:tcPr>
            <w:tcW w:w="2070" w:type="dxa"/>
            <w:gridSpan w:val="2"/>
            <w:vAlign w:val="center"/>
          </w:tcPr>
          <w:p w14:paraId="6591CCE2">
            <w:pPr>
              <w:pStyle w:val="105"/>
              <w:spacing w:line="300" w:lineRule="exact"/>
              <w:jc w:val="center"/>
              <w:rPr>
                <w:rFonts w:ascii="宋体" w:hAnsi="宋体" w:cs="宋体"/>
                <w:color w:val="auto"/>
                <w:highlight w:val="none"/>
              </w:rPr>
            </w:pPr>
            <w:r>
              <w:rPr>
                <w:rFonts w:hint="eastAsia" w:ascii="宋体" w:hAnsi="宋体" w:cs="宋体"/>
                <w:color w:val="auto"/>
                <w:highlight w:val="none"/>
              </w:rPr>
              <w:t>七牌二图</w:t>
            </w:r>
          </w:p>
        </w:tc>
        <w:tc>
          <w:tcPr>
            <w:tcW w:w="6645" w:type="dxa"/>
            <w:vAlign w:val="center"/>
          </w:tcPr>
          <w:p w14:paraId="20882151">
            <w:pPr>
              <w:pStyle w:val="105"/>
              <w:spacing w:line="300" w:lineRule="exact"/>
              <w:rPr>
                <w:rFonts w:ascii="宋体" w:hAnsi="宋体" w:cs="宋体"/>
                <w:color w:val="auto"/>
                <w:highlight w:val="none"/>
              </w:rPr>
            </w:pPr>
            <w:r>
              <w:rPr>
                <w:rFonts w:hint="eastAsia" w:ascii="宋体" w:hAnsi="宋体" w:cs="宋体"/>
                <w:color w:val="auto"/>
                <w:highlight w:val="none"/>
              </w:rPr>
              <w:t>在进门处悬挂工程概况、现场出入制度、管理人员名单及监督电话、安全生产规定、文明施工、消防保卫、节能公示等七牌以及施工现场总平面图、工程效果图。</w:t>
            </w:r>
          </w:p>
        </w:tc>
      </w:tr>
      <w:tr w14:paraId="41EA3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vAlign w:val="center"/>
          </w:tcPr>
          <w:p w14:paraId="59D72E72">
            <w:pPr>
              <w:pStyle w:val="105"/>
              <w:spacing w:line="300" w:lineRule="exact"/>
              <w:jc w:val="center"/>
              <w:rPr>
                <w:rFonts w:ascii="宋体" w:hAnsi="宋体" w:cs="宋体"/>
                <w:color w:val="auto"/>
                <w:highlight w:val="none"/>
              </w:rPr>
            </w:pPr>
          </w:p>
        </w:tc>
        <w:tc>
          <w:tcPr>
            <w:tcW w:w="2070" w:type="dxa"/>
            <w:gridSpan w:val="2"/>
            <w:vAlign w:val="center"/>
          </w:tcPr>
          <w:p w14:paraId="7A2C4C51">
            <w:pPr>
              <w:pStyle w:val="105"/>
              <w:spacing w:line="300" w:lineRule="exact"/>
              <w:jc w:val="center"/>
              <w:rPr>
                <w:rFonts w:ascii="宋体" w:hAnsi="宋体" w:cs="宋体"/>
                <w:color w:val="auto"/>
                <w:highlight w:val="none"/>
              </w:rPr>
            </w:pPr>
            <w:r>
              <w:rPr>
                <w:rFonts w:hint="eastAsia" w:ascii="宋体" w:hAnsi="宋体" w:cs="宋体"/>
                <w:color w:val="auto"/>
                <w:highlight w:val="none"/>
              </w:rPr>
              <w:t>企业标志</w:t>
            </w:r>
          </w:p>
        </w:tc>
        <w:tc>
          <w:tcPr>
            <w:tcW w:w="6645" w:type="dxa"/>
            <w:vAlign w:val="center"/>
          </w:tcPr>
          <w:p w14:paraId="757DB669">
            <w:pPr>
              <w:pStyle w:val="105"/>
              <w:spacing w:line="300" w:lineRule="exact"/>
              <w:rPr>
                <w:rFonts w:ascii="宋体" w:hAnsi="宋体" w:cs="宋体"/>
                <w:color w:val="auto"/>
                <w:highlight w:val="none"/>
              </w:rPr>
            </w:pPr>
            <w:r>
              <w:rPr>
                <w:rFonts w:hint="eastAsia" w:ascii="宋体" w:hAnsi="宋体" w:cs="宋体"/>
                <w:color w:val="auto"/>
                <w:highlight w:val="none"/>
              </w:rPr>
              <w:t>现场出入的大门应设有本企业标志或企业标识。</w:t>
            </w:r>
          </w:p>
        </w:tc>
      </w:tr>
      <w:tr w14:paraId="676E6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FC1BA4C">
            <w:pPr>
              <w:pStyle w:val="105"/>
              <w:spacing w:line="300" w:lineRule="exact"/>
              <w:jc w:val="center"/>
              <w:rPr>
                <w:rFonts w:ascii="宋体" w:hAnsi="宋体" w:cs="宋体"/>
                <w:color w:val="auto"/>
                <w:highlight w:val="none"/>
              </w:rPr>
            </w:pPr>
          </w:p>
        </w:tc>
        <w:tc>
          <w:tcPr>
            <w:tcW w:w="2070" w:type="dxa"/>
            <w:gridSpan w:val="2"/>
            <w:vAlign w:val="center"/>
          </w:tcPr>
          <w:p w14:paraId="23F4759E">
            <w:pPr>
              <w:pStyle w:val="105"/>
              <w:spacing w:line="300" w:lineRule="exact"/>
              <w:jc w:val="center"/>
              <w:rPr>
                <w:rFonts w:ascii="宋体" w:hAnsi="宋体" w:cs="宋体"/>
                <w:color w:val="auto"/>
                <w:highlight w:val="none"/>
              </w:rPr>
            </w:pPr>
            <w:r>
              <w:rPr>
                <w:rFonts w:hint="eastAsia" w:ascii="宋体" w:hAnsi="宋体" w:cs="宋体"/>
                <w:color w:val="auto"/>
                <w:highlight w:val="none"/>
              </w:rPr>
              <w:t>场容场貌</w:t>
            </w:r>
          </w:p>
        </w:tc>
        <w:tc>
          <w:tcPr>
            <w:tcW w:w="6645" w:type="dxa"/>
            <w:vAlign w:val="center"/>
          </w:tcPr>
          <w:p w14:paraId="54746F5E">
            <w:pPr>
              <w:pStyle w:val="105"/>
              <w:spacing w:line="300" w:lineRule="exact"/>
              <w:rPr>
                <w:rFonts w:ascii="宋体" w:hAnsi="宋体" w:cs="宋体"/>
                <w:color w:val="auto"/>
                <w:highlight w:val="none"/>
              </w:rPr>
            </w:pPr>
            <w:r>
              <w:rPr>
                <w:rFonts w:hint="eastAsia" w:ascii="宋体" w:hAnsi="宋体" w:cs="宋体"/>
                <w:color w:val="auto"/>
                <w:highlight w:val="none"/>
              </w:rPr>
              <w:t>1. 道路畅通。</w:t>
            </w:r>
          </w:p>
          <w:p w14:paraId="01DF866C">
            <w:pPr>
              <w:pStyle w:val="105"/>
              <w:spacing w:line="300" w:lineRule="exact"/>
              <w:rPr>
                <w:rFonts w:ascii="宋体" w:hAnsi="宋体" w:cs="宋体"/>
                <w:color w:val="auto"/>
                <w:highlight w:val="none"/>
              </w:rPr>
            </w:pPr>
            <w:r>
              <w:rPr>
                <w:rFonts w:hint="eastAsia" w:ascii="宋体" w:hAnsi="宋体" w:cs="宋体"/>
                <w:color w:val="auto"/>
                <w:highlight w:val="none"/>
              </w:rPr>
              <w:t>2. 排水设施齐全畅通。</w:t>
            </w:r>
          </w:p>
          <w:p w14:paraId="2E35C2C9">
            <w:pPr>
              <w:pStyle w:val="105"/>
              <w:spacing w:line="300" w:lineRule="exact"/>
              <w:rPr>
                <w:rFonts w:ascii="宋体" w:hAnsi="宋体" w:cs="宋体"/>
                <w:color w:val="auto"/>
                <w:highlight w:val="none"/>
              </w:rPr>
            </w:pPr>
            <w:r>
              <w:rPr>
                <w:rFonts w:hint="eastAsia" w:ascii="宋体" w:hAnsi="宋体" w:cs="宋体"/>
                <w:color w:val="auto"/>
                <w:highlight w:val="none"/>
              </w:rPr>
              <w:t>3. 工地地面硬化处理（办公区、生活区、现场道路、材料堆放、混凝土搅拌、砂浆搅拌、钢筋加工等场地和外脚手架基础等）。</w:t>
            </w:r>
          </w:p>
        </w:tc>
      </w:tr>
      <w:tr w14:paraId="68481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EE4BEEF">
            <w:pPr>
              <w:pStyle w:val="105"/>
              <w:spacing w:line="300" w:lineRule="exact"/>
              <w:jc w:val="center"/>
              <w:rPr>
                <w:rFonts w:ascii="宋体" w:hAnsi="宋体" w:cs="宋体"/>
                <w:color w:val="auto"/>
                <w:highlight w:val="none"/>
              </w:rPr>
            </w:pPr>
          </w:p>
        </w:tc>
        <w:tc>
          <w:tcPr>
            <w:tcW w:w="2070" w:type="dxa"/>
            <w:gridSpan w:val="2"/>
            <w:vAlign w:val="center"/>
          </w:tcPr>
          <w:p w14:paraId="29D1305E">
            <w:pPr>
              <w:pStyle w:val="105"/>
              <w:spacing w:line="300" w:lineRule="exact"/>
              <w:jc w:val="center"/>
              <w:rPr>
                <w:rFonts w:ascii="宋体" w:hAnsi="宋体" w:cs="宋体"/>
                <w:color w:val="auto"/>
                <w:highlight w:val="none"/>
              </w:rPr>
            </w:pPr>
            <w:r>
              <w:rPr>
                <w:rFonts w:hint="eastAsia" w:ascii="宋体" w:hAnsi="宋体" w:cs="宋体"/>
                <w:color w:val="auto"/>
                <w:highlight w:val="none"/>
              </w:rPr>
              <w:t>材料堆放</w:t>
            </w:r>
          </w:p>
        </w:tc>
        <w:tc>
          <w:tcPr>
            <w:tcW w:w="6645" w:type="dxa"/>
            <w:vAlign w:val="center"/>
          </w:tcPr>
          <w:p w14:paraId="1C34B1F5">
            <w:pPr>
              <w:pStyle w:val="105"/>
              <w:numPr>
                <w:ilvl w:val="0"/>
                <w:numId w:val="1"/>
              </w:numPr>
              <w:spacing w:line="300" w:lineRule="exact"/>
              <w:rPr>
                <w:rFonts w:ascii="宋体" w:hAnsi="宋体" w:cs="宋体"/>
                <w:color w:val="auto"/>
                <w:highlight w:val="none"/>
              </w:rPr>
            </w:pPr>
            <w:r>
              <w:rPr>
                <w:rFonts w:hint="eastAsia" w:ascii="宋体" w:hAnsi="宋体" w:cs="宋体"/>
                <w:color w:val="auto"/>
                <w:highlight w:val="none"/>
              </w:rPr>
              <w:t>材料、构件、料具等堆放时，应有名称、品种、规格等标牌。</w:t>
            </w:r>
          </w:p>
          <w:p w14:paraId="7EB1F321">
            <w:pPr>
              <w:pStyle w:val="105"/>
              <w:spacing w:line="300" w:lineRule="exact"/>
              <w:rPr>
                <w:rFonts w:ascii="宋体" w:hAnsi="宋体" w:cs="宋体"/>
                <w:color w:val="auto"/>
                <w:highlight w:val="none"/>
              </w:rPr>
            </w:pPr>
            <w:r>
              <w:rPr>
                <w:rFonts w:hint="eastAsia" w:ascii="宋体" w:hAnsi="宋体" w:cs="宋体"/>
                <w:color w:val="auto"/>
                <w:highlight w:val="none"/>
              </w:rPr>
              <w:t>2. 水泥和其它易飞扬细颗粒建筑材料应封闭存放或采取覆盖等措施。</w:t>
            </w:r>
          </w:p>
          <w:p w14:paraId="0CD17A37">
            <w:pPr>
              <w:pStyle w:val="105"/>
              <w:spacing w:line="300" w:lineRule="exact"/>
              <w:rPr>
                <w:rFonts w:ascii="宋体" w:hAnsi="宋体" w:cs="宋体"/>
                <w:color w:val="auto"/>
                <w:highlight w:val="none"/>
              </w:rPr>
            </w:pPr>
            <w:r>
              <w:rPr>
                <w:rFonts w:hint="eastAsia" w:ascii="宋体" w:hAnsi="宋体" w:cs="宋体"/>
                <w:color w:val="auto"/>
                <w:highlight w:val="none"/>
              </w:rPr>
              <w:t>3. 易燃、易爆和有毒有害物品分类存放。</w:t>
            </w:r>
          </w:p>
        </w:tc>
      </w:tr>
      <w:tr w14:paraId="2BAD3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0A079E8C">
            <w:pPr>
              <w:pStyle w:val="105"/>
              <w:spacing w:line="300" w:lineRule="exact"/>
              <w:jc w:val="center"/>
              <w:rPr>
                <w:rFonts w:ascii="宋体" w:hAnsi="宋体" w:cs="宋体"/>
                <w:color w:val="auto"/>
                <w:highlight w:val="none"/>
              </w:rPr>
            </w:pPr>
          </w:p>
        </w:tc>
        <w:tc>
          <w:tcPr>
            <w:tcW w:w="2070" w:type="dxa"/>
            <w:gridSpan w:val="2"/>
            <w:vAlign w:val="center"/>
          </w:tcPr>
          <w:p w14:paraId="72BD2556">
            <w:pPr>
              <w:pStyle w:val="105"/>
              <w:spacing w:line="300" w:lineRule="exact"/>
              <w:jc w:val="center"/>
              <w:rPr>
                <w:rFonts w:ascii="宋体" w:hAnsi="宋体" w:cs="宋体"/>
                <w:color w:val="auto"/>
                <w:highlight w:val="none"/>
              </w:rPr>
            </w:pPr>
            <w:r>
              <w:rPr>
                <w:rFonts w:hint="eastAsia" w:ascii="宋体" w:hAnsi="宋体" w:cs="宋体"/>
                <w:color w:val="auto"/>
                <w:highlight w:val="none"/>
              </w:rPr>
              <w:t>现场防火</w:t>
            </w:r>
          </w:p>
        </w:tc>
        <w:tc>
          <w:tcPr>
            <w:tcW w:w="6645" w:type="dxa"/>
            <w:vAlign w:val="center"/>
          </w:tcPr>
          <w:p w14:paraId="1DB41088">
            <w:pPr>
              <w:pStyle w:val="105"/>
              <w:spacing w:line="300" w:lineRule="exact"/>
              <w:rPr>
                <w:rFonts w:ascii="宋体" w:hAnsi="宋体" w:cs="宋体"/>
                <w:color w:val="auto"/>
                <w:highlight w:val="none"/>
              </w:rPr>
            </w:pPr>
            <w:r>
              <w:rPr>
                <w:rFonts w:hint="eastAsia" w:ascii="宋体" w:hAnsi="宋体" w:cs="宋体"/>
                <w:color w:val="auto"/>
                <w:highlight w:val="none"/>
              </w:rPr>
              <w:t>消防器材配置合理，符合消防要求。</w:t>
            </w:r>
          </w:p>
        </w:tc>
      </w:tr>
      <w:tr w14:paraId="2DBCE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E276B9B">
            <w:pPr>
              <w:pStyle w:val="105"/>
              <w:spacing w:line="300" w:lineRule="exact"/>
              <w:jc w:val="center"/>
              <w:rPr>
                <w:rFonts w:ascii="宋体" w:hAnsi="宋体" w:cs="宋体"/>
                <w:color w:val="auto"/>
                <w:highlight w:val="none"/>
              </w:rPr>
            </w:pPr>
          </w:p>
        </w:tc>
        <w:tc>
          <w:tcPr>
            <w:tcW w:w="2070" w:type="dxa"/>
            <w:gridSpan w:val="2"/>
            <w:vAlign w:val="center"/>
          </w:tcPr>
          <w:p w14:paraId="4EC849AB">
            <w:pPr>
              <w:pStyle w:val="105"/>
              <w:spacing w:line="300" w:lineRule="exact"/>
              <w:jc w:val="center"/>
              <w:rPr>
                <w:rFonts w:ascii="宋体" w:hAnsi="宋体" w:cs="宋体"/>
                <w:color w:val="auto"/>
                <w:highlight w:val="none"/>
              </w:rPr>
            </w:pPr>
            <w:r>
              <w:rPr>
                <w:rFonts w:hint="eastAsia" w:ascii="宋体" w:hAnsi="宋体" w:cs="宋体"/>
                <w:color w:val="auto"/>
                <w:highlight w:val="none"/>
              </w:rPr>
              <w:t>垃圾清运</w:t>
            </w:r>
          </w:p>
        </w:tc>
        <w:tc>
          <w:tcPr>
            <w:tcW w:w="6645" w:type="dxa"/>
            <w:vAlign w:val="center"/>
          </w:tcPr>
          <w:p w14:paraId="0739141F">
            <w:pPr>
              <w:pStyle w:val="105"/>
              <w:spacing w:line="300" w:lineRule="exact"/>
              <w:rPr>
                <w:rFonts w:ascii="宋体" w:hAnsi="宋体" w:cs="宋体"/>
                <w:color w:val="auto"/>
                <w:highlight w:val="none"/>
              </w:rPr>
            </w:pPr>
            <w:r>
              <w:rPr>
                <w:rFonts w:hint="eastAsia" w:ascii="宋体" w:hAnsi="宋体" w:cs="宋体"/>
                <w:color w:val="auto"/>
                <w:highlight w:val="none"/>
              </w:rPr>
              <w:t>1. 施工现场应设置密闭式垃圾站，施工垃圾、生活垃圾应分类存放。</w:t>
            </w:r>
          </w:p>
          <w:p w14:paraId="48BC1EE3">
            <w:pPr>
              <w:pStyle w:val="105"/>
              <w:spacing w:line="300" w:lineRule="exact"/>
              <w:rPr>
                <w:rFonts w:ascii="宋体" w:hAnsi="宋体" w:cs="宋体"/>
                <w:color w:val="auto"/>
                <w:highlight w:val="none"/>
              </w:rPr>
            </w:pPr>
            <w:r>
              <w:rPr>
                <w:rFonts w:hint="eastAsia" w:ascii="宋体" w:hAnsi="宋体" w:cs="宋体"/>
                <w:color w:val="auto"/>
                <w:highlight w:val="none"/>
              </w:rPr>
              <w:t>2. 施工垃圾必须采用相应容器或管道运输。</w:t>
            </w:r>
          </w:p>
        </w:tc>
      </w:tr>
      <w:tr w14:paraId="2A204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B6E92B5">
            <w:pPr>
              <w:pStyle w:val="105"/>
              <w:spacing w:line="300" w:lineRule="exact"/>
              <w:jc w:val="center"/>
              <w:rPr>
                <w:rFonts w:ascii="宋体" w:hAnsi="宋体" w:cs="宋体"/>
                <w:color w:val="auto"/>
                <w:highlight w:val="none"/>
              </w:rPr>
            </w:pPr>
          </w:p>
        </w:tc>
        <w:tc>
          <w:tcPr>
            <w:tcW w:w="2070" w:type="dxa"/>
            <w:gridSpan w:val="2"/>
            <w:vAlign w:val="center"/>
          </w:tcPr>
          <w:p w14:paraId="1A19F379">
            <w:pPr>
              <w:pStyle w:val="105"/>
              <w:spacing w:line="300" w:lineRule="exact"/>
              <w:jc w:val="center"/>
              <w:rPr>
                <w:rFonts w:ascii="宋体" w:hAnsi="宋体" w:cs="宋体"/>
                <w:color w:val="auto"/>
                <w:highlight w:val="none"/>
              </w:rPr>
            </w:pPr>
            <w:r>
              <w:rPr>
                <w:rFonts w:hint="eastAsia" w:ascii="宋体" w:hAnsi="宋体" w:cs="宋体"/>
                <w:color w:val="auto"/>
                <w:highlight w:val="none"/>
              </w:rPr>
              <w:t>宣传栏、环保及不扰民措施</w:t>
            </w:r>
          </w:p>
        </w:tc>
        <w:tc>
          <w:tcPr>
            <w:tcW w:w="6645" w:type="dxa"/>
            <w:vAlign w:val="center"/>
          </w:tcPr>
          <w:p w14:paraId="723F95AA">
            <w:pPr>
              <w:pStyle w:val="105"/>
              <w:spacing w:line="300" w:lineRule="exact"/>
              <w:rPr>
                <w:rFonts w:ascii="宋体" w:hAnsi="宋体" w:cs="宋体"/>
                <w:color w:val="auto"/>
                <w:highlight w:val="none"/>
              </w:rPr>
            </w:pPr>
            <w:r>
              <w:rPr>
                <w:rFonts w:hint="eastAsia" w:ascii="宋体" w:hAnsi="宋体" w:cs="宋体"/>
                <w:color w:val="auto"/>
                <w:highlight w:val="none"/>
              </w:rPr>
              <w:t>宣传栏、安全宣传标语等，洗车（防止污染市区道路）、粉尘、噪声控制和排污（污水、废气）措施等。</w:t>
            </w:r>
          </w:p>
        </w:tc>
      </w:tr>
      <w:tr w14:paraId="61789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2EB4ABC3">
            <w:pPr>
              <w:pStyle w:val="105"/>
              <w:spacing w:line="300" w:lineRule="exact"/>
              <w:jc w:val="center"/>
              <w:rPr>
                <w:rFonts w:ascii="宋体" w:hAnsi="宋体" w:cs="宋体"/>
                <w:color w:val="auto"/>
                <w:highlight w:val="none"/>
              </w:rPr>
            </w:pPr>
            <w:r>
              <w:rPr>
                <w:rFonts w:hint="eastAsia" w:ascii="宋体" w:hAnsi="宋体" w:cs="宋体"/>
                <w:color w:val="auto"/>
                <w:highlight w:val="none"/>
              </w:rPr>
              <w:t>临时设施</w:t>
            </w:r>
          </w:p>
        </w:tc>
        <w:tc>
          <w:tcPr>
            <w:tcW w:w="2070" w:type="dxa"/>
            <w:gridSpan w:val="2"/>
            <w:vAlign w:val="center"/>
          </w:tcPr>
          <w:p w14:paraId="4265D500">
            <w:pPr>
              <w:pStyle w:val="105"/>
              <w:spacing w:line="300" w:lineRule="exact"/>
              <w:jc w:val="center"/>
              <w:rPr>
                <w:rFonts w:ascii="宋体" w:hAnsi="宋体" w:cs="宋体"/>
                <w:color w:val="auto"/>
                <w:highlight w:val="none"/>
              </w:rPr>
            </w:pPr>
            <w:r>
              <w:rPr>
                <w:rFonts w:hint="eastAsia" w:ascii="宋体" w:hAnsi="宋体" w:cs="宋体"/>
                <w:color w:val="auto"/>
                <w:highlight w:val="none"/>
              </w:rPr>
              <w:t>现场办公</w:t>
            </w:r>
          </w:p>
          <w:p w14:paraId="54ADCDE7">
            <w:pPr>
              <w:pStyle w:val="105"/>
              <w:spacing w:line="300" w:lineRule="exact"/>
              <w:jc w:val="center"/>
              <w:rPr>
                <w:rFonts w:ascii="宋体" w:hAnsi="宋体" w:cs="宋体"/>
                <w:color w:val="auto"/>
                <w:highlight w:val="none"/>
              </w:rPr>
            </w:pPr>
            <w:r>
              <w:rPr>
                <w:rFonts w:hint="eastAsia" w:ascii="宋体" w:hAnsi="宋体" w:cs="宋体"/>
                <w:color w:val="auto"/>
                <w:highlight w:val="none"/>
              </w:rPr>
              <w:t>生活设施</w:t>
            </w:r>
          </w:p>
        </w:tc>
        <w:tc>
          <w:tcPr>
            <w:tcW w:w="6645" w:type="dxa"/>
            <w:vAlign w:val="center"/>
          </w:tcPr>
          <w:p w14:paraId="17BDC97E">
            <w:pPr>
              <w:pStyle w:val="105"/>
              <w:spacing w:line="300" w:lineRule="exact"/>
              <w:rPr>
                <w:rFonts w:ascii="宋体" w:hAnsi="宋体" w:cs="宋体"/>
                <w:color w:val="auto"/>
                <w:highlight w:val="none"/>
              </w:rPr>
            </w:pPr>
            <w:r>
              <w:rPr>
                <w:rFonts w:hint="eastAsia" w:ascii="宋体" w:hAnsi="宋体" w:cs="宋体"/>
                <w:color w:val="auto"/>
                <w:highlight w:val="none"/>
              </w:rPr>
              <w:t>1. 施工现场办公、生活区与作业区分开设置，保持安全距离。</w:t>
            </w:r>
          </w:p>
          <w:p w14:paraId="1336F50D">
            <w:pPr>
              <w:pStyle w:val="105"/>
              <w:spacing w:line="300" w:lineRule="exact"/>
              <w:rPr>
                <w:rFonts w:ascii="宋体" w:hAnsi="宋体" w:cs="宋体"/>
                <w:color w:val="auto"/>
                <w:highlight w:val="none"/>
              </w:rPr>
            </w:pPr>
            <w:r>
              <w:rPr>
                <w:rFonts w:hint="eastAsia" w:ascii="宋体" w:hAnsi="宋体" w:cs="宋体"/>
                <w:color w:val="auto"/>
                <w:highlight w:val="none"/>
              </w:rPr>
              <w:t>2. 工地办公室、现场宿舍、食堂、厕所、饮水、沐浴、休息场所等符合卫生、消防安全要求。</w:t>
            </w:r>
          </w:p>
        </w:tc>
      </w:tr>
      <w:tr w14:paraId="0CAF9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71B05B1">
            <w:pPr>
              <w:pStyle w:val="105"/>
              <w:spacing w:line="300" w:lineRule="exact"/>
              <w:jc w:val="center"/>
              <w:rPr>
                <w:rFonts w:ascii="宋体" w:hAnsi="宋体" w:cs="宋体"/>
                <w:color w:val="auto"/>
                <w:highlight w:val="none"/>
              </w:rPr>
            </w:pPr>
          </w:p>
        </w:tc>
        <w:tc>
          <w:tcPr>
            <w:tcW w:w="525" w:type="dxa"/>
            <w:vMerge w:val="restart"/>
            <w:vAlign w:val="center"/>
          </w:tcPr>
          <w:p w14:paraId="6167BF59">
            <w:pPr>
              <w:pStyle w:val="105"/>
              <w:spacing w:line="300" w:lineRule="exact"/>
              <w:jc w:val="center"/>
              <w:rPr>
                <w:rFonts w:ascii="宋体" w:hAnsi="宋体" w:cs="宋体"/>
                <w:color w:val="auto"/>
                <w:highlight w:val="none"/>
              </w:rPr>
            </w:pPr>
            <w:r>
              <w:rPr>
                <w:rFonts w:hint="eastAsia" w:ascii="宋体" w:hAnsi="宋体" w:cs="宋体"/>
                <w:color w:val="auto"/>
                <w:highlight w:val="none"/>
              </w:rPr>
              <w:t>施工现场</w:t>
            </w:r>
          </w:p>
          <w:p w14:paraId="202EAEDD">
            <w:pPr>
              <w:pStyle w:val="105"/>
              <w:spacing w:line="300" w:lineRule="exact"/>
              <w:jc w:val="center"/>
              <w:rPr>
                <w:rFonts w:ascii="宋体" w:hAnsi="宋体" w:cs="宋体"/>
                <w:color w:val="auto"/>
                <w:highlight w:val="none"/>
              </w:rPr>
            </w:pPr>
            <w:r>
              <w:rPr>
                <w:rFonts w:hint="eastAsia" w:ascii="宋体" w:hAnsi="宋体" w:cs="宋体"/>
                <w:color w:val="auto"/>
                <w:highlight w:val="none"/>
              </w:rPr>
              <w:t>临时用电</w:t>
            </w:r>
          </w:p>
        </w:tc>
        <w:tc>
          <w:tcPr>
            <w:tcW w:w="1545" w:type="dxa"/>
            <w:vAlign w:val="center"/>
          </w:tcPr>
          <w:p w14:paraId="192491B9">
            <w:pPr>
              <w:pStyle w:val="105"/>
              <w:spacing w:line="300" w:lineRule="exact"/>
              <w:jc w:val="center"/>
              <w:rPr>
                <w:rFonts w:ascii="宋体" w:hAnsi="宋体" w:cs="宋体"/>
                <w:color w:val="auto"/>
                <w:highlight w:val="none"/>
              </w:rPr>
            </w:pPr>
            <w:r>
              <w:rPr>
                <w:rFonts w:hint="eastAsia" w:ascii="宋体" w:hAnsi="宋体" w:cs="宋体"/>
                <w:color w:val="auto"/>
                <w:highlight w:val="none"/>
              </w:rPr>
              <w:t>配电线路</w:t>
            </w:r>
          </w:p>
        </w:tc>
        <w:tc>
          <w:tcPr>
            <w:tcW w:w="6645" w:type="dxa"/>
            <w:vAlign w:val="center"/>
          </w:tcPr>
          <w:p w14:paraId="7F7F32FD">
            <w:pPr>
              <w:pStyle w:val="105"/>
              <w:spacing w:line="300" w:lineRule="exact"/>
              <w:rPr>
                <w:rFonts w:ascii="宋体" w:hAnsi="宋体" w:cs="宋体"/>
                <w:color w:val="auto"/>
                <w:highlight w:val="none"/>
              </w:rPr>
            </w:pPr>
            <w:r>
              <w:rPr>
                <w:rFonts w:hint="eastAsia" w:ascii="宋体" w:hAnsi="宋体" w:cs="宋体"/>
                <w:color w:val="auto"/>
                <w:highlight w:val="none"/>
              </w:rPr>
              <w:t>1. 按照TN-S系统要求配备五芯电缆、四芯电缆和三芯电缆。</w:t>
            </w:r>
          </w:p>
          <w:p w14:paraId="6386AE3F">
            <w:pPr>
              <w:pStyle w:val="105"/>
              <w:spacing w:line="300" w:lineRule="exact"/>
              <w:rPr>
                <w:rFonts w:ascii="宋体" w:hAnsi="宋体" w:cs="宋体"/>
                <w:color w:val="auto"/>
                <w:highlight w:val="none"/>
              </w:rPr>
            </w:pPr>
            <w:r>
              <w:rPr>
                <w:rFonts w:hint="eastAsia" w:ascii="宋体" w:hAnsi="宋体" w:cs="宋体"/>
                <w:color w:val="auto"/>
                <w:highlight w:val="none"/>
              </w:rPr>
              <w:t>2. 按要求架设临时用电线路的电杆、横担、瓷夹、瓷瓶等，或电缆埋地的地沟。</w:t>
            </w:r>
          </w:p>
          <w:p w14:paraId="23F58961">
            <w:pPr>
              <w:pStyle w:val="105"/>
              <w:spacing w:line="300" w:lineRule="exact"/>
              <w:rPr>
                <w:rFonts w:ascii="宋体" w:hAnsi="宋体" w:cs="宋体"/>
                <w:color w:val="auto"/>
                <w:highlight w:val="none"/>
              </w:rPr>
            </w:pPr>
            <w:r>
              <w:rPr>
                <w:rFonts w:hint="eastAsia" w:ascii="宋体" w:hAnsi="宋体" w:cs="宋体"/>
                <w:color w:val="auto"/>
                <w:highlight w:val="none"/>
              </w:rPr>
              <w:t>3. 对靠近施工现场的外电线路，设置木质、塑料等绝缘体的防护设施。</w:t>
            </w:r>
          </w:p>
        </w:tc>
      </w:tr>
      <w:tr w14:paraId="71B54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5F41206">
            <w:pPr>
              <w:pStyle w:val="105"/>
              <w:spacing w:line="300" w:lineRule="exact"/>
              <w:jc w:val="center"/>
              <w:rPr>
                <w:rFonts w:ascii="宋体" w:hAnsi="宋体" w:cs="宋体"/>
                <w:color w:val="auto"/>
                <w:highlight w:val="none"/>
              </w:rPr>
            </w:pPr>
          </w:p>
        </w:tc>
        <w:tc>
          <w:tcPr>
            <w:tcW w:w="525" w:type="dxa"/>
            <w:vMerge w:val="continue"/>
            <w:vAlign w:val="center"/>
          </w:tcPr>
          <w:p w14:paraId="76F2C961">
            <w:pPr>
              <w:pStyle w:val="105"/>
              <w:spacing w:line="300" w:lineRule="exact"/>
              <w:jc w:val="center"/>
              <w:rPr>
                <w:rFonts w:ascii="宋体" w:hAnsi="宋体" w:cs="宋体"/>
                <w:color w:val="auto"/>
                <w:highlight w:val="none"/>
              </w:rPr>
            </w:pPr>
          </w:p>
        </w:tc>
        <w:tc>
          <w:tcPr>
            <w:tcW w:w="1545" w:type="dxa"/>
            <w:vAlign w:val="center"/>
          </w:tcPr>
          <w:p w14:paraId="14155353">
            <w:pPr>
              <w:pStyle w:val="105"/>
              <w:spacing w:line="300" w:lineRule="exact"/>
              <w:jc w:val="center"/>
              <w:rPr>
                <w:rFonts w:ascii="宋体" w:hAnsi="宋体" w:cs="宋体"/>
                <w:color w:val="auto"/>
                <w:highlight w:val="none"/>
              </w:rPr>
            </w:pPr>
            <w:r>
              <w:rPr>
                <w:rFonts w:hint="eastAsia" w:ascii="宋体" w:hAnsi="宋体" w:cs="宋体"/>
                <w:color w:val="auto"/>
                <w:highlight w:val="none"/>
              </w:rPr>
              <w:t>配电箱</w:t>
            </w:r>
          </w:p>
          <w:p w14:paraId="607F53CB">
            <w:pPr>
              <w:pStyle w:val="105"/>
              <w:spacing w:line="300" w:lineRule="exact"/>
              <w:jc w:val="center"/>
              <w:rPr>
                <w:rFonts w:ascii="宋体" w:hAnsi="宋体" w:cs="宋体"/>
                <w:color w:val="auto"/>
                <w:highlight w:val="none"/>
              </w:rPr>
            </w:pPr>
            <w:r>
              <w:rPr>
                <w:rFonts w:hint="eastAsia" w:ascii="宋体" w:hAnsi="宋体" w:cs="宋体"/>
                <w:color w:val="auto"/>
                <w:highlight w:val="none"/>
              </w:rPr>
              <w:t>开关箱</w:t>
            </w:r>
          </w:p>
        </w:tc>
        <w:tc>
          <w:tcPr>
            <w:tcW w:w="6645" w:type="dxa"/>
            <w:vAlign w:val="center"/>
          </w:tcPr>
          <w:p w14:paraId="0E1647A0">
            <w:pPr>
              <w:pStyle w:val="105"/>
              <w:spacing w:line="300" w:lineRule="exact"/>
              <w:rPr>
                <w:rFonts w:ascii="宋体" w:hAnsi="宋体" w:cs="宋体"/>
                <w:color w:val="auto"/>
                <w:highlight w:val="none"/>
              </w:rPr>
            </w:pPr>
            <w:r>
              <w:rPr>
                <w:rFonts w:hint="eastAsia" w:ascii="宋体" w:hAnsi="宋体" w:cs="宋体"/>
                <w:color w:val="auto"/>
                <w:highlight w:val="none"/>
              </w:rPr>
              <w:t>1. 按三级配电要求，配备总配电箱、分配电箱、开关箱三类（铁质）标准电箱，开关箱应符合“一机、一箱、一闸、一漏”，三类电箱中的各类电器应是合格品。</w:t>
            </w:r>
          </w:p>
          <w:p w14:paraId="59177DEC">
            <w:pPr>
              <w:pStyle w:val="105"/>
              <w:spacing w:line="300" w:lineRule="exact"/>
              <w:rPr>
                <w:rFonts w:ascii="宋体" w:hAnsi="宋体" w:cs="宋体"/>
                <w:color w:val="auto"/>
                <w:highlight w:val="none"/>
              </w:rPr>
            </w:pPr>
            <w:r>
              <w:rPr>
                <w:rFonts w:hint="eastAsia" w:ascii="宋体" w:hAnsi="宋体" w:cs="宋体"/>
                <w:color w:val="auto"/>
                <w:highlight w:val="none"/>
              </w:rPr>
              <w:t>2. 按两级保护的要求，选取符合容量要求和质量合格的总配电箱和开关箱中的漏电保护器。</w:t>
            </w:r>
          </w:p>
          <w:p w14:paraId="1D13DAA2">
            <w:pPr>
              <w:pStyle w:val="105"/>
              <w:spacing w:line="300" w:lineRule="exact"/>
              <w:rPr>
                <w:rFonts w:ascii="宋体" w:hAnsi="宋体" w:cs="宋体"/>
                <w:color w:val="auto"/>
                <w:highlight w:val="none"/>
              </w:rPr>
            </w:pPr>
            <w:r>
              <w:rPr>
                <w:rFonts w:hint="eastAsia" w:ascii="宋体" w:hAnsi="宋体" w:cs="宋体"/>
                <w:color w:val="auto"/>
                <w:highlight w:val="none"/>
              </w:rPr>
              <w:t>3. 对大型、落地式分配电箱、开关箱设置防护棚和通透式围挡。</w:t>
            </w:r>
          </w:p>
        </w:tc>
      </w:tr>
      <w:tr w14:paraId="72156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vAlign w:val="center"/>
          </w:tcPr>
          <w:p w14:paraId="2649E5A1">
            <w:pPr>
              <w:pStyle w:val="105"/>
              <w:spacing w:line="300" w:lineRule="exact"/>
              <w:jc w:val="center"/>
              <w:rPr>
                <w:rFonts w:ascii="宋体" w:hAnsi="宋体" w:cs="宋体"/>
                <w:color w:val="auto"/>
                <w:highlight w:val="none"/>
              </w:rPr>
            </w:pPr>
          </w:p>
        </w:tc>
        <w:tc>
          <w:tcPr>
            <w:tcW w:w="525" w:type="dxa"/>
            <w:vMerge w:val="continue"/>
            <w:vAlign w:val="center"/>
          </w:tcPr>
          <w:p w14:paraId="68DB56B2">
            <w:pPr>
              <w:pStyle w:val="105"/>
              <w:spacing w:line="300" w:lineRule="exact"/>
              <w:jc w:val="center"/>
              <w:rPr>
                <w:rFonts w:ascii="宋体" w:hAnsi="宋体" w:cs="宋体"/>
                <w:color w:val="auto"/>
                <w:highlight w:val="none"/>
              </w:rPr>
            </w:pPr>
          </w:p>
        </w:tc>
        <w:tc>
          <w:tcPr>
            <w:tcW w:w="1545" w:type="dxa"/>
            <w:vAlign w:val="center"/>
          </w:tcPr>
          <w:p w14:paraId="315941CF">
            <w:pPr>
              <w:pStyle w:val="105"/>
              <w:spacing w:line="300" w:lineRule="exact"/>
              <w:jc w:val="center"/>
              <w:rPr>
                <w:rFonts w:ascii="宋体" w:hAnsi="宋体" w:cs="宋体"/>
                <w:color w:val="auto"/>
                <w:highlight w:val="none"/>
              </w:rPr>
            </w:pPr>
            <w:r>
              <w:rPr>
                <w:rFonts w:hint="eastAsia" w:ascii="宋体" w:hAnsi="宋体" w:cs="宋体"/>
                <w:color w:val="auto"/>
                <w:highlight w:val="none"/>
              </w:rPr>
              <w:t>接地装置</w:t>
            </w:r>
          </w:p>
        </w:tc>
        <w:tc>
          <w:tcPr>
            <w:tcW w:w="6645" w:type="dxa"/>
            <w:vAlign w:val="center"/>
          </w:tcPr>
          <w:p w14:paraId="234EB37A">
            <w:pPr>
              <w:pStyle w:val="105"/>
              <w:spacing w:line="300" w:lineRule="exact"/>
              <w:rPr>
                <w:rFonts w:ascii="宋体" w:hAnsi="宋体" w:cs="宋体"/>
                <w:color w:val="auto"/>
                <w:highlight w:val="none"/>
              </w:rPr>
            </w:pPr>
            <w:r>
              <w:rPr>
                <w:rFonts w:hint="eastAsia" w:ascii="宋体" w:hAnsi="宋体" w:cs="宋体"/>
                <w:color w:val="auto"/>
                <w:highlight w:val="none"/>
              </w:rPr>
              <w:t>施工现场应设置不少于三处的重复接地装置。</w:t>
            </w:r>
          </w:p>
        </w:tc>
      </w:tr>
      <w:tr w14:paraId="658F0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vAlign w:val="center"/>
          </w:tcPr>
          <w:p w14:paraId="4E25C2BA">
            <w:pPr>
              <w:pStyle w:val="105"/>
              <w:spacing w:line="300" w:lineRule="exact"/>
              <w:jc w:val="center"/>
              <w:rPr>
                <w:rFonts w:ascii="宋体" w:hAnsi="宋体" w:cs="宋体"/>
                <w:color w:val="auto"/>
                <w:highlight w:val="none"/>
              </w:rPr>
            </w:pPr>
          </w:p>
        </w:tc>
        <w:tc>
          <w:tcPr>
            <w:tcW w:w="525" w:type="dxa"/>
            <w:vMerge w:val="continue"/>
            <w:vAlign w:val="center"/>
          </w:tcPr>
          <w:p w14:paraId="1FE929D1">
            <w:pPr>
              <w:pStyle w:val="105"/>
              <w:spacing w:line="300" w:lineRule="exact"/>
              <w:jc w:val="center"/>
              <w:rPr>
                <w:rFonts w:ascii="宋体" w:hAnsi="宋体" w:cs="宋体"/>
                <w:color w:val="auto"/>
                <w:highlight w:val="none"/>
              </w:rPr>
            </w:pPr>
          </w:p>
        </w:tc>
        <w:tc>
          <w:tcPr>
            <w:tcW w:w="1545" w:type="dxa"/>
            <w:vAlign w:val="center"/>
          </w:tcPr>
          <w:p w14:paraId="4CD1289A">
            <w:pPr>
              <w:pStyle w:val="105"/>
              <w:spacing w:line="300" w:lineRule="exact"/>
              <w:jc w:val="center"/>
              <w:rPr>
                <w:rFonts w:ascii="宋体" w:hAnsi="宋体" w:cs="宋体"/>
                <w:color w:val="auto"/>
                <w:highlight w:val="none"/>
              </w:rPr>
            </w:pPr>
            <w:r>
              <w:rPr>
                <w:rFonts w:hint="eastAsia" w:ascii="宋体" w:hAnsi="宋体" w:cs="宋体"/>
                <w:color w:val="auto"/>
                <w:highlight w:val="none"/>
              </w:rPr>
              <w:t>现场变配电装置</w:t>
            </w:r>
          </w:p>
        </w:tc>
        <w:tc>
          <w:tcPr>
            <w:tcW w:w="6645" w:type="dxa"/>
            <w:vAlign w:val="center"/>
          </w:tcPr>
          <w:p w14:paraId="4D114CE4">
            <w:pPr>
              <w:pStyle w:val="105"/>
              <w:spacing w:line="300" w:lineRule="exact"/>
              <w:rPr>
                <w:rFonts w:ascii="宋体" w:hAnsi="宋体" w:cs="宋体"/>
                <w:color w:val="auto"/>
                <w:highlight w:val="none"/>
              </w:rPr>
            </w:pPr>
            <w:r>
              <w:rPr>
                <w:rFonts w:hint="eastAsia" w:ascii="宋体" w:hAnsi="宋体" w:cs="宋体"/>
                <w:color w:val="auto"/>
                <w:highlight w:val="none"/>
              </w:rPr>
              <w:t>总配电房建筑材料必须达到消防防火要求，室内做硬地坪、电缆沟。</w:t>
            </w:r>
          </w:p>
        </w:tc>
      </w:tr>
      <w:tr w14:paraId="3E5CC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38" w:type="dxa"/>
            <w:vAlign w:val="center"/>
          </w:tcPr>
          <w:p w14:paraId="4836E9A5">
            <w:pPr>
              <w:pStyle w:val="105"/>
              <w:spacing w:line="300" w:lineRule="exact"/>
              <w:jc w:val="center"/>
              <w:rPr>
                <w:rFonts w:ascii="宋体" w:hAnsi="宋体" w:cs="宋体"/>
                <w:b/>
                <w:bCs/>
                <w:color w:val="auto"/>
                <w:highlight w:val="none"/>
              </w:rPr>
            </w:pPr>
            <w:r>
              <w:rPr>
                <w:rFonts w:hint="eastAsia" w:ascii="宋体" w:hAnsi="宋体" w:cs="宋体"/>
                <w:b/>
                <w:bCs/>
                <w:color w:val="auto"/>
                <w:highlight w:val="none"/>
              </w:rPr>
              <w:t>类别</w:t>
            </w:r>
          </w:p>
        </w:tc>
        <w:tc>
          <w:tcPr>
            <w:tcW w:w="2070" w:type="dxa"/>
            <w:gridSpan w:val="2"/>
            <w:vAlign w:val="center"/>
          </w:tcPr>
          <w:p w14:paraId="3D965311">
            <w:pPr>
              <w:pStyle w:val="105"/>
              <w:spacing w:line="300" w:lineRule="exact"/>
              <w:jc w:val="center"/>
              <w:rPr>
                <w:rFonts w:ascii="宋体" w:hAnsi="宋体" w:cs="宋体"/>
                <w:b/>
                <w:bCs/>
                <w:color w:val="auto"/>
                <w:highlight w:val="none"/>
              </w:rPr>
            </w:pPr>
            <w:r>
              <w:rPr>
                <w:rFonts w:hint="eastAsia" w:ascii="宋体" w:hAnsi="宋体" w:cs="宋体"/>
                <w:b/>
                <w:bCs/>
                <w:color w:val="auto"/>
                <w:highlight w:val="none"/>
              </w:rPr>
              <w:t>项目名称</w:t>
            </w:r>
          </w:p>
        </w:tc>
        <w:tc>
          <w:tcPr>
            <w:tcW w:w="6645" w:type="dxa"/>
            <w:vAlign w:val="center"/>
          </w:tcPr>
          <w:p w14:paraId="2CE34F29">
            <w:pPr>
              <w:pStyle w:val="105"/>
              <w:spacing w:line="300" w:lineRule="exact"/>
              <w:jc w:val="center"/>
              <w:rPr>
                <w:rFonts w:ascii="宋体" w:hAnsi="宋体" w:cs="宋体"/>
                <w:b/>
                <w:bCs/>
                <w:color w:val="auto"/>
                <w:highlight w:val="none"/>
              </w:rPr>
            </w:pPr>
            <w:r>
              <w:rPr>
                <w:rFonts w:hint="eastAsia" w:ascii="宋体" w:hAnsi="宋体" w:cs="宋体"/>
                <w:b/>
                <w:bCs/>
                <w:color w:val="auto"/>
                <w:highlight w:val="none"/>
              </w:rPr>
              <w:t>主要内容和要求</w:t>
            </w:r>
          </w:p>
        </w:tc>
      </w:tr>
      <w:tr w14:paraId="52AFD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3A57DFDF">
            <w:pPr>
              <w:pStyle w:val="105"/>
              <w:spacing w:line="300" w:lineRule="exact"/>
              <w:jc w:val="center"/>
              <w:rPr>
                <w:rFonts w:ascii="宋体" w:hAnsi="宋体" w:cs="宋体"/>
                <w:color w:val="auto"/>
                <w:highlight w:val="none"/>
              </w:rPr>
            </w:pPr>
            <w:r>
              <w:rPr>
                <w:rFonts w:hint="eastAsia" w:ascii="宋体" w:hAnsi="宋体" w:cs="宋体"/>
                <w:color w:val="auto"/>
                <w:highlight w:val="none"/>
              </w:rPr>
              <w:t>安全施工</w:t>
            </w:r>
          </w:p>
        </w:tc>
        <w:tc>
          <w:tcPr>
            <w:tcW w:w="525" w:type="dxa"/>
            <w:vMerge w:val="restart"/>
            <w:vAlign w:val="center"/>
          </w:tcPr>
          <w:p w14:paraId="2D8E0CBE">
            <w:pPr>
              <w:pStyle w:val="105"/>
              <w:spacing w:line="300" w:lineRule="exact"/>
              <w:jc w:val="center"/>
              <w:rPr>
                <w:rFonts w:ascii="宋体" w:hAnsi="宋体" w:cs="宋体"/>
                <w:color w:val="auto"/>
                <w:highlight w:val="none"/>
              </w:rPr>
            </w:pPr>
            <w:r>
              <w:rPr>
                <w:rFonts w:hint="eastAsia" w:ascii="宋体" w:hAnsi="宋体" w:cs="宋体"/>
                <w:color w:val="auto"/>
                <w:highlight w:val="none"/>
              </w:rPr>
              <w:t>高处作业防护</w:t>
            </w:r>
          </w:p>
        </w:tc>
        <w:tc>
          <w:tcPr>
            <w:tcW w:w="1545" w:type="dxa"/>
            <w:vAlign w:val="center"/>
          </w:tcPr>
          <w:p w14:paraId="335D27E6">
            <w:pPr>
              <w:pStyle w:val="105"/>
              <w:spacing w:line="300" w:lineRule="exact"/>
              <w:rPr>
                <w:rFonts w:ascii="宋体" w:hAnsi="宋体" w:cs="宋体"/>
                <w:color w:val="auto"/>
                <w:highlight w:val="none"/>
              </w:rPr>
            </w:pPr>
            <w:r>
              <w:rPr>
                <w:rFonts w:hint="eastAsia" w:ascii="宋体" w:hAnsi="宋体" w:cs="宋体"/>
                <w:color w:val="auto"/>
                <w:highlight w:val="none"/>
              </w:rPr>
              <w:t>楼层、屋面、阳台等临边</w:t>
            </w:r>
          </w:p>
        </w:tc>
        <w:tc>
          <w:tcPr>
            <w:tcW w:w="6645" w:type="dxa"/>
            <w:vAlign w:val="center"/>
          </w:tcPr>
          <w:p w14:paraId="7287DF56">
            <w:pPr>
              <w:pStyle w:val="105"/>
              <w:spacing w:line="300" w:lineRule="exact"/>
              <w:rPr>
                <w:rFonts w:ascii="宋体" w:hAnsi="宋体" w:cs="宋体"/>
                <w:color w:val="auto"/>
                <w:highlight w:val="none"/>
              </w:rPr>
            </w:pPr>
            <w:r>
              <w:rPr>
                <w:rFonts w:hint="eastAsia" w:ascii="宋体" w:hAnsi="宋体" w:cs="宋体"/>
                <w:color w:val="auto"/>
                <w:highlight w:val="none"/>
              </w:rPr>
              <w:t>设两道防护栏杆和18cm高的踢脚板，用密目式安全立网全封闭。</w:t>
            </w:r>
          </w:p>
        </w:tc>
      </w:tr>
      <w:tr w14:paraId="79E4A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9B4C029">
            <w:pPr>
              <w:pStyle w:val="105"/>
              <w:spacing w:line="300" w:lineRule="exact"/>
              <w:jc w:val="center"/>
              <w:rPr>
                <w:rFonts w:ascii="宋体" w:hAnsi="宋体" w:cs="宋体"/>
                <w:color w:val="auto"/>
                <w:highlight w:val="none"/>
              </w:rPr>
            </w:pPr>
          </w:p>
        </w:tc>
        <w:tc>
          <w:tcPr>
            <w:tcW w:w="525" w:type="dxa"/>
            <w:vMerge w:val="continue"/>
            <w:vAlign w:val="center"/>
          </w:tcPr>
          <w:p w14:paraId="11858469">
            <w:pPr>
              <w:pStyle w:val="105"/>
              <w:spacing w:line="300" w:lineRule="exact"/>
              <w:jc w:val="center"/>
              <w:rPr>
                <w:rFonts w:ascii="宋体" w:hAnsi="宋体" w:cs="宋体"/>
                <w:color w:val="auto"/>
                <w:highlight w:val="none"/>
              </w:rPr>
            </w:pPr>
          </w:p>
        </w:tc>
        <w:tc>
          <w:tcPr>
            <w:tcW w:w="1545" w:type="dxa"/>
            <w:vAlign w:val="center"/>
          </w:tcPr>
          <w:p w14:paraId="058863BD">
            <w:pPr>
              <w:pStyle w:val="105"/>
              <w:spacing w:line="300" w:lineRule="exact"/>
              <w:rPr>
                <w:rFonts w:ascii="宋体" w:hAnsi="宋体" w:cs="宋体"/>
                <w:color w:val="auto"/>
                <w:highlight w:val="none"/>
              </w:rPr>
            </w:pPr>
            <w:r>
              <w:rPr>
                <w:rFonts w:hint="eastAsia" w:ascii="宋体" w:hAnsi="宋体" w:cs="宋体"/>
                <w:color w:val="auto"/>
                <w:highlight w:val="none"/>
              </w:rPr>
              <w:t>通道口</w:t>
            </w:r>
          </w:p>
        </w:tc>
        <w:tc>
          <w:tcPr>
            <w:tcW w:w="6645" w:type="dxa"/>
            <w:vAlign w:val="center"/>
          </w:tcPr>
          <w:p w14:paraId="3126CD84">
            <w:pPr>
              <w:pStyle w:val="105"/>
              <w:spacing w:line="300" w:lineRule="exact"/>
              <w:rPr>
                <w:rFonts w:ascii="宋体" w:hAnsi="宋体" w:cs="宋体"/>
                <w:color w:val="auto"/>
                <w:highlight w:val="none"/>
              </w:rPr>
            </w:pPr>
            <w:r>
              <w:rPr>
                <w:rFonts w:hint="eastAsia" w:ascii="宋体" w:hAnsi="宋体" w:cs="宋体"/>
                <w:color w:val="auto"/>
                <w:highlight w:val="none"/>
              </w:rPr>
              <w:t>设防护棚，防护棚应为不小于5cm厚的木板或两道相距50cm的竹笆。两侧应沿栏杆架用密目式安全网封闭。</w:t>
            </w:r>
          </w:p>
        </w:tc>
      </w:tr>
      <w:tr w14:paraId="7AF2E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3AEC30C">
            <w:pPr>
              <w:pStyle w:val="105"/>
              <w:spacing w:line="300" w:lineRule="exact"/>
              <w:jc w:val="center"/>
              <w:rPr>
                <w:rFonts w:ascii="宋体" w:hAnsi="宋体" w:cs="宋体"/>
                <w:color w:val="auto"/>
                <w:highlight w:val="none"/>
              </w:rPr>
            </w:pPr>
          </w:p>
        </w:tc>
        <w:tc>
          <w:tcPr>
            <w:tcW w:w="525" w:type="dxa"/>
            <w:vMerge w:val="continue"/>
            <w:vAlign w:val="center"/>
          </w:tcPr>
          <w:p w14:paraId="13FA6502">
            <w:pPr>
              <w:pStyle w:val="105"/>
              <w:spacing w:line="300" w:lineRule="exact"/>
              <w:jc w:val="center"/>
              <w:rPr>
                <w:rFonts w:ascii="宋体" w:hAnsi="宋体" w:cs="宋体"/>
                <w:color w:val="auto"/>
                <w:highlight w:val="none"/>
              </w:rPr>
            </w:pPr>
          </w:p>
        </w:tc>
        <w:tc>
          <w:tcPr>
            <w:tcW w:w="1545" w:type="dxa"/>
            <w:vAlign w:val="center"/>
          </w:tcPr>
          <w:p w14:paraId="40A29FC4">
            <w:pPr>
              <w:pStyle w:val="105"/>
              <w:spacing w:line="300" w:lineRule="exact"/>
              <w:rPr>
                <w:rFonts w:ascii="宋体" w:hAnsi="宋体" w:cs="宋体"/>
                <w:color w:val="auto"/>
                <w:highlight w:val="none"/>
              </w:rPr>
            </w:pPr>
            <w:r>
              <w:rPr>
                <w:rFonts w:hint="eastAsia" w:ascii="宋体" w:hAnsi="宋体" w:cs="宋体"/>
                <w:color w:val="auto"/>
                <w:highlight w:val="none"/>
              </w:rPr>
              <w:t>预留洞口</w:t>
            </w:r>
          </w:p>
        </w:tc>
        <w:tc>
          <w:tcPr>
            <w:tcW w:w="6645" w:type="dxa"/>
            <w:vAlign w:val="center"/>
          </w:tcPr>
          <w:p w14:paraId="6B241495">
            <w:pPr>
              <w:pStyle w:val="105"/>
              <w:spacing w:line="300" w:lineRule="exact"/>
              <w:rPr>
                <w:rFonts w:ascii="宋体" w:hAnsi="宋体" w:cs="宋体"/>
                <w:color w:val="auto"/>
                <w:highlight w:val="none"/>
              </w:rPr>
            </w:pPr>
            <w:r>
              <w:rPr>
                <w:rFonts w:hint="eastAsia" w:ascii="宋体" w:hAnsi="宋体" w:cs="宋体"/>
                <w:color w:val="auto"/>
                <w:highlight w:val="none"/>
              </w:rPr>
              <w:t>用硬质材料全封闭，短边超过1.5m长的洞口，除封闭外四周还应设有防护栏杆。</w:t>
            </w:r>
          </w:p>
        </w:tc>
      </w:tr>
      <w:tr w14:paraId="594D3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vAlign w:val="center"/>
          </w:tcPr>
          <w:p w14:paraId="27AA9A66">
            <w:pPr>
              <w:pStyle w:val="105"/>
              <w:spacing w:line="300" w:lineRule="exact"/>
              <w:jc w:val="center"/>
              <w:rPr>
                <w:rFonts w:ascii="宋体" w:hAnsi="宋体" w:cs="宋体"/>
                <w:color w:val="auto"/>
                <w:highlight w:val="none"/>
              </w:rPr>
            </w:pPr>
          </w:p>
        </w:tc>
        <w:tc>
          <w:tcPr>
            <w:tcW w:w="525" w:type="dxa"/>
            <w:vMerge w:val="continue"/>
            <w:vAlign w:val="center"/>
          </w:tcPr>
          <w:p w14:paraId="10DEEB78">
            <w:pPr>
              <w:pStyle w:val="105"/>
              <w:spacing w:line="300" w:lineRule="exact"/>
              <w:jc w:val="center"/>
              <w:rPr>
                <w:rFonts w:ascii="宋体" w:hAnsi="宋体" w:cs="宋体"/>
                <w:color w:val="auto"/>
                <w:highlight w:val="none"/>
              </w:rPr>
            </w:pPr>
          </w:p>
        </w:tc>
        <w:tc>
          <w:tcPr>
            <w:tcW w:w="1545" w:type="dxa"/>
            <w:vAlign w:val="center"/>
          </w:tcPr>
          <w:p w14:paraId="30A471DF">
            <w:pPr>
              <w:pStyle w:val="105"/>
              <w:spacing w:line="300" w:lineRule="exact"/>
              <w:rPr>
                <w:rFonts w:ascii="宋体" w:hAnsi="宋体" w:cs="宋体"/>
                <w:color w:val="auto"/>
                <w:highlight w:val="none"/>
              </w:rPr>
            </w:pPr>
            <w:r>
              <w:rPr>
                <w:rFonts w:hint="eastAsia" w:ascii="宋体" w:hAnsi="宋体" w:cs="宋体"/>
                <w:color w:val="auto"/>
                <w:highlight w:val="none"/>
              </w:rPr>
              <w:t>电梯井口</w:t>
            </w:r>
          </w:p>
        </w:tc>
        <w:tc>
          <w:tcPr>
            <w:tcW w:w="6645" w:type="dxa"/>
            <w:vAlign w:val="center"/>
          </w:tcPr>
          <w:p w14:paraId="7545E39E">
            <w:pPr>
              <w:pStyle w:val="105"/>
              <w:spacing w:line="300" w:lineRule="exact"/>
              <w:rPr>
                <w:rFonts w:ascii="宋体" w:hAnsi="宋体" w:cs="宋体"/>
                <w:color w:val="auto"/>
                <w:highlight w:val="none"/>
              </w:rPr>
            </w:pPr>
            <w:r>
              <w:rPr>
                <w:rFonts w:hint="eastAsia" w:ascii="宋体" w:hAnsi="宋体" w:cs="宋体"/>
                <w:color w:val="auto"/>
                <w:highlight w:val="none"/>
              </w:rPr>
              <w:t>设置定型化、工具化的防护门，在电梯井内每隔2层（不大于10m）设置一道水平防护。</w:t>
            </w:r>
          </w:p>
        </w:tc>
      </w:tr>
      <w:tr w14:paraId="31B6D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2CAFEC2E">
            <w:pPr>
              <w:pStyle w:val="105"/>
              <w:spacing w:line="300" w:lineRule="exact"/>
              <w:jc w:val="center"/>
              <w:rPr>
                <w:rFonts w:ascii="宋体" w:hAnsi="宋体" w:cs="宋体"/>
                <w:color w:val="auto"/>
                <w:highlight w:val="none"/>
              </w:rPr>
            </w:pPr>
          </w:p>
        </w:tc>
        <w:tc>
          <w:tcPr>
            <w:tcW w:w="525" w:type="dxa"/>
            <w:vMerge w:val="continue"/>
            <w:vAlign w:val="center"/>
          </w:tcPr>
          <w:p w14:paraId="331885BF">
            <w:pPr>
              <w:pStyle w:val="105"/>
              <w:spacing w:line="300" w:lineRule="exact"/>
              <w:jc w:val="center"/>
              <w:rPr>
                <w:rFonts w:ascii="宋体" w:hAnsi="宋体" w:cs="宋体"/>
                <w:color w:val="auto"/>
                <w:highlight w:val="none"/>
              </w:rPr>
            </w:pPr>
          </w:p>
        </w:tc>
        <w:tc>
          <w:tcPr>
            <w:tcW w:w="1545" w:type="dxa"/>
            <w:vAlign w:val="center"/>
          </w:tcPr>
          <w:p w14:paraId="4C0EB7C4">
            <w:pPr>
              <w:pStyle w:val="105"/>
              <w:spacing w:line="300" w:lineRule="exact"/>
              <w:rPr>
                <w:rFonts w:ascii="宋体" w:hAnsi="宋体" w:cs="宋体"/>
                <w:color w:val="auto"/>
                <w:highlight w:val="none"/>
              </w:rPr>
            </w:pPr>
            <w:r>
              <w:rPr>
                <w:rFonts w:hint="eastAsia" w:ascii="宋体" w:hAnsi="宋体" w:cs="宋体"/>
                <w:color w:val="auto"/>
                <w:highlight w:val="none"/>
              </w:rPr>
              <w:t>楼梯边</w:t>
            </w:r>
          </w:p>
        </w:tc>
        <w:tc>
          <w:tcPr>
            <w:tcW w:w="6645" w:type="dxa"/>
            <w:vAlign w:val="center"/>
          </w:tcPr>
          <w:p w14:paraId="439F687A">
            <w:pPr>
              <w:pStyle w:val="105"/>
              <w:spacing w:line="300" w:lineRule="exact"/>
              <w:rPr>
                <w:rFonts w:ascii="宋体" w:hAnsi="宋体" w:cs="宋体"/>
                <w:color w:val="auto"/>
                <w:highlight w:val="none"/>
              </w:rPr>
            </w:pPr>
            <w:r>
              <w:rPr>
                <w:rFonts w:hint="eastAsia" w:ascii="宋体" w:hAnsi="宋体" w:cs="宋体"/>
                <w:color w:val="auto"/>
                <w:highlight w:val="none"/>
              </w:rPr>
              <w:t>设1.2m高的定型化、工具化的防护栏，18cm高的踢脚板。</w:t>
            </w:r>
          </w:p>
        </w:tc>
      </w:tr>
      <w:tr w14:paraId="7CD63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712F4B6">
            <w:pPr>
              <w:pStyle w:val="105"/>
              <w:spacing w:line="300" w:lineRule="exact"/>
              <w:jc w:val="center"/>
              <w:rPr>
                <w:rFonts w:ascii="宋体" w:hAnsi="宋体" w:cs="宋体"/>
                <w:color w:val="auto"/>
                <w:highlight w:val="none"/>
              </w:rPr>
            </w:pPr>
          </w:p>
        </w:tc>
        <w:tc>
          <w:tcPr>
            <w:tcW w:w="525" w:type="dxa"/>
            <w:vMerge w:val="continue"/>
            <w:vAlign w:val="center"/>
          </w:tcPr>
          <w:p w14:paraId="62493CFB">
            <w:pPr>
              <w:pStyle w:val="105"/>
              <w:spacing w:line="300" w:lineRule="exact"/>
              <w:jc w:val="center"/>
              <w:rPr>
                <w:rFonts w:ascii="宋体" w:hAnsi="宋体" w:cs="宋体"/>
                <w:color w:val="auto"/>
                <w:highlight w:val="none"/>
              </w:rPr>
            </w:pPr>
          </w:p>
        </w:tc>
        <w:tc>
          <w:tcPr>
            <w:tcW w:w="1545" w:type="dxa"/>
            <w:vAlign w:val="center"/>
          </w:tcPr>
          <w:p w14:paraId="7FA6D397">
            <w:pPr>
              <w:pStyle w:val="105"/>
              <w:spacing w:line="300" w:lineRule="exact"/>
              <w:rPr>
                <w:rFonts w:ascii="宋体" w:hAnsi="宋体" w:cs="宋体"/>
                <w:color w:val="auto"/>
                <w:highlight w:val="none"/>
              </w:rPr>
            </w:pPr>
            <w:r>
              <w:rPr>
                <w:rFonts w:hint="eastAsia" w:ascii="宋体" w:hAnsi="宋体" w:cs="宋体"/>
                <w:color w:val="auto"/>
                <w:highlight w:val="none"/>
              </w:rPr>
              <w:t>垂直方向交叉作业</w:t>
            </w:r>
          </w:p>
        </w:tc>
        <w:tc>
          <w:tcPr>
            <w:tcW w:w="6645" w:type="dxa"/>
            <w:vAlign w:val="center"/>
          </w:tcPr>
          <w:p w14:paraId="5DD12BCA">
            <w:pPr>
              <w:pStyle w:val="105"/>
              <w:spacing w:line="300" w:lineRule="exact"/>
              <w:rPr>
                <w:rFonts w:ascii="宋体" w:hAnsi="宋体" w:cs="宋体"/>
                <w:color w:val="auto"/>
                <w:highlight w:val="none"/>
              </w:rPr>
            </w:pPr>
            <w:r>
              <w:rPr>
                <w:rFonts w:hint="eastAsia" w:ascii="宋体" w:hAnsi="宋体" w:cs="宋体"/>
                <w:color w:val="auto"/>
                <w:highlight w:val="none"/>
              </w:rPr>
              <w:t>设置防护隔离棚或其它设施。</w:t>
            </w:r>
          </w:p>
        </w:tc>
      </w:tr>
      <w:tr w14:paraId="0F724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A4F711A">
            <w:pPr>
              <w:pStyle w:val="105"/>
              <w:spacing w:line="300" w:lineRule="exact"/>
              <w:jc w:val="center"/>
              <w:rPr>
                <w:rFonts w:ascii="宋体" w:hAnsi="宋体" w:cs="宋体"/>
                <w:color w:val="auto"/>
                <w:highlight w:val="none"/>
              </w:rPr>
            </w:pPr>
          </w:p>
        </w:tc>
        <w:tc>
          <w:tcPr>
            <w:tcW w:w="525" w:type="dxa"/>
            <w:vMerge w:val="continue"/>
            <w:vAlign w:val="center"/>
          </w:tcPr>
          <w:p w14:paraId="380CF464">
            <w:pPr>
              <w:pStyle w:val="105"/>
              <w:spacing w:line="300" w:lineRule="exact"/>
              <w:jc w:val="center"/>
              <w:rPr>
                <w:rFonts w:ascii="宋体" w:hAnsi="宋体" w:cs="宋体"/>
                <w:color w:val="auto"/>
                <w:highlight w:val="none"/>
              </w:rPr>
            </w:pPr>
          </w:p>
        </w:tc>
        <w:tc>
          <w:tcPr>
            <w:tcW w:w="1545" w:type="dxa"/>
            <w:vAlign w:val="center"/>
          </w:tcPr>
          <w:p w14:paraId="481AE61E">
            <w:pPr>
              <w:pStyle w:val="105"/>
              <w:spacing w:line="300" w:lineRule="exact"/>
              <w:rPr>
                <w:rFonts w:ascii="宋体" w:hAnsi="宋体" w:cs="宋体"/>
                <w:color w:val="auto"/>
                <w:highlight w:val="none"/>
              </w:rPr>
            </w:pPr>
            <w:r>
              <w:rPr>
                <w:rFonts w:hint="eastAsia" w:ascii="宋体" w:hAnsi="宋体" w:cs="宋体"/>
                <w:color w:val="auto"/>
                <w:highlight w:val="none"/>
              </w:rPr>
              <w:t>高处作业</w:t>
            </w:r>
          </w:p>
        </w:tc>
        <w:tc>
          <w:tcPr>
            <w:tcW w:w="6645" w:type="dxa"/>
            <w:vAlign w:val="center"/>
          </w:tcPr>
          <w:p w14:paraId="0705AA67">
            <w:pPr>
              <w:pStyle w:val="105"/>
              <w:spacing w:line="300" w:lineRule="exact"/>
              <w:rPr>
                <w:rFonts w:ascii="宋体" w:hAnsi="宋体" w:cs="宋体"/>
                <w:color w:val="auto"/>
                <w:highlight w:val="none"/>
              </w:rPr>
            </w:pPr>
            <w:r>
              <w:rPr>
                <w:rFonts w:hint="eastAsia" w:ascii="宋体" w:hAnsi="宋体" w:cs="宋体"/>
                <w:color w:val="auto"/>
                <w:highlight w:val="none"/>
              </w:rPr>
              <w:t>有悬挂安全带的悬索或其它设施，有操作平台，有上下的梯子或其它形式的通道。</w:t>
            </w:r>
          </w:p>
        </w:tc>
      </w:tr>
      <w:tr w14:paraId="1F309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1B9D9BF">
            <w:pPr>
              <w:pStyle w:val="105"/>
              <w:spacing w:line="300" w:lineRule="exact"/>
              <w:jc w:val="center"/>
              <w:rPr>
                <w:rFonts w:ascii="宋体" w:hAnsi="宋体" w:cs="宋体"/>
                <w:color w:val="auto"/>
                <w:highlight w:val="none"/>
              </w:rPr>
            </w:pPr>
          </w:p>
        </w:tc>
        <w:tc>
          <w:tcPr>
            <w:tcW w:w="525" w:type="dxa"/>
            <w:vMerge w:val="continue"/>
            <w:vAlign w:val="center"/>
          </w:tcPr>
          <w:p w14:paraId="4B0C2A8A">
            <w:pPr>
              <w:pStyle w:val="105"/>
              <w:spacing w:line="300" w:lineRule="exact"/>
              <w:jc w:val="center"/>
              <w:rPr>
                <w:rFonts w:ascii="宋体" w:hAnsi="宋体" w:cs="宋体"/>
                <w:color w:val="auto"/>
                <w:highlight w:val="none"/>
              </w:rPr>
            </w:pPr>
          </w:p>
        </w:tc>
        <w:tc>
          <w:tcPr>
            <w:tcW w:w="1545" w:type="dxa"/>
            <w:vAlign w:val="center"/>
          </w:tcPr>
          <w:p w14:paraId="360E9466">
            <w:pPr>
              <w:pStyle w:val="105"/>
              <w:spacing w:line="300" w:lineRule="exact"/>
              <w:rPr>
                <w:rFonts w:ascii="宋体" w:hAnsi="宋体" w:cs="宋体"/>
                <w:color w:val="auto"/>
                <w:highlight w:val="none"/>
              </w:rPr>
            </w:pPr>
            <w:r>
              <w:rPr>
                <w:rFonts w:hint="eastAsia" w:ascii="宋体" w:hAnsi="宋体" w:cs="宋体"/>
                <w:color w:val="auto"/>
                <w:highlight w:val="none"/>
              </w:rPr>
              <w:t>基坑、物料平台</w:t>
            </w:r>
          </w:p>
        </w:tc>
        <w:tc>
          <w:tcPr>
            <w:tcW w:w="6645" w:type="dxa"/>
            <w:vAlign w:val="center"/>
          </w:tcPr>
          <w:p w14:paraId="1796DEA7">
            <w:pPr>
              <w:pStyle w:val="105"/>
              <w:spacing w:line="300" w:lineRule="exact"/>
              <w:rPr>
                <w:rFonts w:ascii="宋体" w:hAnsi="宋体" w:cs="宋体"/>
                <w:color w:val="auto"/>
                <w:highlight w:val="none"/>
              </w:rPr>
            </w:pPr>
            <w:r>
              <w:rPr>
                <w:rFonts w:hint="eastAsia" w:ascii="宋体" w:hAnsi="宋体" w:cs="宋体"/>
                <w:color w:val="auto"/>
                <w:highlight w:val="none"/>
              </w:rPr>
              <w:t>设1.2m高标准化的防护栏，用密目式安全立网封闭，悬挂标识。</w:t>
            </w:r>
          </w:p>
        </w:tc>
      </w:tr>
      <w:tr w14:paraId="5B520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041EE3A">
            <w:pPr>
              <w:pStyle w:val="105"/>
              <w:spacing w:line="300" w:lineRule="exact"/>
              <w:jc w:val="center"/>
              <w:rPr>
                <w:rFonts w:ascii="宋体" w:hAnsi="宋体" w:cs="宋体"/>
                <w:color w:val="auto"/>
                <w:highlight w:val="none"/>
              </w:rPr>
            </w:pPr>
          </w:p>
        </w:tc>
        <w:tc>
          <w:tcPr>
            <w:tcW w:w="2070" w:type="dxa"/>
            <w:gridSpan w:val="2"/>
            <w:vAlign w:val="center"/>
          </w:tcPr>
          <w:p w14:paraId="54023AC2">
            <w:pPr>
              <w:pStyle w:val="105"/>
              <w:spacing w:line="300" w:lineRule="exact"/>
              <w:jc w:val="center"/>
              <w:rPr>
                <w:rFonts w:ascii="宋体" w:hAnsi="宋体" w:cs="宋体"/>
                <w:color w:val="auto"/>
                <w:highlight w:val="none"/>
              </w:rPr>
            </w:pPr>
            <w:r>
              <w:rPr>
                <w:rFonts w:hint="eastAsia" w:ascii="宋体" w:hAnsi="宋体" w:cs="宋体"/>
                <w:color w:val="auto"/>
                <w:highlight w:val="none"/>
              </w:rPr>
              <w:t>安全防护用品</w:t>
            </w:r>
          </w:p>
        </w:tc>
        <w:tc>
          <w:tcPr>
            <w:tcW w:w="6645" w:type="dxa"/>
            <w:vAlign w:val="center"/>
          </w:tcPr>
          <w:p w14:paraId="0F6337B5">
            <w:pPr>
              <w:pStyle w:val="105"/>
              <w:spacing w:line="300" w:lineRule="exact"/>
              <w:rPr>
                <w:rFonts w:ascii="宋体" w:hAnsi="宋体" w:cs="宋体"/>
                <w:color w:val="auto"/>
                <w:highlight w:val="none"/>
              </w:rPr>
            </w:pPr>
            <w:r>
              <w:rPr>
                <w:rFonts w:hint="eastAsia" w:ascii="宋体" w:hAnsi="宋体" w:cs="宋体"/>
                <w:color w:val="auto"/>
                <w:highlight w:val="none"/>
              </w:rPr>
              <w:t>安全帽、安全带、特种作业人员（电工、焊工、架子工等）防护服装、用品等。</w:t>
            </w:r>
          </w:p>
        </w:tc>
      </w:tr>
      <w:tr w14:paraId="003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vAlign w:val="center"/>
          </w:tcPr>
          <w:p w14:paraId="65AA1E17">
            <w:pPr>
              <w:pStyle w:val="105"/>
              <w:spacing w:line="300" w:lineRule="exact"/>
              <w:jc w:val="center"/>
              <w:rPr>
                <w:rFonts w:ascii="宋体" w:hAnsi="宋体" w:cs="宋体"/>
                <w:color w:val="auto"/>
                <w:highlight w:val="none"/>
              </w:rPr>
            </w:pPr>
            <w:r>
              <w:rPr>
                <w:rFonts w:hint="eastAsia" w:ascii="宋体" w:hAnsi="宋体" w:cs="宋体"/>
                <w:color w:val="auto"/>
                <w:highlight w:val="none"/>
              </w:rPr>
              <w:t>其它</w:t>
            </w:r>
          </w:p>
        </w:tc>
        <w:tc>
          <w:tcPr>
            <w:tcW w:w="525" w:type="dxa"/>
            <w:vMerge w:val="restart"/>
            <w:vAlign w:val="center"/>
          </w:tcPr>
          <w:p w14:paraId="40C45271">
            <w:pPr>
              <w:pStyle w:val="105"/>
              <w:spacing w:line="300" w:lineRule="exact"/>
              <w:jc w:val="center"/>
              <w:rPr>
                <w:rFonts w:ascii="宋体" w:hAnsi="宋体" w:cs="宋体"/>
                <w:color w:val="auto"/>
                <w:highlight w:val="none"/>
              </w:rPr>
            </w:pPr>
            <w:r>
              <w:rPr>
                <w:rFonts w:hint="eastAsia" w:ascii="宋体" w:hAnsi="宋体" w:cs="宋体"/>
                <w:color w:val="auto"/>
                <w:highlight w:val="none"/>
              </w:rPr>
              <w:t>机械设备防护</w:t>
            </w:r>
          </w:p>
        </w:tc>
        <w:tc>
          <w:tcPr>
            <w:tcW w:w="1545" w:type="dxa"/>
            <w:vAlign w:val="center"/>
          </w:tcPr>
          <w:p w14:paraId="1EC10D2B">
            <w:pPr>
              <w:pStyle w:val="105"/>
              <w:spacing w:line="300" w:lineRule="exact"/>
              <w:jc w:val="center"/>
              <w:rPr>
                <w:rFonts w:ascii="宋体" w:hAnsi="宋体" w:cs="宋体"/>
                <w:color w:val="auto"/>
                <w:highlight w:val="none"/>
              </w:rPr>
            </w:pPr>
            <w:r>
              <w:rPr>
                <w:rFonts w:hint="eastAsia" w:ascii="宋体" w:hAnsi="宋体" w:cs="宋体"/>
                <w:color w:val="auto"/>
                <w:highlight w:val="none"/>
              </w:rPr>
              <w:t>中小型机械</w:t>
            </w:r>
          </w:p>
        </w:tc>
        <w:tc>
          <w:tcPr>
            <w:tcW w:w="6645" w:type="dxa"/>
            <w:vAlign w:val="center"/>
          </w:tcPr>
          <w:p w14:paraId="42CAD6FC">
            <w:pPr>
              <w:pStyle w:val="105"/>
              <w:spacing w:line="300" w:lineRule="exact"/>
              <w:rPr>
                <w:rFonts w:ascii="宋体" w:hAnsi="宋体" w:cs="宋体"/>
                <w:color w:val="auto"/>
                <w:highlight w:val="none"/>
              </w:rPr>
            </w:pPr>
            <w:r>
              <w:rPr>
                <w:rFonts w:hint="eastAsia" w:ascii="宋体" w:hAnsi="宋体" w:cs="宋体"/>
                <w:color w:val="auto"/>
                <w:highlight w:val="none"/>
              </w:rPr>
              <w:t>设防护棚（同通道口防护并有防雨措施）。</w:t>
            </w:r>
          </w:p>
        </w:tc>
      </w:tr>
      <w:tr w14:paraId="71D15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CCA869E">
            <w:pPr>
              <w:pStyle w:val="105"/>
              <w:spacing w:line="300" w:lineRule="exact"/>
              <w:jc w:val="center"/>
              <w:rPr>
                <w:rFonts w:ascii="宋体" w:hAnsi="宋体" w:cs="宋体"/>
                <w:color w:val="auto"/>
                <w:highlight w:val="none"/>
              </w:rPr>
            </w:pPr>
          </w:p>
        </w:tc>
        <w:tc>
          <w:tcPr>
            <w:tcW w:w="525" w:type="dxa"/>
            <w:vMerge w:val="continue"/>
            <w:vAlign w:val="center"/>
          </w:tcPr>
          <w:p w14:paraId="176CAA7C">
            <w:pPr>
              <w:pStyle w:val="105"/>
              <w:spacing w:line="300" w:lineRule="exact"/>
              <w:jc w:val="center"/>
              <w:rPr>
                <w:rFonts w:ascii="宋体" w:hAnsi="宋体" w:cs="宋体"/>
                <w:color w:val="auto"/>
                <w:highlight w:val="none"/>
              </w:rPr>
            </w:pPr>
          </w:p>
        </w:tc>
        <w:tc>
          <w:tcPr>
            <w:tcW w:w="1545" w:type="dxa"/>
            <w:vAlign w:val="center"/>
          </w:tcPr>
          <w:p w14:paraId="65739CF5">
            <w:pPr>
              <w:pStyle w:val="105"/>
              <w:spacing w:line="300" w:lineRule="exact"/>
              <w:jc w:val="center"/>
              <w:rPr>
                <w:rFonts w:ascii="宋体" w:hAnsi="宋体" w:cs="宋体"/>
                <w:color w:val="auto"/>
                <w:highlight w:val="none"/>
              </w:rPr>
            </w:pPr>
            <w:r>
              <w:rPr>
                <w:rFonts w:hint="eastAsia" w:ascii="宋体" w:hAnsi="宋体" w:cs="宋体"/>
                <w:color w:val="auto"/>
                <w:highlight w:val="none"/>
              </w:rPr>
              <w:t>垂直运输设备</w:t>
            </w:r>
          </w:p>
        </w:tc>
        <w:tc>
          <w:tcPr>
            <w:tcW w:w="6645" w:type="dxa"/>
            <w:vAlign w:val="center"/>
          </w:tcPr>
          <w:p w14:paraId="59DA0F18">
            <w:pPr>
              <w:pStyle w:val="105"/>
              <w:spacing w:line="300" w:lineRule="exact"/>
              <w:rPr>
                <w:rFonts w:ascii="宋体" w:hAnsi="宋体" w:cs="宋体"/>
                <w:color w:val="auto"/>
                <w:highlight w:val="none"/>
              </w:rPr>
            </w:pPr>
            <w:r>
              <w:rPr>
                <w:rFonts w:hint="eastAsia" w:ascii="宋体" w:hAnsi="宋体" w:cs="宋体"/>
                <w:color w:val="auto"/>
                <w:highlight w:val="none"/>
              </w:rPr>
              <w:t>1. 垂直运输设备检测、检验、日常维护、保养等。</w:t>
            </w:r>
          </w:p>
          <w:p w14:paraId="0E365A88">
            <w:pPr>
              <w:pStyle w:val="105"/>
              <w:spacing w:line="300" w:lineRule="exact"/>
              <w:rPr>
                <w:rFonts w:ascii="宋体" w:hAnsi="宋体" w:cs="宋体"/>
                <w:color w:val="auto"/>
                <w:highlight w:val="none"/>
              </w:rPr>
            </w:pPr>
            <w:r>
              <w:rPr>
                <w:rFonts w:hint="eastAsia" w:ascii="宋体" w:hAnsi="宋体" w:cs="宋体"/>
                <w:color w:val="auto"/>
                <w:highlight w:val="none"/>
              </w:rPr>
              <w:t>2. 物料提升机、施工电梯等物料平台搭设、外侧用密目式安全立网全封闭，有安全通道、安全防护门、防护棚等。</w:t>
            </w:r>
          </w:p>
        </w:tc>
      </w:tr>
      <w:tr w14:paraId="4B692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1C8253B3">
            <w:pPr>
              <w:pStyle w:val="105"/>
              <w:spacing w:line="300" w:lineRule="exact"/>
              <w:jc w:val="center"/>
              <w:rPr>
                <w:rFonts w:ascii="宋体" w:hAnsi="宋体" w:cs="宋体"/>
                <w:color w:val="auto"/>
                <w:highlight w:val="none"/>
              </w:rPr>
            </w:pPr>
          </w:p>
        </w:tc>
        <w:tc>
          <w:tcPr>
            <w:tcW w:w="2070" w:type="dxa"/>
            <w:gridSpan w:val="2"/>
            <w:vAlign w:val="center"/>
          </w:tcPr>
          <w:p w14:paraId="2AF8CF79">
            <w:pPr>
              <w:pStyle w:val="105"/>
              <w:spacing w:line="300" w:lineRule="exact"/>
              <w:jc w:val="center"/>
              <w:rPr>
                <w:rFonts w:ascii="宋体" w:hAnsi="宋体" w:cs="宋体"/>
                <w:color w:val="auto"/>
                <w:highlight w:val="none"/>
              </w:rPr>
            </w:pPr>
            <w:r>
              <w:rPr>
                <w:rFonts w:hint="eastAsia" w:ascii="宋体" w:hAnsi="宋体" w:cs="宋体"/>
                <w:color w:val="auto"/>
                <w:highlight w:val="none"/>
              </w:rPr>
              <w:t>专家论证审查</w:t>
            </w:r>
          </w:p>
        </w:tc>
        <w:tc>
          <w:tcPr>
            <w:tcW w:w="6645" w:type="dxa"/>
            <w:vAlign w:val="center"/>
          </w:tcPr>
          <w:p w14:paraId="7704FB44">
            <w:pPr>
              <w:pStyle w:val="105"/>
              <w:spacing w:line="300" w:lineRule="exact"/>
              <w:rPr>
                <w:rFonts w:ascii="宋体" w:hAnsi="宋体" w:cs="宋体"/>
                <w:color w:val="auto"/>
                <w:highlight w:val="none"/>
              </w:rPr>
            </w:pPr>
            <w:r>
              <w:rPr>
                <w:rFonts w:hint="eastAsia" w:ascii="宋体" w:hAnsi="宋体" w:cs="宋体"/>
                <w:color w:val="auto"/>
                <w:highlight w:val="none"/>
              </w:rPr>
              <w:t>超过一定规模的危险性较大分部分项工程专家论证审查。</w:t>
            </w:r>
          </w:p>
        </w:tc>
      </w:tr>
      <w:tr w14:paraId="05940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0458BB0A">
            <w:pPr>
              <w:pStyle w:val="105"/>
              <w:spacing w:line="300" w:lineRule="exact"/>
              <w:jc w:val="center"/>
              <w:rPr>
                <w:rFonts w:ascii="宋体" w:hAnsi="宋体" w:cs="宋体"/>
                <w:color w:val="auto"/>
                <w:highlight w:val="none"/>
              </w:rPr>
            </w:pPr>
          </w:p>
        </w:tc>
        <w:tc>
          <w:tcPr>
            <w:tcW w:w="2070" w:type="dxa"/>
            <w:gridSpan w:val="2"/>
            <w:vAlign w:val="center"/>
          </w:tcPr>
          <w:p w14:paraId="72FADE67">
            <w:pPr>
              <w:pStyle w:val="105"/>
              <w:spacing w:line="300" w:lineRule="exact"/>
              <w:jc w:val="center"/>
              <w:rPr>
                <w:rFonts w:ascii="宋体" w:hAnsi="宋体" w:cs="宋体"/>
                <w:color w:val="auto"/>
                <w:highlight w:val="none"/>
              </w:rPr>
            </w:pPr>
            <w:r>
              <w:rPr>
                <w:rFonts w:hint="eastAsia" w:ascii="宋体" w:hAnsi="宋体" w:cs="宋体"/>
                <w:color w:val="auto"/>
                <w:highlight w:val="none"/>
              </w:rPr>
              <w:t>应急救援预案</w:t>
            </w:r>
          </w:p>
        </w:tc>
        <w:tc>
          <w:tcPr>
            <w:tcW w:w="6645" w:type="dxa"/>
            <w:vAlign w:val="center"/>
          </w:tcPr>
          <w:p w14:paraId="6B112B0D">
            <w:pPr>
              <w:pStyle w:val="105"/>
              <w:spacing w:line="300" w:lineRule="exact"/>
              <w:rPr>
                <w:rFonts w:ascii="宋体" w:hAnsi="宋体" w:cs="宋体"/>
                <w:color w:val="auto"/>
                <w:highlight w:val="none"/>
              </w:rPr>
            </w:pPr>
            <w:r>
              <w:rPr>
                <w:rFonts w:hint="eastAsia" w:ascii="宋体" w:hAnsi="宋体" w:cs="宋体"/>
                <w:color w:val="auto"/>
                <w:highlight w:val="none"/>
              </w:rPr>
              <w:t>救援器材准备及演练等。</w:t>
            </w:r>
          </w:p>
        </w:tc>
      </w:tr>
      <w:tr w14:paraId="4008D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bottom w:val="single" w:color="auto" w:sz="12" w:space="0"/>
            </w:tcBorders>
            <w:vAlign w:val="center"/>
          </w:tcPr>
          <w:p w14:paraId="65F0FBAF">
            <w:pPr>
              <w:pStyle w:val="105"/>
              <w:spacing w:line="300" w:lineRule="exact"/>
              <w:jc w:val="center"/>
              <w:rPr>
                <w:rFonts w:ascii="宋体" w:hAnsi="宋体" w:cs="宋体"/>
                <w:color w:val="auto"/>
                <w:highlight w:val="none"/>
              </w:rPr>
            </w:pPr>
          </w:p>
        </w:tc>
        <w:tc>
          <w:tcPr>
            <w:tcW w:w="2070" w:type="dxa"/>
            <w:gridSpan w:val="2"/>
            <w:tcBorders>
              <w:bottom w:val="single" w:color="auto" w:sz="12" w:space="0"/>
            </w:tcBorders>
            <w:vAlign w:val="center"/>
          </w:tcPr>
          <w:p w14:paraId="289CBBF4">
            <w:pPr>
              <w:pStyle w:val="105"/>
              <w:spacing w:line="300" w:lineRule="exact"/>
              <w:jc w:val="center"/>
              <w:rPr>
                <w:rFonts w:ascii="宋体" w:hAnsi="宋体" w:cs="宋体"/>
                <w:color w:val="auto"/>
                <w:highlight w:val="none"/>
              </w:rPr>
            </w:pPr>
            <w:r>
              <w:rPr>
                <w:rFonts w:hint="eastAsia" w:ascii="宋体" w:hAnsi="宋体" w:cs="宋体"/>
                <w:color w:val="auto"/>
                <w:highlight w:val="none"/>
              </w:rPr>
              <w:t>非正常情况施工</w:t>
            </w:r>
          </w:p>
        </w:tc>
        <w:tc>
          <w:tcPr>
            <w:tcW w:w="6645" w:type="dxa"/>
            <w:tcBorders>
              <w:bottom w:val="single" w:color="auto" w:sz="12" w:space="0"/>
            </w:tcBorders>
            <w:vAlign w:val="center"/>
          </w:tcPr>
          <w:p w14:paraId="3F80CDD1">
            <w:pPr>
              <w:pStyle w:val="105"/>
              <w:spacing w:line="300" w:lineRule="exact"/>
              <w:rPr>
                <w:rFonts w:ascii="宋体" w:hAnsi="宋体" w:cs="宋体"/>
                <w:color w:val="auto"/>
                <w:highlight w:val="none"/>
              </w:rPr>
            </w:pPr>
            <w:r>
              <w:rPr>
                <w:rFonts w:hint="eastAsia" w:ascii="宋体" w:hAnsi="宋体" w:cs="宋体"/>
                <w:color w:val="auto"/>
                <w:highlight w:val="none"/>
              </w:rPr>
              <w:t>其它特殊情况下的防护费用，如：城市主干道、人流密集、河边等处施工及文物、古建筑、古树保护等。</w:t>
            </w:r>
          </w:p>
        </w:tc>
      </w:tr>
    </w:tbl>
    <w:p w14:paraId="1C512C46">
      <w:pPr>
        <w:pStyle w:val="105"/>
        <w:spacing w:line="240" w:lineRule="atLeast"/>
        <w:ind w:firstLine="546"/>
        <w:jc w:val="center"/>
        <w:rPr>
          <w:rFonts w:ascii="宋体" w:hAnsi="宋体" w:cs="宋体"/>
          <w:b/>
          <w:bCs/>
          <w:color w:val="auto"/>
          <w:sz w:val="24"/>
          <w:szCs w:val="24"/>
          <w:highlight w:val="none"/>
        </w:rPr>
      </w:pPr>
    </w:p>
    <w:p w14:paraId="2AC0F422">
      <w:pPr>
        <w:spacing w:beforeLines="50"/>
        <w:ind w:firstLine="420" w:firstLineChars="200"/>
        <w:rPr>
          <w:rFonts w:ascii="宋体" w:hAnsi="宋体" w:cs="宋体"/>
          <w:color w:val="auto"/>
          <w:highlight w:val="none"/>
        </w:rPr>
      </w:pPr>
      <w:r>
        <w:rPr>
          <w:rFonts w:hint="eastAsia" w:ascii="宋体" w:hAnsi="宋体" w:cs="宋体"/>
          <w:color w:val="auto"/>
          <w:highlight w:val="none"/>
        </w:rPr>
        <w:t>注：本表所列建筑工程安全文明施工费，是依据现行法律法规及标准规范确定的。如法律法规和标准规范修订，本表所列项目应按照修订后的法律法规和标准规范进行调整。</w:t>
      </w:r>
    </w:p>
    <w:p w14:paraId="3BD49B7D">
      <w:pPr>
        <w:spacing w:beforeLines="50"/>
        <w:ind w:firstLine="420" w:firstLineChars="200"/>
        <w:rPr>
          <w:rFonts w:ascii="宋体" w:hAnsi="宋体" w:cs="宋体"/>
          <w:color w:val="auto"/>
          <w:highlight w:val="none"/>
        </w:rPr>
      </w:pPr>
    </w:p>
    <w:p w14:paraId="298244D2">
      <w:pPr>
        <w:spacing w:beforeLines="50"/>
        <w:ind w:firstLine="420" w:firstLineChars="200"/>
        <w:rPr>
          <w:rFonts w:ascii="宋体" w:hAnsi="宋体" w:cs="宋体"/>
          <w:color w:val="auto"/>
          <w:highlight w:val="none"/>
        </w:rPr>
      </w:pPr>
      <w:r>
        <w:rPr>
          <w:rFonts w:ascii="宋体" w:hAnsi="宋体" w:cs="宋体"/>
          <w:color w:val="auto"/>
          <w:highlight w:val="none"/>
        </w:rPr>
        <w:br w:type="page"/>
      </w:r>
    </w:p>
    <w:p w14:paraId="178C9FF6">
      <w:pPr>
        <w:pStyle w:val="97"/>
        <w:spacing w:line="400" w:lineRule="exact"/>
        <w:ind w:firstLine="0" w:firstLineChars="0"/>
        <w:rPr>
          <w:rFonts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八、供应商为中小企业的声明函</w:t>
      </w:r>
    </w:p>
    <w:p w14:paraId="31CFADFF">
      <w:pPr>
        <w:pStyle w:val="97"/>
        <w:spacing w:line="360" w:lineRule="auto"/>
        <w:ind w:firstLine="0" w:firstLineChars="0"/>
        <w:jc w:val="center"/>
        <w:rPr>
          <w:rFonts w:ascii="宋体" w:hAnsi="宋体" w:eastAsia="宋体" w:cs="宋体"/>
          <w:b/>
          <w:color w:val="auto"/>
          <w:spacing w:val="0"/>
          <w:sz w:val="30"/>
          <w:szCs w:val="30"/>
          <w:highlight w:val="none"/>
        </w:rPr>
      </w:pPr>
    </w:p>
    <w:p w14:paraId="4ADE2237">
      <w:pPr>
        <w:spacing w:line="300" w:lineRule="auto"/>
        <w:jc w:val="center"/>
        <w:rPr>
          <w:rFonts w:ascii="宋体" w:hAnsi="宋体" w:cs="宋体"/>
          <w:color w:val="auto"/>
          <w:sz w:val="44"/>
          <w:szCs w:val="44"/>
          <w:highlight w:val="none"/>
        </w:rPr>
      </w:pPr>
      <w:r>
        <w:rPr>
          <w:rFonts w:hint="eastAsia" w:ascii="宋体" w:hAnsi="宋体" w:cs="宋体"/>
          <w:b/>
          <w:color w:val="auto"/>
          <w:sz w:val="32"/>
          <w:szCs w:val="32"/>
          <w:highlight w:val="none"/>
        </w:rPr>
        <w:t>中小企业声明函（工程）</w:t>
      </w:r>
    </w:p>
    <w:p w14:paraId="4333216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（单位名称）的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（项目名称）采购活动，工程全部由符合政策要求的中小企业承接。相关企业（含联合体中的中小企业、签订分包意向协议的中小企业）的具体情况如下：</w:t>
      </w:r>
    </w:p>
    <w:p w14:paraId="033812D6">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人，营业收入为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4FC7182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人，营业收入为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0FC2EC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66FAA4D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DD3E6F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D217012">
      <w:pPr>
        <w:spacing w:line="520" w:lineRule="exact"/>
        <w:rPr>
          <w:rFonts w:ascii="宋体" w:hAnsi="宋体" w:cs="宋体"/>
          <w:color w:val="auto"/>
          <w:sz w:val="24"/>
          <w:highlight w:val="none"/>
        </w:rPr>
      </w:pPr>
    </w:p>
    <w:p w14:paraId="4305E467">
      <w:pPr>
        <w:pStyle w:val="13"/>
        <w:spacing w:line="360" w:lineRule="auto"/>
        <w:ind w:left="3960" w:right="1808"/>
        <w:contextualSpacing/>
        <w:rPr>
          <w:rFonts w:ascii="宋体" w:hAnsi="宋体" w:cs="宋体"/>
          <w:color w:val="auto"/>
          <w:sz w:val="24"/>
          <w:highlight w:val="none"/>
        </w:rPr>
      </w:pPr>
    </w:p>
    <w:p w14:paraId="57BEF8AA">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14:paraId="0BF3867E">
      <w:pPr>
        <w:autoSpaceDE w:val="0"/>
        <w:autoSpaceDN w:val="0"/>
        <w:spacing w:line="360" w:lineRule="auto"/>
        <w:ind w:firstLine="6480" w:firstLineChars="2700"/>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402DA8F2">
      <w:pPr>
        <w:pStyle w:val="13"/>
        <w:spacing w:line="360" w:lineRule="auto"/>
        <w:ind w:left="3960" w:right="1808"/>
        <w:contextualSpacing/>
        <w:rPr>
          <w:rFonts w:ascii="宋体" w:hAnsi="宋体" w:cs="宋体"/>
          <w:color w:val="auto"/>
          <w:highlight w:val="none"/>
        </w:rPr>
      </w:pPr>
    </w:p>
    <w:p w14:paraId="6E26C86F">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235AAAB">
      <w:pPr>
        <w:pStyle w:val="97"/>
        <w:spacing w:line="400" w:lineRule="exact"/>
        <w:ind w:firstLine="0" w:firstLineChars="0"/>
        <w:rPr>
          <w:rFonts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br w:type="page"/>
      </w:r>
      <w:r>
        <w:rPr>
          <w:rFonts w:hint="eastAsia" w:ascii="宋体" w:hAnsi="宋体" w:eastAsia="宋体" w:cs="宋体"/>
          <w:b/>
          <w:color w:val="auto"/>
          <w:spacing w:val="0"/>
          <w:sz w:val="30"/>
          <w:szCs w:val="30"/>
          <w:highlight w:val="none"/>
        </w:rPr>
        <w:t>九、电力工程施工总承包三级（含）以上或输变电工程专业承包三级（含）以上资质，并具备《承装（修、试）电力设施许可证》（许可类别和等级要求：承装类、承修类、承试类五级（含）以上）资质，且具备有效的安全生产许可证</w:t>
      </w:r>
    </w:p>
    <w:p w14:paraId="4891CC59">
      <w:pPr>
        <w:pStyle w:val="97"/>
        <w:spacing w:line="360" w:lineRule="auto"/>
        <w:ind w:firstLine="0" w:firstLineChars="0"/>
        <w:jc w:val="center"/>
        <w:rPr>
          <w:rFonts w:ascii="宋体" w:hAnsi="宋体" w:eastAsia="宋体" w:cs="宋体"/>
          <w:b/>
          <w:color w:val="auto"/>
          <w:spacing w:val="0"/>
          <w:sz w:val="30"/>
          <w:szCs w:val="30"/>
          <w:highlight w:val="none"/>
          <w:lang w:val="zh-CN"/>
        </w:rPr>
      </w:pPr>
    </w:p>
    <w:p w14:paraId="438F2A62">
      <w:pPr>
        <w:autoSpaceDE w:val="0"/>
        <w:autoSpaceDN w:val="0"/>
        <w:spacing w:line="360" w:lineRule="auto"/>
        <w:ind w:left="4365" w:leftChars="1850" w:hanging="480" w:hangingChars="200"/>
        <w:rPr>
          <w:rFonts w:ascii="宋体" w:hAnsi="宋体" w:cs="宋体"/>
          <w:color w:val="auto"/>
          <w:sz w:val="24"/>
          <w:highlight w:val="none"/>
        </w:rPr>
      </w:pPr>
    </w:p>
    <w:p w14:paraId="44961D1F">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1A8D8E0E">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6FD81FB0">
      <w:pPr>
        <w:pStyle w:val="97"/>
        <w:spacing w:line="400" w:lineRule="exact"/>
        <w:ind w:firstLine="0" w:firstLineChars="0"/>
        <w:rPr>
          <w:rFonts w:ascii="宋体" w:hAnsi="宋体" w:eastAsia="宋体" w:cs="宋体"/>
          <w:b/>
          <w:color w:val="auto"/>
          <w:spacing w:val="0"/>
          <w:sz w:val="30"/>
          <w:szCs w:val="30"/>
          <w:highlight w:val="none"/>
        </w:rPr>
      </w:pPr>
    </w:p>
    <w:p w14:paraId="170BBE86">
      <w:pPr>
        <w:pStyle w:val="97"/>
        <w:spacing w:line="400" w:lineRule="exact"/>
        <w:ind w:firstLine="0" w:firstLineChars="0"/>
        <w:rPr>
          <w:rFonts w:ascii="宋体" w:hAnsi="宋体" w:eastAsia="宋体" w:cs="宋体"/>
          <w:b/>
          <w:color w:val="auto"/>
          <w:spacing w:val="0"/>
          <w:sz w:val="30"/>
          <w:szCs w:val="30"/>
          <w:highlight w:val="none"/>
        </w:rPr>
      </w:pPr>
    </w:p>
    <w:p w14:paraId="38301E81">
      <w:pPr>
        <w:pStyle w:val="97"/>
        <w:spacing w:line="400" w:lineRule="exact"/>
        <w:ind w:firstLine="0" w:firstLineChars="0"/>
        <w:rPr>
          <w:rFonts w:ascii="宋体" w:hAnsi="宋体" w:eastAsia="宋体" w:cs="宋体"/>
          <w:b/>
          <w:color w:val="auto"/>
          <w:spacing w:val="0"/>
          <w:sz w:val="30"/>
          <w:szCs w:val="30"/>
          <w:highlight w:val="none"/>
          <w:lang w:val="zh-CN"/>
        </w:rPr>
      </w:pPr>
      <w:r>
        <w:rPr>
          <w:rFonts w:hint="eastAsia" w:ascii="宋体" w:hAnsi="宋体" w:eastAsia="宋体" w:cs="宋体"/>
          <w:b/>
          <w:color w:val="auto"/>
          <w:spacing w:val="0"/>
          <w:sz w:val="30"/>
          <w:szCs w:val="30"/>
          <w:highlight w:val="none"/>
        </w:rPr>
        <w:t>十、拟投入本项目项目经理的机电工程专业二级或以上注册建造师执业资格证、有效的安全生产考核合格证书（B类）复印件以及供应商单位为该项目经理于响应文件递交截止时间前半年内连续三个月依法缴纳社会保险的证明材料及相关材料的复印件</w:t>
      </w:r>
    </w:p>
    <w:p w14:paraId="3B521FBE">
      <w:pPr>
        <w:autoSpaceDE w:val="0"/>
        <w:autoSpaceDN w:val="0"/>
        <w:spacing w:line="360" w:lineRule="auto"/>
        <w:ind w:firstLine="6120" w:firstLineChars="2550"/>
        <w:rPr>
          <w:rFonts w:ascii="宋体" w:hAnsi="宋体" w:cs="宋体"/>
          <w:color w:val="auto"/>
          <w:sz w:val="24"/>
          <w:highlight w:val="none"/>
          <w:lang w:val="zh-CN"/>
        </w:rPr>
      </w:pPr>
    </w:p>
    <w:p w14:paraId="2F1B3BFE">
      <w:pPr>
        <w:autoSpaceDE w:val="0"/>
        <w:autoSpaceDN w:val="0"/>
        <w:spacing w:line="360" w:lineRule="auto"/>
        <w:ind w:left="4365" w:leftChars="1850" w:hanging="480" w:hangingChars="200"/>
        <w:rPr>
          <w:rFonts w:ascii="宋体" w:hAnsi="宋体" w:cs="宋体"/>
          <w:color w:val="auto"/>
          <w:sz w:val="24"/>
          <w:highlight w:val="none"/>
        </w:rPr>
      </w:pPr>
    </w:p>
    <w:p w14:paraId="1F8C6C29">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790AD08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2E4DF854">
      <w:pPr>
        <w:autoSpaceDE w:val="0"/>
        <w:autoSpaceDN w:val="0"/>
        <w:spacing w:line="400" w:lineRule="exact"/>
        <w:jc w:val="left"/>
        <w:rPr>
          <w:rFonts w:ascii="宋体" w:hAnsi="宋体" w:cs="宋体"/>
          <w:b/>
          <w:color w:val="auto"/>
          <w:sz w:val="30"/>
          <w:szCs w:val="30"/>
          <w:highlight w:val="none"/>
        </w:rPr>
      </w:pPr>
    </w:p>
    <w:p w14:paraId="1A3960DA">
      <w:pPr>
        <w:autoSpaceDE w:val="0"/>
        <w:autoSpaceDN w:val="0"/>
        <w:spacing w:line="400" w:lineRule="exact"/>
        <w:jc w:val="left"/>
        <w:rPr>
          <w:rFonts w:ascii="宋体" w:hAnsi="宋体" w:cs="宋体"/>
          <w:b/>
          <w:color w:val="auto"/>
          <w:sz w:val="30"/>
          <w:szCs w:val="30"/>
          <w:highlight w:val="none"/>
        </w:rPr>
      </w:pPr>
    </w:p>
    <w:p w14:paraId="4177168D">
      <w:pPr>
        <w:widowControl/>
        <w:jc w:val="left"/>
        <w:rPr>
          <w:rFonts w:ascii="宋体" w:hAnsi="宋体" w:cs="宋体"/>
          <w:color w:val="auto"/>
          <w:sz w:val="24"/>
          <w:szCs w:val="18"/>
          <w:highlight w:val="none"/>
          <w:lang w:val="zh-CN"/>
        </w:rPr>
      </w:pPr>
      <w:r>
        <w:rPr>
          <w:rFonts w:ascii="宋体" w:hAnsi="宋体" w:cs="宋体"/>
          <w:color w:val="auto"/>
          <w:sz w:val="24"/>
          <w:highlight w:val="none"/>
          <w:lang w:val="zh-CN"/>
        </w:rPr>
        <w:br w:type="page"/>
      </w:r>
    </w:p>
    <w:p w14:paraId="65C90396">
      <w:pPr>
        <w:pStyle w:val="20"/>
        <w:snapToGrid/>
        <w:rPr>
          <w:rFonts w:ascii="宋体" w:hAnsi="宋体" w:cs="宋体"/>
          <w:color w:val="auto"/>
          <w:kern w:val="2"/>
          <w:sz w:val="24"/>
          <w:highlight w:val="none"/>
          <w:lang w:val="zh-CN"/>
        </w:rPr>
      </w:pPr>
    </w:p>
    <w:p w14:paraId="2690C395">
      <w:pPr>
        <w:pStyle w:val="4"/>
        <w:spacing w:before="0" w:after="0" w:line="360" w:lineRule="auto"/>
        <w:jc w:val="center"/>
        <w:rPr>
          <w:rFonts w:ascii="宋体" w:hAnsi="宋体" w:cs="宋体"/>
          <w:color w:val="auto"/>
          <w:highlight w:val="none"/>
        </w:rPr>
      </w:pPr>
    </w:p>
    <w:p w14:paraId="7C5DDD36">
      <w:pPr>
        <w:pStyle w:val="4"/>
        <w:spacing w:before="0" w:after="0" w:line="360" w:lineRule="auto"/>
        <w:jc w:val="center"/>
        <w:rPr>
          <w:rFonts w:ascii="宋体" w:hAnsi="宋体" w:cs="宋体"/>
          <w:color w:val="auto"/>
          <w:highlight w:val="none"/>
        </w:rPr>
      </w:pPr>
      <w:bookmarkStart w:id="84" w:name="_Toc32504"/>
      <w:r>
        <w:rPr>
          <w:rFonts w:hint="eastAsia" w:ascii="宋体" w:hAnsi="宋体" w:cs="宋体"/>
          <w:color w:val="auto"/>
          <w:highlight w:val="none"/>
        </w:rPr>
        <w:t>第三节 商务技术文件格式</w:t>
      </w:r>
      <w:bookmarkEnd w:id="83"/>
      <w:bookmarkEnd w:id="84"/>
    </w:p>
    <w:p w14:paraId="52F3DD91">
      <w:pPr>
        <w:spacing w:beforeLines="50" w:after="50"/>
        <w:rPr>
          <w:rFonts w:ascii="宋体" w:hAnsi="宋体" w:cs="宋体"/>
          <w:color w:val="auto"/>
          <w:sz w:val="24"/>
          <w:highlight w:val="none"/>
        </w:rPr>
      </w:pPr>
      <w:r>
        <w:rPr>
          <w:rFonts w:hint="eastAsia" w:ascii="宋体" w:hAnsi="宋体" w:cs="宋体"/>
          <w:color w:val="auto"/>
          <w:sz w:val="24"/>
          <w:highlight w:val="none"/>
        </w:rPr>
        <w:t xml:space="preserve">  </w:t>
      </w:r>
    </w:p>
    <w:p w14:paraId="0030F53C">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14:paraId="069C664C">
      <w:pPr>
        <w:spacing w:beforeLines="50" w:after="50"/>
        <w:rPr>
          <w:rFonts w:ascii="宋体" w:hAnsi="宋体" w:cs="宋体"/>
          <w:color w:val="auto"/>
          <w:sz w:val="24"/>
          <w:szCs w:val="20"/>
          <w:highlight w:val="none"/>
        </w:rPr>
      </w:pPr>
    </w:p>
    <w:p w14:paraId="543FC64D">
      <w:pPr>
        <w:spacing w:beforeLines="50" w:after="50"/>
        <w:rPr>
          <w:rFonts w:ascii="宋体" w:hAnsi="宋体" w:cs="宋体"/>
          <w:color w:val="auto"/>
          <w:sz w:val="24"/>
          <w:szCs w:val="20"/>
          <w:highlight w:val="none"/>
        </w:rPr>
      </w:pPr>
    </w:p>
    <w:p w14:paraId="1EE3C48C">
      <w:pPr>
        <w:spacing w:beforeLines="50" w:after="50"/>
        <w:rPr>
          <w:rFonts w:ascii="宋体" w:hAnsi="宋体" w:cs="宋体"/>
          <w:color w:val="auto"/>
          <w:sz w:val="24"/>
          <w:szCs w:val="20"/>
          <w:highlight w:val="none"/>
        </w:rPr>
      </w:pPr>
    </w:p>
    <w:p w14:paraId="39519A86">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商 务 技 术 文 件</w:t>
      </w:r>
    </w:p>
    <w:p w14:paraId="52972645">
      <w:pPr>
        <w:spacing w:beforeLines="50" w:after="50"/>
        <w:rPr>
          <w:rFonts w:ascii="宋体" w:hAnsi="宋体" w:cs="宋体"/>
          <w:bCs/>
          <w:color w:val="auto"/>
          <w:sz w:val="24"/>
          <w:szCs w:val="20"/>
          <w:highlight w:val="none"/>
        </w:rPr>
      </w:pPr>
    </w:p>
    <w:p w14:paraId="0612A061">
      <w:pPr>
        <w:spacing w:beforeLines="50" w:after="50"/>
        <w:rPr>
          <w:rFonts w:ascii="宋体" w:hAnsi="宋体" w:cs="宋体"/>
          <w:bCs/>
          <w:color w:val="auto"/>
          <w:sz w:val="24"/>
          <w:szCs w:val="20"/>
          <w:highlight w:val="none"/>
        </w:rPr>
      </w:pPr>
    </w:p>
    <w:p w14:paraId="1F611FBA">
      <w:pPr>
        <w:spacing w:beforeLines="50" w:after="50"/>
        <w:rPr>
          <w:rFonts w:ascii="宋体" w:hAnsi="宋体" w:cs="宋体"/>
          <w:bCs/>
          <w:color w:val="auto"/>
          <w:sz w:val="24"/>
          <w:szCs w:val="20"/>
          <w:highlight w:val="none"/>
        </w:rPr>
      </w:pPr>
    </w:p>
    <w:p w14:paraId="2D749C77">
      <w:pPr>
        <w:spacing w:beforeLines="50" w:after="50"/>
        <w:rPr>
          <w:rFonts w:ascii="宋体" w:hAnsi="宋体" w:cs="宋体"/>
          <w:bCs/>
          <w:color w:val="auto"/>
          <w:sz w:val="24"/>
          <w:szCs w:val="20"/>
          <w:highlight w:val="none"/>
        </w:rPr>
      </w:pPr>
    </w:p>
    <w:p w14:paraId="1E3FB2BE">
      <w:pPr>
        <w:spacing w:beforeLines="50" w:after="50"/>
        <w:rPr>
          <w:rFonts w:ascii="宋体" w:hAnsi="宋体" w:cs="宋体"/>
          <w:bCs/>
          <w:color w:val="auto"/>
          <w:sz w:val="24"/>
          <w:szCs w:val="20"/>
          <w:highlight w:val="none"/>
        </w:rPr>
      </w:pPr>
    </w:p>
    <w:p w14:paraId="494071A9">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31C4154">
      <w:pPr>
        <w:spacing w:beforeLines="50" w:after="50"/>
        <w:ind w:firstLine="420" w:firstLineChars="150"/>
        <w:rPr>
          <w:rFonts w:ascii="宋体" w:hAnsi="宋体" w:cs="宋体"/>
          <w:bCs/>
          <w:color w:val="auto"/>
          <w:sz w:val="28"/>
          <w:szCs w:val="28"/>
          <w:highlight w:val="none"/>
        </w:rPr>
      </w:pPr>
    </w:p>
    <w:p w14:paraId="0BBB2969">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6DFD3023">
      <w:pPr>
        <w:spacing w:beforeLines="50" w:after="50"/>
        <w:ind w:firstLine="420" w:firstLineChars="150"/>
        <w:rPr>
          <w:rFonts w:ascii="宋体" w:hAnsi="宋体" w:cs="宋体"/>
          <w:bCs/>
          <w:color w:val="auto"/>
          <w:sz w:val="28"/>
          <w:szCs w:val="28"/>
          <w:highlight w:val="none"/>
        </w:rPr>
      </w:pPr>
    </w:p>
    <w:p w14:paraId="3AD7D700">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54CE8A6A">
      <w:pPr>
        <w:spacing w:beforeLines="50" w:after="50"/>
        <w:rPr>
          <w:rFonts w:ascii="宋体" w:hAnsi="宋体" w:cs="宋体"/>
          <w:bCs/>
          <w:color w:val="auto"/>
          <w:sz w:val="28"/>
          <w:szCs w:val="28"/>
          <w:highlight w:val="none"/>
        </w:rPr>
      </w:pPr>
    </w:p>
    <w:p w14:paraId="32BD6D20">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1B03B7F5">
      <w:pPr>
        <w:pStyle w:val="7"/>
        <w:spacing w:before="50" w:after="50"/>
        <w:ind w:firstLine="720" w:firstLineChars="225"/>
        <w:rPr>
          <w:rFonts w:ascii="宋体" w:hAnsi="宋体" w:cs="宋体"/>
          <w:bCs/>
          <w:color w:val="auto"/>
          <w:sz w:val="32"/>
          <w:szCs w:val="32"/>
          <w:highlight w:val="none"/>
        </w:rPr>
      </w:pPr>
    </w:p>
    <w:p w14:paraId="4144B2D1">
      <w:pPr>
        <w:pStyle w:val="7"/>
        <w:spacing w:before="50" w:after="50"/>
        <w:ind w:firstLine="720" w:firstLineChars="225"/>
        <w:rPr>
          <w:rFonts w:ascii="宋体" w:hAnsi="宋体" w:cs="宋体"/>
          <w:bCs/>
          <w:color w:val="auto"/>
          <w:sz w:val="32"/>
          <w:szCs w:val="32"/>
          <w:highlight w:val="none"/>
        </w:rPr>
      </w:pPr>
    </w:p>
    <w:p w14:paraId="536EEA0E">
      <w:pPr>
        <w:pStyle w:val="7"/>
        <w:spacing w:before="50" w:after="50"/>
        <w:ind w:firstLine="1280" w:firstLineChars="400"/>
        <w:rPr>
          <w:rFonts w:ascii="宋体" w:hAnsi="宋体" w:cs="宋体"/>
          <w:bCs/>
          <w:color w:val="auto"/>
          <w:sz w:val="32"/>
          <w:szCs w:val="32"/>
          <w:highlight w:val="none"/>
        </w:rPr>
      </w:pPr>
    </w:p>
    <w:p w14:paraId="42A67EF4">
      <w:pPr>
        <w:spacing w:beforeLines="50"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0D662197">
      <w:pPr>
        <w:widowControl/>
        <w:jc w:val="left"/>
        <w:rPr>
          <w:rFonts w:ascii="宋体" w:hAnsi="宋体" w:cs="宋体"/>
          <w:b/>
          <w:color w:val="auto"/>
          <w:sz w:val="28"/>
          <w:szCs w:val="28"/>
          <w:highlight w:val="none"/>
        </w:rPr>
      </w:pPr>
      <w:r>
        <w:rPr>
          <w:rFonts w:ascii="宋体" w:hAnsi="宋体" w:cs="宋体"/>
          <w:color w:val="auto"/>
          <w:sz w:val="28"/>
          <w:szCs w:val="28"/>
          <w:highlight w:val="none"/>
        </w:rPr>
        <w:br w:type="page"/>
      </w:r>
    </w:p>
    <w:p w14:paraId="7682180D">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商务技术文件目录</w:t>
      </w:r>
    </w:p>
    <w:p w14:paraId="0F09F0DB">
      <w:pPr>
        <w:jc w:val="center"/>
        <w:rPr>
          <w:rFonts w:ascii="宋体" w:hAnsi="宋体" w:cs="宋体"/>
          <w:b/>
          <w:color w:val="auto"/>
          <w:sz w:val="28"/>
          <w:szCs w:val="28"/>
          <w:highlight w:val="none"/>
        </w:rPr>
      </w:pPr>
    </w:p>
    <w:p w14:paraId="052578A6">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14:paraId="3893C49E">
      <w:pPr>
        <w:spacing w:line="400" w:lineRule="exact"/>
        <w:rPr>
          <w:rFonts w:ascii="宋体" w:hAnsi="宋体" w:cs="宋体"/>
          <w:color w:val="auto"/>
          <w:sz w:val="32"/>
          <w:szCs w:val="32"/>
          <w:highlight w:val="none"/>
        </w:rPr>
      </w:pPr>
    </w:p>
    <w:p w14:paraId="05FC6BCD">
      <w:pPr>
        <w:spacing w:line="520" w:lineRule="exact"/>
        <w:rPr>
          <w:rFonts w:ascii="宋体" w:hAnsi="宋体" w:cs="宋体"/>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一、无串通竞标行为的承诺函</w:t>
      </w:r>
    </w:p>
    <w:p w14:paraId="5E3C64D1">
      <w:pPr>
        <w:spacing w:line="520" w:lineRule="exact"/>
        <w:jc w:val="center"/>
        <w:rPr>
          <w:rFonts w:ascii="宋体" w:hAnsi="宋体" w:cs="宋体"/>
          <w:color w:val="auto"/>
          <w:sz w:val="44"/>
          <w:szCs w:val="44"/>
          <w:highlight w:val="none"/>
        </w:rPr>
      </w:pPr>
    </w:p>
    <w:p w14:paraId="7DF69F9A">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无串通竞标行为的承诺函</w:t>
      </w:r>
    </w:p>
    <w:p w14:paraId="4E3A2524">
      <w:pPr>
        <w:spacing w:line="520" w:lineRule="exact"/>
        <w:ind w:firstLine="640" w:firstLineChars="200"/>
        <w:rPr>
          <w:rFonts w:ascii="宋体" w:hAnsi="宋体" w:cs="宋体"/>
          <w:color w:val="auto"/>
          <w:sz w:val="32"/>
          <w:szCs w:val="32"/>
          <w:highlight w:val="none"/>
        </w:rPr>
      </w:pPr>
    </w:p>
    <w:p w14:paraId="63618C84">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3627DA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628A11D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21E038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CB12F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4.不同供应商的响应文件异常一致或者响应报价呈规律性差异；</w:t>
      </w:r>
    </w:p>
    <w:p w14:paraId="0BE48DA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53E1AC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67C8323">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E4DE6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22684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504F4A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3.供应商之间协商报价、技术方案等响应文件的实质性内容；</w:t>
      </w:r>
    </w:p>
    <w:p w14:paraId="428E51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99369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7A5F97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74FE7FF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5C43A09F">
      <w:pPr>
        <w:spacing w:line="360" w:lineRule="auto"/>
        <w:ind w:firstLine="480" w:firstLineChars="200"/>
        <w:contextualSpacing/>
        <w:rPr>
          <w:rFonts w:ascii="宋体" w:hAnsi="宋体" w:cs="宋体"/>
          <w:color w:val="auto"/>
          <w:sz w:val="24"/>
          <w:highlight w:val="none"/>
        </w:rPr>
      </w:pPr>
    </w:p>
    <w:p w14:paraId="5112CA55">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00A4159C">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14:paraId="6E3E109A">
      <w:pPr>
        <w:spacing w:line="520" w:lineRule="exact"/>
        <w:jc w:val="right"/>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18342D3B">
      <w:pPr>
        <w:spacing w:line="520" w:lineRule="exact"/>
        <w:jc w:val="left"/>
        <w:rPr>
          <w:rFonts w:ascii="宋体" w:hAnsi="宋体" w:cs="宋体"/>
          <w:bCs/>
          <w:color w:val="auto"/>
          <w:sz w:val="44"/>
          <w:szCs w:val="44"/>
          <w:highlight w:val="none"/>
        </w:rPr>
      </w:pPr>
      <w:r>
        <w:rPr>
          <w:rFonts w:hint="eastAsia" w:ascii="宋体" w:hAnsi="宋体" w:cs="宋体"/>
          <w:color w:val="auto"/>
          <w:sz w:val="24"/>
          <w:highlight w:val="none"/>
          <w:lang w:val="zh-CN"/>
        </w:rPr>
        <w:br w:type="page"/>
      </w:r>
      <w:r>
        <w:rPr>
          <w:rFonts w:hint="eastAsia" w:ascii="宋体" w:hAnsi="宋体" w:cs="宋体"/>
          <w:b/>
          <w:color w:val="auto"/>
          <w:sz w:val="30"/>
          <w:szCs w:val="30"/>
          <w:highlight w:val="none"/>
        </w:rPr>
        <w:t>二、法定代表人身份证明书及法定代表人有效身份证正反面复印件</w:t>
      </w:r>
    </w:p>
    <w:p w14:paraId="6E5AEF48">
      <w:pPr>
        <w:spacing w:line="520" w:lineRule="exact"/>
        <w:jc w:val="center"/>
        <w:rPr>
          <w:rFonts w:ascii="宋体" w:hAnsi="宋体" w:cs="宋体"/>
          <w:bCs/>
          <w:color w:val="auto"/>
          <w:sz w:val="44"/>
          <w:szCs w:val="44"/>
          <w:highlight w:val="none"/>
        </w:rPr>
      </w:pPr>
    </w:p>
    <w:p w14:paraId="0A970819">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法定代表人证明书</w:t>
      </w:r>
    </w:p>
    <w:p w14:paraId="590F1D3A">
      <w:pPr>
        <w:spacing w:line="360" w:lineRule="auto"/>
        <w:ind w:left="540"/>
        <w:contextualSpacing/>
        <w:rPr>
          <w:rFonts w:ascii="宋体" w:hAnsi="宋体" w:cs="宋体"/>
          <w:color w:val="auto"/>
          <w:sz w:val="32"/>
          <w:szCs w:val="32"/>
          <w:highlight w:val="none"/>
        </w:rPr>
      </w:pPr>
    </w:p>
    <w:p w14:paraId="250549FC">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E3912A3">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C75E02E">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A5A52EF">
      <w:pPr>
        <w:spacing w:line="700" w:lineRule="exact"/>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D297EA9">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7C881B3">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的法定代表人。</w:t>
      </w:r>
    </w:p>
    <w:p w14:paraId="3C7E926F">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5DDCB34F">
      <w:pPr>
        <w:spacing w:line="360" w:lineRule="auto"/>
        <w:ind w:left="540"/>
        <w:contextualSpacing/>
        <w:rPr>
          <w:rFonts w:ascii="宋体" w:hAnsi="宋体" w:cs="宋体"/>
          <w:color w:val="auto"/>
          <w:sz w:val="24"/>
          <w:highlight w:val="none"/>
        </w:rPr>
      </w:pPr>
    </w:p>
    <w:p w14:paraId="7DB003E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ED03E7F">
      <w:pPr>
        <w:spacing w:line="360" w:lineRule="auto"/>
        <w:ind w:left="540"/>
        <w:contextualSpacing/>
        <w:rPr>
          <w:rFonts w:ascii="宋体" w:hAnsi="宋体" w:cs="宋体"/>
          <w:color w:val="auto"/>
          <w:sz w:val="24"/>
          <w:highlight w:val="none"/>
        </w:rPr>
      </w:pPr>
    </w:p>
    <w:p w14:paraId="4A712278">
      <w:pPr>
        <w:spacing w:line="360" w:lineRule="auto"/>
        <w:ind w:left="540"/>
        <w:contextualSpacing/>
        <w:rPr>
          <w:rFonts w:ascii="宋体" w:hAnsi="宋体" w:cs="宋体"/>
          <w:color w:val="auto"/>
          <w:highlight w:val="none"/>
        </w:rPr>
      </w:pPr>
    </w:p>
    <w:p w14:paraId="2E51E13D">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14:paraId="4435F63E">
      <w:pPr>
        <w:spacing w:line="360" w:lineRule="auto"/>
        <w:contextualSpacing/>
        <w:jc w:val="center"/>
        <w:rPr>
          <w:rFonts w:ascii="宋体" w:hAnsi="宋体" w:cs="宋体"/>
          <w:b/>
          <w:color w:val="auto"/>
          <w:sz w:val="24"/>
          <w:highlight w:val="none"/>
        </w:rPr>
      </w:pPr>
      <w:r>
        <w:rPr>
          <w:rFonts w:hint="eastAsia" w:ascii="宋体" w:hAnsi="宋体" w:cs="宋体"/>
          <w:color w:val="auto"/>
          <w:sz w:val="24"/>
          <w:highlight w:val="none"/>
          <w:lang w:val="zh-CN"/>
        </w:rPr>
        <w:t xml:space="preserve">                                                   日期：  年  月   日</w:t>
      </w:r>
    </w:p>
    <w:p w14:paraId="5E121A7F">
      <w:pPr>
        <w:spacing w:line="360" w:lineRule="auto"/>
        <w:contextualSpacing/>
        <w:jc w:val="left"/>
        <w:rPr>
          <w:rFonts w:ascii="宋体" w:hAnsi="宋体" w:cs="宋体"/>
          <w:color w:val="auto"/>
          <w:sz w:val="24"/>
          <w:highlight w:val="none"/>
        </w:rPr>
      </w:pPr>
    </w:p>
    <w:p w14:paraId="49609EC0">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3CAD2B7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D61F7A">
      <w:pPr>
        <w:spacing w:line="360" w:lineRule="auto"/>
        <w:ind w:firstLine="480" w:firstLineChars="200"/>
        <w:contextualSpacing/>
        <w:jc w:val="left"/>
        <w:rPr>
          <w:rFonts w:ascii="宋体" w:hAnsi="宋体" w:cs="宋体"/>
          <w:color w:val="auto"/>
          <w:sz w:val="24"/>
          <w:highlight w:val="none"/>
        </w:rPr>
      </w:pPr>
      <w:r>
        <w:rPr>
          <w:rFonts w:ascii="宋体" w:hAnsi="宋体" w:cs="宋体"/>
          <w:color w:val="auto"/>
          <w:sz w:val="24"/>
          <w:highlight w:val="none"/>
        </w:rPr>
        <w:br w:type="page"/>
      </w:r>
    </w:p>
    <w:tbl>
      <w:tblPr>
        <w:tblStyle w:val="29"/>
        <w:tblpPr w:leftFromText="180" w:rightFromText="180" w:vertAnchor="text" w:horzAnchor="margin" w:tblpXSpec="center" w:tblpY="1169"/>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8"/>
      </w:tblGrid>
      <w:tr w14:paraId="5FC6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628" w:type="dxa"/>
          </w:tcPr>
          <w:p w14:paraId="3CEB6538">
            <w:pPr>
              <w:spacing w:line="360" w:lineRule="auto"/>
              <w:rPr>
                <w:rFonts w:ascii="宋体" w:hAnsi="宋体" w:cs="宋体"/>
                <w:b/>
                <w:color w:val="auto"/>
                <w:sz w:val="24"/>
                <w:highlight w:val="none"/>
              </w:rPr>
            </w:pPr>
          </w:p>
          <w:p w14:paraId="514C96FE">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法定代表身份证复印件粘贴处（正、反面）</w:t>
            </w:r>
          </w:p>
        </w:tc>
      </w:tr>
    </w:tbl>
    <w:p w14:paraId="15531097">
      <w:pPr>
        <w:spacing w:line="360" w:lineRule="auto"/>
        <w:contextualSpacing/>
        <w:jc w:val="left"/>
        <w:rPr>
          <w:rFonts w:ascii="宋体" w:hAnsi="宋体" w:cs="宋体"/>
          <w:b/>
          <w:color w:val="auto"/>
          <w:sz w:val="24"/>
          <w:highlight w:val="none"/>
        </w:rPr>
      </w:pPr>
    </w:p>
    <w:p w14:paraId="08160F3C">
      <w:pPr>
        <w:spacing w:beforeLines="50"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附件：</w:t>
      </w:r>
    </w:p>
    <w:p w14:paraId="0123B780">
      <w:pPr>
        <w:spacing w:beforeLines="50" w:line="360" w:lineRule="auto"/>
        <w:ind w:firstLine="482" w:firstLineChars="200"/>
        <w:contextualSpacing/>
        <w:jc w:val="left"/>
        <w:rPr>
          <w:rFonts w:ascii="宋体" w:hAnsi="宋体" w:cs="宋体"/>
          <w:b/>
          <w:color w:val="auto"/>
          <w:sz w:val="24"/>
          <w:highlight w:val="none"/>
        </w:rPr>
      </w:pPr>
    </w:p>
    <w:p w14:paraId="2166E692">
      <w:pPr>
        <w:spacing w:beforeLines="50" w:line="360" w:lineRule="auto"/>
        <w:ind w:firstLine="880" w:firstLineChars="200"/>
        <w:contextualSpacing/>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三、法定代表人授权委托书及委托代理人有效身份证正反面复印件</w:t>
      </w:r>
    </w:p>
    <w:p w14:paraId="3571DB89">
      <w:pPr>
        <w:spacing w:line="500" w:lineRule="exact"/>
        <w:jc w:val="center"/>
        <w:rPr>
          <w:rFonts w:ascii="宋体" w:hAnsi="宋体" w:cs="宋体"/>
          <w:color w:val="auto"/>
          <w:sz w:val="44"/>
          <w:szCs w:val="44"/>
          <w:highlight w:val="none"/>
        </w:rPr>
      </w:pPr>
    </w:p>
    <w:p w14:paraId="27F6DA1F">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授权委托书（非联合体竞标格式）</w:t>
      </w:r>
    </w:p>
    <w:p w14:paraId="0DC2FE80">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406AB88C">
      <w:pPr>
        <w:spacing w:line="520" w:lineRule="exact"/>
        <w:rPr>
          <w:rFonts w:ascii="宋体" w:hAnsi="宋体" w:cs="宋体"/>
          <w:color w:val="auto"/>
          <w:sz w:val="32"/>
          <w:szCs w:val="32"/>
          <w:highlight w:val="none"/>
        </w:rPr>
      </w:pPr>
    </w:p>
    <w:p w14:paraId="661E5766">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C5EBB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5E3D73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DD500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54429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66279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218866A5">
      <w:pPr>
        <w:spacing w:line="360" w:lineRule="auto"/>
        <w:rPr>
          <w:rFonts w:ascii="宋体" w:hAnsi="宋体" w:cs="宋体"/>
          <w:color w:val="auto"/>
          <w:sz w:val="24"/>
          <w:highlight w:val="none"/>
        </w:rPr>
      </w:pPr>
    </w:p>
    <w:p w14:paraId="76E8A2D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6D95351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421A77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679770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供应商名称（电子签章）：</w:t>
      </w:r>
    </w:p>
    <w:p w14:paraId="6F872EC3">
      <w:pPr>
        <w:spacing w:line="360" w:lineRule="auto"/>
        <w:contextualSpacing/>
        <w:jc w:val="center"/>
        <w:rPr>
          <w:rFonts w:ascii="宋体" w:hAnsi="宋体" w:cs="宋体"/>
          <w:b/>
          <w:color w:val="auto"/>
          <w:sz w:val="24"/>
          <w:highlight w:val="none"/>
        </w:rPr>
      </w:pPr>
      <w:r>
        <w:rPr>
          <w:rFonts w:hint="eastAsia" w:ascii="宋体" w:hAnsi="宋体" w:cs="宋体"/>
          <w:color w:val="auto"/>
          <w:sz w:val="24"/>
          <w:highlight w:val="none"/>
          <w:lang w:val="zh-CN"/>
        </w:rPr>
        <w:t xml:space="preserve">                                                   日期：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年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月   日</w:t>
      </w:r>
    </w:p>
    <w:p w14:paraId="1BAF96F1">
      <w:pPr>
        <w:spacing w:line="360" w:lineRule="auto"/>
        <w:rPr>
          <w:rFonts w:ascii="宋体" w:hAnsi="宋体" w:cs="宋体"/>
          <w:color w:val="auto"/>
          <w:sz w:val="24"/>
          <w:highlight w:val="none"/>
        </w:rPr>
      </w:pPr>
    </w:p>
    <w:p w14:paraId="7017C08E">
      <w:pPr>
        <w:rPr>
          <w:rFonts w:ascii="宋体" w:hAnsi="宋体" w:cs="宋体"/>
          <w:color w:val="auto"/>
          <w:szCs w:val="21"/>
          <w:highlight w:val="none"/>
        </w:rPr>
      </w:pPr>
      <w:r>
        <w:rPr>
          <w:rFonts w:hint="eastAsia" w:ascii="宋体" w:hAnsi="宋体" w:cs="宋体"/>
          <w:color w:val="auto"/>
          <w:szCs w:val="21"/>
          <w:highlight w:val="none"/>
        </w:rPr>
        <w:t>注：1.法定代表人必须在授权委托书上亲笔签字或盖章，委托代理人必须在授权委托书上亲笔签字，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3DAA494E">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A9C8C1E">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3.法人、其他组织竞标时“我方”是指“我单位”，自然人竞标时“我方”是指“本人”。</w:t>
      </w:r>
    </w:p>
    <w:p w14:paraId="3EC90A8B">
      <w:pPr>
        <w:jc w:val="center"/>
        <w:rPr>
          <w:rFonts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授权委托书（联合体竞标格式）</w:t>
      </w:r>
    </w:p>
    <w:p w14:paraId="34ADCABC">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337D4057">
      <w:pPr>
        <w:spacing w:line="500" w:lineRule="exact"/>
        <w:jc w:val="center"/>
        <w:rPr>
          <w:rFonts w:ascii="宋体" w:hAnsi="宋体" w:cs="宋体"/>
          <w:color w:val="auto"/>
          <w:sz w:val="44"/>
          <w:szCs w:val="44"/>
          <w:highlight w:val="none"/>
        </w:rPr>
      </w:pPr>
    </w:p>
    <w:p w14:paraId="56036029">
      <w:pPr>
        <w:spacing w:line="500" w:lineRule="exact"/>
        <w:jc w:val="center"/>
        <w:rPr>
          <w:rFonts w:ascii="宋体" w:hAnsi="宋体" w:cs="宋体"/>
          <w:color w:val="auto"/>
          <w:sz w:val="32"/>
          <w:szCs w:val="32"/>
          <w:highlight w:val="none"/>
        </w:rPr>
      </w:pPr>
    </w:p>
    <w:p w14:paraId="158107B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609CD0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6BE89B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0BA31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F9833C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76EE098">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73BF7378">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6F3DA1CD">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3F08AFB0">
      <w:pPr>
        <w:spacing w:line="360" w:lineRule="auto"/>
        <w:rPr>
          <w:rFonts w:ascii="宋体" w:hAnsi="宋体" w:cs="宋体"/>
          <w:color w:val="auto"/>
          <w:sz w:val="24"/>
          <w:highlight w:val="none"/>
        </w:rPr>
      </w:pPr>
    </w:p>
    <w:p w14:paraId="7AED84B4">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22F21BEC">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3F29AC8">
      <w:pPr>
        <w:spacing w:line="360" w:lineRule="auto"/>
        <w:rPr>
          <w:rFonts w:ascii="宋体" w:hAnsi="宋体" w:cs="宋体"/>
          <w:color w:val="auto"/>
          <w:sz w:val="24"/>
          <w:highlight w:val="none"/>
        </w:rPr>
      </w:pPr>
    </w:p>
    <w:p w14:paraId="5FDE6C31">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2A9C4D7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163965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15108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033D16F8">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br w:type="page"/>
      </w:r>
    </w:p>
    <w:p w14:paraId="5F1060FC">
      <w:pPr>
        <w:spacing w:beforeLines="50" w:line="360" w:lineRule="auto"/>
        <w:rPr>
          <w:rFonts w:ascii="宋体" w:hAnsi="宋体" w:cs="宋体"/>
          <w:b/>
          <w:color w:val="auto"/>
          <w:sz w:val="30"/>
          <w:szCs w:val="30"/>
          <w:highlight w:val="none"/>
        </w:rPr>
      </w:pPr>
    </w:p>
    <w:p w14:paraId="793714AA">
      <w:pPr>
        <w:spacing w:beforeLines="50"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四、磋商保证金提交凭证</w:t>
      </w:r>
    </w:p>
    <w:p w14:paraId="086137F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lang w:val="en-US" w:eastAsia="zh-CN"/>
        </w:rPr>
        <w:t>/</w:t>
      </w:r>
      <w:r>
        <w:rPr>
          <w:rFonts w:ascii="宋体" w:hAnsi="宋体" w:cs="宋体"/>
          <w:color w:val="auto"/>
          <w:sz w:val="24"/>
          <w:highlight w:val="none"/>
        </w:rPr>
        <w:br w:type="page"/>
      </w:r>
    </w:p>
    <w:p w14:paraId="71C44524">
      <w:pPr>
        <w:spacing w:beforeLines="50" w:line="360" w:lineRule="auto"/>
        <w:rPr>
          <w:rFonts w:ascii="宋体" w:hAnsi="宋体" w:cs="宋体"/>
          <w:color w:val="auto"/>
          <w:sz w:val="24"/>
          <w:highlight w:val="none"/>
        </w:rPr>
      </w:pPr>
      <w:r>
        <w:rPr>
          <w:rFonts w:hint="eastAsia" w:ascii="宋体" w:hAnsi="宋体" w:cs="宋体"/>
          <w:b/>
          <w:color w:val="auto"/>
          <w:sz w:val="30"/>
          <w:szCs w:val="30"/>
          <w:highlight w:val="none"/>
        </w:rPr>
        <w:t>五、供应商基本情况表</w:t>
      </w:r>
    </w:p>
    <w:p w14:paraId="6BEFE085">
      <w:pPr>
        <w:spacing w:line="480" w:lineRule="auto"/>
        <w:jc w:val="center"/>
        <w:rPr>
          <w:rFonts w:ascii="宋体" w:hAnsi="宋体" w:cs="宋体"/>
          <w:color w:val="auto"/>
          <w:sz w:val="24"/>
          <w:highlight w:val="none"/>
        </w:rPr>
      </w:pPr>
      <w:r>
        <w:rPr>
          <w:rFonts w:hint="eastAsia" w:ascii="宋体" w:hAnsi="宋体" w:cs="宋体"/>
          <w:b/>
          <w:bCs/>
          <w:color w:val="auto"/>
          <w:sz w:val="28"/>
          <w:szCs w:val="28"/>
          <w:highlight w:val="none"/>
        </w:rPr>
        <w:t>供应商基本情况表</w:t>
      </w:r>
    </w:p>
    <w:tbl>
      <w:tblPr>
        <w:tblStyle w:val="29"/>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12"/>
        <w:gridCol w:w="1081"/>
        <w:gridCol w:w="1184"/>
        <w:gridCol w:w="112"/>
        <w:gridCol w:w="1246"/>
        <w:gridCol w:w="322"/>
        <w:gridCol w:w="765"/>
        <w:gridCol w:w="1619"/>
      </w:tblGrid>
      <w:tr w14:paraId="4BA5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6D3A791">
            <w:pPr>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7341" w:type="dxa"/>
            <w:gridSpan w:val="8"/>
            <w:vAlign w:val="center"/>
          </w:tcPr>
          <w:p w14:paraId="64A854FB">
            <w:pPr>
              <w:jc w:val="center"/>
              <w:rPr>
                <w:rFonts w:ascii="宋体" w:hAnsi="宋体" w:cs="宋体"/>
                <w:color w:val="auto"/>
                <w:sz w:val="24"/>
                <w:highlight w:val="none"/>
              </w:rPr>
            </w:pPr>
          </w:p>
        </w:tc>
      </w:tr>
      <w:tr w14:paraId="1732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7F8178A">
            <w:pPr>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389" w:type="dxa"/>
            <w:gridSpan w:val="4"/>
            <w:vAlign w:val="center"/>
          </w:tcPr>
          <w:p w14:paraId="7B8490E2">
            <w:pPr>
              <w:jc w:val="center"/>
              <w:rPr>
                <w:rFonts w:ascii="宋体" w:hAnsi="宋体" w:cs="宋体"/>
                <w:color w:val="auto"/>
                <w:sz w:val="24"/>
                <w:highlight w:val="none"/>
              </w:rPr>
            </w:pPr>
          </w:p>
        </w:tc>
        <w:tc>
          <w:tcPr>
            <w:tcW w:w="1246" w:type="dxa"/>
            <w:vAlign w:val="center"/>
          </w:tcPr>
          <w:p w14:paraId="1D78F5A7">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706" w:type="dxa"/>
            <w:gridSpan w:val="3"/>
            <w:vAlign w:val="center"/>
          </w:tcPr>
          <w:p w14:paraId="3694889D">
            <w:pPr>
              <w:jc w:val="center"/>
              <w:rPr>
                <w:rFonts w:ascii="宋体" w:hAnsi="宋体" w:cs="宋体"/>
                <w:color w:val="auto"/>
                <w:sz w:val="24"/>
                <w:highlight w:val="none"/>
              </w:rPr>
            </w:pPr>
          </w:p>
        </w:tc>
      </w:tr>
      <w:tr w14:paraId="6DD2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26ED9C42">
            <w:pPr>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012" w:type="dxa"/>
            <w:vAlign w:val="center"/>
          </w:tcPr>
          <w:p w14:paraId="7F6BA195">
            <w:pPr>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77" w:type="dxa"/>
            <w:gridSpan w:val="3"/>
            <w:vAlign w:val="center"/>
          </w:tcPr>
          <w:p w14:paraId="2A649CF5">
            <w:pPr>
              <w:jc w:val="center"/>
              <w:rPr>
                <w:rFonts w:ascii="宋体" w:hAnsi="宋体" w:cs="宋体"/>
                <w:color w:val="auto"/>
                <w:sz w:val="24"/>
                <w:highlight w:val="none"/>
              </w:rPr>
            </w:pPr>
          </w:p>
        </w:tc>
        <w:tc>
          <w:tcPr>
            <w:tcW w:w="1246" w:type="dxa"/>
            <w:vAlign w:val="center"/>
          </w:tcPr>
          <w:p w14:paraId="3DA4AF87">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2706" w:type="dxa"/>
            <w:gridSpan w:val="3"/>
            <w:vAlign w:val="center"/>
          </w:tcPr>
          <w:p w14:paraId="7EDD9153">
            <w:pPr>
              <w:jc w:val="center"/>
              <w:rPr>
                <w:rFonts w:ascii="宋体" w:hAnsi="宋体" w:cs="宋体"/>
                <w:color w:val="auto"/>
                <w:sz w:val="24"/>
                <w:highlight w:val="none"/>
              </w:rPr>
            </w:pPr>
          </w:p>
        </w:tc>
      </w:tr>
      <w:tr w14:paraId="349C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0C6A021A">
            <w:pPr>
              <w:jc w:val="center"/>
              <w:rPr>
                <w:rFonts w:ascii="宋体" w:hAnsi="宋体" w:cs="宋体"/>
                <w:color w:val="auto"/>
                <w:sz w:val="24"/>
                <w:highlight w:val="none"/>
              </w:rPr>
            </w:pPr>
          </w:p>
        </w:tc>
        <w:tc>
          <w:tcPr>
            <w:tcW w:w="1012" w:type="dxa"/>
            <w:vAlign w:val="center"/>
          </w:tcPr>
          <w:p w14:paraId="6C38B0F1">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377" w:type="dxa"/>
            <w:gridSpan w:val="3"/>
            <w:vAlign w:val="center"/>
          </w:tcPr>
          <w:p w14:paraId="3C122EAD">
            <w:pPr>
              <w:jc w:val="center"/>
              <w:rPr>
                <w:rFonts w:ascii="宋体" w:hAnsi="宋体" w:cs="宋体"/>
                <w:color w:val="auto"/>
                <w:sz w:val="24"/>
                <w:highlight w:val="none"/>
              </w:rPr>
            </w:pPr>
          </w:p>
        </w:tc>
        <w:tc>
          <w:tcPr>
            <w:tcW w:w="1246" w:type="dxa"/>
            <w:vAlign w:val="center"/>
          </w:tcPr>
          <w:p w14:paraId="210CE421">
            <w:pPr>
              <w:jc w:val="center"/>
              <w:rPr>
                <w:rFonts w:ascii="宋体" w:hAnsi="宋体" w:cs="宋体"/>
                <w:color w:val="auto"/>
                <w:sz w:val="24"/>
                <w:highlight w:val="none"/>
              </w:rPr>
            </w:pPr>
            <w:r>
              <w:rPr>
                <w:rFonts w:hint="eastAsia" w:ascii="宋体" w:hAnsi="宋体" w:cs="宋体"/>
                <w:color w:val="auto"/>
                <w:sz w:val="24"/>
                <w:highlight w:val="none"/>
              </w:rPr>
              <w:t>网  址</w:t>
            </w:r>
          </w:p>
        </w:tc>
        <w:tc>
          <w:tcPr>
            <w:tcW w:w="2706" w:type="dxa"/>
            <w:gridSpan w:val="3"/>
            <w:vAlign w:val="center"/>
          </w:tcPr>
          <w:p w14:paraId="52A618C5">
            <w:pPr>
              <w:jc w:val="center"/>
              <w:rPr>
                <w:rFonts w:ascii="宋体" w:hAnsi="宋体" w:cs="宋体"/>
                <w:color w:val="auto"/>
                <w:sz w:val="24"/>
                <w:highlight w:val="none"/>
              </w:rPr>
            </w:pPr>
          </w:p>
        </w:tc>
      </w:tr>
      <w:tr w14:paraId="1775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3E32EA2">
            <w:pPr>
              <w:jc w:val="center"/>
              <w:rPr>
                <w:rFonts w:ascii="宋体" w:hAnsi="宋体" w:cs="宋体"/>
                <w:color w:val="auto"/>
                <w:sz w:val="24"/>
                <w:highlight w:val="none"/>
              </w:rPr>
            </w:pPr>
            <w:r>
              <w:rPr>
                <w:rFonts w:hint="eastAsia" w:ascii="宋体" w:hAnsi="宋体" w:cs="宋体"/>
                <w:color w:val="auto"/>
                <w:sz w:val="24"/>
                <w:highlight w:val="none"/>
              </w:rPr>
              <w:t>统一社会信用代码</w:t>
            </w:r>
          </w:p>
        </w:tc>
        <w:tc>
          <w:tcPr>
            <w:tcW w:w="7341" w:type="dxa"/>
            <w:gridSpan w:val="8"/>
            <w:vAlign w:val="center"/>
          </w:tcPr>
          <w:p w14:paraId="2ECF3D3A">
            <w:pPr>
              <w:jc w:val="center"/>
              <w:rPr>
                <w:rFonts w:ascii="宋体" w:hAnsi="宋体" w:cs="宋体"/>
                <w:color w:val="auto"/>
                <w:sz w:val="24"/>
                <w:highlight w:val="none"/>
              </w:rPr>
            </w:pPr>
          </w:p>
        </w:tc>
      </w:tr>
      <w:tr w14:paraId="31FB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C109F89">
            <w:pPr>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012" w:type="dxa"/>
            <w:vAlign w:val="center"/>
          </w:tcPr>
          <w:p w14:paraId="6D8DCA86">
            <w:pPr>
              <w:jc w:val="center"/>
              <w:rPr>
                <w:rFonts w:ascii="宋体" w:hAnsi="宋体" w:cs="宋体"/>
                <w:color w:val="auto"/>
                <w:sz w:val="24"/>
                <w:highlight w:val="none"/>
              </w:rPr>
            </w:pPr>
            <w:r>
              <w:rPr>
                <w:rFonts w:hint="eastAsia" w:ascii="宋体" w:hAnsi="宋体" w:cs="宋体"/>
                <w:color w:val="auto"/>
                <w:sz w:val="24"/>
                <w:highlight w:val="none"/>
              </w:rPr>
              <w:t>姓名</w:t>
            </w:r>
          </w:p>
        </w:tc>
        <w:tc>
          <w:tcPr>
            <w:tcW w:w="3945" w:type="dxa"/>
            <w:gridSpan w:val="5"/>
            <w:vAlign w:val="center"/>
          </w:tcPr>
          <w:p w14:paraId="2A708634">
            <w:pPr>
              <w:jc w:val="center"/>
              <w:rPr>
                <w:rFonts w:ascii="宋体" w:hAnsi="宋体" w:cs="宋体"/>
                <w:color w:val="auto"/>
                <w:sz w:val="24"/>
                <w:highlight w:val="none"/>
              </w:rPr>
            </w:pPr>
          </w:p>
        </w:tc>
        <w:tc>
          <w:tcPr>
            <w:tcW w:w="765" w:type="dxa"/>
            <w:vAlign w:val="center"/>
          </w:tcPr>
          <w:p w14:paraId="6AC0AF96">
            <w:pPr>
              <w:jc w:val="center"/>
              <w:rPr>
                <w:rFonts w:ascii="宋体" w:hAnsi="宋体" w:cs="宋体"/>
                <w:color w:val="auto"/>
                <w:sz w:val="24"/>
                <w:highlight w:val="none"/>
              </w:rPr>
            </w:pPr>
            <w:r>
              <w:rPr>
                <w:rFonts w:hint="eastAsia" w:ascii="宋体" w:hAnsi="宋体" w:cs="宋体"/>
                <w:color w:val="auto"/>
                <w:sz w:val="24"/>
                <w:highlight w:val="none"/>
              </w:rPr>
              <w:t>电话</w:t>
            </w:r>
          </w:p>
        </w:tc>
        <w:tc>
          <w:tcPr>
            <w:tcW w:w="1619" w:type="dxa"/>
            <w:vAlign w:val="center"/>
          </w:tcPr>
          <w:p w14:paraId="71AACA1D">
            <w:pPr>
              <w:jc w:val="center"/>
              <w:rPr>
                <w:rFonts w:ascii="宋体" w:hAnsi="宋体" w:cs="宋体"/>
                <w:color w:val="auto"/>
                <w:sz w:val="24"/>
                <w:highlight w:val="none"/>
              </w:rPr>
            </w:pPr>
          </w:p>
        </w:tc>
      </w:tr>
      <w:tr w14:paraId="7F28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75CFF94">
            <w:pPr>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012" w:type="dxa"/>
            <w:vAlign w:val="center"/>
          </w:tcPr>
          <w:p w14:paraId="5BC61BD1">
            <w:pPr>
              <w:jc w:val="center"/>
              <w:rPr>
                <w:rFonts w:ascii="宋体" w:hAnsi="宋体" w:cs="宋体"/>
                <w:color w:val="auto"/>
                <w:sz w:val="24"/>
                <w:highlight w:val="none"/>
              </w:rPr>
            </w:pPr>
            <w:r>
              <w:rPr>
                <w:rFonts w:hint="eastAsia" w:ascii="宋体" w:hAnsi="宋体" w:cs="宋体"/>
                <w:color w:val="auto"/>
                <w:sz w:val="24"/>
                <w:highlight w:val="none"/>
              </w:rPr>
              <w:t>姓名</w:t>
            </w:r>
          </w:p>
        </w:tc>
        <w:tc>
          <w:tcPr>
            <w:tcW w:w="1081" w:type="dxa"/>
            <w:vAlign w:val="center"/>
          </w:tcPr>
          <w:p w14:paraId="7BD08D55">
            <w:pPr>
              <w:jc w:val="center"/>
              <w:rPr>
                <w:rFonts w:ascii="宋体" w:hAnsi="宋体" w:cs="宋体"/>
                <w:color w:val="auto"/>
                <w:sz w:val="24"/>
                <w:highlight w:val="none"/>
              </w:rPr>
            </w:pPr>
          </w:p>
        </w:tc>
        <w:tc>
          <w:tcPr>
            <w:tcW w:w="1184" w:type="dxa"/>
            <w:vAlign w:val="center"/>
          </w:tcPr>
          <w:p w14:paraId="45B448EB">
            <w:pPr>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680" w:type="dxa"/>
            <w:gridSpan w:val="3"/>
            <w:vAlign w:val="center"/>
          </w:tcPr>
          <w:p w14:paraId="6E18CAF0">
            <w:pPr>
              <w:jc w:val="center"/>
              <w:rPr>
                <w:rFonts w:ascii="宋体" w:hAnsi="宋体" w:cs="宋体"/>
                <w:color w:val="auto"/>
                <w:sz w:val="24"/>
                <w:highlight w:val="none"/>
              </w:rPr>
            </w:pPr>
          </w:p>
        </w:tc>
        <w:tc>
          <w:tcPr>
            <w:tcW w:w="765" w:type="dxa"/>
            <w:vAlign w:val="center"/>
          </w:tcPr>
          <w:p w14:paraId="50366D9A">
            <w:pPr>
              <w:jc w:val="center"/>
              <w:rPr>
                <w:rFonts w:ascii="宋体" w:hAnsi="宋体" w:cs="宋体"/>
                <w:color w:val="auto"/>
                <w:sz w:val="24"/>
                <w:highlight w:val="none"/>
              </w:rPr>
            </w:pPr>
            <w:r>
              <w:rPr>
                <w:rFonts w:hint="eastAsia" w:ascii="宋体" w:hAnsi="宋体" w:cs="宋体"/>
                <w:color w:val="auto"/>
                <w:sz w:val="24"/>
                <w:highlight w:val="none"/>
              </w:rPr>
              <w:t>电话</w:t>
            </w:r>
          </w:p>
        </w:tc>
        <w:tc>
          <w:tcPr>
            <w:tcW w:w="1619" w:type="dxa"/>
            <w:vAlign w:val="center"/>
          </w:tcPr>
          <w:p w14:paraId="46D57E40">
            <w:pPr>
              <w:jc w:val="center"/>
              <w:rPr>
                <w:rFonts w:ascii="宋体" w:hAnsi="宋体" w:cs="宋体"/>
                <w:color w:val="auto"/>
                <w:sz w:val="24"/>
                <w:highlight w:val="none"/>
              </w:rPr>
            </w:pPr>
          </w:p>
        </w:tc>
      </w:tr>
      <w:tr w14:paraId="0B36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CCFDF65">
            <w:pPr>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093" w:type="dxa"/>
            <w:gridSpan w:val="2"/>
            <w:vAlign w:val="center"/>
          </w:tcPr>
          <w:p w14:paraId="7BCD45BD">
            <w:pPr>
              <w:jc w:val="center"/>
              <w:rPr>
                <w:rFonts w:ascii="宋体" w:hAnsi="宋体" w:cs="宋体"/>
                <w:color w:val="auto"/>
                <w:sz w:val="24"/>
                <w:highlight w:val="none"/>
              </w:rPr>
            </w:pPr>
          </w:p>
        </w:tc>
        <w:tc>
          <w:tcPr>
            <w:tcW w:w="5248" w:type="dxa"/>
            <w:gridSpan w:val="6"/>
            <w:vAlign w:val="center"/>
          </w:tcPr>
          <w:p w14:paraId="3186B661">
            <w:pPr>
              <w:jc w:val="center"/>
              <w:rPr>
                <w:rFonts w:ascii="宋体" w:hAnsi="宋体" w:cs="宋体"/>
                <w:color w:val="auto"/>
                <w:sz w:val="24"/>
                <w:highlight w:val="none"/>
              </w:rPr>
            </w:pPr>
            <w:r>
              <w:rPr>
                <w:rFonts w:hint="eastAsia" w:ascii="宋体" w:hAnsi="宋体" w:cs="宋体"/>
                <w:color w:val="auto"/>
                <w:sz w:val="24"/>
                <w:highlight w:val="none"/>
              </w:rPr>
              <w:t>员工总人数：</w:t>
            </w:r>
          </w:p>
        </w:tc>
      </w:tr>
      <w:tr w14:paraId="6908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A6B75F8">
            <w:pPr>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2093" w:type="dxa"/>
            <w:gridSpan w:val="2"/>
            <w:vAlign w:val="center"/>
          </w:tcPr>
          <w:p w14:paraId="31C430FE">
            <w:pPr>
              <w:jc w:val="center"/>
              <w:rPr>
                <w:rFonts w:ascii="宋体" w:hAnsi="宋体" w:cs="宋体"/>
                <w:color w:val="auto"/>
                <w:sz w:val="24"/>
                <w:highlight w:val="none"/>
              </w:rPr>
            </w:pPr>
          </w:p>
        </w:tc>
        <w:tc>
          <w:tcPr>
            <w:tcW w:w="1184" w:type="dxa"/>
            <w:vMerge w:val="restart"/>
            <w:vAlign w:val="center"/>
          </w:tcPr>
          <w:p w14:paraId="0A0FDC48">
            <w:pPr>
              <w:jc w:val="center"/>
              <w:rPr>
                <w:rFonts w:ascii="宋体" w:hAnsi="宋体" w:cs="宋体"/>
                <w:color w:val="auto"/>
                <w:sz w:val="24"/>
                <w:highlight w:val="none"/>
              </w:rPr>
            </w:pPr>
            <w:r>
              <w:rPr>
                <w:rFonts w:hint="eastAsia" w:ascii="宋体" w:hAnsi="宋体" w:cs="宋体"/>
                <w:color w:val="auto"/>
                <w:sz w:val="24"/>
                <w:highlight w:val="none"/>
              </w:rPr>
              <w:t>其中</w:t>
            </w:r>
          </w:p>
        </w:tc>
        <w:tc>
          <w:tcPr>
            <w:tcW w:w="1680" w:type="dxa"/>
            <w:gridSpan w:val="3"/>
            <w:vAlign w:val="center"/>
          </w:tcPr>
          <w:p w14:paraId="2F1E0321">
            <w:pPr>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2384" w:type="dxa"/>
            <w:gridSpan w:val="2"/>
            <w:vAlign w:val="center"/>
          </w:tcPr>
          <w:p w14:paraId="3CD3D1D7">
            <w:pPr>
              <w:jc w:val="center"/>
              <w:rPr>
                <w:rFonts w:ascii="宋体" w:hAnsi="宋体" w:cs="宋体"/>
                <w:color w:val="auto"/>
                <w:sz w:val="24"/>
                <w:highlight w:val="none"/>
              </w:rPr>
            </w:pPr>
          </w:p>
        </w:tc>
      </w:tr>
      <w:tr w14:paraId="34F7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64BA069">
            <w:pPr>
              <w:jc w:val="center"/>
              <w:rPr>
                <w:rFonts w:ascii="宋体" w:hAnsi="宋体" w:cs="宋体"/>
                <w:color w:val="auto"/>
                <w:sz w:val="24"/>
                <w:highlight w:val="none"/>
              </w:rPr>
            </w:pPr>
            <w:r>
              <w:rPr>
                <w:rFonts w:hint="eastAsia" w:ascii="宋体" w:hAnsi="宋体" w:cs="宋体"/>
                <w:color w:val="auto"/>
                <w:sz w:val="24"/>
                <w:highlight w:val="none"/>
              </w:rPr>
              <w:t>安全生产许可证号</w:t>
            </w:r>
          </w:p>
        </w:tc>
        <w:tc>
          <w:tcPr>
            <w:tcW w:w="2093" w:type="dxa"/>
            <w:gridSpan w:val="2"/>
            <w:vAlign w:val="center"/>
          </w:tcPr>
          <w:p w14:paraId="4173F312">
            <w:pPr>
              <w:jc w:val="center"/>
              <w:rPr>
                <w:rFonts w:ascii="宋体" w:hAnsi="宋体" w:cs="宋体"/>
                <w:color w:val="auto"/>
                <w:sz w:val="24"/>
                <w:highlight w:val="none"/>
              </w:rPr>
            </w:pPr>
          </w:p>
        </w:tc>
        <w:tc>
          <w:tcPr>
            <w:tcW w:w="1184" w:type="dxa"/>
            <w:vMerge w:val="continue"/>
            <w:vAlign w:val="center"/>
          </w:tcPr>
          <w:p w14:paraId="1FA84065">
            <w:pPr>
              <w:jc w:val="center"/>
              <w:rPr>
                <w:rFonts w:ascii="宋体" w:hAnsi="宋体" w:cs="宋体"/>
                <w:color w:val="auto"/>
                <w:sz w:val="24"/>
                <w:highlight w:val="none"/>
              </w:rPr>
            </w:pPr>
          </w:p>
        </w:tc>
        <w:tc>
          <w:tcPr>
            <w:tcW w:w="1680" w:type="dxa"/>
            <w:gridSpan w:val="3"/>
            <w:vAlign w:val="center"/>
          </w:tcPr>
          <w:p w14:paraId="3F6F01D6">
            <w:pPr>
              <w:jc w:val="center"/>
              <w:rPr>
                <w:rFonts w:ascii="宋体" w:hAnsi="宋体" w:cs="宋体"/>
                <w:color w:val="auto"/>
                <w:sz w:val="24"/>
                <w:highlight w:val="none"/>
              </w:rPr>
            </w:pPr>
            <w:r>
              <w:rPr>
                <w:rFonts w:hint="eastAsia" w:ascii="宋体" w:hAnsi="宋体" w:cs="宋体"/>
                <w:color w:val="auto"/>
                <w:sz w:val="24"/>
                <w:highlight w:val="none"/>
              </w:rPr>
              <w:t>高级职称人员</w:t>
            </w:r>
          </w:p>
        </w:tc>
        <w:tc>
          <w:tcPr>
            <w:tcW w:w="2384" w:type="dxa"/>
            <w:gridSpan w:val="2"/>
            <w:vAlign w:val="center"/>
          </w:tcPr>
          <w:p w14:paraId="56453264">
            <w:pPr>
              <w:jc w:val="center"/>
              <w:rPr>
                <w:rFonts w:ascii="宋体" w:hAnsi="宋体" w:cs="宋体"/>
                <w:color w:val="auto"/>
                <w:sz w:val="24"/>
                <w:highlight w:val="none"/>
              </w:rPr>
            </w:pPr>
          </w:p>
        </w:tc>
      </w:tr>
      <w:tr w14:paraId="7AAB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E3D8BC8">
            <w:pPr>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2093" w:type="dxa"/>
            <w:gridSpan w:val="2"/>
            <w:vAlign w:val="center"/>
          </w:tcPr>
          <w:p w14:paraId="6E5A8151">
            <w:pPr>
              <w:jc w:val="center"/>
              <w:rPr>
                <w:rFonts w:ascii="宋体" w:hAnsi="宋体" w:cs="宋体"/>
                <w:color w:val="auto"/>
                <w:sz w:val="24"/>
                <w:highlight w:val="none"/>
              </w:rPr>
            </w:pPr>
          </w:p>
        </w:tc>
        <w:tc>
          <w:tcPr>
            <w:tcW w:w="1184" w:type="dxa"/>
            <w:vMerge w:val="continue"/>
            <w:vAlign w:val="center"/>
          </w:tcPr>
          <w:p w14:paraId="55CD7598">
            <w:pPr>
              <w:jc w:val="center"/>
              <w:rPr>
                <w:rFonts w:ascii="宋体" w:hAnsi="宋体" w:cs="宋体"/>
                <w:color w:val="auto"/>
                <w:sz w:val="24"/>
                <w:highlight w:val="none"/>
              </w:rPr>
            </w:pPr>
          </w:p>
        </w:tc>
        <w:tc>
          <w:tcPr>
            <w:tcW w:w="1680" w:type="dxa"/>
            <w:gridSpan w:val="3"/>
            <w:vAlign w:val="center"/>
          </w:tcPr>
          <w:p w14:paraId="69C1A98F">
            <w:pPr>
              <w:jc w:val="center"/>
              <w:rPr>
                <w:rFonts w:ascii="宋体" w:hAnsi="宋体" w:cs="宋体"/>
                <w:color w:val="auto"/>
                <w:sz w:val="24"/>
                <w:highlight w:val="none"/>
              </w:rPr>
            </w:pPr>
            <w:r>
              <w:rPr>
                <w:rFonts w:hint="eastAsia" w:ascii="宋体" w:hAnsi="宋体" w:cs="宋体"/>
                <w:color w:val="auto"/>
                <w:sz w:val="24"/>
                <w:highlight w:val="none"/>
              </w:rPr>
              <w:t>中级职称人员</w:t>
            </w:r>
          </w:p>
        </w:tc>
        <w:tc>
          <w:tcPr>
            <w:tcW w:w="2384" w:type="dxa"/>
            <w:gridSpan w:val="2"/>
            <w:vAlign w:val="center"/>
          </w:tcPr>
          <w:p w14:paraId="549BF4A3">
            <w:pPr>
              <w:jc w:val="center"/>
              <w:rPr>
                <w:rFonts w:ascii="宋体" w:hAnsi="宋体" w:cs="宋体"/>
                <w:color w:val="auto"/>
                <w:sz w:val="24"/>
                <w:highlight w:val="none"/>
              </w:rPr>
            </w:pPr>
          </w:p>
        </w:tc>
      </w:tr>
      <w:tr w14:paraId="637F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1263FE5">
            <w:pPr>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2093" w:type="dxa"/>
            <w:gridSpan w:val="2"/>
            <w:vAlign w:val="center"/>
          </w:tcPr>
          <w:p w14:paraId="4AC2BE79">
            <w:pPr>
              <w:jc w:val="center"/>
              <w:rPr>
                <w:rFonts w:ascii="宋体" w:hAnsi="宋体" w:cs="宋体"/>
                <w:color w:val="auto"/>
                <w:sz w:val="24"/>
                <w:highlight w:val="none"/>
              </w:rPr>
            </w:pPr>
          </w:p>
        </w:tc>
        <w:tc>
          <w:tcPr>
            <w:tcW w:w="1184" w:type="dxa"/>
            <w:vMerge w:val="continue"/>
            <w:vAlign w:val="center"/>
          </w:tcPr>
          <w:p w14:paraId="1A137342">
            <w:pPr>
              <w:jc w:val="center"/>
              <w:rPr>
                <w:rFonts w:ascii="宋体" w:hAnsi="宋体" w:cs="宋体"/>
                <w:color w:val="auto"/>
                <w:sz w:val="24"/>
                <w:highlight w:val="none"/>
              </w:rPr>
            </w:pPr>
          </w:p>
        </w:tc>
        <w:tc>
          <w:tcPr>
            <w:tcW w:w="1680" w:type="dxa"/>
            <w:gridSpan w:val="3"/>
            <w:vAlign w:val="center"/>
          </w:tcPr>
          <w:p w14:paraId="0C994A84">
            <w:pPr>
              <w:jc w:val="center"/>
              <w:rPr>
                <w:rFonts w:ascii="宋体" w:hAnsi="宋体" w:cs="宋体"/>
                <w:color w:val="auto"/>
                <w:sz w:val="24"/>
                <w:highlight w:val="none"/>
              </w:rPr>
            </w:pPr>
            <w:r>
              <w:rPr>
                <w:rFonts w:hint="eastAsia" w:ascii="宋体" w:hAnsi="宋体" w:cs="宋体"/>
                <w:color w:val="auto"/>
                <w:sz w:val="24"/>
                <w:highlight w:val="none"/>
              </w:rPr>
              <w:t>初级职称人员</w:t>
            </w:r>
          </w:p>
        </w:tc>
        <w:tc>
          <w:tcPr>
            <w:tcW w:w="2384" w:type="dxa"/>
            <w:gridSpan w:val="2"/>
            <w:vAlign w:val="center"/>
          </w:tcPr>
          <w:p w14:paraId="03C96E2E">
            <w:pPr>
              <w:jc w:val="center"/>
              <w:rPr>
                <w:rFonts w:ascii="宋体" w:hAnsi="宋体" w:cs="宋体"/>
                <w:color w:val="auto"/>
                <w:sz w:val="24"/>
                <w:highlight w:val="none"/>
              </w:rPr>
            </w:pPr>
          </w:p>
        </w:tc>
      </w:tr>
      <w:tr w14:paraId="327A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73456C6">
            <w:pPr>
              <w:jc w:val="center"/>
              <w:rPr>
                <w:rFonts w:ascii="宋体" w:hAnsi="宋体" w:cs="宋体"/>
                <w:color w:val="auto"/>
                <w:sz w:val="24"/>
                <w:highlight w:val="none"/>
              </w:rPr>
            </w:pPr>
            <w:r>
              <w:rPr>
                <w:rFonts w:hint="eastAsia" w:ascii="宋体" w:hAnsi="宋体" w:cs="宋体"/>
                <w:color w:val="auto"/>
                <w:sz w:val="24"/>
                <w:highlight w:val="none"/>
              </w:rPr>
              <w:t>账号</w:t>
            </w:r>
          </w:p>
        </w:tc>
        <w:tc>
          <w:tcPr>
            <w:tcW w:w="2093" w:type="dxa"/>
            <w:gridSpan w:val="2"/>
            <w:vAlign w:val="center"/>
          </w:tcPr>
          <w:p w14:paraId="1CC5393D">
            <w:pPr>
              <w:jc w:val="center"/>
              <w:rPr>
                <w:rFonts w:ascii="宋体" w:hAnsi="宋体" w:cs="宋体"/>
                <w:color w:val="auto"/>
                <w:sz w:val="24"/>
                <w:highlight w:val="none"/>
              </w:rPr>
            </w:pPr>
          </w:p>
        </w:tc>
        <w:tc>
          <w:tcPr>
            <w:tcW w:w="1184" w:type="dxa"/>
            <w:vMerge w:val="continue"/>
            <w:vAlign w:val="center"/>
          </w:tcPr>
          <w:p w14:paraId="68383E51">
            <w:pPr>
              <w:jc w:val="center"/>
              <w:rPr>
                <w:rFonts w:ascii="宋体" w:hAnsi="宋体" w:cs="宋体"/>
                <w:color w:val="auto"/>
                <w:sz w:val="24"/>
                <w:highlight w:val="none"/>
              </w:rPr>
            </w:pPr>
          </w:p>
        </w:tc>
        <w:tc>
          <w:tcPr>
            <w:tcW w:w="1680" w:type="dxa"/>
            <w:gridSpan w:val="3"/>
            <w:vAlign w:val="center"/>
          </w:tcPr>
          <w:p w14:paraId="430B6C4B">
            <w:pPr>
              <w:jc w:val="center"/>
              <w:rPr>
                <w:rFonts w:ascii="宋体" w:hAnsi="宋体" w:cs="宋体"/>
                <w:color w:val="auto"/>
                <w:sz w:val="24"/>
                <w:highlight w:val="none"/>
              </w:rPr>
            </w:pPr>
            <w:r>
              <w:rPr>
                <w:rFonts w:hint="eastAsia" w:ascii="宋体" w:hAnsi="宋体" w:cs="宋体"/>
                <w:color w:val="auto"/>
                <w:sz w:val="24"/>
                <w:highlight w:val="none"/>
              </w:rPr>
              <w:t>技  工</w:t>
            </w:r>
          </w:p>
        </w:tc>
        <w:tc>
          <w:tcPr>
            <w:tcW w:w="2384" w:type="dxa"/>
            <w:gridSpan w:val="2"/>
            <w:vAlign w:val="center"/>
          </w:tcPr>
          <w:p w14:paraId="1895327D">
            <w:pPr>
              <w:jc w:val="center"/>
              <w:rPr>
                <w:rFonts w:ascii="宋体" w:hAnsi="宋体" w:cs="宋体"/>
                <w:color w:val="auto"/>
                <w:sz w:val="24"/>
                <w:highlight w:val="none"/>
              </w:rPr>
            </w:pPr>
          </w:p>
        </w:tc>
      </w:tr>
      <w:tr w14:paraId="264D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14:paraId="677055D2">
            <w:pPr>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341" w:type="dxa"/>
            <w:gridSpan w:val="8"/>
            <w:vAlign w:val="center"/>
          </w:tcPr>
          <w:p w14:paraId="1AE2127E">
            <w:pPr>
              <w:jc w:val="center"/>
              <w:rPr>
                <w:rFonts w:ascii="宋体" w:hAnsi="宋体" w:cs="宋体"/>
                <w:color w:val="auto"/>
                <w:sz w:val="24"/>
                <w:highlight w:val="none"/>
              </w:rPr>
            </w:pPr>
          </w:p>
        </w:tc>
      </w:tr>
      <w:tr w14:paraId="099E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4A5EB9E">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7341" w:type="dxa"/>
            <w:gridSpan w:val="8"/>
            <w:vAlign w:val="center"/>
          </w:tcPr>
          <w:p w14:paraId="72A8E27C">
            <w:pPr>
              <w:jc w:val="center"/>
              <w:rPr>
                <w:rFonts w:ascii="宋体" w:hAnsi="宋体" w:cs="宋体"/>
                <w:color w:val="auto"/>
                <w:sz w:val="24"/>
                <w:highlight w:val="none"/>
              </w:rPr>
            </w:pPr>
          </w:p>
        </w:tc>
      </w:tr>
    </w:tbl>
    <w:p w14:paraId="098E34B7">
      <w:pPr>
        <w:spacing w:line="360" w:lineRule="auto"/>
        <w:contextualSpacing/>
        <w:rPr>
          <w:rFonts w:ascii="宋体" w:hAnsi="宋体" w:cs="宋体"/>
          <w:color w:val="auto"/>
          <w:highlight w:val="none"/>
        </w:rPr>
      </w:pPr>
    </w:p>
    <w:p w14:paraId="730B0044">
      <w:pPr>
        <w:pStyle w:val="20"/>
        <w:snapToGrid/>
        <w:rPr>
          <w:rFonts w:ascii="宋体" w:hAnsi="宋体" w:cs="宋体"/>
          <w:color w:val="auto"/>
          <w:kern w:val="2"/>
          <w:highlight w:val="none"/>
        </w:rPr>
      </w:pPr>
    </w:p>
    <w:p w14:paraId="3501E71F">
      <w:pPr>
        <w:autoSpaceDE w:val="0"/>
        <w:autoSpaceDN w:val="0"/>
        <w:spacing w:line="360" w:lineRule="auto"/>
        <w:ind w:left="4365" w:leftChars="1850" w:hanging="480" w:hangingChars="200"/>
        <w:rPr>
          <w:rFonts w:ascii="宋体" w:hAnsi="宋体" w:cs="宋体"/>
          <w:color w:val="auto"/>
          <w:sz w:val="24"/>
          <w:highlight w:val="none"/>
          <w:lang w:val="zh-CN"/>
        </w:rPr>
      </w:pPr>
      <w:r>
        <w:rPr>
          <w:rFonts w:hint="eastAsia" w:ascii="宋体" w:hAnsi="宋体" w:cs="宋体"/>
          <w:color w:val="auto"/>
          <w:sz w:val="24"/>
          <w:highlight w:val="none"/>
          <w:lang w:val="zh-CN"/>
        </w:rPr>
        <w:t>供应商名称（电子签章）：</w:t>
      </w:r>
    </w:p>
    <w:p w14:paraId="7A280A9C">
      <w:pPr>
        <w:spacing w:line="50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7FC52B48">
      <w:pPr>
        <w:spacing w:line="500" w:lineRule="exact"/>
        <w:jc w:val="center"/>
        <w:rPr>
          <w:rFonts w:ascii="宋体" w:hAnsi="宋体" w:cs="宋体"/>
          <w:color w:val="auto"/>
          <w:sz w:val="24"/>
          <w:highlight w:val="none"/>
        </w:rPr>
      </w:pPr>
      <w:r>
        <w:rPr>
          <w:rFonts w:ascii="宋体" w:hAnsi="宋体" w:cs="宋体"/>
          <w:color w:val="auto"/>
          <w:sz w:val="24"/>
          <w:highlight w:val="none"/>
        </w:rPr>
        <w:br w:type="page"/>
      </w:r>
    </w:p>
    <w:p w14:paraId="259158B7">
      <w:pPr>
        <w:spacing w:line="500" w:lineRule="exact"/>
        <w:jc w:val="center"/>
        <w:rPr>
          <w:rFonts w:ascii="宋体" w:hAnsi="宋体" w:cs="宋体"/>
          <w:b/>
          <w:color w:val="auto"/>
          <w:sz w:val="30"/>
          <w:szCs w:val="30"/>
          <w:highlight w:val="none"/>
        </w:rPr>
      </w:pPr>
      <w:bookmarkStart w:id="85" w:name="_Toc13089"/>
      <w:r>
        <w:rPr>
          <w:rFonts w:hint="eastAsia" w:ascii="宋体" w:hAnsi="宋体" w:cs="宋体"/>
          <w:b/>
          <w:color w:val="auto"/>
          <w:sz w:val="30"/>
          <w:szCs w:val="30"/>
          <w:highlight w:val="none"/>
        </w:rPr>
        <w:t>六、施工组织设计</w:t>
      </w:r>
      <w:bookmarkEnd w:id="85"/>
    </w:p>
    <w:p w14:paraId="0B6927A0">
      <w:pPr>
        <w:rPr>
          <w:rFonts w:ascii="宋体" w:hAnsi="宋体" w:cs="宋体"/>
          <w:color w:val="auto"/>
          <w:highlight w:val="none"/>
        </w:rPr>
      </w:pPr>
    </w:p>
    <w:p w14:paraId="23EE307A">
      <w:pPr>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施工组织设计</w:t>
      </w:r>
    </w:p>
    <w:p w14:paraId="2799001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F20D0E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14:paraId="14B3C80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附表一  拟投入本工程的主要施工设备表</w:t>
      </w:r>
    </w:p>
    <w:p w14:paraId="1C87B19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附表二  拟配备本工程的试验和检测仪器设备表</w:t>
      </w:r>
    </w:p>
    <w:p w14:paraId="6E9E3C9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附表三  劳动力计划表</w:t>
      </w:r>
    </w:p>
    <w:p w14:paraId="6310304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附表四  计划开、竣工日期和施工进度网络图</w:t>
      </w:r>
    </w:p>
    <w:p w14:paraId="2EA8EDA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附表五  施工总平面图</w:t>
      </w:r>
    </w:p>
    <w:p w14:paraId="32C9B49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附表六  临时用地表</w:t>
      </w:r>
    </w:p>
    <w:p w14:paraId="7BAF02E0">
      <w:pPr>
        <w:spacing w:line="460" w:lineRule="exact"/>
        <w:ind w:firstLine="480" w:firstLineChars="200"/>
        <w:rPr>
          <w:rFonts w:ascii="宋体" w:hAnsi="宋体" w:cs="宋体"/>
          <w:color w:val="auto"/>
          <w:sz w:val="24"/>
          <w:highlight w:val="none"/>
        </w:rPr>
      </w:pPr>
    </w:p>
    <w:p w14:paraId="33464F48">
      <w:pPr>
        <w:ind w:firstLine="482" w:firstLineChars="200"/>
        <w:rPr>
          <w:rFonts w:ascii="宋体" w:hAnsi="宋体" w:cs="宋体"/>
          <w:b/>
          <w:bCs/>
          <w:color w:val="auto"/>
          <w:szCs w:val="21"/>
          <w:highlight w:val="none"/>
        </w:rPr>
      </w:pPr>
      <w:r>
        <w:rPr>
          <w:rFonts w:hint="eastAsia" w:ascii="宋体" w:hAnsi="宋体" w:cs="宋体"/>
          <w:b/>
          <w:bCs/>
          <w:color w:val="auto"/>
          <w:sz w:val="24"/>
          <w:highlight w:val="none"/>
        </w:rPr>
        <w:t>附表一：拟投入本工程的主要施工设备表</w:t>
      </w:r>
    </w:p>
    <w:tbl>
      <w:tblPr>
        <w:tblStyle w:val="29"/>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86"/>
        <w:gridCol w:w="893"/>
        <w:gridCol w:w="743"/>
        <w:gridCol w:w="744"/>
        <w:gridCol w:w="893"/>
        <w:gridCol w:w="1190"/>
        <w:gridCol w:w="1041"/>
        <w:gridCol w:w="1190"/>
        <w:gridCol w:w="1041"/>
      </w:tblGrid>
      <w:tr w14:paraId="4DF4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95" w:type="dxa"/>
            <w:vAlign w:val="center"/>
          </w:tcPr>
          <w:p w14:paraId="6F6EDEBE">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86" w:type="dxa"/>
            <w:vAlign w:val="center"/>
          </w:tcPr>
          <w:p w14:paraId="1B2A9688">
            <w:pPr>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93" w:type="dxa"/>
            <w:vAlign w:val="center"/>
          </w:tcPr>
          <w:p w14:paraId="1254659B">
            <w:pPr>
              <w:jc w:val="center"/>
              <w:rPr>
                <w:rFonts w:ascii="宋体" w:hAnsi="宋体" w:cs="宋体"/>
                <w:color w:val="auto"/>
                <w:sz w:val="24"/>
                <w:highlight w:val="none"/>
              </w:rPr>
            </w:pPr>
            <w:r>
              <w:rPr>
                <w:rFonts w:hint="eastAsia" w:ascii="宋体" w:hAnsi="宋体" w:cs="宋体"/>
                <w:color w:val="auto"/>
                <w:sz w:val="24"/>
                <w:highlight w:val="none"/>
              </w:rPr>
              <w:t>型号</w:t>
            </w:r>
          </w:p>
          <w:p w14:paraId="7FDD4F8C">
            <w:pPr>
              <w:jc w:val="center"/>
              <w:rPr>
                <w:rFonts w:ascii="宋体" w:hAnsi="宋体" w:cs="宋体"/>
                <w:color w:val="auto"/>
                <w:sz w:val="24"/>
                <w:highlight w:val="none"/>
              </w:rPr>
            </w:pPr>
            <w:r>
              <w:rPr>
                <w:rFonts w:hint="eastAsia" w:ascii="宋体" w:hAnsi="宋体" w:cs="宋体"/>
                <w:color w:val="auto"/>
                <w:sz w:val="24"/>
                <w:highlight w:val="none"/>
              </w:rPr>
              <w:t>规格</w:t>
            </w:r>
          </w:p>
        </w:tc>
        <w:tc>
          <w:tcPr>
            <w:tcW w:w="743" w:type="dxa"/>
            <w:vAlign w:val="center"/>
          </w:tcPr>
          <w:p w14:paraId="42BB115A">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744" w:type="dxa"/>
            <w:vAlign w:val="center"/>
          </w:tcPr>
          <w:p w14:paraId="3E1DA468">
            <w:pPr>
              <w:jc w:val="center"/>
              <w:rPr>
                <w:rFonts w:ascii="宋体" w:hAnsi="宋体" w:cs="宋体"/>
                <w:color w:val="auto"/>
                <w:sz w:val="24"/>
                <w:highlight w:val="none"/>
              </w:rPr>
            </w:pPr>
            <w:r>
              <w:rPr>
                <w:rFonts w:hint="eastAsia" w:ascii="宋体" w:hAnsi="宋体" w:cs="宋体"/>
                <w:color w:val="auto"/>
                <w:sz w:val="24"/>
                <w:highlight w:val="none"/>
              </w:rPr>
              <w:t>国别</w:t>
            </w:r>
          </w:p>
          <w:p w14:paraId="5110A4D3">
            <w:pPr>
              <w:jc w:val="center"/>
              <w:rPr>
                <w:rFonts w:ascii="宋体" w:hAnsi="宋体" w:cs="宋体"/>
                <w:color w:val="auto"/>
                <w:sz w:val="24"/>
                <w:highlight w:val="none"/>
              </w:rPr>
            </w:pPr>
            <w:r>
              <w:rPr>
                <w:rFonts w:hint="eastAsia" w:ascii="宋体" w:hAnsi="宋体" w:cs="宋体"/>
                <w:color w:val="auto"/>
                <w:sz w:val="24"/>
                <w:highlight w:val="none"/>
              </w:rPr>
              <w:t>产地</w:t>
            </w:r>
          </w:p>
        </w:tc>
        <w:tc>
          <w:tcPr>
            <w:tcW w:w="893" w:type="dxa"/>
            <w:vAlign w:val="center"/>
          </w:tcPr>
          <w:p w14:paraId="2D5B4FD5">
            <w:pPr>
              <w:jc w:val="center"/>
              <w:rPr>
                <w:rFonts w:ascii="宋体" w:hAnsi="宋体" w:cs="宋体"/>
                <w:color w:val="auto"/>
                <w:sz w:val="24"/>
                <w:highlight w:val="none"/>
              </w:rPr>
            </w:pPr>
            <w:r>
              <w:rPr>
                <w:rFonts w:hint="eastAsia" w:ascii="宋体" w:hAnsi="宋体" w:cs="宋体"/>
                <w:color w:val="auto"/>
                <w:sz w:val="24"/>
                <w:highlight w:val="none"/>
              </w:rPr>
              <w:t>制造</w:t>
            </w:r>
          </w:p>
          <w:p w14:paraId="3328D753">
            <w:pPr>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90" w:type="dxa"/>
            <w:vAlign w:val="center"/>
          </w:tcPr>
          <w:p w14:paraId="1D303255">
            <w:pPr>
              <w:jc w:val="center"/>
              <w:rPr>
                <w:rFonts w:ascii="宋体" w:hAnsi="宋体" w:cs="宋体"/>
                <w:color w:val="auto"/>
                <w:sz w:val="24"/>
                <w:highlight w:val="none"/>
              </w:rPr>
            </w:pPr>
            <w:r>
              <w:rPr>
                <w:rFonts w:hint="eastAsia" w:ascii="宋体" w:hAnsi="宋体" w:cs="宋体"/>
                <w:color w:val="auto"/>
                <w:sz w:val="24"/>
                <w:highlight w:val="none"/>
              </w:rPr>
              <w:t>额定功率</w:t>
            </w:r>
          </w:p>
          <w:p w14:paraId="646B7B61">
            <w:pPr>
              <w:jc w:val="center"/>
              <w:rPr>
                <w:rFonts w:ascii="宋体" w:hAnsi="宋体" w:cs="宋体"/>
                <w:color w:val="auto"/>
                <w:sz w:val="24"/>
                <w:highlight w:val="none"/>
              </w:rPr>
            </w:pPr>
            <w:r>
              <w:rPr>
                <w:rFonts w:hint="eastAsia" w:ascii="宋体" w:hAnsi="宋体" w:cs="宋体"/>
                <w:color w:val="auto"/>
                <w:sz w:val="24"/>
                <w:highlight w:val="none"/>
              </w:rPr>
              <w:t>（KW）</w:t>
            </w:r>
          </w:p>
        </w:tc>
        <w:tc>
          <w:tcPr>
            <w:tcW w:w="1041" w:type="dxa"/>
            <w:vAlign w:val="center"/>
          </w:tcPr>
          <w:p w14:paraId="13D8A7AC">
            <w:pPr>
              <w:jc w:val="center"/>
              <w:rPr>
                <w:rFonts w:ascii="宋体" w:hAnsi="宋体" w:cs="宋体"/>
                <w:color w:val="auto"/>
                <w:sz w:val="24"/>
                <w:highlight w:val="none"/>
              </w:rPr>
            </w:pPr>
            <w:r>
              <w:rPr>
                <w:rFonts w:hint="eastAsia" w:ascii="宋体" w:hAnsi="宋体" w:cs="宋体"/>
                <w:color w:val="auto"/>
                <w:sz w:val="24"/>
                <w:highlight w:val="none"/>
              </w:rPr>
              <w:t>生产</w:t>
            </w:r>
          </w:p>
          <w:p w14:paraId="1A8DEE12">
            <w:pPr>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90" w:type="dxa"/>
            <w:vAlign w:val="center"/>
          </w:tcPr>
          <w:p w14:paraId="7826AE56">
            <w:pPr>
              <w:jc w:val="center"/>
              <w:rPr>
                <w:rFonts w:ascii="宋体" w:hAnsi="宋体" w:cs="宋体"/>
                <w:color w:val="auto"/>
                <w:sz w:val="24"/>
                <w:highlight w:val="none"/>
              </w:rPr>
            </w:pPr>
            <w:r>
              <w:rPr>
                <w:rFonts w:hint="eastAsia" w:ascii="宋体" w:hAnsi="宋体" w:cs="宋体"/>
                <w:color w:val="auto"/>
                <w:sz w:val="24"/>
                <w:highlight w:val="none"/>
              </w:rPr>
              <w:t>用于施</w:t>
            </w:r>
          </w:p>
          <w:p w14:paraId="7B91D9C4">
            <w:pPr>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41" w:type="dxa"/>
            <w:vAlign w:val="center"/>
          </w:tcPr>
          <w:p w14:paraId="1633C7EA">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2FB4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71D13694">
            <w:pPr>
              <w:spacing w:line="360" w:lineRule="auto"/>
              <w:rPr>
                <w:rFonts w:ascii="宋体" w:hAnsi="宋体" w:cs="宋体"/>
                <w:color w:val="auto"/>
                <w:sz w:val="24"/>
                <w:highlight w:val="none"/>
              </w:rPr>
            </w:pPr>
          </w:p>
        </w:tc>
        <w:tc>
          <w:tcPr>
            <w:tcW w:w="1286" w:type="dxa"/>
          </w:tcPr>
          <w:p w14:paraId="163F31AF">
            <w:pPr>
              <w:spacing w:line="360" w:lineRule="auto"/>
              <w:ind w:firstLine="480" w:firstLineChars="200"/>
              <w:rPr>
                <w:rFonts w:ascii="宋体" w:hAnsi="宋体" w:cs="宋体"/>
                <w:color w:val="auto"/>
                <w:sz w:val="24"/>
                <w:highlight w:val="none"/>
              </w:rPr>
            </w:pPr>
          </w:p>
        </w:tc>
        <w:tc>
          <w:tcPr>
            <w:tcW w:w="893" w:type="dxa"/>
          </w:tcPr>
          <w:p w14:paraId="0DDB8E6E">
            <w:pPr>
              <w:spacing w:line="360" w:lineRule="auto"/>
              <w:rPr>
                <w:rFonts w:ascii="宋体" w:hAnsi="宋体" w:cs="宋体"/>
                <w:color w:val="auto"/>
                <w:sz w:val="24"/>
                <w:highlight w:val="none"/>
              </w:rPr>
            </w:pPr>
          </w:p>
        </w:tc>
        <w:tc>
          <w:tcPr>
            <w:tcW w:w="743" w:type="dxa"/>
          </w:tcPr>
          <w:p w14:paraId="7E885671">
            <w:pPr>
              <w:spacing w:line="360" w:lineRule="auto"/>
              <w:rPr>
                <w:rFonts w:ascii="宋体" w:hAnsi="宋体" w:cs="宋体"/>
                <w:color w:val="auto"/>
                <w:sz w:val="24"/>
                <w:highlight w:val="none"/>
              </w:rPr>
            </w:pPr>
          </w:p>
        </w:tc>
        <w:tc>
          <w:tcPr>
            <w:tcW w:w="744" w:type="dxa"/>
          </w:tcPr>
          <w:p w14:paraId="51ACDB91">
            <w:pPr>
              <w:spacing w:line="360" w:lineRule="auto"/>
              <w:rPr>
                <w:rFonts w:ascii="宋体" w:hAnsi="宋体" w:cs="宋体"/>
                <w:color w:val="auto"/>
                <w:sz w:val="24"/>
                <w:highlight w:val="none"/>
              </w:rPr>
            </w:pPr>
          </w:p>
        </w:tc>
        <w:tc>
          <w:tcPr>
            <w:tcW w:w="893" w:type="dxa"/>
          </w:tcPr>
          <w:p w14:paraId="7F7A33D4">
            <w:pPr>
              <w:spacing w:line="360" w:lineRule="auto"/>
              <w:rPr>
                <w:rFonts w:ascii="宋体" w:hAnsi="宋体" w:cs="宋体"/>
                <w:color w:val="auto"/>
                <w:sz w:val="24"/>
                <w:highlight w:val="none"/>
              </w:rPr>
            </w:pPr>
          </w:p>
        </w:tc>
        <w:tc>
          <w:tcPr>
            <w:tcW w:w="1190" w:type="dxa"/>
          </w:tcPr>
          <w:p w14:paraId="0256A821">
            <w:pPr>
              <w:spacing w:line="360" w:lineRule="auto"/>
              <w:rPr>
                <w:rFonts w:ascii="宋体" w:hAnsi="宋体" w:cs="宋体"/>
                <w:color w:val="auto"/>
                <w:sz w:val="24"/>
                <w:highlight w:val="none"/>
              </w:rPr>
            </w:pPr>
          </w:p>
        </w:tc>
        <w:tc>
          <w:tcPr>
            <w:tcW w:w="1041" w:type="dxa"/>
          </w:tcPr>
          <w:p w14:paraId="533939FA">
            <w:pPr>
              <w:spacing w:line="360" w:lineRule="auto"/>
              <w:rPr>
                <w:rFonts w:ascii="宋体" w:hAnsi="宋体" w:cs="宋体"/>
                <w:color w:val="auto"/>
                <w:sz w:val="24"/>
                <w:highlight w:val="none"/>
              </w:rPr>
            </w:pPr>
          </w:p>
        </w:tc>
        <w:tc>
          <w:tcPr>
            <w:tcW w:w="1190" w:type="dxa"/>
          </w:tcPr>
          <w:p w14:paraId="5C4402BF">
            <w:pPr>
              <w:spacing w:line="360" w:lineRule="auto"/>
              <w:rPr>
                <w:rFonts w:ascii="宋体" w:hAnsi="宋体" w:cs="宋体"/>
                <w:color w:val="auto"/>
                <w:sz w:val="24"/>
                <w:highlight w:val="none"/>
              </w:rPr>
            </w:pPr>
          </w:p>
        </w:tc>
        <w:tc>
          <w:tcPr>
            <w:tcW w:w="1041" w:type="dxa"/>
          </w:tcPr>
          <w:p w14:paraId="29BD48FC">
            <w:pPr>
              <w:spacing w:line="360" w:lineRule="auto"/>
              <w:rPr>
                <w:rFonts w:ascii="宋体" w:hAnsi="宋体" w:cs="宋体"/>
                <w:color w:val="auto"/>
                <w:sz w:val="24"/>
                <w:highlight w:val="none"/>
              </w:rPr>
            </w:pPr>
          </w:p>
        </w:tc>
      </w:tr>
      <w:tr w14:paraId="64CA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19C0765A">
            <w:pPr>
              <w:spacing w:line="360" w:lineRule="auto"/>
              <w:rPr>
                <w:rFonts w:ascii="宋体" w:hAnsi="宋体" w:cs="宋体"/>
                <w:color w:val="auto"/>
                <w:sz w:val="24"/>
                <w:highlight w:val="none"/>
              </w:rPr>
            </w:pPr>
          </w:p>
        </w:tc>
        <w:tc>
          <w:tcPr>
            <w:tcW w:w="1286" w:type="dxa"/>
          </w:tcPr>
          <w:p w14:paraId="09C9CD0E">
            <w:pPr>
              <w:spacing w:line="360" w:lineRule="auto"/>
              <w:rPr>
                <w:rFonts w:ascii="宋体" w:hAnsi="宋体" w:cs="宋体"/>
                <w:color w:val="auto"/>
                <w:sz w:val="24"/>
                <w:highlight w:val="none"/>
              </w:rPr>
            </w:pPr>
          </w:p>
        </w:tc>
        <w:tc>
          <w:tcPr>
            <w:tcW w:w="893" w:type="dxa"/>
          </w:tcPr>
          <w:p w14:paraId="2AEBEA11">
            <w:pPr>
              <w:spacing w:line="360" w:lineRule="auto"/>
              <w:rPr>
                <w:rFonts w:ascii="宋体" w:hAnsi="宋体" w:cs="宋体"/>
                <w:color w:val="auto"/>
                <w:sz w:val="24"/>
                <w:highlight w:val="none"/>
              </w:rPr>
            </w:pPr>
          </w:p>
        </w:tc>
        <w:tc>
          <w:tcPr>
            <w:tcW w:w="743" w:type="dxa"/>
          </w:tcPr>
          <w:p w14:paraId="6898A278">
            <w:pPr>
              <w:spacing w:line="360" w:lineRule="auto"/>
              <w:rPr>
                <w:rFonts w:ascii="宋体" w:hAnsi="宋体" w:cs="宋体"/>
                <w:color w:val="auto"/>
                <w:sz w:val="24"/>
                <w:highlight w:val="none"/>
              </w:rPr>
            </w:pPr>
          </w:p>
        </w:tc>
        <w:tc>
          <w:tcPr>
            <w:tcW w:w="744" w:type="dxa"/>
          </w:tcPr>
          <w:p w14:paraId="1BFCCB11">
            <w:pPr>
              <w:spacing w:line="360" w:lineRule="auto"/>
              <w:rPr>
                <w:rFonts w:ascii="宋体" w:hAnsi="宋体" w:cs="宋体"/>
                <w:color w:val="auto"/>
                <w:sz w:val="24"/>
                <w:highlight w:val="none"/>
              </w:rPr>
            </w:pPr>
          </w:p>
        </w:tc>
        <w:tc>
          <w:tcPr>
            <w:tcW w:w="893" w:type="dxa"/>
          </w:tcPr>
          <w:p w14:paraId="3F65E9B7">
            <w:pPr>
              <w:spacing w:line="360" w:lineRule="auto"/>
              <w:rPr>
                <w:rFonts w:ascii="宋体" w:hAnsi="宋体" w:cs="宋体"/>
                <w:color w:val="auto"/>
                <w:sz w:val="24"/>
                <w:highlight w:val="none"/>
              </w:rPr>
            </w:pPr>
          </w:p>
        </w:tc>
        <w:tc>
          <w:tcPr>
            <w:tcW w:w="1190" w:type="dxa"/>
          </w:tcPr>
          <w:p w14:paraId="28852A8D">
            <w:pPr>
              <w:spacing w:line="360" w:lineRule="auto"/>
              <w:rPr>
                <w:rFonts w:ascii="宋体" w:hAnsi="宋体" w:cs="宋体"/>
                <w:color w:val="auto"/>
                <w:sz w:val="24"/>
                <w:highlight w:val="none"/>
              </w:rPr>
            </w:pPr>
          </w:p>
        </w:tc>
        <w:tc>
          <w:tcPr>
            <w:tcW w:w="1041" w:type="dxa"/>
          </w:tcPr>
          <w:p w14:paraId="210971BC">
            <w:pPr>
              <w:spacing w:line="360" w:lineRule="auto"/>
              <w:rPr>
                <w:rFonts w:ascii="宋体" w:hAnsi="宋体" w:cs="宋体"/>
                <w:color w:val="auto"/>
                <w:sz w:val="24"/>
                <w:highlight w:val="none"/>
              </w:rPr>
            </w:pPr>
          </w:p>
        </w:tc>
        <w:tc>
          <w:tcPr>
            <w:tcW w:w="1190" w:type="dxa"/>
          </w:tcPr>
          <w:p w14:paraId="5C349D16">
            <w:pPr>
              <w:spacing w:line="360" w:lineRule="auto"/>
              <w:rPr>
                <w:rFonts w:ascii="宋体" w:hAnsi="宋体" w:cs="宋体"/>
                <w:color w:val="auto"/>
                <w:sz w:val="24"/>
                <w:highlight w:val="none"/>
              </w:rPr>
            </w:pPr>
          </w:p>
        </w:tc>
        <w:tc>
          <w:tcPr>
            <w:tcW w:w="1041" w:type="dxa"/>
          </w:tcPr>
          <w:p w14:paraId="48FC4A7B">
            <w:pPr>
              <w:spacing w:line="360" w:lineRule="auto"/>
              <w:rPr>
                <w:rFonts w:ascii="宋体" w:hAnsi="宋体" w:cs="宋体"/>
                <w:color w:val="auto"/>
                <w:sz w:val="24"/>
                <w:highlight w:val="none"/>
              </w:rPr>
            </w:pPr>
          </w:p>
        </w:tc>
      </w:tr>
      <w:tr w14:paraId="23F0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7803BF23">
            <w:pPr>
              <w:spacing w:line="360" w:lineRule="auto"/>
              <w:rPr>
                <w:rFonts w:ascii="宋体" w:hAnsi="宋体" w:cs="宋体"/>
                <w:color w:val="auto"/>
                <w:sz w:val="24"/>
                <w:highlight w:val="none"/>
              </w:rPr>
            </w:pPr>
          </w:p>
        </w:tc>
        <w:tc>
          <w:tcPr>
            <w:tcW w:w="1286" w:type="dxa"/>
          </w:tcPr>
          <w:p w14:paraId="27E58786">
            <w:pPr>
              <w:spacing w:line="360" w:lineRule="auto"/>
              <w:rPr>
                <w:rFonts w:ascii="宋体" w:hAnsi="宋体" w:cs="宋体"/>
                <w:color w:val="auto"/>
                <w:sz w:val="24"/>
                <w:highlight w:val="none"/>
              </w:rPr>
            </w:pPr>
          </w:p>
        </w:tc>
        <w:tc>
          <w:tcPr>
            <w:tcW w:w="893" w:type="dxa"/>
          </w:tcPr>
          <w:p w14:paraId="1501331D">
            <w:pPr>
              <w:spacing w:line="360" w:lineRule="auto"/>
              <w:rPr>
                <w:rFonts w:ascii="宋体" w:hAnsi="宋体" w:cs="宋体"/>
                <w:color w:val="auto"/>
                <w:sz w:val="24"/>
                <w:highlight w:val="none"/>
              </w:rPr>
            </w:pPr>
          </w:p>
        </w:tc>
        <w:tc>
          <w:tcPr>
            <w:tcW w:w="743" w:type="dxa"/>
          </w:tcPr>
          <w:p w14:paraId="30052178">
            <w:pPr>
              <w:spacing w:line="360" w:lineRule="auto"/>
              <w:rPr>
                <w:rFonts w:ascii="宋体" w:hAnsi="宋体" w:cs="宋体"/>
                <w:color w:val="auto"/>
                <w:sz w:val="24"/>
                <w:highlight w:val="none"/>
              </w:rPr>
            </w:pPr>
          </w:p>
        </w:tc>
        <w:tc>
          <w:tcPr>
            <w:tcW w:w="744" w:type="dxa"/>
          </w:tcPr>
          <w:p w14:paraId="545B713F">
            <w:pPr>
              <w:spacing w:line="360" w:lineRule="auto"/>
              <w:rPr>
                <w:rFonts w:ascii="宋体" w:hAnsi="宋体" w:cs="宋体"/>
                <w:color w:val="auto"/>
                <w:sz w:val="24"/>
                <w:highlight w:val="none"/>
              </w:rPr>
            </w:pPr>
          </w:p>
        </w:tc>
        <w:tc>
          <w:tcPr>
            <w:tcW w:w="893" w:type="dxa"/>
          </w:tcPr>
          <w:p w14:paraId="2C5DA4ED">
            <w:pPr>
              <w:spacing w:line="360" w:lineRule="auto"/>
              <w:rPr>
                <w:rFonts w:ascii="宋体" w:hAnsi="宋体" w:cs="宋体"/>
                <w:color w:val="auto"/>
                <w:sz w:val="24"/>
                <w:highlight w:val="none"/>
              </w:rPr>
            </w:pPr>
          </w:p>
        </w:tc>
        <w:tc>
          <w:tcPr>
            <w:tcW w:w="1190" w:type="dxa"/>
          </w:tcPr>
          <w:p w14:paraId="51FA9479">
            <w:pPr>
              <w:spacing w:line="360" w:lineRule="auto"/>
              <w:rPr>
                <w:rFonts w:ascii="宋体" w:hAnsi="宋体" w:cs="宋体"/>
                <w:color w:val="auto"/>
                <w:sz w:val="24"/>
                <w:highlight w:val="none"/>
              </w:rPr>
            </w:pPr>
          </w:p>
        </w:tc>
        <w:tc>
          <w:tcPr>
            <w:tcW w:w="1041" w:type="dxa"/>
          </w:tcPr>
          <w:p w14:paraId="715F15DB">
            <w:pPr>
              <w:spacing w:line="360" w:lineRule="auto"/>
              <w:rPr>
                <w:rFonts w:ascii="宋体" w:hAnsi="宋体" w:cs="宋体"/>
                <w:color w:val="auto"/>
                <w:sz w:val="24"/>
                <w:highlight w:val="none"/>
              </w:rPr>
            </w:pPr>
          </w:p>
        </w:tc>
        <w:tc>
          <w:tcPr>
            <w:tcW w:w="1190" w:type="dxa"/>
          </w:tcPr>
          <w:p w14:paraId="517AD55D">
            <w:pPr>
              <w:spacing w:line="360" w:lineRule="auto"/>
              <w:rPr>
                <w:rFonts w:ascii="宋体" w:hAnsi="宋体" w:cs="宋体"/>
                <w:color w:val="auto"/>
                <w:sz w:val="24"/>
                <w:highlight w:val="none"/>
              </w:rPr>
            </w:pPr>
          </w:p>
        </w:tc>
        <w:tc>
          <w:tcPr>
            <w:tcW w:w="1041" w:type="dxa"/>
          </w:tcPr>
          <w:p w14:paraId="538B6C64">
            <w:pPr>
              <w:spacing w:line="360" w:lineRule="auto"/>
              <w:rPr>
                <w:rFonts w:ascii="宋体" w:hAnsi="宋体" w:cs="宋体"/>
                <w:color w:val="auto"/>
                <w:sz w:val="24"/>
                <w:highlight w:val="none"/>
              </w:rPr>
            </w:pPr>
          </w:p>
        </w:tc>
      </w:tr>
      <w:tr w14:paraId="5231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5B62E585">
            <w:pPr>
              <w:spacing w:line="360" w:lineRule="auto"/>
              <w:rPr>
                <w:rFonts w:ascii="宋体" w:hAnsi="宋体" w:cs="宋体"/>
                <w:color w:val="auto"/>
                <w:sz w:val="24"/>
                <w:highlight w:val="none"/>
              </w:rPr>
            </w:pPr>
          </w:p>
        </w:tc>
        <w:tc>
          <w:tcPr>
            <w:tcW w:w="1286" w:type="dxa"/>
          </w:tcPr>
          <w:p w14:paraId="05CC9F57">
            <w:pPr>
              <w:spacing w:line="360" w:lineRule="auto"/>
              <w:rPr>
                <w:rFonts w:ascii="宋体" w:hAnsi="宋体" w:cs="宋体"/>
                <w:color w:val="auto"/>
                <w:sz w:val="24"/>
                <w:highlight w:val="none"/>
              </w:rPr>
            </w:pPr>
          </w:p>
        </w:tc>
        <w:tc>
          <w:tcPr>
            <w:tcW w:w="893" w:type="dxa"/>
          </w:tcPr>
          <w:p w14:paraId="27C8E94C">
            <w:pPr>
              <w:spacing w:line="360" w:lineRule="auto"/>
              <w:rPr>
                <w:rFonts w:ascii="宋体" w:hAnsi="宋体" w:cs="宋体"/>
                <w:color w:val="auto"/>
                <w:sz w:val="24"/>
                <w:highlight w:val="none"/>
              </w:rPr>
            </w:pPr>
          </w:p>
        </w:tc>
        <w:tc>
          <w:tcPr>
            <w:tcW w:w="743" w:type="dxa"/>
          </w:tcPr>
          <w:p w14:paraId="4F7265F4">
            <w:pPr>
              <w:spacing w:line="360" w:lineRule="auto"/>
              <w:rPr>
                <w:rFonts w:ascii="宋体" w:hAnsi="宋体" w:cs="宋体"/>
                <w:color w:val="auto"/>
                <w:sz w:val="24"/>
                <w:highlight w:val="none"/>
              </w:rPr>
            </w:pPr>
          </w:p>
        </w:tc>
        <w:tc>
          <w:tcPr>
            <w:tcW w:w="744" w:type="dxa"/>
          </w:tcPr>
          <w:p w14:paraId="544223B3">
            <w:pPr>
              <w:spacing w:line="360" w:lineRule="auto"/>
              <w:rPr>
                <w:rFonts w:ascii="宋体" w:hAnsi="宋体" w:cs="宋体"/>
                <w:color w:val="auto"/>
                <w:sz w:val="24"/>
                <w:highlight w:val="none"/>
              </w:rPr>
            </w:pPr>
          </w:p>
        </w:tc>
        <w:tc>
          <w:tcPr>
            <w:tcW w:w="893" w:type="dxa"/>
          </w:tcPr>
          <w:p w14:paraId="660959BE">
            <w:pPr>
              <w:spacing w:line="360" w:lineRule="auto"/>
              <w:rPr>
                <w:rFonts w:ascii="宋体" w:hAnsi="宋体" w:cs="宋体"/>
                <w:color w:val="auto"/>
                <w:sz w:val="24"/>
                <w:highlight w:val="none"/>
              </w:rPr>
            </w:pPr>
          </w:p>
        </w:tc>
        <w:tc>
          <w:tcPr>
            <w:tcW w:w="1190" w:type="dxa"/>
          </w:tcPr>
          <w:p w14:paraId="6463DF23">
            <w:pPr>
              <w:spacing w:line="360" w:lineRule="auto"/>
              <w:rPr>
                <w:rFonts w:ascii="宋体" w:hAnsi="宋体" w:cs="宋体"/>
                <w:color w:val="auto"/>
                <w:sz w:val="24"/>
                <w:highlight w:val="none"/>
              </w:rPr>
            </w:pPr>
          </w:p>
        </w:tc>
        <w:tc>
          <w:tcPr>
            <w:tcW w:w="1041" w:type="dxa"/>
          </w:tcPr>
          <w:p w14:paraId="7C582EB3">
            <w:pPr>
              <w:spacing w:line="360" w:lineRule="auto"/>
              <w:rPr>
                <w:rFonts w:ascii="宋体" w:hAnsi="宋体" w:cs="宋体"/>
                <w:color w:val="auto"/>
                <w:sz w:val="24"/>
                <w:highlight w:val="none"/>
              </w:rPr>
            </w:pPr>
          </w:p>
        </w:tc>
        <w:tc>
          <w:tcPr>
            <w:tcW w:w="1190" w:type="dxa"/>
          </w:tcPr>
          <w:p w14:paraId="6AF78DD0">
            <w:pPr>
              <w:spacing w:line="360" w:lineRule="auto"/>
              <w:rPr>
                <w:rFonts w:ascii="宋体" w:hAnsi="宋体" w:cs="宋体"/>
                <w:color w:val="auto"/>
                <w:sz w:val="24"/>
                <w:highlight w:val="none"/>
              </w:rPr>
            </w:pPr>
          </w:p>
        </w:tc>
        <w:tc>
          <w:tcPr>
            <w:tcW w:w="1041" w:type="dxa"/>
          </w:tcPr>
          <w:p w14:paraId="6738EFBC">
            <w:pPr>
              <w:spacing w:line="360" w:lineRule="auto"/>
              <w:rPr>
                <w:rFonts w:ascii="宋体" w:hAnsi="宋体" w:cs="宋体"/>
                <w:color w:val="auto"/>
                <w:sz w:val="24"/>
                <w:highlight w:val="none"/>
              </w:rPr>
            </w:pPr>
          </w:p>
        </w:tc>
      </w:tr>
      <w:tr w14:paraId="0AE3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4AB04130">
            <w:pPr>
              <w:spacing w:line="360" w:lineRule="auto"/>
              <w:rPr>
                <w:rFonts w:ascii="宋体" w:hAnsi="宋体" w:cs="宋体"/>
                <w:color w:val="auto"/>
                <w:sz w:val="24"/>
                <w:highlight w:val="none"/>
              </w:rPr>
            </w:pPr>
          </w:p>
        </w:tc>
        <w:tc>
          <w:tcPr>
            <w:tcW w:w="1286" w:type="dxa"/>
          </w:tcPr>
          <w:p w14:paraId="3D767801">
            <w:pPr>
              <w:spacing w:line="360" w:lineRule="auto"/>
              <w:rPr>
                <w:rFonts w:ascii="宋体" w:hAnsi="宋体" w:cs="宋体"/>
                <w:color w:val="auto"/>
                <w:sz w:val="24"/>
                <w:highlight w:val="none"/>
              </w:rPr>
            </w:pPr>
          </w:p>
        </w:tc>
        <w:tc>
          <w:tcPr>
            <w:tcW w:w="893" w:type="dxa"/>
          </w:tcPr>
          <w:p w14:paraId="4B5312F5">
            <w:pPr>
              <w:spacing w:line="360" w:lineRule="auto"/>
              <w:rPr>
                <w:rFonts w:ascii="宋体" w:hAnsi="宋体" w:cs="宋体"/>
                <w:color w:val="auto"/>
                <w:sz w:val="24"/>
                <w:highlight w:val="none"/>
              </w:rPr>
            </w:pPr>
          </w:p>
        </w:tc>
        <w:tc>
          <w:tcPr>
            <w:tcW w:w="743" w:type="dxa"/>
          </w:tcPr>
          <w:p w14:paraId="1447964C">
            <w:pPr>
              <w:spacing w:line="360" w:lineRule="auto"/>
              <w:rPr>
                <w:rFonts w:ascii="宋体" w:hAnsi="宋体" w:cs="宋体"/>
                <w:color w:val="auto"/>
                <w:sz w:val="24"/>
                <w:highlight w:val="none"/>
              </w:rPr>
            </w:pPr>
          </w:p>
        </w:tc>
        <w:tc>
          <w:tcPr>
            <w:tcW w:w="744" w:type="dxa"/>
          </w:tcPr>
          <w:p w14:paraId="5AA00F1F">
            <w:pPr>
              <w:spacing w:line="360" w:lineRule="auto"/>
              <w:rPr>
                <w:rFonts w:ascii="宋体" w:hAnsi="宋体" w:cs="宋体"/>
                <w:color w:val="auto"/>
                <w:sz w:val="24"/>
                <w:highlight w:val="none"/>
              </w:rPr>
            </w:pPr>
          </w:p>
        </w:tc>
        <w:tc>
          <w:tcPr>
            <w:tcW w:w="893" w:type="dxa"/>
          </w:tcPr>
          <w:p w14:paraId="7B7FBF06">
            <w:pPr>
              <w:spacing w:line="360" w:lineRule="auto"/>
              <w:rPr>
                <w:rFonts w:ascii="宋体" w:hAnsi="宋体" w:cs="宋体"/>
                <w:color w:val="auto"/>
                <w:sz w:val="24"/>
                <w:highlight w:val="none"/>
              </w:rPr>
            </w:pPr>
          </w:p>
        </w:tc>
        <w:tc>
          <w:tcPr>
            <w:tcW w:w="1190" w:type="dxa"/>
          </w:tcPr>
          <w:p w14:paraId="4AD365F3">
            <w:pPr>
              <w:spacing w:line="360" w:lineRule="auto"/>
              <w:rPr>
                <w:rFonts w:ascii="宋体" w:hAnsi="宋体" w:cs="宋体"/>
                <w:color w:val="auto"/>
                <w:sz w:val="24"/>
                <w:highlight w:val="none"/>
              </w:rPr>
            </w:pPr>
          </w:p>
        </w:tc>
        <w:tc>
          <w:tcPr>
            <w:tcW w:w="1041" w:type="dxa"/>
          </w:tcPr>
          <w:p w14:paraId="477F25AA">
            <w:pPr>
              <w:spacing w:line="360" w:lineRule="auto"/>
              <w:rPr>
                <w:rFonts w:ascii="宋体" w:hAnsi="宋体" w:cs="宋体"/>
                <w:color w:val="auto"/>
                <w:sz w:val="24"/>
                <w:highlight w:val="none"/>
              </w:rPr>
            </w:pPr>
          </w:p>
        </w:tc>
        <w:tc>
          <w:tcPr>
            <w:tcW w:w="1190" w:type="dxa"/>
          </w:tcPr>
          <w:p w14:paraId="2D119A02">
            <w:pPr>
              <w:spacing w:line="360" w:lineRule="auto"/>
              <w:rPr>
                <w:rFonts w:ascii="宋体" w:hAnsi="宋体" w:cs="宋体"/>
                <w:color w:val="auto"/>
                <w:sz w:val="24"/>
                <w:highlight w:val="none"/>
              </w:rPr>
            </w:pPr>
          </w:p>
        </w:tc>
        <w:tc>
          <w:tcPr>
            <w:tcW w:w="1041" w:type="dxa"/>
          </w:tcPr>
          <w:p w14:paraId="042D2A35">
            <w:pPr>
              <w:spacing w:line="360" w:lineRule="auto"/>
              <w:rPr>
                <w:rFonts w:ascii="宋体" w:hAnsi="宋体" w:cs="宋体"/>
                <w:color w:val="auto"/>
                <w:sz w:val="24"/>
                <w:highlight w:val="none"/>
              </w:rPr>
            </w:pPr>
          </w:p>
        </w:tc>
      </w:tr>
    </w:tbl>
    <w:p w14:paraId="01A1D139">
      <w:pPr>
        <w:rPr>
          <w:rFonts w:ascii="宋体" w:hAnsi="宋体" w:cs="宋体"/>
          <w:color w:val="auto"/>
          <w:szCs w:val="21"/>
          <w:highlight w:val="none"/>
        </w:rPr>
      </w:pPr>
    </w:p>
    <w:p w14:paraId="4C3D0D2A">
      <w:pPr>
        <w:ind w:firstLine="420" w:firstLineChars="200"/>
        <w:rPr>
          <w:rFonts w:ascii="宋体" w:hAnsi="宋体" w:cs="宋体"/>
          <w:color w:val="auto"/>
          <w:szCs w:val="21"/>
          <w:highlight w:val="none"/>
        </w:rPr>
      </w:pPr>
    </w:p>
    <w:p w14:paraId="2EBEC346">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附表二：拟配备本工程的试验和检测仪器设备表</w:t>
      </w:r>
    </w:p>
    <w:tbl>
      <w:tblPr>
        <w:tblStyle w:val="2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55"/>
        <w:gridCol w:w="750"/>
        <w:gridCol w:w="705"/>
        <w:gridCol w:w="855"/>
        <w:gridCol w:w="1185"/>
        <w:gridCol w:w="1530"/>
        <w:gridCol w:w="1094"/>
        <w:gridCol w:w="1095"/>
      </w:tblGrid>
      <w:tr w14:paraId="02C6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7D5E122">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755" w:type="dxa"/>
            <w:vAlign w:val="center"/>
          </w:tcPr>
          <w:p w14:paraId="1813F05C">
            <w:pPr>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750" w:type="dxa"/>
            <w:vAlign w:val="center"/>
          </w:tcPr>
          <w:p w14:paraId="65842C47">
            <w:pPr>
              <w:jc w:val="center"/>
              <w:rPr>
                <w:rFonts w:ascii="宋体" w:hAnsi="宋体" w:cs="宋体"/>
                <w:color w:val="auto"/>
                <w:sz w:val="24"/>
                <w:highlight w:val="none"/>
              </w:rPr>
            </w:pPr>
            <w:r>
              <w:rPr>
                <w:rFonts w:hint="eastAsia" w:ascii="宋体" w:hAnsi="宋体" w:cs="宋体"/>
                <w:color w:val="auto"/>
                <w:sz w:val="24"/>
                <w:highlight w:val="none"/>
              </w:rPr>
              <w:t>型号</w:t>
            </w:r>
          </w:p>
          <w:p w14:paraId="503B7F48">
            <w:pPr>
              <w:jc w:val="center"/>
              <w:rPr>
                <w:rFonts w:ascii="宋体" w:hAnsi="宋体" w:cs="宋体"/>
                <w:color w:val="auto"/>
                <w:sz w:val="24"/>
                <w:highlight w:val="none"/>
              </w:rPr>
            </w:pPr>
            <w:r>
              <w:rPr>
                <w:rFonts w:hint="eastAsia" w:ascii="宋体" w:hAnsi="宋体" w:cs="宋体"/>
                <w:color w:val="auto"/>
                <w:sz w:val="24"/>
                <w:highlight w:val="none"/>
              </w:rPr>
              <w:t>规格</w:t>
            </w:r>
          </w:p>
        </w:tc>
        <w:tc>
          <w:tcPr>
            <w:tcW w:w="705" w:type="dxa"/>
            <w:vAlign w:val="center"/>
          </w:tcPr>
          <w:p w14:paraId="5D9FB557">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5" w:type="dxa"/>
            <w:vAlign w:val="center"/>
          </w:tcPr>
          <w:p w14:paraId="54470C0F">
            <w:pPr>
              <w:jc w:val="center"/>
              <w:rPr>
                <w:rFonts w:ascii="宋体" w:hAnsi="宋体" w:cs="宋体"/>
                <w:color w:val="auto"/>
                <w:sz w:val="24"/>
                <w:highlight w:val="none"/>
              </w:rPr>
            </w:pPr>
            <w:r>
              <w:rPr>
                <w:rFonts w:hint="eastAsia" w:ascii="宋体" w:hAnsi="宋体" w:cs="宋体"/>
                <w:color w:val="auto"/>
                <w:sz w:val="24"/>
                <w:highlight w:val="none"/>
              </w:rPr>
              <w:t>国别</w:t>
            </w:r>
          </w:p>
          <w:p w14:paraId="1B1A898C">
            <w:pPr>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85" w:type="dxa"/>
            <w:vAlign w:val="center"/>
          </w:tcPr>
          <w:p w14:paraId="014B858C">
            <w:pPr>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530" w:type="dxa"/>
            <w:vAlign w:val="center"/>
          </w:tcPr>
          <w:p w14:paraId="1CF53EC2">
            <w:pPr>
              <w:jc w:val="center"/>
              <w:rPr>
                <w:rFonts w:ascii="宋体" w:hAnsi="宋体" w:cs="宋体"/>
                <w:color w:val="auto"/>
                <w:sz w:val="24"/>
                <w:highlight w:val="none"/>
              </w:rPr>
            </w:pPr>
            <w:r>
              <w:rPr>
                <w:rFonts w:hint="eastAsia" w:ascii="宋体" w:hAnsi="宋体" w:cs="宋体"/>
                <w:color w:val="auto"/>
                <w:sz w:val="24"/>
                <w:highlight w:val="none"/>
              </w:rPr>
              <w:t>已使用</w:t>
            </w:r>
          </w:p>
          <w:p w14:paraId="4B179AAA">
            <w:pPr>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094" w:type="dxa"/>
            <w:vAlign w:val="center"/>
          </w:tcPr>
          <w:p w14:paraId="4E4B6C27">
            <w:pPr>
              <w:jc w:val="center"/>
              <w:rPr>
                <w:rFonts w:ascii="宋体" w:hAnsi="宋体" w:cs="宋体"/>
                <w:color w:val="auto"/>
                <w:sz w:val="24"/>
                <w:highlight w:val="none"/>
              </w:rPr>
            </w:pPr>
            <w:r>
              <w:rPr>
                <w:rFonts w:hint="eastAsia" w:ascii="宋体" w:hAnsi="宋体" w:cs="宋体"/>
                <w:color w:val="auto"/>
                <w:sz w:val="24"/>
                <w:highlight w:val="none"/>
              </w:rPr>
              <w:t>用途</w:t>
            </w:r>
          </w:p>
        </w:tc>
        <w:tc>
          <w:tcPr>
            <w:tcW w:w="1095" w:type="dxa"/>
            <w:vAlign w:val="center"/>
          </w:tcPr>
          <w:p w14:paraId="2135365A">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6846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1A4C82E">
            <w:pPr>
              <w:spacing w:line="360" w:lineRule="auto"/>
              <w:ind w:firstLine="480" w:firstLineChars="200"/>
              <w:rPr>
                <w:rFonts w:ascii="宋体" w:hAnsi="宋体" w:cs="宋体"/>
                <w:color w:val="auto"/>
                <w:sz w:val="24"/>
                <w:highlight w:val="none"/>
              </w:rPr>
            </w:pPr>
          </w:p>
        </w:tc>
        <w:tc>
          <w:tcPr>
            <w:tcW w:w="1755" w:type="dxa"/>
            <w:vAlign w:val="center"/>
          </w:tcPr>
          <w:p w14:paraId="79408D06">
            <w:pPr>
              <w:spacing w:line="360" w:lineRule="auto"/>
              <w:ind w:firstLine="480" w:firstLineChars="200"/>
              <w:rPr>
                <w:rFonts w:ascii="宋体" w:hAnsi="宋体" w:cs="宋体"/>
                <w:color w:val="auto"/>
                <w:sz w:val="24"/>
                <w:highlight w:val="none"/>
              </w:rPr>
            </w:pPr>
          </w:p>
        </w:tc>
        <w:tc>
          <w:tcPr>
            <w:tcW w:w="750" w:type="dxa"/>
            <w:vAlign w:val="center"/>
          </w:tcPr>
          <w:p w14:paraId="3E2424DD">
            <w:pPr>
              <w:spacing w:line="360" w:lineRule="auto"/>
              <w:ind w:firstLine="480" w:firstLineChars="200"/>
              <w:rPr>
                <w:rFonts w:ascii="宋体" w:hAnsi="宋体" w:cs="宋体"/>
                <w:color w:val="auto"/>
                <w:sz w:val="24"/>
                <w:highlight w:val="none"/>
              </w:rPr>
            </w:pPr>
          </w:p>
        </w:tc>
        <w:tc>
          <w:tcPr>
            <w:tcW w:w="705" w:type="dxa"/>
            <w:vAlign w:val="center"/>
          </w:tcPr>
          <w:p w14:paraId="6D84B2D8">
            <w:pPr>
              <w:spacing w:line="360" w:lineRule="auto"/>
              <w:ind w:firstLine="480" w:firstLineChars="200"/>
              <w:rPr>
                <w:rFonts w:ascii="宋体" w:hAnsi="宋体" w:cs="宋体"/>
                <w:color w:val="auto"/>
                <w:sz w:val="24"/>
                <w:highlight w:val="none"/>
              </w:rPr>
            </w:pPr>
          </w:p>
        </w:tc>
        <w:tc>
          <w:tcPr>
            <w:tcW w:w="855" w:type="dxa"/>
            <w:vAlign w:val="center"/>
          </w:tcPr>
          <w:p w14:paraId="6888A2BF">
            <w:pPr>
              <w:spacing w:line="360" w:lineRule="auto"/>
              <w:ind w:firstLine="480" w:firstLineChars="200"/>
              <w:rPr>
                <w:rFonts w:ascii="宋体" w:hAnsi="宋体" w:cs="宋体"/>
                <w:color w:val="auto"/>
                <w:sz w:val="24"/>
                <w:highlight w:val="none"/>
              </w:rPr>
            </w:pPr>
          </w:p>
        </w:tc>
        <w:tc>
          <w:tcPr>
            <w:tcW w:w="1185" w:type="dxa"/>
            <w:vAlign w:val="center"/>
          </w:tcPr>
          <w:p w14:paraId="2E05418C">
            <w:pPr>
              <w:spacing w:line="360" w:lineRule="auto"/>
              <w:ind w:firstLine="480" w:firstLineChars="200"/>
              <w:rPr>
                <w:rFonts w:ascii="宋体" w:hAnsi="宋体" w:cs="宋体"/>
                <w:color w:val="auto"/>
                <w:sz w:val="24"/>
                <w:highlight w:val="none"/>
              </w:rPr>
            </w:pPr>
          </w:p>
        </w:tc>
        <w:tc>
          <w:tcPr>
            <w:tcW w:w="1530" w:type="dxa"/>
            <w:vAlign w:val="center"/>
          </w:tcPr>
          <w:p w14:paraId="0C641396">
            <w:pPr>
              <w:spacing w:line="360" w:lineRule="auto"/>
              <w:ind w:firstLine="480" w:firstLineChars="200"/>
              <w:rPr>
                <w:rFonts w:ascii="宋体" w:hAnsi="宋体" w:cs="宋体"/>
                <w:color w:val="auto"/>
                <w:sz w:val="24"/>
                <w:highlight w:val="none"/>
              </w:rPr>
            </w:pPr>
          </w:p>
        </w:tc>
        <w:tc>
          <w:tcPr>
            <w:tcW w:w="1094" w:type="dxa"/>
            <w:vAlign w:val="center"/>
          </w:tcPr>
          <w:p w14:paraId="65667964">
            <w:pPr>
              <w:spacing w:line="360" w:lineRule="auto"/>
              <w:ind w:firstLine="480" w:firstLineChars="200"/>
              <w:rPr>
                <w:rFonts w:ascii="宋体" w:hAnsi="宋体" w:cs="宋体"/>
                <w:color w:val="auto"/>
                <w:sz w:val="24"/>
                <w:highlight w:val="none"/>
              </w:rPr>
            </w:pPr>
          </w:p>
        </w:tc>
        <w:tc>
          <w:tcPr>
            <w:tcW w:w="1095" w:type="dxa"/>
            <w:vAlign w:val="center"/>
          </w:tcPr>
          <w:p w14:paraId="3D82BC00">
            <w:pPr>
              <w:spacing w:line="360" w:lineRule="auto"/>
              <w:ind w:firstLine="480" w:firstLineChars="200"/>
              <w:rPr>
                <w:rFonts w:ascii="宋体" w:hAnsi="宋体" w:cs="宋体"/>
                <w:color w:val="auto"/>
                <w:sz w:val="24"/>
                <w:highlight w:val="none"/>
              </w:rPr>
            </w:pPr>
          </w:p>
        </w:tc>
      </w:tr>
      <w:tr w14:paraId="4765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A3EE5B3">
            <w:pPr>
              <w:spacing w:line="360" w:lineRule="auto"/>
              <w:ind w:firstLine="480" w:firstLineChars="200"/>
              <w:rPr>
                <w:rFonts w:ascii="宋体" w:hAnsi="宋体" w:cs="宋体"/>
                <w:color w:val="auto"/>
                <w:sz w:val="24"/>
                <w:highlight w:val="none"/>
              </w:rPr>
            </w:pPr>
          </w:p>
        </w:tc>
        <w:tc>
          <w:tcPr>
            <w:tcW w:w="1755" w:type="dxa"/>
            <w:vAlign w:val="center"/>
          </w:tcPr>
          <w:p w14:paraId="7E407CF5">
            <w:pPr>
              <w:spacing w:line="360" w:lineRule="auto"/>
              <w:ind w:firstLine="480" w:firstLineChars="200"/>
              <w:rPr>
                <w:rFonts w:ascii="宋体" w:hAnsi="宋体" w:cs="宋体"/>
                <w:color w:val="auto"/>
                <w:sz w:val="24"/>
                <w:highlight w:val="none"/>
              </w:rPr>
            </w:pPr>
          </w:p>
        </w:tc>
        <w:tc>
          <w:tcPr>
            <w:tcW w:w="750" w:type="dxa"/>
            <w:vAlign w:val="center"/>
          </w:tcPr>
          <w:p w14:paraId="2EFCFC4D">
            <w:pPr>
              <w:spacing w:line="360" w:lineRule="auto"/>
              <w:ind w:firstLine="480" w:firstLineChars="200"/>
              <w:rPr>
                <w:rFonts w:ascii="宋体" w:hAnsi="宋体" w:cs="宋体"/>
                <w:color w:val="auto"/>
                <w:sz w:val="24"/>
                <w:highlight w:val="none"/>
              </w:rPr>
            </w:pPr>
          </w:p>
        </w:tc>
        <w:tc>
          <w:tcPr>
            <w:tcW w:w="705" w:type="dxa"/>
            <w:vAlign w:val="center"/>
          </w:tcPr>
          <w:p w14:paraId="08C06AFA">
            <w:pPr>
              <w:spacing w:line="360" w:lineRule="auto"/>
              <w:ind w:firstLine="480" w:firstLineChars="200"/>
              <w:rPr>
                <w:rFonts w:ascii="宋体" w:hAnsi="宋体" w:cs="宋体"/>
                <w:color w:val="auto"/>
                <w:sz w:val="24"/>
                <w:highlight w:val="none"/>
              </w:rPr>
            </w:pPr>
          </w:p>
        </w:tc>
        <w:tc>
          <w:tcPr>
            <w:tcW w:w="855" w:type="dxa"/>
            <w:vAlign w:val="center"/>
          </w:tcPr>
          <w:p w14:paraId="17B6859C">
            <w:pPr>
              <w:spacing w:line="360" w:lineRule="auto"/>
              <w:ind w:firstLine="480" w:firstLineChars="200"/>
              <w:rPr>
                <w:rFonts w:ascii="宋体" w:hAnsi="宋体" w:cs="宋体"/>
                <w:color w:val="auto"/>
                <w:sz w:val="24"/>
                <w:highlight w:val="none"/>
              </w:rPr>
            </w:pPr>
          </w:p>
        </w:tc>
        <w:tc>
          <w:tcPr>
            <w:tcW w:w="1185" w:type="dxa"/>
            <w:vAlign w:val="center"/>
          </w:tcPr>
          <w:p w14:paraId="0B726467">
            <w:pPr>
              <w:spacing w:line="360" w:lineRule="auto"/>
              <w:ind w:firstLine="480" w:firstLineChars="200"/>
              <w:rPr>
                <w:rFonts w:ascii="宋体" w:hAnsi="宋体" w:cs="宋体"/>
                <w:color w:val="auto"/>
                <w:sz w:val="24"/>
                <w:highlight w:val="none"/>
              </w:rPr>
            </w:pPr>
          </w:p>
        </w:tc>
        <w:tc>
          <w:tcPr>
            <w:tcW w:w="1530" w:type="dxa"/>
            <w:vAlign w:val="center"/>
          </w:tcPr>
          <w:p w14:paraId="2F2FAF5C">
            <w:pPr>
              <w:spacing w:line="360" w:lineRule="auto"/>
              <w:ind w:firstLine="480" w:firstLineChars="200"/>
              <w:rPr>
                <w:rFonts w:ascii="宋体" w:hAnsi="宋体" w:cs="宋体"/>
                <w:color w:val="auto"/>
                <w:sz w:val="24"/>
                <w:highlight w:val="none"/>
              </w:rPr>
            </w:pPr>
          </w:p>
        </w:tc>
        <w:tc>
          <w:tcPr>
            <w:tcW w:w="1094" w:type="dxa"/>
            <w:vAlign w:val="center"/>
          </w:tcPr>
          <w:p w14:paraId="3C5E07DF">
            <w:pPr>
              <w:spacing w:line="360" w:lineRule="auto"/>
              <w:ind w:firstLine="480" w:firstLineChars="200"/>
              <w:rPr>
                <w:rFonts w:ascii="宋体" w:hAnsi="宋体" w:cs="宋体"/>
                <w:color w:val="auto"/>
                <w:sz w:val="24"/>
                <w:highlight w:val="none"/>
              </w:rPr>
            </w:pPr>
          </w:p>
        </w:tc>
        <w:tc>
          <w:tcPr>
            <w:tcW w:w="1095" w:type="dxa"/>
            <w:vAlign w:val="center"/>
          </w:tcPr>
          <w:p w14:paraId="4015B1A6">
            <w:pPr>
              <w:spacing w:line="360" w:lineRule="auto"/>
              <w:ind w:firstLine="480" w:firstLineChars="200"/>
              <w:rPr>
                <w:rFonts w:ascii="宋体" w:hAnsi="宋体" w:cs="宋体"/>
                <w:color w:val="auto"/>
                <w:sz w:val="24"/>
                <w:highlight w:val="none"/>
              </w:rPr>
            </w:pPr>
          </w:p>
        </w:tc>
      </w:tr>
      <w:tr w14:paraId="6367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813D1E5">
            <w:pPr>
              <w:spacing w:line="360" w:lineRule="auto"/>
              <w:ind w:firstLine="480" w:firstLineChars="200"/>
              <w:rPr>
                <w:rFonts w:ascii="宋体" w:hAnsi="宋体" w:cs="宋体"/>
                <w:color w:val="auto"/>
                <w:sz w:val="24"/>
                <w:highlight w:val="none"/>
              </w:rPr>
            </w:pPr>
          </w:p>
        </w:tc>
        <w:tc>
          <w:tcPr>
            <w:tcW w:w="1755" w:type="dxa"/>
            <w:vAlign w:val="center"/>
          </w:tcPr>
          <w:p w14:paraId="7BFE95D8">
            <w:pPr>
              <w:spacing w:line="360" w:lineRule="auto"/>
              <w:ind w:firstLine="480" w:firstLineChars="200"/>
              <w:rPr>
                <w:rFonts w:ascii="宋体" w:hAnsi="宋体" w:cs="宋体"/>
                <w:color w:val="auto"/>
                <w:sz w:val="24"/>
                <w:highlight w:val="none"/>
              </w:rPr>
            </w:pPr>
          </w:p>
        </w:tc>
        <w:tc>
          <w:tcPr>
            <w:tcW w:w="750" w:type="dxa"/>
            <w:vAlign w:val="center"/>
          </w:tcPr>
          <w:p w14:paraId="6D3B12D0">
            <w:pPr>
              <w:spacing w:line="360" w:lineRule="auto"/>
              <w:ind w:firstLine="480" w:firstLineChars="200"/>
              <w:rPr>
                <w:rFonts w:ascii="宋体" w:hAnsi="宋体" w:cs="宋体"/>
                <w:color w:val="auto"/>
                <w:sz w:val="24"/>
                <w:highlight w:val="none"/>
              </w:rPr>
            </w:pPr>
          </w:p>
        </w:tc>
        <w:tc>
          <w:tcPr>
            <w:tcW w:w="705" w:type="dxa"/>
            <w:vAlign w:val="center"/>
          </w:tcPr>
          <w:p w14:paraId="017E3A21">
            <w:pPr>
              <w:spacing w:line="360" w:lineRule="auto"/>
              <w:ind w:firstLine="480" w:firstLineChars="200"/>
              <w:rPr>
                <w:rFonts w:ascii="宋体" w:hAnsi="宋体" w:cs="宋体"/>
                <w:color w:val="auto"/>
                <w:sz w:val="24"/>
                <w:highlight w:val="none"/>
              </w:rPr>
            </w:pPr>
          </w:p>
        </w:tc>
        <w:tc>
          <w:tcPr>
            <w:tcW w:w="855" w:type="dxa"/>
            <w:vAlign w:val="center"/>
          </w:tcPr>
          <w:p w14:paraId="4C1BABA9">
            <w:pPr>
              <w:spacing w:line="360" w:lineRule="auto"/>
              <w:ind w:firstLine="480" w:firstLineChars="200"/>
              <w:rPr>
                <w:rFonts w:ascii="宋体" w:hAnsi="宋体" w:cs="宋体"/>
                <w:color w:val="auto"/>
                <w:sz w:val="24"/>
                <w:highlight w:val="none"/>
              </w:rPr>
            </w:pPr>
          </w:p>
        </w:tc>
        <w:tc>
          <w:tcPr>
            <w:tcW w:w="1185" w:type="dxa"/>
            <w:vAlign w:val="center"/>
          </w:tcPr>
          <w:p w14:paraId="0557B129">
            <w:pPr>
              <w:spacing w:line="360" w:lineRule="auto"/>
              <w:ind w:firstLine="480" w:firstLineChars="200"/>
              <w:rPr>
                <w:rFonts w:ascii="宋体" w:hAnsi="宋体" w:cs="宋体"/>
                <w:color w:val="auto"/>
                <w:sz w:val="24"/>
                <w:highlight w:val="none"/>
              </w:rPr>
            </w:pPr>
          </w:p>
        </w:tc>
        <w:tc>
          <w:tcPr>
            <w:tcW w:w="1530" w:type="dxa"/>
            <w:vAlign w:val="center"/>
          </w:tcPr>
          <w:p w14:paraId="3556AD58">
            <w:pPr>
              <w:spacing w:line="360" w:lineRule="auto"/>
              <w:ind w:firstLine="480" w:firstLineChars="200"/>
              <w:rPr>
                <w:rFonts w:ascii="宋体" w:hAnsi="宋体" w:cs="宋体"/>
                <w:color w:val="auto"/>
                <w:sz w:val="24"/>
                <w:highlight w:val="none"/>
              </w:rPr>
            </w:pPr>
          </w:p>
        </w:tc>
        <w:tc>
          <w:tcPr>
            <w:tcW w:w="1094" w:type="dxa"/>
            <w:vAlign w:val="center"/>
          </w:tcPr>
          <w:p w14:paraId="010F3218">
            <w:pPr>
              <w:spacing w:line="360" w:lineRule="auto"/>
              <w:ind w:firstLine="480" w:firstLineChars="200"/>
              <w:rPr>
                <w:rFonts w:ascii="宋体" w:hAnsi="宋体" w:cs="宋体"/>
                <w:color w:val="auto"/>
                <w:sz w:val="24"/>
                <w:highlight w:val="none"/>
              </w:rPr>
            </w:pPr>
          </w:p>
        </w:tc>
        <w:tc>
          <w:tcPr>
            <w:tcW w:w="1095" w:type="dxa"/>
            <w:vAlign w:val="center"/>
          </w:tcPr>
          <w:p w14:paraId="64196D13">
            <w:pPr>
              <w:spacing w:line="360" w:lineRule="auto"/>
              <w:ind w:firstLine="480" w:firstLineChars="200"/>
              <w:rPr>
                <w:rFonts w:ascii="宋体" w:hAnsi="宋体" w:cs="宋体"/>
                <w:color w:val="auto"/>
                <w:sz w:val="24"/>
                <w:highlight w:val="none"/>
              </w:rPr>
            </w:pPr>
          </w:p>
        </w:tc>
      </w:tr>
    </w:tbl>
    <w:p w14:paraId="38A37E24">
      <w:pPr>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附表三：劳动力计划表</w:t>
      </w:r>
    </w:p>
    <w:p w14:paraId="2295959E">
      <w:pPr>
        <w:ind w:firstLine="480" w:firstLineChars="200"/>
        <w:rPr>
          <w:rFonts w:ascii="宋体" w:hAnsi="宋体" w:cs="宋体"/>
          <w:color w:val="auto"/>
          <w:sz w:val="24"/>
          <w:highlight w:val="none"/>
        </w:rPr>
      </w:pPr>
    </w:p>
    <w:p w14:paraId="524484C5">
      <w:pPr>
        <w:ind w:firstLine="480" w:firstLineChars="200"/>
        <w:rPr>
          <w:rFonts w:ascii="宋体" w:hAnsi="宋体" w:cs="宋体"/>
          <w:color w:val="auto"/>
          <w:sz w:val="24"/>
          <w:highlight w:val="none"/>
        </w:rPr>
      </w:pPr>
      <w:r>
        <w:rPr>
          <w:rFonts w:hint="eastAsia" w:ascii="宋体" w:hAnsi="宋体" w:cs="宋体"/>
          <w:color w:val="auto"/>
          <w:sz w:val="24"/>
          <w:highlight w:val="none"/>
        </w:rPr>
        <w:t>单位：人</w:t>
      </w:r>
    </w:p>
    <w:tbl>
      <w:tblPr>
        <w:tblStyle w:val="29"/>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776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14:paraId="040F265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06" w:type="dxa"/>
            <w:gridSpan w:val="7"/>
          </w:tcPr>
          <w:p w14:paraId="6035939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4A4C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E31EE36">
            <w:pPr>
              <w:spacing w:line="400" w:lineRule="exact"/>
              <w:jc w:val="center"/>
              <w:rPr>
                <w:rFonts w:ascii="宋体" w:hAnsi="宋体" w:cs="宋体"/>
                <w:color w:val="auto"/>
                <w:sz w:val="24"/>
                <w:highlight w:val="none"/>
              </w:rPr>
            </w:pPr>
          </w:p>
        </w:tc>
        <w:tc>
          <w:tcPr>
            <w:tcW w:w="961" w:type="dxa"/>
            <w:vAlign w:val="center"/>
          </w:tcPr>
          <w:p w14:paraId="5F278972">
            <w:pPr>
              <w:spacing w:line="400" w:lineRule="exact"/>
              <w:jc w:val="center"/>
              <w:rPr>
                <w:rFonts w:ascii="宋体" w:hAnsi="宋体" w:cs="宋体"/>
                <w:color w:val="auto"/>
                <w:sz w:val="24"/>
                <w:highlight w:val="none"/>
              </w:rPr>
            </w:pPr>
          </w:p>
        </w:tc>
        <w:tc>
          <w:tcPr>
            <w:tcW w:w="1257" w:type="dxa"/>
            <w:vAlign w:val="center"/>
          </w:tcPr>
          <w:p w14:paraId="0BF16752">
            <w:pPr>
              <w:spacing w:line="400" w:lineRule="exact"/>
              <w:jc w:val="center"/>
              <w:rPr>
                <w:rFonts w:ascii="宋体" w:hAnsi="宋体" w:cs="宋体"/>
                <w:color w:val="auto"/>
                <w:sz w:val="24"/>
                <w:highlight w:val="none"/>
              </w:rPr>
            </w:pPr>
          </w:p>
        </w:tc>
        <w:tc>
          <w:tcPr>
            <w:tcW w:w="1258" w:type="dxa"/>
            <w:vAlign w:val="center"/>
          </w:tcPr>
          <w:p w14:paraId="11CABA77">
            <w:pPr>
              <w:spacing w:line="400" w:lineRule="exact"/>
              <w:jc w:val="center"/>
              <w:rPr>
                <w:rFonts w:ascii="宋体" w:hAnsi="宋体" w:cs="宋体"/>
                <w:color w:val="auto"/>
                <w:sz w:val="24"/>
                <w:highlight w:val="none"/>
              </w:rPr>
            </w:pPr>
          </w:p>
        </w:tc>
        <w:tc>
          <w:tcPr>
            <w:tcW w:w="1257" w:type="dxa"/>
            <w:vAlign w:val="center"/>
          </w:tcPr>
          <w:p w14:paraId="48403366">
            <w:pPr>
              <w:spacing w:line="400" w:lineRule="exact"/>
              <w:jc w:val="center"/>
              <w:rPr>
                <w:rFonts w:ascii="宋体" w:hAnsi="宋体" w:cs="宋体"/>
                <w:color w:val="auto"/>
                <w:sz w:val="24"/>
                <w:highlight w:val="none"/>
              </w:rPr>
            </w:pPr>
          </w:p>
        </w:tc>
        <w:tc>
          <w:tcPr>
            <w:tcW w:w="1258" w:type="dxa"/>
            <w:vAlign w:val="center"/>
          </w:tcPr>
          <w:p w14:paraId="6A4269EB">
            <w:pPr>
              <w:spacing w:line="400" w:lineRule="exact"/>
              <w:jc w:val="center"/>
              <w:rPr>
                <w:rFonts w:ascii="宋体" w:hAnsi="宋体" w:cs="宋体"/>
                <w:color w:val="auto"/>
                <w:sz w:val="24"/>
                <w:highlight w:val="none"/>
              </w:rPr>
            </w:pPr>
          </w:p>
        </w:tc>
        <w:tc>
          <w:tcPr>
            <w:tcW w:w="1257" w:type="dxa"/>
            <w:vAlign w:val="center"/>
          </w:tcPr>
          <w:p w14:paraId="216FF478">
            <w:pPr>
              <w:spacing w:line="400" w:lineRule="exact"/>
              <w:jc w:val="center"/>
              <w:rPr>
                <w:rFonts w:ascii="宋体" w:hAnsi="宋体" w:cs="宋体"/>
                <w:color w:val="auto"/>
                <w:sz w:val="24"/>
                <w:highlight w:val="none"/>
              </w:rPr>
            </w:pPr>
          </w:p>
        </w:tc>
        <w:tc>
          <w:tcPr>
            <w:tcW w:w="1258" w:type="dxa"/>
            <w:vAlign w:val="center"/>
          </w:tcPr>
          <w:p w14:paraId="77636CCB">
            <w:pPr>
              <w:spacing w:line="400" w:lineRule="exact"/>
              <w:jc w:val="center"/>
              <w:rPr>
                <w:rFonts w:ascii="宋体" w:hAnsi="宋体" w:cs="宋体"/>
                <w:color w:val="auto"/>
                <w:sz w:val="24"/>
                <w:highlight w:val="none"/>
              </w:rPr>
            </w:pPr>
          </w:p>
        </w:tc>
      </w:tr>
      <w:tr w14:paraId="44EC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BCA5997">
            <w:pPr>
              <w:spacing w:line="400" w:lineRule="exact"/>
              <w:jc w:val="center"/>
              <w:rPr>
                <w:rFonts w:ascii="宋体" w:hAnsi="宋体" w:cs="宋体"/>
                <w:color w:val="auto"/>
                <w:sz w:val="24"/>
                <w:highlight w:val="none"/>
              </w:rPr>
            </w:pPr>
          </w:p>
        </w:tc>
        <w:tc>
          <w:tcPr>
            <w:tcW w:w="961" w:type="dxa"/>
            <w:vAlign w:val="center"/>
          </w:tcPr>
          <w:p w14:paraId="1FD8C57C">
            <w:pPr>
              <w:spacing w:line="400" w:lineRule="exact"/>
              <w:jc w:val="center"/>
              <w:rPr>
                <w:rFonts w:ascii="宋体" w:hAnsi="宋体" w:cs="宋体"/>
                <w:color w:val="auto"/>
                <w:sz w:val="24"/>
                <w:highlight w:val="none"/>
              </w:rPr>
            </w:pPr>
          </w:p>
        </w:tc>
        <w:tc>
          <w:tcPr>
            <w:tcW w:w="1257" w:type="dxa"/>
            <w:vAlign w:val="center"/>
          </w:tcPr>
          <w:p w14:paraId="26374EA5">
            <w:pPr>
              <w:spacing w:line="400" w:lineRule="exact"/>
              <w:jc w:val="center"/>
              <w:rPr>
                <w:rFonts w:ascii="宋体" w:hAnsi="宋体" w:cs="宋体"/>
                <w:color w:val="auto"/>
                <w:sz w:val="24"/>
                <w:highlight w:val="none"/>
              </w:rPr>
            </w:pPr>
          </w:p>
        </w:tc>
        <w:tc>
          <w:tcPr>
            <w:tcW w:w="1258" w:type="dxa"/>
            <w:vAlign w:val="center"/>
          </w:tcPr>
          <w:p w14:paraId="6B3B2732">
            <w:pPr>
              <w:spacing w:line="400" w:lineRule="exact"/>
              <w:jc w:val="center"/>
              <w:rPr>
                <w:rFonts w:ascii="宋体" w:hAnsi="宋体" w:cs="宋体"/>
                <w:color w:val="auto"/>
                <w:sz w:val="24"/>
                <w:highlight w:val="none"/>
              </w:rPr>
            </w:pPr>
          </w:p>
        </w:tc>
        <w:tc>
          <w:tcPr>
            <w:tcW w:w="1257" w:type="dxa"/>
            <w:vAlign w:val="center"/>
          </w:tcPr>
          <w:p w14:paraId="58B4613A">
            <w:pPr>
              <w:spacing w:line="400" w:lineRule="exact"/>
              <w:jc w:val="center"/>
              <w:rPr>
                <w:rFonts w:ascii="宋体" w:hAnsi="宋体" w:cs="宋体"/>
                <w:color w:val="auto"/>
                <w:sz w:val="24"/>
                <w:highlight w:val="none"/>
              </w:rPr>
            </w:pPr>
          </w:p>
        </w:tc>
        <w:tc>
          <w:tcPr>
            <w:tcW w:w="1258" w:type="dxa"/>
            <w:vAlign w:val="center"/>
          </w:tcPr>
          <w:p w14:paraId="174B5527">
            <w:pPr>
              <w:spacing w:line="400" w:lineRule="exact"/>
              <w:jc w:val="center"/>
              <w:rPr>
                <w:rFonts w:ascii="宋体" w:hAnsi="宋体" w:cs="宋体"/>
                <w:color w:val="auto"/>
                <w:sz w:val="24"/>
                <w:highlight w:val="none"/>
              </w:rPr>
            </w:pPr>
          </w:p>
        </w:tc>
        <w:tc>
          <w:tcPr>
            <w:tcW w:w="1257" w:type="dxa"/>
            <w:vAlign w:val="center"/>
          </w:tcPr>
          <w:p w14:paraId="1C765218">
            <w:pPr>
              <w:spacing w:line="400" w:lineRule="exact"/>
              <w:jc w:val="center"/>
              <w:rPr>
                <w:rFonts w:ascii="宋体" w:hAnsi="宋体" w:cs="宋体"/>
                <w:color w:val="auto"/>
                <w:sz w:val="24"/>
                <w:highlight w:val="none"/>
              </w:rPr>
            </w:pPr>
          </w:p>
        </w:tc>
        <w:tc>
          <w:tcPr>
            <w:tcW w:w="1258" w:type="dxa"/>
            <w:vAlign w:val="center"/>
          </w:tcPr>
          <w:p w14:paraId="23131E48">
            <w:pPr>
              <w:spacing w:line="400" w:lineRule="exact"/>
              <w:jc w:val="center"/>
              <w:rPr>
                <w:rFonts w:ascii="宋体" w:hAnsi="宋体" w:cs="宋体"/>
                <w:color w:val="auto"/>
                <w:sz w:val="24"/>
                <w:highlight w:val="none"/>
              </w:rPr>
            </w:pPr>
          </w:p>
        </w:tc>
      </w:tr>
      <w:tr w14:paraId="09EF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C2987ED">
            <w:pPr>
              <w:spacing w:line="400" w:lineRule="exact"/>
              <w:jc w:val="center"/>
              <w:rPr>
                <w:rFonts w:ascii="宋体" w:hAnsi="宋体" w:cs="宋体"/>
                <w:color w:val="auto"/>
                <w:sz w:val="24"/>
                <w:highlight w:val="none"/>
              </w:rPr>
            </w:pPr>
          </w:p>
        </w:tc>
        <w:tc>
          <w:tcPr>
            <w:tcW w:w="961" w:type="dxa"/>
            <w:vAlign w:val="center"/>
          </w:tcPr>
          <w:p w14:paraId="5939D56C">
            <w:pPr>
              <w:spacing w:line="400" w:lineRule="exact"/>
              <w:jc w:val="center"/>
              <w:rPr>
                <w:rFonts w:ascii="宋体" w:hAnsi="宋体" w:cs="宋体"/>
                <w:color w:val="auto"/>
                <w:sz w:val="24"/>
                <w:highlight w:val="none"/>
              </w:rPr>
            </w:pPr>
          </w:p>
        </w:tc>
        <w:tc>
          <w:tcPr>
            <w:tcW w:w="1257" w:type="dxa"/>
            <w:vAlign w:val="center"/>
          </w:tcPr>
          <w:p w14:paraId="30537758">
            <w:pPr>
              <w:spacing w:line="400" w:lineRule="exact"/>
              <w:jc w:val="center"/>
              <w:rPr>
                <w:rFonts w:ascii="宋体" w:hAnsi="宋体" w:cs="宋体"/>
                <w:color w:val="auto"/>
                <w:sz w:val="24"/>
                <w:highlight w:val="none"/>
              </w:rPr>
            </w:pPr>
          </w:p>
        </w:tc>
        <w:tc>
          <w:tcPr>
            <w:tcW w:w="1258" w:type="dxa"/>
            <w:vAlign w:val="center"/>
          </w:tcPr>
          <w:p w14:paraId="015D90FB">
            <w:pPr>
              <w:spacing w:line="400" w:lineRule="exact"/>
              <w:jc w:val="center"/>
              <w:rPr>
                <w:rFonts w:ascii="宋体" w:hAnsi="宋体" w:cs="宋体"/>
                <w:color w:val="auto"/>
                <w:sz w:val="24"/>
                <w:highlight w:val="none"/>
              </w:rPr>
            </w:pPr>
          </w:p>
        </w:tc>
        <w:tc>
          <w:tcPr>
            <w:tcW w:w="1257" w:type="dxa"/>
            <w:vAlign w:val="center"/>
          </w:tcPr>
          <w:p w14:paraId="2B134214">
            <w:pPr>
              <w:spacing w:line="400" w:lineRule="exact"/>
              <w:jc w:val="center"/>
              <w:rPr>
                <w:rFonts w:ascii="宋体" w:hAnsi="宋体" w:cs="宋体"/>
                <w:color w:val="auto"/>
                <w:sz w:val="24"/>
                <w:highlight w:val="none"/>
              </w:rPr>
            </w:pPr>
          </w:p>
        </w:tc>
        <w:tc>
          <w:tcPr>
            <w:tcW w:w="1258" w:type="dxa"/>
            <w:vAlign w:val="center"/>
          </w:tcPr>
          <w:p w14:paraId="642ADECD">
            <w:pPr>
              <w:spacing w:line="400" w:lineRule="exact"/>
              <w:jc w:val="center"/>
              <w:rPr>
                <w:rFonts w:ascii="宋体" w:hAnsi="宋体" w:cs="宋体"/>
                <w:color w:val="auto"/>
                <w:sz w:val="24"/>
                <w:highlight w:val="none"/>
              </w:rPr>
            </w:pPr>
          </w:p>
        </w:tc>
        <w:tc>
          <w:tcPr>
            <w:tcW w:w="1257" w:type="dxa"/>
            <w:vAlign w:val="center"/>
          </w:tcPr>
          <w:p w14:paraId="03958421">
            <w:pPr>
              <w:spacing w:line="400" w:lineRule="exact"/>
              <w:jc w:val="center"/>
              <w:rPr>
                <w:rFonts w:ascii="宋体" w:hAnsi="宋体" w:cs="宋体"/>
                <w:color w:val="auto"/>
                <w:sz w:val="24"/>
                <w:highlight w:val="none"/>
              </w:rPr>
            </w:pPr>
          </w:p>
        </w:tc>
        <w:tc>
          <w:tcPr>
            <w:tcW w:w="1258" w:type="dxa"/>
            <w:vAlign w:val="center"/>
          </w:tcPr>
          <w:p w14:paraId="4851DCDC">
            <w:pPr>
              <w:spacing w:line="400" w:lineRule="exact"/>
              <w:jc w:val="center"/>
              <w:rPr>
                <w:rFonts w:ascii="宋体" w:hAnsi="宋体" w:cs="宋体"/>
                <w:color w:val="auto"/>
                <w:sz w:val="24"/>
                <w:highlight w:val="none"/>
              </w:rPr>
            </w:pPr>
          </w:p>
        </w:tc>
      </w:tr>
      <w:tr w14:paraId="7697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51C98B3">
            <w:pPr>
              <w:spacing w:line="400" w:lineRule="exact"/>
              <w:jc w:val="center"/>
              <w:rPr>
                <w:rFonts w:ascii="宋体" w:hAnsi="宋体" w:cs="宋体"/>
                <w:color w:val="auto"/>
                <w:sz w:val="24"/>
                <w:highlight w:val="none"/>
              </w:rPr>
            </w:pPr>
          </w:p>
        </w:tc>
        <w:tc>
          <w:tcPr>
            <w:tcW w:w="961" w:type="dxa"/>
            <w:vAlign w:val="center"/>
          </w:tcPr>
          <w:p w14:paraId="51BF7574">
            <w:pPr>
              <w:spacing w:line="400" w:lineRule="exact"/>
              <w:jc w:val="center"/>
              <w:rPr>
                <w:rFonts w:ascii="宋体" w:hAnsi="宋体" w:cs="宋体"/>
                <w:color w:val="auto"/>
                <w:sz w:val="24"/>
                <w:highlight w:val="none"/>
              </w:rPr>
            </w:pPr>
          </w:p>
        </w:tc>
        <w:tc>
          <w:tcPr>
            <w:tcW w:w="1257" w:type="dxa"/>
            <w:vAlign w:val="center"/>
          </w:tcPr>
          <w:p w14:paraId="62FB9ABA">
            <w:pPr>
              <w:spacing w:line="400" w:lineRule="exact"/>
              <w:jc w:val="center"/>
              <w:rPr>
                <w:rFonts w:ascii="宋体" w:hAnsi="宋体" w:cs="宋体"/>
                <w:color w:val="auto"/>
                <w:sz w:val="24"/>
                <w:highlight w:val="none"/>
              </w:rPr>
            </w:pPr>
          </w:p>
        </w:tc>
        <w:tc>
          <w:tcPr>
            <w:tcW w:w="1258" w:type="dxa"/>
            <w:vAlign w:val="center"/>
          </w:tcPr>
          <w:p w14:paraId="59198103">
            <w:pPr>
              <w:spacing w:line="400" w:lineRule="exact"/>
              <w:jc w:val="center"/>
              <w:rPr>
                <w:rFonts w:ascii="宋体" w:hAnsi="宋体" w:cs="宋体"/>
                <w:color w:val="auto"/>
                <w:sz w:val="24"/>
                <w:highlight w:val="none"/>
              </w:rPr>
            </w:pPr>
          </w:p>
        </w:tc>
        <w:tc>
          <w:tcPr>
            <w:tcW w:w="1257" w:type="dxa"/>
            <w:vAlign w:val="center"/>
          </w:tcPr>
          <w:p w14:paraId="36A11197">
            <w:pPr>
              <w:spacing w:line="400" w:lineRule="exact"/>
              <w:jc w:val="center"/>
              <w:rPr>
                <w:rFonts w:ascii="宋体" w:hAnsi="宋体" w:cs="宋体"/>
                <w:color w:val="auto"/>
                <w:sz w:val="24"/>
                <w:highlight w:val="none"/>
              </w:rPr>
            </w:pPr>
          </w:p>
        </w:tc>
        <w:tc>
          <w:tcPr>
            <w:tcW w:w="1258" w:type="dxa"/>
            <w:vAlign w:val="center"/>
          </w:tcPr>
          <w:p w14:paraId="36B444E6">
            <w:pPr>
              <w:spacing w:line="400" w:lineRule="exact"/>
              <w:jc w:val="center"/>
              <w:rPr>
                <w:rFonts w:ascii="宋体" w:hAnsi="宋体" w:cs="宋体"/>
                <w:color w:val="auto"/>
                <w:sz w:val="24"/>
                <w:highlight w:val="none"/>
              </w:rPr>
            </w:pPr>
          </w:p>
        </w:tc>
        <w:tc>
          <w:tcPr>
            <w:tcW w:w="1257" w:type="dxa"/>
            <w:vAlign w:val="center"/>
          </w:tcPr>
          <w:p w14:paraId="709D74A9">
            <w:pPr>
              <w:spacing w:line="400" w:lineRule="exact"/>
              <w:jc w:val="center"/>
              <w:rPr>
                <w:rFonts w:ascii="宋体" w:hAnsi="宋体" w:cs="宋体"/>
                <w:color w:val="auto"/>
                <w:sz w:val="24"/>
                <w:highlight w:val="none"/>
              </w:rPr>
            </w:pPr>
          </w:p>
        </w:tc>
        <w:tc>
          <w:tcPr>
            <w:tcW w:w="1258" w:type="dxa"/>
            <w:vAlign w:val="center"/>
          </w:tcPr>
          <w:p w14:paraId="799C73B8">
            <w:pPr>
              <w:spacing w:line="400" w:lineRule="exact"/>
              <w:jc w:val="center"/>
              <w:rPr>
                <w:rFonts w:ascii="宋体" w:hAnsi="宋体" w:cs="宋体"/>
                <w:color w:val="auto"/>
                <w:sz w:val="24"/>
                <w:highlight w:val="none"/>
              </w:rPr>
            </w:pPr>
          </w:p>
        </w:tc>
      </w:tr>
      <w:tr w14:paraId="6547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2ADB0D">
            <w:pPr>
              <w:spacing w:line="400" w:lineRule="exact"/>
              <w:jc w:val="center"/>
              <w:rPr>
                <w:rFonts w:ascii="宋体" w:hAnsi="宋体" w:cs="宋体"/>
                <w:color w:val="auto"/>
                <w:sz w:val="24"/>
                <w:highlight w:val="none"/>
              </w:rPr>
            </w:pPr>
          </w:p>
        </w:tc>
        <w:tc>
          <w:tcPr>
            <w:tcW w:w="961" w:type="dxa"/>
            <w:vAlign w:val="center"/>
          </w:tcPr>
          <w:p w14:paraId="3808B6B0">
            <w:pPr>
              <w:spacing w:line="400" w:lineRule="exact"/>
              <w:jc w:val="center"/>
              <w:rPr>
                <w:rFonts w:ascii="宋体" w:hAnsi="宋体" w:cs="宋体"/>
                <w:color w:val="auto"/>
                <w:sz w:val="24"/>
                <w:highlight w:val="none"/>
              </w:rPr>
            </w:pPr>
          </w:p>
        </w:tc>
        <w:tc>
          <w:tcPr>
            <w:tcW w:w="1257" w:type="dxa"/>
            <w:vAlign w:val="center"/>
          </w:tcPr>
          <w:p w14:paraId="1849D42D">
            <w:pPr>
              <w:spacing w:line="400" w:lineRule="exact"/>
              <w:jc w:val="center"/>
              <w:rPr>
                <w:rFonts w:ascii="宋体" w:hAnsi="宋体" w:cs="宋体"/>
                <w:color w:val="auto"/>
                <w:sz w:val="24"/>
                <w:highlight w:val="none"/>
              </w:rPr>
            </w:pPr>
          </w:p>
        </w:tc>
        <w:tc>
          <w:tcPr>
            <w:tcW w:w="1258" w:type="dxa"/>
            <w:vAlign w:val="center"/>
          </w:tcPr>
          <w:p w14:paraId="6F6F3221">
            <w:pPr>
              <w:spacing w:line="400" w:lineRule="exact"/>
              <w:jc w:val="center"/>
              <w:rPr>
                <w:rFonts w:ascii="宋体" w:hAnsi="宋体" w:cs="宋体"/>
                <w:color w:val="auto"/>
                <w:sz w:val="24"/>
                <w:highlight w:val="none"/>
              </w:rPr>
            </w:pPr>
          </w:p>
        </w:tc>
        <w:tc>
          <w:tcPr>
            <w:tcW w:w="1257" w:type="dxa"/>
            <w:vAlign w:val="center"/>
          </w:tcPr>
          <w:p w14:paraId="58324A3A">
            <w:pPr>
              <w:spacing w:line="400" w:lineRule="exact"/>
              <w:jc w:val="center"/>
              <w:rPr>
                <w:rFonts w:ascii="宋体" w:hAnsi="宋体" w:cs="宋体"/>
                <w:color w:val="auto"/>
                <w:sz w:val="24"/>
                <w:highlight w:val="none"/>
              </w:rPr>
            </w:pPr>
          </w:p>
        </w:tc>
        <w:tc>
          <w:tcPr>
            <w:tcW w:w="1258" w:type="dxa"/>
            <w:vAlign w:val="center"/>
          </w:tcPr>
          <w:p w14:paraId="5A5B9EEE">
            <w:pPr>
              <w:spacing w:line="400" w:lineRule="exact"/>
              <w:jc w:val="center"/>
              <w:rPr>
                <w:rFonts w:ascii="宋体" w:hAnsi="宋体" w:cs="宋体"/>
                <w:color w:val="auto"/>
                <w:sz w:val="24"/>
                <w:highlight w:val="none"/>
              </w:rPr>
            </w:pPr>
          </w:p>
        </w:tc>
        <w:tc>
          <w:tcPr>
            <w:tcW w:w="1257" w:type="dxa"/>
            <w:vAlign w:val="center"/>
          </w:tcPr>
          <w:p w14:paraId="30A093F4">
            <w:pPr>
              <w:spacing w:line="400" w:lineRule="exact"/>
              <w:jc w:val="center"/>
              <w:rPr>
                <w:rFonts w:ascii="宋体" w:hAnsi="宋体" w:cs="宋体"/>
                <w:color w:val="auto"/>
                <w:sz w:val="24"/>
                <w:highlight w:val="none"/>
              </w:rPr>
            </w:pPr>
          </w:p>
        </w:tc>
        <w:tc>
          <w:tcPr>
            <w:tcW w:w="1258" w:type="dxa"/>
            <w:vAlign w:val="center"/>
          </w:tcPr>
          <w:p w14:paraId="5AD554BC">
            <w:pPr>
              <w:spacing w:line="400" w:lineRule="exact"/>
              <w:jc w:val="center"/>
              <w:rPr>
                <w:rFonts w:ascii="宋体" w:hAnsi="宋体" w:cs="宋体"/>
                <w:color w:val="auto"/>
                <w:sz w:val="24"/>
                <w:highlight w:val="none"/>
              </w:rPr>
            </w:pPr>
          </w:p>
        </w:tc>
      </w:tr>
      <w:tr w14:paraId="1F6D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304EDAB">
            <w:pPr>
              <w:spacing w:line="400" w:lineRule="exact"/>
              <w:jc w:val="center"/>
              <w:rPr>
                <w:rFonts w:ascii="宋体" w:hAnsi="宋体" w:cs="宋体"/>
                <w:color w:val="auto"/>
                <w:sz w:val="24"/>
                <w:highlight w:val="none"/>
              </w:rPr>
            </w:pPr>
          </w:p>
        </w:tc>
        <w:tc>
          <w:tcPr>
            <w:tcW w:w="961" w:type="dxa"/>
            <w:vAlign w:val="center"/>
          </w:tcPr>
          <w:p w14:paraId="66D81459">
            <w:pPr>
              <w:spacing w:line="400" w:lineRule="exact"/>
              <w:jc w:val="center"/>
              <w:rPr>
                <w:rFonts w:ascii="宋体" w:hAnsi="宋体" w:cs="宋体"/>
                <w:color w:val="auto"/>
                <w:sz w:val="24"/>
                <w:highlight w:val="none"/>
              </w:rPr>
            </w:pPr>
          </w:p>
        </w:tc>
        <w:tc>
          <w:tcPr>
            <w:tcW w:w="1257" w:type="dxa"/>
            <w:vAlign w:val="center"/>
          </w:tcPr>
          <w:p w14:paraId="22A76A50">
            <w:pPr>
              <w:spacing w:line="400" w:lineRule="exact"/>
              <w:jc w:val="center"/>
              <w:rPr>
                <w:rFonts w:ascii="宋体" w:hAnsi="宋体" w:cs="宋体"/>
                <w:color w:val="auto"/>
                <w:sz w:val="24"/>
                <w:highlight w:val="none"/>
              </w:rPr>
            </w:pPr>
          </w:p>
        </w:tc>
        <w:tc>
          <w:tcPr>
            <w:tcW w:w="1258" w:type="dxa"/>
            <w:vAlign w:val="center"/>
          </w:tcPr>
          <w:p w14:paraId="35093700">
            <w:pPr>
              <w:spacing w:line="400" w:lineRule="exact"/>
              <w:jc w:val="center"/>
              <w:rPr>
                <w:rFonts w:ascii="宋体" w:hAnsi="宋体" w:cs="宋体"/>
                <w:color w:val="auto"/>
                <w:sz w:val="24"/>
                <w:highlight w:val="none"/>
              </w:rPr>
            </w:pPr>
          </w:p>
        </w:tc>
        <w:tc>
          <w:tcPr>
            <w:tcW w:w="1257" w:type="dxa"/>
            <w:vAlign w:val="center"/>
          </w:tcPr>
          <w:p w14:paraId="2D098663">
            <w:pPr>
              <w:spacing w:line="400" w:lineRule="exact"/>
              <w:jc w:val="center"/>
              <w:rPr>
                <w:rFonts w:ascii="宋体" w:hAnsi="宋体" w:cs="宋体"/>
                <w:color w:val="auto"/>
                <w:sz w:val="24"/>
                <w:highlight w:val="none"/>
              </w:rPr>
            </w:pPr>
          </w:p>
        </w:tc>
        <w:tc>
          <w:tcPr>
            <w:tcW w:w="1258" w:type="dxa"/>
            <w:vAlign w:val="center"/>
          </w:tcPr>
          <w:p w14:paraId="70ED4ADE">
            <w:pPr>
              <w:spacing w:line="400" w:lineRule="exact"/>
              <w:jc w:val="center"/>
              <w:rPr>
                <w:rFonts w:ascii="宋体" w:hAnsi="宋体" w:cs="宋体"/>
                <w:color w:val="auto"/>
                <w:sz w:val="24"/>
                <w:highlight w:val="none"/>
              </w:rPr>
            </w:pPr>
          </w:p>
        </w:tc>
        <w:tc>
          <w:tcPr>
            <w:tcW w:w="1257" w:type="dxa"/>
            <w:vAlign w:val="center"/>
          </w:tcPr>
          <w:p w14:paraId="476A311D">
            <w:pPr>
              <w:spacing w:line="400" w:lineRule="exact"/>
              <w:jc w:val="center"/>
              <w:rPr>
                <w:rFonts w:ascii="宋体" w:hAnsi="宋体" w:cs="宋体"/>
                <w:color w:val="auto"/>
                <w:sz w:val="24"/>
                <w:highlight w:val="none"/>
              </w:rPr>
            </w:pPr>
          </w:p>
        </w:tc>
        <w:tc>
          <w:tcPr>
            <w:tcW w:w="1258" w:type="dxa"/>
            <w:vAlign w:val="center"/>
          </w:tcPr>
          <w:p w14:paraId="4B36C221">
            <w:pPr>
              <w:spacing w:line="400" w:lineRule="exact"/>
              <w:jc w:val="center"/>
              <w:rPr>
                <w:rFonts w:ascii="宋体" w:hAnsi="宋体" w:cs="宋体"/>
                <w:color w:val="auto"/>
                <w:sz w:val="24"/>
                <w:highlight w:val="none"/>
              </w:rPr>
            </w:pPr>
          </w:p>
        </w:tc>
      </w:tr>
      <w:tr w14:paraId="50C3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84C0B18">
            <w:pPr>
              <w:spacing w:line="400" w:lineRule="exact"/>
              <w:jc w:val="center"/>
              <w:rPr>
                <w:rFonts w:ascii="宋体" w:hAnsi="宋体" w:cs="宋体"/>
                <w:color w:val="auto"/>
                <w:sz w:val="24"/>
                <w:highlight w:val="none"/>
              </w:rPr>
            </w:pPr>
          </w:p>
        </w:tc>
        <w:tc>
          <w:tcPr>
            <w:tcW w:w="961" w:type="dxa"/>
            <w:vAlign w:val="center"/>
          </w:tcPr>
          <w:p w14:paraId="7BD64D43">
            <w:pPr>
              <w:spacing w:line="400" w:lineRule="exact"/>
              <w:jc w:val="center"/>
              <w:rPr>
                <w:rFonts w:ascii="宋体" w:hAnsi="宋体" w:cs="宋体"/>
                <w:color w:val="auto"/>
                <w:sz w:val="24"/>
                <w:highlight w:val="none"/>
              </w:rPr>
            </w:pPr>
          </w:p>
        </w:tc>
        <w:tc>
          <w:tcPr>
            <w:tcW w:w="1257" w:type="dxa"/>
            <w:vAlign w:val="center"/>
          </w:tcPr>
          <w:p w14:paraId="66C76F6C">
            <w:pPr>
              <w:spacing w:line="400" w:lineRule="exact"/>
              <w:jc w:val="center"/>
              <w:rPr>
                <w:rFonts w:ascii="宋体" w:hAnsi="宋体" w:cs="宋体"/>
                <w:color w:val="auto"/>
                <w:sz w:val="24"/>
                <w:highlight w:val="none"/>
              </w:rPr>
            </w:pPr>
          </w:p>
        </w:tc>
        <w:tc>
          <w:tcPr>
            <w:tcW w:w="1258" w:type="dxa"/>
            <w:vAlign w:val="center"/>
          </w:tcPr>
          <w:p w14:paraId="5E4C08A8">
            <w:pPr>
              <w:spacing w:line="400" w:lineRule="exact"/>
              <w:jc w:val="center"/>
              <w:rPr>
                <w:rFonts w:ascii="宋体" w:hAnsi="宋体" w:cs="宋体"/>
                <w:color w:val="auto"/>
                <w:sz w:val="24"/>
                <w:highlight w:val="none"/>
              </w:rPr>
            </w:pPr>
          </w:p>
        </w:tc>
        <w:tc>
          <w:tcPr>
            <w:tcW w:w="1257" w:type="dxa"/>
            <w:vAlign w:val="center"/>
          </w:tcPr>
          <w:p w14:paraId="41594946">
            <w:pPr>
              <w:spacing w:line="400" w:lineRule="exact"/>
              <w:jc w:val="center"/>
              <w:rPr>
                <w:rFonts w:ascii="宋体" w:hAnsi="宋体" w:cs="宋体"/>
                <w:color w:val="auto"/>
                <w:sz w:val="24"/>
                <w:highlight w:val="none"/>
              </w:rPr>
            </w:pPr>
          </w:p>
        </w:tc>
        <w:tc>
          <w:tcPr>
            <w:tcW w:w="1258" w:type="dxa"/>
            <w:vAlign w:val="center"/>
          </w:tcPr>
          <w:p w14:paraId="5F03260E">
            <w:pPr>
              <w:spacing w:line="400" w:lineRule="exact"/>
              <w:jc w:val="center"/>
              <w:rPr>
                <w:rFonts w:ascii="宋体" w:hAnsi="宋体" w:cs="宋体"/>
                <w:color w:val="auto"/>
                <w:sz w:val="24"/>
                <w:highlight w:val="none"/>
              </w:rPr>
            </w:pPr>
          </w:p>
        </w:tc>
        <w:tc>
          <w:tcPr>
            <w:tcW w:w="1257" w:type="dxa"/>
            <w:vAlign w:val="center"/>
          </w:tcPr>
          <w:p w14:paraId="7E7EF456">
            <w:pPr>
              <w:spacing w:line="400" w:lineRule="exact"/>
              <w:jc w:val="center"/>
              <w:rPr>
                <w:rFonts w:ascii="宋体" w:hAnsi="宋体" w:cs="宋体"/>
                <w:color w:val="auto"/>
                <w:sz w:val="24"/>
                <w:highlight w:val="none"/>
              </w:rPr>
            </w:pPr>
          </w:p>
        </w:tc>
        <w:tc>
          <w:tcPr>
            <w:tcW w:w="1258" w:type="dxa"/>
            <w:vAlign w:val="center"/>
          </w:tcPr>
          <w:p w14:paraId="1CAD5E08">
            <w:pPr>
              <w:spacing w:line="400" w:lineRule="exact"/>
              <w:jc w:val="center"/>
              <w:rPr>
                <w:rFonts w:ascii="宋体" w:hAnsi="宋体" w:cs="宋体"/>
                <w:color w:val="auto"/>
                <w:sz w:val="24"/>
                <w:highlight w:val="none"/>
              </w:rPr>
            </w:pPr>
          </w:p>
        </w:tc>
      </w:tr>
    </w:tbl>
    <w:p w14:paraId="58B87000">
      <w:pPr>
        <w:rPr>
          <w:rFonts w:ascii="宋体" w:hAnsi="宋体" w:cs="宋体"/>
          <w:color w:val="auto"/>
          <w:sz w:val="24"/>
          <w:highlight w:val="none"/>
        </w:rPr>
      </w:pPr>
    </w:p>
    <w:p w14:paraId="4257C09C">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附表四：计划开、竣工日期和施工进度计划（网络图或横道图）</w:t>
      </w:r>
    </w:p>
    <w:p w14:paraId="6F83DBC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1.供应商应提交施工进度计划，说明按采购文件要求的工期进行施工的各个关键日期。中标的供应商还应按合同条件有关条款的要求提交详细的施工进度计划。</w:t>
      </w:r>
    </w:p>
    <w:p w14:paraId="3D7BF18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2.施工进度计划可采用网络图（或横道图）表示，说明计划开工日期和各分项工程各阶段的完工日期和分包合同签订的日期。</w:t>
      </w:r>
    </w:p>
    <w:p w14:paraId="5B5889E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3.施工进度计划应与施工组织设计相适应。</w:t>
      </w:r>
    </w:p>
    <w:p w14:paraId="04DF2703">
      <w:pPr>
        <w:spacing w:line="460" w:lineRule="exact"/>
        <w:ind w:firstLine="480" w:firstLineChars="200"/>
        <w:rPr>
          <w:rFonts w:ascii="宋体" w:hAnsi="宋体" w:cs="宋体"/>
          <w:color w:val="auto"/>
          <w:sz w:val="24"/>
          <w:highlight w:val="none"/>
        </w:rPr>
      </w:pPr>
    </w:p>
    <w:p w14:paraId="7705F919">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附表五：施工总平面图</w:t>
      </w:r>
    </w:p>
    <w:p w14:paraId="37EAC09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供应商应递交一份施工总平面图，绘出现场临时设施布置图表并附文字说明，说明临时设施、加工车间、现场办公、设备及仓储、供电、供水、卫生、生活、道路、消防等设施的情况和布置。</w:t>
      </w:r>
    </w:p>
    <w:p w14:paraId="0C370611">
      <w:pPr>
        <w:rPr>
          <w:rFonts w:ascii="宋体" w:hAnsi="宋体" w:cs="宋体"/>
          <w:color w:val="auto"/>
          <w:sz w:val="24"/>
          <w:highlight w:val="none"/>
        </w:rPr>
      </w:pPr>
    </w:p>
    <w:p w14:paraId="7AA59CD5">
      <w:pPr>
        <w:rPr>
          <w:rFonts w:ascii="宋体" w:hAnsi="宋体" w:cs="宋体"/>
          <w:color w:val="auto"/>
          <w:sz w:val="24"/>
          <w:highlight w:val="none"/>
        </w:rPr>
      </w:pPr>
    </w:p>
    <w:p w14:paraId="7FC8A47B">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附表六：临时用地表</w:t>
      </w:r>
    </w:p>
    <w:tbl>
      <w:tblPr>
        <w:tblStyle w:val="2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C55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4B307E34">
            <w:pPr>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57" w:type="dxa"/>
            <w:vAlign w:val="center"/>
          </w:tcPr>
          <w:p w14:paraId="468F6768">
            <w:pPr>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56" w:type="dxa"/>
            <w:vAlign w:val="center"/>
          </w:tcPr>
          <w:p w14:paraId="1EC5811F">
            <w:pPr>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57" w:type="dxa"/>
            <w:vAlign w:val="center"/>
          </w:tcPr>
          <w:p w14:paraId="717D1A3B">
            <w:pPr>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4C2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6643A5D">
            <w:pPr>
              <w:rPr>
                <w:rFonts w:ascii="宋体" w:hAnsi="宋体" w:cs="宋体"/>
                <w:color w:val="auto"/>
                <w:sz w:val="24"/>
                <w:highlight w:val="none"/>
              </w:rPr>
            </w:pPr>
          </w:p>
        </w:tc>
        <w:tc>
          <w:tcPr>
            <w:tcW w:w="2357" w:type="dxa"/>
          </w:tcPr>
          <w:p w14:paraId="0A38E97E">
            <w:pPr>
              <w:rPr>
                <w:rFonts w:ascii="宋体" w:hAnsi="宋体" w:cs="宋体"/>
                <w:color w:val="auto"/>
                <w:sz w:val="24"/>
                <w:highlight w:val="none"/>
              </w:rPr>
            </w:pPr>
          </w:p>
        </w:tc>
        <w:tc>
          <w:tcPr>
            <w:tcW w:w="2356" w:type="dxa"/>
          </w:tcPr>
          <w:p w14:paraId="4617125D">
            <w:pPr>
              <w:rPr>
                <w:rFonts w:ascii="宋体" w:hAnsi="宋体" w:cs="宋体"/>
                <w:color w:val="auto"/>
                <w:sz w:val="24"/>
                <w:highlight w:val="none"/>
              </w:rPr>
            </w:pPr>
          </w:p>
        </w:tc>
        <w:tc>
          <w:tcPr>
            <w:tcW w:w="2357" w:type="dxa"/>
          </w:tcPr>
          <w:p w14:paraId="3BB28560">
            <w:pPr>
              <w:rPr>
                <w:rFonts w:ascii="宋体" w:hAnsi="宋体" w:cs="宋体"/>
                <w:color w:val="auto"/>
                <w:sz w:val="24"/>
                <w:highlight w:val="none"/>
              </w:rPr>
            </w:pPr>
          </w:p>
        </w:tc>
      </w:tr>
      <w:tr w14:paraId="24ED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C7CBF45">
            <w:pPr>
              <w:rPr>
                <w:rFonts w:ascii="宋体" w:hAnsi="宋体" w:cs="宋体"/>
                <w:color w:val="auto"/>
                <w:sz w:val="24"/>
                <w:highlight w:val="none"/>
              </w:rPr>
            </w:pPr>
          </w:p>
        </w:tc>
        <w:tc>
          <w:tcPr>
            <w:tcW w:w="2357" w:type="dxa"/>
          </w:tcPr>
          <w:p w14:paraId="676B94C5">
            <w:pPr>
              <w:rPr>
                <w:rFonts w:ascii="宋体" w:hAnsi="宋体" w:cs="宋体"/>
                <w:color w:val="auto"/>
                <w:sz w:val="24"/>
                <w:highlight w:val="none"/>
              </w:rPr>
            </w:pPr>
          </w:p>
        </w:tc>
        <w:tc>
          <w:tcPr>
            <w:tcW w:w="2356" w:type="dxa"/>
          </w:tcPr>
          <w:p w14:paraId="75C7198D">
            <w:pPr>
              <w:rPr>
                <w:rFonts w:ascii="宋体" w:hAnsi="宋体" w:cs="宋体"/>
                <w:color w:val="auto"/>
                <w:sz w:val="24"/>
                <w:highlight w:val="none"/>
              </w:rPr>
            </w:pPr>
          </w:p>
        </w:tc>
        <w:tc>
          <w:tcPr>
            <w:tcW w:w="2357" w:type="dxa"/>
          </w:tcPr>
          <w:p w14:paraId="3261B2FD">
            <w:pPr>
              <w:rPr>
                <w:rFonts w:ascii="宋体" w:hAnsi="宋体" w:cs="宋体"/>
                <w:color w:val="auto"/>
                <w:sz w:val="24"/>
                <w:highlight w:val="none"/>
              </w:rPr>
            </w:pPr>
          </w:p>
        </w:tc>
      </w:tr>
      <w:tr w14:paraId="7E89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649FBF2B">
            <w:pPr>
              <w:rPr>
                <w:rFonts w:ascii="宋体" w:hAnsi="宋体" w:cs="宋体"/>
                <w:color w:val="auto"/>
                <w:sz w:val="24"/>
                <w:highlight w:val="none"/>
              </w:rPr>
            </w:pPr>
          </w:p>
        </w:tc>
        <w:tc>
          <w:tcPr>
            <w:tcW w:w="2357" w:type="dxa"/>
          </w:tcPr>
          <w:p w14:paraId="497EEE35">
            <w:pPr>
              <w:rPr>
                <w:rFonts w:ascii="宋体" w:hAnsi="宋体" w:cs="宋体"/>
                <w:color w:val="auto"/>
                <w:sz w:val="24"/>
                <w:highlight w:val="none"/>
              </w:rPr>
            </w:pPr>
          </w:p>
        </w:tc>
        <w:tc>
          <w:tcPr>
            <w:tcW w:w="2356" w:type="dxa"/>
          </w:tcPr>
          <w:p w14:paraId="116C95AA">
            <w:pPr>
              <w:rPr>
                <w:rFonts w:ascii="宋体" w:hAnsi="宋体" w:cs="宋体"/>
                <w:color w:val="auto"/>
                <w:sz w:val="24"/>
                <w:highlight w:val="none"/>
              </w:rPr>
            </w:pPr>
          </w:p>
        </w:tc>
        <w:tc>
          <w:tcPr>
            <w:tcW w:w="2357" w:type="dxa"/>
          </w:tcPr>
          <w:p w14:paraId="2828C796">
            <w:pPr>
              <w:rPr>
                <w:rFonts w:ascii="宋体" w:hAnsi="宋体" w:cs="宋体"/>
                <w:color w:val="auto"/>
                <w:sz w:val="24"/>
                <w:highlight w:val="none"/>
              </w:rPr>
            </w:pPr>
          </w:p>
        </w:tc>
      </w:tr>
      <w:tr w14:paraId="4DC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82E3F6A">
            <w:pPr>
              <w:rPr>
                <w:rFonts w:ascii="宋体" w:hAnsi="宋体" w:cs="宋体"/>
                <w:color w:val="auto"/>
                <w:sz w:val="24"/>
                <w:highlight w:val="none"/>
              </w:rPr>
            </w:pPr>
          </w:p>
        </w:tc>
        <w:tc>
          <w:tcPr>
            <w:tcW w:w="2357" w:type="dxa"/>
          </w:tcPr>
          <w:p w14:paraId="4C338C3B">
            <w:pPr>
              <w:rPr>
                <w:rFonts w:ascii="宋体" w:hAnsi="宋体" w:cs="宋体"/>
                <w:color w:val="auto"/>
                <w:sz w:val="24"/>
                <w:highlight w:val="none"/>
              </w:rPr>
            </w:pPr>
          </w:p>
        </w:tc>
        <w:tc>
          <w:tcPr>
            <w:tcW w:w="2356" w:type="dxa"/>
          </w:tcPr>
          <w:p w14:paraId="1FC94342">
            <w:pPr>
              <w:rPr>
                <w:rFonts w:ascii="宋体" w:hAnsi="宋体" w:cs="宋体"/>
                <w:color w:val="auto"/>
                <w:sz w:val="24"/>
                <w:highlight w:val="none"/>
              </w:rPr>
            </w:pPr>
          </w:p>
        </w:tc>
        <w:tc>
          <w:tcPr>
            <w:tcW w:w="2357" w:type="dxa"/>
          </w:tcPr>
          <w:p w14:paraId="5D3E6F38">
            <w:pPr>
              <w:rPr>
                <w:rFonts w:ascii="宋体" w:hAnsi="宋体" w:cs="宋体"/>
                <w:color w:val="auto"/>
                <w:sz w:val="24"/>
                <w:highlight w:val="none"/>
              </w:rPr>
            </w:pPr>
          </w:p>
        </w:tc>
      </w:tr>
    </w:tbl>
    <w:p w14:paraId="028814D6">
      <w:pPr>
        <w:spacing w:line="500" w:lineRule="exact"/>
        <w:jc w:val="center"/>
        <w:rPr>
          <w:rFonts w:ascii="宋体" w:hAnsi="宋体" w:cs="宋体"/>
          <w:color w:val="auto"/>
          <w:sz w:val="24"/>
          <w:highlight w:val="none"/>
        </w:rPr>
      </w:pPr>
      <w:r>
        <w:rPr>
          <w:rFonts w:ascii="宋体" w:hAnsi="宋体" w:cs="宋体"/>
          <w:color w:val="auto"/>
          <w:sz w:val="24"/>
          <w:highlight w:val="none"/>
        </w:rPr>
        <w:br w:type="page"/>
      </w:r>
    </w:p>
    <w:p w14:paraId="0F1BD2C0">
      <w:pPr>
        <w:keepNext/>
        <w:keepLines/>
        <w:rPr>
          <w:rFonts w:ascii="宋体" w:hAnsi="宋体" w:cs="宋体"/>
          <w:b/>
          <w:color w:val="auto"/>
          <w:sz w:val="30"/>
          <w:szCs w:val="30"/>
          <w:highlight w:val="none"/>
        </w:rPr>
      </w:pPr>
      <w:bookmarkStart w:id="86" w:name="_Toc192305147"/>
      <w:bookmarkStart w:id="87" w:name="_Toc202756562"/>
      <w:bookmarkStart w:id="88" w:name="_Toc202756645"/>
      <w:bookmarkStart w:id="89" w:name="_Toc205197563"/>
      <w:r>
        <w:rPr>
          <w:rFonts w:hint="eastAsia" w:ascii="宋体" w:hAnsi="宋体" w:cs="宋体"/>
          <w:b/>
          <w:color w:val="auto"/>
          <w:sz w:val="30"/>
          <w:szCs w:val="30"/>
          <w:highlight w:val="none"/>
        </w:rPr>
        <w:t>七</w:t>
      </w:r>
      <w:r>
        <w:rPr>
          <w:rFonts w:hint="eastAsia" w:ascii="宋体" w:hAnsi="宋体" w:cs="宋体"/>
          <w:b/>
          <w:color w:val="auto"/>
          <w:sz w:val="30"/>
          <w:szCs w:val="30"/>
          <w:highlight w:val="none"/>
          <w:lang w:val="zh-CN"/>
        </w:rPr>
        <w:t>、</w:t>
      </w:r>
      <w:r>
        <w:rPr>
          <w:rFonts w:hint="eastAsia" w:ascii="宋体" w:hAnsi="宋体" w:cs="宋体"/>
          <w:b/>
          <w:color w:val="auto"/>
          <w:sz w:val="30"/>
          <w:szCs w:val="30"/>
          <w:highlight w:val="none"/>
        </w:rPr>
        <w:t>项目管理机构</w:t>
      </w:r>
      <w:bookmarkEnd w:id="86"/>
      <w:bookmarkEnd w:id="87"/>
      <w:bookmarkEnd w:id="88"/>
      <w:bookmarkEnd w:id="89"/>
    </w:p>
    <w:p w14:paraId="40CE3FFF">
      <w:pPr>
        <w:jc w:val="center"/>
        <w:rPr>
          <w:rFonts w:ascii="宋体" w:hAnsi="宋体" w:cs="宋体"/>
          <w:b/>
          <w:bCs/>
          <w:color w:val="auto"/>
          <w:sz w:val="24"/>
          <w:highlight w:val="none"/>
        </w:rPr>
      </w:pPr>
    </w:p>
    <w:p w14:paraId="6E3FAEF5">
      <w:pPr>
        <w:spacing w:afterLines="50"/>
        <w:jc w:val="center"/>
        <w:rPr>
          <w:rFonts w:ascii="宋体" w:hAnsi="宋体" w:cs="宋体"/>
          <w:bCs/>
          <w:color w:val="auto"/>
          <w:sz w:val="24"/>
          <w:highlight w:val="none"/>
        </w:rPr>
      </w:pPr>
      <w:r>
        <w:rPr>
          <w:rFonts w:hint="eastAsia" w:ascii="宋体" w:hAnsi="宋体" w:cs="宋体"/>
          <w:b/>
          <w:bCs/>
          <w:color w:val="auto"/>
          <w:sz w:val="24"/>
          <w:highlight w:val="none"/>
        </w:rPr>
        <w:t>拟投入本合同工程施工的项目管理机构组成表</w:t>
      </w:r>
    </w:p>
    <w:tbl>
      <w:tblPr>
        <w:tblStyle w:val="29"/>
        <w:tblW w:w="9690" w:type="dxa"/>
        <w:tblInd w:w="-375" w:type="dxa"/>
        <w:tblLayout w:type="fixed"/>
        <w:tblCellMar>
          <w:top w:w="0" w:type="dxa"/>
          <w:left w:w="0" w:type="dxa"/>
          <w:bottom w:w="0" w:type="dxa"/>
          <w:right w:w="0" w:type="dxa"/>
        </w:tblCellMar>
      </w:tblPr>
      <w:tblGrid>
        <w:gridCol w:w="675"/>
        <w:gridCol w:w="1335"/>
        <w:gridCol w:w="840"/>
        <w:gridCol w:w="795"/>
        <w:gridCol w:w="1107"/>
        <w:gridCol w:w="768"/>
        <w:gridCol w:w="750"/>
        <w:gridCol w:w="1440"/>
        <w:gridCol w:w="900"/>
        <w:gridCol w:w="1080"/>
      </w:tblGrid>
      <w:tr w14:paraId="638FE46A">
        <w:tblPrEx>
          <w:tblCellMar>
            <w:top w:w="0" w:type="dxa"/>
            <w:left w:w="0" w:type="dxa"/>
            <w:bottom w:w="0" w:type="dxa"/>
            <w:right w:w="0" w:type="dxa"/>
          </w:tblCellMar>
        </w:tblPrEx>
        <w:trPr>
          <w:trHeight w:val="601" w:hRule="atLeast"/>
        </w:trPr>
        <w:tc>
          <w:tcPr>
            <w:tcW w:w="6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07841B">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2FC7F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岗位名称</w:t>
            </w:r>
          </w:p>
        </w:tc>
        <w:tc>
          <w:tcPr>
            <w:tcW w:w="8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7C6C66E">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79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7D68443">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性别</w:t>
            </w:r>
          </w:p>
        </w:tc>
        <w:tc>
          <w:tcPr>
            <w:tcW w:w="110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D29CF6F">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工作职责</w:t>
            </w:r>
          </w:p>
        </w:tc>
        <w:tc>
          <w:tcPr>
            <w:tcW w:w="7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C1A81F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AE4F28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14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80067E">
            <w:pPr>
              <w:spacing w:line="300" w:lineRule="exact"/>
              <w:jc w:val="center"/>
              <w:rPr>
                <w:rFonts w:ascii="宋体" w:hAnsi="宋体" w:cs="宋体"/>
                <w:color w:val="auto"/>
                <w:sz w:val="24"/>
                <w:highlight w:val="none"/>
              </w:rPr>
            </w:pPr>
            <w:r>
              <w:rPr>
                <w:rFonts w:hint="eastAsia" w:ascii="宋体" w:hAnsi="宋体" w:cs="宋体"/>
                <w:bCs/>
                <w:color w:val="auto"/>
                <w:sz w:val="24"/>
                <w:highlight w:val="none"/>
              </w:rPr>
              <w:t>相关证书名称及编号</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C70ADB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相关工作年限</w:t>
            </w: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DC4103">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工作简历</w:t>
            </w:r>
          </w:p>
        </w:tc>
      </w:tr>
      <w:tr w14:paraId="7D848A4E">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FBD4DA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0FCA093">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5F4DF91E">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304BE4CB">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42D4E11B">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0DA52419">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3B506560">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75F44A62">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07652464">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5CE34C">
            <w:pPr>
              <w:spacing w:line="240" w:lineRule="exact"/>
              <w:jc w:val="center"/>
              <w:rPr>
                <w:rFonts w:ascii="宋体" w:hAnsi="宋体" w:cs="宋体"/>
                <w:color w:val="auto"/>
                <w:sz w:val="24"/>
                <w:highlight w:val="none"/>
              </w:rPr>
            </w:pPr>
          </w:p>
        </w:tc>
      </w:tr>
      <w:tr w14:paraId="65B6E1CF">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6CE25FB">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53C3B0F">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44AAD370">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11B4FDC1">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0571229E">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36BFB355">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3B0D7227">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1BF72E01">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4B085BF2">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DCFB2F">
            <w:pPr>
              <w:spacing w:line="240" w:lineRule="exact"/>
              <w:jc w:val="center"/>
              <w:rPr>
                <w:rFonts w:ascii="宋体" w:hAnsi="宋体" w:cs="宋体"/>
                <w:color w:val="auto"/>
                <w:sz w:val="24"/>
                <w:highlight w:val="none"/>
              </w:rPr>
            </w:pPr>
          </w:p>
        </w:tc>
      </w:tr>
      <w:tr w14:paraId="2B20D4A4">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39353A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C7B345B">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5949B796">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3FED26F2">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11A05ED5">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348A6BE5">
            <w:pPr>
              <w:pStyle w:val="104"/>
              <w:widowControl w:val="0"/>
              <w:overflowPunct/>
              <w:autoSpaceDE/>
              <w:autoSpaceDN/>
              <w:adjustRightInd/>
              <w:spacing w:before="0" w:line="240" w:lineRule="exact"/>
              <w:jc w:val="center"/>
              <w:textAlignment w:val="auto"/>
              <w:rPr>
                <w:rFonts w:ascii="宋体" w:hAnsi="宋体" w:cs="宋体"/>
                <w:color w:val="auto"/>
                <w:kern w:val="2"/>
                <w:szCs w:val="21"/>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5932AFF7">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77252A5B">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7F3EC9B5">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ECA5B7">
            <w:pPr>
              <w:spacing w:line="240" w:lineRule="exact"/>
              <w:jc w:val="center"/>
              <w:rPr>
                <w:rFonts w:ascii="宋体" w:hAnsi="宋体" w:cs="宋体"/>
                <w:color w:val="auto"/>
                <w:sz w:val="24"/>
                <w:highlight w:val="none"/>
              </w:rPr>
            </w:pPr>
          </w:p>
        </w:tc>
      </w:tr>
      <w:tr w14:paraId="76C6BB99">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ABE63F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0C31D35">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2738C20A">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42340B5E">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5EEEFF0F">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420DD462">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370997EB">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01CAD80F">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401EE2C9">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F18D6F">
            <w:pPr>
              <w:spacing w:line="240" w:lineRule="exact"/>
              <w:jc w:val="center"/>
              <w:rPr>
                <w:rFonts w:ascii="宋体" w:hAnsi="宋体" w:cs="宋体"/>
                <w:color w:val="auto"/>
                <w:sz w:val="24"/>
                <w:highlight w:val="none"/>
              </w:rPr>
            </w:pPr>
          </w:p>
        </w:tc>
      </w:tr>
      <w:tr w14:paraId="76673441">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EB53563">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08642C4">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426AAC22">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15F6C49B">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57FFAFA9">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478810F2">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361036BC">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40AA8F4C">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4F039EB0">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BF05D6">
            <w:pPr>
              <w:spacing w:line="240" w:lineRule="exact"/>
              <w:jc w:val="center"/>
              <w:rPr>
                <w:rFonts w:ascii="宋体" w:hAnsi="宋体" w:cs="宋体"/>
                <w:color w:val="auto"/>
                <w:sz w:val="24"/>
                <w:highlight w:val="none"/>
              </w:rPr>
            </w:pPr>
          </w:p>
        </w:tc>
      </w:tr>
      <w:tr w14:paraId="7DE6C7B5">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56F11F7">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692DC5E">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1566E91E">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1DBB3256">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64C0BAC2">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06679DF0">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0A894999">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1C684DA2">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7AE95D06">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ED65EF">
            <w:pPr>
              <w:spacing w:line="240" w:lineRule="exact"/>
              <w:jc w:val="center"/>
              <w:rPr>
                <w:rFonts w:ascii="宋体" w:hAnsi="宋体" w:cs="宋体"/>
                <w:color w:val="auto"/>
                <w:sz w:val="24"/>
                <w:highlight w:val="none"/>
              </w:rPr>
            </w:pPr>
          </w:p>
        </w:tc>
      </w:tr>
      <w:tr w14:paraId="436863AA">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06A5E37">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BCA5D2E">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01CC2A2D">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7D96A463">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63BAFD20">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160CD279">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7004BA62">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57AED67E">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43F7D0E7">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3FBC56">
            <w:pPr>
              <w:spacing w:line="240" w:lineRule="exact"/>
              <w:jc w:val="center"/>
              <w:rPr>
                <w:rFonts w:ascii="宋体" w:hAnsi="宋体" w:cs="宋体"/>
                <w:color w:val="auto"/>
                <w:sz w:val="24"/>
                <w:highlight w:val="none"/>
              </w:rPr>
            </w:pPr>
          </w:p>
        </w:tc>
      </w:tr>
      <w:tr w14:paraId="10A437C2">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F3445F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BE9E119">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1A09E00A">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3E3C4EC5">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276ECF2C">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1B1C1A1A">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74577F9E">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0B89028B">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30F36EDB">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09D98C">
            <w:pPr>
              <w:spacing w:line="240" w:lineRule="exact"/>
              <w:jc w:val="center"/>
              <w:rPr>
                <w:rFonts w:ascii="宋体" w:hAnsi="宋体" w:cs="宋体"/>
                <w:color w:val="auto"/>
                <w:sz w:val="24"/>
                <w:highlight w:val="none"/>
              </w:rPr>
            </w:pPr>
          </w:p>
        </w:tc>
      </w:tr>
    </w:tbl>
    <w:p w14:paraId="5473C6D0">
      <w:pPr>
        <w:adjustRightInd w:val="0"/>
        <w:spacing w:line="400" w:lineRule="exact"/>
        <w:jc w:val="left"/>
        <w:rPr>
          <w:rFonts w:ascii="宋体" w:hAnsi="宋体" w:cs="宋体"/>
          <w:b/>
          <w:color w:val="auto"/>
          <w:sz w:val="24"/>
          <w:highlight w:val="none"/>
        </w:rPr>
      </w:pPr>
    </w:p>
    <w:p w14:paraId="2BBD5433">
      <w:pPr>
        <w:adjustRightInd w:val="0"/>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注：1.本表所列岗位的所有管理人员的情况均应如实填写。可按以上格式扩展为多页填写；</w:t>
      </w:r>
    </w:p>
    <w:p w14:paraId="644E525D">
      <w:pPr>
        <w:adjustRightInd w:val="0"/>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2.附拟投入本项目主要管理人员有效的资格证书或岗位证书、身份证等相关资料复印件，并加盖单位公章。</w:t>
      </w:r>
    </w:p>
    <w:p w14:paraId="5B8019CB">
      <w:pPr>
        <w:adjustRightInd w:val="0"/>
        <w:spacing w:line="400" w:lineRule="exact"/>
        <w:jc w:val="left"/>
        <w:rPr>
          <w:rFonts w:ascii="宋体" w:hAnsi="宋体" w:cs="宋体"/>
          <w:color w:val="auto"/>
          <w:sz w:val="24"/>
          <w:highlight w:val="none"/>
        </w:rPr>
      </w:pPr>
    </w:p>
    <w:p w14:paraId="4A7A0124">
      <w:pPr>
        <w:adjustRightInd w:val="0"/>
        <w:spacing w:line="400" w:lineRule="exact"/>
        <w:ind w:firstLine="3684" w:firstLineChars="1535"/>
        <w:jc w:val="left"/>
        <w:rPr>
          <w:rFonts w:ascii="宋体" w:hAnsi="宋体" w:cs="宋体"/>
          <w:color w:val="auto"/>
          <w:sz w:val="24"/>
          <w:highlight w:val="none"/>
        </w:rPr>
      </w:pPr>
      <w:r>
        <w:rPr>
          <w:rFonts w:hint="eastAsia" w:ascii="宋体" w:hAnsi="宋体" w:cs="宋体"/>
          <w:color w:val="auto"/>
          <w:sz w:val="24"/>
          <w:highlight w:val="none"/>
        </w:rPr>
        <w:t>供应商名称（电子签章）：</w:t>
      </w:r>
    </w:p>
    <w:p w14:paraId="648B9B58">
      <w:pPr>
        <w:adjustRightInd w:val="0"/>
        <w:spacing w:line="400" w:lineRule="exact"/>
        <w:ind w:firstLine="3684" w:firstLineChars="1535"/>
        <w:jc w:val="left"/>
        <w:rPr>
          <w:rFonts w:ascii="宋体" w:hAnsi="宋体" w:cs="宋体"/>
          <w:color w:val="auto"/>
          <w:sz w:val="24"/>
          <w:highlight w:val="none"/>
          <w:lang w:val="zh-CN"/>
        </w:rPr>
      </w:pPr>
      <w:r>
        <w:rPr>
          <w:rFonts w:hint="eastAsia" w:ascii="宋体" w:hAnsi="宋体" w:cs="宋体"/>
          <w:color w:val="auto"/>
          <w:sz w:val="24"/>
          <w:highlight w:val="none"/>
        </w:rPr>
        <w:t xml:space="preserve">日期：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B8A3EBD">
      <w:pPr>
        <w:spacing w:line="500" w:lineRule="exact"/>
        <w:jc w:val="left"/>
        <w:rPr>
          <w:rFonts w:ascii="宋体" w:hAnsi="宋体" w:cs="宋体"/>
          <w:color w:val="auto"/>
          <w:sz w:val="24"/>
          <w:highlight w:val="none"/>
        </w:rPr>
      </w:pPr>
      <w:r>
        <w:rPr>
          <w:rFonts w:ascii="宋体" w:hAnsi="宋体" w:cs="宋体"/>
          <w:color w:val="auto"/>
          <w:sz w:val="24"/>
          <w:highlight w:val="none"/>
        </w:rPr>
        <w:br w:type="page"/>
      </w:r>
    </w:p>
    <w:p w14:paraId="72C40E37">
      <w:pPr>
        <w:pStyle w:val="2"/>
        <w:spacing w:before="0" w:after="0" w:line="240" w:lineRule="auto"/>
        <w:rPr>
          <w:rFonts w:ascii="宋体" w:hAnsi="宋体" w:eastAsia="宋体" w:cs="宋体"/>
          <w:color w:val="auto"/>
          <w:highlight w:val="none"/>
        </w:rPr>
      </w:pPr>
      <w:r>
        <w:rPr>
          <w:rFonts w:hint="eastAsia" w:ascii="宋体" w:hAnsi="宋体" w:eastAsia="宋体" w:cs="宋体"/>
          <w:color w:val="auto"/>
          <w:highlight w:val="none"/>
        </w:rPr>
        <w:t>八、202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1月1日以来承接过的同类项目业绩（如有）</w:t>
      </w:r>
    </w:p>
    <w:p w14:paraId="67780B22">
      <w:pPr>
        <w:rPr>
          <w:rFonts w:ascii="宋体" w:hAnsi="宋体" w:cs="宋体"/>
          <w:color w:val="auto"/>
          <w:highlight w:val="none"/>
        </w:rPr>
      </w:pPr>
    </w:p>
    <w:p w14:paraId="1BF78B0E">
      <w:pPr>
        <w:spacing w:afterLines="50"/>
        <w:jc w:val="center"/>
        <w:rPr>
          <w:rFonts w:ascii="宋体" w:hAnsi="宋体" w:cs="宋体"/>
          <w:b/>
          <w:bCs/>
          <w:color w:val="auto"/>
          <w:sz w:val="24"/>
          <w:highlight w:val="none"/>
        </w:rPr>
      </w:pPr>
      <w:r>
        <w:rPr>
          <w:rFonts w:hint="eastAsia" w:ascii="宋体" w:hAnsi="宋体" w:cs="宋体"/>
          <w:b/>
          <w:bCs/>
          <w:color w:val="auto"/>
          <w:sz w:val="24"/>
          <w:szCs w:val="22"/>
          <w:highlight w:val="none"/>
        </w:rPr>
        <w:t>202</w:t>
      </w:r>
      <w:r>
        <w:rPr>
          <w:rFonts w:hint="eastAsia" w:ascii="宋体" w:hAnsi="宋体" w:cs="宋体"/>
          <w:b/>
          <w:bCs/>
          <w:color w:val="auto"/>
          <w:sz w:val="24"/>
          <w:szCs w:val="22"/>
          <w:highlight w:val="none"/>
          <w:lang w:val="en-US" w:eastAsia="zh-CN"/>
        </w:rPr>
        <w:t>2</w:t>
      </w:r>
      <w:r>
        <w:rPr>
          <w:rFonts w:hint="eastAsia" w:ascii="宋体" w:hAnsi="宋体" w:cs="宋体"/>
          <w:b/>
          <w:bCs/>
          <w:color w:val="auto"/>
          <w:sz w:val="24"/>
          <w:szCs w:val="22"/>
          <w:highlight w:val="none"/>
        </w:rPr>
        <w:t>年</w:t>
      </w:r>
      <w:r>
        <w:rPr>
          <w:rFonts w:hint="eastAsia" w:ascii="宋体" w:hAnsi="宋体" w:cs="宋体"/>
          <w:b/>
          <w:bCs/>
          <w:color w:val="auto"/>
          <w:sz w:val="24"/>
          <w:szCs w:val="22"/>
          <w:highlight w:val="none"/>
          <w:lang w:val="en-US" w:eastAsia="zh-CN"/>
        </w:rPr>
        <w:t>1</w:t>
      </w:r>
      <w:r>
        <w:rPr>
          <w:rFonts w:hint="eastAsia" w:ascii="宋体" w:hAnsi="宋体" w:cs="宋体"/>
          <w:b/>
          <w:bCs/>
          <w:color w:val="auto"/>
          <w:sz w:val="24"/>
          <w:szCs w:val="22"/>
          <w:highlight w:val="none"/>
        </w:rPr>
        <w:t>1月1日以来承接过的同类项目业绩表</w:t>
      </w:r>
    </w:p>
    <w:tbl>
      <w:tblPr>
        <w:tblStyle w:val="29"/>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90"/>
        <w:gridCol w:w="1575"/>
        <w:gridCol w:w="1374"/>
        <w:gridCol w:w="809"/>
        <w:gridCol w:w="1325"/>
        <w:gridCol w:w="1216"/>
        <w:gridCol w:w="961"/>
      </w:tblGrid>
      <w:tr w14:paraId="7BB0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21" w:type="dxa"/>
            <w:vAlign w:val="center"/>
          </w:tcPr>
          <w:p w14:paraId="2401E568">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90" w:type="dxa"/>
            <w:vAlign w:val="center"/>
          </w:tcPr>
          <w:p w14:paraId="6EF769F6">
            <w:pPr>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1575" w:type="dxa"/>
            <w:vAlign w:val="center"/>
          </w:tcPr>
          <w:p w14:paraId="4E153264">
            <w:pPr>
              <w:jc w:val="center"/>
              <w:rPr>
                <w:rFonts w:ascii="宋体" w:hAnsi="宋体" w:cs="宋体"/>
                <w:color w:val="auto"/>
                <w:sz w:val="24"/>
                <w:highlight w:val="none"/>
              </w:rPr>
            </w:pPr>
            <w:r>
              <w:rPr>
                <w:rFonts w:hint="eastAsia" w:ascii="宋体" w:hAnsi="宋体" w:cs="宋体"/>
                <w:color w:val="auto"/>
                <w:sz w:val="24"/>
                <w:highlight w:val="none"/>
              </w:rPr>
              <w:t>工程名称及建设地点</w:t>
            </w:r>
          </w:p>
        </w:tc>
        <w:tc>
          <w:tcPr>
            <w:tcW w:w="1374" w:type="dxa"/>
            <w:vAlign w:val="center"/>
          </w:tcPr>
          <w:p w14:paraId="1DD8B642">
            <w:pPr>
              <w:jc w:val="center"/>
              <w:rPr>
                <w:rFonts w:ascii="宋体" w:hAnsi="宋体" w:cs="宋体"/>
                <w:color w:val="auto"/>
                <w:sz w:val="24"/>
                <w:highlight w:val="none"/>
              </w:rPr>
            </w:pPr>
            <w:r>
              <w:rPr>
                <w:rFonts w:hint="eastAsia" w:ascii="宋体" w:hAnsi="宋体" w:cs="宋体"/>
                <w:color w:val="auto"/>
                <w:sz w:val="24"/>
                <w:highlight w:val="none"/>
              </w:rPr>
              <w:t>结构类型</w:t>
            </w:r>
          </w:p>
        </w:tc>
        <w:tc>
          <w:tcPr>
            <w:tcW w:w="809" w:type="dxa"/>
            <w:vAlign w:val="center"/>
          </w:tcPr>
          <w:p w14:paraId="383C85D2">
            <w:pPr>
              <w:jc w:val="center"/>
              <w:rPr>
                <w:rFonts w:ascii="宋体" w:hAnsi="宋体" w:cs="宋体"/>
                <w:color w:val="auto"/>
                <w:sz w:val="24"/>
                <w:highlight w:val="none"/>
              </w:rPr>
            </w:pPr>
            <w:r>
              <w:rPr>
                <w:rFonts w:hint="eastAsia" w:ascii="宋体" w:hAnsi="宋体" w:cs="宋体"/>
                <w:color w:val="auto"/>
                <w:sz w:val="24"/>
                <w:highlight w:val="none"/>
              </w:rPr>
              <w:t>建设</w:t>
            </w:r>
          </w:p>
          <w:p w14:paraId="454AC7E7">
            <w:pPr>
              <w:jc w:val="center"/>
              <w:rPr>
                <w:rFonts w:ascii="宋体" w:hAnsi="宋体" w:cs="宋体"/>
                <w:color w:val="auto"/>
                <w:sz w:val="24"/>
                <w:highlight w:val="none"/>
              </w:rPr>
            </w:pPr>
            <w:r>
              <w:rPr>
                <w:rFonts w:hint="eastAsia" w:ascii="宋体" w:hAnsi="宋体" w:cs="宋体"/>
                <w:color w:val="auto"/>
                <w:sz w:val="24"/>
                <w:highlight w:val="none"/>
              </w:rPr>
              <w:t>规模</w:t>
            </w:r>
          </w:p>
        </w:tc>
        <w:tc>
          <w:tcPr>
            <w:tcW w:w="1325" w:type="dxa"/>
            <w:vAlign w:val="center"/>
          </w:tcPr>
          <w:p w14:paraId="34007887">
            <w:pPr>
              <w:jc w:val="center"/>
              <w:rPr>
                <w:rFonts w:ascii="宋体" w:hAnsi="宋体" w:cs="宋体"/>
                <w:color w:val="auto"/>
                <w:sz w:val="24"/>
                <w:highlight w:val="none"/>
              </w:rPr>
            </w:pPr>
            <w:r>
              <w:rPr>
                <w:rFonts w:hint="eastAsia" w:ascii="宋体" w:hAnsi="宋体" w:cs="宋体"/>
                <w:color w:val="auto"/>
                <w:sz w:val="24"/>
                <w:highlight w:val="none"/>
              </w:rPr>
              <w:t>合同金额</w:t>
            </w:r>
          </w:p>
          <w:p w14:paraId="60332F97">
            <w:pPr>
              <w:jc w:val="center"/>
              <w:rPr>
                <w:rFonts w:ascii="宋体" w:hAnsi="宋体" w:cs="宋体"/>
                <w:color w:val="auto"/>
                <w:sz w:val="24"/>
                <w:highlight w:val="none"/>
              </w:rPr>
            </w:pPr>
            <w:r>
              <w:rPr>
                <w:rFonts w:hint="eastAsia" w:ascii="宋体" w:hAnsi="宋体" w:cs="宋体"/>
                <w:color w:val="auto"/>
                <w:sz w:val="24"/>
                <w:highlight w:val="none"/>
              </w:rPr>
              <w:t>（万元）</w:t>
            </w:r>
          </w:p>
        </w:tc>
        <w:tc>
          <w:tcPr>
            <w:tcW w:w="1216" w:type="dxa"/>
            <w:vAlign w:val="center"/>
          </w:tcPr>
          <w:p w14:paraId="06761513">
            <w:pPr>
              <w:jc w:val="center"/>
              <w:rPr>
                <w:rFonts w:ascii="宋体" w:hAnsi="宋体" w:cs="宋体"/>
                <w:color w:val="auto"/>
                <w:sz w:val="24"/>
                <w:highlight w:val="none"/>
              </w:rPr>
            </w:pPr>
            <w:r>
              <w:rPr>
                <w:rFonts w:hint="eastAsia" w:ascii="宋体" w:hAnsi="宋体" w:cs="宋体"/>
                <w:color w:val="auto"/>
                <w:sz w:val="24"/>
                <w:highlight w:val="none"/>
              </w:rPr>
              <w:t>竣工达到质量标准</w:t>
            </w:r>
          </w:p>
        </w:tc>
        <w:tc>
          <w:tcPr>
            <w:tcW w:w="961" w:type="dxa"/>
            <w:vAlign w:val="center"/>
          </w:tcPr>
          <w:p w14:paraId="21EC7729">
            <w:pPr>
              <w:jc w:val="center"/>
              <w:rPr>
                <w:rFonts w:ascii="宋体" w:hAnsi="宋体" w:cs="宋体"/>
                <w:color w:val="auto"/>
                <w:sz w:val="24"/>
                <w:highlight w:val="none"/>
              </w:rPr>
            </w:pPr>
            <w:r>
              <w:rPr>
                <w:rFonts w:hint="eastAsia" w:ascii="宋体" w:hAnsi="宋体" w:cs="宋体"/>
                <w:color w:val="auto"/>
                <w:sz w:val="24"/>
                <w:highlight w:val="none"/>
              </w:rPr>
              <w:t>开竣工日期</w:t>
            </w:r>
          </w:p>
        </w:tc>
      </w:tr>
      <w:tr w14:paraId="7C3D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1" w:type="dxa"/>
            <w:vAlign w:val="center"/>
          </w:tcPr>
          <w:p w14:paraId="3296AEF2">
            <w:pPr>
              <w:jc w:val="center"/>
              <w:rPr>
                <w:rFonts w:ascii="宋体" w:hAnsi="宋体" w:cs="宋体"/>
                <w:color w:val="auto"/>
                <w:sz w:val="24"/>
                <w:highlight w:val="none"/>
              </w:rPr>
            </w:pPr>
          </w:p>
        </w:tc>
        <w:tc>
          <w:tcPr>
            <w:tcW w:w="1590" w:type="dxa"/>
            <w:vAlign w:val="center"/>
          </w:tcPr>
          <w:p w14:paraId="2AED38AA">
            <w:pPr>
              <w:jc w:val="center"/>
              <w:rPr>
                <w:rFonts w:ascii="宋体" w:hAnsi="宋体" w:cs="宋体"/>
                <w:color w:val="auto"/>
                <w:sz w:val="24"/>
                <w:highlight w:val="none"/>
              </w:rPr>
            </w:pPr>
          </w:p>
        </w:tc>
        <w:tc>
          <w:tcPr>
            <w:tcW w:w="1575" w:type="dxa"/>
            <w:vAlign w:val="center"/>
          </w:tcPr>
          <w:p w14:paraId="7FD61C61">
            <w:pPr>
              <w:jc w:val="center"/>
              <w:rPr>
                <w:rFonts w:ascii="宋体" w:hAnsi="宋体" w:cs="宋体"/>
                <w:color w:val="auto"/>
                <w:sz w:val="24"/>
                <w:highlight w:val="none"/>
              </w:rPr>
            </w:pPr>
          </w:p>
        </w:tc>
        <w:tc>
          <w:tcPr>
            <w:tcW w:w="1374" w:type="dxa"/>
            <w:vAlign w:val="center"/>
          </w:tcPr>
          <w:p w14:paraId="627DF6F6">
            <w:pPr>
              <w:jc w:val="center"/>
              <w:rPr>
                <w:rFonts w:ascii="宋体" w:hAnsi="宋体" w:cs="宋体"/>
                <w:color w:val="auto"/>
                <w:sz w:val="24"/>
                <w:highlight w:val="none"/>
              </w:rPr>
            </w:pPr>
          </w:p>
        </w:tc>
        <w:tc>
          <w:tcPr>
            <w:tcW w:w="809" w:type="dxa"/>
            <w:vAlign w:val="center"/>
          </w:tcPr>
          <w:p w14:paraId="33E917BC">
            <w:pPr>
              <w:jc w:val="center"/>
              <w:rPr>
                <w:rFonts w:ascii="宋体" w:hAnsi="宋体" w:cs="宋体"/>
                <w:color w:val="auto"/>
                <w:sz w:val="24"/>
                <w:highlight w:val="none"/>
              </w:rPr>
            </w:pPr>
          </w:p>
        </w:tc>
        <w:tc>
          <w:tcPr>
            <w:tcW w:w="1325" w:type="dxa"/>
            <w:vAlign w:val="center"/>
          </w:tcPr>
          <w:p w14:paraId="4EA7EFE8">
            <w:pPr>
              <w:jc w:val="center"/>
              <w:rPr>
                <w:rFonts w:ascii="宋体" w:hAnsi="宋体" w:cs="宋体"/>
                <w:color w:val="auto"/>
                <w:sz w:val="24"/>
                <w:highlight w:val="none"/>
              </w:rPr>
            </w:pPr>
          </w:p>
        </w:tc>
        <w:tc>
          <w:tcPr>
            <w:tcW w:w="1216" w:type="dxa"/>
            <w:vAlign w:val="center"/>
          </w:tcPr>
          <w:p w14:paraId="1F22E643">
            <w:pPr>
              <w:jc w:val="center"/>
              <w:rPr>
                <w:rFonts w:ascii="宋体" w:hAnsi="宋体" w:cs="宋体"/>
                <w:color w:val="auto"/>
                <w:sz w:val="24"/>
                <w:highlight w:val="none"/>
              </w:rPr>
            </w:pPr>
          </w:p>
        </w:tc>
        <w:tc>
          <w:tcPr>
            <w:tcW w:w="961" w:type="dxa"/>
            <w:vAlign w:val="center"/>
          </w:tcPr>
          <w:p w14:paraId="23933C89">
            <w:pPr>
              <w:jc w:val="center"/>
              <w:rPr>
                <w:rFonts w:ascii="宋体" w:hAnsi="宋体" w:cs="宋体"/>
                <w:color w:val="auto"/>
                <w:sz w:val="24"/>
                <w:highlight w:val="none"/>
              </w:rPr>
            </w:pPr>
          </w:p>
        </w:tc>
      </w:tr>
      <w:tr w14:paraId="13A6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1" w:type="dxa"/>
            <w:vAlign w:val="center"/>
          </w:tcPr>
          <w:p w14:paraId="62222B23">
            <w:pPr>
              <w:jc w:val="center"/>
              <w:rPr>
                <w:rFonts w:ascii="宋体" w:hAnsi="宋体" w:cs="宋体"/>
                <w:color w:val="auto"/>
                <w:sz w:val="24"/>
                <w:highlight w:val="none"/>
              </w:rPr>
            </w:pPr>
          </w:p>
        </w:tc>
        <w:tc>
          <w:tcPr>
            <w:tcW w:w="1590" w:type="dxa"/>
            <w:vAlign w:val="center"/>
          </w:tcPr>
          <w:p w14:paraId="2103DE4B">
            <w:pPr>
              <w:jc w:val="center"/>
              <w:rPr>
                <w:rFonts w:ascii="宋体" w:hAnsi="宋体" w:cs="宋体"/>
                <w:color w:val="auto"/>
                <w:sz w:val="24"/>
                <w:highlight w:val="none"/>
              </w:rPr>
            </w:pPr>
          </w:p>
        </w:tc>
        <w:tc>
          <w:tcPr>
            <w:tcW w:w="1575" w:type="dxa"/>
            <w:vAlign w:val="center"/>
          </w:tcPr>
          <w:p w14:paraId="7A1B079B">
            <w:pPr>
              <w:jc w:val="center"/>
              <w:rPr>
                <w:rFonts w:ascii="宋体" w:hAnsi="宋体" w:cs="宋体"/>
                <w:color w:val="auto"/>
                <w:sz w:val="24"/>
                <w:highlight w:val="none"/>
              </w:rPr>
            </w:pPr>
          </w:p>
        </w:tc>
        <w:tc>
          <w:tcPr>
            <w:tcW w:w="1374" w:type="dxa"/>
            <w:vAlign w:val="center"/>
          </w:tcPr>
          <w:p w14:paraId="109257DB">
            <w:pPr>
              <w:jc w:val="center"/>
              <w:rPr>
                <w:rFonts w:ascii="宋体" w:hAnsi="宋体" w:cs="宋体"/>
                <w:color w:val="auto"/>
                <w:sz w:val="24"/>
                <w:highlight w:val="none"/>
              </w:rPr>
            </w:pPr>
          </w:p>
        </w:tc>
        <w:tc>
          <w:tcPr>
            <w:tcW w:w="809" w:type="dxa"/>
            <w:vAlign w:val="center"/>
          </w:tcPr>
          <w:p w14:paraId="43D99E91">
            <w:pPr>
              <w:jc w:val="center"/>
              <w:rPr>
                <w:rFonts w:ascii="宋体" w:hAnsi="宋体" w:cs="宋体"/>
                <w:color w:val="auto"/>
                <w:sz w:val="24"/>
                <w:highlight w:val="none"/>
              </w:rPr>
            </w:pPr>
          </w:p>
        </w:tc>
        <w:tc>
          <w:tcPr>
            <w:tcW w:w="1325" w:type="dxa"/>
            <w:vAlign w:val="center"/>
          </w:tcPr>
          <w:p w14:paraId="19AA1B6F">
            <w:pPr>
              <w:jc w:val="center"/>
              <w:rPr>
                <w:rFonts w:ascii="宋体" w:hAnsi="宋体" w:cs="宋体"/>
                <w:color w:val="auto"/>
                <w:sz w:val="24"/>
                <w:highlight w:val="none"/>
              </w:rPr>
            </w:pPr>
          </w:p>
        </w:tc>
        <w:tc>
          <w:tcPr>
            <w:tcW w:w="1216" w:type="dxa"/>
            <w:vAlign w:val="center"/>
          </w:tcPr>
          <w:p w14:paraId="3381E723">
            <w:pPr>
              <w:jc w:val="center"/>
              <w:rPr>
                <w:rFonts w:ascii="宋体" w:hAnsi="宋体" w:cs="宋体"/>
                <w:color w:val="auto"/>
                <w:sz w:val="24"/>
                <w:highlight w:val="none"/>
              </w:rPr>
            </w:pPr>
          </w:p>
        </w:tc>
        <w:tc>
          <w:tcPr>
            <w:tcW w:w="961" w:type="dxa"/>
            <w:vAlign w:val="center"/>
          </w:tcPr>
          <w:p w14:paraId="5A5EDEA4">
            <w:pPr>
              <w:jc w:val="center"/>
              <w:rPr>
                <w:rFonts w:ascii="宋体" w:hAnsi="宋体" w:cs="宋体"/>
                <w:color w:val="auto"/>
                <w:sz w:val="24"/>
                <w:highlight w:val="none"/>
              </w:rPr>
            </w:pPr>
          </w:p>
        </w:tc>
      </w:tr>
      <w:tr w14:paraId="1DFF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14:paraId="4BED9221">
            <w:pPr>
              <w:jc w:val="center"/>
              <w:rPr>
                <w:rFonts w:ascii="宋体" w:hAnsi="宋体" w:cs="宋体"/>
                <w:color w:val="auto"/>
                <w:sz w:val="24"/>
                <w:highlight w:val="none"/>
              </w:rPr>
            </w:pPr>
          </w:p>
        </w:tc>
        <w:tc>
          <w:tcPr>
            <w:tcW w:w="1590" w:type="dxa"/>
            <w:vAlign w:val="center"/>
          </w:tcPr>
          <w:p w14:paraId="0CDF12C2">
            <w:pPr>
              <w:jc w:val="center"/>
              <w:rPr>
                <w:rFonts w:ascii="宋体" w:hAnsi="宋体" w:cs="宋体"/>
                <w:color w:val="auto"/>
                <w:sz w:val="24"/>
                <w:highlight w:val="none"/>
              </w:rPr>
            </w:pPr>
          </w:p>
        </w:tc>
        <w:tc>
          <w:tcPr>
            <w:tcW w:w="1575" w:type="dxa"/>
            <w:vAlign w:val="center"/>
          </w:tcPr>
          <w:p w14:paraId="3D9B1C10">
            <w:pPr>
              <w:jc w:val="center"/>
              <w:rPr>
                <w:rFonts w:ascii="宋体" w:hAnsi="宋体" w:cs="宋体"/>
                <w:color w:val="auto"/>
                <w:sz w:val="24"/>
                <w:highlight w:val="none"/>
              </w:rPr>
            </w:pPr>
          </w:p>
        </w:tc>
        <w:tc>
          <w:tcPr>
            <w:tcW w:w="1374" w:type="dxa"/>
            <w:vAlign w:val="center"/>
          </w:tcPr>
          <w:p w14:paraId="6F8049D8">
            <w:pPr>
              <w:jc w:val="center"/>
              <w:rPr>
                <w:rFonts w:ascii="宋体" w:hAnsi="宋体" w:cs="宋体"/>
                <w:color w:val="auto"/>
                <w:sz w:val="24"/>
                <w:highlight w:val="none"/>
              </w:rPr>
            </w:pPr>
          </w:p>
        </w:tc>
        <w:tc>
          <w:tcPr>
            <w:tcW w:w="809" w:type="dxa"/>
            <w:vAlign w:val="center"/>
          </w:tcPr>
          <w:p w14:paraId="03816335">
            <w:pPr>
              <w:jc w:val="center"/>
              <w:rPr>
                <w:rFonts w:ascii="宋体" w:hAnsi="宋体" w:cs="宋体"/>
                <w:color w:val="auto"/>
                <w:sz w:val="24"/>
                <w:highlight w:val="none"/>
              </w:rPr>
            </w:pPr>
          </w:p>
        </w:tc>
        <w:tc>
          <w:tcPr>
            <w:tcW w:w="1325" w:type="dxa"/>
            <w:vAlign w:val="center"/>
          </w:tcPr>
          <w:p w14:paraId="415A4D78">
            <w:pPr>
              <w:jc w:val="center"/>
              <w:rPr>
                <w:rFonts w:ascii="宋体" w:hAnsi="宋体" w:cs="宋体"/>
                <w:color w:val="auto"/>
                <w:sz w:val="24"/>
                <w:highlight w:val="none"/>
              </w:rPr>
            </w:pPr>
          </w:p>
        </w:tc>
        <w:tc>
          <w:tcPr>
            <w:tcW w:w="1216" w:type="dxa"/>
            <w:vAlign w:val="center"/>
          </w:tcPr>
          <w:p w14:paraId="5228CDF4">
            <w:pPr>
              <w:jc w:val="center"/>
              <w:rPr>
                <w:rFonts w:ascii="宋体" w:hAnsi="宋体" w:cs="宋体"/>
                <w:color w:val="auto"/>
                <w:sz w:val="24"/>
                <w:highlight w:val="none"/>
              </w:rPr>
            </w:pPr>
          </w:p>
        </w:tc>
        <w:tc>
          <w:tcPr>
            <w:tcW w:w="961" w:type="dxa"/>
            <w:vAlign w:val="center"/>
          </w:tcPr>
          <w:p w14:paraId="68AF2FE0">
            <w:pPr>
              <w:jc w:val="center"/>
              <w:rPr>
                <w:rFonts w:ascii="宋体" w:hAnsi="宋体" w:cs="宋体"/>
                <w:color w:val="auto"/>
                <w:sz w:val="24"/>
                <w:highlight w:val="none"/>
              </w:rPr>
            </w:pPr>
          </w:p>
        </w:tc>
      </w:tr>
      <w:tr w14:paraId="56DF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14:paraId="79BC1790">
            <w:pPr>
              <w:jc w:val="center"/>
              <w:rPr>
                <w:rFonts w:ascii="宋体" w:hAnsi="宋体" w:cs="宋体"/>
                <w:color w:val="auto"/>
                <w:sz w:val="24"/>
                <w:highlight w:val="none"/>
              </w:rPr>
            </w:pPr>
          </w:p>
        </w:tc>
        <w:tc>
          <w:tcPr>
            <w:tcW w:w="1590" w:type="dxa"/>
            <w:vAlign w:val="center"/>
          </w:tcPr>
          <w:p w14:paraId="6E16A96A">
            <w:pPr>
              <w:jc w:val="center"/>
              <w:rPr>
                <w:rFonts w:ascii="宋体" w:hAnsi="宋体" w:cs="宋体"/>
                <w:color w:val="auto"/>
                <w:sz w:val="24"/>
                <w:highlight w:val="none"/>
              </w:rPr>
            </w:pPr>
          </w:p>
        </w:tc>
        <w:tc>
          <w:tcPr>
            <w:tcW w:w="1575" w:type="dxa"/>
            <w:vAlign w:val="center"/>
          </w:tcPr>
          <w:p w14:paraId="47D63D3D">
            <w:pPr>
              <w:jc w:val="center"/>
              <w:rPr>
                <w:rFonts w:ascii="宋体" w:hAnsi="宋体" w:cs="宋体"/>
                <w:color w:val="auto"/>
                <w:sz w:val="24"/>
                <w:highlight w:val="none"/>
              </w:rPr>
            </w:pPr>
          </w:p>
        </w:tc>
        <w:tc>
          <w:tcPr>
            <w:tcW w:w="1374" w:type="dxa"/>
            <w:vAlign w:val="center"/>
          </w:tcPr>
          <w:p w14:paraId="1E12DC76">
            <w:pPr>
              <w:jc w:val="center"/>
              <w:rPr>
                <w:rFonts w:ascii="宋体" w:hAnsi="宋体" w:cs="宋体"/>
                <w:color w:val="auto"/>
                <w:sz w:val="24"/>
                <w:highlight w:val="none"/>
              </w:rPr>
            </w:pPr>
          </w:p>
        </w:tc>
        <w:tc>
          <w:tcPr>
            <w:tcW w:w="809" w:type="dxa"/>
            <w:vAlign w:val="center"/>
          </w:tcPr>
          <w:p w14:paraId="59FE032C">
            <w:pPr>
              <w:jc w:val="center"/>
              <w:rPr>
                <w:rFonts w:ascii="宋体" w:hAnsi="宋体" w:cs="宋体"/>
                <w:color w:val="auto"/>
                <w:sz w:val="24"/>
                <w:highlight w:val="none"/>
              </w:rPr>
            </w:pPr>
          </w:p>
        </w:tc>
        <w:tc>
          <w:tcPr>
            <w:tcW w:w="1325" w:type="dxa"/>
            <w:vAlign w:val="center"/>
          </w:tcPr>
          <w:p w14:paraId="255CE66A">
            <w:pPr>
              <w:jc w:val="center"/>
              <w:rPr>
                <w:rFonts w:ascii="宋体" w:hAnsi="宋体" w:cs="宋体"/>
                <w:color w:val="auto"/>
                <w:sz w:val="24"/>
                <w:highlight w:val="none"/>
              </w:rPr>
            </w:pPr>
          </w:p>
        </w:tc>
        <w:tc>
          <w:tcPr>
            <w:tcW w:w="1216" w:type="dxa"/>
            <w:vAlign w:val="center"/>
          </w:tcPr>
          <w:p w14:paraId="43E5C79B">
            <w:pPr>
              <w:jc w:val="center"/>
              <w:rPr>
                <w:rFonts w:ascii="宋体" w:hAnsi="宋体" w:cs="宋体"/>
                <w:color w:val="auto"/>
                <w:sz w:val="24"/>
                <w:highlight w:val="none"/>
              </w:rPr>
            </w:pPr>
          </w:p>
        </w:tc>
        <w:tc>
          <w:tcPr>
            <w:tcW w:w="961" w:type="dxa"/>
            <w:vAlign w:val="center"/>
          </w:tcPr>
          <w:p w14:paraId="00756F13">
            <w:pPr>
              <w:jc w:val="center"/>
              <w:rPr>
                <w:rFonts w:ascii="宋体" w:hAnsi="宋体" w:cs="宋体"/>
                <w:color w:val="auto"/>
                <w:sz w:val="24"/>
                <w:highlight w:val="none"/>
              </w:rPr>
            </w:pPr>
          </w:p>
        </w:tc>
      </w:tr>
      <w:tr w14:paraId="2773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14:paraId="547E4C79">
            <w:pPr>
              <w:jc w:val="center"/>
              <w:rPr>
                <w:rFonts w:ascii="宋体" w:hAnsi="宋体" w:cs="宋体"/>
                <w:color w:val="auto"/>
                <w:sz w:val="24"/>
                <w:highlight w:val="none"/>
              </w:rPr>
            </w:pPr>
          </w:p>
        </w:tc>
        <w:tc>
          <w:tcPr>
            <w:tcW w:w="1590" w:type="dxa"/>
            <w:vAlign w:val="center"/>
          </w:tcPr>
          <w:p w14:paraId="6FAB1838">
            <w:pPr>
              <w:jc w:val="center"/>
              <w:rPr>
                <w:rFonts w:ascii="宋体" w:hAnsi="宋体" w:cs="宋体"/>
                <w:color w:val="auto"/>
                <w:sz w:val="24"/>
                <w:highlight w:val="none"/>
              </w:rPr>
            </w:pPr>
          </w:p>
        </w:tc>
        <w:tc>
          <w:tcPr>
            <w:tcW w:w="1575" w:type="dxa"/>
            <w:vAlign w:val="center"/>
          </w:tcPr>
          <w:p w14:paraId="55EEEA3A">
            <w:pPr>
              <w:jc w:val="center"/>
              <w:rPr>
                <w:rFonts w:ascii="宋体" w:hAnsi="宋体" w:cs="宋体"/>
                <w:color w:val="auto"/>
                <w:sz w:val="24"/>
                <w:highlight w:val="none"/>
              </w:rPr>
            </w:pPr>
          </w:p>
        </w:tc>
        <w:tc>
          <w:tcPr>
            <w:tcW w:w="1374" w:type="dxa"/>
            <w:vAlign w:val="center"/>
          </w:tcPr>
          <w:p w14:paraId="51EFADC5">
            <w:pPr>
              <w:jc w:val="center"/>
              <w:rPr>
                <w:rFonts w:ascii="宋体" w:hAnsi="宋体" w:cs="宋体"/>
                <w:color w:val="auto"/>
                <w:sz w:val="24"/>
                <w:highlight w:val="none"/>
              </w:rPr>
            </w:pPr>
          </w:p>
        </w:tc>
        <w:tc>
          <w:tcPr>
            <w:tcW w:w="809" w:type="dxa"/>
            <w:vAlign w:val="center"/>
          </w:tcPr>
          <w:p w14:paraId="3565B7D9">
            <w:pPr>
              <w:jc w:val="center"/>
              <w:rPr>
                <w:rFonts w:ascii="宋体" w:hAnsi="宋体" w:cs="宋体"/>
                <w:color w:val="auto"/>
                <w:sz w:val="24"/>
                <w:highlight w:val="none"/>
              </w:rPr>
            </w:pPr>
          </w:p>
        </w:tc>
        <w:tc>
          <w:tcPr>
            <w:tcW w:w="1325" w:type="dxa"/>
            <w:vAlign w:val="center"/>
          </w:tcPr>
          <w:p w14:paraId="788FB03F">
            <w:pPr>
              <w:jc w:val="center"/>
              <w:rPr>
                <w:rFonts w:ascii="宋体" w:hAnsi="宋体" w:cs="宋体"/>
                <w:color w:val="auto"/>
                <w:sz w:val="24"/>
                <w:highlight w:val="none"/>
              </w:rPr>
            </w:pPr>
          </w:p>
        </w:tc>
        <w:tc>
          <w:tcPr>
            <w:tcW w:w="1216" w:type="dxa"/>
            <w:vAlign w:val="center"/>
          </w:tcPr>
          <w:p w14:paraId="413B3A72">
            <w:pPr>
              <w:jc w:val="center"/>
              <w:rPr>
                <w:rFonts w:ascii="宋体" w:hAnsi="宋体" w:cs="宋体"/>
                <w:color w:val="auto"/>
                <w:sz w:val="24"/>
                <w:highlight w:val="none"/>
              </w:rPr>
            </w:pPr>
          </w:p>
        </w:tc>
        <w:tc>
          <w:tcPr>
            <w:tcW w:w="961" w:type="dxa"/>
            <w:vAlign w:val="center"/>
          </w:tcPr>
          <w:p w14:paraId="3802BB42">
            <w:pPr>
              <w:jc w:val="center"/>
              <w:rPr>
                <w:rFonts w:ascii="宋体" w:hAnsi="宋体" w:cs="宋体"/>
                <w:color w:val="auto"/>
                <w:sz w:val="24"/>
                <w:highlight w:val="none"/>
              </w:rPr>
            </w:pPr>
          </w:p>
        </w:tc>
      </w:tr>
    </w:tbl>
    <w:p w14:paraId="28834ECC">
      <w:pPr>
        <w:pStyle w:val="17"/>
        <w:jc w:val="center"/>
        <w:rPr>
          <w:rFonts w:hAnsi="宋体" w:cs="宋体"/>
          <w:color w:val="auto"/>
          <w:kern w:val="2"/>
          <w:sz w:val="32"/>
          <w:highlight w:val="none"/>
        </w:rPr>
      </w:pPr>
    </w:p>
    <w:p w14:paraId="20211F94">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color w:val="auto"/>
          <w:sz w:val="24"/>
          <w:highlight w:val="none"/>
        </w:rPr>
        <w:t>须提供中标通知书或施工合同或竣工验收报告复印件</w:t>
      </w:r>
      <w:r>
        <w:rPr>
          <w:rFonts w:hint="eastAsia" w:ascii="宋体" w:hAnsi="宋体" w:cs="宋体"/>
          <w:b/>
          <w:bCs/>
          <w:color w:val="auto"/>
          <w:sz w:val="24"/>
          <w:highlight w:val="none"/>
        </w:rPr>
        <w:t>，以及供应商认为需要增加的其他证明材料复印件，以上复印件均须加盖供应商单位公章。</w:t>
      </w:r>
    </w:p>
    <w:p w14:paraId="7D40432F">
      <w:pPr>
        <w:rPr>
          <w:rFonts w:ascii="宋体" w:hAnsi="宋体"/>
          <w:color w:val="auto"/>
          <w:highlight w:val="none"/>
          <w:lang w:val="zh-CN"/>
        </w:rPr>
      </w:pPr>
    </w:p>
    <w:p w14:paraId="146A34D9">
      <w:pPr>
        <w:rPr>
          <w:rFonts w:ascii="宋体" w:hAnsi="宋体"/>
          <w:color w:val="auto"/>
          <w:highlight w:val="none"/>
        </w:rPr>
      </w:pPr>
    </w:p>
    <w:p w14:paraId="61EEF209">
      <w:pPr>
        <w:adjustRightInd w:val="0"/>
        <w:spacing w:line="400" w:lineRule="exact"/>
        <w:jc w:val="left"/>
        <w:rPr>
          <w:rFonts w:ascii="宋体" w:hAnsi="宋体" w:cs="宋体"/>
          <w:color w:val="auto"/>
          <w:sz w:val="24"/>
          <w:highlight w:val="none"/>
        </w:rPr>
      </w:pPr>
    </w:p>
    <w:p w14:paraId="4C36B88D">
      <w:pPr>
        <w:adjustRightInd w:val="0"/>
        <w:spacing w:line="400" w:lineRule="exact"/>
        <w:ind w:firstLine="3684" w:firstLineChars="1535"/>
        <w:jc w:val="left"/>
        <w:rPr>
          <w:rFonts w:ascii="宋体" w:hAnsi="宋体" w:cs="宋体"/>
          <w:color w:val="auto"/>
          <w:sz w:val="24"/>
          <w:highlight w:val="none"/>
        </w:rPr>
      </w:pPr>
      <w:r>
        <w:rPr>
          <w:rFonts w:hint="eastAsia" w:ascii="宋体" w:hAnsi="宋体" w:cs="宋体"/>
          <w:color w:val="auto"/>
          <w:sz w:val="24"/>
          <w:highlight w:val="none"/>
        </w:rPr>
        <w:t>供应商名称（电子签章）：</w:t>
      </w:r>
    </w:p>
    <w:p w14:paraId="3DC1E286">
      <w:pPr>
        <w:adjustRightInd w:val="0"/>
        <w:spacing w:line="400" w:lineRule="exact"/>
        <w:ind w:firstLine="3684" w:firstLineChars="1535"/>
        <w:jc w:val="left"/>
        <w:rPr>
          <w:rFonts w:ascii="宋体" w:hAnsi="宋体" w:cs="宋体"/>
          <w:color w:val="auto"/>
          <w:sz w:val="24"/>
          <w:highlight w:val="none"/>
          <w:lang w:val="zh-CN"/>
        </w:rPr>
      </w:pPr>
      <w:r>
        <w:rPr>
          <w:rFonts w:hint="eastAsia" w:ascii="宋体" w:hAnsi="宋体" w:cs="宋体"/>
          <w:color w:val="auto"/>
          <w:sz w:val="24"/>
          <w:highlight w:val="none"/>
        </w:rPr>
        <w:t xml:space="preserve">日期：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369D54CF">
      <w:pPr>
        <w:spacing w:line="500" w:lineRule="exact"/>
        <w:jc w:val="left"/>
        <w:rPr>
          <w:rFonts w:ascii="宋体" w:hAnsi="宋体" w:cs="宋体"/>
          <w:color w:val="auto"/>
          <w:sz w:val="24"/>
          <w:highlight w:val="none"/>
        </w:rPr>
      </w:pPr>
      <w:r>
        <w:rPr>
          <w:rFonts w:ascii="宋体" w:hAnsi="宋体" w:cs="宋体"/>
          <w:color w:val="auto"/>
          <w:sz w:val="24"/>
          <w:highlight w:val="none"/>
        </w:rPr>
        <w:br w:type="page"/>
      </w:r>
    </w:p>
    <w:p w14:paraId="23DE4B85">
      <w:pPr>
        <w:pStyle w:val="4"/>
        <w:spacing w:before="0" w:after="0" w:line="360" w:lineRule="auto"/>
        <w:jc w:val="center"/>
        <w:rPr>
          <w:rFonts w:ascii="宋体" w:hAnsi="宋体" w:cs="宋体"/>
          <w:color w:val="auto"/>
          <w:highlight w:val="none"/>
        </w:rPr>
      </w:pPr>
      <w:bookmarkStart w:id="90" w:name="_Toc4530"/>
      <w:bookmarkStart w:id="91" w:name="_Toc80205941"/>
      <w:r>
        <w:rPr>
          <w:rFonts w:hint="eastAsia" w:ascii="宋体" w:hAnsi="宋体" w:cs="宋体"/>
          <w:color w:val="auto"/>
          <w:highlight w:val="none"/>
        </w:rPr>
        <w:t>第四节 报价文件格式</w:t>
      </w:r>
      <w:bookmarkEnd w:id="90"/>
      <w:bookmarkEnd w:id="91"/>
    </w:p>
    <w:p w14:paraId="751EFE3D">
      <w:pPr>
        <w:spacing w:beforeLines="50" w:after="50"/>
        <w:rPr>
          <w:rFonts w:ascii="宋体" w:hAnsi="宋体" w:cs="宋体"/>
          <w:color w:val="auto"/>
          <w:sz w:val="24"/>
          <w:highlight w:val="none"/>
        </w:rPr>
      </w:pPr>
    </w:p>
    <w:p w14:paraId="31E14A0A">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14:paraId="434D9595">
      <w:pPr>
        <w:spacing w:beforeLines="50" w:after="50"/>
        <w:rPr>
          <w:rFonts w:ascii="宋体" w:hAnsi="宋体" w:cs="宋体"/>
          <w:color w:val="auto"/>
          <w:sz w:val="24"/>
          <w:szCs w:val="20"/>
          <w:highlight w:val="none"/>
        </w:rPr>
      </w:pPr>
    </w:p>
    <w:p w14:paraId="2D6DA63C">
      <w:pPr>
        <w:spacing w:beforeLines="50" w:after="50"/>
        <w:rPr>
          <w:rFonts w:ascii="宋体" w:hAnsi="宋体" w:cs="宋体"/>
          <w:color w:val="auto"/>
          <w:sz w:val="24"/>
          <w:szCs w:val="20"/>
          <w:highlight w:val="none"/>
        </w:rPr>
      </w:pPr>
    </w:p>
    <w:p w14:paraId="0C05815F">
      <w:pPr>
        <w:spacing w:beforeLines="50" w:after="50"/>
        <w:rPr>
          <w:rFonts w:ascii="宋体" w:hAnsi="宋体" w:cs="宋体"/>
          <w:color w:val="auto"/>
          <w:sz w:val="24"/>
          <w:szCs w:val="20"/>
          <w:highlight w:val="none"/>
        </w:rPr>
      </w:pPr>
    </w:p>
    <w:p w14:paraId="16EA1471">
      <w:pPr>
        <w:spacing w:beforeLines="50" w:after="50"/>
        <w:jc w:val="center"/>
        <w:rPr>
          <w:rFonts w:ascii="宋体" w:hAnsi="宋体" w:cs="宋体"/>
          <w:bCs/>
          <w:color w:val="auto"/>
          <w:sz w:val="48"/>
          <w:szCs w:val="48"/>
          <w:highlight w:val="none"/>
        </w:rPr>
      </w:pPr>
      <w:r>
        <w:rPr>
          <w:rFonts w:hint="eastAsia" w:ascii="宋体" w:hAnsi="宋体" w:cs="宋体"/>
          <w:b/>
          <w:color w:val="auto"/>
          <w:sz w:val="48"/>
          <w:szCs w:val="48"/>
          <w:highlight w:val="none"/>
        </w:rPr>
        <w:t>报 价 文 件</w:t>
      </w:r>
    </w:p>
    <w:p w14:paraId="1118DAAD">
      <w:pPr>
        <w:spacing w:beforeLines="50" w:after="50"/>
        <w:rPr>
          <w:rFonts w:ascii="宋体" w:hAnsi="宋体" w:cs="宋体"/>
          <w:bCs/>
          <w:color w:val="auto"/>
          <w:sz w:val="24"/>
          <w:szCs w:val="20"/>
          <w:highlight w:val="none"/>
        </w:rPr>
      </w:pPr>
    </w:p>
    <w:p w14:paraId="131F8EBC">
      <w:pPr>
        <w:spacing w:beforeLines="50" w:after="50"/>
        <w:rPr>
          <w:rFonts w:ascii="宋体" w:hAnsi="宋体" w:cs="宋体"/>
          <w:bCs/>
          <w:color w:val="auto"/>
          <w:sz w:val="24"/>
          <w:szCs w:val="20"/>
          <w:highlight w:val="none"/>
        </w:rPr>
      </w:pPr>
    </w:p>
    <w:p w14:paraId="3861D97F">
      <w:pPr>
        <w:spacing w:beforeLines="50" w:after="50"/>
        <w:rPr>
          <w:rFonts w:ascii="宋体" w:hAnsi="宋体" w:cs="宋体"/>
          <w:bCs/>
          <w:color w:val="auto"/>
          <w:sz w:val="24"/>
          <w:szCs w:val="20"/>
          <w:highlight w:val="none"/>
        </w:rPr>
      </w:pPr>
    </w:p>
    <w:p w14:paraId="44BD42DC">
      <w:pPr>
        <w:spacing w:beforeLines="50" w:after="50"/>
        <w:rPr>
          <w:rFonts w:ascii="宋体" w:hAnsi="宋体" w:cs="宋体"/>
          <w:bCs/>
          <w:color w:val="auto"/>
          <w:sz w:val="24"/>
          <w:szCs w:val="20"/>
          <w:highlight w:val="none"/>
        </w:rPr>
      </w:pPr>
    </w:p>
    <w:p w14:paraId="0A4B034E">
      <w:pPr>
        <w:spacing w:beforeLines="50" w:after="50"/>
        <w:rPr>
          <w:rFonts w:ascii="宋体" w:hAnsi="宋体" w:cs="宋体"/>
          <w:bCs/>
          <w:color w:val="auto"/>
          <w:sz w:val="24"/>
          <w:szCs w:val="20"/>
          <w:highlight w:val="none"/>
        </w:rPr>
      </w:pPr>
    </w:p>
    <w:p w14:paraId="169EE31E">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5A7118E7">
      <w:pPr>
        <w:spacing w:beforeLines="50" w:after="50"/>
        <w:ind w:firstLine="420" w:firstLineChars="150"/>
        <w:rPr>
          <w:rFonts w:ascii="宋体" w:hAnsi="宋体" w:cs="宋体"/>
          <w:bCs/>
          <w:color w:val="auto"/>
          <w:sz w:val="28"/>
          <w:szCs w:val="28"/>
          <w:highlight w:val="none"/>
        </w:rPr>
      </w:pPr>
    </w:p>
    <w:p w14:paraId="0055BDC9">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5254FDFE">
      <w:pPr>
        <w:spacing w:beforeLines="50" w:after="50"/>
        <w:ind w:firstLine="420" w:firstLineChars="150"/>
        <w:rPr>
          <w:rFonts w:ascii="宋体" w:hAnsi="宋体" w:cs="宋体"/>
          <w:bCs/>
          <w:color w:val="auto"/>
          <w:sz w:val="28"/>
          <w:szCs w:val="28"/>
          <w:highlight w:val="none"/>
        </w:rPr>
      </w:pPr>
    </w:p>
    <w:p w14:paraId="50BC5EF5">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462FA2E8">
      <w:pPr>
        <w:spacing w:beforeLines="50" w:after="50"/>
        <w:rPr>
          <w:rFonts w:ascii="宋体" w:hAnsi="宋体" w:cs="宋体"/>
          <w:bCs/>
          <w:color w:val="auto"/>
          <w:sz w:val="28"/>
          <w:szCs w:val="28"/>
          <w:highlight w:val="none"/>
        </w:rPr>
      </w:pPr>
    </w:p>
    <w:p w14:paraId="62C3E9E7">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03225A8F">
      <w:pPr>
        <w:pStyle w:val="7"/>
        <w:spacing w:before="50" w:after="50"/>
        <w:ind w:firstLine="720" w:firstLineChars="225"/>
        <w:rPr>
          <w:rFonts w:ascii="宋体" w:hAnsi="宋体" w:cs="宋体"/>
          <w:bCs/>
          <w:color w:val="auto"/>
          <w:sz w:val="32"/>
          <w:szCs w:val="32"/>
          <w:highlight w:val="none"/>
        </w:rPr>
      </w:pPr>
    </w:p>
    <w:p w14:paraId="3960A451">
      <w:pPr>
        <w:pStyle w:val="7"/>
        <w:spacing w:before="50" w:after="50"/>
        <w:ind w:firstLine="720" w:firstLineChars="225"/>
        <w:rPr>
          <w:rFonts w:ascii="宋体" w:hAnsi="宋体" w:cs="宋体"/>
          <w:bCs/>
          <w:color w:val="auto"/>
          <w:sz w:val="32"/>
          <w:szCs w:val="32"/>
          <w:highlight w:val="none"/>
        </w:rPr>
      </w:pPr>
    </w:p>
    <w:p w14:paraId="25BC440C">
      <w:pPr>
        <w:pStyle w:val="7"/>
        <w:spacing w:before="50" w:after="50"/>
        <w:ind w:firstLine="1280" w:firstLineChars="400"/>
        <w:rPr>
          <w:rFonts w:ascii="宋体" w:hAnsi="宋体" w:cs="宋体"/>
          <w:bCs/>
          <w:color w:val="auto"/>
          <w:sz w:val="32"/>
          <w:szCs w:val="32"/>
          <w:highlight w:val="none"/>
        </w:rPr>
      </w:pPr>
    </w:p>
    <w:p w14:paraId="063F0CA2">
      <w:pPr>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731D7A0">
      <w:pPr>
        <w:spacing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019704BC">
      <w:pPr>
        <w:rPr>
          <w:rFonts w:ascii="宋体" w:hAnsi="宋体" w:cs="宋体"/>
          <w:color w:val="auto"/>
          <w:highlight w:val="none"/>
        </w:rPr>
      </w:pPr>
    </w:p>
    <w:p w14:paraId="3882B947">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14:paraId="1379DA4D">
      <w:pPr>
        <w:spacing w:beforeLines="50" w:after="50" w:line="360" w:lineRule="auto"/>
        <w:ind w:left="142" w:firstLine="640" w:firstLineChars="200"/>
        <w:jc w:val="left"/>
        <w:rPr>
          <w:rFonts w:ascii="宋体" w:hAnsi="宋体" w:cs="宋体"/>
          <w:color w:val="auto"/>
          <w:sz w:val="32"/>
          <w:szCs w:val="32"/>
          <w:highlight w:val="none"/>
        </w:rPr>
      </w:pPr>
    </w:p>
    <w:p w14:paraId="51A8E204">
      <w:pPr>
        <w:spacing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一、报价函</w:t>
      </w:r>
    </w:p>
    <w:p w14:paraId="76A9BA1D">
      <w:pPr>
        <w:pStyle w:val="101"/>
        <w:spacing w:line="360" w:lineRule="auto"/>
        <w:rPr>
          <w:rFonts w:ascii="宋体" w:hAnsi="宋体" w:eastAsia="宋体" w:cs="宋体"/>
          <w:b/>
          <w:bCs/>
          <w:color w:val="auto"/>
          <w:spacing w:val="0"/>
          <w:sz w:val="30"/>
          <w:szCs w:val="30"/>
          <w:highlight w:val="none"/>
        </w:rPr>
      </w:pPr>
      <w:bookmarkStart w:id="92" w:name="_Toc498082657"/>
      <w:r>
        <w:rPr>
          <w:rFonts w:hint="eastAsia" w:ascii="宋体" w:hAnsi="宋体" w:eastAsia="宋体" w:cs="宋体"/>
          <w:b/>
          <w:bCs/>
          <w:color w:val="auto"/>
          <w:spacing w:val="0"/>
          <w:sz w:val="30"/>
          <w:szCs w:val="30"/>
          <w:highlight w:val="none"/>
        </w:rPr>
        <w:t>报价函</w:t>
      </w:r>
      <w:bookmarkEnd w:id="92"/>
    </w:p>
    <w:p w14:paraId="349B6E84">
      <w:pPr>
        <w:pStyle w:val="101"/>
        <w:spacing w:line="360" w:lineRule="auto"/>
        <w:jc w:val="both"/>
        <w:rPr>
          <w:rFonts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致</w:t>
      </w:r>
      <w:r>
        <w:rPr>
          <w:rFonts w:hint="eastAsia" w:ascii="宋体" w:hAnsi="宋体" w:eastAsia="宋体" w:cs="宋体"/>
          <w:b/>
          <w:bCs/>
          <w:color w:val="auto"/>
          <w:spacing w:val="0"/>
          <w:sz w:val="24"/>
          <w:highlight w:val="none"/>
          <w:lang w:eastAsia="zh-CN"/>
        </w:rPr>
        <w:t>广西同泽工程项目管理股份有限公司</w:t>
      </w:r>
      <w:r>
        <w:rPr>
          <w:rFonts w:hint="eastAsia" w:ascii="宋体" w:hAnsi="宋体" w:eastAsia="宋体" w:cs="宋体"/>
          <w:b/>
          <w:bCs/>
          <w:color w:val="auto"/>
          <w:spacing w:val="0"/>
          <w:sz w:val="24"/>
          <w:highlight w:val="none"/>
        </w:rPr>
        <w:t>：</w:t>
      </w:r>
    </w:p>
    <w:p w14:paraId="6544713B">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1.根据你方项目项目编号为</w:t>
      </w:r>
      <w:r>
        <w:rPr>
          <w:rFonts w:hint="eastAsia" w:ascii="宋体" w:hAnsi="宋体" w:cs="宋体"/>
          <w:color w:val="auto"/>
          <w:sz w:val="24"/>
          <w:highlight w:val="none"/>
          <w:u w:val="single"/>
        </w:rPr>
        <w:t xml:space="preserve">            （项目编号）</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竞争性磋商文件，遵照《中华人民共和国政府采购法》等有关规定，研究上述竞争性磋商文件的供应商须知、合同条款、图纸、工程建设标准和工程量清单及其他有关文件后，我方愿以人民币（大写）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元）的报价并按上述图纸、合同条款、工程建设标准和工程量清单（如有时）的条件要求承包上述工程的施工、竣工，并承担任何质量缺陷保修责任。我方保证工程质量达到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等级。</w:t>
      </w:r>
    </w:p>
    <w:p w14:paraId="2827AF7F">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2.我方已详细审核全部竞争性磋商文件，包括修改文件（如有时）及有关附件。</w:t>
      </w:r>
    </w:p>
    <w:p w14:paraId="618774B5">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3.我方承认报价函附录是我方报价函的组成部分。</w:t>
      </w:r>
    </w:p>
    <w:p w14:paraId="51109B5C">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4.一旦我方成交，我方保证按合同书中规定的工期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日历天内完成并移交全部工程。</w:t>
      </w:r>
    </w:p>
    <w:p w14:paraId="4DE110A2">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5.我方同意所提交的响应文件在竞争性磋商文件的“供应商须知”中规定的磋商有效期内有效，在此期间内如果成交，我方将受此约束。</w:t>
      </w:r>
    </w:p>
    <w:p w14:paraId="471213DE">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6.除非另外达成协议并生效，你方的成交通知书和本响应文件将成为约束双方的合同文件的组成部分。</w:t>
      </w:r>
    </w:p>
    <w:p w14:paraId="21B1D72D">
      <w:pPr>
        <w:spacing w:line="360" w:lineRule="auto"/>
        <w:rPr>
          <w:rFonts w:ascii="宋体" w:hAnsi="宋体" w:cs="宋体"/>
          <w:color w:val="auto"/>
          <w:sz w:val="24"/>
          <w:highlight w:val="none"/>
        </w:rPr>
      </w:pPr>
    </w:p>
    <w:p w14:paraId="328178AA">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（盖单位章）</w:t>
      </w:r>
    </w:p>
    <w:p w14:paraId="1D546C7E">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225A4237">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（签字或盖章）</w:t>
      </w:r>
    </w:p>
    <w:p w14:paraId="7FB703B7">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10BEC64C">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开户银行名称：</w:t>
      </w:r>
      <w:r>
        <w:rPr>
          <w:rFonts w:hint="eastAsia" w:ascii="宋体" w:hAnsi="宋体" w:cs="宋体"/>
          <w:color w:val="auto"/>
          <w:sz w:val="24"/>
          <w:highlight w:val="none"/>
          <w:u w:val="single"/>
        </w:rPr>
        <w:t xml:space="preserve">                                    </w:t>
      </w:r>
    </w:p>
    <w:p w14:paraId="3C9CD18F">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开户银行账号：</w:t>
      </w:r>
      <w:r>
        <w:rPr>
          <w:rFonts w:hint="eastAsia" w:ascii="宋体" w:hAnsi="宋体" w:cs="宋体"/>
          <w:color w:val="auto"/>
          <w:sz w:val="24"/>
          <w:highlight w:val="none"/>
          <w:u w:val="single"/>
        </w:rPr>
        <w:t xml:space="preserve">                                    </w:t>
      </w:r>
    </w:p>
    <w:p w14:paraId="2B06AF8D">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开户银行地址：</w:t>
      </w:r>
      <w:r>
        <w:rPr>
          <w:rFonts w:hint="eastAsia" w:ascii="宋体" w:hAnsi="宋体" w:cs="宋体"/>
          <w:color w:val="auto"/>
          <w:sz w:val="24"/>
          <w:highlight w:val="none"/>
          <w:u w:val="single"/>
        </w:rPr>
        <w:t xml:space="preserve">                                    </w:t>
      </w:r>
    </w:p>
    <w:p w14:paraId="2D829CCA">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开户银行电话：</w:t>
      </w:r>
      <w:r>
        <w:rPr>
          <w:rFonts w:hint="eastAsia" w:ascii="宋体" w:hAnsi="宋体" w:cs="宋体"/>
          <w:color w:val="auto"/>
          <w:sz w:val="24"/>
          <w:highlight w:val="none"/>
          <w:u w:val="single"/>
        </w:rPr>
        <w:t xml:space="preserve">                                    </w:t>
      </w:r>
    </w:p>
    <w:p w14:paraId="72BAFC80">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DD42616">
      <w:pPr>
        <w:spacing w:line="360" w:lineRule="auto"/>
        <w:rPr>
          <w:rFonts w:ascii="宋体" w:hAnsi="宋体" w:cs="宋体"/>
          <w:b/>
          <w:color w:val="auto"/>
          <w:sz w:val="24"/>
          <w:highlight w:val="none"/>
          <w:lang w:val="zh-CN"/>
        </w:rPr>
      </w:pPr>
      <w:r>
        <w:rPr>
          <w:rFonts w:hint="eastAsia" w:ascii="宋体" w:hAnsi="宋体" w:cs="宋体"/>
          <w:color w:val="auto"/>
          <w:sz w:val="24"/>
          <w:highlight w:val="none"/>
        </w:rPr>
        <w:br w:type="page"/>
      </w:r>
      <w:r>
        <w:rPr>
          <w:rFonts w:hint="eastAsia" w:ascii="宋体" w:hAnsi="宋体" w:cs="宋体"/>
          <w:color w:val="auto"/>
          <w:sz w:val="24"/>
          <w:highlight w:val="none"/>
        </w:rPr>
        <w:t xml:space="preserve">       </w:t>
      </w:r>
    </w:p>
    <w:p w14:paraId="3EC7E6CF">
      <w:pPr>
        <w:pStyle w:val="97"/>
        <w:spacing w:line="360" w:lineRule="auto"/>
        <w:ind w:firstLine="0" w:firstLineChars="0"/>
        <w:rPr>
          <w:rFonts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二、报价函附录</w:t>
      </w:r>
    </w:p>
    <w:p w14:paraId="2960890E">
      <w:pPr>
        <w:pStyle w:val="97"/>
        <w:spacing w:line="360" w:lineRule="auto"/>
        <w:ind w:firstLine="0" w:firstLineChars="0"/>
        <w:jc w:val="center"/>
        <w:rPr>
          <w:rFonts w:ascii="宋体" w:hAnsi="宋体" w:eastAsia="宋体" w:cs="宋体"/>
          <w:b/>
          <w:color w:val="auto"/>
          <w:spacing w:val="0"/>
          <w:highlight w:val="none"/>
        </w:rPr>
      </w:pPr>
      <w:r>
        <w:rPr>
          <w:rFonts w:hint="eastAsia" w:ascii="宋体" w:hAnsi="宋体" w:eastAsia="宋体" w:cs="宋体"/>
          <w:b/>
          <w:color w:val="auto"/>
          <w:spacing w:val="0"/>
          <w:sz w:val="32"/>
          <w:szCs w:val="32"/>
          <w:highlight w:val="none"/>
        </w:rPr>
        <w:t>报价函附录</w:t>
      </w:r>
    </w:p>
    <w:tbl>
      <w:tblPr>
        <w:tblStyle w:val="29"/>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992"/>
        <w:gridCol w:w="1442"/>
        <w:gridCol w:w="3405"/>
      </w:tblGrid>
      <w:tr w14:paraId="45CA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696" w:type="dxa"/>
            <w:vAlign w:val="center"/>
          </w:tcPr>
          <w:p w14:paraId="570B04AC">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磋商前</w:t>
            </w:r>
          </w:p>
          <w:p w14:paraId="1E24B44B">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基础报价</w:t>
            </w:r>
          </w:p>
        </w:tc>
        <w:tc>
          <w:tcPr>
            <w:tcW w:w="7839" w:type="dxa"/>
            <w:gridSpan w:val="3"/>
            <w:vAlign w:val="center"/>
          </w:tcPr>
          <w:p w14:paraId="73412944">
            <w:pPr>
              <w:spacing w:line="500" w:lineRule="exact"/>
              <w:jc w:val="center"/>
              <w:rPr>
                <w:rFonts w:ascii="宋体" w:hAnsi="宋体" w:cs="宋体"/>
                <w:bCs/>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2C9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vAlign w:val="center"/>
          </w:tcPr>
          <w:p w14:paraId="2DB10342">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磋商有效期</w:t>
            </w:r>
          </w:p>
        </w:tc>
        <w:tc>
          <w:tcPr>
            <w:tcW w:w="7839" w:type="dxa"/>
            <w:gridSpan w:val="3"/>
            <w:vAlign w:val="center"/>
          </w:tcPr>
          <w:p w14:paraId="4B167FC8">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从报价截止之日，磋商有效期为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天（日历日）</w:t>
            </w:r>
          </w:p>
        </w:tc>
      </w:tr>
      <w:tr w14:paraId="0406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696" w:type="dxa"/>
            <w:vAlign w:val="center"/>
          </w:tcPr>
          <w:p w14:paraId="3AA282A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7839" w:type="dxa"/>
            <w:gridSpan w:val="3"/>
            <w:vAlign w:val="center"/>
          </w:tcPr>
          <w:p w14:paraId="6E79C453">
            <w:pPr>
              <w:spacing w:line="500" w:lineRule="exact"/>
              <w:jc w:val="center"/>
              <w:rPr>
                <w:rFonts w:ascii="宋体" w:hAnsi="宋体" w:cs="宋体"/>
                <w:color w:val="auto"/>
                <w:sz w:val="24"/>
                <w:highlight w:val="none"/>
              </w:rPr>
            </w:pPr>
          </w:p>
        </w:tc>
      </w:tr>
      <w:tr w14:paraId="132C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696" w:type="dxa"/>
            <w:vAlign w:val="center"/>
          </w:tcPr>
          <w:p w14:paraId="7AA7DCB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承诺工期</w:t>
            </w:r>
          </w:p>
        </w:tc>
        <w:tc>
          <w:tcPr>
            <w:tcW w:w="7839" w:type="dxa"/>
            <w:gridSpan w:val="3"/>
            <w:vAlign w:val="center"/>
          </w:tcPr>
          <w:p w14:paraId="1809DFEC">
            <w:pPr>
              <w:spacing w:line="500" w:lineRule="exact"/>
              <w:jc w:val="center"/>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w:t>
            </w:r>
          </w:p>
        </w:tc>
      </w:tr>
      <w:tr w14:paraId="4D05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96" w:type="dxa"/>
            <w:vAlign w:val="center"/>
          </w:tcPr>
          <w:p w14:paraId="133D5990">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p w14:paraId="7C7F188A">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（建造师）</w:t>
            </w:r>
          </w:p>
        </w:tc>
        <w:tc>
          <w:tcPr>
            <w:tcW w:w="2992" w:type="dxa"/>
            <w:vAlign w:val="center"/>
          </w:tcPr>
          <w:p w14:paraId="13568288">
            <w:pPr>
              <w:spacing w:line="500" w:lineRule="exact"/>
              <w:rPr>
                <w:rFonts w:ascii="宋体" w:hAnsi="宋体" w:cs="宋体"/>
                <w:color w:val="auto"/>
                <w:sz w:val="24"/>
                <w:highlight w:val="none"/>
              </w:rPr>
            </w:pPr>
          </w:p>
        </w:tc>
        <w:tc>
          <w:tcPr>
            <w:tcW w:w="1442" w:type="dxa"/>
            <w:vAlign w:val="center"/>
          </w:tcPr>
          <w:p w14:paraId="6E820F38">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级别及编号</w:t>
            </w:r>
          </w:p>
        </w:tc>
        <w:tc>
          <w:tcPr>
            <w:tcW w:w="3405" w:type="dxa"/>
            <w:vAlign w:val="center"/>
          </w:tcPr>
          <w:p w14:paraId="06A39FF7">
            <w:pPr>
              <w:spacing w:line="500" w:lineRule="exact"/>
              <w:rPr>
                <w:rFonts w:ascii="宋体" w:hAnsi="宋体" w:cs="宋体"/>
                <w:color w:val="auto"/>
                <w:sz w:val="24"/>
                <w:highlight w:val="none"/>
              </w:rPr>
            </w:pPr>
          </w:p>
        </w:tc>
      </w:tr>
      <w:tr w14:paraId="466A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35" w:type="dxa"/>
            <w:gridSpan w:val="4"/>
            <w:tcBorders>
              <w:bottom w:val="single" w:color="auto" w:sz="4" w:space="0"/>
            </w:tcBorders>
            <w:vAlign w:val="center"/>
          </w:tcPr>
          <w:p w14:paraId="4D526C0F">
            <w:pPr>
              <w:spacing w:line="500" w:lineRule="exact"/>
              <w:rPr>
                <w:rFonts w:ascii="宋体" w:hAnsi="宋体" w:cs="宋体"/>
                <w:color w:val="auto"/>
                <w:sz w:val="24"/>
                <w:highlight w:val="none"/>
              </w:rPr>
            </w:pPr>
            <w:r>
              <w:rPr>
                <w:rFonts w:hint="eastAsia" w:ascii="宋体" w:hAnsi="宋体" w:cs="宋体"/>
                <w:color w:val="auto"/>
                <w:sz w:val="24"/>
                <w:highlight w:val="none"/>
              </w:rPr>
              <w:t>备注：供应商在响应文件中规定的实质性要求和条件的基础上，可做出其他有利于采购人的承诺。此类承诺可在本表中予以补充填写。</w:t>
            </w:r>
          </w:p>
        </w:tc>
      </w:tr>
    </w:tbl>
    <w:p w14:paraId="432BEAA0">
      <w:pPr>
        <w:spacing w:line="360" w:lineRule="auto"/>
        <w:rPr>
          <w:rFonts w:ascii="宋体" w:hAnsi="宋体" w:cs="宋体"/>
          <w:color w:val="auto"/>
          <w:sz w:val="24"/>
          <w:highlight w:val="none"/>
        </w:rPr>
      </w:pPr>
    </w:p>
    <w:p w14:paraId="5DDDB703">
      <w:pPr>
        <w:spacing w:line="360" w:lineRule="auto"/>
        <w:rPr>
          <w:rFonts w:ascii="宋体" w:hAnsi="宋体" w:cs="宋体"/>
          <w:color w:val="auto"/>
          <w:sz w:val="24"/>
          <w:highlight w:val="none"/>
        </w:rPr>
      </w:pPr>
    </w:p>
    <w:p w14:paraId="253E71AF">
      <w:pPr>
        <w:spacing w:line="360" w:lineRule="auto"/>
        <w:ind w:firstLine="3828" w:firstLineChars="1595"/>
        <w:rPr>
          <w:rFonts w:ascii="宋体" w:hAnsi="宋体" w:cs="宋体"/>
          <w:color w:val="auto"/>
          <w:sz w:val="24"/>
          <w:highlight w:val="none"/>
          <w:lang w:val="zh-CN"/>
        </w:rPr>
      </w:pPr>
      <w:r>
        <w:rPr>
          <w:rFonts w:hint="eastAsia" w:ascii="宋体" w:hAnsi="宋体" w:cs="宋体"/>
          <w:color w:val="auto"/>
          <w:sz w:val="24"/>
          <w:highlight w:val="none"/>
        </w:rPr>
        <w:t>供</w:t>
      </w:r>
      <w:r>
        <w:rPr>
          <w:rFonts w:hint="eastAsia" w:ascii="宋体" w:hAnsi="宋体" w:cs="宋体"/>
          <w:color w:val="auto"/>
          <w:sz w:val="24"/>
          <w:highlight w:val="none"/>
          <w:lang w:val="zh-CN"/>
        </w:rPr>
        <w:t>应商名称（电子签章）：</w:t>
      </w:r>
    </w:p>
    <w:p w14:paraId="4CE96F68">
      <w:pPr>
        <w:spacing w:line="360" w:lineRule="auto"/>
        <w:ind w:firstLine="3828" w:firstLineChars="1595"/>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32994DB5">
      <w:pPr>
        <w:pStyle w:val="20"/>
        <w:snapToGrid/>
        <w:rPr>
          <w:rFonts w:ascii="宋体" w:hAnsi="宋体" w:cs="宋体"/>
          <w:b/>
          <w:bCs/>
          <w:color w:val="auto"/>
          <w:kern w:val="2"/>
          <w:sz w:val="32"/>
          <w:szCs w:val="24"/>
          <w:highlight w:val="none"/>
          <w:lang w:val="zh-CN"/>
        </w:rPr>
      </w:pPr>
      <w:r>
        <w:rPr>
          <w:rFonts w:hint="eastAsia" w:ascii="宋体" w:hAnsi="宋体" w:cs="宋体"/>
          <w:color w:val="auto"/>
          <w:kern w:val="2"/>
          <w:highlight w:val="none"/>
          <w:lang w:val="zh-CN"/>
        </w:rPr>
        <w:br w:type="page"/>
      </w:r>
      <w:r>
        <w:rPr>
          <w:rFonts w:hint="eastAsia" w:ascii="宋体" w:hAnsi="宋体" w:cs="宋体"/>
          <w:b/>
          <w:bCs/>
          <w:color w:val="auto"/>
          <w:kern w:val="2"/>
          <w:sz w:val="32"/>
          <w:szCs w:val="24"/>
          <w:highlight w:val="none"/>
        </w:rPr>
        <w:t>三、已标价的工程量清单</w:t>
      </w:r>
    </w:p>
    <w:p w14:paraId="1D36D0F8">
      <w:pPr>
        <w:pStyle w:val="9"/>
        <w:rPr>
          <w:rFonts w:ascii="宋体" w:hAnsi="宋体" w:cs="宋体"/>
          <w:color w:val="auto"/>
          <w:sz w:val="24"/>
          <w:highlight w:val="none"/>
          <w:lang w:val="zh-CN"/>
        </w:rPr>
      </w:pPr>
    </w:p>
    <w:p w14:paraId="0C5C3193">
      <w:pPr>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1.已标价工程量清单应按第三章“工程量清单”中的相关表格及投标报价说明填写。构成合同文件的已标价工程量清单包括第三章“工程量清单”有关工程量清单、竞标报价以及其他说明的内容。</w:t>
      </w:r>
    </w:p>
    <w:p w14:paraId="60D56C4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2.一般计税法建设工程的工程量清单表格按《关于建筑业实施营业税改征增值税后广西壮族自治区建设工程计价依据调整的通知》（桂建标〔2016〕17号）附件“增值税一般计税方法工程计价表”要求提供。</w:t>
      </w:r>
    </w:p>
    <w:p w14:paraId="4B1D6E66">
      <w:pPr>
        <w:spacing w:line="500" w:lineRule="exact"/>
        <w:ind w:firstLine="480" w:firstLineChars="200"/>
        <w:rPr>
          <w:rFonts w:ascii="宋体" w:hAnsi="宋体" w:cs="宋体"/>
          <w:color w:val="auto"/>
          <w:sz w:val="24"/>
          <w:highlight w:val="none"/>
        </w:rPr>
      </w:pPr>
    </w:p>
    <w:p w14:paraId="19C74620">
      <w:pPr>
        <w:pStyle w:val="17"/>
        <w:spacing w:line="500" w:lineRule="exact"/>
        <w:rPr>
          <w:rFonts w:hAnsi="宋体" w:cs="宋体"/>
          <w:b/>
          <w:color w:val="auto"/>
          <w:kern w:val="2"/>
          <w:sz w:val="30"/>
          <w:szCs w:val="30"/>
          <w:highlight w:val="none"/>
        </w:rPr>
      </w:pPr>
    </w:p>
    <w:p w14:paraId="041BD22A">
      <w:pPr>
        <w:pStyle w:val="17"/>
        <w:spacing w:line="500" w:lineRule="exact"/>
        <w:rPr>
          <w:rFonts w:hAnsi="宋体" w:cs="宋体"/>
          <w:b/>
          <w:color w:val="auto"/>
          <w:kern w:val="2"/>
          <w:sz w:val="30"/>
          <w:szCs w:val="30"/>
          <w:highlight w:val="none"/>
        </w:rPr>
      </w:pPr>
    </w:p>
    <w:p w14:paraId="476FAE50">
      <w:pPr>
        <w:pStyle w:val="17"/>
        <w:spacing w:line="500" w:lineRule="exact"/>
        <w:rPr>
          <w:rFonts w:hAnsi="宋体" w:cs="宋体"/>
          <w:b/>
          <w:color w:val="auto"/>
          <w:kern w:val="2"/>
          <w:sz w:val="32"/>
          <w:szCs w:val="32"/>
          <w:highlight w:val="none"/>
        </w:rPr>
      </w:pPr>
      <w:r>
        <w:rPr>
          <w:rFonts w:hint="eastAsia" w:hAnsi="宋体" w:cs="宋体"/>
          <w:b/>
          <w:color w:val="auto"/>
          <w:kern w:val="2"/>
          <w:sz w:val="32"/>
          <w:szCs w:val="32"/>
          <w:highlight w:val="none"/>
        </w:rPr>
        <w:br w:type="page"/>
      </w:r>
      <w:r>
        <w:rPr>
          <w:rFonts w:hint="eastAsia" w:hAnsi="宋体" w:cs="宋体"/>
          <w:b/>
          <w:color w:val="auto"/>
          <w:kern w:val="2"/>
          <w:sz w:val="32"/>
          <w:szCs w:val="32"/>
          <w:highlight w:val="none"/>
        </w:rPr>
        <w:t>四、供应商《残疾人福利性单位声明函》或监狱企业证明</w:t>
      </w:r>
    </w:p>
    <w:p w14:paraId="104840CA">
      <w:pPr>
        <w:spacing w:line="300" w:lineRule="auto"/>
        <w:ind w:firstLine="1606" w:firstLineChars="500"/>
        <w:rPr>
          <w:rFonts w:ascii="宋体" w:hAnsi="宋体" w:cs="宋体"/>
          <w:b/>
          <w:color w:val="auto"/>
          <w:sz w:val="32"/>
          <w:szCs w:val="32"/>
          <w:highlight w:val="none"/>
        </w:rPr>
      </w:pPr>
    </w:p>
    <w:p w14:paraId="5DD5D26A">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w:t>
      </w:r>
    </w:p>
    <w:p w14:paraId="417C75C8">
      <w:pPr>
        <w:spacing w:line="520" w:lineRule="exact"/>
        <w:rPr>
          <w:rFonts w:ascii="宋体" w:hAnsi="宋体" w:cs="宋体"/>
          <w:color w:val="auto"/>
          <w:sz w:val="32"/>
          <w:szCs w:val="32"/>
          <w:highlight w:val="none"/>
        </w:rPr>
      </w:pPr>
    </w:p>
    <w:p w14:paraId="45C3541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F93DE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7DBA4F9">
      <w:pPr>
        <w:spacing w:line="360" w:lineRule="auto"/>
        <w:contextualSpacing/>
        <w:rPr>
          <w:rFonts w:ascii="宋体" w:hAnsi="宋体" w:cs="宋体"/>
          <w:color w:val="auto"/>
          <w:sz w:val="24"/>
          <w:highlight w:val="none"/>
        </w:rPr>
      </w:pPr>
    </w:p>
    <w:p w14:paraId="61CF5B16">
      <w:pPr>
        <w:spacing w:line="360" w:lineRule="auto"/>
        <w:contextualSpacing/>
        <w:rPr>
          <w:rFonts w:ascii="宋体" w:hAnsi="宋体" w:cs="宋体"/>
          <w:color w:val="auto"/>
          <w:sz w:val="24"/>
          <w:highlight w:val="none"/>
        </w:rPr>
      </w:pPr>
    </w:p>
    <w:p w14:paraId="3FA63221">
      <w:pPr>
        <w:spacing w:line="360" w:lineRule="auto"/>
        <w:contextualSpacing/>
        <w:rPr>
          <w:rFonts w:ascii="宋体" w:hAnsi="宋体" w:cs="宋体"/>
          <w:color w:val="auto"/>
          <w:sz w:val="24"/>
          <w:highlight w:val="none"/>
        </w:rPr>
      </w:pPr>
    </w:p>
    <w:p w14:paraId="74DC364D">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7531E0C3">
      <w:pPr>
        <w:spacing w:beforeLines="50"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03CCFB64">
      <w:pPr>
        <w:spacing w:line="360" w:lineRule="auto"/>
        <w:contextualSpacing/>
        <w:rPr>
          <w:rFonts w:ascii="宋体" w:hAnsi="宋体" w:cs="宋体"/>
          <w:color w:val="auto"/>
          <w:sz w:val="24"/>
          <w:highlight w:val="none"/>
        </w:rPr>
      </w:pPr>
    </w:p>
    <w:p w14:paraId="4FB9921B">
      <w:pPr>
        <w:spacing w:line="360" w:lineRule="auto"/>
        <w:contextualSpacing/>
        <w:rPr>
          <w:rFonts w:ascii="宋体" w:hAnsi="宋体" w:cs="宋体"/>
          <w:color w:val="auto"/>
          <w:sz w:val="24"/>
          <w:highlight w:val="none"/>
        </w:rPr>
      </w:pPr>
    </w:p>
    <w:p w14:paraId="3DA5EAE0">
      <w:pPr>
        <w:spacing w:line="360" w:lineRule="auto"/>
        <w:contextualSpacing/>
        <w:rPr>
          <w:rFonts w:ascii="宋体" w:hAnsi="宋体" w:cs="宋体"/>
          <w:color w:val="auto"/>
          <w:sz w:val="24"/>
          <w:highlight w:val="none"/>
        </w:rPr>
      </w:pPr>
    </w:p>
    <w:p w14:paraId="7D580D6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9BF27B0">
      <w:pPr>
        <w:spacing w:line="520" w:lineRule="exact"/>
        <w:jc w:val="center"/>
        <w:rPr>
          <w:rFonts w:ascii="宋体" w:hAnsi="宋体" w:cs="宋体"/>
          <w:color w:val="auto"/>
          <w:sz w:val="24"/>
          <w:highlight w:val="none"/>
        </w:rPr>
      </w:pPr>
    </w:p>
    <w:p w14:paraId="78599510">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监狱企业证明</w:t>
      </w:r>
    </w:p>
    <w:p w14:paraId="050AAB68">
      <w:pPr>
        <w:spacing w:line="520" w:lineRule="exact"/>
        <w:ind w:firstLine="480" w:firstLineChars="200"/>
        <w:jc w:val="left"/>
        <w:rPr>
          <w:rFonts w:ascii="宋体" w:hAnsi="宋体" w:cs="宋体"/>
          <w:color w:val="auto"/>
          <w:sz w:val="24"/>
          <w:highlight w:val="none"/>
        </w:rPr>
      </w:pPr>
    </w:p>
    <w:p w14:paraId="3D5ED951">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提供由省级以上监狱管理局、戒毒管理局（含新疆生产建设兵团）出具的属于监狱企业的证明文件。</w:t>
      </w:r>
    </w:p>
    <w:p w14:paraId="1729F22C">
      <w:pPr>
        <w:spacing w:line="520" w:lineRule="exact"/>
        <w:jc w:val="center"/>
        <w:rPr>
          <w:rFonts w:ascii="宋体" w:hAnsi="宋体" w:cs="宋体"/>
          <w:color w:val="auto"/>
          <w:sz w:val="24"/>
          <w:highlight w:val="none"/>
        </w:rPr>
      </w:pPr>
    </w:p>
    <w:p w14:paraId="47426068">
      <w:pPr>
        <w:spacing w:line="360" w:lineRule="auto"/>
        <w:jc w:val="center"/>
        <w:rPr>
          <w:rFonts w:ascii="宋体" w:hAnsi="宋体" w:cs="宋体"/>
          <w:b/>
          <w:bCs/>
          <w:color w:val="auto"/>
          <w:sz w:val="44"/>
          <w:szCs w:val="44"/>
          <w:highlight w:val="none"/>
        </w:rPr>
      </w:pPr>
    </w:p>
    <w:p w14:paraId="4E275409">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34D35E29">
      <w:pPr>
        <w:spacing w:beforeLines="50"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231C6906">
      <w:pPr>
        <w:spacing w:line="520" w:lineRule="exact"/>
        <w:jc w:val="center"/>
        <w:rPr>
          <w:rFonts w:ascii="宋体" w:hAnsi="宋体" w:cs="宋体"/>
          <w:color w:val="auto"/>
          <w:sz w:val="24"/>
          <w:highlight w:val="none"/>
        </w:rPr>
      </w:pPr>
    </w:p>
    <w:p w14:paraId="49D710B0">
      <w:pPr>
        <w:spacing w:line="520" w:lineRule="exact"/>
        <w:jc w:val="center"/>
        <w:rPr>
          <w:rFonts w:ascii="宋体" w:hAnsi="宋体" w:cs="宋体"/>
          <w:color w:val="auto"/>
          <w:sz w:val="24"/>
          <w:highlight w:val="none"/>
        </w:rPr>
      </w:pPr>
    </w:p>
    <w:p w14:paraId="344FB1A2">
      <w:pPr>
        <w:spacing w:line="520" w:lineRule="exact"/>
        <w:jc w:val="center"/>
        <w:rPr>
          <w:rFonts w:ascii="宋体" w:hAnsi="宋体" w:cs="宋体"/>
          <w:color w:val="auto"/>
          <w:sz w:val="24"/>
          <w:highlight w:val="none"/>
        </w:rPr>
      </w:pPr>
    </w:p>
    <w:p w14:paraId="707BE0AD">
      <w:pPr>
        <w:spacing w:line="520" w:lineRule="exact"/>
        <w:jc w:val="center"/>
        <w:rPr>
          <w:rFonts w:ascii="宋体" w:hAnsi="宋体" w:cs="宋体"/>
          <w:color w:val="auto"/>
          <w:sz w:val="24"/>
          <w:highlight w:val="none"/>
        </w:rPr>
      </w:pPr>
    </w:p>
    <w:p w14:paraId="5A3F2BC2">
      <w:pPr>
        <w:widowControl/>
        <w:jc w:val="left"/>
        <w:rPr>
          <w:rFonts w:ascii="宋体" w:hAnsi="宋体" w:cs="宋体"/>
          <w:b/>
          <w:color w:val="auto"/>
          <w:highlight w:val="none"/>
        </w:rPr>
      </w:pPr>
      <w:r>
        <w:rPr>
          <w:rFonts w:ascii="宋体" w:hAnsi="宋体" w:cs="宋体"/>
          <w:b/>
          <w:color w:val="auto"/>
          <w:highlight w:val="none"/>
        </w:rPr>
        <w:br w:type="page"/>
      </w:r>
    </w:p>
    <w:p w14:paraId="02A0024C">
      <w:pPr>
        <w:rPr>
          <w:rFonts w:ascii="宋体" w:hAnsi="宋体" w:cs="宋体"/>
          <w:b/>
          <w:color w:val="auto"/>
          <w:highlight w:val="none"/>
        </w:rPr>
      </w:pPr>
    </w:p>
    <w:p w14:paraId="537C4A2E">
      <w:pPr>
        <w:pStyle w:val="95"/>
        <w:ind w:firstLine="422"/>
        <w:rPr>
          <w:rFonts w:ascii="宋体" w:hAnsi="宋体" w:cs="宋体"/>
          <w:b/>
          <w:color w:val="auto"/>
          <w:highlight w:val="none"/>
          <w:lang w:val="en-US"/>
        </w:rPr>
      </w:pPr>
    </w:p>
    <w:p w14:paraId="6A486401">
      <w:pPr>
        <w:pStyle w:val="95"/>
        <w:ind w:firstLine="422"/>
        <w:rPr>
          <w:rFonts w:ascii="宋体" w:hAnsi="宋体" w:cs="宋体"/>
          <w:b/>
          <w:color w:val="auto"/>
          <w:highlight w:val="none"/>
          <w:lang w:val="en-US"/>
        </w:rPr>
      </w:pPr>
    </w:p>
    <w:p w14:paraId="3940AAFD">
      <w:pPr>
        <w:pStyle w:val="95"/>
        <w:ind w:firstLine="422"/>
        <w:rPr>
          <w:rFonts w:ascii="宋体" w:hAnsi="宋体" w:cs="宋体"/>
          <w:b/>
          <w:color w:val="auto"/>
          <w:highlight w:val="none"/>
          <w:lang w:val="en-US"/>
        </w:rPr>
      </w:pPr>
    </w:p>
    <w:p w14:paraId="21ABF203">
      <w:pPr>
        <w:pStyle w:val="95"/>
        <w:ind w:firstLine="422"/>
        <w:rPr>
          <w:rFonts w:ascii="宋体" w:hAnsi="宋体" w:cs="宋体"/>
          <w:b/>
          <w:color w:val="auto"/>
          <w:highlight w:val="none"/>
          <w:lang w:val="en-US"/>
        </w:rPr>
      </w:pPr>
    </w:p>
    <w:p w14:paraId="6052D133">
      <w:pPr>
        <w:pStyle w:val="95"/>
        <w:ind w:firstLine="422"/>
        <w:rPr>
          <w:rFonts w:ascii="宋体" w:hAnsi="宋体" w:cs="宋体"/>
          <w:b/>
          <w:color w:val="auto"/>
          <w:highlight w:val="none"/>
          <w:lang w:val="en-US"/>
        </w:rPr>
      </w:pPr>
    </w:p>
    <w:p w14:paraId="1D22E9C8">
      <w:pPr>
        <w:pStyle w:val="95"/>
        <w:ind w:firstLine="422"/>
        <w:rPr>
          <w:rFonts w:ascii="宋体" w:hAnsi="宋体" w:cs="宋体"/>
          <w:b/>
          <w:color w:val="auto"/>
          <w:highlight w:val="none"/>
          <w:lang w:val="en-US"/>
        </w:rPr>
      </w:pPr>
    </w:p>
    <w:p w14:paraId="1DB8713D">
      <w:pPr>
        <w:pStyle w:val="95"/>
        <w:ind w:firstLine="422"/>
        <w:rPr>
          <w:rFonts w:ascii="宋体" w:hAnsi="宋体" w:cs="宋体"/>
          <w:b/>
          <w:color w:val="auto"/>
          <w:highlight w:val="none"/>
          <w:lang w:val="en-US"/>
        </w:rPr>
      </w:pPr>
    </w:p>
    <w:p w14:paraId="75C795EE">
      <w:pPr>
        <w:pStyle w:val="3"/>
        <w:spacing w:before="0" w:after="0" w:line="360" w:lineRule="auto"/>
        <w:jc w:val="center"/>
        <w:rPr>
          <w:rFonts w:ascii="宋体" w:hAnsi="宋体" w:cs="宋体"/>
          <w:bCs w:val="0"/>
          <w:color w:val="auto"/>
          <w:kern w:val="2"/>
          <w:sz w:val="32"/>
          <w:szCs w:val="32"/>
          <w:highlight w:val="none"/>
        </w:rPr>
      </w:pPr>
      <w:bookmarkStart w:id="93" w:name="_Toc27730"/>
      <w:r>
        <w:rPr>
          <w:rFonts w:hint="eastAsia" w:ascii="宋体" w:hAnsi="宋体" w:cs="宋体"/>
          <w:bCs w:val="0"/>
          <w:color w:val="auto"/>
          <w:kern w:val="2"/>
          <w:sz w:val="32"/>
          <w:szCs w:val="32"/>
          <w:highlight w:val="none"/>
        </w:rPr>
        <w:t>第八章 合同文本</w:t>
      </w:r>
      <w:bookmarkEnd w:id="93"/>
    </w:p>
    <w:p w14:paraId="0567DD14">
      <w:pPr>
        <w:widowControl/>
        <w:jc w:val="left"/>
        <w:rPr>
          <w:rFonts w:ascii="宋体" w:hAnsi="宋体" w:cs="宋体"/>
          <w:b/>
          <w:color w:val="auto"/>
          <w:highlight w:val="none"/>
        </w:rPr>
      </w:pPr>
      <w:bookmarkStart w:id="94" w:name="_Toc3940"/>
      <w:bookmarkStart w:id="95" w:name="_Toc27720"/>
      <w:r>
        <w:rPr>
          <w:rFonts w:ascii="宋体" w:hAnsi="宋体" w:cs="宋体"/>
          <w:b/>
          <w:color w:val="auto"/>
          <w:highlight w:val="none"/>
        </w:rPr>
        <w:br w:type="page"/>
      </w:r>
    </w:p>
    <w:p w14:paraId="642A0DD2">
      <w:pPr>
        <w:pStyle w:val="95"/>
        <w:ind w:firstLine="422"/>
        <w:rPr>
          <w:rFonts w:ascii="宋体" w:hAnsi="宋体" w:cs="宋体"/>
          <w:b/>
          <w:color w:val="auto"/>
          <w:highlight w:val="none"/>
          <w:lang w:val="en-US"/>
        </w:rPr>
      </w:pPr>
    </w:p>
    <w:bookmarkEnd w:id="94"/>
    <w:bookmarkEnd w:id="95"/>
    <w:p w14:paraId="32EFDC9B">
      <w:pPr>
        <w:keepNext w:val="0"/>
        <w:keepLines w:val="0"/>
        <w:widowControl w:val="0"/>
        <w:suppressLineNumbers w:val="0"/>
        <w:spacing w:before="0" w:beforeAutospacing="0" w:after="0" w:afterAutospacing="0" w:line="360" w:lineRule="auto"/>
        <w:ind w:left="0" w:right="0" w:firstLine="880" w:firstLineChars="200"/>
        <w:jc w:val="center"/>
        <w:rPr>
          <w:rFonts w:hint="eastAsia" w:ascii="宋体" w:hAnsi="宋体" w:eastAsia="宋体" w:cs="宋体"/>
          <w:bCs/>
          <w:color w:val="auto"/>
          <w:sz w:val="44"/>
          <w:szCs w:val="44"/>
          <w:highlight w:val="none"/>
          <w:lang w:val="en-US"/>
        </w:rPr>
      </w:pPr>
      <w:bookmarkStart w:id="96" w:name="OLE_LINK9"/>
      <w:r>
        <w:rPr>
          <w:rFonts w:hint="eastAsia" w:ascii="宋体" w:hAnsi="宋体" w:eastAsia="宋体" w:cs="宋体"/>
          <w:bCs/>
          <w:color w:val="auto"/>
          <w:kern w:val="2"/>
          <w:sz w:val="44"/>
          <w:szCs w:val="44"/>
          <w:highlight w:val="none"/>
          <w:lang w:val="en-US" w:eastAsia="zh-CN" w:bidi="ar"/>
        </w:rPr>
        <w:t>建设工程施工合同</w:t>
      </w:r>
    </w:p>
    <w:p w14:paraId="5FE0DBE1">
      <w:pPr>
        <w:keepNext w:val="0"/>
        <w:keepLines w:val="0"/>
        <w:widowControl w:val="0"/>
        <w:suppressLineNumbers w:val="0"/>
        <w:spacing w:before="0" w:beforeAutospacing="0" w:after="0" w:afterAutospacing="0" w:line="360" w:lineRule="exact"/>
        <w:ind w:left="0" w:right="0" w:firstLine="600" w:firstLineChars="200"/>
        <w:jc w:val="both"/>
        <w:rPr>
          <w:rFonts w:hint="eastAsia" w:ascii="宋体" w:hAnsi="宋体" w:eastAsia="宋体" w:cs="宋体"/>
          <w:bCs/>
          <w:color w:val="auto"/>
          <w:sz w:val="30"/>
          <w:szCs w:val="30"/>
          <w:highlight w:val="none"/>
          <w:lang w:val="en-US"/>
        </w:rPr>
      </w:pPr>
    </w:p>
    <w:p w14:paraId="11EB8760">
      <w:pPr>
        <w:pStyle w:val="25"/>
        <w:keepNext w:val="0"/>
        <w:keepLines w:val="0"/>
        <w:widowControl w:val="0"/>
        <w:suppressLineNumbers w:val="0"/>
        <w:spacing w:before="0" w:beforeAutospacing="0" w:after="120" w:afterAutospacing="0" w:line="360" w:lineRule="exact"/>
        <w:ind w:left="0" w:right="0" w:firstLine="300" w:firstLineChars="100"/>
        <w:jc w:val="both"/>
        <w:rPr>
          <w:rFonts w:hint="eastAsia" w:ascii="宋体" w:hAnsi="宋体" w:eastAsia="宋体" w:cs="宋体"/>
          <w:bCs/>
          <w:color w:val="auto"/>
          <w:sz w:val="30"/>
          <w:szCs w:val="30"/>
          <w:highlight w:val="none"/>
          <w:lang w:val="en-US"/>
        </w:rPr>
      </w:pPr>
    </w:p>
    <w:p w14:paraId="53491732">
      <w:pPr>
        <w:pStyle w:val="25"/>
        <w:keepNext w:val="0"/>
        <w:keepLines w:val="0"/>
        <w:widowControl w:val="0"/>
        <w:suppressLineNumbers w:val="0"/>
        <w:spacing w:before="0" w:beforeAutospacing="0" w:after="120" w:afterAutospacing="0" w:line="360" w:lineRule="exact"/>
        <w:ind w:left="0" w:right="0" w:firstLine="300" w:firstLineChars="100"/>
        <w:jc w:val="both"/>
        <w:rPr>
          <w:rFonts w:hint="eastAsia" w:ascii="宋体" w:hAnsi="宋体" w:eastAsia="宋体" w:cs="宋体"/>
          <w:bCs/>
          <w:color w:val="auto"/>
          <w:sz w:val="30"/>
          <w:szCs w:val="30"/>
          <w:highlight w:val="none"/>
          <w:lang w:val="en-US"/>
        </w:rPr>
      </w:pPr>
    </w:p>
    <w:p w14:paraId="1070FB13">
      <w:pPr>
        <w:pStyle w:val="25"/>
        <w:keepNext w:val="0"/>
        <w:keepLines w:val="0"/>
        <w:widowControl w:val="0"/>
        <w:suppressLineNumbers w:val="0"/>
        <w:spacing w:before="0" w:beforeAutospacing="0" w:after="120" w:afterAutospacing="0" w:line="360" w:lineRule="exact"/>
        <w:ind w:left="0" w:right="0" w:firstLine="300" w:firstLineChars="100"/>
        <w:jc w:val="both"/>
        <w:rPr>
          <w:rFonts w:hint="eastAsia" w:ascii="宋体" w:hAnsi="宋体" w:eastAsia="宋体" w:cs="宋体"/>
          <w:bCs/>
          <w:color w:val="auto"/>
          <w:sz w:val="30"/>
          <w:szCs w:val="30"/>
          <w:highlight w:val="none"/>
          <w:lang w:val="en-US"/>
        </w:rPr>
      </w:pPr>
    </w:p>
    <w:p w14:paraId="767FE042">
      <w:pPr>
        <w:pStyle w:val="25"/>
        <w:keepNext w:val="0"/>
        <w:keepLines w:val="0"/>
        <w:widowControl w:val="0"/>
        <w:suppressLineNumbers w:val="0"/>
        <w:spacing w:before="0" w:beforeAutospacing="0" w:after="120" w:afterAutospacing="0" w:line="360" w:lineRule="exact"/>
        <w:ind w:left="0" w:right="0" w:firstLine="300" w:firstLineChars="100"/>
        <w:jc w:val="both"/>
        <w:rPr>
          <w:rFonts w:hint="eastAsia" w:ascii="宋体" w:hAnsi="宋体" w:eastAsia="宋体" w:cs="宋体"/>
          <w:bCs/>
          <w:color w:val="auto"/>
          <w:sz w:val="30"/>
          <w:szCs w:val="30"/>
          <w:highlight w:val="none"/>
          <w:lang w:val="en-US"/>
        </w:rPr>
      </w:pPr>
    </w:p>
    <w:p w14:paraId="356CDA68">
      <w:pPr>
        <w:pStyle w:val="25"/>
        <w:keepNext w:val="0"/>
        <w:keepLines w:val="0"/>
        <w:widowControl w:val="0"/>
        <w:suppressLineNumbers w:val="0"/>
        <w:spacing w:before="0" w:beforeAutospacing="0" w:after="120" w:afterAutospacing="0" w:line="360" w:lineRule="exact"/>
        <w:ind w:left="0" w:right="0" w:firstLine="300" w:firstLineChars="100"/>
        <w:jc w:val="both"/>
        <w:rPr>
          <w:rFonts w:hint="eastAsia" w:ascii="宋体" w:hAnsi="宋体" w:eastAsia="宋体" w:cs="宋体"/>
          <w:bCs/>
          <w:color w:val="auto"/>
          <w:sz w:val="30"/>
          <w:szCs w:val="30"/>
          <w:highlight w:val="none"/>
          <w:lang w:val="en-US"/>
        </w:rPr>
      </w:pPr>
    </w:p>
    <w:p w14:paraId="68D59265">
      <w:pPr>
        <w:pStyle w:val="25"/>
        <w:keepNext w:val="0"/>
        <w:keepLines w:val="0"/>
        <w:widowControl w:val="0"/>
        <w:suppressLineNumbers w:val="0"/>
        <w:spacing w:before="0" w:beforeAutospacing="0" w:after="120" w:afterAutospacing="0" w:line="360" w:lineRule="exact"/>
        <w:ind w:left="0" w:right="0" w:firstLine="300" w:firstLineChars="100"/>
        <w:jc w:val="both"/>
        <w:rPr>
          <w:rFonts w:hint="eastAsia" w:ascii="宋体" w:hAnsi="宋体" w:eastAsia="宋体" w:cs="宋体"/>
          <w:bCs/>
          <w:color w:val="auto"/>
          <w:sz w:val="30"/>
          <w:szCs w:val="30"/>
          <w:highlight w:val="none"/>
          <w:lang w:val="en-US"/>
        </w:rPr>
      </w:pPr>
    </w:p>
    <w:p w14:paraId="46D43118">
      <w:pPr>
        <w:pStyle w:val="25"/>
        <w:keepNext w:val="0"/>
        <w:keepLines w:val="0"/>
        <w:widowControl w:val="0"/>
        <w:suppressLineNumbers w:val="0"/>
        <w:spacing w:before="0" w:beforeAutospacing="0" w:after="120" w:afterAutospacing="0" w:line="360" w:lineRule="exact"/>
        <w:ind w:left="0" w:right="0" w:firstLine="220" w:firstLineChars="100"/>
        <w:jc w:val="both"/>
        <w:rPr>
          <w:rFonts w:hint="eastAsia" w:ascii="宋体" w:hAnsi="宋体" w:eastAsia="宋体" w:cs="宋体"/>
          <w:bCs/>
          <w:color w:val="auto"/>
          <w:sz w:val="22"/>
          <w:szCs w:val="22"/>
          <w:highlight w:val="none"/>
          <w:lang w:val="en-US"/>
        </w:rPr>
      </w:pPr>
    </w:p>
    <w:p w14:paraId="4E58850F">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lang w:val="en-US"/>
        </w:rPr>
      </w:pPr>
      <w:r>
        <w:rPr>
          <w:rFonts w:hint="eastAsia" w:ascii="宋体" w:hAnsi="宋体" w:eastAsia="宋体" w:cs="宋体"/>
          <w:bCs/>
          <w:color w:val="auto"/>
          <w:kern w:val="2"/>
          <w:sz w:val="22"/>
          <w:szCs w:val="22"/>
          <w:highlight w:val="none"/>
          <w:lang w:val="en-US" w:eastAsia="zh-CN" w:bidi="ar"/>
        </w:rPr>
        <w:t>项目名称：</w:t>
      </w:r>
    </w:p>
    <w:p w14:paraId="444C23C0">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color w:val="auto"/>
          <w:sz w:val="22"/>
          <w:szCs w:val="22"/>
          <w:highlight w:val="none"/>
          <w:lang w:val="en-US"/>
        </w:rPr>
      </w:pPr>
    </w:p>
    <w:p w14:paraId="545F8E44">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u w:val="single"/>
          <w:lang w:val="en-US"/>
        </w:rPr>
      </w:pPr>
      <w:r>
        <w:rPr>
          <w:rFonts w:hint="eastAsia" w:ascii="宋体" w:hAnsi="宋体" w:eastAsia="宋体" w:cs="宋体"/>
          <w:bCs/>
          <w:color w:val="auto"/>
          <w:kern w:val="2"/>
          <w:sz w:val="22"/>
          <w:szCs w:val="22"/>
          <w:highlight w:val="none"/>
          <w:lang w:val="en-US" w:eastAsia="zh-CN" w:bidi="ar"/>
        </w:rPr>
        <w:t>项目编号：</w:t>
      </w:r>
    </w:p>
    <w:p w14:paraId="75C61B09">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lang w:val="en-US"/>
        </w:rPr>
      </w:pPr>
    </w:p>
    <w:p w14:paraId="1BB908C5">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lang w:val="en-US"/>
        </w:rPr>
      </w:pPr>
    </w:p>
    <w:p w14:paraId="6F187A01">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lang w:val="en-US"/>
        </w:rPr>
      </w:pPr>
    </w:p>
    <w:p w14:paraId="58B89C91">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lang w:val="en-US"/>
        </w:rPr>
      </w:pPr>
    </w:p>
    <w:p w14:paraId="6C306B5C">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lang w:val="en-US"/>
        </w:rPr>
      </w:pPr>
    </w:p>
    <w:p w14:paraId="4F465A13">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lang w:val="en-US"/>
        </w:rPr>
      </w:pPr>
      <w:r>
        <w:rPr>
          <w:rFonts w:hint="eastAsia" w:ascii="宋体" w:hAnsi="宋体" w:eastAsia="宋体" w:cs="宋体"/>
          <w:bCs/>
          <w:color w:val="auto"/>
          <w:kern w:val="2"/>
          <w:sz w:val="22"/>
          <w:szCs w:val="22"/>
          <w:highlight w:val="none"/>
          <w:lang w:val="en-US" w:eastAsia="zh-CN" w:bidi="ar"/>
        </w:rPr>
        <w:t>发包人：</w:t>
      </w:r>
    </w:p>
    <w:p w14:paraId="0BB83052">
      <w:pPr>
        <w:keepNext w:val="0"/>
        <w:keepLines w:val="0"/>
        <w:widowControl w:val="0"/>
        <w:suppressLineNumbers w:val="0"/>
        <w:spacing w:before="0" w:beforeAutospacing="0" w:after="0" w:afterAutospacing="0" w:line="360" w:lineRule="exact"/>
        <w:ind w:left="0" w:right="0" w:firstLine="2939" w:firstLineChars="1336"/>
        <w:jc w:val="both"/>
        <w:rPr>
          <w:rFonts w:hint="eastAsia" w:ascii="宋体" w:hAnsi="宋体" w:eastAsia="宋体" w:cs="宋体"/>
          <w:bCs/>
          <w:color w:val="auto"/>
          <w:sz w:val="22"/>
          <w:szCs w:val="22"/>
          <w:highlight w:val="none"/>
          <w:lang w:val="en-US"/>
        </w:rPr>
      </w:pPr>
    </w:p>
    <w:p w14:paraId="0B5FE444">
      <w:pPr>
        <w:keepNext w:val="0"/>
        <w:keepLines w:val="0"/>
        <w:widowControl w:val="0"/>
        <w:suppressLineNumbers w:val="0"/>
        <w:spacing w:before="0" w:beforeAutospacing="0" w:after="0" w:afterAutospacing="0" w:line="360" w:lineRule="exact"/>
        <w:ind w:left="0" w:right="0" w:firstLine="2939" w:firstLineChars="1336"/>
        <w:jc w:val="center"/>
        <w:rPr>
          <w:rFonts w:hint="eastAsia" w:ascii="宋体" w:hAnsi="宋体" w:eastAsia="宋体" w:cs="宋体"/>
          <w:b/>
          <w:bCs/>
          <w:color w:val="auto"/>
          <w:sz w:val="24"/>
          <w:szCs w:val="24"/>
          <w:highlight w:val="none"/>
          <w:lang w:val="en-US"/>
        </w:rPr>
      </w:pPr>
      <w:r>
        <w:rPr>
          <w:rFonts w:hint="eastAsia" w:ascii="宋体" w:hAnsi="宋体" w:eastAsia="宋体" w:cs="宋体"/>
          <w:bCs/>
          <w:color w:val="auto"/>
          <w:kern w:val="2"/>
          <w:sz w:val="22"/>
          <w:szCs w:val="22"/>
          <w:highlight w:val="none"/>
          <w:lang w:val="en-US" w:eastAsia="zh-CN" w:bidi="ar"/>
        </w:rPr>
        <w:t>承包人：</w:t>
      </w:r>
      <w:r>
        <w:rPr>
          <w:rFonts w:hint="eastAsia" w:ascii="宋体" w:hAnsi="宋体" w:eastAsia="宋体" w:cs="宋体"/>
          <w:bCs/>
          <w:color w:val="auto"/>
          <w:kern w:val="2"/>
          <w:sz w:val="21"/>
          <w:szCs w:val="21"/>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广西壮族自治区梧州市建设工程施工合同</w:t>
      </w:r>
    </w:p>
    <w:p w14:paraId="15CC0254">
      <w:pPr>
        <w:keepNext w:val="0"/>
        <w:keepLines w:val="0"/>
        <w:widowControl w:val="0"/>
        <w:suppressLineNumbers w:val="0"/>
        <w:snapToGrid w:val="0"/>
        <w:spacing w:before="0" w:beforeAutospacing="0" w:after="0" w:afterAutospacing="0" w:line="400" w:lineRule="exact"/>
        <w:ind w:left="0" w:right="0" w:firstLine="482" w:firstLineChars="200"/>
        <w:jc w:val="center"/>
        <w:rPr>
          <w:rFonts w:hint="eastAsia" w:ascii="宋体" w:hAnsi="宋体" w:eastAsia="宋体" w:cs="宋体"/>
          <w:b/>
          <w:bCs/>
          <w:color w:val="auto"/>
          <w:sz w:val="24"/>
          <w:szCs w:val="24"/>
          <w:highlight w:val="none"/>
          <w:lang w:val="en-US"/>
        </w:rPr>
      </w:pPr>
    </w:p>
    <w:p w14:paraId="42B1D989">
      <w:pPr>
        <w:keepNext w:val="0"/>
        <w:keepLines w:val="0"/>
        <w:widowControl w:val="0"/>
        <w:suppressLineNumbers w:val="0"/>
        <w:snapToGrid w:val="0"/>
        <w:spacing w:before="0" w:beforeAutospacing="0" w:after="0" w:afterAutospacing="0" w:line="400" w:lineRule="exact"/>
        <w:ind w:right="480"/>
        <w:jc w:val="both"/>
        <w:rPr>
          <w:rFonts w:hint="eastAsia" w:ascii="宋体" w:hAnsi="宋体" w:eastAsia="宋体" w:cs="宋体"/>
          <w:bCs/>
          <w:color w:val="auto"/>
          <w:szCs w:val="21"/>
          <w:highlight w:val="none"/>
          <w:u w:val="single"/>
          <w:lang w:val="en-US"/>
        </w:rPr>
      </w:pPr>
      <w:r>
        <w:rPr>
          <w:rFonts w:hint="eastAsia" w:ascii="宋体" w:hAnsi="宋体" w:eastAsia="宋体" w:cs="宋体"/>
          <w:bCs/>
          <w:color w:val="auto"/>
          <w:kern w:val="2"/>
          <w:sz w:val="21"/>
          <w:szCs w:val="21"/>
          <w:highlight w:val="none"/>
          <w:lang w:val="en-US" w:eastAsia="zh-CN" w:bidi="ar"/>
        </w:rPr>
        <w:t>合同编号：</w:t>
      </w:r>
    </w:p>
    <w:p w14:paraId="488B2119">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p>
    <w:p w14:paraId="799762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发包人（全称）：</w:t>
      </w:r>
    </w:p>
    <w:p w14:paraId="1634D0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承包人（全称）：</w:t>
      </w:r>
    </w:p>
    <w:p w14:paraId="5055B5D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根据《中华人民共和国民法典》、《中华人民共和国建筑法》及有关法律规定，遵循平等、自愿、公平和诚实信用的原则，双方就工程施工及有关事项协商一致，共同达成如下协议：</w:t>
      </w:r>
      <w:bookmarkStart w:id="97" w:name="_Toc351203481"/>
    </w:p>
    <w:p w14:paraId="0BB15EA2">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b/>
          <w:bCs/>
          <w:color w:val="auto"/>
          <w:highlight w:val="none"/>
          <w:lang w:val="en-US"/>
        </w:rPr>
      </w:pPr>
      <w:r>
        <w:rPr>
          <w:rFonts w:hint="eastAsia" w:ascii="宋体" w:hAnsi="宋体" w:eastAsia="宋体" w:cs="宋体"/>
          <w:b/>
          <w:bCs/>
          <w:color w:val="auto"/>
          <w:kern w:val="2"/>
          <w:sz w:val="21"/>
          <w:szCs w:val="24"/>
          <w:highlight w:val="none"/>
          <w:lang w:val="en-US" w:eastAsia="zh-CN" w:bidi="ar"/>
        </w:rPr>
        <w:t>一、工程概况</w:t>
      </w:r>
      <w:bookmarkEnd w:id="97"/>
    </w:p>
    <w:p w14:paraId="041E1286">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1.工程名称：。</w:t>
      </w:r>
    </w:p>
    <w:p w14:paraId="7242CE82">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2.工程地点：。</w:t>
      </w:r>
    </w:p>
    <w:p w14:paraId="0B8BE04E">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3.工程立项批准文号：。</w:t>
      </w:r>
    </w:p>
    <w:p w14:paraId="03F291DC">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4.资金来源：。</w:t>
      </w:r>
    </w:p>
    <w:p w14:paraId="24554E7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5.工程内容：。</w:t>
      </w:r>
    </w:p>
    <w:p w14:paraId="4051B0F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群体工程应附《承包人承揽工程项目一览表》（附件1）。</w:t>
      </w:r>
    </w:p>
    <w:p w14:paraId="424B08D4">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6.工程承包范围：。</w:t>
      </w:r>
    </w:p>
    <w:p w14:paraId="29E88662">
      <w:pPr>
        <w:keepNext w:val="0"/>
        <w:keepLines w:val="0"/>
        <w:widowControl w:val="0"/>
        <w:suppressLineNumbers w:val="0"/>
        <w:spacing w:before="0" w:beforeAutospacing="0" w:after="0" w:afterAutospacing="0" w:line="360" w:lineRule="auto"/>
        <w:ind w:left="0" w:right="0" w:firstLine="407" w:firstLineChars="193"/>
        <w:jc w:val="both"/>
        <w:outlineLvl w:val="0"/>
        <w:rPr>
          <w:rFonts w:hint="eastAsia" w:ascii="宋体" w:hAnsi="宋体" w:eastAsia="宋体" w:cs="宋体"/>
          <w:b/>
          <w:bCs/>
          <w:color w:val="auto"/>
          <w:highlight w:val="none"/>
          <w:lang w:val="en-US"/>
        </w:rPr>
      </w:pPr>
      <w:bookmarkStart w:id="98" w:name="_Toc351203482"/>
      <w:r>
        <w:rPr>
          <w:rFonts w:hint="eastAsia" w:ascii="宋体" w:hAnsi="宋体" w:eastAsia="宋体" w:cs="宋体"/>
          <w:b/>
          <w:bCs/>
          <w:color w:val="auto"/>
          <w:kern w:val="2"/>
          <w:sz w:val="21"/>
          <w:szCs w:val="24"/>
          <w:highlight w:val="none"/>
          <w:lang w:val="en-US" w:eastAsia="zh-CN" w:bidi="ar"/>
        </w:rPr>
        <w:t>二、合同工期</w:t>
      </w:r>
      <w:bookmarkEnd w:id="98"/>
    </w:p>
    <w:p w14:paraId="2A502E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计划开工日期：</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年</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月</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日。（具体以发包人书面通知为准）</w:t>
      </w:r>
    </w:p>
    <w:p w14:paraId="45353A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计划竣工日期：</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年</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月</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日。</w:t>
      </w:r>
    </w:p>
    <w:p w14:paraId="2410CB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工期总日历天数：</w:t>
      </w:r>
      <w:r>
        <w:rPr>
          <w:rFonts w:hint="eastAsia" w:ascii="宋体" w:hAnsi="宋体" w:cs="宋体"/>
          <w:color w:val="auto"/>
          <w:kern w:val="2"/>
          <w:sz w:val="21"/>
          <w:szCs w:val="24"/>
          <w:highlight w:val="none"/>
          <w:u w:val="single"/>
          <w:lang w:val="en-US" w:eastAsia="zh-CN" w:bidi="ar"/>
        </w:rPr>
        <w:t>3</w:t>
      </w:r>
      <w:r>
        <w:rPr>
          <w:rFonts w:hint="eastAsia" w:ascii="宋体" w:hAnsi="宋体" w:eastAsia="宋体" w:cs="宋体"/>
          <w:color w:val="auto"/>
          <w:kern w:val="2"/>
          <w:sz w:val="21"/>
          <w:szCs w:val="24"/>
          <w:highlight w:val="none"/>
          <w:u w:val="single"/>
          <w:lang w:val="en-US" w:eastAsia="zh-CN" w:bidi="ar"/>
        </w:rPr>
        <w:t>0</w:t>
      </w:r>
      <w:r>
        <w:rPr>
          <w:rFonts w:hint="eastAsia" w:ascii="宋体" w:hAnsi="宋体" w:eastAsia="宋体" w:cs="宋体"/>
          <w:color w:val="auto"/>
          <w:kern w:val="2"/>
          <w:sz w:val="21"/>
          <w:szCs w:val="24"/>
          <w:highlight w:val="none"/>
          <w:lang w:val="en-US" w:eastAsia="zh-CN" w:bidi="ar"/>
        </w:rPr>
        <w:t>天。工期总日历天数与根据前述计划开竣工日期计算的工期天数不一致的，以工期总日历天数为准。</w:t>
      </w:r>
    </w:p>
    <w:p w14:paraId="000A6A7C">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b/>
          <w:bCs/>
          <w:color w:val="auto"/>
          <w:highlight w:val="none"/>
          <w:lang w:val="en-US"/>
        </w:rPr>
      </w:pPr>
      <w:bookmarkStart w:id="99" w:name="_Toc351203483"/>
      <w:r>
        <w:rPr>
          <w:rFonts w:hint="eastAsia" w:ascii="宋体" w:hAnsi="宋体" w:eastAsia="宋体" w:cs="宋体"/>
          <w:b/>
          <w:bCs/>
          <w:color w:val="auto"/>
          <w:kern w:val="2"/>
          <w:sz w:val="21"/>
          <w:szCs w:val="24"/>
          <w:highlight w:val="none"/>
          <w:lang w:val="en-US" w:eastAsia="zh-CN" w:bidi="ar"/>
        </w:rPr>
        <w:t>三、质量标准</w:t>
      </w:r>
      <w:bookmarkEnd w:id="99"/>
    </w:p>
    <w:p w14:paraId="7E336A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工程质量符合标准。</w:t>
      </w:r>
    </w:p>
    <w:p w14:paraId="2FBA160A">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b/>
          <w:bCs/>
          <w:color w:val="auto"/>
          <w:highlight w:val="none"/>
          <w:lang w:val="en-US"/>
        </w:rPr>
      </w:pPr>
      <w:bookmarkStart w:id="100" w:name="_Toc351203484"/>
      <w:r>
        <w:rPr>
          <w:rFonts w:hint="eastAsia" w:ascii="宋体" w:hAnsi="宋体" w:eastAsia="宋体" w:cs="宋体"/>
          <w:b/>
          <w:bCs/>
          <w:color w:val="auto"/>
          <w:kern w:val="2"/>
          <w:sz w:val="21"/>
          <w:szCs w:val="24"/>
          <w:highlight w:val="none"/>
          <w:lang w:val="en-US" w:eastAsia="zh-CN" w:bidi="ar"/>
        </w:rPr>
        <w:t>四、签约合同价与合同价格形式</w:t>
      </w:r>
      <w:bookmarkEnd w:id="100"/>
    </w:p>
    <w:p w14:paraId="4E7DD2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1.签约合同价为：人民币（大写）（¥元）；</w:t>
      </w:r>
    </w:p>
    <w:p w14:paraId="1E622B4B">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其中：</w:t>
      </w:r>
    </w:p>
    <w:p w14:paraId="7FFAF7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（1）安全文明施工费：人民币（大写）（¥元）；</w:t>
      </w:r>
    </w:p>
    <w:p w14:paraId="6F1C0B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（2）材料和工程设备暂估价金额：</w:t>
      </w:r>
      <w:r>
        <w:rPr>
          <w:rFonts w:hint="eastAsia" w:ascii="宋体" w:hAnsi="宋体" w:cs="宋体"/>
          <w:color w:val="auto"/>
          <w:kern w:val="2"/>
          <w:sz w:val="21"/>
          <w:szCs w:val="24"/>
          <w:highlight w:val="none"/>
          <w:lang w:val="en-US" w:eastAsia="zh-CN" w:bidi="ar"/>
        </w:rPr>
        <w:t xml:space="preserve"> </w:t>
      </w:r>
      <w:r>
        <w:rPr>
          <w:rFonts w:hint="eastAsia" w:ascii="宋体" w:hAnsi="宋体" w:eastAsia="宋体" w:cs="宋体"/>
          <w:color w:val="auto"/>
          <w:kern w:val="2"/>
          <w:sz w:val="21"/>
          <w:szCs w:val="24"/>
          <w:highlight w:val="none"/>
          <w:lang w:val="en-US" w:eastAsia="zh-CN" w:bidi="ar"/>
        </w:rPr>
        <w:t>人民币（大写）</w:t>
      </w:r>
      <w:r>
        <w:rPr>
          <w:rFonts w:hint="eastAsia" w:ascii="宋体" w:hAnsi="宋体" w:cs="宋体"/>
          <w:color w:val="auto"/>
          <w:kern w:val="2"/>
          <w:sz w:val="21"/>
          <w:szCs w:val="24"/>
          <w:highlight w:val="none"/>
          <w:lang w:val="en-US" w:eastAsia="zh-CN" w:bidi="ar"/>
        </w:rPr>
        <w:t xml:space="preserve"> </w:t>
      </w:r>
      <w:r>
        <w:rPr>
          <w:rFonts w:hint="eastAsia" w:ascii="宋体" w:hAnsi="宋体" w:eastAsia="宋体" w:cs="宋体"/>
          <w:color w:val="auto"/>
          <w:kern w:val="2"/>
          <w:sz w:val="21"/>
          <w:szCs w:val="24"/>
          <w:highlight w:val="none"/>
          <w:lang w:val="en-US" w:eastAsia="zh-CN" w:bidi="ar"/>
        </w:rPr>
        <w:t>（¥元）；</w:t>
      </w:r>
    </w:p>
    <w:p w14:paraId="73D819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（3）专业工程暂估价金额：</w:t>
      </w:r>
      <w:r>
        <w:rPr>
          <w:rFonts w:hint="eastAsia" w:ascii="宋体" w:hAnsi="宋体" w:cs="宋体"/>
          <w:color w:val="auto"/>
          <w:kern w:val="2"/>
          <w:sz w:val="21"/>
          <w:szCs w:val="24"/>
          <w:highlight w:val="none"/>
          <w:lang w:val="en-US" w:eastAsia="zh-CN" w:bidi="ar"/>
        </w:rPr>
        <w:t xml:space="preserve"> </w:t>
      </w:r>
      <w:r>
        <w:rPr>
          <w:rFonts w:hint="eastAsia" w:ascii="宋体" w:hAnsi="宋体" w:eastAsia="宋体" w:cs="宋体"/>
          <w:color w:val="auto"/>
          <w:kern w:val="2"/>
          <w:sz w:val="21"/>
          <w:szCs w:val="24"/>
          <w:highlight w:val="none"/>
          <w:lang w:val="en-US" w:eastAsia="zh-CN" w:bidi="ar"/>
        </w:rPr>
        <w:t>人民币（大写）（¥元）；</w:t>
      </w:r>
    </w:p>
    <w:p w14:paraId="5E7FFF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（4）暂列金额：</w:t>
      </w:r>
      <w:r>
        <w:rPr>
          <w:rFonts w:hint="eastAsia" w:ascii="宋体" w:hAnsi="宋体" w:cs="宋体"/>
          <w:color w:val="auto"/>
          <w:kern w:val="2"/>
          <w:sz w:val="21"/>
          <w:szCs w:val="24"/>
          <w:highlight w:val="none"/>
          <w:lang w:val="en-US" w:eastAsia="zh-CN" w:bidi="ar"/>
        </w:rPr>
        <w:t xml:space="preserve"> </w:t>
      </w:r>
      <w:r>
        <w:rPr>
          <w:rFonts w:hint="eastAsia" w:ascii="宋体" w:hAnsi="宋体" w:eastAsia="宋体" w:cs="宋体"/>
          <w:color w:val="auto"/>
          <w:kern w:val="2"/>
          <w:sz w:val="21"/>
          <w:szCs w:val="24"/>
          <w:highlight w:val="none"/>
          <w:lang w:val="en-US" w:eastAsia="zh-CN" w:bidi="ar"/>
        </w:rPr>
        <w:t>人民币（大写）（¥元）。</w:t>
      </w:r>
    </w:p>
    <w:p w14:paraId="7E1D3B57">
      <w:pPr>
        <w:keepNext w:val="0"/>
        <w:keepLines w:val="0"/>
        <w:widowControl w:val="0"/>
        <w:suppressLineNumbers w:val="0"/>
        <w:spacing w:before="0" w:beforeAutospacing="0" w:after="0" w:afterAutospacing="0" w:line="360" w:lineRule="auto"/>
        <w:ind w:left="0" w:right="0" w:firstLine="359" w:firstLineChars="171"/>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（5）增值税额：</w:t>
      </w:r>
      <w:r>
        <w:rPr>
          <w:rFonts w:hint="eastAsia" w:ascii="宋体" w:hAnsi="宋体" w:cs="宋体"/>
          <w:color w:val="auto"/>
          <w:kern w:val="2"/>
          <w:sz w:val="21"/>
          <w:szCs w:val="24"/>
          <w:highlight w:val="none"/>
          <w:lang w:val="en-US" w:eastAsia="zh-CN" w:bidi="ar"/>
        </w:rPr>
        <w:t xml:space="preserve"> </w:t>
      </w:r>
      <w:r>
        <w:rPr>
          <w:rFonts w:hint="eastAsia" w:ascii="宋体" w:hAnsi="宋体" w:eastAsia="宋体" w:cs="宋体"/>
          <w:color w:val="auto"/>
          <w:kern w:val="2"/>
          <w:sz w:val="21"/>
          <w:szCs w:val="24"/>
          <w:highlight w:val="none"/>
          <w:lang w:val="en-US" w:eastAsia="zh-CN" w:bidi="ar"/>
        </w:rPr>
        <w:t>人民币（大写）（¥元）。</w:t>
      </w:r>
      <w:r>
        <w:rPr>
          <w:rFonts w:hint="eastAsia" w:ascii="宋体" w:hAnsi="宋体" w:cs="宋体"/>
          <w:color w:val="auto"/>
          <w:kern w:val="2"/>
          <w:sz w:val="21"/>
          <w:szCs w:val="24"/>
          <w:highlight w:val="none"/>
          <w:lang w:val="en-US" w:eastAsia="zh-CN" w:bidi="ar"/>
        </w:rPr>
        <w:t xml:space="preserve"> </w:t>
      </w:r>
      <w:r>
        <w:rPr>
          <w:rFonts w:hint="eastAsia" w:ascii="宋体" w:hAnsi="宋体" w:eastAsia="宋体" w:cs="宋体"/>
          <w:color w:val="auto"/>
          <w:kern w:val="2"/>
          <w:sz w:val="21"/>
          <w:szCs w:val="24"/>
          <w:highlight w:val="none"/>
          <w:lang w:val="en-US" w:eastAsia="zh-CN" w:bidi="ar"/>
        </w:rPr>
        <w:t>增值税率：</w:t>
      </w:r>
      <w:r>
        <w:rPr>
          <w:rFonts w:hint="eastAsia" w:ascii="宋体" w:hAnsi="宋体" w:eastAsia="宋体" w:cs="宋体"/>
          <w:color w:val="auto"/>
          <w:kern w:val="2"/>
          <w:sz w:val="21"/>
          <w:szCs w:val="24"/>
          <w:highlight w:val="none"/>
          <w:u w:val="single"/>
          <w:lang w:val="en-US" w:eastAsia="zh-CN" w:bidi="ar"/>
        </w:rPr>
        <w:t>　　　　　　</w:t>
      </w:r>
    </w:p>
    <w:p w14:paraId="70A500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2.合同价格形式：</w:t>
      </w:r>
      <w:bookmarkStart w:id="101" w:name="OLE_LINK8"/>
      <w:r>
        <w:rPr>
          <w:rFonts w:hint="eastAsia" w:ascii="宋体" w:hAnsi="宋体" w:cs="宋体"/>
          <w:color w:val="auto"/>
          <w:kern w:val="2"/>
          <w:sz w:val="21"/>
          <w:szCs w:val="24"/>
          <w:highlight w:val="none"/>
          <w:u w:val="single"/>
          <w:lang w:val="en-US" w:eastAsia="zh-CN" w:bidi="ar"/>
        </w:rPr>
        <w:t>工程量清单和施工图</w:t>
      </w:r>
      <w:r>
        <w:rPr>
          <w:rFonts w:hint="eastAsia" w:ascii="宋体" w:hAnsi="宋体" w:eastAsia="宋体" w:cs="宋体"/>
          <w:color w:val="auto"/>
          <w:kern w:val="2"/>
          <w:sz w:val="21"/>
          <w:szCs w:val="24"/>
          <w:highlight w:val="none"/>
          <w:u w:val="single"/>
          <w:lang w:val="en-US" w:eastAsia="zh-CN" w:bidi="ar"/>
        </w:rPr>
        <w:t>范围内总价固定</w:t>
      </w:r>
      <w:bookmarkEnd w:id="101"/>
      <w:r>
        <w:rPr>
          <w:rFonts w:hint="eastAsia" w:ascii="宋体" w:hAnsi="宋体" w:eastAsia="宋体" w:cs="宋体"/>
          <w:color w:val="auto"/>
          <w:kern w:val="2"/>
          <w:sz w:val="21"/>
          <w:szCs w:val="24"/>
          <w:highlight w:val="none"/>
          <w:lang w:val="en-US" w:eastAsia="zh-CN" w:bidi="ar"/>
        </w:rPr>
        <w:t>。</w:t>
      </w:r>
    </w:p>
    <w:p w14:paraId="42979E18">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b/>
          <w:bCs/>
          <w:color w:val="auto"/>
          <w:highlight w:val="none"/>
          <w:lang w:val="en-US"/>
        </w:rPr>
      </w:pPr>
      <w:bookmarkStart w:id="102" w:name="_Toc351203485"/>
      <w:r>
        <w:rPr>
          <w:rFonts w:hint="eastAsia" w:ascii="宋体" w:hAnsi="宋体" w:eastAsia="宋体" w:cs="宋体"/>
          <w:b/>
          <w:bCs/>
          <w:color w:val="auto"/>
          <w:kern w:val="2"/>
          <w:sz w:val="21"/>
          <w:szCs w:val="24"/>
          <w:highlight w:val="none"/>
          <w:lang w:val="en-US" w:eastAsia="zh-CN" w:bidi="ar"/>
        </w:rPr>
        <w:t>五、</w:t>
      </w:r>
      <w:bookmarkEnd w:id="102"/>
      <w:r>
        <w:rPr>
          <w:rFonts w:hint="eastAsia" w:ascii="宋体" w:hAnsi="宋体" w:eastAsia="宋体" w:cs="宋体"/>
          <w:b/>
          <w:bCs/>
          <w:color w:val="auto"/>
          <w:kern w:val="2"/>
          <w:sz w:val="21"/>
          <w:szCs w:val="24"/>
          <w:highlight w:val="none"/>
          <w:lang w:val="en-US" w:eastAsia="zh-CN" w:bidi="ar"/>
        </w:rPr>
        <w:t>项目经理</w:t>
      </w:r>
    </w:p>
    <w:p w14:paraId="08A2C6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承包人项目经理：。</w:t>
      </w:r>
    </w:p>
    <w:p w14:paraId="5092533C">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b/>
          <w:bCs/>
          <w:color w:val="auto"/>
          <w:highlight w:val="none"/>
          <w:lang w:val="en-US"/>
        </w:rPr>
      </w:pPr>
      <w:bookmarkStart w:id="103" w:name="_Toc351203486"/>
      <w:r>
        <w:rPr>
          <w:rFonts w:hint="eastAsia" w:ascii="宋体" w:hAnsi="宋体" w:eastAsia="宋体" w:cs="宋体"/>
          <w:b/>
          <w:bCs/>
          <w:color w:val="auto"/>
          <w:kern w:val="2"/>
          <w:sz w:val="21"/>
          <w:szCs w:val="24"/>
          <w:highlight w:val="none"/>
          <w:lang w:val="en-US" w:eastAsia="zh-CN" w:bidi="ar"/>
        </w:rPr>
        <w:t>六、合同文件构成</w:t>
      </w:r>
      <w:bookmarkEnd w:id="103"/>
    </w:p>
    <w:p w14:paraId="520F21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本协议书与下列文件一起构成合同文件：</w:t>
      </w:r>
    </w:p>
    <w:p w14:paraId="7A2E513D">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（1）中标通知书（如有）；</w:t>
      </w:r>
    </w:p>
    <w:p w14:paraId="5240A3EB">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（2）投标函及其附录（如有）；</w:t>
      </w:r>
    </w:p>
    <w:p w14:paraId="04D62D0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（3）专用合同条款及其附件；</w:t>
      </w:r>
    </w:p>
    <w:p w14:paraId="635A344F">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（4）通用合同条款；</w:t>
      </w:r>
    </w:p>
    <w:p w14:paraId="4C7AF8C7">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2"/>
          <w:sz w:val="21"/>
          <w:szCs w:val="24"/>
          <w:highlight w:val="none"/>
          <w:lang w:val="en-US" w:eastAsia="zh-CN" w:bidi="ar"/>
        </w:rPr>
      </w:pPr>
      <w:r>
        <w:rPr>
          <w:rFonts w:hint="eastAsia" w:ascii="宋体" w:hAnsi="宋体" w:eastAsia="宋体" w:cs="宋体"/>
          <w:color w:val="auto"/>
          <w:kern w:val="2"/>
          <w:sz w:val="21"/>
          <w:szCs w:val="24"/>
          <w:highlight w:val="none"/>
          <w:lang w:val="en-US" w:eastAsia="zh-CN" w:bidi="ar"/>
        </w:rPr>
        <w:t>（5）技术标准和要求；</w:t>
      </w:r>
    </w:p>
    <w:p w14:paraId="0357BCFC">
      <w:pPr>
        <w:autoSpaceDE w:val="0"/>
        <w:autoSpaceDN w:val="0"/>
        <w:adjustRightInd w:val="0"/>
        <w:spacing w:line="360" w:lineRule="auto"/>
        <w:ind w:firstLine="440" w:firstLineChars="200"/>
        <w:jc w:val="left"/>
        <w:rPr>
          <w:rFonts w:ascii="Times New Roman" w:hAnsi="Times New Roman" w:eastAsia="仿宋_GB2312"/>
          <w:color w:val="auto"/>
          <w:sz w:val="22"/>
          <w:szCs w:val="22"/>
          <w:highlight w:val="none"/>
        </w:rPr>
      </w:pPr>
      <w:r>
        <w:rPr>
          <w:rFonts w:ascii="Times New Roman" w:hAnsi="Times New Roman" w:eastAsia="仿宋_GB2312"/>
          <w:color w:val="auto"/>
          <w:sz w:val="22"/>
          <w:szCs w:val="22"/>
          <w:highlight w:val="none"/>
        </w:rPr>
        <w:t>（6）</w:t>
      </w:r>
      <w:r>
        <w:rPr>
          <w:rFonts w:hint="eastAsia" w:ascii="Times New Roman" w:hAnsi="Times New Roman" w:eastAsia="仿宋_GB2312"/>
          <w:color w:val="auto"/>
          <w:sz w:val="22"/>
          <w:szCs w:val="22"/>
          <w:highlight w:val="none"/>
          <w:lang w:val="en-US" w:eastAsia="zh-CN"/>
        </w:rPr>
        <w:t>施工</w:t>
      </w:r>
      <w:r>
        <w:rPr>
          <w:rFonts w:ascii="Times New Roman" w:hAnsi="Times New Roman" w:eastAsia="仿宋_GB2312"/>
          <w:color w:val="auto"/>
          <w:sz w:val="22"/>
          <w:szCs w:val="22"/>
          <w:highlight w:val="none"/>
        </w:rPr>
        <w:t>图纸；</w:t>
      </w:r>
    </w:p>
    <w:p w14:paraId="6551CB2F">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w:t>
      </w:r>
      <w:r>
        <w:rPr>
          <w:rFonts w:hint="eastAsia" w:ascii="宋体" w:hAnsi="宋体" w:cs="宋体"/>
          <w:color w:val="auto"/>
          <w:kern w:val="2"/>
          <w:sz w:val="21"/>
          <w:szCs w:val="24"/>
          <w:highlight w:val="none"/>
          <w:lang w:val="en-US" w:eastAsia="zh-CN" w:bidi="ar"/>
        </w:rPr>
        <w:t>7</w:t>
      </w:r>
      <w:r>
        <w:rPr>
          <w:rFonts w:hint="eastAsia" w:ascii="宋体" w:hAnsi="宋体" w:eastAsia="宋体" w:cs="宋体"/>
          <w:color w:val="auto"/>
          <w:kern w:val="2"/>
          <w:sz w:val="21"/>
          <w:szCs w:val="24"/>
          <w:highlight w:val="none"/>
          <w:lang w:val="en-US" w:eastAsia="zh-CN" w:bidi="ar"/>
        </w:rPr>
        <w:t>）已标价工程量清单或预算书；</w:t>
      </w:r>
    </w:p>
    <w:p w14:paraId="1D9D4C7B">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w:t>
      </w:r>
      <w:r>
        <w:rPr>
          <w:rFonts w:hint="eastAsia" w:ascii="宋体" w:hAnsi="宋体" w:cs="宋体"/>
          <w:color w:val="auto"/>
          <w:kern w:val="2"/>
          <w:sz w:val="21"/>
          <w:szCs w:val="24"/>
          <w:highlight w:val="none"/>
          <w:lang w:val="en-US" w:eastAsia="zh-CN" w:bidi="ar"/>
        </w:rPr>
        <w:t>8</w:t>
      </w:r>
      <w:r>
        <w:rPr>
          <w:rFonts w:hint="eastAsia" w:ascii="宋体" w:hAnsi="宋体" w:eastAsia="宋体" w:cs="宋体"/>
          <w:color w:val="auto"/>
          <w:kern w:val="2"/>
          <w:sz w:val="21"/>
          <w:szCs w:val="24"/>
          <w:highlight w:val="none"/>
          <w:lang w:val="en-US" w:eastAsia="zh-CN" w:bidi="ar"/>
        </w:rPr>
        <w:t>）其他合同文件：</w:t>
      </w:r>
    </w:p>
    <w:p w14:paraId="56ABE542">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竞争性磋商文件及附件（含所有补充通知）；</w:t>
      </w:r>
    </w:p>
    <w:p w14:paraId="3D75528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在合同订立及履行过程中形成的与合同有关的文件均构成合同文件组成部分。</w:t>
      </w:r>
    </w:p>
    <w:p w14:paraId="3F8180C8">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上述各项合同文件包括合同当事人就该项合同文件所作出的补充和修改，属于同一类内容的文件，应以最新签署的为准。专用合同条款及其附件须经合同当事人签字或盖章。</w:t>
      </w:r>
    </w:p>
    <w:p w14:paraId="69615B24">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color w:val="auto"/>
          <w:highlight w:val="none"/>
          <w:lang w:val="en-US"/>
        </w:rPr>
      </w:pPr>
      <w:bookmarkStart w:id="104" w:name="_Toc351203487"/>
      <w:r>
        <w:rPr>
          <w:rFonts w:hint="eastAsia" w:ascii="宋体" w:hAnsi="宋体" w:eastAsia="宋体" w:cs="宋体"/>
          <w:b/>
          <w:bCs/>
          <w:color w:val="auto"/>
          <w:kern w:val="2"/>
          <w:sz w:val="21"/>
          <w:szCs w:val="24"/>
          <w:highlight w:val="none"/>
          <w:lang w:val="en-US" w:eastAsia="zh-CN" w:bidi="ar"/>
        </w:rPr>
        <w:t>七、承诺</w:t>
      </w:r>
      <w:bookmarkEnd w:id="104"/>
    </w:p>
    <w:p w14:paraId="3CDB0D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1.发包人承诺按照法律规定履行项目审批手续、筹集工程建设资金并按照合同约定的期限和方式支付合同价款。</w:t>
      </w:r>
    </w:p>
    <w:p w14:paraId="0305E67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2.承包人承诺按照法律规定及合同约定组织完成工程施工，确保工程质量和安全，不进行转包及违法分包，并在缺陷责任期及保修期内承担相应的工程维修责任。</w:t>
      </w:r>
    </w:p>
    <w:p w14:paraId="40CD824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3.发包人和承包人通过招投标形式签订合同的，双方理解并承诺不再就同一工程另行签订与合同实质性内容相背离的协议。</w:t>
      </w:r>
      <w:bookmarkStart w:id="105" w:name="_Toc351203488"/>
    </w:p>
    <w:p w14:paraId="57928396">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color w:val="auto"/>
          <w:highlight w:val="none"/>
          <w:lang w:val="en-US"/>
        </w:rPr>
      </w:pPr>
      <w:r>
        <w:rPr>
          <w:rFonts w:hint="eastAsia" w:ascii="宋体" w:hAnsi="宋体" w:eastAsia="宋体" w:cs="宋体"/>
          <w:b/>
          <w:bCs/>
          <w:color w:val="auto"/>
          <w:kern w:val="2"/>
          <w:sz w:val="21"/>
          <w:szCs w:val="24"/>
          <w:highlight w:val="none"/>
          <w:lang w:val="en-US" w:eastAsia="zh-CN" w:bidi="ar"/>
        </w:rPr>
        <w:t>八、词语含义</w:t>
      </w:r>
      <w:bookmarkEnd w:id="105"/>
      <w:r>
        <w:rPr>
          <w:rFonts w:hint="eastAsia" w:ascii="宋体" w:hAnsi="宋体" w:cs="宋体"/>
          <w:b/>
          <w:bCs/>
          <w:color w:val="auto"/>
          <w:kern w:val="2"/>
          <w:sz w:val="21"/>
          <w:szCs w:val="24"/>
          <w:highlight w:val="none"/>
          <w:lang w:val="en-US" w:eastAsia="zh-CN" w:bidi="ar"/>
        </w:rPr>
        <w:t>：</w:t>
      </w:r>
      <w:r>
        <w:rPr>
          <w:rFonts w:hint="eastAsia" w:ascii="宋体" w:hAnsi="宋体" w:eastAsia="宋体" w:cs="宋体"/>
          <w:color w:val="auto"/>
          <w:kern w:val="2"/>
          <w:sz w:val="21"/>
          <w:szCs w:val="24"/>
          <w:highlight w:val="none"/>
          <w:lang w:val="en-US" w:eastAsia="zh-CN" w:bidi="ar"/>
        </w:rPr>
        <w:t>本协议书中词语含义与第二部分通用合同条款中赋予的含义相同。</w:t>
      </w:r>
    </w:p>
    <w:p w14:paraId="43F7C17F">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color w:val="auto"/>
          <w:highlight w:val="none"/>
          <w:lang w:val="en-US"/>
        </w:rPr>
      </w:pPr>
      <w:bookmarkStart w:id="106" w:name="_Toc351203489"/>
      <w:r>
        <w:rPr>
          <w:rFonts w:hint="eastAsia" w:ascii="宋体" w:hAnsi="宋体" w:eastAsia="宋体" w:cs="宋体"/>
          <w:b/>
          <w:bCs/>
          <w:color w:val="auto"/>
          <w:kern w:val="2"/>
          <w:sz w:val="21"/>
          <w:szCs w:val="24"/>
          <w:highlight w:val="none"/>
          <w:lang w:val="en-US" w:eastAsia="zh-CN" w:bidi="ar"/>
        </w:rPr>
        <w:t>九、签订时间</w:t>
      </w:r>
      <w:bookmarkEnd w:id="106"/>
      <w:r>
        <w:rPr>
          <w:rFonts w:hint="eastAsia" w:ascii="宋体" w:hAnsi="宋体" w:cs="宋体"/>
          <w:b/>
          <w:bCs/>
          <w:color w:val="auto"/>
          <w:kern w:val="2"/>
          <w:sz w:val="21"/>
          <w:szCs w:val="24"/>
          <w:highlight w:val="none"/>
          <w:lang w:val="en-US" w:eastAsia="zh-CN" w:bidi="ar"/>
        </w:rPr>
        <w:t>：</w:t>
      </w:r>
      <w:r>
        <w:rPr>
          <w:rFonts w:hint="eastAsia" w:ascii="宋体" w:hAnsi="宋体" w:eastAsia="宋体" w:cs="宋体"/>
          <w:color w:val="auto"/>
          <w:kern w:val="2"/>
          <w:sz w:val="21"/>
          <w:szCs w:val="24"/>
          <w:highlight w:val="none"/>
          <w:lang w:val="en-US" w:eastAsia="zh-CN" w:bidi="ar"/>
        </w:rPr>
        <w:t>本合同于年月日签订。</w:t>
      </w:r>
    </w:p>
    <w:p w14:paraId="2130DBD4">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color w:val="auto"/>
          <w:highlight w:val="none"/>
          <w:lang w:val="en-US"/>
        </w:rPr>
      </w:pPr>
      <w:bookmarkStart w:id="107" w:name="_Toc351203490"/>
      <w:r>
        <w:rPr>
          <w:rFonts w:hint="eastAsia" w:ascii="宋体" w:hAnsi="宋体" w:eastAsia="宋体" w:cs="宋体"/>
          <w:b/>
          <w:bCs/>
          <w:color w:val="auto"/>
          <w:kern w:val="2"/>
          <w:sz w:val="21"/>
          <w:szCs w:val="24"/>
          <w:highlight w:val="none"/>
          <w:lang w:val="en-US" w:eastAsia="zh-CN" w:bidi="ar"/>
        </w:rPr>
        <w:t>十、签订地点</w:t>
      </w:r>
      <w:bookmarkEnd w:id="107"/>
      <w:r>
        <w:rPr>
          <w:rFonts w:hint="eastAsia" w:ascii="宋体" w:hAnsi="宋体" w:cs="宋体"/>
          <w:b/>
          <w:bCs/>
          <w:color w:val="auto"/>
          <w:kern w:val="2"/>
          <w:sz w:val="21"/>
          <w:szCs w:val="24"/>
          <w:highlight w:val="none"/>
          <w:lang w:val="en-US" w:eastAsia="zh-CN" w:bidi="ar"/>
        </w:rPr>
        <w:t>：</w:t>
      </w:r>
      <w:r>
        <w:rPr>
          <w:rFonts w:hint="eastAsia" w:ascii="宋体" w:hAnsi="宋体" w:eastAsia="宋体" w:cs="宋体"/>
          <w:color w:val="auto"/>
          <w:kern w:val="2"/>
          <w:sz w:val="21"/>
          <w:szCs w:val="24"/>
          <w:highlight w:val="none"/>
          <w:lang w:val="en-US" w:eastAsia="zh-CN" w:bidi="ar"/>
        </w:rPr>
        <w:t>本合同在签订。</w:t>
      </w:r>
    </w:p>
    <w:p w14:paraId="7FDCFEE3">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color w:val="auto"/>
          <w:highlight w:val="none"/>
          <w:lang w:val="en-US"/>
        </w:rPr>
      </w:pPr>
      <w:bookmarkStart w:id="108" w:name="_Toc351203491"/>
      <w:r>
        <w:rPr>
          <w:rFonts w:hint="eastAsia" w:ascii="宋体" w:hAnsi="宋体" w:eastAsia="宋体" w:cs="宋体"/>
          <w:b/>
          <w:bCs/>
          <w:color w:val="auto"/>
          <w:kern w:val="2"/>
          <w:sz w:val="21"/>
          <w:szCs w:val="24"/>
          <w:highlight w:val="none"/>
          <w:lang w:val="en-US" w:eastAsia="zh-CN" w:bidi="ar"/>
        </w:rPr>
        <w:t>十一、补充协议</w:t>
      </w:r>
      <w:bookmarkEnd w:id="108"/>
      <w:r>
        <w:rPr>
          <w:rFonts w:hint="eastAsia" w:ascii="宋体" w:hAnsi="宋体" w:cs="宋体"/>
          <w:b/>
          <w:bCs/>
          <w:color w:val="auto"/>
          <w:kern w:val="2"/>
          <w:sz w:val="21"/>
          <w:szCs w:val="24"/>
          <w:highlight w:val="none"/>
          <w:lang w:val="en-US" w:eastAsia="zh-CN" w:bidi="ar"/>
        </w:rPr>
        <w:t>：</w:t>
      </w:r>
      <w:r>
        <w:rPr>
          <w:rFonts w:hint="eastAsia" w:ascii="宋体" w:hAnsi="宋体" w:eastAsia="宋体" w:cs="宋体"/>
          <w:color w:val="auto"/>
          <w:kern w:val="2"/>
          <w:sz w:val="21"/>
          <w:szCs w:val="24"/>
          <w:highlight w:val="none"/>
          <w:lang w:val="en-US" w:eastAsia="zh-CN" w:bidi="ar"/>
        </w:rPr>
        <w:t>合同未尽事宜，合同当事人另行签订补充协议，补充协议是合同组成部分。</w:t>
      </w:r>
    </w:p>
    <w:p w14:paraId="47501F5C">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color w:val="auto"/>
          <w:highlight w:val="none"/>
          <w:lang w:val="en-US"/>
        </w:rPr>
      </w:pPr>
      <w:bookmarkStart w:id="109" w:name="_Toc351203492"/>
      <w:r>
        <w:rPr>
          <w:rFonts w:hint="eastAsia" w:ascii="宋体" w:hAnsi="宋体" w:eastAsia="宋体" w:cs="宋体"/>
          <w:b/>
          <w:bCs/>
          <w:color w:val="auto"/>
          <w:kern w:val="2"/>
          <w:sz w:val="21"/>
          <w:szCs w:val="24"/>
          <w:highlight w:val="none"/>
          <w:lang w:val="en-US" w:eastAsia="zh-CN" w:bidi="ar"/>
        </w:rPr>
        <w:t>十二、合同生效</w:t>
      </w:r>
      <w:bookmarkEnd w:id="109"/>
      <w:r>
        <w:rPr>
          <w:rFonts w:hint="eastAsia" w:ascii="宋体" w:hAnsi="宋体" w:cs="宋体"/>
          <w:b/>
          <w:bCs/>
          <w:color w:val="auto"/>
          <w:kern w:val="2"/>
          <w:sz w:val="21"/>
          <w:szCs w:val="24"/>
          <w:highlight w:val="none"/>
          <w:lang w:val="en-US" w:eastAsia="zh-CN" w:bidi="ar"/>
        </w:rPr>
        <w:t>：</w:t>
      </w:r>
      <w:r>
        <w:rPr>
          <w:rFonts w:hint="eastAsia" w:ascii="宋体" w:hAnsi="宋体" w:eastAsia="宋体" w:cs="宋体"/>
          <w:color w:val="auto"/>
          <w:kern w:val="2"/>
          <w:sz w:val="21"/>
          <w:szCs w:val="24"/>
          <w:highlight w:val="none"/>
          <w:lang w:val="en-US" w:eastAsia="zh-CN" w:bidi="ar"/>
        </w:rPr>
        <w:t>本合同自</w:t>
      </w:r>
      <w:r>
        <w:rPr>
          <w:rFonts w:hint="eastAsia" w:ascii="宋体" w:hAnsi="宋体" w:eastAsia="宋体" w:cs="宋体"/>
          <w:color w:val="auto"/>
          <w:kern w:val="2"/>
          <w:sz w:val="21"/>
          <w:szCs w:val="24"/>
          <w:highlight w:val="none"/>
          <w:u w:val="single"/>
          <w:lang w:val="en-US" w:eastAsia="zh-CN" w:bidi="ar"/>
        </w:rPr>
        <w:t>双方法定代表人或其委托代理人签字并盖公章之日</w:t>
      </w:r>
      <w:r>
        <w:rPr>
          <w:rFonts w:hint="eastAsia" w:ascii="宋体" w:hAnsi="宋体" w:eastAsia="宋体" w:cs="宋体"/>
          <w:color w:val="auto"/>
          <w:kern w:val="2"/>
          <w:sz w:val="21"/>
          <w:szCs w:val="24"/>
          <w:highlight w:val="none"/>
          <w:lang w:val="en-US" w:eastAsia="zh-CN" w:bidi="ar"/>
        </w:rPr>
        <w:t>生效。</w:t>
      </w:r>
    </w:p>
    <w:p w14:paraId="28C645D3">
      <w:pPr>
        <w:keepNext w:val="0"/>
        <w:keepLines w:val="0"/>
        <w:widowControl w:val="0"/>
        <w:suppressLineNumbers w:val="0"/>
        <w:spacing w:before="0" w:beforeAutospacing="0" w:after="0" w:afterAutospacing="0" w:line="360" w:lineRule="auto"/>
        <w:ind w:left="0" w:right="0" w:firstLine="422" w:firstLineChars="200"/>
        <w:jc w:val="both"/>
        <w:outlineLvl w:val="0"/>
        <w:rPr>
          <w:rFonts w:hint="eastAsia" w:ascii="宋体" w:hAnsi="宋体" w:eastAsia="宋体" w:cs="宋体"/>
          <w:b/>
          <w:bCs/>
          <w:color w:val="auto"/>
          <w:highlight w:val="none"/>
          <w:lang w:val="en-US"/>
        </w:rPr>
      </w:pPr>
      <w:bookmarkStart w:id="110" w:name="_Toc351203493"/>
      <w:r>
        <w:rPr>
          <w:rFonts w:hint="eastAsia" w:ascii="宋体" w:hAnsi="宋体" w:eastAsia="宋体" w:cs="宋体"/>
          <w:b/>
          <w:bCs/>
          <w:color w:val="auto"/>
          <w:kern w:val="2"/>
          <w:sz w:val="21"/>
          <w:szCs w:val="24"/>
          <w:highlight w:val="none"/>
          <w:lang w:val="en-US" w:eastAsia="zh-CN" w:bidi="ar"/>
        </w:rPr>
        <w:t>十三、合同份数</w:t>
      </w:r>
      <w:bookmarkEnd w:id="110"/>
    </w:p>
    <w:p w14:paraId="62B8E6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本合同一式份，均具有同等法律效力，发包人执份，承包人执份。</w:t>
      </w:r>
    </w:p>
    <w:p w14:paraId="77031C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发包人：（公章）承包人：（公章）</w:t>
      </w:r>
    </w:p>
    <w:p w14:paraId="28593E0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法定代表人或其委托代理人：法定代表人或其委托代理人：</w:t>
      </w:r>
    </w:p>
    <w:p w14:paraId="68F5E1A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（签字）（签字）</w:t>
      </w:r>
    </w:p>
    <w:p w14:paraId="4D7FF082">
      <w:pPr>
        <w:keepNext w:val="0"/>
        <w:keepLines w:val="0"/>
        <w:widowControl w:val="0"/>
        <w:suppressLineNumbers w:val="0"/>
        <w:tabs>
          <w:tab w:val="left" w:pos="4410"/>
        </w:tabs>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统一社会信用代码：统一社会信用代码：</w:t>
      </w:r>
    </w:p>
    <w:p w14:paraId="5A0146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地址：地址：</w:t>
      </w:r>
    </w:p>
    <w:p w14:paraId="405E99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邮政编码：邮政编码：</w:t>
      </w:r>
    </w:p>
    <w:p w14:paraId="06E990A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法定代表人：法定代表人：</w:t>
      </w:r>
    </w:p>
    <w:p w14:paraId="6E0D75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委托代理人：委托代理人：</w:t>
      </w:r>
    </w:p>
    <w:p w14:paraId="65C680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电话：电话：</w:t>
      </w:r>
    </w:p>
    <w:p w14:paraId="368ADD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传真：传真：</w:t>
      </w:r>
    </w:p>
    <w:p w14:paraId="43165B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电子信箱：电子信箱：</w:t>
      </w:r>
    </w:p>
    <w:p w14:paraId="3C940C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开户银行：开户银行：</w:t>
      </w:r>
    </w:p>
    <w:p w14:paraId="2CF521B2">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账号：账号：</w:t>
      </w:r>
    </w:p>
    <w:p w14:paraId="654183FF">
      <w:pPr>
        <w:keepLines w:val="0"/>
        <w:spacing w:before="0" w:after="0" w:line="360" w:lineRule="exact"/>
        <w:ind w:firstLine="420"/>
        <w:jc w:val="center"/>
        <w:rPr>
          <w:rFonts w:hint="eastAsia" w:ascii="宋体" w:hAnsi="宋体" w:eastAsia="宋体" w:cs="宋体"/>
          <w:color w:val="auto"/>
          <w:sz w:val="30"/>
          <w:szCs w:val="30"/>
          <w:highlight w:val="none"/>
          <w:lang w:val="en-US"/>
        </w:rPr>
      </w:pPr>
      <w:r>
        <w:rPr>
          <w:rFonts w:hint="eastAsia" w:ascii="宋体" w:hAnsi="宋体" w:eastAsia="宋体" w:cs="宋体"/>
          <w:color w:val="auto"/>
          <w:kern w:val="2"/>
          <w:sz w:val="21"/>
          <w:szCs w:val="24"/>
          <w:highlight w:val="none"/>
          <w:lang w:val="en-US" w:eastAsia="zh-CN" w:bidi="ar"/>
        </w:rPr>
        <w:br w:type="page"/>
      </w:r>
      <w:bookmarkStart w:id="111" w:name="_Toc487632689"/>
      <w:bookmarkStart w:id="112" w:name="_Toc389065256"/>
      <w:bookmarkStart w:id="113" w:name="_Toc407135192"/>
      <w:bookmarkStart w:id="114" w:name="_Toc373227691"/>
      <w:bookmarkStart w:id="115" w:name="_Toc373478338"/>
      <w:bookmarkStart w:id="116" w:name="_Toc351203632"/>
      <w:r>
        <w:rPr>
          <w:rFonts w:hint="eastAsia" w:ascii="宋体" w:hAnsi="宋体" w:eastAsia="宋体" w:cs="宋体"/>
          <w:color w:val="auto"/>
          <w:sz w:val="30"/>
          <w:szCs w:val="30"/>
          <w:highlight w:val="none"/>
          <w:lang w:eastAsia="zh-CN"/>
        </w:rPr>
        <w:t>第二部分通用合同条款</w:t>
      </w:r>
      <w:bookmarkEnd w:id="111"/>
      <w:bookmarkEnd w:id="112"/>
      <w:bookmarkEnd w:id="113"/>
    </w:p>
    <w:p w14:paraId="04B054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p>
    <w:p w14:paraId="65ED4FFE">
      <w:pPr>
        <w:keepNext w:val="0"/>
        <w:keepLines w:val="0"/>
        <w:widowControl w:val="0"/>
        <w:suppressLineNumbers w:val="0"/>
        <w:spacing w:before="0" w:beforeAutospacing="0" w:after="0" w:afterAutospacing="0" w:line="360" w:lineRule="auto"/>
        <w:ind w:left="0" w:right="0" w:firstLine="422" w:firstLineChars="200"/>
        <w:jc w:val="center"/>
        <w:rPr>
          <w:rFonts w:hint="eastAsia" w:ascii="宋体" w:hAnsi="宋体" w:eastAsia="宋体" w:cs="宋体"/>
          <w:b/>
          <w:bCs/>
          <w:color w:val="auto"/>
          <w:kern w:val="0"/>
          <w:highlight w:val="none"/>
          <w:lang w:val="en-US"/>
        </w:rPr>
      </w:pPr>
      <w:r>
        <w:rPr>
          <w:rFonts w:hint="eastAsia" w:ascii="宋体" w:hAnsi="宋体" w:eastAsia="宋体" w:cs="宋体"/>
          <w:b/>
          <w:bCs/>
          <w:color w:val="auto"/>
          <w:kern w:val="0"/>
          <w:sz w:val="21"/>
          <w:szCs w:val="24"/>
          <w:highlight w:val="none"/>
          <w:lang w:val="en-US" w:eastAsia="zh-CN" w:bidi="ar"/>
        </w:rPr>
        <w:t>采用《建设工程施工合同（示范文本）》（GF—2017—0201）。</w:t>
      </w:r>
    </w:p>
    <w:p w14:paraId="63B55296">
      <w:pPr>
        <w:pStyle w:val="3"/>
        <w:keepNext w:val="0"/>
        <w:widowControl/>
        <w:spacing w:before="0" w:after="0" w:line="240" w:lineRule="auto"/>
        <w:ind w:left="0" w:firstLine="1405" w:firstLineChars="500"/>
        <w:rPr>
          <w:rFonts w:hint="eastAsia" w:ascii="宋体" w:hAnsi="宋体" w:eastAsia="宋体" w:cs="宋体"/>
          <w:b/>
          <w:bCs/>
          <w:color w:val="auto"/>
          <w:kern w:val="0"/>
          <w:sz w:val="21"/>
          <w:szCs w:val="24"/>
          <w:highlight w:val="none"/>
          <w:lang w:val="en-US" w:eastAsia="zh-CN" w:bidi="ar"/>
        </w:rPr>
      </w:pPr>
      <w:bookmarkStart w:id="117" w:name="_Toc487632690"/>
      <w:bookmarkStart w:id="118" w:name="_Toc407135193"/>
      <w:bookmarkStart w:id="119" w:name="_Toc389065257"/>
      <w:r>
        <w:rPr>
          <w:rFonts w:hint="eastAsia" w:ascii="宋体" w:hAnsi="宋体" w:eastAsia="宋体" w:cs="宋体"/>
          <w:color w:val="auto"/>
          <w:sz w:val="28"/>
          <w:szCs w:val="28"/>
          <w:highlight w:val="none"/>
          <w:lang w:eastAsia="zh-CN"/>
        </w:rPr>
        <w:t>第三部分专用合同条款</w:t>
      </w:r>
      <w:bookmarkEnd w:id="114"/>
      <w:bookmarkEnd w:id="115"/>
      <w:bookmarkEnd w:id="116"/>
      <w:bookmarkEnd w:id="117"/>
      <w:bookmarkEnd w:id="118"/>
      <w:bookmarkEnd w:id="119"/>
      <w:r>
        <w:rPr>
          <w:rFonts w:hint="eastAsia" w:ascii="宋体" w:hAnsi="宋体" w:cs="宋体"/>
          <w:color w:val="auto"/>
          <w:sz w:val="28"/>
          <w:szCs w:val="28"/>
          <w:highlight w:val="none"/>
          <w:lang w:val="en-US" w:eastAsia="zh-CN"/>
        </w:rPr>
        <w:t xml:space="preserve">      </w:t>
      </w:r>
      <w:r>
        <w:rPr>
          <w:rFonts w:hint="eastAsia" w:ascii="宋体" w:hAnsi="宋体" w:eastAsia="宋体" w:cs="宋体"/>
          <w:b/>
          <w:bCs/>
          <w:color w:val="auto"/>
          <w:kern w:val="0"/>
          <w:sz w:val="21"/>
          <w:szCs w:val="24"/>
          <w:highlight w:val="none"/>
          <w:lang w:val="en-US" w:eastAsia="zh-CN" w:bidi="ar"/>
        </w:rPr>
        <w:t>（注：专用合同条款每一条均应填写完整！）</w:t>
      </w:r>
      <w:bookmarkStart w:id="120" w:name="_Toc407135194"/>
      <w:bookmarkStart w:id="121" w:name="_Toc373227692"/>
      <w:bookmarkStart w:id="122" w:name="_Toc373478339"/>
      <w:bookmarkStart w:id="123" w:name="_Toc389065258"/>
      <w:bookmarkStart w:id="124" w:name="_Toc351203633"/>
      <w:bookmarkStart w:id="125" w:name="_Toc487632691"/>
    </w:p>
    <w:p w14:paraId="0088FA1D">
      <w:pPr>
        <w:pStyle w:val="3"/>
        <w:keepNext w:val="0"/>
        <w:widowControl/>
        <w:spacing w:before="0" w:after="0" w:line="240" w:lineRule="auto"/>
        <w:ind w:left="0"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rPr>
        <w:t>1</w:t>
      </w:r>
      <w:bookmarkStart w:id="126" w:name="_Toc296346657"/>
      <w:bookmarkStart w:id="127" w:name="_Toc296944495"/>
      <w:bookmarkStart w:id="128" w:name="_Toc296347155"/>
      <w:bookmarkStart w:id="129" w:name="_Toc292559866"/>
      <w:bookmarkStart w:id="130" w:name="_Toc296890984"/>
      <w:bookmarkStart w:id="131" w:name="_Toc297120456"/>
      <w:bookmarkStart w:id="132" w:name="_Toc297048342"/>
      <w:bookmarkStart w:id="133" w:name="_Toc292559361"/>
      <w:bookmarkStart w:id="134" w:name="_Toc296891196"/>
      <w:bookmarkStart w:id="135" w:name="_Toc296503156"/>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eastAsia="zh-CN"/>
        </w:rPr>
        <w:t>一般约定</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6" w:name="_Toc389065259"/>
      <w:bookmarkStart w:id="137" w:name="_Toc373227693"/>
      <w:bookmarkStart w:id="138" w:name="_Toc487632692"/>
      <w:bookmarkStart w:id="139" w:name="_Toc407135195"/>
      <w:bookmarkStart w:id="140" w:name="_Toc373478340"/>
    </w:p>
    <w:p w14:paraId="6DBA0446">
      <w:pPr>
        <w:pStyle w:val="3"/>
        <w:keepNext w:val="0"/>
        <w:widowControl/>
        <w:spacing w:before="0" w:after="0" w:line="240" w:lineRule="auto"/>
        <w:ind w:left="0" w:firstLine="0" w:firstLineChars="0"/>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1.1</w:t>
      </w:r>
      <w:r>
        <w:rPr>
          <w:rFonts w:hint="eastAsia" w:ascii="宋体" w:hAnsi="宋体" w:eastAsia="宋体" w:cs="宋体"/>
          <w:color w:val="auto"/>
          <w:sz w:val="24"/>
          <w:szCs w:val="28"/>
          <w:highlight w:val="none"/>
          <w:lang w:eastAsia="zh-CN"/>
        </w:rPr>
        <w:t>词语定义</w:t>
      </w:r>
      <w:bookmarkEnd w:id="136"/>
      <w:bookmarkEnd w:id="137"/>
      <w:bookmarkEnd w:id="138"/>
      <w:bookmarkEnd w:id="139"/>
      <w:bookmarkEnd w:id="140"/>
    </w:p>
    <w:p w14:paraId="6D761D6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1.1.1合同</w:t>
      </w:r>
    </w:p>
    <w:p w14:paraId="269D95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1.1.1.1其他合同文件包括：</w:t>
      </w:r>
      <w:r>
        <w:rPr>
          <w:rFonts w:hint="eastAsia" w:ascii="宋体" w:hAnsi="宋体" w:eastAsia="宋体" w:cs="宋体"/>
          <w:color w:val="auto"/>
          <w:kern w:val="2"/>
          <w:sz w:val="21"/>
          <w:szCs w:val="21"/>
          <w:highlight w:val="none"/>
          <w:u w:val="single"/>
          <w:lang w:val="en-US" w:eastAsia="zh-CN" w:bidi="ar"/>
        </w:rPr>
        <w:t>合同协议书；中标通知书；</w:t>
      </w:r>
      <w:r>
        <w:rPr>
          <w:rFonts w:hint="eastAsia" w:ascii="宋体" w:hAnsi="宋体" w:eastAsia="宋体" w:cs="宋体"/>
          <w:color w:val="auto"/>
          <w:kern w:val="0"/>
          <w:sz w:val="21"/>
          <w:szCs w:val="21"/>
          <w:highlight w:val="none"/>
          <w:u w:val="single"/>
          <w:lang w:val="en-US" w:eastAsia="zh-CN" w:bidi="ar"/>
        </w:rPr>
        <w:t>投标函及其附录；</w:t>
      </w:r>
      <w:r>
        <w:rPr>
          <w:rFonts w:hint="eastAsia" w:ascii="宋体" w:hAnsi="宋体" w:eastAsia="宋体" w:cs="宋体"/>
          <w:color w:val="auto"/>
          <w:kern w:val="2"/>
          <w:sz w:val="21"/>
          <w:szCs w:val="21"/>
          <w:highlight w:val="none"/>
          <w:u w:val="single"/>
          <w:lang w:val="en-US" w:eastAsia="zh-CN" w:bidi="ar"/>
        </w:rPr>
        <w:t>专用合同条款及其附件；通用合同条款；技术标准和要求；招标工程量清单；</w:t>
      </w:r>
      <w:r>
        <w:rPr>
          <w:rFonts w:hint="eastAsia" w:ascii="宋体" w:hAnsi="宋体" w:cs="宋体"/>
          <w:color w:val="auto"/>
          <w:kern w:val="2"/>
          <w:sz w:val="21"/>
          <w:szCs w:val="21"/>
          <w:highlight w:val="none"/>
          <w:u w:val="single"/>
          <w:lang w:val="en-US" w:eastAsia="zh-CN" w:bidi="ar"/>
        </w:rPr>
        <w:t>招标施工图纸</w:t>
      </w:r>
      <w:r>
        <w:rPr>
          <w:rFonts w:hint="eastAsia" w:ascii="仿宋" w:hAnsi="仿宋" w:eastAsia="仿宋"/>
          <w:color w:val="auto"/>
          <w:sz w:val="32"/>
          <w:szCs w:val="32"/>
          <w:highlight w:val="none"/>
          <w:u w:val="single"/>
          <w:lang w:val="en-US" w:eastAsia="zh-CN"/>
        </w:rPr>
        <w:t>；</w:t>
      </w:r>
      <w:r>
        <w:rPr>
          <w:rFonts w:hint="eastAsia" w:ascii="宋体" w:hAnsi="宋体" w:eastAsia="宋体" w:cs="宋体"/>
          <w:color w:val="auto"/>
          <w:kern w:val="2"/>
          <w:sz w:val="21"/>
          <w:szCs w:val="21"/>
          <w:highlight w:val="none"/>
          <w:u w:val="single"/>
          <w:lang w:val="en-US" w:eastAsia="zh-CN" w:bidi="ar"/>
        </w:rPr>
        <w:t>竞争性磋商文件；投标文件；其他合同文件；补充协议；工程洽商；经发包人同意监理人发布的变更指示和工程签证；工程会议纪要；备忘录等，双方当事人确认构成合同文件的其他文件</w:t>
      </w:r>
      <w:r>
        <w:rPr>
          <w:rFonts w:hint="eastAsia" w:ascii="宋体" w:hAnsi="宋体" w:eastAsia="宋体" w:cs="宋体"/>
          <w:color w:val="auto"/>
          <w:kern w:val="2"/>
          <w:sz w:val="21"/>
          <w:szCs w:val="24"/>
          <w:highlight w:val="none"/>
          <w:lang w:val="en-US" w:eastAsia="zh-CN" w:bidi="ar"/>
        </w:rPr>
        <w:t>。</w:t>
      </w:r>
    </w:p>
    <w:p w14:paraId="07ABA9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1.1.2合同当事人及其他相关方</w:t>
      </w:r>
    </w:p>
    <w:p w14:paraId="39571910">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1.1.2.1监理人：</w:t>
      </w:r>
    </w:p>
    <w:p w14:paraId="32B72DA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名称：；</w:t>
      </w:r>
    </w:p>
    <w:p w14:paraId="62FACF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资质类别和等级：；</w:t>
      </w:r>
    </w:p>
    <w:p w14:paraId="0C2EBE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联系电话：；</w:t>
      </w:r>
    </w:p>
    <w:p w14:paraId="2AC76A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电子信箱：；</w:t>
      </w:r>
    </w:p>
    <w:p w14:paraId="7D0B2A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通信地址：。</w:t>
      </w:r>
    </w:p>
    <w:p w14:paraId="7C446F64">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1.1.2.2设计人：</w:t>
      </w:r>
    </w:p>
    <w:p w14:paraId="5F072C0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名称：；</w:t>
      </w:r>
    </w:p>
    <w:p w14:paraId="4303EA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资质类别和等级：；</w:t>
      </w:r>
    </w:p>
    <w:p w14:paraId="6569B5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联系电话：；</w:t>
      </w:r>
    </w:p>
    <w:p w14:paraId="3E72F49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电子信箱：；</w:t>
      </w:r>
    </w:p>
    <w:p w14:paraId="629AE7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通信地址：。</w:t>
      </w:r>
    </w:p>
    <w:p w14:paraId="32F54C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1.1.3工程和设备</w:t>
      </w:r>
    </w:p>
    <w:p w14:paraId="299B08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bookmarkStart w:id="141" w:name="_Toc373227694"/>
      <w:bookmarkStart w:id="142" w:name="_Toc487632693"/>
      <w:bookmarkStart w:id="143" w:name="_Toc373478341"/>
      <w:bookmarkStart w:id="144" w:name="_Toc389065260"/>
      <w:bookmarkStart w:id="145" w:name="_Toc407135196"/>
      <w:r>
        <w:rPr>
          <w:rFonts w:hint="eastAsia" w:ascii="宋体" w:hAnsi="宋体" w:eastAsia="宋体" w:cs="宋体"/>
          <w:color w:val="auto"/>
          <w:kern w:val="2"/>
          <w:sz w:val="21"/>
          <w:szCs w:val="24"/>
          <w:highlight w:val="none"/>
          <w:lang w:val="en-US" w:eastAsia="zh-CN" w:bidi="ar"/>
        </w:rPr>
        <w:t>1.1.3.1作为施工现场组成部分的其他场所包括：</w:t>
      </w:r>
      <w:r>
        <w:rPr>
          <w:rFonts w:hint="eastAsia" w:ascii="宋体" w:hAnsi="宋体" w:eastAsia="宋体" w:cs="宋体"/>
          <w:color w:val="auto"/>
          <w:kern w:val="2"/>
          <w:sz w:val="21"/>
          <w:szCs w:val="24"/>
          <w:highlight w:val="none"/>
          <w:u w:val="single"/>
          <w:lang w:val="en-US" w:eastAsia="zh-CN" w:bidi="ar"/>
        </w:rPr>
        <w:t>包括永久占地、临时占地。</w:t>
      </w:r>
    </w:p>
    <w:p w14:paraId="6AE8C9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1.1.3.2永久占地包括：</w:t>
      </w:r>
      <w:r>
        <w:rPr>
          <w:rFonts w:hint="eastAsia" w:ascii="宋体" w:hAnsi="宋体" w:eastAsia="宋体" w:cs="宋体"/>
          <w:color w:val="auto"/>
          <w:kern w:val="2"/>
          <w:sz w:val="21"/>
          <w:szCs w:val="24"/>
          <w:highlight w:val="none"/>
          <w:u w:val="single"/>
          <w:lang w:val="en-US" w:eastAsia="zh-CN" w:bidi="ar"/>
        </w:rPr>
        <w:t>为实施合同工程需永久占用的土地。</w:t>
      </w:r>
    </w:p>
    <w:p w14:paraId="79A314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1.1.3.3临时占地包括：</w:t>
      </w:r>
      <w:r>
        <w:rPr>
          <w:rFonts w:hint="eastAsia" w:ascii="宋体" w:hAnsi="宋体" w:eastAsia="宋体" w:cs="宋体"/>
          <w:color w:val="auto"/>
          <w:kern w:val="2"/>
          <w:sz w:val="21"/>
          <w:szCs w:val="24"/>
          <w:highlight w:val="none"/>
          <w:u w:val="single"/>
          <w:lang w:val="en-US" w:eastAsia="zh-CN" w:bidi="ar"/>
        </w:rPr>
        <w:t>为实施合同工程需永久占用的土地。</w:t>
      </w:r>
    </w:p>
    <w:p w14:paraId="5C22872E">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1.2</w:t>
      </w:r>
      <w:r>
        <w:rPr>
          <w:rFonts w:hint="eastAsia" w:ascii="宋体" w:hAnsi="宋体" w:eastAsia="宋体" w:cs="宋体"/>
          <w:color w:val="auto"/>
          <w:sz w:val="24"/>
          <w:szCs w:val="28"/>
          <w:highlight w:val="none"/>
          <w:lang w:eastAsia="zh-CN"/>
        </w:rPr>
        <w:t>法律</w:t>
      </w:r>
      <w:bookmarkEnd w:id="141"/>
      <w:bookmarkEnd w:id="142"/>
      <w:bookmarkEnd w:id="143"/>
      <w:bookmarkEnd w:id="144"/>
      <w:bookmarkEnd w:id="145"/>
    </w:p>
    <w:p w14:paraId="64776A6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适用于合同的其他规范性文件：</w:t>
      </w:r>
      <w:r>
        <w:rPr>
          <w:rFonts w:hint="eastAsia" w:ascii="宋体" w:hAnsi="宋体" w:eastAsia="宋体" w:cs="宋体"/>
          <w:color w:val="auto"/>
          <w:kern w:val="2"/>
          <w:sz w:val="21"/>
          <w:szCs w:val="24"/>
          <w:highlight w:val="none"/>
          <w:u w:val="single"/>
          <w:lang w:val="en-US" w:eastAsia="zh-CN" w:bidi="ar"/>
        </w:rPr>
        <w:t>《中华人民共和国民法典》、《中华人民共和国建筑法》、《中华人民共和国安全生产法》、《建筑工程质量管理条例》、桂政发【2012】42号《广西壮族自治区人民政府关于印发广西壮族自治区建筑安装工程劳动保险费管理办法的通知》、梧政办发[2014]2号《梧州市人民政府办公室转发市住建委关于我市建设工程安全防护文明施工措施费管理规定的通知》，《梧州市人民政府办公室关于印发我市国有投资项目建设工程招投标监管若干规定的通知》梧政办发【2018】203号文、《梧州市关于全面治理拖欠农民工工资问题的实施方案及配套办法》梧政办发【2017】201号文以及其他有关法律、法规和工程所在地的政府及相关主管部门制定的规范性文件。</w:t>
      </w:r>
      <w:r>
        <w:rPr>
          <w:rFonts w:hint="eastAsia" w:ascii="宋体" w:hAnsi="宋体" w:eastAsia="宋体" w:cs="宋体"/>
          <w:color w:val="auto"/>
          <w:kern w:val="2"/>
          <w:sz w:val="21"/>
          <w:szCs w:val="24"/>
          <w:highlight w:val="none"/>
          <w:lang w:val="en-US" w:eastAsia="zh-CN" w:bidi="ar"/>
        </w:rPr>
        <w:t>。</w:t>
      </w:r>
    </w:p>
    <w:p w14:paraId="471A49B2">
      <w:pPr>
        <w:pStyle w:val="5"/>
        <w:widowControl/>
        <w:ind w:left="0" w:firstLine="562"/>
        <w:rPr>
          <w:rFonts w:hint="eastAsia" w:ascii="宋体" w:hAnsi="宋体" w:eastAsia="宋体" w:cs="宋体"/>
          <w:color w:val="auto"/>
          <w:sz w:val="24"/>
          <w:szCs w:val="28"/>
          <w:highlight w:val="none"/>
          <w:lang w:val="en-US"/>
        </w:rPr>
      </w:pPr>
      <w:bookmarkStart w:id="146" w:name="_Toc373227695"/>
      <w:bookmarkStart w:id="147" w:name="_Toc407135197"/>
      <w:bookmarkStart w:id="148" w:name="_Toc373478342"/>
      <w:bookmarkStart w:id="149" w:name="_Toc389065261"/>
      <w:bookmarkStart w:id="150" w:name="_Toc487632694"/>
      <w:r>
        <w:rPr>
          <w:rFonts w:hint="eastAsia" w:ascii="宋体" w:hAnsi="宋体" w:eastAsia="宋体" w:cs="宋体"/>
          <w:color w:val="auto"/>
          <w:sz w:val="24"/>
          <w:szCs w:val="28"/>
          <w:highlight w:val="none"/>
          <w:lang w:val="en-US"/>
        </w:rPr>
        <w:t>1.3</w:t>
      </w:r>
      <w:r>
        <w:rPr>
          <w:rFonts w:hint="eastAsia" w:ascii="宋体" w:hAnsi="宋体" w:eastAsia="宋体" w:cs="宋体"/>
          <w:color w:val="auto"/>
          <w:sz w:val="24"/>
          <w:szCs w:val="28"/>
          <w:highlight w:val="none"/>
          <w:lang w:eastAsia="zh-CN"/>
        </w:rPr>
        <w:t>标准和规范</w:t>
      </w:r>
      <w:bookmarkEnd w:id="146"/>
      <w:bookmarkEnd w:id="147"/>
      <w:bookmarkEnd w:id="148"/>
      <w:bookmarkEnd w:id="149"/>
      <w:bookmarkEnd w:id="150"/>
    </w:p>
    <w:p w14:paraId="51AE40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1.3.1适用于工程的标准规范包括：</w:t>
      </w:r>
      <w:r>
        <w:rPr>
          <w:rFonts w:hint="eastAsia" w:ascii="宋体" w:hAnsi="宋体" w:eastAsia="宋体" w:cs="宋体"/>
          <w:color w:val="auto"/>
          <w:kern w:val="2"/>
          <w:sz w:val="21"/>
          <w:szCs w:val="24"/>
          <w:highlight w:val="none"/>
          <w:u w:val="single"/>
          <w:lang w:val="en-US" w:eastAsia="zh-CN" w:bidi="ar"/>
        </w:rPr>
        <w:t>现行的国家标准、行业标准、地方规范性文件</w:t>
      </w:r>
      <w:r>
        <w:rPr>
          <w:rFonts w:hint="eastAsia" w:ascii="宋体" w:hAnsi="宋体" w:eastAsia="宋体" w:cs="宋体"/>
          <w:color w:val="auto"/>
          <w:kern w:val="2"/>
          <w:sz w:val="21"/>
          <w:szCs w:val="24"/>
          <w:highlight w:val="none"/>
          <w:lang w:val="en-US" w:eastAsia="zh-CN" w:bidi="ar"/>
        </w:rPr>
        <w:t>。</w:t>
      </w:r>
    </w:p>
    <w:p w14:paraId="0B7959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1.3.2发包人提供国外标准、规范的名称：</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32ADA50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发包人提供国外标准、规范的份数：</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0"/>
          <w:sz w:val="21"/>
          <w:szCs w:val="24"/>
          <w:highlight w:val="none"/>
          <w:lang w:val="en-US" w:eastAsia="zh-CN" w:bidi="ar"/>
        </w:rPr>
        <w:t>；</w:t>
      </w:r>
    </w:p>
    <w:p w14:paraId="07925D2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4"/>
          <w:highlight w:val="none"/>
          <w:lang w:val="en-US" w:eastAsia="zh-CN" w:bidi="ar"/>
        </w:rPr>
        <w:t>发包人提供国外标准、规范的名称：</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0"/>
          <w:sz w:val="21"/>
          <w:szCs w:val="24"/>
          <w:highlight w:val="none"/>
          <w:lang w:val="en-US" w:eastAsia="zh-CN" w:bidi="ar"/>
        </w:rPr>
        <w:t>。</w:t>
      </w:r>
    </w:p>
    <w:p w14:paraId="0F4673B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1.3.3发包人对工程的技术标准和功能要求的特殊要求：</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60A3500B">
      <w:pPr>
        <w:pStyle w:val="5"/>
        <w:widowControl/>
        <w:ind w:left="0" w:firstLine="562"/>
        <w:rPr>
          <w:rFonts w:hint="eastAsia" w:ascii="宋体" w:hAnsi="宋体" w:eastAsia="宋体" w:cs="宋体"/>
          <w:color w:val="auto"/>
          <w:sz w:val="24"/>
          <w:szCs w:val="28"/>
          <w:highlight w:val="none"/>
          <w:lang w:val="en-US"/>
        </w:rPr>
      </w:pPr>
      <w:bookmarkStart w:id="151" w:name="_Toc389065262"/>
      <w:bookmarkStart w:id="152" w:name="_Toc487632695"/>
      <w:bookmarkStart w:id="153" w:name="_Toc373478343"/>
      <w:bookmarkStart w:id="154" w:name="_Toc373227696"/>
      <w:bookmarkStart w:id="155" w:name="_Toc407135198"/>
      <w:r>
        <w:rPr>
          <w:rFonts w:hint="eastAsia" w:ascii="宋体" w:hAnsi="宋体" w:eastAsia="宋体" w:cs="宋体"/>
          <w:color w:val="auto"/>
          <w:sz w:val="24"/>
          <w:szCs w:val="28"/>
          <w:highlight w:val="none"/>
          <w:lang w:val="en-US"/>
        </w:rPr>
        <w:t>1.4</w:t>
      </w:r>
      <w:r>
        <w:rPr>
          <w:rFonts w:hint="eastAsia" w:ascii="宋体" w:hAnsi="宋体" w:eastAsia="宋体" w:cs="宋体"/>
          <w:color w:val="auto"/>
          <w:sz w:val="24"/>
          <w:szCs w:val="28"/>
          <w:highlight w:val="none"/>
          <w:lang w:eastAsia="zh-CN"/>
        </w:rPr>
        <w:t>合同文件的优先顺序</w:t>
      </w:r>
      <w:bookmarkEnd w:id="151"/>
      <w:bookmarkEnd w:id="152"/>
      <w:bookmarkEnd w:id="153"/>
      <w:bookmarkEnd w:id="154"/>
      <w:bookmarkEnd w:id="155"/>
    </w:p>
    <w:p w14:paraId="7EA266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合同文件组成及优先顺序为：</w:t>
      </w:r>
    </w:p>
    <w:p w14:paraId="711A0BB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（1）合同协议书；</w:t>
      </w:r>
    </w:p>
    <w:p w14:paraId="41101E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（2）中标通知书；</w:t>
      </w:r>
    </w:p>
    <w:p w14:paraId="23B392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（3）磋商函及其附录；</w:t>
      </w:r>
    </w:p>
    <w:p w14:paraId="45B2BF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（4）专用合同条款及其附件；</w:t>
      </w:r>
    </w:p>
    <w:p w14:paraId="37F584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（5）通用合同条款；</w:t>
      </w:r>
    </w:p>
    <w:p w14:paraId="593A250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4"/>
          <w:highlight w:val="none"/>
          <w:lang w:val="en-US" w:eastAsia="zh-CN" w:bidi="ar"/>
        </w:rPr>
      </w:pPr>
      <w:r>
        <w:rPr>
          <w:rFonts w:hint="eastAsia" w:ascii="宋体" w:hAnsi="宋体" w:eastAsia="宋体" w:cs="宋体"/>
          <w:color w:val="auto"/>
          <w:kern w:val="0"/>
          <w:sz w:val="21"/>
          <w:szCs w:val="24"/>
          <w:highlight w:val="none"/>
          <w:lang w:val="en-US" w:eastAsia="zh-CN" w:bidi="ar"/>
        </w:rPr>
        <w:t>（6）</w:t>
      </w:r>
      <w:r>
        <w:rPr>
          <w:rFonts w:hint="eastAsia" w:ascii="宋体" w:hAnsi="宋体" w:eastAsia="宋体" w:cs="宋体"/>
          <w:color w:val="auto"/>
          <w:kern w:val="0"/>
          <w:sz w:val="21"/>
          <w:szCs w:val="24"/>
          <w:highlight w:val="none"/>
          <w:u w:val="single"/>
          <w:lang w:val="en-US" w:eastAsia="zh-CN" w:bidi="ar"/>
        </w:rPr>
        <w:t>技术标准和要求</w:t>
      </w:r>
      <w:r>
        <w:rPr>
          <w:rFonts w:hint="eastAsia" w:ascii="宋体" w:hAnsi="宋体" w:eastAsia="宋体" w:cs="宋体"/>
          <w:color w:val="auto"/>
          <w:kern w:val="0"/>
          <w:sz w:val="21"/>
          <w:szCs w:val="24"/>
          <w:highlight w:val="none"/>
          <w:lang w:val="en-US" w:eastAsia="zh-CN" w:bidi="ar"/>
        </w:rPr>
        <w:t>；</w:t>
      </w:r>
    </w:p>
    <w:p w14:paraId="66F142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4"/>
          <w:highlight w:val="none"/>
          <w:lang w:val="en-US" w:eastAsia="zh-CN" w:bidi="ar"/>
        </w:rPr>
      </w:pPr>
      <w:r>
        <w:rPr>
          <w:rFonts w:hint="eastAsia" w:ascii="宋体" w:hAnsi="宋体" w:eastAsia="宋体" w:cs="宋体"/>
          <w:color w:val="auto"/>
          <w:kern w:val="0"/>
          <w:sz w:val="21"/>
          <w:szCs w:val="24"/>
          <w:highlight w:val="none"/>
          <w:lang w:val="en-US" w:eastAsia="zh-CN" w:bidi="ar"/>
        </w:rPr>
        <w:t>（6）施工图纸；</w:t>
      </w:r>
    </w:p>
    <w:p w14:paraId="091325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（7）</w:t>
      </w:r>
      <w:r>
        <w:rPr>
          <w:rFonts w:hint="eastAsia" w:ascii="宋体" w:hAnsi="宋体" w:eastAsia="宋体" w:cs="宋体"/>
          <w:color w:val="auto"/>
          <w:kern w:val="0"/>
          <w:sz w:val="21"/>
          <w:szCs w:val="24"/>
          <w:highlight w:val="none"/>
          <w:u w:val="single"/>
          <w:lang w:val="en-US" w:eastAsia="zh-CN" w:bidi="ar"/>
        </w:rPr>
        <w:t>已标价工程量清单或预算书</w:t>
      </w:r>
      <w:r>
        <w:rPr>
          <w:rFonts w:hint="eastAsia" w:ascii="宋体" w:hAnsi="宋体" w:eastAsia="宋体" w:cs="宋体"/>
          <w:color w:val="auto"/>
          <w:kern w:val="0"/>
          <w:sz w:val="21"/>
          <w:szCs w:val="24"/>
          <w:highlight w:val="none"/>
          <w:lang w:val="en-US" w:eastAsia="zh-CN" w:bidi="ar"/>
        </w:rPr>
        <w:t>；</w:t>
      </w:r>
    </w:p>
    <w:p w14:paraId="1B5D6F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（8）</w:t>
      </w:r>
      <w:r>
        <w:rPr>
          <w:rFonts w:hint="eastAsia" w:ascii="宋体" w:hAnsi="宋体" w:eastAsia="宋体" w:cs="宋体"/>
          <w:color w:val="auto"/>
          <w:kern w:val="0"/>
          <w:sz w:val="21"/>
          <w:szCs w:val="24"/>
          <w:highlight w:val="none"/>
          <w:u w:val="single"/>
          <w:lang w:val="en-US" w:eastAsia="zh-CN" w:bidi="ar"/>
        </w:rPr>
        <w:t>其他合同文件</w:t>
      </w:r>
      <w:r>
        <w:rPr>
          <w:rFonts w:hint="eastAsia" w:ascii="宋体" w:hAnsi="宋体" w:eastAsia="宋体" w:cs="宋体"/>
          <w:color w:val="auto"/>
          <w:kern w:val="0"/>
          <w:sz w:val="21"/>
          <w:szCs w:val="24"/>
          <w:highlight w:val="none"/>
          <w:lang w:val="en-US" w:eastAsia="zh-CN" w:bidi="ar"/>
        </w:rPr>
        <w:t>。</w:t>
      </w:r>
    </w:p>
    <w:p w14:paraId="1BC675E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9）《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3E80E63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4"/>
          <w:highlight w:val="none"/>
          <w:lang w:val="en-US" w:eastAsia="zh-CN" w:bidi="ar"/>
        </w:rPr>
        <w:t>说明：（6）、（7）、（8）填空内容分别限于技术标准和要求、已标价工程量清单或预算书、其他合同文件四者之一，其优先顺序可根据采取的不同合同方式由双方约定。</w:t>
      </w:r>
    </w:p>
    <w:p w14:paraId="1C54DD89">
      <w:pPr>
        <w:pStyle w:val="5"/>
        <w:widowControl/>
        <w:ind w:left="0" w:firstLine="562"/>
        <w:rPr>
          <w:rFonts w:hint="eastAsia" w:ascii="宋体" w:hAnsi="宋体" w:eastAsia="宋体" w:cs="宋体"/>
          <w:color w:val="auto"/>
          <w:sz w:val="24"/>
          <w:szCs w:val="28"/>
          <w:highlight w:val="none"/>
          <w:lang w:val="en-US"/>
        </w:rPr>
      </w:pPr>
      <w:bookmarkStart w:id="156" w:name="_Toc487632696"/>
      <w:bookmarkStart w:id="157" w:name="_Toc407135199"/>
      <w:bookmarkStart w:id="158" w:name="_Toc373227697"/>
      <w:bookmarkStart w:id="159" w:name="_Toc389065263"/>
      <w:bookmarkStart w:id="160" w:name="_Toc373478344"/>
      <w:r>
        <w:rPr>
          <w:rFonts w:hint="eastAsia" w:ascii="宋体" w:hAnsi="宋体" w:eastAsia="宋体" w:cs="宋体"/>
          <w:color w:val="auto"/>
          <w:sz w:val="24"/>
          <w:szCs w:val="28"/>
          <w:highlight w:val="none"/>
          <w:lang w:val="en-US"/>
        </w:rPr>
        <w:t>1.5</w:t>
      </w:r>
      <w:r>
        <w:rPr>
          <w:rFonts w:hint="eastAsia" w:ascii="宋体" w:hAnsi="宋体" w:eastAsia="宋体" w:cs="宋体"/>
          <w:color w:val="auto"/>
          <w:sz w:val="24"/>
          <w:szCs w:val="28"/>
          <w:highlight w:val="none"/>
          <w:lang w:eastAsia="zh-CN"/>
        </w:rPr>
        <w:t>图纸和承包人文件</w:t>
      </w:r>
      <w:bookmarkEnd w:id="156"/>
      <w:bookmarkEnd w:id="157"/>
      <w:bookmarkEnd w:id="158"/>
      <w:bookmarkEnd w:id="159"/>
      <w:bookmarkEnd w:id="160"/>
      <w:r>
        <w:rPr>
          <w:rFonts w:hint="eastAsia" w:ascii="宋体" w:hAnsi="宋体" w:eastAsia="宋体" w:cs="宋体"/>
          <w:color w:val="auto"/>
          <w:sz w:val="24"/>
          <w:szCs w:val="28"/>
          <w:highlight w:val="none"/>
          <w:lang w:val="en-US"/>
        </w:rPr>
        <w:tab/>
      </w:r>
    </w:p>
    <w:p w14:paraId="4094C0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1.5.1图纸的提供</w:t>
      </w:r>
    </w:p>
    <w:p w14:paraId="330AD1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发包人向承包人提供图纸的期限：</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0F304A3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发包人向承包人提供图纸的数量：</w:t>
      </w:r>
      <w:r>
        <w:rPr>
          <w:rFonts w:hint="eastAsia" w:ascii="宋体" w:hAnsi="宋体" w:eastAsia="宋体" w:cs="宋体"/>
          <w:color w:val="auto"/>
          <w:kern w:val="2"/>
          <w:sz w:val="21"/>
          <w:szCs w:val="24"/>
          <w:highlight w:val="none"/>
          <w:u w:val="single"/>
          <w:lang w:val="en-US" w:eastAsia="zh-CN" w:bidi="ar"/>
        </w:rPr>
        <w:t>2</w:t>
      </w:r>
      <w:r>
        <w:rPr>
          <w:rFonts w:hint="eastAsia" w:ascii="宋体" w:hAnsi="宋体" w:eastAsia="宋体" w:cs="宋体"/>
          <w:color w:val="auto"/>
          <w:kern w:val="2"/>
          <w:sz w:val="21"/>
          <w:szCs w:val="24"/>
          <w:highlight w:val="none"/>
          <w:lang w:val="en-US" w:eastAsia="zh-CN" w:bidi="ar"/>
        </w:rPr>
        <w:t>套（承包人需要增加图纸套数的，发包人应代为复制，复制费用由承包人承担）；</w:t>
      </w:r>
    </w:p>
    <w:p w14:paraId="75F4C5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发包人向承包人提供图纸的内容：</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5FF57D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1.5.2承包人文件</w:t>
      </w:r>
    </w:p>
    <w:p w14:paraId="20B3032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bookmarkStart w:id="161" w:name="_Toc487632697"/>
      <w:bookmarkStart w:id="162" w:name="_Toc389065264"/>
      <w:bookmarkStart w:id="163" w:name="_Toc373227698"/>
      <w:bookmarkStart w:id="164" w:name="_Toc373478345"/>
      <w:bookmarkStart w:id="165" w:name="_Toc407135200"/>
      <w:r>
        <w:rPr>
          <w:rFonts w:hint="eastAsia" w:ascii="宋体" w:hAnsi="宋体" w:eastAsia="宋体" w:cs="宋体"/>
          <w:color w:val="auto"/>
          <w:kern w:val="2"/>
          <w:sz w:val="21"/>
          <w:szCs w:val="24"/>
          <w:highlight w:val="none"/>
          <w:lang w:val="en-US" w:eastAsia="zh-CN" w:bidi="ar"/>
        </w:rPr>
        <w:t>需要由承包人提供的文件，包括：</w:t>
      </w:r>
      <w:r>
        <w:rPr>
          <w:rFonts w:hint="eastAsia" w:ascii="宋体" w:hAnsi="宋体" w:eastAsia="宋体" w:cs="宋体"/>
          <w:color w:val="auto"/>
          <w:kern w:val="2"/>
          <w:sz w:val="21"/>
          <w:szCs w:val="24"/>
          <w:highlight w:val="none"/>
          <w:u w:val="single"/>
          <w:lang w:val="en-US" w:eastAsia="zh-CN" w:bidi="ar"/>
        </w:rPr>
        <w:t>因承包人原因提出的设计变更方案、质量处理整改方案</w:t>
      </w:r>
      <w:r>
        <w:rPr>
          <w:rFonts w:hint="eastAsia" w:ascii="宋体" w:hAnsi="宋体" w:eastAsia="宋体" w:cs="宋体"/>
          <w:color w:val="auto"/>
          <w:kern w:val="2"/>
          <w:sz w:val="21"/>
          <w:szCs w:val="24"/>
          <w:highlight w:val="none"/>
          <w:lang w:val="en-US" w:eastAsia="zh-CN" w:bidi="ar"/>
        </w:rPr>
        <w:t>；</w:t>
      </w:r>
    </w:p>
    <w:p w14:paraId="5ABFB60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承包人提供的文件的期限为：</w:t>
      </w:r>
      <w:r>
        <w:rPr>
          <w:rFonts w:hint="eastAsia" w:ascii="宋体" w:hAnsi="宋体" w:eastAsia="宋体" w:cs="宋体"/>
          <w:color w:val="auto"/>
          <w:kern w:val="2"/>
          <w:sz w:val="21"/>
          <w:szCs w:val="24"/>
          <w:highlight w:val="none"/>
          <w:u w:val="single"/>
          <w:lang w:val="en-US" w:eastAsia="zh-CN" w:bidi="ar"/>
        </w:rPr>
        <w:t>文件实施前3天</w:t>
      </w:r>
      <w:r>
        <w:rPr>
          <w:rFonts w:hint="eastAsia" w:ascii="宋体" w:hAnsi="宋体" w:eastAsia="宋体" w:cs="宋体"/>
          <w:color w:val="auto"/>
          <w:kern w:val="2"/>
          <w:sz w:val="21"/>
          <w:szCs w:val="24"/>
          <w:highlight w:val="none"/>
          <w:lang w:val="en-US" w:eastAsia="zh-CN" w:bidi="ar"/>
        </w:rPr>
        <w:t>；</w:t>
      </w:r>
    </w:p>
    <w:p w14:paraId="6E8072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承包人提供的文件的数量为：</w:t>
      </w:r>
      <w:r>
        <w:rPr>
          <w:rFonts w:hint="eastAsia" w:ascii="宋体" w:hAnsi="宋体" w:eastAsia="宋体" w:cs="宋体"/>
          <w:color w:val="auto"/>
          <w:kern w:val="2"/>
          <w:sz w:val="21"/>
          <w:szCs w:val="24"/>
          <w:highlight w:val="none"/>
          <w:u w:val="single"/>
          <w:lang w:val="en-US" w:eastAsia="zh-CN" w:bidi="ar"/>
        </w:rPr>
        <w:t>按发包人要求提供</w:t>
      </w:r>
      <w:r>
        <w:rPr>
          <w:rFonts w:hint="eastAsia" w:ascii="宋体" w:hAnsi="宋体" w:eastAsia="宋体" w:cs="宋体"/>
          <w:color w:val="auto"/>
          <w:kern w:val="2"/>
          <w:sz w:val="21"/>
          <w:szCs w:val="24"/>
          <w:highlight w:val="none"/>
          <w:lang w:val="en-US" w:eastAsia="zh-CN" w:bidi="ar"/>
        </w:rPr>
        <w:t>；</w:t>
      </w:r>
    </w:p>
    <w:p w14:paraId="746514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承包人提供的文件的形式为：</w:t>
      </w:r>
      <w:r>
        <w:rPr>
          <w:rFonts w:hint="eastAsia" w:ascii="宋体" w:hAnsi="宋体" w:eastAsia="宋体" w:cs="宋体"/>
          <w:color w:val="auto"/>
          <w:kern w:val="2"/>
          <w:sz w:val="21"/>
          <w:szCs w:val="24"/>
          <w:highlight w:val="none"/>
          <w:u w:val="single"/>
          <w:lang w:val="en-US" w:eastAsia="zh-CN" w:bidi="ar"/>
        </w:rPr>
        <w:t>加盖单位公章的纸质文件</w:t>
      </w:r>
      <w:r>
        <w:rPr>
          <w:rFonts w:hint="eastAsia" w:ascii="宋体" w:hAnsi="宋体" w:eastAsia="宋体" w:cs="宋体"/>
          <w:color w:val="auto"/>
          <w:kern w:val="2"/>
          <w:sz w:val="21"/>
          <w:szCs w:val="24"/>
          <w:highlight w:val="none"/>
          <w:lang w:val="en-US" w:eastAsia="zh-CN" w:bidi="ar"/>
        </w:rPr>
        <w:t>；</w:t>
      </w:r>
    </w:p>
    <w:p w14:paraId="54E1C48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发包人审批承包人文件的期限：</w:t>
      </w:r>
      <w:r>
        <w:rPr>
          <w:rFonts w:hint="eastAsia" w:ascii="宋体" w:hAnsi="宋体" w:eastAsia="宋体" w:cs="宋体"/>
          <w:color w:val="auto"/>
          <w:kern w:val="2"/>
          <w:sz w:val="21"/>
          <w:szCs w:val="24"/>
          <w:highlight w:val="none"/>
          <w:u w:val="single"/>
          <w:lang w:val="en-US" w:eastAsia="zh-CN" w:bidi="ar"/>
        </w:rPr>
        <w:t>收到文件后7天内</w:t>
      </w:r>
      <w:r>
        <w:rPr>
          <w:rFonts w:hint="eastAsia" w:ascii="宋体" w:hAnsi="宋体" w:eastAsia="宋体" w:cs="宋体"/>
          <w:color w:val="auto"/>
          <w:kern w:val="2"/>
          <w:sz w:val="21"/>
          <w:szCs w:val="24"/>
          <w:highlight w:val="none"/>
          <w:lang w:val="en-US" w:eastAsia="zh-CN" w:bidi="ar"/>
        </w:rPr>
        <w:t>。</w:t>
      </w:r>
    </w:p>
    <w:p w14:paraId="33897A3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1.5.3现场图纸准备</w:t>
      </w:r>
    </w:p>
    <w:p w14:paraId="39692CA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关于现场图纸准备的约定：</w:t>
      </w:r>
      <w:r>
        <w:rPr>
          <w:rFonts w:hint="eastAsia" w:ascii="宋体" w:hAnsi="宋体" w:eastAsia="宋体" w:cs="宋体"/>
          <w:color w:val="auto"/>
          <w:kern w:val="2"/>
          <w:sz w:val="21"/>
          <w:szCs w:val="24"/>
          <w:highlight w:val="none"/>
          <w:u w:val="single"/>
          <w:lang w:val="en-US" w:eastAsia="zh-CN" w:bidi="ar"/>
        </w:rPr>
        <w:t>按通用合同条款执行</w:t>
      </w:r>
      <w:r>
        <w:rPr>
          <w:rFonts w:hint="eastAsia" w:ascii="宋体" w:hAnsi="宋体" w:eastAsia="宋体" w:cs="宋体"/>
          <w:color w:val="auto"/>
          <w:kern w:val="2"/>
          <w:sz w:val="21"/>
          <w:szCs w:val="24"/>
          <w:highlight w:val="none"/>
          <w:lang w:val="en-US" w:eastAsia="zh-CN" w:bidi="ar"/>
        </w:rPr>
        <w:t>。</w:t>
      </w:r>
    </w:p>
    <w:p w14:paraId="3883D68F">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1.6</w:t>
      </w:r>
      <w:r>
        <w:rPr>
          <w:rFonts w:hint="eastAsia" w:ascii="宋体" w:hAnsi="宋体" w:eastAsia="宋体" w:cs="宋体"/>
          <w:color w:val="auto"/>
          <w:sz w:val="24"/>
          <w:szCs w:val="28"/>
          <w:highlight w:val="none"/>
          <w:lang w:eastAsia="zh-CN"/>
        </w:rPr>
        <w:t>联络</w:t>
      </w:r>
      <w:bookmarkEnd w:id="161"/>
      <w:bookmarkEnd w:id="162"/>
      <w:bookmarkEnd w:id="163"/>
      <w:bookmarkEnd w:id="164"/>
      <w:bookmarkEnd w:id="165"/>
    </w:p>
    <w:p w14:paraId="13298B3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1.6.1发包人和承包人应当在</w:t>
      </w:r>
      <w:r>
        <w:rPr>
          <w:rFonts w:hint="eastAsia" w:ascii="宋体" w:hAnsi="宋体" w:eastAsia="宋体" w:cs="宋体"/>
          <w:color w:val="auto"/>
          <w:kern w:val="2"/>
          <w:sz w:val="21"/>
          <w:szCs w:val="24"/>
          <w:highlight w:val="none"/>
          <w:u w:val="single"/>
          <w:lang w:val="en-US" w:eastAsia="zh-CN" w:bidi="ar"/>
        </w:rPr>
        <w:t>3</w:t>
      </w:r>
      <w:r>
        <w:rPr>
          <w:rFonts w:hint="eastAsia" w:ascii="宋体" w:hAnsi="宋体" w:eastAsia="宋体" w:cs="宋体"/>
          <w:color w:val="auto"/>
          <w:kern w:val="0"/>
          <w:sz w:val="21"/>
          <w:szCs w:val="24"/>
          <w:highlight w:val="none"/>
          <w:lang w:val="en-US" w:eastAsia="zh-CN" w:bidi="ar"/>
        </w:rPr>
        <w:t>天内将与合同有关的通知、批准、证明、证书、指示、指令、要求、请求、同意、意见、确定和决定等书面函件送达对方当事人。</w:t>
      </w:r>
    </w:p>
    <w:p w14:paraId="5561D7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bookmarkStart w:id="166" w:name="_Toc487632698"/>
      <w:bookmarkStart w:id="167" w:name="_Toc373227699"/>
      <w:bookmarkStart w:id="168" w:name="_Toc407135201"/>
      <w:bookmarkStart w:id="169" w:name="_Toc373478346"/>
      <w:bookmarkStart w:id="170" w:name="_Toc389065265"/>
      <w:r>
        <w:rPr>
          <w:rFonts w:hint="eastAsia" w:ascii="宋体" w:hAnsi="宋体" w:eastAsia="宋体" w:cs="宋体"/>
          <w:color w:val="auto"/>
          <w:kern w:val="0"/>
          <w:sz w:val="21"/>
          <w:szCs w:val="24"/>
          <w:highlight w:val="none"/>
          <w:lang w:val="en-US" w:eastAsia="zh-CN" w:bidi="ar"/>
        </w:rPr>
        <w:t>1.6.2发包人接收文件的地点：</w:t>
      </w:r>
      <w:r>
        <w:rPr>
          <w:rFonts w:hint="eastAsia" w:ascii="宋体" w:hAnsi="宋体" w:eastAsia="宋体" w:cs="宋体"/>
          <w:color w:val="auto"/>
          <w:kern w:val="2"/>
          <w:sz w:val="21"/>
          <w:szCs w:val="24"/>
          <w:highlight w:val="none"/>
          <w:u w:val="single"/>
          <w:lang w:val="en-US" w:eastAsia="zh-CN" w:bidi="ar"/>
        </w:rPr>
        <w:t>发包人办公室</w:t>
      </w:r>
      <w:r>
        <w:rPr>
          <w:rFonts w:hint="eastAsia" w:ascii="宋体" w:hAnsi="宋体" w:eastAsia="宋体" w:cs="宋体"/>
          <w:color w:val="auto"/>
          <w:kern w:val="0"/>
          <w:sz w:val="21"/>
          <w:szCs w:val="24"/>
          <w:highlight w:val="none"/>
          <w:lang w:val="en-US" w:eastAsia="zh-CN" w:bidi="ar"/>
        </w:rPr>
        <w:t>；</w:t>
      </w:r>
    </w:p>
    <w:p w14:paraId="73AA32F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发包人指定的接收人为：</w:t>
      </w:r>
      <w:r>
        <w:rPr>
          <w:rFonts w:hint="eastAsia" w:ascii="宋体" w:hAnsi="宋体" w:eastAsia="宋体" w:cs="宋体"/>
          <w:color w:val="auto"/>
          <w:kern w:val="2"/>
          <w:sz w:val="21"/>
          <w:szCs w:val="24"/>
          <w:highlight w:val="none"/>
          <w:u w:val="single"/>
          <w:lang w:val="en-US" w:eastAsia="zh-CN" w:bidi="ar"/>
        </w:rPr>
        <w:t>工地代表（可委托）</w:t>
      </w:r>
      <w:r>
        <w:rPr>
          <w:rFonts w:hint="eastAsia" w:ascii="宋体" w:hAnsi="宋体" w:eastAsia="宋体" w:cs="宋体"/>
          <w:color w:val="auto"/>
          <w:kern w:val="0"/>
          <w:sz w:val="21"/>
          <w:szCs w:val="24"/>
          <w:highlight w:val="none"/>
          <w:lang w:val="en-US" w:eastAsia="zh-CN" w:bidi="ar"/>
        </w:rPr>
        <w:t>。</w:t>
      </w:r>
    </w:p>
    <w:p w14:paraId="53A050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承包人接收文件的地点：</w:t>
      </w:r>
      <w:r>
        <w:rPr>
          <w:rFonts w:hint="eastAsia" w:ascii="宋体" w:hAnsi="宋体" w:eastAsia="宋体" w:cs="宋体"/>
          <w:color w:val="auto"/>
          <w:kern w:val="2"/>
          <w:sz w:val="21"/>
          <w:szCs w:val="24"/>
          <w:highlight w:val="none"/>
          <w:u w:val="single"/>
          <w:lang w:val="en-US" w:eastAsia="zh-CN" w:bidi="ar"/>
        </w:rPr>
        <w:t>承包人项目部办公室</w:t>
      </w:r>
      <w:r>
        <w:rPr>
          <w:rFonts w:hint="eastAsia" w:ascii="宋体" w:hAnsi="宋体" w:eastAsia="宋体" w:cs="宋体"/>
          <w:color w:val="auto"/>
          <w:kern w:val="0"/>
          <w:sz w:val="21"/>
          <w:szCs w:val="24"/>
          <w:highlight w:val="none"/>
          <w:lang w:val="en-US" w:eastAsia="zh-CN" w:bidi="ar"/>
        </w:rPr>
        <w:t>；</w:t>
      </w:r>
    </w:p>
    <w:p w14:paraId="601304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承包人指定的接收人为：</w:t>
      </w:r>
      <w:r>
        <w:rPr>
          <w:rFonts w:hint="eastAsia" w:ascii="宋体" w:hAnsi="宋体" w:eastAsia="宋体" w:cs="宋体"/>
          <w:color w:val="auto"/>
          <w:kern w:val="2"/>
          <w:sz w:val="21"/>
          <w:szCs w:val="24"/>
          <w:highlight w:val="none"/>
          <w:u w:val="single"/>
          <w:lang w:val="en-US" w:eastAsia="zh-CN" w:bidi="ar"/>
        </w:rPr>
        <w:t>项目经理</w:t>
      </w:r>
      <w:r>
        <w:rPr>
          <w:rFonts w:hint="eastAsia" w:ascii="宋体" w:hAnsi="宋体" w:eastAsia="宋体" w:cs="宋体"/>
          <w:color w:val="auto"/>
          <w:kern w:val="0"/>
          <w:sz w:val="21"/>
          <w:szCs w:val="24"/>
          <w:highlight w:val="none"/>
          <w:lang w:val="en-US" w:eastAsia="zh-CN" w:bidi="ar"/>
        </w:rPr>
        <w:t>。</w:t>
      </w:r>
    </w:p>
    <w:p w14:paraId="6EE2C6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监理人接收文件的地点：</w:t>
      </w:r>
      <w:r>
        <w:rPr>
          <w:rFonts w:hint="eastAsia" w:ascii="宋体" w:hAnsi="宋体" w:eastAsia="宋体" w:cs="宋体"/>
          <w:color w:val="auto"/>
          <w:kern w:val="2"/>
          <w:sz w:val="21"/>
          <w:szCs w:val="24"/>
          <w:highlight w:val="none"/>
          <w:u w:val="single"/>
          <w:lang w:val="en-US" w:eastAsia="zh-CN" w:bidi="ar"/>
        </w:rPr>
        <w:t>项目监理部</w:t>
      </w:r>
      <w:r>
        <w:rPr>
          <w:rFonts w:hint="eastAsia" w:ascii="宋体" w:hAnsi="宋体" w:eastAsia="宋体" w:cs="宋体"/>
          <w:color w:val="auto"/>
          <w:kern w:val="0"/>
          <w:sz w:val="21"/>
          <w:szCs w:val="24"/>
          <w:highlight w:val="none"/>
          <w:lang w:val="en-US" w:eastAsia="zh-CN" w:bidi="ar"/>
        </w:rPr>
        <w:t>；</w:t>
      </w:r>
    </w:p>
    <w:p w14:paraId="34CE42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监理人指定的接收人为：</w:t>
      </w:r>
      <w:r>
        <w:rPr>
          <w:rFonts w:hint="eastAsia" w:ascii="宋体" w:hAnsi="宋体" w:eastAsia="宋体" w:cs="宋体"/>
          <w:color w:val="auto"/>
          <w:kern w:val="2"/>
          <w:sz w:val="21"/>
          <w:szCs w:val="24"/>
          <w:highlight w:val="none"/>
          <w:u w:val="single"/>
          <w:lang w:val="en-US" w:eastAsia="zh-CN" w:bidi="ar"/>
        </w:rPr>
        <w:t>总监理工程师（可委托）</w:t>
      </w:r>
      <w:r>
        <w:rPr>
          <w:rFonts w:hint="eastAsia" w:ascii="宋体" w:hAnsi="宋体" w:eastAsia="宋体" w:cs="宋体"/>
          <w:color w:val="auto"/>
          <w:kern w:val="0"/>
          <w:sz w:val="21"/>
          <w:szCs w:val="24"/>
          <w:highlight w:val="none"/>
          <w:lang w:val="en-US" w:eastAsia="zh-CN" w:bidi="ar"/>
        </w:rPr>
        <w:t>。</w:t>
      </w:r>
    </w:p>
    <w:p w14:paraId="2BAEDA46">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1.7</w:t>
      </w:r>
      <w:r>
        <w:rPr>
          <w:rFonts w:hint="eastAsia" w:ascii="宋体" w:hAnsi="宋体" w:eastAsia="宋体" w:cs="宋体"/>
          <w:color w:val="auto"/>
          <w:sz w:val="24"/>
          <w:szCs w:val="28"/>
          <w:highlight w:val="none"/>
          <w:lang w:eastAsia="zh-CN"/>
        </w:rPr>
        <w:t>交通运输</w:t>
      </w:r>
      <w:bookmarkEnd w:id="166"/>
      <w:bookmarkEnd w:id="167"/>
      <w:bookmarkEnd w:id="168"/>
      <w:bookmarkEnd w:id="169"/>
      <w:bookmarkEnd w:id="170"/>
    </w:p>
    <w:p w14:paraId="5EE148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w:t>
      </w:r>
      <w:bookmarkStart w:id="171" w:name="_Toc300934943"/>
      <w:bookmarkStart w:id="172" w:name="_Toc304295521"/>
      <w:bookmarkStart w:id="173" w:name="_Toc318581155"/>
      <w:bookmarkStart w:id="174" w:name="_Toc303539100"/>
      <w:bookmarkStart w:id="175" w:name="_Toc312677986"/>
      <w:r>
        <w:rPr>
          <w:rFonts w:hint="eastAsia" w:ascii="宋体" w:hAnsi="宋体" w:eastAsia="宋体" w:cs="宋体"/>
          <w:color w:val="auto"/>
          <w:kern w:val="2"/>
          <w:sz w:val="21"/>
          <w:szCs w:val="24"/>
          <w:highlight w:val="none"/>
          <w:lang w:val="en-US" w:eastAsia="zh-CN" w:bidi="ar"/>
        </w:rPr>
        <w:t>.7.1出入现场的权利</w:t>
      </w:r>
    </w:p>
    <w:p w14:paraId="7773F5C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关于出入现场的权利的约定：</w:t>
      </w:r>
      <w:r>
        <w:rPr>
          <w:rFonts w:hint="eastAsia" w:ascii="宋体" w:hAnsi="宋体" w:eastAsia="宋体" w:cs="宋体"/>
          <w:color w:val="auto"/>
          <w:kern w:val="2"/>
          <w:sz w:val="21"/>
          <w:szCs w:val="24"/>
          <w:highlight w:val="none"/>
          <w:u w:val="single"/>
          <w:lang w:val="en-US" w:eastAsia="zh-CN" w:bidi="ar"/>
        </w:rPr>
        <w:t>按现有出入现场的道路现状交付承包人，由承包人自行解决取得出入现场的道路通行的权利，发包人应协助办理有关手续</w:t>
      </w:r>
      <w:r>
        <w:rPr>
          <w:rFonts w:hint="eastAsia" w:ascii="宋体" w:hAnsi="宋体" w:eastAsia="宋体" w:cs="宋体"/>
          <w:color w:val="auto"/>
          <w:kern w:val="2"/>
          <w:sz w:val="21"/>
          <w:szCs w:val="24"/>
          <w:highlight w:val="none"/>
          <w:lang w:val="en-US" w:eastAsia="zh-CN" w:bidi="ar"/>
        </w:rPr>
        <w:t>。</w:t>
      </w:r>
    </w:p>
    <w:bookmarkEnd w:id="171"/>
    <w:bookmarkEnd w:id="172"/>
    <w:bookmarkEnd w:id="173"/>
    <w:bookmarkEnd w:id="174"/>
    <w:bookmarkEnd w:id="175"/>
    <w:p w14:paraId="76C349B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w:t>
      </w:r>
      <w:bookmarkStart w:id="176" w:name="_Toc312677987"/>
      <w:bookmarkStart w:id="177" w:name="_Toc318581156"/>
      <w:bookmarkStart w:id="178" w:name="_Toc303539101"/>
      <w:bookmarkStart w:id="179" w:name="_Toc300934944"/>
      <w:bookmarkStart w:id="180" w:name="_Toc304295522"/>
      <w:r>
        <w:rPr>
          <w:rFonts w:hint="eastAsia" w:ascii="宋体" w:hAnsi="宋体" w:eastAsia="宋体" w:cs="宋体"/>
          <w:color w:val="auto"/>
          <w:kern w:val="2"/>
          <w:sz w:val="21"/>
          <w:szCs w:val="24"/>
          <w:highlight w:val="none"/>
          <w:lang w:val="en-US" w:eastAsia="zh-CN" w:bidi="ar"/>
        </w:rPr>
        <w:t>.7.2场内交通</w:t>
      </w:r>
    </w:p>
    <w:p w14:paraId="3B7496B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关于场外交通和场内交通的边界的约定：</w:t>
      </w:r>
      <w:r>
        <w:rPr>
          <w:rFonts w:hint="eastAsia" w:ascii="宋体" w:hAnsi="宋体" w:eastAsia="宋体" w:cs="宋体"/>
          <w:color w:val="auto"/>
          <w:kern w:val="2"/>
          <w:sz w:val="21"/>
          <w:szCs w:val="24"/>
          <w:highlight w:val="none"/>
          <w:u w:val="single"/>
          <w:lang w:val="en-US" w:eastAsia="zh-CN" w:bidi="ar"/>
        </w:rPr>
        <w:t>由承包方按照规划红线进行封闭围挡，施工现场封闭围挡范围以内为场内交通；范围以外为场外交通</w:t>
      </w:r>
      <w:r>
        <w:rPr>
          <w:rFonts w:hint="eastAsia" w:ascii="宋体" w:hAnsi="宋体" w:eastAsia="宋体" w:cs="宋体"/>
          <w:color w:val="auto"/>
          <w:kern w:val="2"/>
          <w:sz w:val="21"/>
          <w:szCs w:val="24"/>
          <w:highlight w:val="none"/>
          <w:lang w:val="en-US" w:eastAsia="zh-CN" w:bidi="ar"/>
        </w:rPr>
        <w:t>。</w:t>
      </w:r>
    </w:p>
    <w:p w14:paraId="3EF3EF9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4"/>
          <w:highlight w:val="none"/>
          <w:u w:val="single"/>
          <w:lang w:val="en-US" w:eastAsia="zh-CN" w:bidi="ar"/>
        </w:rPr>
        <w:t>发包人按照施工现场现状提供施工需要的场内道路和交通设施，承包人负责修建、维修、养护和管理施工所需的其他场内临时道路和交通设施，并承担相应的费用</w:t>
      </w:r>
      <w:r>
        <w:rPr>
          <w:rFonts w:hint="eastAsia" w:ascii="宋体" w:hAnsi="宋体" w:eastAsia="宋体" w:cs="宋体"/>
          <w:color w:val="auto"/>
          <w:kern w:val="2"/>
          <w:sz w:val="21"/>
          <w:szCs w:val="24"/>
          <w:highlight w:val="none"/>
          <w:lang w:val="en-US" w:eastAsia="zh-CN" w:bidi="ar"/>
        </w:rPr>
        <w:t>。</w:t>
      </w:r>
      <w:bookmarkEnd w:id="176"/>
      <w:bookmarkEnd w:id="177"/>
      <w:bookmarkEnd w:id="178"/>
      <w:bookmarkEnd w:id="179"/>
      <w:bookmarkEnd w:id="180"/>
      <w:bookmarkStart w:id="181" w:name="_Toc318581157"/>
    </w:p>
    <w:p w14:paraId="1D85034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1.7.3超大件和超重件的运输</w:t>
      </w:r>
    </w:p>
    <w:p w14:paraId="50914D4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4"/>
          <w:highlight w:val="none"/>
          <w:u w:val="single"/>
          <w:lang w:val="en-US" w:eastAsia="zh-CN" w:bidi="ar"/>
        </w:rPr>
        <w:t>承包方</w:t>
      </w:r>
      <w:r>
        <w:rPr>
          <w:rFonts w:hint="eastAsia" w:ascii="宋体" w:hAnsi="宋体" w:eastAsia="宋体" w:cs="宋体"/>
          <w:color w:val="auto"/>
          <w:kern w:val="2"/>
          <w:sz w:val="21"/>
          <w:szCs w:val="24"/>
          <w:highlight w:val="none"/>
          <w:lang w:val="en-US" w:eastAsia="zh-CN" w:bidi="ar"/>
        </w:rPr>
        <w:t>承担。</w:t>
      </w:r>
    </w:p>
    <w:bookmarkEnd w:id="181"/>
    <w:p w14:paraId="47D69B3E">
      <w:pPr>
        <w:pStyle w:val="5"/>
        <w:widowControl/>
        <w:ind w:left="0" w:firstLine="562"/>
        <w:rPr>
          <w:rFonts w:hint="eastAsia" w:ascii="宋体" w:hAnsi="宋体" w:eastAsia="宋体" w:cs="宋体"/>
          <w:color w:val="auto"/>
          <w:sz w:val="24"/>
          <w:szCs w:val="28"/>
          <w:highlight w:val="none"/>
          <w:lang w:val="en-US"/>
        </w:rPr>
      </w:pPr>
      <w:bookmarkStart w:id="182" w:name="_Toc389065266"/>
      <w:bookmarkStart w:id="183" w:name="_Toc487632699"/>
      <w:bookmarkStart w:id="184" w:name="_Toc407135202"/>
      <w:bookmarkStart w:id="185" w:name="_Toc373227700"/>
      <w:bookmarkStart w:id="186" w:name="_Toc373478347"/>
      <w:r>
        <w:rPr>
          <w:rFonts w:hint="eastAsia" w:ascii="宋体" w:hAnsi="宋体" w:eastAsia="宋体" w:cs="宋体"/>
          <w:color w:val="auto"/>
          <w:sz w:val="24"/>
          <w:szCs w:val="28"/>
          <w:highlight w:val="none"/>
          <w:lang w:val="en-US"/>
        </w:rPr>
        <w:t>1.8</w:t>
      </w:r>
      <w:r>
        <w:rPr>
          <w:rFonts w:hint="eastAsia" w:ascii="宋体" w:hAnsi="宋体" w:eastAsia="宋体" w:cs="宋体"/>
          <w:color w:val="auto"/>
          <w:sz w:val="24"/>
          <w:szCs w:val="28"/>
          <w:highlight w:val="none"/>
          <w:lang w:eastAsia="zh-CN"/>
        </w:rPr>
        <w:t>知识产权</w:t>
      </w:r>
      <w:bookmarkEnd w:id="182"/>
      <w:bookmarkEnd w:id="183"/>
      <w:bookmarkEnd w:id="184"/>
      <w:bookmarkEnd w:id="185"/>
      <w:bookmarkEnd w:id="186"/>
    </w:p>
    <w:p w14:paraId="6FA2BD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1.8.1关于发包人提供给承包人的图纸、发包人为实施工程自行编制或委托编制的技术规范以及反映发包人关于合同要求或其他类似性质的文件的著作权的归属：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4"/>
          <w:highlight w:val="none"/>
          <w:u w:val="single"/>
          <w:lang w:val="en-US" w:eastAsia="zh-CN" w:bidi="ar"/>
        </w:rPr>
        <w:t>归发包人</w:t>
      </w:r>
      <w:r>
        <w:rPr>
          <w:rFonts w:hint="eastAsia" w:ascii="宋体" w:hAnsi="宋体" w:eastAsia="宋体" w:cs="宋体"/>
          <w:color w:val="auto"/>
          <w:kern w:val="2"/>
          <w:sz w:val="21"/>
          <w:szCs w:val="24"/>
          <w:highlight w:val="none"/>
          <w:lang w:val="en-US" w:eastAsia="zh-CN" w:bidi="ar"/>
        </w:rPr>
        <w:t>。</w:t>
      </w:r>
    </w:p>
    <w:p w14:paraId="3BC358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关于发包人提供的上述文件的使用限制的要求：</w:t>
      </w:r>
      <w:r>
        <w:rPr>
          <w:rFonts w:hint="eastAsia" w:ascii="宋体" w:hAnsi="宋体" w:eastAsia="宋体" w:cs="宋体"/>
          <w:color w:val="auto"/>
          <w:kern w:val="2"/>
          <w:sz w:val="21"/>
          <w:szCs w:val="24"/>
          <w:highlight w:val="none"/>
          <w:u w:val="single"/>
          <w:lang w:val="en-US" w:eastAsia="zh-CN" w:bidi="ar"/>
        </w:rPr>
        <w:t>未经发包人书面同意，承包人不得为了合同以外的目的而复制、使用上述文件或将之提供给任何第三方</w:t>
      </w:r>
      <w:r>
        <w:rPr>
          <w:rFonts w:hint="eastAsia" w:ascii="宋体" w:hAnsi="宋体" w:eastAsia="宋体" w:cs="宋体"/>
          <w:color w:val="auto"/>
          <w:kern w:val="2"/>
          <w:sz w:val="21"/>
          <w:szCs w:val="24"/>
          <w:highlight w:val="none"/>
          <w:lang w:val="en-US" w:eastAsia="zh-CN" w:bidi="ar"/>
        </w:rPr>
        <w:t>。</w:t>
      </w:r>
    </w:p>
    <w:p w14:paraId="79FD841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1.8.2关于承包人为实施工程所编制文件的著作权的归属：</w:t>
      </w:r>
      <w:r>
        <w:rPr>
          <w:rFonts w:hint="eastAsia" w:ascii="宋体" w:hAnsi="宋体" w:eastAsia="宋体" w:cs="宋体"/>
          <w:color w:val="auto"/>
          <w:kern w:val="2"/>
          <w:sz w:val="21"/>
          <w:szCs w:val="24"/>
          <w:highlight w:val="none"/>
          <w:u w:val="single"/>
          <w:lang w:val="en-US" w:eastAsia="zh-CN" w:bidi="ar"/>
        </w:rPr>
        <w:t>按通用合同条款执行</w:t>
      </w:r>
      <w:r>
        <w:rPr>
          <w:rFonts w:hint="eastAsia" w:ascii="宋体" w:hAnsi="宋体" w:eastAsia="宋体" w:cs="宋体"/>
          <w:color w:val="auto"/>
          <w:kern w:val="2"/>
          <w:sz w:val="21"/>
          <w:szCs w:val="24"/>
          <w:highlight w:val="none"/>
          <w:lang w:val="en-US" w:eastAsia="zh-CN" w:bidi="ar"/>
        </w:rPr>
        <w:t>。</w:t>
      </w:r>
    </w:p>
    <w:p w14:paraId="587AF0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1.8.3关于承包人提供的上述文件的使用限制的要求：</w:t>
      </w:r>
      <w:r>
        <w:rPr>
          <w:rFonts w:hint="eastAsia" w:ascii="宋体" w:hAnsi="宋体" w:eastAsia="宋体" w:cs="宋体"/>
          <w:color w:val="auto"/>
          <w:kern w:val="2"/>
          <w:sz w:val="21"/>
          <w:szCs w:val="24"/>
          <w:highlight w:val="none"/>
          <w:u w:val="single"/>
          <w:lang w:val="en-US" w:eastAsia="zh-CN" w:bidi="ar"/>
        </w:rPr>
        <w:t>未经发包人书面同意，承包人不得为了合同以外的目的而复制、使用上述文件或将之提供给任何第三方</w:t>
      </w:r>
      <w:r>
        <w:rPr>
          <w:rFonts w:hint="eastAsia" w:ascii="宋体" w:hAnsi="宋体" w:eastAsia="宋体" w:cs="宋体"/>
          <w:color w:val="auto"/>
          <w:kern w:val="2"/>
          <w:sz w:val="21"/>
          <w:szCs w:val="24"/>
          <w:highlight w:val="none"/>
          <w:lang w:val="en-US" w:eastAsia="zh-CN" w:bidi="ar"/>
        </w:rPr>
        <w:t>。</w:t>
      </w:r>
    </w:p>
    <w:p w14:paraId="2102B0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1.8.4承包人在施工过程中所采用的专利、专有技术、技术秘密的使用费的承担方式：</w:t>
      </w:r>
    </w:p>
    <w:p w14:paraId="0D6B8A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2"/>
          <w:sz w:val="21"/>
          <w:szCs w:val="24"/>
          <w:highlight w:val="none"/>
          <w:u w:val="single"/>
          <w:lang w:val="en-US" w:eastAsia="zh-CN" w:bidi="ar"/>
        </w:rPr>
        <w:t>按通用合同条款执行</w:t>
      </w:r>
      <w:r>
        <w:rPr>
          <w:rFonts w:hint="eastAsia" w:ascii="宋体" w:hAnsi="宋体" w:eastAsia="宋体" w:cs="宋体"/>
          <w:color w:val="auto"/>
          <w:kern w:val="0"/>
          <w:sz w:val="21"/>
          <w:szCs w:val="24"/>
          <w:highlight w:val="none"/>
          <w:lang w:val="en-US" w:eastAsia="zh-CN" w:bidi="ar"/>
        </w:rPr>
        <w:t>。</w:t>
      </w:r>
    </w:p>
    <w:p w14:paraId="6458DB20">
      <w:pPr>
        <w:pStyle w:val="5"/>
        <w:widowControl/>
        <w:ind w:left="0" w:firstLine="562"/>
        <w:rPr>
          <w:rFonts w:hint="eastAsia" w:ascii="宋体" w:hAnsi="宋体" w:eastAsia="宋体" w:cs="宋体"/>
          <w:color w:val="auto"/>
          <w:sz w:val="24"/>
          <w:szCs w:val="28"/>
          <w:highlight w:val="none"/>
          <w:lang w:val="en-US"/>
        </w:rPr>
      </w:pPr>
      <w:bookmarkStart w:id="187" w:name="_Toc407135203"/>
      <w:bookmarkStart w:id="188" w:name="_Toc373478348"/>
      <w:bookmarkStart w:id="189" w:name="_Toc373227701"/>
      <w:bookmarkStart w:id="190" w:name="_Toc389065267"/>
      <w:bookmarkStart w:id="191" w:name="_Toc487632700"/>
      <w:r>
        <w:rPr>
          <w:rFonts w:hint="eastAsia" w:ascii="宋体" w:hAnsi="宋体" w:eastAsia="宋体" w:cs="宋体"/>
          <w:color w:val="auto"/>
          <w:sz w:val="24"/>
          <w:szCs w:val="28"/>
          <w:highlight w:val="none"/>
          <w:lang w:val="en-US"/>
        </w:rPr>
        <w:t>1.9</w:t>
      </w:r>
      <w:r>
        <w:rPr>
          <w:rFonts w:hint="eastAsia" w:ascii="宋体" w:hAnsi="宋体" w:eastAsia="宋体" w:cs="宋体"/>
          <w:color w:val="auto"/>
          <w:sz w:val="24"/>
          <w:szCs w:val="28"/>
          <w:highlight w:val="none"/>
          <w:lang w:eastAsia="zh-CN"/>
        </w:rPr>
        <w:t>工程量清单错误的修正</w:t>
      </w:r>
      <w:bookmarkEnd w:id="187"/>
      <w:bookmarkEnd w:id="188"/>
      <w:bookmarkEnd w:id="189"/>
      <w:bookmarkEnd w:id="190"/>
      <w:bookmarkEnd w:id="191"/>
    </w:p>
    <w:p w14:paraId="29D65D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出现工程量清单工程量偏差时，是否调整合同价格：</w:t>
      </w:r>
      <w:r>
        <w:rPr>
          <w:rFonts w:hint="eastAsia" w:ascii="宋体" w:hAnsi="宋体" w:eastAsia="宋体" w:cs="宋体"/>
          <w:color w:val="auto"/>
          <w:kern w:val="2"/>
          <w:sz w:val="21"/>
          <w:szCs w:val="24"/>
          <w:highlight w:val="none"/>
          <w:u w:val="single"/>
          <w:lang w:val="en-US" w:eastAsia="zh-CN" w:bidi="ar"/>
        </w:rPr>
        <w:t>除设计变更以外，不调整合同价</w:t>
      </w:r>
      <w:r>
        <w:rPr>
          <w:rFonts w:hint="eastAsia" w:ascii="宋体" w:hAnsi="宋体" w:eastAsia="宋体" w:cs="宋体"/>
          <w:color w:val="auto"/>
          <w:kern w:val="0"/>
          <w:sz w:val="21"/>
          <w:szCs w:val="24"/>
          <w:highlight w:val="none"/>
          <w:lang w:val="en-US" w:eastAsia="zh-CN" w:bidi="ar"/>
        </w:rPr>
        <w:t>。</w:t>
      </w:r>
    </w:p>
    <w:p w14:paraId="75FE0E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允许调整合同价格的工程量偏差范围及其调整办法：</w:t>
      </w:r>
      <w:r>
        <w:rPr>
          <w:rFonts w:hint="eastAsia" w:ascii="宋体" w:hAnsi="宋体" w:eastAsia="宋体" w:cs="宋体"/>
          <w:color w:val="auto"/>
          <w:kern w:val="2"/>
          <w:sz w:val="21"/>
          <w:szCs w:val="24"/>
          <w:highlight w:val="none"/>
          <w:u w:val="single"/>
          <w:lang w:val="en-US" w:eastAsia="zh-CN" w:bidi="ar"/>
        </w:rPr>
        <w:t>按10.</w:t>
      </w:r>
      <w:r>
        <w:rPr>
          <w:rFonts w:hint="eastAsia" w:ascii="宋体" w:hAnsi="宋体" w:cs="宋体"/>
          <w:color w:val="auto"/>
          <w:kern w:val="2"/>
          <w:sz w:val="21"/>
          <w:szCs w:val="24"/>
          <w:highlight w:val="none"/>
          <w:u w:val="single"/>
          <w:lang w:val="en-US" w:eastAsia="zh-CN" w:bidi="ar"/>
        </w:rPr>
        <w:t>3</w:t>
      </w:r>
      <w:r>
        <w:rPr>
          <w:rFonts w:hint="eastAsia" w:ascii="宋体" w:hAnsi="宋体" w:eastAsia="宋体" w:cs="宋体"/>
          <w:color w:val="auto"/>
          <w:kern w:val="2"/>
          <w:sz w:val="21"/>
          <w:szCs w:val="24"/>
          <w:highlight w:val="none"/>
          <w:u w:val="single"/>
          <w:lang w:val="en-US" w:eastAsia="zh-CN" w:bidi="ar"/>
        </w:rPr>
        <w:t>.1变更估价原则</w:t>
      </w:r>
      <w:r>
        <w:rPr>
          <w:rFonts w:hint="eastAsia" w:ascii="宋体" w:hAnsi="宋体" w:eastAsia="宋体" w:cs="宋体"/>
          <w:color w:val="auto"/>
          <w:kern w:val="0"/>
          <w:sz w:val="21"/>
          <w:szCs w:val="24"/>
          <w:highlight w:val="none"/>
          <w:lang w:val="en-US" w:eastAsia="zh-CN" w:bidi="ar"/>
        </w:rPr>
        <w:t>。</w:t>
      </w:r>
    </w:p>
    <w:p w14:paraId="135C7426">
      <w:pPr>
        <w:pStyle w:val="4"/>
        <w:widowControl/>
        <w:ind w:left="0" w:firstLine="602"/>
        <w:rPr>
          <w:rFonts w:hint="eastAsia" w:ascii="宋体" w:hAnsi="宋体" w:eastAsia="宋体" w:cs="宋体"/>
          <w:color w:val="auto"/>
          <w:sz w:val="28"/>
          <w:szCs w:val="28"/>
          <w:highlight w:val="none"/>
          <w:lang w:val="en-US"/>
        </w:rPr>
      </w:pPr>
      <w:bookmarkStart w:id="192" w:name="_Toc389065268"/>
      <w:bookmarkStart w:id="193" w:name="_Toc351203634"/>
      <w:bookmarkStart w:id="194" w:name="_Toc373227702"/>
      <w:bookmarkStart w:id="195" w:name="_Toc407135204"/>
      <w:bookmarkStart w:id="196" w:name="_Toc373478349"/>
      <w:bookmarkStart w:id="197" w:name="_Toc487632701"/>
      <w:r>
        <w:rPr>
          <w:rFonts w:hint="eastAsia" w:ascii="宋体" w:hAnsi="宋体" w:eastAsia="宋体" w:cs="宋体"/>
          <w:color w:val="auto"/>
          <w:sz w:val="28"/>
          <w:szCs w:val="28"/>
          <w:highlight w:val="none"/>
          <w:lang w:val="en-US"/>
        </w:rPr>
        <w:t>2</w:t>
      </w:r>
      <w:bookmarkStart w:id="198" w:name="_Toc297048343"/>
      <w:bookmarkStart w:id="199" w:name="_Toc296347156"/>
      <w:bookmarkStart w:id="200" w:name="_Toc296890985"/>
      <w:bookmarkStart w:id="201" w:name="_Toc292559362"/>
      <w:bookmarkStart w:id="202" w:name="_Toc296891197"/>
      <w:bookmarkStart w:id="203" w:name="_Toc296346658"/>
      <w:bookmarkStart w:id="204" w:name="_Toc296503157"/>
      <w:bookmarkStart w:id="205" w:name="_Toc292559867"/>
      <w:bookmarkStart w:id="206" w:name="_Toc297120457"/>
      <w:bookmarkStart w:id="207" w:name="_Toc296944496"/>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eastAsia="zh-CN"/>
        </w:rPr>
        <w:t>发包人</w:t>
      </w:r>
      <w:bookmarkEnd w:id="192"/>
      <w:bookmarkEnd w:id="193"/>
      <w:bookmarkEnd w:id="194"/>
      <w:bookmarkEnd w:id="195"/>
      <w:bookmarkEnd w:id="196"/>
      <w:bookmarkEnd w:id="197"/>
    </w:p>
    <w:bookmarkEnd w:id="198"/>
    <w:bookmarkEnd w:id="199"/>
    <w:bookmarkEnd w:id="200"/>
    <w:bookmarkEnd w:id="201"/>
    <w:bookmarkEnd w:id="202"/>
    <w:bookmarkEnd w:id="203"/>
    <w:bookmarkEnd w:id="204"/>
    <w:bookmarkEnd w:id="205"/>
    <w:bookmarkEnd w:id="206"/>
    <w:bookmarkEnd w:id="207"/>
    <w:p w14:paraId="0090C6A9">
      <w:pPr>
        <w:pStyle w:val="5"/>
        <w:widowControl/>
        <w:ind w:left="0" w:firstLine="562"/>
        <w:rPr>
          <w:rFonts w:hint="eastAsia" w:ascii="宋体" w:hAnsi="宋体" w:eastAsia="宋体" w:cs="宋体"/>
          <w:color w:val="auto"/>
          <w:sz w:val="24"/>
          <w:szCs w:val="28"/>
          <w:highlight w:val="none"/>
          <w:lang w:val="en-US"/>
        </w:rPr>
      </w:pPr>
      <w:bookmarkStart w:id="208" w:name="_Toc373227703"/>
      <w:bookmarkStart w:id="209" w:name="_Toc407135205"/>
      <w:bookmarkStart w:id="210" w:name="_Toc389065269"/>
      <w:bookmarkStart w:id="211" w:name="_Toc487632702"/>
      <w:bookmarkStart w:id="212" w:name="_Toc373478350"/>
      <w:r>
        <w:rPr>
          <w:rFonts w:hint="eastAsia" w:ascii="宋体" w:hAnsi="宋体" w:eastAsia="宋体" w:cs="宋体"/>
          <w:color w:val="auto"/>
          <w:sz w:val="24"/>
          <w:szCs w:val="28"/>
          <w:highlight w:val="none"/>
          <w:lang w:val="en-US"/>
        </w:rPr>
        <w:t>2.1</w:t>
      </w:r>
      <w:r>
        <w:rPr>
          <w:rFonts w:hint="eastAsia" w:ascii="宋体" w:hAnsi="宋体" w:eastAsia="宋体" w:cs="宋体"/>
          <w:color w:val="auto"/>
          <w:sz w:val="24"/>
          <w:szCs w:val="28"/>
          <w:highlight w:val="none"/>
          <w:lang w:eastAsia="zh-CN"/>
        </w:rPr>
        <w:t>发包人代表</w:t>
      </w:r>
      <w:bookmarkEnd w:id="208"/>
      <w:bookmarkEnd w:id="209"/>
      <w:bookmarkEnd w:id="210"/>
      <w:bookmarkEnd w:id="211"/>
      <w:bookmarkEnd w:id="212"/>
    </w:p>
    <w:p w14:paraId="6D2D8F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发包人代表：</w:t>
      </w:r>
    </w:p>
    <w:p w14:paraId="1AD37DD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姓名：</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07D6AA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身份证号：</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0EE9C28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职务：</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0CB8AF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联系电话：</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6E2413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电子信箱：</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2AD271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通信地址：</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75AD027F">
      <w:pPr>
        <w:pStyle w:val="105"/>
        <w:widowControl/>
        <w:spacing w:line="360" w:lineRule="exact"/>
        <w:ind w:left="0" w:firstLine="420" w:firstLineChars="200"/>
        <w:rPr>
          <w:rFonts w:hint="eastAsia" w:ascii="宋体" w:hAnsi="宋体" w:eastAsia="宋体" w:cs="宋体"/>
          <w:color w:val="auto"/>
          <w:highlight w:val="none"/>
          <w:u w:val="single"/>
          <w:lang w:val="en-US"/>
        </w:rPr>
      </w:pPr>
      <w:bookmarkStart w:id="213" w:name="_Toc389065270"/>
      <w:bookmarkStart w:id="214" w:name="_Toc487632703"/>
      <w:bookmarkStart w:id="215" w:name="_Toc373478351"/>
      <w:bookmarkStart w:id="216" w:name="_Toc407135206"/>
      <w:bookmarkStart w:id="217" w:name="_Toc373227704"/>
      <w:r>
        <w:rPr>
          <w:rFonts w:hint="eastAsia" w:ascii="宋体" w:hAnsi="宋体" w:eastAsia="宋体" w:cs="宋体"/>
          <w:color w:val="auto"/>
          <w:highlight w:val="none"/>
          <w:lang w:eastAsia="zh-CN"/>
        </w:rPr>
        <w:t>发包人对发包人代表的授权范围如下：</w:t>
      </w:r>
      <w:r>
        <w:rPr>
          <w:rFonts w:hint="eastAsia" w:ascii="宋体" w:hAnsi="宋体" w:eastAsia="宋体" w:cs="宋体"/>
          <w:color w:val="auto"/>
          <w:highlight w:val="none"/>
          <w:u w:val="single"/>
          <w:lang w:eastAsia="zh-CN"/>
        </w:rPr>
        <w:t>除以下事项以外，发包人代表有权处理合同履行过程中与发包人有关的事宜：</w:t>
      </w:r>
    </w:p>
    <w:p w14:paraId="1AF418EF">
      <w:pPr>
        <w:pStyle w:val="105"/>
        <w:widowControl/>
        <w:spacing w:line="360" w:lineRule="exact"/>
        <w:ind w:left="0" w:firstLine="42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lang w:eastAsia="zh-CN"/>
        </w:rPr>
        <w:t>）发布暂停施工命令</w:t>
      </w:r>
    </w:p>
    <w:p w14:paraId="26C63171">
      <w:pPr>
        <w:pStyle w:val="105"/>
        <w:widowControl/>
        <w:spacing w:line="360" w:lineRule="exact"/>
        <w:ind w:left="0" w:firstLine="42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lang w:eastAsia="zh-CN"/>
        </w:rPr>
        <w:t>）同意组织竣工验收</w:t>
      </w:r>
    </w:p>
    <w:p w14:paraId="6F3127F0">
      <w:pPr>
        <w:pStyle w:val="105"/>
        <w:widowControl/>
        <w:spacing w:line="360" w:lineRule="exact"/>
        <w:ind w:left="0" w:firstLine="42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lang w:eastAsia="zh-CN"/>
        </w:rPr>
        <w:t>）签认竣工付款证书</w:t>
      </w:r>
    </w:p>
    <w:p w14:paraId="32612EA1">
      <w:pPr>
        <w:pStyle w:val="105"/>
        <w:widowControl/>
        <w:spacing w:line="360" w:lineRule="exact"/>
        <w:ind w:left="0" w:firstLine="42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lang w:eastAsia="zh-CN"/>
        </w:rPr>
        <w:t>）签发工程接收证书</w:t>
      </w:r>
    </w:p>
    <w:p w14:paraId="26BC779D">
      <w:pPr>
        <w:pStyle w:val="105"/>
        <w:widowControl/>
        <w:spacing w:line="360" w:lineRule="exact"/>
        <w:ind w:left="0" w:firstLine="42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lang w:eastAsia="zh-CN"/>
        </w:rPr>
        <w:t>）签发缺陷责任终止证书</w:t>
      </w:r>
    </w:p>
    <w:p w14:paraId="64F27E49">
      <w:pPr>
        <w:pStyle w:val="105"/>
        <w:widowControl/>
        <w:spacing w:line="360" w:lineRule="exact"/>
        <w:ind w:left="0" w:firstLine="420" w:firstLineChars="200"/>
        <w:rPr>
          <w:rFonts w:hint="eastAsia" w:ascii="宋体" w:hAnsi="宋体" w:eastAsia="宋体" w:cs="宋体"/>
          <w:color w:val="auto"/>
          <w:sz w:val="24"/>
          <w:szCs w:val="21"/>
          <w:highlight w:val="none"/>
          <w:u w:val="single"/>
          <w:lang w:val="en-US"/>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lang w:eastAsia="zh-CN"/>
        </w:rPr>
        <w:t>）签发最终结清证书。</w:t>
      </w:r>
    </w:p>
    <w:p w14:paraId="3D350BD6">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2.2</w:t>
      </w:r>
      <w:r>
        <w:rPr>
          <w:rFonts w:hint="eastAsia" w:ascii="宋体" w:hAnsi="宋体" w:eastAsia="宋体" w:cs="宋体"/>
          <w:color w:val="auto"/>
          <w:sz w:val="24"/>
          <w:szCs w:val="28"/>
          <w:highlight w:val="none"/>
          <w:lang w:eastAsia="zh-CN"/>
        </w:rPr>
        <w:t>施工现场、施工条件和基础资料的提供</w:t>
      </w:r>
      <w:bookmarkEnd w:id="213"/>
      <w:bookmarkEnd w:id="214"/>
      <w:bookmarkEnd w:id="215"/>
      <w:bookmarkEnd w:id="216"/>
      <w:bookmarkEnd w:id="217"/>
    </w:p>
    <w:p w14:paraId="2A2E6CD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2.2.1提供施工现场</w:t>
      </w:r>
    </w:p>
    <w:p w14:paraId="583BF32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关于发包人移交施工现场的期限要求：</w:t>
      </w:r>
      <w:r>
        <w:rPr>
          <w:rFonts w:hint="eastAsia" w:ascii="宋体" w:hAnsi="宋体" w:eastAsia="宋体" w:cs="宋体"/>
          <w:color w:val="auto"/>
          <w:kern w:val="2"/>
          <w:sz w:val="21"/>
          <w:szCs w:val="24"/>
          <w:highlight w:val="none"/>
          <w:u w:val="single"/>
          <w:lang w:val="en-US" w:eastAsia="zh-CN" w:bidi="ar"/>
        </w:rPr>
        <w:t>开工日期7天前</w:t>
      </w:r>
      <w:r>
        <w:rPr>
          <w:rFonts w:hint="eastAsia" w:ascii="宋体" w:hAnsi="宋体" w:eastAsia="宋体" w:cs="宋体"/>
          <w:color w:val="auto"/>
          <w:kern w:val="2"/>
          <w:sz w:val="21"/>
          <w:szCs w:val="24"/>
          <w:highlight w:val="none"/>
          <w:lang w:val="en-US" w:eastAsia="zh-CN" w:bidi="ar"/>
        </w:rPr>
        <w:t>。</w:t>
      </w:r>
    </w:p>
    <w:p w14:paraId="2585B30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2.2.2提供施工条件</w:t>
      </w:r>
    </w:p>
    <w:p w14:paraId="320D79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关于发包人应负责提供施工所需要的条件，包括：</w:t>
      </w:r>
      <w:r>
        <w:rPr>
          <w:rFonts w:hint="eastAsia" w:ascii="宋体" w:hAnsi="宋体" w:eastAsia="宋体" w:cs="宋体"/>
          <w:color w:val="auto"/>
          <w:kern w:val="2"/>
          <w:sz w:val="21"/>
          <w:szCs w:val="24"/>
          <w:highlight w:val="none"/>
          <w:u w:val="single"/>
          <w:lang w:val="en-US" w:eastAsia="zh-CN" w:bidi="ar"/>
        </w:rPr>
        <w:t>发包人在开工前协调施工所需的水、电等。承包人负责其所需的水、电等施工管线的铺设，费用由承包人承担，施工用水、电费由承包人按规定向供水、电部门交纳。发包人提供的临时施工用的总水表及总电表箱在交给承包人正常使用后，由承包人负责对总水表及总电表箱进行维护及保管，如由于总水表及总电表箱属正常损耗或施工不当造成需要更换或维修的由承包人负责；如由于临时施工用水总水管及临时施工用电变压器的容量不能满足施工要求的，承包人应及时通知发包人提出进行增容安装，发包人负责增容安装；但临时施工用水供到各幢楼后的水压力不能满足施工要求的，经供水部门确认需要二次加压后才能使用的，由承包人自行负责解决</w:t>
      </w:r>
      <w:r>
        <w:rPr>
          <w:rFonts w:hint="eastAsia" w:ascii="宋体" w:hAnsi="宋体" w:eastAsia="宋体" w:cs="宋体"/>
          <w:color w:val="auto"/>
          <w:kern w:val="2"/>
          <w:sz w:val="21"/>
          <w:szCs w:val="24"/>
          <w:highlight w:val="none"/>
          <w:lang w:val="en-US" w:eastAsia="zh-CN" w:bidi="ar"/>
        </w:rPr>
        <w:t>。</w:t>
      </w:r>
    </w:p>
    <w:p w14:paraId="59100274">
      <w:pPr>
        <w:pStyle w:val="5"/>
        <w:widowControl/>
        <w:ind w:left="0" w:firstLine="562"/>
        <w:rPr>
          <w:rFonts w:hint="eastAsia" w:ascii="宋体" w:hAnsi="宋体" w:eastAsia="宋体" w:cs="宋体"/>
          <w:color w:val="auto"/>
          <w:sz w:val="24"/>
          <w:szCs w:val="28"/>
          <w:highlight w:val="none"/>
          <w:lang w:val="en-US"/>
        </w:rPr>
      </w:pPr>
      <w:bookmarkStart w:id="218" w:name="_Toc373227705"/>
      <w:bookmarkStart w:id="219" w:name="_Toc389065271"/>
      <w:bookmarkStart w:id="220" w:name="_Toc407135207"/>
      <w:bookmarkStart w:id="221" w:name="_Toc487632704"/>
      <w:bookmarkStart w:id="222" w:name="_Toc373478352"/>
      <w:r>
        <w:rPr>
          <w:rFonts w:hint="eastAsia" w:ascii="宋体" w:hAnsi="宋体" w:eastAsia="宋体" w:cs="宋体"/>
          <w:color w:val="auto"/>
          <w:sz w:val="24"/>
          <w:szCs w:val="28"/>
          <w:highlight w:val="none"/>
          <w:lang w:val="en-US"/>
        </w:rPr>
        <w:t>2.3</w:t>
      </w:r>
      <w:r>
        <w:rPr>
          <w:rFonts w:hint="eastAsia" w:ascii="宋体" w:hAnsi="宋体" w:eastAsia="宋体" w:cs="宋体"/>
          <w:color w:val="auto"/>
          <w:sz w:val="24"/>
          <w:szCs w:val="28"/>
          <w:highlight w:val="none"/>
          <w:lang w:eastAsia="zh-CN"/>
        </w:rPr>
        <w:t>资金来源证明及支付担保</w:t>
      </w:r>
      <w:bookmarkEnd w:id="218"/>
      <w:bookmarkEnd w:id="219"/>
      <w:bookmarkEnd w:id="220"/>
      <w:bookmarkEnd w:id="221"/>
      <w:bookmarkEnd w:id="222"/>
    </w:p>
    <w:p w14:paraId="07194A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发包人提供资金来源证明的期限要求：</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0403D26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发包人是否提供支付担保：</w:t>
      </w:r>
      <w:r>
        <w:rPr>
          <w:rFonts w:hint="eastAsia" w:ascii="宋体" w:hAnsi="宋体" w:eastAsia="宋体" w:cs="宋体"/>
          <w:color w:val="auto"/>
          <w:kern w:val="2"/>
          <w:sz w:val="21"/>
          <w:szCs w:val="24"/>
          <w:highlight w:val="none"/>
          <w:u w:val="single"/>
          <w:lang w:val="en-US" w:eastAsia="zh-CN" w:bidi="ar"/>
        </w:rPr>
        <w:t>否</w:t>
      </w:r>
      <w:r>
        <w:rPr>
          <w:rFonts w:hint="eastAsia" w:ascii="宋体" w:hAnsi="宋体" w:eastAsia="宋体" w:cs="宋体"/>
          <w:color w:val="auto"/>
          <w:kern w:val="2"/>
          <w:sz w:val="21"/>
          <w:szCs w:val="24"/>
          <w:highlight w:val="none"/>
          <w:lang w:val="en-US" w:eastAsia="zh-CN" w:bidi="ar"/>
        </w:rPr>
        <w:t>。</w:t>
      </w:r>
    </w:p>
    <w:p w14:paraId="2BDE7C7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发包人提供支付担保的形式：</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3206462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发包人提供的支付担保格式见合同附件2。</w:t>
      </w:r>
    </w:p>
    <w:p w14:paraId="5FC57550">
      <w:pPr>
        <w:pStyle w:val="4"/>
        <w:widowControl/>
        <w:ind w:left="0" w:firstLine="602"/>
        <w:rPr>
          <w:rFonts w:hint="eastAsia" w:ascii="宋体" w:hAnsi="宋体" w:eastAsia="宋体" w:cs="宋体"/>
          <w:color w:val="auto"/>
          <w:sz w:val="28"/>
          <w:szCs w:val="28"/>
          <w:highlight w:val="none"/>
          <w:lang w:val="en-US"/>
        </w:rPr>
      </w:pPr>
      <w:bookmarkStart w:id="223" w:name="_Toc407135208"/>
      <w:bookmarkStart w:id="224" w:name="_Toc389065272"/>
      <w:bookmarkStart w:id="225" w:name="_Toc373227706"/>
      <w:bookmarkStart w:id="226" w:name="_Toc351203635"/>
      <w:bookmarkStart w:id="227" w:name="_Toc487632705"/>
      <w:bookmarkStart w:id="228" w:name="_Toc373478353"/>
      <w:r>
        <w:rPr>
          <w:rFonts w:hint="eastAsia" w:ascii="宋体" w:hAnsi="宋体" w:eastAsia="宋体" w:cs="宋体"/>
          <w:color w:val="auto"/>
          <w:sz w:val="28"/>
          <w:szCs w:val="28"/>
          <w:highlight w:val="none"/>
          <w:lang w:val="en-US"/>
        </w:rPr>
        <w:t>3</w:t>
      </w:r>
      <w:bookmarkStart w:id="229" w:name="_Toc297048344"/>
      <w:bookmarkStart w:id="230" w:name="_Toc296503158"/>
      <w:bookmarkStart w:id="231" w:name="_Toc296891198"/>
      <w:bookmarkStart w:id="232" w:name="_Toc292559868"/>
      <w:bookmarkStart w:id="233" w:name="_Toc296346659"/>
      <w:bookmarkStart w:id="234" w:name="_Toc296347157"/>
      <w:bookmarkStart w:id="235" w:name="_Toc297120458"/>
      <w:bookmarkStart w:id="236" w:name="_Toc292559363"/>
      <w:bookmarkStart w:id="237" w:name="_Toc296944497"/>
      <w:bookmarkStart w:id="238" w:name="_Toc296890986"/>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eastAsia="zh-CN"/>
        </w:rPr>
        <w:t>承包人</w:t>
      </w:r>
      <w:bookmarkEnd w:id="223"/>
      <w:bookmarkEnd w:id="224"/>
      <w:bookmarkEnd w:id="225"/>
      <w:bookmarkEnd w:id="226"/>
      <w:bookmarkEnd w:id="227"/>
      <w:bookmarkEnd w:id="228"/>
    </w:p>
    <w:bookmarkEnd w:id="229"/>
    <w:bookmarkEnd w:id="230"/>
    <w:bookmarkEnd w:id="231"/>
    <w:bookmarkEnd w:id="232"/>
    <w:bookmarkEnd w:id="233"/>
    <w:bookmarkEnd w:id="234"/>
    <w:bookmarkEnd w:id="235"/>
    <w:bookmarkEnd w:id="236"/>
    <w:bookmarkEnd w:id="237"/>
    <w:bookmarkEnd w:id="238"/>
    <w:p w14:paraId="13A407BA">
      <w:pPr>
        <w:pStyle w:val="5"/>
        <w:widowControl/>
        <w:ind w:left="0" w:firstLine="562"/>
        <w:rPr>
          <w:rFonts w:hint="eastAsia" w:ascii="宋体" w:hAnsi="宋体" w:eastAsia="宋体" w:cs="宋体"/>
          <w:color w:val="auto"/>
          <w:sz w:val="24"/>
          <w:szCs w:val="28"/>
          <w:highlight w:val="none"/>
          <w:lang w:val="en-US"/>
        </w:rPr>
      </w:pPr>
      <w:bookmarkStart w:id="239" w:name="_Toc407135209"/>
      <w:bookmarkStart w:id="240" w:name="_Toc487632706"/>
      <w:bookmarkStart w:id="241" w:name="_Toc373227707"/>
      <w:bookmarkStart w:id="242" w:name="_Toc373478354"/>
      <w:bookmarkStart w:id="243" w:name="_Toc389065273"/>
      <w:r>
        <w:rPr>
          <w:rFonts w:hint="eastAsia" w:ascii="宋体" w:hAnsi="宋体" w:eastAsia="宋体" w:cs="宋体"/>
          <w:color w:val="auto"/>
          <w:sz w:val="24"/>
          <w:szCs w:val="28"/>
          <w:highlight w:val="none"/>
          <w:lang w:val="en-US"/>
        </w:rPr>
        <w:t>3.1</w:t>
      </w:r>
      <w:r>
        <w:rPr>
          <w:rFonts w:hint="eastAsia" w:ascii="宋体" w:hAnsi="宋体" w:eastAsia="宋体" w:cs="宋体"/>
          <w:color w:val="auto"/>
          <w:sz w:val="24"/>
          <w:szCs w:val="28"/>
          <w:highlight w:val="none"/>
          <w:lang w:eastAsia="zh-CN"/>
        </w:rPr>
        <w:t>承包人的一般义务</w:t>
      </w:r>
      <w:bookmarkEnd w:id="239"/>
      <w:bookmarkEnd w:id="240"/>
      <w:bookmarkEnd w:id="241"/>
      <w:bookmarkEnd w:id="242"/>
      <w:bookmarkEnd w:id="243"/>
    </w:p>
    <w:p w14:paraId="2B3FD5F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bookmarkStart w:id="244" w:name="_Toc487632707"/>
      <w:bookmarkStart w:id="245" w:name="_Toc389065274"/>
      <w:bookmarkStart w:id="246" w:name="_Toc407135210"/>
      <w:bookmarkStart w:id="247" w:name="_Toc373478355"/>
      <w:bookmarkStart w:id="248" w:name="_Toc373227708"/>
      <w:r>
        <w:rPr>
          <w:rFonts w:hint="eastAsia" w:ascii="宋体" w:hAnsi="宋体" w:eastAsia="宋体" w:cs="宋体"/>
          <w:color w:val="auto"/>
          <w:kern w:val="2"/>
          <w:sz w:val="21"/>
          <w:szCs w:val="24"/>
          <w:highlight w:val="none"/>
          <w:u w:val="single"/>
          <w:lang w:val="en-US" w:eastAsia="zh-CN" w:bidi="ar"/>
        </w:rPr>
        <w:t>按照现行的建设工程文件归档规范，符合竣工验收要求的竣工图、施工管理资料、施工技术资料、检验（测）资料、评定（价）资料及国家、地方规定的其他资料</w:t>
      </w:r>
      <w:r>
        <w:rPr>
          <w:rFonts w:hint="eastAsia" w:ascii="宋体" w:hAnsi="宋体" w:eastAsia="宋体" w:cs="宋体"/>
          <w:color w:val="auto"/>
          <w:kern w:val="2"/>
          <w:sz w:val="21"/>
          <w:szCs w:val="24"/>
          <w:highlight w:val="none"/>
          <w:lang w:val="en-US" w:eastAsia="zh-CN" w:bidi="ar"/>
        </w:rPr>
        <w:t>。</w:t>
      </w:r>
    </w:p>
    <w:p w14:paraId="05B0D0C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承包人需要提交的竣工资料套数：</w:t>
      </w:r>
      <w:r>
        <w:rPr>
          <w:rFonts w:hint="eastAsia" w:ascii="宋体" w:hAnsi="宋体" w:eastAsia="宋体" w:cs="宋体"/>
          <w:color w:val="auto"/>
          <w:kern w:val="2"/>
          <w:sz w:val="21"/>
          <w:szCs w:val="24"/>
          <w:highlight w:val="none"/>
          <w:u w:val="single"/>
          <w:lang w:val="en-US" w:eastAsia="zh-CN" w:bidi="ar"/>
        </w:rPr>
        <w:t>5套</w:t>
      </w:r>
      <w:r>
        <w:rPr>
          <w:rFonts w:hint="eastAsia" w:ascii="宋体" w:hAnsi="宋体" w:eastAsia="宋体" w:cs="宋体"/>
          <w:color w:val="auto"/>
          <w:kern w:val="2"/>
          <w:sz w:val="21"/>
          <w:szCs w:val="24"/>
          <w:highlight w:val="none"/>
          <w:lang w:val="en-US" w:eastAsia="zh-CN" w:bidi="ar"/>
        </w:rPr>
        <w:t>。</w:t>
      </w:r>
    </w:p>
    <w:p w14:paraId="0E6B8AC7">
      <w:pPr>
        <w:keepNext w:val="0"/>
        <w:keepLines w:val="0"/>
        <w:widowControl w:val="0"/>
        <w:suppressLineNumbers w:val="0"/>
        <w:spacing w:before="0" w:beforeAutospacing="0" w:after="0" w:afterAutospacing="0" w:line="360" w:lineRule="auto"/>
        <w:ind w:left="424" w:leftChars="202"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承包人提交的竣工资料的费用承担：</w:t>
      </w:r>
      <w:r>
        <w:rPr>
          <w:rFonts w:hint="eastAsia" w:ascii="宋体" w:hAnsi="宋体" w:eastAsia="宋体" w:cs="宋体"/>
          <w:color w:val="auto"/>
          <w:kern w:val="2"/>
          <w:sz w:val="21"/>
          <w:szCs w:val="24"/>
          <w:highlight w:val="none"/>
          <w:u w:val="single"/>
          <w:lang w:val="en-US" w:eastAsia="zh-CN" w:bidi="ar"/>
        </w:rPr>
        <w:t>承包人承担</w:t>
      </w:r>
      <w:r>
        <w:rPr>
          <w:rFonts w:hint="eastAsia" w:ascii="宋体" w:hAnsi="宋体" w:eastAsia="宋体" w:cs="宋体"/>
          <w:color w:val="auto"/>
          <w:kern w:val="2"/>
          <w:sz w:val="21"/>
          <w:szCs w:val="24"/>
          <w:highlight w:val="none"/>
          <w:lang w:val="en-US" w:eastAsia="zh-CN" w:bidi="ar"/>
        </w:rPr>
        <w:t>。</w:t>
      </w:r>
    </w:p>
    <w:p w14:paraId="552725D5">
      <w:pPr>
        <w:keepNext w:val="0"/>
        <w:keepLines w:val="0"/>
        <w:widowControl w:val="0"/>
        <w:suppressLineNumbers w:val="0"/>
        <w:spacing w:before="0" w:beforeAutospacing="0" w:after="0" w:afterAutospacing="0" w:line="360" w:lineRule="auto"/>
        <w:ind w:left="424" w:leftChars="202"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承包人提交的竣工资料移交时间：</w:t>
      </w:r>
      <w:r>
        <w:rPr>
          <w:rFonts w:hint="eastAsia" w:ascii="宋体" w:hAnsi="宋体" w:eastAsia="宋体" w:cs="宋体"/>
          <w:color w:val="auto"/>
          <w:kern w:val="2"/>
          <w:sz w:val="21"/>
          <w:szCs w:val="24"/>
          <w:highlight w:val="none"/>
          <w:u w:val="single"/>
          <w:lang w:val="en-US" w:eastAsia="zh-CN" w:bidi="ar"/>
        </w:rPr>
        <w:t>工程竣工验收合格后7日内</w:t>
      </w:r>
      <w:r>
        <w:rPr>
          <w:rFonts w:hint="eastAsia" w:ascii="宋体" w:hAnsi="宋体" w:eastAsia="宋体" w:cs="宋体"/>
          <w:color w:val="auto"/>
          <w:kern w:val="2"/>
          <w:sz w:val="21"/>
          <w:szCs w:val="24"/>
          <w:highlight w:val="none"/>
          <w:lang w:val="en-US" w:eastAsia="zh-CN" w:bidi="ar"/>
        </w:rPr>
        <w:t>。</w:t>
      </w:r>
    </w:p>
    <w:p w14:paraId="1983950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承包人提交的竣工资料形式要求：</w:t>
      </w:r>
      <w:r>
        <w:rPr>
          <w:rFonts w:hint="eastAsia" w:ascii="宋体" w:hAnsi="宋体" w:eastAsia="宋体" w:cs="宋体"/>
          <w:color w:val="auto"/>
          <w:kern w:val="2"/>
          <w:sz w:val="21"/>
          <w:szCs w:val="24"/>
          <w:highlight w:val="none"/>
          <w:u w:val="single"/>
          <w:lang w:val="en-US" w:eastAsia="zh-CN" w:bidi="ar"/>
        </w:rPr>
        <w:t>纸质4套，电子扫描件文档1套</w:t>
      </w:r>
      <w:r>
        <w:rPr>
          <w:rFonts w:hint="eastAsia" w:ascii="宋体" w:hAnsi="宋体" w:eastAsia="宋体" w:cs="宋体"/>
          <w:color w:val="auto"/>
          <w:kern w:val="2"/>
          <w:sz w:val="21"/>
          <w:szCs w:val="24"/>
          <w:highlight w:val="none"/>
          <w:lang w:val="en-US" w:eastAsia="zh-CN" w:bidi="ar"/>
        </w:rPr>
        <w:t>。</w:t>
      </w:r>
    </w:p>
    <w:p w14:paraId="0871825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（10）承包人应履行的其他义务：</w:t>
      </w:r>
      <w:r>
        <w:rPr>
          <w:rFonts w:hint="eastAsia" w:ascii="宋体" w:hAnsi="宋体" w:eastAsia="宋体" w:cs="宋体"/>
          <w:color w:val="auto"/>
          <w:kern w:val="0"/>
          <w:sz w:val="21"/>
          <w:szCs w:val="24"/>
          <w:highlight w:val="none"/>
          <w:u w:val="single"/>
          <w:lang w:val="en-US" w:eastAsia="zh-CN" w:bidi="ar"/>
        </w:rPr>
        <w:t>严格执行建筑节能相关法律法规，在施工过程中节约资源，杜绝浪费</w:t>
      </w:r>
      <w:r>
        <w:rPr>
          <w:rFonts w:hint="eastAsia" w:ascii="宋体" w:hAnsi="宋体" w:eastAsia="宋体" w:cs="宋体"/>
          <w:color w:val="auto"/>
          <w:kern w:val="0"/>
          <w:sz w:val="21"/>
          <w:szCs w:val="24"/>
          <w:highlight w:val="none"/>
          <w:lang w:val="en-US" w:eastAsia="zh-CN" w:bidi="ar"/>
        </w:rPr>
        <w:t>。</w:t>
      </w:r>
    </w:p>
    <w:p w14:paraId="754F0236">
      <w:pPr>
        <w:pStyle w:val="5"/>
        <w:widowControl/>
        <w:ind w:left="0" w:firstLine="562"/>
        <w:rPr>
          <w:rFonts w:hint="default"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3.2</w:t>
      </w:r>
      <w:r>
        <w:rPr>
          <w:rFonts w:hint="eastAsia" w:ascii="宋体" w:hAnsi="宋体" w:eastAsia="宋体" w:cs="宋体"/>
          <w:color w:val="auto"/>
          <w:sz w:val="24"/>
          <w:szCs w:val="28"/>
          <w:highlight w:val="none"/>
          <w:lang w:eastAsia="zh-CN"/>
        </w:rPr>
        <w:t>项目经理</w:t>
      </w:r>
      <w:bookmarkEnd w:id="244"/>
      <w:bookmarkEnd w:id="245"/>
      <w:bookmarkEnd w:id="246"/>
      <w:bookmarkEnd w:id="247"/>
      <w:bookmarkEnd w:id="248"/>
      <w:r>
        <w:rPr>
          <w:rFonts w:hint="eastAsia" w:ascii="宋体" w:hAnsi="宋体" w:cs="宋体"/>
          <w:color w:val="auto"/>
          <w:sz w:val="24"/>
          <w:szCs w:val="28"/>
          <w:highlight w:val="none"/>
          <w:lang w:val="en-US" w:eastAsia="zh-CN"/>
        </w:rPr>
        <w:t xml:space="preserve">  </w:t>
      </w:r>
    </w:p>
    <w:p w14:paraId="069098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4"/>
          <w:highlight w:val="none"/>
          <w:lang w:val="en-US" w:eastAsia="zh-CN" w:bidi="ar"/>
        </w:rPr>
        <w:t>3.2.1</w:t>
      </w:r>
      <w:r>
        <w:rPr>
          <w:rFonts w:hint="eastAsia" w:ascii="宋体" w:hAnsi="宋体" w:eastAsia="宋体" w:cs="宋体"/>
          <w:color w:val="auto"/>
          <w:kern w:val="2"/>
          <w:sz w:val="21"/>
          <w:szCs w:val="24"/>
          <w:highlight w:val="none"/>
          <w:lang w:val="en-US" w:eastAsia="zh-CN" w:bidi="ar"/>
        </w:rPr>
        <w:t>项目经理：</w:t>
      </w:r>
    </w:p>
    <w:p w14:paraId="2CFDA1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姓名：</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3C1BE4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身份证号：</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2FAD5D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建造师执业资格等级：</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6CB5C3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建造师注册证书号：</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466457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建造师执业印章号：</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5B0AA06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安全生产考核合格证书号：</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552ABF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联系电话：</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5ECC43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电子信箱：</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690535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通信地址：</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25E9C10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承包人对项目经理的授权范围如下：</w:t>
      </w:r>
      <w:r>
        <w:rPr>
          <w:rFonts w:hint="eastAsia" w:ascii="宋体" w:hAnsi="宋体" w:eastAsia="宋体" w:cs="宋体"/>
          <w:color w:val="auto"/>
          <w:kern w:val="2"/>
          <w:sz w:val="21"/>
          <w:szCs w:val="24"/>
          <w:highlight w:val="none"/>
          <w:u w:val="single"/>
          <w:lang w:val="en-US" w:eastAsia="zh-CN" w:bidi="ar"/>
        </w:rPr>
        <w:t>项目经理经承包人授权后代表承包人负责履行合同，但是下列事项必须经承包人同意，并加盖承包人单位公章方为有效：</w:t>
      </w:r>
    </w:p>
    <w:p w14:paraId="7872CE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1）与本工程相关的任何补充协议的签订；</w:t>
      </w:r>
    </w:p>
    <w:p w14:paraId="58EDC98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2）与本工程相关的任何分包合同、采购合同、聘任合同的签订：</w:t>
      </w:r>
    </w:p>
    <w:p w14:paraId="2F16F6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3）同意涉及合同价款变化超过1万元或合同工期变化超过3天的变更指示；</w:t>
      </w:r>
    </w:p>
    <w:p w14:paraId="3E6EE6A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4）进度款支付申请；</w:t>
      </w:r>
    </w:p>
    <w:p w14:paraId="4594C5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5）竣工验收申请；</w:t>
      </w:r>
    </w:p>
    <w:p w14:paraId="51654C1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u w:val="single"/>
          <w:lang w:val="en-US" w:eastAsia="zh-CN" w:bidi="ar"/>
        </w:rPr>
        <w:t>6）最终结清申请单</w:t>
      </w:r>
      <w:r>
        <w:rPr>
          <w:rFonts w:hint="eastAsia" w:ascii="宋体" w:hAnsi="宋体" w:eastAsia="宋体" w:cs="宋体"/>
          <w:color w:val="auto"/>
          <w:kern w:val="2"/>
          <w:sz w:val="21"/>
          <w:szCs w:val="24"/>
          <w:highlight w:val="none"/>
          <w:lang w:val="en-US" w:eastAsia="zh-CN" w:bidi="ar"/>
        </w:rPr>
        <w:t>。</w:t>
      </w:r>
    </w:p>
    <w:p w14:paraId="0751206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关于项目经理在施工现场的时间要求：</w:t>
      </w:r>
      <w:r>
        <w:rPr>
          <w:rFonts w:hint="eastAsia" w:ascii="宋体" w:hAnsi="宋体" w:eastAsia="宋体" w:cs="宋体"/>
          <w:color w:val="auto"/>
          <w:kern w:val="2"/>
          <w:sz w:val="21"/>
          <w:szCs w:val="24"/>
          <w:highlight w:val="none"/>
          <w:u w:val="single"/>
          <w:lang w:val="en-US" w:eastAsia="zh-CN" w:bidi="ar"/>
        </w:rPr>
        <w:t>22天</w:t>
      </w:r>
      <w:r>
        <w:rPr>
          <w:rFonts w:hint="eastAsia" w:ascii="宋体" w:hAnsi="宋体" w:eastAsia="宋体" w:cs="宋体"/>
          <w:color w:val="auto"/>
          <w:kern w:val="2"/>
          <w:sz w:val="21"/>
          <w:szCs w:val="24"/>
          <w:highlight w:val="none"/>
          <w:lang w:val="en-US" w:eastAsia="zh-CN" w:bidi="ar"/>
        </w:rPr>
        <w:t>。</w:t>
      </w:r>
    </w:p>
    <w:p w14:paraId="597B21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2"/>
          <w:sz w:val="21"/>
          <w:szCs w:val="24"/>
          <w:highlight w:val="none"/>
          <w:lang w:val="en-US" w:eastAsia="zh-CN" w:bidi="ar"/>
        </w:rPr>
        <w:t>3.2.2</w:t>
      </w:r>
      <w:r>
        <w:rPr>
          <w:rFonts w:hint="eastAsia" w:ascii="宋体" w:hAnsi="宋体" w:eastAsia="宋体" w:cs="宋体"/>
          <w:color w:val="auto"/>
          <w:kern w:val="0"/>
          <w:sz w:val="21"/>
          <w:szCs w:val="24"/>
          <w:highlight w:val="none"/>
          <w:lang w:val="en-US" w:eastAsia="zh-CN" w:bidi="ar"/>
        </w:rPr>
        <w:t>承包人未提交劳动合同，以及没有为项目经理缴纳社会保险证明的违约责任：</w:t>
      </w:r>
      <w:r>
        <w:rPr>
          <w:rFonts w:hint="eastAsia" w:ascii="宋体" w:hAnsi="宋体" w:eastAsia="宋体" w:cs="宋体"/>
          <w:color w:val="auto"/>
          <w:kern w:val="2"/>
          <w:sz w:val="21"/>
          <w:szCs w:val="24"/>
          <w:highlight w:val="none"/>
          <w:u w:val="single"/>
          <w:lang w:val="en-US" w:eastAsia="zh-CN" w:bidi="ar"/>
        </w:rPr>
        <w:t>监理人限期承包人在收到提交要求后3日内补交，并承担违约金1000元；3日内不能补交的，发包人有权要求承包人更换项目经理，并承担违约金10000元。由此增加的费用和（或）延误的工期由承包人承担</w:t>
      </w:r>
      <w:r>
        <w:rPr>
          <w:rFonts w:hint="eastAsia" w:ascii="宋体" w:hAnsi="宋体" w:eastAsia="宋体" w:cs="宋体"/>
          <w:color w:val="auto"/>
          <w:kern w:val="2"/>
          <w:sz w:val="21"/>
          <w:szCs w:val="24"/>
          <w:highlight w:val="none"/>
          <w:lang w:val="en-US" w:eastAsia="zh-CN" w:bidi="ar"/>
        </w:rPr>
        <w:t>。</w:t>
      </w:r>
    </w:p>
    <w:p w14:paraId="33E7D1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4"/>
          <w:highlight w:val="none"/>
          <w:lang w:val="en-US" w:eastAsia="zh-CN" w:bidi="ar"/>
        </w:rPr>
        <w:t>项目经理未经批准，擅自离开施工现场的违约责任：</w:t>
      </w:r>
      <w:r>
        <w:rPr>
          <w:rFonts w:hint="eastAsia" w:ascii="宋体" w:hAnsi="宋体" w:eastAsia="宋体" w:cs="宋体"/>
          <w:color w:val="auto"/>
          <w:kern w:val="2"/>
          <w:sz w:val="21"/>
          <w:szCs w:val="24"/>
          <w:highlight w:val="none"/>
          <w:u w:val="single"/>
          <w:lang w:val="en-US" w:eastAsia="zh-CN" w:bidi="ar"/>
        </w:rPr>
        <w:t>项目经理每月在岗带班时间不得少于当月施工时间的80%。未经发包人同意或正当理由，项目经理每月在岗带班时间少于当月施工时间80%的，少在岗带班一天，发包人有权处违约金1000元/日（人民币）</w:t>
      </w:r>
      <w:r>
        <w:rPr>
          <w:rFonts w:hint="eastAsia" w:ascii="宋体" w:hAnsi="宋体" w:eastAsia="宋体" w:cs="宋体"/>
          <w:color w:val="auto"/>
          <w:kern w:val="2"/>
          <w:sz w:val="21"/>
          <w:szCs w:val="24"/>
          <w:highlight w:val="none"/>
          <w:lang w:val="en-US" w:eastAsia="zh-CN" w:bidi="ar"/>
        </w:rPr>
        <w:t>。</w:t>
      </w:r>
    </w:p>
    <w:p w14:paraId="0E6366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3.2.3承包人擅自更换项目经理的违约责任：</w:t>
      </w:r>
      <w:r>
        <w:rPr>
          <w:rFonts w:hint="eastAsia" w:ascii="宋体" w:hAnsi="宋体" w:eastAsia="宋体" w:cs="宋体"/>
          <w:color w:val="auto"/>
          <w:kern w:val="2"/>
          <w:sz w:val="21"/>
          <w:szCs w:val="24"/>
          <w:highlight w:val="none"/>
          <w:u w:val="single"/>
          <w:lang w:val="en-US" w:eastAsia="zh-CN" w:bidi="ar"/>
        </w:rPr>
        <w:t>承包人项目经理必须与承包人投标时所承诺的人员一致，并在（开工日期）前到任。在监理人向承包人颁发（竣工证明材料名称）前，项目经理不得同时兼任其他任何项目的项目经理</w:t>
      </w:r>
      <w:r>
        <w:rPr>
          <w:rFonts w:hint="eastAsia" w:ascii="宋体" w:hAnsi="宋体" w:eastAsia="宋体" w:cs="宋体"/>
          <w:color w:val="auto"/>
          <w:kern w:val="0"/>
          <w:sz w:val="21"/>
          <w:szCs w:val="24"/>
          <w:highlight w:val="none"/>
          <w:u w:val="single"/>
          <w:lang w:val="en-US" w:eastAsia="zh-CN" w:bidi="ar"/>
        </w:rPr>
        <w:t>（符合桂建管</w:t>
      </w:r>
      <w:r>
        <w:rPr>
          <w:rFonts w:hint="eastAsia" w:ascii="宋体" w:hAnsi="宋体" w:eastAsia="宋体" w:cs="宋体"/>
          <w:color w:val="auto"/>
          <w:kern w:val="2"/>
          <w:sz w:val="21"/>
          <w:szCs w:val="24"/>
          <w:highlight w:val="none"/>
          <w:u w:val="single"/>
          <w:lang w:val="en-US" w:eastAsia="zh-CN" w:bidi="ar"/>
        </w:rPr>
        <w:t>﹝2013﹞</w:t>
      </w:r>
      <w:r>
        <w:rPr>
          <w:rFonts w:hint="eastAsia" w:ascii="宋体" w:hAnsi="宋体" w:eastAsia="宋体" w:cs="宋体"/>
          <w:color w:val="auto"/>
          <w:kern w:val="0"/>
          <w:sz w:val="21"/>
          <w:szCs w:val="24"/>
          <w:highlight w:val="none"/>
          <w:u w:val="single"/>
          <w:lang w:val="en-US" w:eastAsia="zh-CN" w:bidi="ar"/>
        </w:rPr>
        <w:t>17号和</w:t>
      </w:r>
      <w:r>
        <w:rPr>
          <w:rFonts w:hint="eastAsia" w:ascii="宋体" w:hAnsi="宋体" w:eastAsia="宋体" w:cs="宋体"/>
          <w:color w:val="auto"/>
          <w:kern w:val="2"/>
          <w:sz w:val="21"/>
          <w:szCs w:val="24"/>
          <w:highlight w:val="none"/>
          <w:u w:val="single"/>
          <w:lang w:val="en-US" w:eastAsia="zh-CN" w:bidi="ar"/>
        </w:rPr>
        <w:t>桂建管﹝2014﹞25号</w:t>
      </w:r>
      <w:r>
        <w:rPr>
          <w:rFonts w:hint="eastAsia" w:ascii="宋体" w:hAnsi="宋体" w:eastAsia="宋体" w:cs="宋体"/>
          <w:color w:val="auto"/>
          <w:kern w:val="0"/>
          <w:sz w:val="21"/>
          <w:szCs w:val="24"/>
          <w:highlight w:val="none"/>
          <w:u w:val="single"/>
          <w:lang w:val="en-US" w:eastAsia="zh-CN" w:bidi="ar"/>
        </w:rPr>
        <w:t>文除外）</w:t>
      </w:r>
      <w:r>
        <w:rPr>
          <w:rFonts w:hint="eastAsia" w:ascii="宋体" w:hAnsi="宋体" w:eastAsia="宋体" w:cs="宋体"/>
          <w:color w:val="auto"/>
          <w:kern w:val="2"/>
          <w:sz w:val="21"/>
          <w:szCs w:val="24"/>
          <w:highlight w:val="none"/>
          <w:u w:val="single"/>
          <w:lang w:val="en-US" w:eastAsia="zh-CN" w:bidi="ar"/>
        </w:rPr>
        <w:t>。未经发包人书面同意，承包人擅自更换项目经理的视为违约，违约金处3000元/人•次（人民币）</w:t>
      </w:r>
      <w:r>
        <w:rPr>
          <w:rFonts w:hint="eastAsia" w:ascii="宋体" w:hAnsi="宋体" w:eastAsia="宋体" w:cs="宋体"/>
          <w:color w:val="auto"/>
          <w:kern w:val="2"/>
          <w:sz w:val="21"/>
          <w:szCs w:val="24"/>
          <w:highlight w:val="none"/>
          <w:lang w:val="en-US" w:eastAsia="zh-CN" w:bidi="ar"/>
        </w:rPr>
        <w:t>。</w:t>
      </w:r>
    </w:p>
    <w:p w14:paraId="031332E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3.2.4承包人无正当理由拒绝更换项目经理的违约责任：</w:t>
      </w:r>
      <w:r>
        <w:rPr>
          <w:rFonts w:hint="eastAsia" w:ascii="宋体" w:hAnsi="宋体" w:eastAsia="宋体" w:cs="宋体"/>
          <w:color w:val="auto"/>
          <w:kern w:val="2"/>
          <w:sz w:val="21"/>
          <w:szCs w:val="24"/>
          <w:highlight w:val="none"/>
          <w:u w:val="single"/>
          <w:lang w:val="en-US" w:eastAsia="zh-CN" w:bidi="ar"/>
        </w:rPr>
        <w:t>因承包人项目经理不称职，发包人要求调换而未及时调换的，视为承包人违约，必须向发包人交纳处罚金3000元/人•次（人民币）</w:t>
      </w:r>
      <w:r>
        <w:rPr>
          <w:rFonts w:hint="eastAsia" w:ascii="宋体" w:hAnsi="宋体" w:eastAsia="宋体" w:cs="宋体"/>
          <w:color w:val="auto"/>
          <w:kern w:val="2"/>
          <w:sz w:val="21"/>
          <w:szCs w:val="24"/>
          <w:highlight w:val="none"/>
          <w:lang w:val="en-US" w:eastAsia="zh-CN" w:bidi="ar"/>
        </w:rPr>
        <w:t>。</w:t>
      </w:r>
    </w:p>
    <w:p w14:paraId="33A514E9">
      <w:pPr>
        <w:pStyle w:val="5"/>
        <w:widowControl/>
        <w:ind w:left="0" w:firstLine="562"/>
        <w:rPr>
          <w:rFonts w:hint="eastAsia" w:ascii="宋体" w:hAnsi="宋体" w:eastAsia="宋体" w:cs="宋体"/>
          <w:color w:val="auto"/>
          <w:sz w:val="24"/>
          <w:szCs w:val="28"/>
          <w:highlight w:val="none"/>
          <w:lang w:val="en-US"/>
        </w:rPr>
      </w:pPr>
      <w:bookmarkStart w:id="249" w:name="_Toc389065275"/>
      <w:bookmarkStart w:id="250" w:name="_Toc407135211"/>
      <w:bookmarkStart w:id="251" w:name="_Toc487632708"/>
      <w:bookmarkStart w:id="252" w:name="_Toc373478356"/>
      <w:bookmarkStart w:id="253" w:name="_Toc373227709"/>
      <w:r>
        <w:rPr>
          <w:rFonts w:hint="eastAsia" w:ascii="宋体" w:hAnsi="宋体" w:eastAsia="宋体" w:cs="宋体"/>
          <w:color w:val="auto"/>
          <w:sz w:val="24"/>
          <w:szCs w:val="28"/>
          <w:highlight w:val="none"/>
          <w:lang w:val="en-US"/>
        </w:rPr>
        <w:t>3.3</w:t>
      </w:r>
      <w:r>
        <w:rPr>
          <w:rFonts w:hint="eastAsia" w:ascii="宋体" w:hAnsi="宋体" w:eastAsia="宋体" w:cs="宋体"/>
          <w:color w:val="auto"/>
          <w:sz w:val="24"/>
          <w:szCs w:val="28"/>
          <w:highlight w:val="none"/>
          <w:lang w:eastAsia="zh-CN"/>
        </w:rPr>
        <w:t>承包人人员</w:t>
      </w:r>
      <w:bookmarkEnd w:id="249"/>
      <w:bookmarkEnd w:id="250"/>
      <w:bookmarkEnd w:id="251"/>
      <w:bookmarkEnd w:id="252"/>
      <w:bookmarkEnd w:id="253"/>
    </w:p>
    <w:p w14:paraId="1A78AB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3.3.1承包人提交项目管理机构及施工现场管理人员安排报告（格式见合同附件3）的期限：</w:t>
      </w:r>
    </w:p>
    <w:p w14:paraId="491D83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u w:val="single"/>
          <w:lang w:val="en-US" w:eastAsia="zh-CN" w:bidi="ar"/>
        </w:rPr>
        <w:t>接到开工通知后7天内</w:t>
      </w:r>
      <w:r>
        <w:rPr>
          <w:rFonts w:hint="eastAsia" w:ascii="宋体" w:hAnsi="宋体" w:eastAsia="宋体" w:cs="宋体"/>
          <w:color w:val="auto"/>
          <w:kern w:val="2"/>
          <w:sz w:val="21"/>
          <w:szCs w:val="24"/>
          <w:highlight w:val="none"/>
          <w:lang w:val="en-US" w:eastAsia="zh-CN" w:bidi="ar"/>
        </w:rPr>
        <w:t>。</w:t>
      </w:r>
    </w:p>
    <w:p w14:paraId="0D32CE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3.3.2承包人无正当理由拒绝撤换主要施工管理人员的违约责任：</w:t>
      </w:r>
      <w:r>
        <w:rPr>
          <w:rFonts w:hint="eastAsia" w:ascii="宋体" w:hAnsi="宋体" w:eastAsia="宋体" w:cs="宋体"/>
          <w:color w:val="auto"/>
          <w:kern w:val="2"/>
          <w:sz w:val="21"/>
          <w:szCs w:val="24"/>
          <w:highlight w:val="none"/>
          <w:u w:val="single"/>
          <w:lang w:val="en-US" w:eastAsia="zh-CN" w:bidi="ar"/>
        </w:rPr>
        <w:t>因承包人主要施工管理人员不称职，发包人要求调换而无正当理由拒绝撤换或未及时调换的，视为承包人违约，必须向发包人交纳处罚金，处罚标准：技术负责人1000元/人•次（人民币）；专业工程师500元/人•次（人民币）</w:t>
      </w:r>
      <w:r>
        <w:rPr>
          <w:rFonts w:hint="eastAsia" w:ascii="宋体" w:hAnsi="宋体" w:eastAsia="宋体" w:cs="宋体"/>
          <w:color w:val="auto"/>
          <w:kern w:val="2"/>
          <w:sz w:val="21"/>
          <w:szCs w:val="24"/>
          <w:highlight w:val="none"/>
          <w:lang w:val="en-US" w:eastAsia="zh-CN" w:bidi="ar"/>
        </w:rPr>
        <w:t>。</w:t>
      </w:r>
    </w:p>
    <w:p w14:paraId="4F7356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3.3.3承包人主要施工管理人员离开施工现场的批准要求：</w:t>
      </w:r>
      <w:r>
        <w:rPr>
          <w:rFonts w:hint="eastAsia" w:ascii="宋体" w:hAnsi="宋体" w:eastAsia="宋体" w:cs="宋体"/>
          <w:color w:val="auto"/>
          <w:kern w:val="2"/>
          <w:sz w:val="21"/>
          <w:szCs w:val="24"/>
          <w:highlight w:val="none"/>
          <w:u w:val="single"/>
          <w:lang w:val="en-US" w:eastAsia="zh-CN" w:bidi="ar"/>
        </w:rPr>
        <w:t>按通用合同条款执行</w:t>
      </w:r>
      <w:r>
        <w:rPr>
          <w:rFonts w:hint="eastAsia" w:ascii="宋体" w:hAnsi="宋体" w:eastAsia="宋体" w:cs="宋体"/>
          <w:color w:val="auto"/>
          <w:kern w:val="2"/>
          <w:sz w:val="21"/>
          <w:szCs w:val="24"/>
          <w:highlight w:val="none"/>
          <w:lang w:val="en-US" w:eastAsia="zh-CN" w:bidi="ar"/>
        </w:rPr>
        <w:t>。</w:t>
      </w:r>
    </w:p>
    <w:p w14:paraId="1386C5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3.3.4承包人擅自更换主要施工管理人员的违约责任：</w:t>
      </w:r>
      <w:r>
        <w:rPr>
          <w:rFonts w:hint="eastAsia" w:ascii="宋体" w:hAnsi="宋体" w:eastAsia="宋体" w:cs="宋体"/>
          <w:color w:val="auto"/>
          <w:kern w:val="2"/>
          <w:sz w:val="21"/>
          <w:szCs w:val="24"/>
          <w:highlight w:val="none"/>
          <w:u w:val="single"/>
          <w:lang w:val="en-US" w:eastAsia="zh-CN" w:bidi="ar"/>
        </w:rPr>
        <w:t>项目技术负责人、专职安全员及其承诺的其它在场管理人员未经发包人书面同意不准擅自更换，擅自更换项目技术负责人处1000元/人•次（人民币）违约金；擅自更换专职安全员处500元/人•次（人民币）违约金；擅自更换其它在场管理人员处500元/人•次（人民币）违约金</w:t>
      </w:r>
      <w:r>
        <w:rPr>
          <w:rFonts w:hint="eastAsia" w:ascii="宋体" w:hAnsi="宋体" w:eastAsia="宋体" w:cs="宋体"/>
          <w:color w:val="auto"/>
          <w:kern w:val="2"/>
          <w:sz w:val="21"/>
          <w:szCs w:val="24"/>
          <w:highlight w:val="none"/>
          <w:lang w:val="en-US" w:eastAsia="zh-CN" w:bidi="ar"/>
        </w:rPr>
        <w:t>。</w:t>
      </w:r>
    </w:p>
    <w:p w14:paraId="304123B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承包人主要施工管理人员擅自离开施工现场的违约责任：</w:t>
      </w:r>
      <w:r>
        <w:rPr>
          <w:rFonts w:hint="eastAsia" w:ascii="宋体" w:hAnsi="宋体" w:eastAsia="宋体" w:cs="宋体"/>
          <w:color w:val="auto"/>
          <w:kern w:val="2"/>
          <w:sz w:val="21"/>
          <w:szCs w:val="24"/>
          <w:highlight w:val="none"/>
          <w:u w:val="single"/>
          <w:lang w:val="en-US" w:eastAsia="zh-CN" w:bidi="ar"/>
        </w:rPr>
        <w:t>未经发包人同意，项目技术负责人擅自离岗的，视为承包人违约，发包人有权处违约金3000元/人•次（人民币）；未经发包人同意，专职安全员擅自离岗的，视为承包人违约，发包人有权处违约金1000元/人•次（人民币）；其它在场管理人员擅自离岗的，视为承包人违约，发包人有权处违约金1000元/人•次（人民币）</w:t>
      </w:r>
      <w:r>
        <w:rPr>
          <w:rFonts w:hint="eastAsia" w:ascii="宋体" w:hAnsi="宋体" w:eastAsia="宋体" w:cs="宋体"/>
          <w:color w:val="auto"/>
          <w:kern w:val="2"/>
          <w:sz w:val="21"/>
          <w:szCs w:val="24"/>
          <w:highlight w:val="none"/>
          <w:lang w:val="en-US" w:eastAsia="zh-CN" w:bidi="ar"/>
        </w:rPr>
        <w:t>。</w:t>
      </w:r>
    </w:p>
    <w:p w14:paraId="77615F53">
      <w:pPr>
        <w:pStyle w:val="5"/>
        <w:widowControl/>
        <w:ind w:left="0" w:firstLine="562"/>
        <w:rPr>
          <w:rFonts w:hint="eastAsia" w:ascii="宋体" w:hAnsi="宋体" w:eastAsia="宋体" w:cs="宋体"/>
          <w:color w:val="auto"/>
          <w:sz w:val="24"/>
          <w:szCs w:val="28"/>
          <w:highlight w:val="none"/>
          <w:lang w:val="en-US"/>
        </w:rPr>
      </w:pPr>
      <w:bookmarkStart w:id="254" w:name="_Toc373227710"/>
      <w:bookmarkStart w:id="255" w:name="_Toc487632709"/>
      <w:bookmarkStart w:id="256" w:name="_Toc407135212"/>
      <w:bookmarkStart w:id="257" w:name="_Toc389065276"/>
      <w:bookmarkStart w:id="258" w:name="_Toc373478357"/>
      <w:r>
        <w:rPr>
          <w:rFonts w:hint="eastAsia" w:ascii="宋体" w:hAnsi="宋体" w:eastAsia="宋体" w:cs="宋体"/>
          <w:color w:val="auto"/>
          <w:sz w:val="24"/>
          <w:szCs w:val="28"/>
          <w:highlight w:val="none"/>
          <w:lang w:val="en-US"/>
        </w:rPr>
        <w:t>3</w:t>
      </w:r>
      <w:bookmarkStart w:id="259" w:name="_Toc296890987"/>
      <w:bookmarkStart w:id="260" w:name="_Toc296346660"/>
      <w:bookmarkStart w:id="261" w:name="_Toc296503159"/>
      <w:bookmarkStart w:id="262" w:name="_Toc297123492"/>
      <w:bookmarkStart w:id="263" w:name="_Toc297048345"/>
      <w:bookmarkStart w:id="264" w:name="_Toc303539102"/>
      <w:bookmarkStart w:id="265" w:name="_Toc297120459"/>
      <w:bookmarkStart w:id="266" w:name="_Toc297216151"/>
      <w:bookmarkStart w:id="267" w:name="_Toc312677988"/>
      <w:bookmarkStart w:id="268" w:name="_Toc292559869"/>
      <w:bookmarkStart w:id="269" w:name="_Toc296944498"/>
      <w:bookmarkStart w:id="270" w:name="_Toc296891199"/>
      <w:bookmarkStart w:id="271" w:name="_Toc292559364"/>
      <w:bookmarkStart w:id="272" w:name="_Toc300934945"/>
      <w:bookmarkStart w:id="273" w:name="_Toc296347158"/>
      <w:bookmarkStart w:id="274" w:name="_Toc304295523"/>
      <w:r>
        <w:rPr>
          <w:rFonts w:hint="eastAsia" w:ascii="宋体" w:hAnsi="宋体" w:eastAsia="宋体" w:cs="宋体"/>
          <w:color w:val="auto"/>
          <w:sz w:val="24"/>
          <w:szCs w:val="28"/>
          <w:highlight w:val="none"/>
          <w:lang w:val="en-US"/>
        </w:rPr>
        <w:t>.4</w:t>
      </w:r>
      <w:r>
        <w:rPr>
          <w:rFonts w:hint="eastAsia" w:ascii="宋体" w:hAnsi="宋体" w:eastAsia="宋体" w:cs="宋体"/>
          <w:color w:val="auto"/>
          <w:sz w:val="24"/>
          <w:szCs w:val="28"/>
          <w:highlight w:val="none"/>
          <w:lang w:eastAsia="zh-CN"/>
        </w:rPr>
        <w:t>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61B31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w:t>
      </w:r>
      <w:bookmarkStart w:id="275" w:name="_Toc292559365"/>
      <w:bookmarkStart w:id="276" w:name="_Toc318581158"/>
      <w:bookmarkStart w:id="277" w:name="_Toc296503160"/>
      <w:bookmarkStart w:id="278" w:name="_Toc297216152"/>
      <w:bookmarkStart w:id="279" w:name="_Toc303539103"/>
      <w:bookmarkStart w:id="280" w:name="_Toc297048346"/>
      <w:bookmarkStart w:id="281" w:name="_Toc296347159"/>
      <w:bookmarkStart w:id="282" w:name="_Toc296944499"/>
      <w:bookmarkStart w:id="283" w:name="_Toc296890988"/>
      <w:bookmarkStart w:id="284" w:name="_Toc297123493"/>
      <w:bookmarkStart w:id="285" w:name="_Toc300934946"/>
      <w:bookmarkStart w:id="286" w:name="_Toc292559870"/>
      <w:bookmarkStart w:id="287" w:name="_Toc296346661"/>
      <w:bookmarkStart w:id="288" w:name="_Toc312677989"/>
      <w:bookmarkStart w:id="289" w:name="_Toc297120460"/>
      <w:bookmarkStart w:id="290" w:name="_Toc304295524"/>
      <w:bookmarkStart w:id="291" w:name="_Toc296891200"/>
      <w:r>
        <w:rPr>
          <w:rFonts w:hint="eastAsia" w:ascii="宋体" w:hAnsi="宋体" w:eastAsia="宋体" w:cs="宋体"/>
          <w:color w:val="auto"/>
          <w:kern w:val="2"/>
          <w:sz w:val="21"/>
          <w:szCs w:val="24"/>
          <w:highlight w:val="none"/>
          <w:lang w:val="en-US" w:eastAsia="zh-CN" w:bidi="ar"/>
        </w:rPr>
        <w:t>.4.1分包的一般约定</w:t>
      </w:r>
    </w:p>
    <w:p w14:paraId="379DFF4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禁止分包的工程包括：</w:t>
      </w:r>
      <w:r>
        <w:rPr>
          <w:rFonts w:hint="eastAsia" w:ascii="宋体" w:hAnsi="宋体" w:eastAsia="宋体" w:cs="宋体"/>
          <w:color w:val="auto"/>
          <w:kern w:val="2"/>
          <w:sz w:val="21"/>
          <w:szCs w:val="24"/>
          <w:highlight w:val="none"/>
          <w:u w:val="single"/>
          <w:lang w:val="en-US" w:eastAsia="zh-CN" w:bidi="ar"/>
        </w:rPr>
        <w:t>本工程不允许分包、转包</w:t>
      </w:r>
      <w:r>
        <w:rPr>
          <w:rFonts w:hint="eastAsia" w:ascii="宋体" w:hAnsi="宋体" w:eastAsia="宋体" w:cs="宋体"/>
          <w:color w:val="auto"/>
          <w:kern w:val="2"/>
          <w:sz w:val="21"/>
          <w:szCs w:val="24"/>
          <w:highlight w:val="none"/>
          <w:lang w:val="en-US" w:eastAsia="zh-CN" w:bidi="ar"/>
        </w:rPr>
        <w:t>。</w:t>
      </w:r>
    </w:p>
    <w:p w14:paraId="2CE4FD4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主体结构、关键性工作的范围：。</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218811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w:t>
      </w:r>
      <w:bookmarkStart w:id="292" w:name="_Toc312677990"/>
      <w:bookmarkStart w:id="293" w:name="_Toc318581159"/>
      <w:r>
        <w:rPr>
          <w:rFonts w:hint="eastAsia" w:ascii="宋体" w:hAnsi="宋体" w:eastAsia="宋体" w:cs="宋体"/>
          <w:color w:val="auto"/>
          <w:kern w:val="2"/>
          <w:sz w:val="21"/>
          <w:szCs w:val="24"/>
          <w:highlight w:val="none"/>
          <w:lang w:val="en-US" w:eastAsia="zh-CN" w:bidi="ar"/>
        </w:rPr>
        <w:t>.4.2分包的确定</w:t>
      </w:r>
    </w:p>
    <w:p w14:paraId="4E7658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允许分包的专业工程包括：</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54D617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其他关于分包的约定：</w:t>
      </w:r>
    </w:p>
    <w:p w14:paraId="0A0FA3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43CF55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（2）在相关分包合同签订并报送有关建设行政主管部门备案后7天内，承包人应当将一份副本提交给监理人，承包人应保障分包工作不得再次分包。</w:t>
      </w:r>
    </w:p>
    <w:p w14:paraId="0F892F0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（3）未经承包人和监理人审批同意的分包工程和分包人，承包人有权拒绝验收分包工程和支付相应款项，由此引起的发包人费用增加和（或）延误的工期由发包人承担。</w:t>
      </w:r>
    </w:p>
    <w:p w14:paraId="1EF410B8">
      <w:pPr>
        <w:pStyle w:val="25"/>
        <w:keepNext w:val="0"/>
        <w:keepLines w:val="0"/>
        <w:widowControl w:val="0"/>
        <w:suppressLineNumbers w:val="0"/>
        <w:spacing w:before="0" w:beforeAutospacing="0" w:after="0" w:afterAutospacing="0" w:line="360" w:lineRule="auto"/>
        <w:ind w:left="0" w:right="0" w:firstLine="420" w:firstLineChars="200"/>
        <w:jc w:val="both"/>
        <w:rPr>
          <w:rFonts w:hAnsi="宋体" w:cs="宋体"/>
          <w:color w:val="auto"/>
          <w:highlight w:val="none"/>
          <w:lang w:val="en-US"/>
        </w:rPr>
      </w:pPr>
      <w:r>
        <w:rPr>
          <w:rFonts w:hint="eastAsia" w:ascii="宋体" w:hAnsi="宋体" w:eastAsia="宋体" w:cs="宋体"/>
          <w:color w:val="auto"/>
          <w:kern w:val="2"/>
          <w:sz w:val="21"/>
          <w:szCs w:val="21"/>
          <w:highlight w:val="none"/>
          <w:lang w:val="en-US" w:eastAsia="zh-CN" w:bidi="ar"/>
        </w:rPr>
        <w:t>（4）承包人有以下情况之一者，发包人有权解除合同，并视情况扣除其履约保证金：</w:t>
      </w:r>
    </w:p>
    <w:p w14:paraId="64E01E60">
      <w:pPr>
        <w:pStyle w:val="25"/>
        <w:keepNext w:val="0"/>
        <w:keepLines w:val="0"/>
        <w:widowControl w:val="0"/>
        <w:suppressLineNumbers w:val="0"/>
        <w:spacing w:before="0" w:beforeAutospacing="0" w:after="0" w:afterAutospacing="0" w:line="360" w:lineRule="auto"/>
        <w:ind w:left="0" w:right="0" w:firstLine="441" w:firstLineChars="210"/>
        <w:jc w:val="both"/>
        <w:rPr>
          <w:rFonts w:hAnsi="宋体" w:cs="宋体"/>
          <w:color w:val="auto"/>
          <w:highlight w:val="none"/>
          <w:lang w:val="en-US"/>
        </w:rPr>
      </w:pPr>
      <w:r>
        <w:rPr>
          <w:rFonts w:hint="eastAsia" w:ascii="宋体" w:hAnsi="宋体" w:eastAsia="宋体" w:cs="宋体"/>
          <w:color w:val="auto"/>
          <w:kern w:val="2"/>
          <w:sz w:val="21"/>
          <w:szCs w:val="21"/>
          <w:highlight w:val="none"/>
          <w:lang w:val="en-US" w:eastAsia="zh-CN" w:bidi="ar"/>
        </w:rPr>
        <w:t>①个人承包工程，包括本人单位及外单位人员承包，发包人不承认其个人拥有任何资质等级及营业许可资格。没收全部履约保证金。</w:t>
      </w:r>
    </w:p>
    <w:p w14:paraId="17545E91">
      <w:pPr>
        <w:pStyle w:val="25"/>
        <w:keepNext w:val="0"/>
        <w:keepLines w:val="0"/>
        <w:widowControl w:val="0"/>
        <w:suppressLineNumbers w:val="0"/>
        <w:spacing w:before="0" w:beforeAutospacing="0" w:after="0" w:afterAutospacing="0" w:line="360" w:lineRule="auto"/>
        <w:ind w:left="0" w:right="0" w:firstLine="441" w:firstLineChars="210"/>
        <w:jc w:val="both"/>
        <w:rPr>
          <w:rFonts w:hAnsi="宋体" w:cs="宋体"/>
          <w:color w:val="auto"/>
          <w:highlight w:val="none"/>
          <w:lang w:val="en-US"/>
        </w:rPr>
      </w:pPr>
      <w:r>
        <w:rPr>
          <w:rFonts w:hint="eastAsia" w:ascii="宋体" w:hAnsi="宋体" w:eastAsia="宋体" w:cs="宋体"/>
          <w:color w:val="auto"/>
          <w:kern w:val="2"/>
          <w:sz w:val="21"/>
          <w:szCs w:val="21"/>
          <w:highlight w:val="none"/>
          <w:lang w:val="en-US" w:eastAsia="zh-CN" w:bidi="ar"/>
        </w:rPr>
        <w:t>②几个人联合承包工程，就地组织暗分包队伍，不具备完成本工程的技术、机械能力，被发包人判定为没有能力履行的承包人。没收全部履约保证金。</w:t>
      </w:r>
    </w:p>
    <w:p w14:paraId="2278248E">
      <w:pPr>
        <w:pStyle w:val="25"/>
        <w:keepNext w:val="0"/>
        <w:keepLines w:val="0"/>
        <w:widowControl w:val="0"/>
        <w:suppressLineNumbers w:val="0"/>
        <w:spacing w:before="0" w:beforeAutospacing="0" w:after="0" w:afterAutospacing="0" w:line="360" w:lineRule="auto"/>
        <w:ind w:left="0" w:right="0" w:firstLine="441" w:firstLineChars="210"/>
        <w:jc w:val="both"/>
        <w:rPr>
          <w:rFonts w:hAnsi="宋体" w:cs="宋体"/>
          <w:color w:val="auto"/>
          <w:highlight w:val="none"/>
          <w:lang w:val="en-US"/>
        </w:rPr>
      </w:pPr>
      <w:r>
        <w:rPr>
          <w:rFonts w:hint="eastAsia" w:ascii="宋体" w:hAnsi="宋体" w:eastAsia="宋体" w:cs="宋体"/>
          <w:color w:val="auto"/>
          <w:kern w:val="2"/>
          <w:sz w:val="21"/>
          <w:szCs w:val="21"/>
          <w:highlight w:val="none"/>
          <w:lang w:val="en-US" w:eastAsia="zh-CN" w:bidi="ar"/>
        </w:rPr>
        <w:t>③就地转包全部的工程，以谋取高额转让费、管理费的承包人。没收全部履约保证金。</w:t>
      </w:r>
    </w:p>
    <w:p w14:paraId="7DDA49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④承包人有部分分包现象（其中包括冒充承包人下属单位的挂勾单位，凭口头协议参与施工的分包人及其他暗分包个体户），一经发现核实，发包人将采取驱逐该暗分包人措施。没收全部履约保证金。</w:t>
      </w:r>
    </w:p>
    <w:p w14:paraId="45F81B7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3.4.3分包合同价款</w:t>
      </w:r>
    </w:p>
    <w:bookmarkEnd w:id="292"/>
    <w:bookmarkEnd w:id="293"/>
    <w:p w14:paraId="57AA21D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bookmarkStart w:id="294" w:name="_Toc373478358"/>
      <w:bookmarkStart w:id="295" w:name="_Toc389065277"/>
      <w:bookmarkStart w:id="296" w:name="_Toc373227711"/>
      <w:r>
        <w:rPr>
          <w:rFonts w:hint="eastAsia" w:ascii="宋体" w:hAnsi="宋体" w:eastAsia="宋体" w:cs="宋体"/>
          <w:color w:val="auto"/>
          <w:kern w:val="2"/>
          <w:sz w:val="21"/>
          <w:szCs w:val="24"/>
          <w:highlight w:val="none"/>
          <w:lang w:val="en-US" w:eastAsia="zh-CN" w:bidi="ar"/>
        </w:rPr>
        <w:t>关于分包合同价款支付的约定：</w:t>
      </w:r>
      <w:r>
        <w:rPr>
          <w:rFonts w:hint="eastAsia" w:ascii="宋体" w:hAnsi="宋体" w:eastAsia="宋体" w:cs="宋体"/>
          <w:color w:val="auto"/>
          <w:kern w:val="2"/>
          <w:sz w:val="21"/>
          <w:szCs w:val="24"/>
          <w:highlight w:val="none"/>
          <w:u w:val="single"/>
          <w:lang w:val="en-US" w:eastAsia="zh-CN" w:bidi="ar"/>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58754C7">
      <w:pPr>
        <w:pStyle w:val="5"/>
        <w:widowControl/>
        <w:ind w:left="0" w:firstLine="562"/>
        <w:rPr>
          <w:rFonts w:hint="eastAsia" w:ascii="宋体" w:hAnsi="宋体" w:eastAsia="宋体" w:cs="宋体"/>
          <w:color w:val="auto"/>
          <w:sz w:val="24"/>
          <w:szCs w:val="28"/>
          <w:highlight w:val="none"/>
          <w:lang w:val="en-US"/>
        </w:rPr>
      </w:pPr>
      <w:bookmarkStart w:id="297" w:name="_Toc487632710"/>
      <w:bookmarkStart w:id="298" w:name="_Toc407135213"/>
      <w:r>
        <w:rPr>
          <w:rFonts w:hint="eastAsia" w:ascii="宋体" w:hAnsi="宋体" w:eastAsia="宋体" w:cs="宋体"/>
          <w:color w:val="auto"/>
          <w:sz w:val="24"/>
          <w:szCs w:val="28"/>
          <w:highlight w:val="none"/>
          <w:lang w:val="en-US"/>
        </w:rPr>
        <w:t>3.5</w:t>
      </w:r>
      <w:r>
        <w:rPr>
          <w:rFonts w:hint="eastAsia" w:ascii="宋体" w:hAnsi="宋体" w:eastAsia="宋体" w:cs="宋体"/>
          <w:color w:val="auto"/>
          <w:sz w:val="24"/>
          <w:szCs w:val="28"/>
          <w:highlight w:val="none"/>
          <w:lang w:eastAsia="zh-CN"/>
        </w:rPr>
        <w:t>工程照管与成品、半成品保护</w:t>
      </w:r>
      <w:bookmarkEnd w:id="294"/>
      <w:bookmarkEnd w:id="295"/>
      <w:bookmarkEnd w:id="296"/>
      <w:bookmarkEnd w:id="297"/>
      <w:bookmarkEnd w:id="298"/>
    </w:p>
    <w:p w14:paraId="600F3F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1"/>
          <w:szCs w:val="24"/>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4"/>
          <w:highlight w:val="none"/>
          <w:u w:val="single"/>
          <w:lang w:val="en-US" w:eastAsia="zh-CN" w:bidi="ar"/>
        </w:rPr>
        <w:t>从合同签订之日起至竣工验收合格并移交使用方接管之日止，期间所发生的半成品、成品损坏一切责任由承包人负责修复至设计要求</w:t>
      </w:r>
      <w:r>
        <w:rPr>
          <w:rFonts w:hint="eastAsia" w:ascii="宋体" w:hAnsi="宋体" w:eastAsia="宋体" w:cs="宋体"/>
          <w:color w:val="auto"/>
          <w:kern w:val="0"/>
          <w:sz w:val="21"/>
          <w:szCs w:val="24"/>
          <w:highlight w:val="none"/>
          <w:lang w:val="en-US" w:eastAsia="zh-CN" w:bidi="ar"/>
        </w:rPr>
        <w:t>。</w:t>
      </w:r>
    </w:p>
    <w:p w14:paraId="33E7A5B0">
      <w:pPr>
        <w:pStyle w:val="5"/>
        <w:widowControl/>
        <w:ind w:left="0" w:firstLine="562"/>
        <w:rPr>
          <w:rFonts w:hint="eastAsia" w:ascii="宋体" w:hAnsi="宋体" w:eastAsia="宋体" w:cs="宋体"/>
          <w:color w:val="auto"/>
          <w:sz w:val="24"/>
          <w:szCs w:val="28"/>
          <w:highlight w:val="none"/>
          <w:lang w:val="en-US"/>
        </w:rPr>
      </w:pPr>
      <w:bookmarkStart w:id="299" w:name="_Toc373227712"/>
      <w:bookmarkStart w:id="300" w:name="_Toc373478359"/>
      <w:bookmarkStart w:id="301" w:name="_Toc389065278"/>
      <w:bookmarkStart w:id="302" w:name="_Toc407135214"/>
      <w:bookmarkStart w:id="303" w:name="_Toc487632711"/>
      <w:r>
        <w:rPr>
          <w:rFonts w:hint="eastAsia" w:ascii="宋体" w:hAnsi="宋体" w:eastAsia="宋体" w:cs="宋体"/>
          <w:color w:val="auto"/>
          <w:sz w:val="24"/>
          <w:szCs w:val="28"/>
          <w:highlight w:val="none"/>
          <w:lang w:val="en-US"/>
        </w:rPr>
        <w:t>3.6</w:t>
      </w:r>
      <w:r>
        <w:rPr>
          <w:rFonts w:hint="eastAsia" w:ascii="宋体" w:hAnsi="宋体" w:eastAsia="宋体" w:cs="宋体"/>
          <w:color w:val="auto"/>
          <w:sz w:val="24"/>
          <w:szCs w:val="28"/>
          <w:highlight w:val="none"/>
          <w:lang w:eastAsia="zh-CN"/>
        </w:rPr>
        <w:t>履约</w:t>
      </w:r>
      <w:bookmarkEnd w:id="299"/>
      <w:bookmarkEnd w:id="300"/>
      <w:bookmarkEnd w:id="301"/>
      <w:r>
        <w:rPr>
          <w:rFonts w:hint="eastAsia" w:ascii="宋体" w:hAnsi="宋体" w:eastAsia="宋体" w:cs="宋体"/>
          <w:color w:val="auto"/>
          <w:sz w:val="24"/>
          <w:szCs w:val="28"/>
          <w:highlight w:val="none"/>
          <w:lang w:eastAsia="zh-CN"/>
        </w:rPr>
        <w:t>保证金</w:t>
      </w:r>
      <w:bookmarkEnd w:id="302"/>
      <w:bookmarkEnd w:id="303"/>
    </w:p>
    <w:p w14:paraId="7A3DDEF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bookmarkStart w:id="304" w:name="_Toc389065279"/>
      <w:bookmarkStart w:id="305" w:name="_Toc373478360"/>
      <w:bookmarkStart w:id="306" w:name="_Toc373227713"/>
      <w:bookmarkStart w:id="307" w:name="_Toc351203636"/>
      <w:r>
        <w:rPr>
          <w:rFonts w:hint="eastAsia" w:ascii="宋体" w:hAnsi="宋体" w:eastAsia="宋体" w:cs="宋体"/>
          <w:color w:val="auto"/>
          <w:kern w:val="2"/>
          <w:sz w:val="21"/>
          <w:szCs w:val="24"/>
          <w:highlight w:val="none"/>
          <w:lang w:val="en-US" w:eastAsia="zh-CN" w:bidi="ar"/>
        </w:rPr>
        <w:t>承包人提供履约担保的形式、金额及期限的：</w:t>
      </w:r>
      <w:r>
        <w:rPr>
          <w:rFonts w:hint="eastAsia" w:ascii="宋体" w:hAnsi="宋体" w:eastAsia="宋体" w:cs="宋体"/>
          <w:color w:val="auto"/>
          <w:kern w:val="2"/>
          <w:sz w:val="21"/>
          <w:szCs w:val="24"/>
          <w:highlight w:val="none"/>
          <w:u w:val="single"/>
          <w:lang w:val="en-US" w:eastAsia="zh-CN" w:bidi="ar"/>
        </w:rPr>
        <w:t>合同金额的2%。履约担保的有效期应当自本合同生效之日起至发包人签认并由监理人向承包人出具竣工验收意见书之日止。</w:t>
      </w:r>
    </w:p>
    <w:p w14:paraId="36EC23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工程竣工验收合格并对验收发现的问题完成整改后的7个日历天内，发包人同意退付履约保证金的，承包人凭《履约保证金退付确认函》退还履约金。</w:t>
      </w:r>
    </w:p>
    <w:p w14:paraId="0A54E285">
      <w:pPr>
        <w:pStyle w:val="4"/>
        <w:widowControl/>
        <w:ind w:left="0" w:firstLine="602"/>
        <w:rPr>
          <w:rFonts w:hint="eastAsia" w:ascii="宋体" w:hAnsi="宋体" w:eastAsia="宋体" w:cs="宋体"/>
          <w:color w:val="auto"/>
          <w:sz w:val="28"/>
          <w:szCs w:val="28"/>
          <w:highlight w:val="none"/>
          <w:lang w:val="en-US"/>
        </w:rPr>
      </w:pPr>
      <w:bookmarkStart w:id="308" w:name="_Toc407135215"/>
      <w:bookmarkStart w:id="309" w:name="_Toc487632712"/>
      <w:r>
        <w:rPr>
          <w:rFonts w:hint="eastAsia" w:ascii="宋体" w:hAnsi="宋体" w:eastAsia="宋体" w:cs="宋体"/>
          <w:color w:val="auto"/>
          <w:sz w:val="28"/>
          <w:szCs w:val="28"/>
          <w:highlight w:val="none"/>
          <w:lang w:val="en-US"/>
        </w:rPr>
        <w:t>4</w:t>
      </w:r>
      <w:bookmarkStart w:id="310" w:name="_Toc296503162"/>
      <w:bookmarkStart w:id="311" w:name="_Toc267251413"/>
      <w:bookmarkStart w:id="312" w:name="_Toc297120462"/>
      <w:bookmarkStart w:id="313" w:name="_Toc296891202"/>
      <w:bookmarkStart w:id="314" w:name="_Toc296346663"/>
      <w:bookmarkStart w:id="315" w:name="_Toc296347161"/>
      <w:bookmarkStart w:id="316" w:name="_Toc296890990"/>
      <w:bookmarkStart w:id="317" w:name="_Toc292559366"/>
      <w:bookmarkStart w:id="318" w:name="_Toc296944501"/>
      <w:bookmarkStart w:id="319" w:name="_Toc297048348"/>
      <w:bookmarkStart w:id="320" w:name="_Toc292559871"/>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eastAsia="zh-CN"/>
        </w:rPr>
        <w:t>监</w:t>
      </w:r>
      <w:bookmarkEnd w:id="310"/>
      <w:bookmarkEnd w:id="311"/>
      <w:bookmarkEnd w:id="312"/>
      <w:bookmarkEnd w:id="313"/>
      <w:bookmarkEnd w:id="314"/>
      <w:bookmarkEnd w:id="315"/>
      <w:bookmarkEnd w:id="316"/>
      <w:bookmarkEnd w:id="317"/>
      <w:bookmarkEnd w:id="318"/>
      <w:bookmarkEnd w:id="319"/>
      <w:bookmarkEnd w:id="320"/>
      <w:r>
        <w:rPr>
          <w:rFonts w:hint="eastAsia" w:ascii="宋体" w:hAnsi="宋体" w:eastAsia="宋体" w:cs="宋体"/>
          <w:color w:val="auto"/>
          <w:sz w:val="28"/>
          <w:szCs w:val="28"/>
          <w:highlight w:val="none"/>
          <w:lang w:eastAsia="zh-CN"/>
        </w:rPr>
        <w:t>理人</w:t>
      </w:r>
      <w:bookmarkEnd w:id="304"/>
      <w:bookmarkEnd w:id="305"/>
      <w:bookmarkEnd w:id="306"/>
      <w:bookmarkEnd w:id="307"/>
      <w:bookmarkEnd w:id="308"/>
      <w:bookmarkEnd w:id="309"/>
    </w:p>
    <w:p w14:paraId="08D493FE">
      <w:pPr>
        <w:pStyle w:val="5"/>
        <w:widowControl/>
        <w:ind w:left="0" w:firstLine="562"/>
        <w:rPr>
          <w:rFonts w:hint="eastAsia" w:ascii="宋体" w:hAnsi="宋体" w:eastAsia="宋体" w:cs="宋体"/>
          <w:color w:val="auto"/>
          <w:sz w:val="24"/>
          <w:szCs w:val="28"/>
          <w:highlight w:val="none"/>
          <w:lang w:val="en-US"/>
        </w:rPr>
      </w:pPr>
      <w:bookmarkStart w:id="321" w:name="_Toc389065280"/>
      <w:bookmarkStart w:id="322" w:name="_Toc487632713"/>
      <w:bookmarkStart w:id="323" w:name="_Toc373478361"/>
      <w:bookmarkStart w:id="324" w:name="_Toc373227714"/>
      <w:bookmarkStart w:id="325" w:name="_Toc407135216"/>
      <w:r>
        <w:rPr>
          <w:rFonts w:hint="eastAsia" w:ascii="宋体" w:hAnsi="宋体" w:eastAsia="宋体" w:cs="宋体"/>
          <w:color w:val="auto"/>
          <w:sz w:val="24"/>
          <w:szCs w:val="28"/>
          <w:highlight w:val="none"/>
          <w:lang w:val="en-US"/>
        </w:rPr>
        <w:t>4.1</w:t>
      </w:r>
      <w:r>
        <w:rPr>
          <w:rFonts w:hint="eastAsia" w:ascii="宋体" w:hAnsi="宋体" w:eastAsia="宋体" w:cs="宋体"/>
          <w:color w:val="auto"/>
          <w:sz w:val="24"/>
          <w:szCs w:val="28"/>
          <w:highlight w:val="none"/>
          <w:lang w:eastAsia="zh-CN"/>
        </w:rPr>
        <w:t>监理人的一般规定</w:t>
      </w:r>
      <w:bookmarkEnd w:id="321"/>
      <w:bookmarkEnd w:id="322"/>
      <w:bookmarkEnd w:id="323"/>
      <w:bookmarkEnd w:id="324"/>
      <w:bookmarkEnd w:id="325"/>
    </w:p>
    <w:p w14:paraId="363F2F9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bookmarkStart w:id="326" w:name="_Toc389065281"/>
      <w:bookmarkStart w:id="327" w:name="_Toc407135217"/>
      <w:bookmarkStart w:id="328" w:name="_Toc373227715"/>
      <w:bookmarkStart w:id="329" w:name="_Toc487632714"/>
      <w:bookmarkStart w:id="330" w:name="_Toc373478362"/>
      <w:r>
        <w:rPr>
          <w:rFonts w:hint="eastAsia" w:ascii="宋体" w:hAnsi="宋体" w:eastAsia="宋体" w:cs="宋体"/>
          <w:color w:val="auto"/>
          <w:kern w:val="2"/>
          <w:sz w:val="21"/>
          <w:szCs w:val="24"/>
          <w:highlight w:val="none"/>
          <w:lang w:val="en-US" w:eastAsia="zh-CN" w:bidi="ar"/>
        </w:rPr>
        <w:t>关于监理人的监理内容：</w:t>
      </w:r>
      <w:r>
        <w:rPr>
          <w:rFonts w:hint="eastAsia" w:ascii="宋体" w:hAnsi="宋体" w:eastAsia="宋体" w:cs="宋体"/>
          <w:color w:val="auto"/>
          <w:kern w:val="2"/>
          <w:sz w:val="21"/>
          <w:szCs w:val="24"/>
          <w:highlight w:val="none"/>
          <w:u w:val="single"/>
          <w:lang w:val="en-US" w:eastAsia="zh-CN" w:bidi="ar"/>
        </w:rPr>
        <w:t>图纸或工程量清单范围内的全部内容（包括设计变更）</w:t>
      </w:r>
      <w:r>
        <w:rPr>
          <w:rFonts w:hint="eastAsia" w:ascii="宋体" w:hAnsi="宋体" w:eastAsia="宋体" w:cs="宋体"/>
          <w:color w:val="auto"/>
          <w:kern w:val="2"/>
          <w:sz w:val="21"/>
          <w:szCs w:val="24"/>
          <w:highlight w:val="none"/>
          <w:lang w:val="en-US" w:eastAsia="zh-CN" w:bidi="ar"/>
        </w:rPr>
        <w:t>。</w:t>
      </w:r>
    </w:p>
    <w:p w14:paraId="4AF75B9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关于监理人的监理权限：</w:t>
      </w:r>
      <w:r>
        <w:rPr>
          <w:rFonts w:hint="eastAsia" w:ascii="宋体" w:hAnsi="宋体" w:eastAsia="宋体" w:cs="宋体"/>
          <w:color w:val="auto"/>
          <w:kern w:val="2"/>
          <w:sz w:val="21"/>
          <w:szCs w:val="24"/>
          <w:highlight w:val="none"/>
          <w:u w:val="single"/>
          <w:lang w:val="en-US" w:eastAsia="zh-CN" w:bidi="ar"/>
        </w:rPr>
        <w:t>按监理合同约定</w:t>
      </w:r>
      <w:r>
        <w:rPr>
          <w:rFonts w:hint="eastAsia" w:ascii="宋体" w:hAnsi="宋体" w:eastAsia="宋体" w:cs="宋体"/>
          <w:color w:val="auto"/>
          <w:kern w:val="2"/>
          <w:sz w:val="21"/>
          <w:szCs w:val="24"/>
          <w:highlight w:val="none"/>
          <w:lang w:val="en-US" w:eastAsia="zh-CN" w:bidi="ar"/>
        </w:rPr>
        <w:t>。</w:t>
      </w:r>
    </w:p>
    <w:p w14:paraId="3D2882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4"/>
          <w:highlight w:val="none"/>
          <w:u w:val="single"/>
          <w:lang w:val="en-US" w:eastAsia="zh-CN" w:bidi="ar"/>
        </w:rPr>
        <w:t>由承包人承担，承包人投标报价时综合考虑此项费用</w:t>
      </w:r>
      <w:r>
        <w:rPr>
          <w:rFonts w:hint="eastAsia" w:ascii="宋体" w:hAnsi="宋体" w:eastAsia="宋体" w:cs="宋体"/>
          <w:color w:val="auto"/>
          <w:kern w:val="2"/>
          <w:sz w:val="21"/>
          <w:szCs w:val="24"/>
          <w:highlight w:val="none"/>
          <w:lang w:val="en-US" w:eastAsia="zh-CN" w:bidi="ar"/>
        </w:rPr>
        <w:t>。</w:t>
      </w:r>
    </w:p>
    <w:p w14:paraId="5B9FE12A">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4.2</w:t>
      </w:r>
      <w:r>
        <w:rPr>
          <w:rFonts w:hint="eastAsia" w:ascii="宋体" w:hAnsi="宋体" w:eastAsia="宋体" w:cs="宋体"/>
          <w:color w:val="auto"/>
          <w:sz w:val="24"/>
          <w:szCs w:val="28"/>
          <w:highlight w:val="none"/>
          <w:lang w:eastAsia="zh-CN"/>
        </w:rPr>
        <w:t>监理人员</w:t>
      </w:r>
      <w:bookmarkEnd w:id="326"/>
      <w:bookmarkEnd w:id="327"/>
      <w:bookmarkEnd w:id="328"/>
      <w:bookmarkEnd w:id="329"/>
      <w:bookmarkEnd w:id="330"/>
    </w:p>
    <w:p w14:paraId="377FE9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总监理工程师：</w:t>
      </w:r>
    </w:p>
    <w:p w14:paraId="3F4B4B3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姓名：</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1A0661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职务：</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6794F8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监理工程师执业资格证书号：</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597FC3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联系电话：</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01A0ED1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电子信箱：</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69ED364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通信地址：</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p w14:paraId="7936F4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关于监理人的其他约定：</w:t>
      </w:r>
      <w:r>
        <w:rPr>
          <w:rFonts w:hint="eastAsia" w:ascii="宋体" w:hAnsi="宋体" w:eastAsia="宋体" w:cs="宋体"/>
          <w:color w:val="auto"/>
          <w:kern w:val="2"/>
          <w:sz w:val="21"/>
          <w:szCs w:val="24"/>
          <w:highlight w:val="none"/>
          <w:u w:val="single"/>
          <w:lang w:val="en-US" w:eastAsia="zh-CN" w:bidi="ar"/>
        </w:rPr>
        <w:t>协助发包人做好施工现场的协调工作</w:t>
      </w:r>
      <w:r>
        <w:rPr>
          <w:rFonts w:hint="eastAsia" w:ascii="宋体" w:hAnsi="宋体" w:eastAsia="宋体" w:cs="宋体"/>
          <w:color w:val="auto"/>
          <w:kern w:val="2"/>
          <w:sz w:val="21"/>
          <w:szCs w:val="24"/>
          <w:highlight w:val="none"/>
          <w:lang w:val="en-US" w:eastAsia="zh-CN" w:bidi="ar"/>
        </w:rPr>
        <w:t>。</w:t>
      </w:r>
    </w:p>
    <w:p w14:paraId="1DEBC048">
      <w:pPr>
        <w:pStyle w:val="5"/>
        <w:widowControl/>
        <w:ind w:left="0" w:firstLine="562"/>
        <w:rPr>
          <w:rFonts w:hint="eastAsia" w:ascii="宋体" w:hAnsi="宋体" w:eastAsia="宋体" w:cs="宋体"/>
          <w:color w:val="auto"/>
          <w:sz w:val="24"/>
          <w:szCs w:val="28"/>
          <w:highlight w:val="none"/>
          <w:lang w:val="en-US"/>
        </w:rPr>
      </w:pPr>
      <w:bookmarkStart w:id="331" w:name="_Toc389065282"/>
      <w:bookmarkStart w:id="332" w:name="_Toc407135218"/>
      <w:bookmarkStart w:id="333" w:name="_Toc373227716"/>
      <w:bookmarkStart w:id="334" w:name="_Toc373478363"/>
      <w:bookmarkStart w:id="335" w:name="_Toc487632715"/>
      <w:r>
        <w:rPr>
          <w:rFonts w:hint="eastAsia" w:ascii="宋体" w:hAnsi="宋体" w:eastAsia="宋体" w:cs="宋体"/>
          <w:color w:val="auto"/>
          <w:sz w:val="24"/>
          <w:szCs w:val="28"/>
          <w:highlight w:val="none"/>
          <w:lang w:val="en-US"/>
        </w:rPr>
        <w:t>4.3</w:t>
      </w:r>
      <w:r>
        <w:rPr>
          <w:rFonts w:hint="eastAsia" w:ascii="宋体" w:hAnsi="宋体" w:eastAsia="宋体" w:cs="宋体"/>
          <w:color w:val="auto"/>
          <w:sz w:val="24"/>
          <w:szCs w:val="28"/>
          <w:highlight w:val="none"/>
          <w:lang w:eastAsia="zh-CN"/>
        </w:rPr>
        <w:t>商定或确定</w:t>
      </w:r>
      <w:bookmarkEnd w:id="331"/>
      <w:bookmarkEnd w:id="332"/>
      <w:bookmarkEnd w:id="333"/>
      <w:bookmarkEnd w:id="334"/>
      <w:bookmarkEnd w:id="335"/>
    </w:p>
    <w:p w14:paraId="30788E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bookmarkStart w:id="336" w:name="_Toc267251418"/>
      <w:r>
        <w:rPr>
          <w:rFonts w:hint="eastAsia" w:ascii="宋体" w:hAnsi="宋体" w:eastAsia="宋体" w:cs="宋体"/>
          <w:color w:val="auto"/>
          <w:kern w:val="2"/>
          <w:sz w:val="21"/>
          <w:szCs w:val="24"/>
          <w:highlight w:val="none"/>
          <w:lang w:val="en-US" w:eastAsia="zh-CN" w:bidi="ar"/>
        </w:rPr>
        <w:t>在发包人和承包人不能通过协商达成一致意见时，发包人授权监理人对以下事项进行确定：</w:t>
      </w:r>
    </w:p>
    <w:p w14:paraId="69C65F62">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w:t>
      </w:r>
      <w:r>
        <w:rPr>
          <w:rFonts w:hint="eastAsia" w:ascii="宋体" w:hAnsi="宋体" w:eastAsia="宋体" w:cs="宋体"/>
          <w:color w:val="auto"/>
          <w:kern w:val="2"/>
          <w:sz w:val="21"/>
          <w:szCs w:val="24"/>
          <w:highlight w:val="none"/>
          <w:lang w:val="en-US" w:eastAsia="zh-CN" w:bidi="ar"/>
        </w:rPr>
        <w:t>；</w:t>
      </w:r>
      <w:r>
        <w:rPr>
          <w:rFonts w:hint="eastAsia" w:ascii="宋体" w:hAnsi="宋体" w:eastAsia="宋体" w:cs="宋体"/>
          <w:color w:val="auto"/>
          <w:kern w:val="0"/>
          <w:sz w:val="21"/>
          <w:szCs w:val="24"/>
          <w:highlight w:val="none"/>
          <w:lang w:val="en-US" w:eastAsia="zh-CN" w:bidi="ar"/>
        </w:rPr>
        <w:t>（2）</w:t>
      </w:r>
      <w:r>
        <w:rPr>
          <w:rFonts w:hint="eastAsia" w:ascii="宋体" w:hAnsi="宋体" w:eastAsia="宋体" w:cs="宋体"/>
          <w:color w:val="auto"/>
          <w:kern w:val="2"/>
          <w:sz w:val="21"/>
          <w:szCs w:val="24"/>
          <w:highlight w:val="none"/>
          <w:lang w:val="en-US" w:eastAsia="zh-CN" w:bidi="ar"/>
        </w:rPr>
        <w:t>；</w:t>
      </w:r>
      <w:r>
        <w:rPr>
          <w:rFonts w:hint="eastAsia" w:ascii="宋体" w:hAnsi="宋体" w:eastAsia="宋体" w:cs="宋体"/>
          <w:color w:val="auto"/>
          <w:kern w:val="0"/>
          <w:sz w:val="21"/>
          <w:szCs w:val="24"/>
          <w:highlight w:val="none"/>
          <w:lang w:val="en-US" w:eastAsia="zh-CN" w:bidi="ar"/>
        </w:rPr>
        <w:t>（3）</w:t>
      </w:r>
      <w:r>
        <w:rPr>
          <w:rFonts w:hint="eastAsia" w:ascii="宋体" w:hAnsi="宋体" w:eastAsia="宋体" w:cs="宋体"/>
          <w:color w:val="auto"/>
          <w:kern w:val="2"/>
          <w:sz w:val="21"/>
          <w:szCs w:val="24"/>
          <w:highlight w:val="none"/>
          <w:lang w:val="en-US" w:eastAsia="zh-CN" w:bidi="ar"/>
        </w:rPr>
        <w:t>。</w:t>
      </w:r>
    </w:p>
    <w:p w14:paraId="1F131579">
      <w:pPr>
        <w:pStyle w:val="4"/>
        <w:widowControl/>
        <w:ind w:left="0" w:firstLine="602"/>
        <w:rPr>
          <w:rFonts w:hint="eastAsia" w:ascii="宋体" w:hAnsi="宋体" w:eastAsia="宋体" w:cs="宋体"/>
          <w:color w:val="auto"/>
          <w:sz w:val="28"/>
          <w:szCs w:val="28"/>
          <w:highlight w:val="none"/>
          <w:lang w:val="en-US"/>
        </w:rPr>
      </w:pPr>
      <w:bookmarkStart w:id="337" w:name="_Toc351203637"/>
      <w:bookmarkStart w:id="338" w:name="_Toc373227717"/>
      <w:bookmarkStart w:id="339" w:name="_Toc407135219"/>
      <w:bookmarkStart w:id="340" w:name="_Toc389065283"/>
      <w:bookmarkStart w:id="341" w:name="_Toc487632716"/>
      <w:bookmarkStart w:id="342" w:name="_Toc373478364"/>
      <w:r>
        <w:rPr>
          <w:rFonts w:hint="eastAsia" w:ascii="宋体" w:hAnsi="宋体" w:eastAsia="宋体" w:cs="宋体"/>
          <w:color w:val="auto"/>
          <w:sz w:val="28"/>
          <w:szCs w:val="28"/>
          <w:highlight w:val="none"/>
          <w:lang w:val="en-US"/>
        </w:rPr>
        <w:t>5</w:t>
      </w:r>
      <w:bookmarkEnd w:id="336"/>
      <w:bookmarkStart w:id="343" w:name="_Toc296944502"/>
      <w:bookmarkStart w:id="344" w:name="_Toc296503163"/>
      <w:bookmarkStart w:id="345" w:name="_Toc292559872"/>
      <w:bookmarkStart w:id="346" w:name="_Toc296890991"/>
      <w:bookmarkStart w:id="347" w:name="_Toc297120463"/>
      <w:bookmarkStart w:id="348" w:name="_Toc296346664"/>
      <w:bookmarkStart w:id="349" w:name="_Toc296891203"/>
      <w:bookmarkStart w:id="350" w:name="_Toc296347162"/>
      <w:bookmarkStart w:id="351" w:name="_Toc297048349"/>
      <w:bookmarkStart w:id="352" w:name="_Toc292559367"/>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eastAsia="zh-CN"/>
        </w:rPr>
        <w:t>工程质量</w:t>
      </w:r>
      <w:bookmarkEnd w:id="337"/>
      <w:bookmarkEnd w:id="338"/>
      <w:bookmarkEnd w:id="339"/>
      <w:bookmarkEnd w:id="340"/>
      <w:bookmarkEnd w:id="341"/>
      <w:bookmarkEnd w:id="342"/>
    </w:p>
    <w:p w14:paraId="0D296393">
      <w:pPr>
        <w:pStyle w:val="5"/>
        <w:widowControl/>
        <w:ind w:left="0" w:firstLine="562"/>
        <w:rPr>
          <w:rFonts w:hint="eastAsia" w:ascii="宋体" w:hAnsi="宋体" w:eastAsia="宋体" w:cs="宋体"/>
          <w:color w:val="auto"/>
          <w:sz w:val="24"/>
          <w:szCs w:val="28"/>
          <w:highlight w:val="none"/>
          <w:lang w:val="en-US"/>
        </w:rPr>
      </w:pPr>
      <w:bookmarkStart w:id="353" w:name="_Toc487632717"/>
      <w:bookmarkStart w:id="354" w:name="_Toc373227718"/>
      <w:bookmarkStart w:id="355" w:name="_Toc389065284"/>
      <w:bookmarkStart w:id="356" w:name="_Toc407135220"/>
      <w:bookmarkStart w:id="357" w:name="_Toc373478365"/>
      <w:r>
        <w:rPr>
          <w:rFonts w:hint="eastAsia" w:ascii="宋体" w:hAnsi="宋体" w:eastAsia="宋体" w:cs="宋体"/>
          <w:color w:val="auto"/>
          <w:sz w:val="24"/>
          <w:szCs w:val="28"/>
          <w:highlight w:val="none"/>
          <w:lang w:val="en-US"/>
        </w:rPr>
        <w:t>5.1</w:t>
      </w:r>
      <w:r>
        <w:rPr>
          <w:rFonts w:hint="eastAsia" w:ascii="宋体" w:hAnsi="宋体" w:eastAsia="宋体" w:cs="宋体"/>
          <w:color w:val="auto"/>
          <w:sz w:val="24"/>
          <w:szCs w:val="28"/>
          <w:highlight w:val="none"/>
          <w:lang w:eastAsia="zh-CN"/>
        </w:rPr>
        <w:t>质量要求</w:t>
      </w:r>
      <w:bookmarkEnd w:id="353"/>
      <w:bookmarkEnd w:id="354"/>
      <w:bookmarkEnd w:id="355"/>
      <w:bookmarkEnd w:id="356"/>
      <w:bookmarkEnd w:id="357"/>
    </w:p>
    <w:p w14:paraId="1C12083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5</w:t>
      </w:r>
      <w:bookmarkStart w:id="358" w:name="_Toc297216155"/>
      <w:bookmarkStart w:id="359" w:name="_Toc318581164"/>
      <w:bookmarkStart w:id="360" w:name="_Toc297123496"/>
      <w:bookmarkStart w:id="361" w:name="_Toc300934949"/>
      <w:bookmarkStart w:id="362" w:name="_Toc312677997"/>
      <w:bookmarkStart w:id="363" w:name="_Toc304295527"/>
      <w:bookmarkStart w:id="364" w:name="_Toc303539106"/>
      <w:r>
        <w:rPr>
          <w:rFonts w:hint="eastAsia" w:ascii="宋体" w:hAnsi="宋体" w:eastAsia="宋体" w:cs="宋体"/>
          <w:color w:val="auto"/>
          <w:kern w:val="2"/>
          <w:sz w:val="21"/>
          <w:szCs w:val="24"/>
          <w:highlight w:val="none"/>
          <w:lang w:val="en-US" w:eastAsia="zh-CN" w:bidi="ar"/>
        </w:rPr>
        <w:t>.1.1特殊质量标准和要求：。</w:t>
      </w:r>
    </w:p>
    <w:p w14:paraId="101ABFA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关于工程奖项的约定：。</w:t>
      </w:r>
    </w:p>
    <w:p w14:paraId="51A32A7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5.3隐蔽工程检查</w:t>
      </w:r>
    </w:p>
    <w:p w14:paraId="7FBF953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5C838E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监理人不能按时进行检查时，应提前</w:t>
      </w:r>
      <w:r>
        <w:rPr>
          <w:rFonts w:hint="eastAsia" w:ascii="宋体" w:hAnsi="宋体" w:eastAsia="宋体" w:cs="宋体"/>
          <w:color w:val="auto"/>
          <w:kern w:val="2"/>
          <w:sz w:val="21"/>
          <w:szCs w:val="24"/>
          <w:highlight w:val="none"/>
          <w:u w:val="single"/>
          <w:lang w:val="en-US" w:eastAsia="zh-CN" w:bidi="ar"/>
        </w:rPr>
        <w:t>24</w:t>
      </w:r>
      <w:r>
        <w:rPr>
          <w:rFonts w:hint="eastAsia" w:ascii="宋体" w:hAnsi="宋体" w:eastAsia="宋体" w:cs="宋体"/>
          <w:color w:val="auto"/>
          <w:kern w:val="2"/>
          <w:sz w:val="21"/>
          <w:szCs w:val="24"/>
          <w:highlight w:val="none"/>
          <w:lang w:val="en-US" w:eastAsia="zh-CN" w:bidi="ar"/>
        </w:rPr>
        <w:t>小时提交书面延期要求。</w:t>
      </w:r>
    </w:p>
    <w:p w14:paraId="063EC98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关于延期最长不得超过：</w:t>
      </w:r>
      <w:r>
        <w:rPr>
          <w:rFonts w:hint="eastAsia" w:ascii="宋体" w:hAnsi="宋体" w:eastAsia="宋体" w:cs="宋体"/>
          <w:color w:val="auto"/>
          <w:kern w:val="2"/>
          <w:sz w:val="21"/>
          <w:szCs w:val="24"/>
          <w:highlight w:val="none"/>
          <w:u w:val="single"/>
          <w:lang w:val="en-US" w:eastAsia="zh-CN" w:bidi="ar"/>
        </w:rPr>
        <w:t>48</w:t>
      </w:r>
      <w:r>
        <w:rPr>
          <w:rFonts w:hint="eastAsia" w:ascii="宋体" w:hAnsi="宋体" w:eastAsia="宋体" w:cs="宋体"/>
          <w:color w:val="auto"/>
          <w:kern w:val="2"/>
          <w:sz w:val="21"/>
          <w:szCs w:val="24"/>
          <w:highlight w:val="none"/>
          <w:lang w:val="en-US" w:eastAsia="zh-CN" w:bidi="ar"/>
        </w:rPr>
        <w:t>小时。</w:t>
      </w:r>
    </w:p>
    <w:p w14:paraId="6C7613AC">
      <w:pPr>
        <w:pStyle w:val="4"/>
        <w:widowControl/>
        <w:ind w:left="0" w:firstLine="602"/>
        <w:rPr>
          <w:rFonts w:hint="eastAsia" w:ascii="宋体" w:hAnsi="宋体" w:eastAsia="宋体" w:cs="宋体"/>
          <w:color w:val="auto"/>
          <w:sz w:val="28"/>
          <w:szCs w:val="28"/>
          <w:highlight w:val="none"/>
          <w:lang w:val="en-US"/>
        </w:rPr>
      </w:pPr>
      <w:bookmarkStart w:id="365" w:name="_Toc351203638"/>
      <w:bookmarkStart w:id="366" w:name="_Toc389065285"/>
      <w:bookmarkStart w:id="367" w:name="_Toc373478366"/>
      <w:bookmarkStart w:id="368" w:name="_Toc407135221"/>
      <w:bookmarkStart w:id="369" w:name="_Toc487632718"/>
      <w:bookmarkStart w:id="370" w:name="_Toc373227719"/>
      <w:r>
        <w:rPr>
          <w:rFonts w:hint="eastAsia" w:ascii="宋体" w:hAnsi="宋体" w:eastAsia="宋体" w:cs="宋体"/>
          <w:color w:val="auto"/>
          <w:sz w:val="28"/>
          <w:szCs w:val="28"/>
          <w:highlight w:val="none"/>
          <w:lang w:val="en-US"/>
        </w:rPr>
        <w:t>6.</w:t>
      </w:r>
      <w:r>
        <w:rPr>
          <w:rFonts w:hint="eastAsia" w:ascii="宋体" w:hAnsi="宋体" w:eastAsia="宋体" w:cs="宋体"/>
          <w:color w:val="auto"/>
          <w:sz w:val="28"/>
          <w:szCs w:val="28"/>
          <w:highlight w:val="none"/>
          <w:lang w:eastAsia="zh-CN"/>
        </w:rPr>
        <w:t>安全文明施工与环境保护</w:t>
      </w:r>
      <w:bookmarkEnd w:id="365"/>
      <w:bookmarkEnd w:id="366"/>
      <w:bookmarkEnd w:id="367"/>
      <w:bookmarkEnd w:id="368"/>
      <w:bookmarkEnd w:id="369"/>
      <w:bookmarkEnd w:id="370"/>
    </w:p>
    <w:p w14:paraId="632A4FEF">
      <w:pPr>
        <w:pStyle w:val="5"/>
        <w:widowControl/>
        <w:ind w:left="0" w:firstLine="562"/>
        <w:rPr>
          <w:rFonts w:hint="eastAsia" w:ascii="宋体" w:hAnsi="宋体" w:eastAsia="宋体" w:cs="宋体"/>
          <w:color w:val="auto"/>
          <w:sz w:val="24"/>
          <w:szCs w:val="28"/>
          <w:highlight w:val="none"/>
          <w:lang w:val="en-US"/>
        </w:rPr>
      </w:pPr>
      <w:bookmarkStart w:id="371" w:name="_Toc487632719"/>
      <w:bookmarkStart w:id="372" w:name="_Toc407135222"/>
      <w:bookmarkStart w:id="373" w:name="_Toc389065286"/>
      <w:bookmarkStart w:id="374" w:name="_Toc373227720"/>
      <w:bookmarkStart w:id="375" w:name="_Toc373478367"/>
      <w:r>
        <w:rPr>
          <w:rFonts w:hint="eastAsia" w:ascii="宋体" w:hAnsi="宋体" w:eastAsia="宋体" w:cs="宋体"/>
          <w:color w:val="auto"/>
          <w:sz w:val="24"/>
          <w:szCs w:val="28"/>
          <w:highlight w:val="none"/>
          <w:lang w:val="en-US"/>
        </w:rPr>
        <w:t>6.1</w:t>
      </w:r>
      <w:r>
        <w:rPr>
          <w:rFonts w:hint="eastAsia" w:ascii="宋体" w:hAnsi="宋体" w:eastAsia="宋体" w:cs="宋体"/>
          <w:color w:val="auto"/>
          <w:sz w:val="24"/>
          <w:szCs w:val="28"/>
          <w:highlight w:val="none"/>
          <w:lang w:eastAsia="zh-CN"/>
        </w:rPr>
        <w:t>安全文明施工</w:t>
      </w:r>
      <w:bookmarkEnd w:id="371"/>
      <w:bookmarkEnd w:id="372"/>
      <w:bookmarkEnd w:id="373"/>
      <w:bookmarkEnd w:id="374"/>
      <w:bookmarkEnd w:id="375"/>
    </w:p>
    <w:p w14:paraId="10199EE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6.1.1项目安全生产的达标目标及相应事项的约定：</w:t>
      </w:r>
      <w:r>
        <w:rPr>
          <w:rFonts w:hint="eastAsia" w:ascii="宋体" w:hAnsi="宋体" w:eastAsia="宋体" w:cs="宋体"/>
          <w:color w:val="auto"/>
          <w:kern w:val="2"/>
          <w:sz w:val="21"/>
          <w:szCs w:val="24"/>
          <w:highlight w:val="none"/>
          <w:u w:val="single"/>
          <w:lang w:val="en-US" w:eastAsia="zh-CN" w:bidi="ar"/>
        </w:rPr>
        <w:t>符合安全文明施工工地标准，配备消防设备（符合消防安全规定），防止火灾发生，费用由承包人承担。承包人承担一切由于自身安全措施不力而造成的安全事故责任及因此而发生的费用</w:t>
      </w:r>
      <w:r>
        <w:rPr>
          <w:rFonts w:hint="eastAsia" w:ascii="宋体" w:hAnsi="宋体" w:eastAsia="宋体" w:cs="宋体"/>
          <w:color w:val="auto"/>
          <w:kern w:val="2"/>
          <w:sz w:val="21"/>
          <w:szCs w:val="24"/>
          <w:highlight w:val="none"/>
          <w:lang w:val="en-US" w:eastAsia="zh-CN" w:bidi="ar"/>
        </w:rPr>
        <w:t>。</w:t>
      </w:r>
    </w:p>
    <w:p w14:paraId="66CE4E8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关于安全文明施工奖项的约定：</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6C2C5EB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6.1.2关于治安保卫的特别约定：</w:t>
      </w:r>
      <w:r>
        <w:rPr>
          <w:rFonts w:hint="eastAsia" w:ascii="宋体" w:hAnsi="宋体" w:eastAsia="宋体" w:cs="宋体"/>
          <w:color w:val="auto"/>
          <w:kern w:val="2"/>
          <w:sz w:val="21"/>
          <w:szCs w:val="24"/>
          <w:highlight w:val="none"/>
          <w:u w:val="single"/>
          <w:lang w:val="en-US" w:eastAsia="zh-CN"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28D1FF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关于编制施工场地治安管理计划的约定：</w:t>
      </w:r>
      <w:r>
        <w:rPr>
          <w:rFonts w:hint="eastAsia" w:ascii="宋体" w:hAnsi="宋体" w:eastAsia="宋体" w:cs="宋体"/>
          <w:color w:val="auto"/>
          <w:kern w:val="2"/>
          <w:sz w:val="21"/>
          <w:szCs w:val="24"/>
          <w:highlight w:val="none"/>
          <w:u w:val="single"/>
          <w:lang w:val="en-US" w:eastAsia="zh-CN" w:bidi="ar"/>
        </w:rPr>
        <w:t>由承包人负责编制和办理报批手续</w:t>
      </w:r>
      <w:r>
        <w:rPr>
          <w:rFonts w:hint="eastAsia" w:ascii="宋体" w:hAnsi="宋体" w:eastAsia="宋体" w:cs="宋体"/>
          <w:color w:val="auto"/>
          <w:kern w:val="2"/>
          <w:sz w:val="21"/>
          <w:szCs w:val="24"/>
          <w:highlight w:val="none"/>
          <w:lang w:val="en-US" w:eastAsia="zh-CN" w:bidi="ar"/>
        </w:rPr>
        <w:t>。</w:t>
      </w:r>
    </w:p>
    <w:p w14:paraId="2004C38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6.1.3文明施工</w:t>
      </w:r>
    </w:p>
    <w:p w14:paraId="3A2A180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合同当事人对文明施工的要求：</w:t>
      </w:r>
      <w:r>
        <w:rPr>
          <w:rFonts w:hint="eastAsia" w:ascii="宋体" w:hAnsi="宋体" w:eastAsia="宋体" w:cs="宋体"/>
          <w:color w:val="auto"/>
          <w:kern w:val="2"/>
          <w:sz w:val="21"/>
          <w:szCs w:val="24"/>
          <w:highlight w:val="none"/>
          <w:u w:val="single"/>
          <w:lang w:val="en-US" w:eastAsia="zh-CN" w:bidi="ar"/>
        </w:rPr>
        <w:t>1、承包人在施工过程中，应遵守有关环境保护的法律，履行合同约定的环境保护义务，并对违反法律和合同约定义务所造成的环境破坏、人身伤害和财产损失负责。</w:t>
      </w:r>
    </w:p>
    <w:p w14:paraId="21B65DA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2、承包人应编制施工环保措施计划，报送监理人审批，其中所编制施工环保措施的实施标准不得低于承包人投标文件中相应措施的计划标准。</w:t>
      </w:r>
    </w:p>
    <w:p w14:paraId="5649847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90164C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u w:val="single"/>
          <w:lang w:val="en-US" w:eastAsia="zh-CN" w:bidi="ar"/>
        </w:rPr>
        <w:t>4、承包人应加强对噪声、粉尘、废气、废水和废油的控制，努力降低噪声，控制粉尘和废气浓度，做好废水和废油的治理和排放。因承包人原因造成的处罚由承包人负责</w:t>
      </w:r>
      <w:r>
        <w:rPr>
          <w:rFonts w:hint="eastAsia" w:ascii="宋体" w:hAnsi="宋体" w:eastAsia="宋体" w:cs="宋体"/>
          <w:color w:val="auto"/>
          <w:kern w:val="2"/>
          <w:sz w:val="21"/>
          <w:szCs w:val="24"/>
          <w:highlight w:val="none"/>
          <w:lang w:val="en-US" w:eastAsia="zh-CN" w:bidi="ar"/>
        </w:rPr>
        <w:t>。</w:t>
      </w:r>
    </w:p>
    <w:p w14:paraId="4F07656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6.1.4关于安全文明施工费支付比例和支付期限的约定：</w:t>
      </w:r>
    </w:p>
    <w:p w14:paraId="4C260958">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（1）本合同价款已包含安全文明施工费元。</w:t>
      </w:r>
    </w:p>
    <w:p w14:paraId="2FB7A152">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（2）使用要求：专款专用。具体按</w:t>
      </w:r>
      <w:r>
        <w:rPr>
          <w:rFonts w:hint="eastAsia" w:ascii="宋体" w:hAnsi="宋体" w:eastAsia="宋体" w:cs="宋体"/>
          <w:color w:val="auto"/>
          <w:kern w:val="0"/>
          <w:sz w:val="21"/>
          <w:szCs w:val="24"/>
          <w:highlight w:val="none"/>
          <w:u w:val="single"/>
          <w:lang w:val="en-US" w:eastAsia="zh-CN" w:bidi="ar"/>
        </w:rPr>
        <w:t>《广西壮族自治区建设工程安全文明施工费使用管理细则》（桂建质〔2015〕16号）</w:t>
      </w:r>
      <w:r>
        <w:rPr>
          <w:rFonts w:hint="eastAsia" w:ascii="宋体" w:hAnsi="宋体" w:eastAsia="宋体" w:cs="宋体"/>
          <w:color w:val="auto"/>
          <w:kern w:val="0"/>
          <w:sz w:val="21"/>
          <w:szCs w:val="24"/>
          <w:highlight w:val="none"/>
          <w:lang w:val="en-US" w:eastAsia="zh-CN" w:bidi="ar"/>
        </w:rPr>
        <w:t>和</w:t>
      </w:r>
      <w:r>
        <w:rPr>
          <w:rFonts w:hint="eastAsia" w:ascii="宋体" w:hAnsi="宋体" w:eastAsia="宋体" w:cs="宋体"/>
          <w:color w:val="auto"/>
          <w:kern w:val="0"/>
          <w:sz w:val="21"/>
          <w:szCs w:val="24"/>
          <w:highlight w:val="none"/>
          <w:u w:val="single"/>
          <w:lang w:val="en-US" w:eastAsia="zh-CN" w:bidi="ar"/>
        </w:rPr>
        <w:t>梧州</w:t>
      </w:r>
      <w:r>
        <w:rPr>
          <w:rFonts w:hint="eastAsia" w:ascii="宋体" w:hAnsi="宋体" w:eastAsia="宋体" w:cs="宋体"/>
          <w:color w:val="auto"/>
          <w:kern w:val="0"/>
          <w:sz w:val="21"/>
          <w:szCs w:val="24"/>
          <w:highlight w:val="none"/>
          <w:lang w:val="en-US" w:eastAsia="zh-CN" w:bidi="ar"/>
        </w:rPr>
        <w:t>市相关规定执行。</w:t>
      </w:r>
    </w:p>
    <w:p w14:paraId="3F804F0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（3）支付约定：在本合同签订后7个工作日内，预付安全文明施工费总额的30%，其余部分与进度款同期支付。</w:t>
      </w:r>
    </w:p>
    <w:p w14:paraId="1593F592">
      <w:pPr>
        <w:pStyle w:val="4"/>
        <w:widowControl/>
        <w:ind w:left="0" w:firstLine="602"/>
        <w:rPr>
          <w:rFonts w:hint="eastAsia" w:ascii="宋体" w:hAnsi="宋体" w:eastAsia="宋体" w:cs="宋体"/>
          <w:color w:val="auto"/>
          <w:sz w:val="28"/>
          <w:szCs w:val="28"/>
          <w:highlight w:val="none"/>
          <w:lang w:val="en-US"/>
        </w:rPr>
      </w:pPr>
      <w:bookmarkStart w:id="376" w:name="_Toc373478368"/>
      <w:bookmarkStart w:id="377" w:name="_Toc389065287"/>
      <w:bookmarkStart w:id="378" w:name="_Toc373227721"/>
      <w:bookmarkStart w:id="379" w:name="_Toc407135223"/>
      <w:bookmarkStart w:id="380" w:name="_Toc487632720"/>
      <w:r>
        <w:rPr>
          <w:rFonts w:hint="eastAsia" w:ascii="宋体" w:hAnsi="宋体" w:eastAsia="宋体" w:cs="宋体"/>
          <w:color w:val="auto"/>
          <w:sz w:val="28"/>
          <w:szCs w:val="28"/>
          <w:highlight w:val="none"/>
          <w:lang w:val="en-US"/>
        </w:rPr>
        <w:t>6.2</w:t>
      </w:r>
      <w:r>
        <w:rPr>
          <w:rFonts w:hint="eastAsia" w:ascii="宋体" w:hAnsi="宋体" w:eastAsia="宋体" w:cs="宋体"/>
          <w:color w:val="auto"/>
          <w:sz w:val="28"/>
          <w:szCs w:val="28"/>
          <w:highlight w:val="none"/>
          <w:lang w:eastAsia="zh-CN"/>
        </w:rPr>
        <w:t>环境保护</w:t>
      </w:r>
      <w:bookmarkEnd w:id="376"/>
      <w:bookmarkEnd w:id="377"/>
      <w:bookmarkEnd w:id="378"/>
      <w:bookmarkEnd w:id="379"/>
      <w:bookmarkEnd w:id="380"/>
    </w:p>
    <w:p w14:paraId="4CAC911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因施工需要，经发包人批准，由承包人办理有关施工场地交通、环卫和施工噪音管理等手续，费用由承包人负责。</w:t>
      </w:r>
    </w:p>
    <w:p w14:paraId="413785D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经过城市道路的施工车辆，必须按交警、城管、运输等部门相关规定执行。由于施工车辆造成的道路、环境等污染，其责任和费用均由承包人承担。</w:t>
      </w:r>
    </w:p>
    <w:bookmarkEnd w:id="358"/>
    <w:bookmarkEnd w:id="359"/>
    <w:bookmarkEnd w:id="360"/>
    <w:bookmarkEnd w:id="361"/>
    <w:bookmarkEnd w:id="362"/>
    <w:bookmarkEnd w:id="363"/>
    <w:bookmarkEnd w:id="364"/>
    <w:p w14:paraId="23643329">
      <w:pPr>
        <w:pStyle w:val="4"/>
        <w:widowControl/>
        <w:ind w:left="0" w:firstLine="602"/>
        <w:rPr>
          <w:rFonts w:hint="eastAsia" w:ascii="宋体" w:hAnsi="宋体" w:eastAsia="宋体" w:cs="宋体"/>
          <w:color w:val="auto"/>
          <w:sz w:val="28"/>
          <w:szCs w:val="28"/>
          <w:highlight w:val="none"/>
          <w:lang w:val="en-US"/>
        </w:rPr>
      </w:pPr>
      <w:bookmarkStart w:id="381" w:name="_Toc351203639"/>
      <w:bookmarkStart w:id="382" w:name="_Toc373478369"/>
      <w:bookmarkStart w:id="383" w:name="_Toc487632721"/>
      <w:bookmarkStart w:id="384" w:name="_Toc407135224"/>
      <w:bookmarkStart w:id="385" w:name="_Toc389065288"/>
      <w:bookmarkStart w:id="386" w:name="_Toc373227722"/>
      <w:r>
        <w:rPr>
          <w:rFonts w:hint="eastAsia" w:ascii="宋体" w:hAnsi="宋体" w:eastAsia="宋体" w:cs="宋体"/>
          <w:color w:val="auto"/>
          <w:sz w:val="28"/>
          <w:szCs w:val="28"/>
          <w:highlight w:val="none"/>
          <w:lang w:val="en-US"/>
        </w:rPr>
        <w:t>7.</w:t>
      </w:r>
      <w:r>
        <w:rPr>
          <w:rFonts w:hint="eastAsia" w:ascii="宋体" w:hAnsi="宋体" w:eastAsia="宋体" w:cs="宋体"/>
          <w:color w:val="auto"/>
          <w:sz w:val="28"/>
          <w:szCs w:val="28"/>
          <w:highlight w:val="none"/>
          <w:lang w:eastAsia="zh-CN"/>
        </w:rPr>
        <w:t>工期和进度</w:t>
      </w:r>
      <w:bookmarkEnd w:id="381"/>
      <w:bookmarkEnd w:id="382"/>
      <w:bookmarkEnd w:id="383"/>
      <w:bookmarkEnd w:id="384"/>
      <w:bookmarkEnd w:id="385"/>
      <w:bookmarkEnd w:id="386"/>
    </w:p>
    <w:p w14:paraId="58384243">
      <w:pPr>
        <w:pStyle w:val="5"/>
        <w:widowControl/>
        <w:ind w:left="0" w:firstLine="562"/>
        <w:rPr>
          <w:rFonts w:hint="eastAsia" w:ascii="宋体" w:hAnsi="宋体" w:eastAsia="宋体" w:cs="宋体"/>
          <w:color w:val="auto"/>
          <w:sz w:val="24"/>
          <w:szCs w:val="28"/>
          <w:highlight w:val="none"/>
          <w:lang w:val="en-US"/>
        </w:rPr>
      </w:pPr>
      <w:bookmarkStart w:id="387" w:name="_Toc487632722"/>
      <w:bookmarkStart w:id="388" w:name="_Toc407135225"/>
      <w:bookmarkStart w:id="389" w:name="_Toc373478370"/>
      <w:bookmarkStart w:id="390" w:name="_Toc373227723"/>
      <w:bookmarkStart w:id="391" w:name="_Toc389065289"/>
      <w:r>
        <w:rPr>
          <w:rFonts w:hint="eastAsia" w:ascii="宋体" w:hAnsi="宋体" w:eastAsia="宋体" w:cs="宋体"/>
          <w:color w:val="auto"/>
          <w:sz w:val="24"/>
          <w:szCs w:val="28"/>
          <w:highlight w:val="none"/>
          <w:lang w:val="en-US"/>
        </w:rPr>
        <w:t>7.1</w:t>
      </w:r>
      <w:r>
        <w:rPr>
          <w:rFonts w:hint="eastAsia" w:ascii="宋体" w:hAnsi="宋体" w:eastAsia="宋体" w:cs="宋体"/>
          <w:color w:val="auto"/>
          <w:sz w:val="24"/>
          <w:szCs w:val="28"/>
          <w:highlight w:val="none"/>
          <w:lang w:eastAsia="zh-CN"/>
        </w:rPr>
        <w:t>施工组织设计</w:t>
      </w:r>
      <w:bookmarkEnd w:id="387"/>
      <w:bookmarkEnd w:id="388"/>
      <w:bookmarkEnd w:id="389"/>
      <w:bookmarkEnd w:id="390"/>
      <w:bookmarkEnd w:id="391"/>
    </w:p>
    <w:p w14:paraId="4FB7472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7.1.1</w:t>
      </w:r>
      <w:r>
        <w:rPr>
          <w:rFonts w:hint="eastAsia" w:ascii="Times New Roman" w:hAnsi="Times New Roman" w:eastAsia="宋体" w:cs="宋体"/>
          <w:color w:val="auto"/>
          <w:kern w:val="2"/>
          <w:sz w:val="21"/>
          <w:szCs w:val="24"/>
          <w:highlight w:val="none"/>
          <w:lang w:val="en-US" w:eastAsia="zh-CN" w:bidi="ar"/>
        </w:rPr>
        <w:t>合同当事人约定的施工组织设计应包括的其他内容：按照工程特点和行业有关规定编制。</w:t>
      </w:r>
    </w:p>
    <w:p w14:paraId="2E4379D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2"/>
          <w:sz w:val="21"/>
          <w:szCs w:val="24"/>
          <w:highlight w:val="none"/>
          <w:lang w:val="en-US" w:eastAsia="zh-CN" w:bidi="ar"/>
        </w:rPr>
        <w:t>7.1.2</w:t>
      </w:r>
      <w:r>
        <w:rPr>
          <w:rFonts w:hint="eastAsia" w:ascii="宋体" w:hAnsi="宋体" w:eastAsia="宋体" w:cs="宋体"/>
          <w:color w:val="auto"/>
          <w:kern w:val="0"/>
          <w:sz w:val="21"/>
          <w:szCs w:val="24"/>
          <w:highlight w:val="none"/>
          <w:lang w:val="en-US" w:eastAsia="zh-CN" w:bidi="ar"/>
        </w:rPr>
        <w:t>施工组织设计的提交和修改</w:t>
      </w:r>
    </w:p>
    <w:p w14:paraId="43F03677">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bookmarkStart w:id="392" w:name="_Toc407135226"/>
      <w:bookmarkStart w:id="393" w:name="_Toc487632723"/>
      <w:bookmarkStart w:id="394" w:name="_Toc389065290"/>
      <w:bookmarkStart w:id="395" w:name="_Toc373478371"/>
      <w:bookmarkStart w:id="396" w:name="_Toc373227724"/>
      <w:r>
        <w:rPr>
          <w:rFonts w:hint="eastAsia" w:ascii="宋体" w:hAnsi="宋体" w:eastAsia="宋体" w:cs="宋体"/>
          <w:color w:val="auto"/>
          <w:kern w:val="0"/>
          <w:sz w:val="21"/>
          <w:szCs w:val="24"/>
          <w:highlight w:val="none"/>
          <w:lang w:val="en-US" w:eastAsia="zh-CN" w:bidi="ar"/>
        </w:rPr>
        <w:t>承包人提交详细施工组织设计的期限的约定：</w:t>
      </w:r>
      <w:r>
        <w:rPr>
          <w:rFonts w:hint="eastAsia" w:ascii="宋体" w:hAnsi="宋体" w:eastAsia="宋体" w:cs="宋体"/>
          <w:color w:val="auto"/>
          <w:kern w:val="2"/>
          <w:sz w:val="21"/>
          <w:szCs w:val="24"/>
          <w:highlight w:val="none"/>
          <w:u w:val="single"/>
          <w:lang w:val="en-US" w:eastAsia="zh-CN" w:bidi="ar"/>
        </w:rPr>
        <w:t>承包人应在投标文件施工组织设计的基础上，编制工程详细施工组织设计，要求后者的各项实施标准不得降低前者对应项目所计划的标准。承包人应在合同签订后14天内，但最迟不得晚于开工通知载明的开工日期前7天，向监理人提交详细的的施工组织设计，并由监理人报送发包人</w:t>
      </w:r>
      <w:r>
        <w:rPr>
          <w:rFonts w:hint="eastAsia" w:ascii="宋体" w:hAnsi="宋体" w:eastAsia="宋体" w:cs="宋体"/>
          <w:color w:val="auto"/>
          <w:kern w:val="2"/>
          <w:sz w:val="21"/>
          <w:szCs w:val="24"/>
          <w:highlight w:val="none"/>
          <w:lang w:val="en-US" w:eastAsia="zh-CN" w:bidi="ar"/>
        </w:rPr>
        <w:t>。</w:t>
      </w:r>
    </w:p>
    <w:p w14:paraId="38E17C9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4"/>
          <w:highlight w:val="none"/>
          <w:u w:val="single"/>
          <w:lang w:val="en-US" w:eastAsia="zh-CN" w:bidi="ar"/>
        </w:rPr>
        <w:t>收到后7天内</w:t>
      </w:r>
      <w:r>
        <w:rPr>
          <w:rFonts w:hint="eastAsia" w:ascii="宋体" w:hAnsi="宋体" w:eastAsia="宋体" w:cs="宋体"/>
          <w:color w:val="auto"/>
          <w:kern w:val="2"/>
          <w:sz w:val="21"/>
          <w:szCs w:val="24"/>
          <w:highlight w:val="none"/>
          <w:lang w:val="en-US" w:eastAsia="zh-CN" w:bidi="ar"/>
        </w:rPr>
        <w:t>。</w:t>
      </w:r>
    </w:p>
    <w:p w14:paraId="64CB98D2">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7</w:t>
      </w:r>
      <w:bookmarkStart w:id="397" w:name="_Toc303539123"/>
      <w:bookmarkStart w:id="398" w:name="_Toc297123514"/>
      <w:bookmarkStart w:id="399" w:name="_Toc312678005"/>
      <w:bookmarkStart w:id="400" w:name="_Toc300934966"/>
      <w:bookmarkStart w:id="401" w:name="_Toc312677479"/>
      <w:bookmarkStart w:id="402" w:name="_Toc304295541"/>
      <w:bookmarkStart w:id="403" w:name="_Toc297216173"/>
      <w:r>
        <w:rPr>
          <w:rFonts w:hint="eastAsia" w:ascii="宋体" w:hAnsi="宋体" w:eastAsia="宋体" w:cs="宋体"/>
          <w:color w:val="auto"/>
          <w:sz w:val="24"/>
          <w:szCs w:val="28"/>
          <w:highlight w:val="none"/>
          <w:lang w:val="en-US"/>
        </w:rPr>
        <w:t>.2</w:t>
      </w:r>
      <w:r>
        <w:rPr>
          <w:rFonts w:hint="eastAsia" w:ascii="宋体" w:hAnsi="宋体" w:eastAsia="宋体" w:cs="宋体"/>
          <w:color w:val="auto"/>
          <w:sz w:val="24"/>
          <w:szCs w:val="28"/>
          <w:highlight w:val="none"/>
          <w:lang w:eastAsia="zh-CN"/>
        </w:rPr>
        <w:t>施工进度计划</w:t>
      </w:r>
      <w:bookmarkEnd w:id="392"/>
      <w:bookmarkEnd w:id="393"/>
      <w:bookmarkEnd w:id="394"/>
      <w:bookmarkEnd w:id="395"/>
      <w:bookmarkEnd w:id="396"/>
    </w:p>
    <w:p w14:paraId="06FD42A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施工进度计划的修订</w:t>
      </w:r>
    </w:p>
    <w:p w14:paraId="21257281">
      <w:pPr>
        <w:keepNext w:val="0"/>
        <w:keepLines w:val="0"/>
        <w:widowControl w:val="0"/>
        <w:suppressLineNumbers w:val="0"/>
        <w:spacing w:before="0" w:beforeAutospacing="0" w:after="0" w:afterAutospacing="0" w:line="360" w:lineRule="auto"/>
        <w:ind w:left="0" w:right="0" w:firstLine="210" w:firstLineChars="1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4"/>
          <w:highlight w:val="none"/>
          <w:u w:val="single"/>
          <w:lang w:val="en-US" w:eastAsia="zh-CN" w:bidi="ar"/>
        </w:rPr>
        <w:t>收到后7天内</w:t>
      </w:r>
      <w:r>
        <w:rPr>
          <w:rFonts w:hint="eastAsia" w:ascii="宋体" w:hAnsi="宋体" w:eastAsia="宋体" w:cs="宋体"/>
          <w:color w:val="auto"/>
          <w:kern w:val="2"/>
          <w:sz w:val="21"/>
          <w:szCs w:val="24"/>
          <w:highlight w:val="none"/>
          <w:lang w:val="en-US" w:eastAsia="zh-CN" w:bidi="ar"/>
        </w:rPr>
        <w:t>。</w:t>
      </w:r>
    </w:p>
    <w:p w14:paraId="238282E5">
      <w:pPr>
        <w:pStyle w:val="5"/>
        <w:widowControl/>
        <w:ind w:left="0" w:firstLine="562"/>
        <w:rPr>
          <w:rFonts w:hint="eastAsia" w:ascii="宋体" w:hAnsi="宋体" w:eastAsia="宋体" w:cs="宋体"/>
          <w:color w:val="auto"/>
          <w:sz w:val="24"/>
          <w:szCs w:val="28"/>
          <w:highlight w:val="none"/>
          <w:lang w:val="en-US"/>
        </w:rPr>
      </w:pPr>
      <w:bookmarkStart w:id="404" w:name="_Toc373478372"/>
      <w:bookmarkStart w:id="405" w:name="_Toc373227725"/>
      <w:bookmarkStart w:id="406" w:name="_Toc407135227"/>
      <w:bookmarkStart w:id="407" w:name="_Toc389065291"/>
      <w:bookmarkStart w:id="408" w:name="_Toc487632724"/>
      <w:r>
        <w:rPr>
          <w:rFonts w:hint="eastAsia" w:ascii="宋体" w:hAnsi="宋体" w:eastAsia="宋体" w:cs="宋体"/>
          <w:color w:val="auto"/>
          <w:sz w:val="24"/>
          <w:szCs w:val="28"/>
          <w:highlight w:val="none"/>
          <w:lang w:val="en-US"/>
        </w:rPr>
        <w:t>7.3</w:t>
      </w:r>
      <w:r>
        <w:rPr>
          <w:rFonts w:hint="eastAsia" w:ascii="宋体" w:hAnsi="宋体" w:eastAsia="宋体" w:cs="宋体"/>
          <w:color w:val="auto"/>
          <w:sz w:val="24"/>
          <w:szCs w:val="28"/>
          <w:highlight w:val="none"/>
          <w:lang w:eastAsia="zh-CN"/>
        </w:rPr>
        <w:t>开工</w:t>
      </w:r>
      <w:bookmarkEnd w:id="404"/>
      <w:bookmarkEnd w:id="405"/>
      <w:bookmarkEnd w:id="406"/>
      <w:bookmarkEnd w:id="407"/>
      <w:bookmarkEnd w:id="408"/>
    </w:p>
    <w:p w14:paraId="264D412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7.3.1开工准备</w:t>
      </w:r>
    </w:p>
    <w:p w14:paraId="2036473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关于承包人提交</w:t>
      </w:r>
      <w:r>
        <w:rPr>
          <w:rFonts w:hint="eastAsia" w:ascii="宋体" w:hAnsi="宋体" w:eastAsia="宋体" w:cs="宋体"/>
          <w:color w:val="auto"/>
          <w:kern w:val="0"/>
          <w:sz w:val="21"/>
          <w:szCs w:val="24"/>
          <w:highlight w:val="none"/>
          <w:lang w:val="en-US" w:eastAsia="zh-CN" w:bidi="ar"/>
        </w:rPr>
        <w:t>工程开工报审表的期限：</w:t>
      </w:r>
      <w:r>
        <w:rPr>
          <w:rFonts w:hint="eastAsia" w:ascii="宋体" w:hAnsi="宋体" w:eastAsia="宋体" w:cs="宋体"/>
          <w:color w:val="auto"/>
          <w:kern w:val="2"/>
          <w:sz w:val="21"/>
          <w:szCs w:val="24"/>
          <w:highlight w:val="none"/>
          <w:u w:val="single"/>
          <w:lang w:val="en-US" w:eastAsia="zh-CN" w:bidi="ar"/>
        </w:rPr>
        <w:t>开工前3天</w:t>
      </w:r>
      <w:r>
        <w:rPr>
          <w:rFonts w:hint="eastAsia" w:ascii="宋体" w:hAnsi="宋体" w:eastAsia="宋体" w:cs="宋体"/>
          <w:color w:val="auto"/>
          <w:kern w:val="2"/>
          <w:sz w:val="21"/>
          <w:szCs w:val="24"/>
          <w:highlight w:val="none"/>
          <w:lang w:val="en-US" w:eastAsia="zh-CN" w:bidi="ar"/>
        </w:rPr>
        <w:t>。</w:t>
      </w:r>
    </w:p>
    <w:p w14:paraId="543B5C5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关于发包人应完成的其他开工准备工作及期限：</w:t>
      </w:r>
      <w:r>
        <w:rPr>
          <w:rFonts w:hint="eastAsia" w:ascii="宋体" w:hAnsi="宋体" w:eastAsia="宋体" w:cs="宋体"/>
          <w:color w:val="auto"/>
          <w:kern w:val="2"/>
          <w:sz w:val="21"/>
          <w:szCs w:val="24"/>
          <w:highlight w:val="none"/>
          <w:u w:val="single"/>
          <w:lang w:val="en-US" w:eastAsia="zh-CN" w:bidi="ar"/>
        </w:rPr>
        <w:t>开工前7天</w:t>
      </w:r>
      <w:r>
        <w:rPr>
          <w:rFonts w:hint="eastAsia" w:ascii="宋体" w:hAnsi="宋体" w:eastAsia="宋体" w:cs="宋体"/>
          <w:color w:val="auto"/>
          <w:kern w:val="2"/>
          <w:sz w:val="21"/>
          <w:szCs w:val="24"/>
          <w:highlight w:val="none"/>
          <w:lang w:val="en-US" w:eastAsia="zh-CN" w:bidi="ar"/>
        </w:rPr>
        <w:t>。</w:t>
      </w:r>
    </w:p>
    <w:p w14:paraId="0925C31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关于承包人应完成的其他开工准备工作及期限：</w:t>
      </w:r>
      <w:r>
        <w:rPr>
          <w:rFonts w:hint="eastAsia" w:ascii="宋体" w:hAnsi="宋体" w:eastAsia="宋体" w:cs="宋体"/>
          <w:color w:val="auto"/>
          <w:kern w:val="2"/>
          <w:sz w:val="21"/>
          <w:szCs w:val="24"/>
          <w:highlight w:val="none"/>
          <w:u w:val="single"/>
          <w:lang w:val="en-US" w:eastAsia="zh-CN" w:bidi="ar"/>
        </w:rPr>
        <w:t>开工前7天</w:t>
      </w:r>
      <w:r>
        <w:rPr>
          <w:rFonts w:hint="eastAsia" w:ascii="宋体" w:hAnsi="宋体" w:eastAsia="宋体" w:cs="宋体"/>
          <w:color w:val="auto"/>
          <w:kern w:val="2"/>
          <w:sz w:val="21"/>
          <w:szCs w:val="24"/>
          <w:highlight w:val="none"/>
          <w:lang w:val="en-US" w:eastAsia="zh-CN" w:bidi="ar"/>
        </w:rPr>
        <w:t>。</w:t>
      </w:r>
    </w:p>
    <w:p w14:paraId="4EEDC19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7.3.2开工通知</w:t>
      </w:r>
    </w:p>
    <w:p w14:paraId="6505B63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因发包人原因造成监理人未能在计划开工日期之日起</w:t>
      </w:r>
      <w:r>
        <w:rPr>
          <w:rFonts w:hint="eastAsia" w:ascii="宋体" w:hAnsi="宋体" w:eastAsia="宋体" w:cs="宋体"/>
          <w:color w:val="auto"/>
          <w:kern w:val="2"/>
          <w:sz w:val="21"/>
          <w:szCs w:val="24"/>
          <w:highlight w:val="none"/>
          <w:u w:val="single"/>
          <w:lang w:val="en-US" w:eastAsia="zh-CN" w:bidi="ar"/>
        </w:rPr>
        <w:t>5</w:t>
      </w:r>
      <w:r>
        <w:rPr>
          <w:rFonts w:hint="eastAsia" w:ascii="宋体" w:hAnsi="宋体" w:eastAsia="宋体" w:cs="宋体"/>
          <w:color w:val="auto"/>
          <w:kern w:val="2"/>
          <w:sz w:val="21"/>
          <w:szCs w:val="24"/>
          <w:highlight w:val="none"/>
          <w:lang w:val="en-US" w:eastAsia="zh-CN" w:bidi="ar"/>
        </w:rPr>
        <w:t>天内发出开工通知的，承包人有权提出价格调整要求，或者解除合同。</w:t>
      </w:r>
    </w:p>
    <w:bookmarkEnd w:id="397"/>
    <w:bookmarkEnd w:id="398"/>
    <w:bookmarkEnd w:id="399"/>
    <w:bookmarkEnd w:id="400"/>
    <w:bookmarkEnd w:id="401"/>
    <w:bookmarkEnd w:id="402"/>
    <w:bookmarkEnd w:id="403"/>
    <w:p w14:paraId="2BF3C4AD">
      <w:pPr>
        <w:pStyle w:val="5"/>
        <w:widowControl/>
        <w:ind w:left="0" w:firstLine="562"/>
        <w:rPr>
          <w:rFonts w:hint="eastAsia" w:ascii="宋体" w:hAnsi="宋体" w:eastAsia="宋体" w:cs="宋体"/>
          <w:color w:val="auto"/>
          <w:sz w:val="24"/>
          <w:szCs w:val="28"/>
          <w:highlight w:val="none"/>
          <w:lang w:val="en-US"/>
        </w:rPr>
      </w:pPr>
      <w:bookmarkStart w:id="409" w:name="_Toc389065292"/>
      <w:bookmarkStart w:id="410" w:name="_Toc373478373"/>
      <w:bookmarkStart w:id="411" w:name="_Toc487632725"/>
      <w:bookmarkStart w:id="412" w:name="_Toc373227726"/>
      <w:bookmarkStart w:id="413" w:name="_Toc407135228"/>
      <w:r>
        <w:rPr>
          <w:rFonts w:hint="eastAsia" w:ascii="宋体" w:hAnsi="宋体" w:eastAsia="宋体" w:cs="宋体"/>
          <w:color w:val="auto"/>
          <w:sz w:val="24"/>
          <w:szCs w:val="28"/>
          <w:highlight w:val="none"/>
          <w:lang w:val="en-US"/>
        </w:rPr>
        <w:t>7.4</w:t>
      </w:r>
      <w:r>
        <w:rPr>
          <w:rFonts w:hint="eastAsia" w:ascii="宋体" w:hAnsi="宋体" w:eastAsia="宋体" w:cs="宋体"/>
          <w:color w:val="auto"/>
          <w:sz w:val="24"/>
          <w:szCs w:val="28"/>
          <w:highlight w:val="none"/>
          <w:lang w:eastAsia="zh-CN"/>
        </w:rPr>
        <w:t>测量放线</w:t>
      </w:r>
      <w:bookmarkEnd w:id="409"/>
      <w:bookmarkEnd w:id="410"/>
      <w:bookmarkEnd w:id="411"/>
      <w:bookmarkEnd w:id="412"/>
      <w:bookmarkEnd w:id="413"/>
    </w:p>
    <w:p w14:paraId="1F8AEC1F">
      <w:pPr>
        <w:keepNext w:val="0"/>
        <w:keepLines w:val="0"/>
        <w:widowControl w:val="0"/>
        <w:suppressLineNumbers w:val="0"/>
        <w:spacing w:before="0" w:beforeAutospacing="0" w:after="0" w:afterAutospacing="0" w:line="360" w:lineRule="auto"/>
        <w:ind w:left="0" w:right="0" w:firstLine="630" w:firstLineChars="3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发包人通过监理人向承包人提供测量基准点、基准线和水准点及其书面资料的期限：</w:t>
      </w:r>
    </w:p>
    <w:p w14:paraId="6E179F9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开工通知载明的开工日期前7天</w:t>
      </w:r>
      <w:r>
        <w:rPr>
          <w:rFonts w:hint="eastAsia" w:ascii="宋体" w:hAnsi="宋体" w:eastAsia="宋体" w:cs="宋体"/>
          <w:color w:val="auto"/>
          <w:kern w:val="2"/>
          <w:sz w:val="21"/>
          <w:szCs w:val="24"/>
          <w:highlight w:val="none"/>
          <w:lang w:val="en-US" w:eastAsia="zh-CN" w:bidi="ar"/>
        </w:rPr>
        <w:t>。</w:t>
      </w:r>
    </w:p>
    <w:p w14:paraId="6872AE5C">
      <w:pPr>
        <w:pStyle w:val="5"/>
        <w:widowControl/>
        <w:ind w:left="0" w:firstLine="562"/>
        <w:rPr>
          <w:rFonts w:hint="eastAsia" w:ascii="宋体" w:hAnsi="宋体" w:eastAsia="宋体" w:cs="宋体"/>
          <w:color w:val="auto"/>
          <w:sz w:val="24"/>
          <w:szCs w:val="28"/>
          <w:highlight w:val="none"/>
          <w:lang w:val="en-US"/>
        </w:rPr>
      </w:pPr>
      <w:bookmarkStart w:id="414" w:name="_Toc407135229"/>
      <w:bookmarkStart w:id="415" w:name="_Toc487632726"/>
      <w:bookmarkStart w:id="416" w:name="_Toc373478374"/>
      <w:bookmarkStart w:id="417" w:name="_Toc389065293"/>
      <w:bookmarkStart w:id="418" w:name="_Toc373227727"/>
      <w:r>
        <w:rPr>
          <w:rFonts w:hint="eastAsia" w:ascii="宋体" w:hAnsi="宋体" w:eastAsia="宋体" w:cs="宋体"/>
          <w:color w:val="auto"/>
          <w:sz w:val="24"/>
          <w:szCs w:val="28"/>
          <w:highlight w:val="none"/>
          <w:lang w:val="en-US"/>
        </w:rPr>
        <w:t>7</w:t>
      </w:r>
      <w:bookmarkStart w:id="419" w:name="_Toc304295546"/>
      <w:bookmarkStart w:id="420" w:name="_Toc303539125"/>
      <w:bookmarkStart w:id="421" w:name="_Toc300934968"/>
      <w:bookmarkStart w:id="422" w:name="_Toc297123516"/>
      <w:bookmarkStart w:id="423" w:name="_Toc312677484"/>
      <w:bookmarkStart w:id="424" w:name="_Toc297216175"/>
      <w:bookmarkStart w:id="425" w:name="_Toc312678010"/>
      <w:r>
        <w:rPr>
          <w:rFonts w:hint="eastAsia" w:ascii="宋体" w:hAnsi="宋体" w:eastAsia="宋体" w:cs="宋体"/>
          <w:color w:val="auto"/>
          <w:sz w:val="24"/>
          <w:szCs w:val="28"/>
          <w:highlight w:val="none"/>
          <w:lang w:val="en-US"/>
        </w:rPr>
        <w:t>.5</w:t>
      </w:r>
      <w:r>
        <w:rPr>
          <w:rFonts w:hint="eastAsia" w:ascii="宋体" w:hAnsi="宋体" w:eastAsia="宋体" w:cs="宋体"/>
          <w:color w:val="auto"/>
          <w:sz w:val="24"/>
          <w:szCs w:val="28"/>
          <w:highlight w:val="none"/>
          <w:lang w:eastAsia="zh-CN"/>
        </w:rPr>
        <w:t>工期延误</w:t>
      </w:r>
      <w:bookmarkEnd w:id="414"/>
      <w:bookmarkEnd w:id="415"/>
      <w:bookmarkEnd w:id="416"/>
      <w:bookmarkEnd w:id="417"/>
      <w:bookmarkEnd w:id="418"/>
    </w:p>
    <w:bookmarkEnd w:id="419"/>
    <w:bookmarkEnd w:id="420"/>
    <w:bookmarkEnd w:id="421"/>
    <w:bookmarkEnd w:id="422"/>
    <w:bookmarkEnd w:id="423"/>
    <w:bookmarkEnd w:id="424"/>
    <w:bookmarkEnd w:id="425"/>
    <w:p w14:paraId="2DF9B1D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7.5.1因发包人原因导致工期延误</w:t>
      </w:r>
    </w:p>
    <w:p w14:paraId="66AA1B28">
      <w:pPr>
        <w:keepNext w:val="0"/>
        <w:keepLines w:val="0"/>
        <w:widowControl w:val="0"/>
        <w:suppressLineNumbers w:val="0"/>
        <w:spacing w:before="0" w:beforeAutospacing="0" w:after="0" w:afterAutospacing="0" w:line="360" w:lineRule="auto"/>
        <w:ind w:left="0" w:right="0" w:firstLine="840" w:firstLineChars="4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因发包人原因导致工期延误的其他情形：</w:t>
      </w:r>
      <w:r>
        <w:rPr>
          <w:rFonts w:hint="eastAsia" w:ascii="宋体" w:hAnsi="宋体" w:eastAsia="宋体" w:cs="宋体"/>
          <w:color w:val="auto"/>
          <w:kern w:val="2"/>
          <w:sz w:val="21"/>
          <w:szCs w:val="24"/>
          <w:highlight w:val="none"/>
          <w:u w:val="single"/>
          <w:lang w:val="en-US" w:eastAsia="zh-CN" w:bidi="ar"/>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kern w:val="2"/>
          <w:sz w:val="21"/>
          <w:szCs w:val="24"/>
          <w:highlight w:val="none"/>
          <w:lang w:val="en-US" w:eastAsia="zh-CN" w:bidi="ar"/>
        </w:rPr>
        <w:t>。</w:t>
      </w:r>
    </w:p>
    <w:p w14:paraId="6219665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7</w:t>
      </w:r>
      <w:bookmarkStart w:id="426" w:name="_Toc312677486"/>
      <w:bookmarkStart w:id="427" w:name="_Toc318581169"/>
      <w:bookmarkStart w:id="428" w:name="_Toc312678012"/>
      <w:bookmarkStart w:id="429" w:name="_Toc303539127"/>
      <w:bookmarkStart w:id="430" w:name="_Toc297123518"/>
      <w:bookmarkStart w:id="431" w:name="_Toc297216177"/>
      <w:bookmarkStart w:id="432" w:name="_Toc304295548"/>
      <w:bookmarkStart w:id="433" w:name="_Toc300934970"/>
      <w:r>
        <w:rPr>
          <w:rFonts w:hint="eastAsia" w:ascii="宋体" w:hAnsi="宋体" w:eastAsia="宋体" w:cs="宋体"/>
          <w:color w:val="auto"/>
          <w:kern w:val="2"/>
          <w:sz w:val="21"/>
          <w:szCs w:val="24"/>
          <w:highlight w:val="none"/>
          <w:lang w:val="en-US" w:eastAsia="zh-CN" w:bidi="ar"/>
        </w:rPr>
        <w:t>.5.2因承包人原因导致工期延误</w:t>
      </w:r>
    </w:p>
    <w:bookmarkEnd w:id="426"/>
    <w:bookmarkEnd w:id="427"/>
    <w:bookmarkEnd w:id="428"/>
    <w:p w14:paraId="382D803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双方约定经监理工程师确认，工期相应顺延的情况：</w:t>
      </w:r>
      <w:r>
        <w:rPr>
          <w:rFonts w:hint="eastAsia" w:ascii="宋体" w:hAnsi="宋体" w:eastAsia="宋体" w:cs="宋体"/>
          <w:color w:val="auto"/>
          <w:kern w:val="2"/>
          <w:sz w:val="21"/>
          <w:szCs w:val="24"/>
          <w:highlight w:val="none"/>
          <w:u w:val="single"/>
          <w:lang w:val="en-US" w:eastAsia="zh-CN" w:bidi="ar"/>
        </w:rPr>
        <w:t>按通用条款执行</w:t>
      </w:r>
      <w:r>
        <w:rPr>
          <w:rFonts w:hint="eastAsia" w:ascii="宋体" w:hAnsi="宋体" w:eastAsia="宋体" w:cs="宋体"/>
          <w:color w:val="auto"/>
          <w:kern w:val="2"/>
          <w:sz w:val="21"/>
          <w:szCs w:val="24"/>
          <w:highlight w:val="none"/>
          <w:lang w:val="en-US" w:eastAsia="zh-CN" w:bidi="ar"/>
        </w:rPr>
        <w:t>。</w:t>
      </w:r>
    </w:p>
    <w:p w14:paraId="2EE8724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因</w:t>
      </w:r>
      <w:bookmarkStart w:id="434" w:name="_Toc312677487"/>
      <w:bookmarkStart w:id="435" w:name="_Toc312678013"/>
      <w:bookmarkStart w:id="436" w:name="_Toc318581170"/>
      <w:r>
        <w:rPr>
          <w:rFonts w:hint="eastAsia" w:ascii="宋体" w:hAnsi="宋体" w:eastAsia="宋体" w:cs="宋体"/>
          <w:color w:val="auto"/>
          <w:kern w:val="2"/>
          <w:sz w:val="21"/>
          <w:szCs w:val="24"/>
          <w:highlight w:val="none"/>
          <w:lang w:val="en-US" w:eastAsia="zh-CN" w:bidi="ar"/>
        </w:rPr>
        <w:t>承包人原因造成工期延误，逾期竣工违约金的计算方法为：</w:t>
      </w:r>
      <w:r>
        <w:rPr>
          <w:rFonts w:hint="eastAsia" w:ascii="宋体" w:hAnsi="宋体" w:eastAsia="宋体" w:cs="宋体"/>
          <w:color w:val="auto"/>
          <w:kern w:val="2"/>
          <w:sz w:val="21"/>
          <w:szCs w:val="24"/>
          <w:highlight w:val="none"/>
          <w:u w:val="single"/>
          <w:lang w:val="en-US" w:eastAsia="zh-CN" w:bidi="ar"/>
        </w:rPr>
        <w:t>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五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p>
    <w:bookmarkEnd w:id="429"/>
    <w:bookmarkEnd w:id="430"/>
    <w:bookmarkEnd w:id="431"/>
    <w:bookmarkEnd w:id="432"/>
    <w:bookmarkEnd w:id="433"/>
    <w:bookmarkEnd w:id="434"/>
    <w:bookmarkEnd w:id="435"/>
    <w:bookmarkEnd w:id="436"/>
    <w:p w14:paraId="6962D94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因承包人原因造成工期延误，逾</w:t>
      </w:r>
      <w:bookmarkStart w:id="437" w:name="_Toc312678014"/>
      <w:bookmarkStart w:id="438" w:name="_Toc318581171"/>
      <w:r>
        <w:rPr>
          <w:rFonts w:hint="eastAsia" w:ascii="宋体" w:hAnsi="宋体" w:eastAsia="宋体" w:cs="宋体"/>
          <w:color w:val="auto"/>
          <w:kern w:val="2"/>
          <w:sz w:val="21"/>
          <w:szCs w:val="24"/>
          <w:highlight w:val="none"/>
          <w:lang w:val="en-US" w:eastAsia="zh-CN" w:bidi="ar"/>
        </w:rPr>
        <w:t>期竣工违约金的上限：</w:t>
      </w:r>
      <w:r>
        <w:rPr>
          <w:rFonts w:hint="eastAsia" w:ascii="宋体" w:hAnsi="宋体" w:eastAsia="宋体" w:cs="宋体"/>
          <w:color w:val="auto"/>
          <w:kern w:val="2"/>
          <w:sz w:val="21"/>
          <w:szCs w:val="24"/>
          <w:highlight w:val="none"/>
          <w:u w:val="single"/>
          <w:lang w:val="en-US" w:eastAsia="zh-CN" w:bidi="ar"/>
        </w:rPr>
        <w:t>逾期竣工的单位工程结算造价扣除建安劳保费、发包人材料价款、暂估专业工程、暂列金额后的10%</w:t>
      </w:r>
      <w:r>
        <w:rPr>
          <w:rFonts w:hint="eastAsia" w:ascii="宋体" w:hAnsi="宋体" w:eastAsia="宋体" w:cs="宋体"/>
          <w:color w:val="auto"/>
          <w:kern w:val="2"/>
          <w:sz w:val="21"/>
          <w:szCs w:val="24"/>
          <w:highlight w:val="none"/>
          <w:lang w:val="en-US" w:eastAsia="zh-CN" w:bidi="ar"/>
        </w:rPr>
        <w:t>。</w:t>
      </w:r>
    </w:p>
    <w:bookmarkEnd w:id="437"/>
    <w:bookmarkEnd w:id="438"/>
    <w:p w14:paraId="3F9A655A">
      <w:pPr>
        <w:pStyle w:val="5"/>
        <w:widowControl/>
        <w:ind w:left="0" w:firstLine="562"/>
        <w:rPr>
          <w:rFonts w:hint="eastAsia" w:ascii="宋体" w:hAnsi="宋体" w:eastAsia="宋体" w:cs="宋体"/>
          <w:color w:val="auto"/>
          <w:sz w:val="24"/>
          <w:szCs w:val="28"/>
          <w:highlight w:val="none"/>
          <w:lang w:val="en-US"/>
        </w:rPr>
      </w:pPr>
      <w:bookmarkStart w:id="439" w:name="_Toc407135230"/>
      <w:bookmarkStart w:id="440" w:name="_Toc389065294"/>
      <w:bookmarkStart w:id="441" w:name="_Toc373478375"/>
      <w:bookmarkStart w:id="442" w:name="_Toc373227728"/>
      <w:bookmarkStart w:id="443" w:name="_Toc487632727"/>
      <w:r>
        <w:rPr>
          <w:rFonts w:hint="eastAsia" w:ascii="宋体" w:hAnsi="宋体" w:eastAsia="宋体" w:cs="宋体"/>
          <w:color w:val="auto"/>
          <w:sz w:val="24"/>
          <w:szCs w:val="28"/>
          <w:highlight w:val="none"/>
          <w:lang w:val="en-US"/>
        </w:rPr>
        <w:t>7</w:t>
      </w:r>
      <w:bookmarkStart w:id="444" w:name="_Toc297123519"/>
      <w:bookmarkStart w:id="445" w:name="_Toc300934971"/>
      <w:bookmarkStart w:id="446" w:name="_Toc304295549"/>
      <w:bookmarkStart w:id="447" w:name="_Toc297216178"/>
      <w:bookmarkStart w:id="448" w:name="_Toc303539128"/>
      <w:bookmarkStart w:id="449" w:name="_Toc312678015"/>
      <w:r>
        <w:rPr>
          <w:rFonts w:hint="eastAsia" w:ascii="宋体" w:hAnsi="宋体" w:eastAsia="宋体" w:cs="宋体"/>
          <w:color w:val="auto"/>
          <w:sz w:val="24"/>
          <w:szCs w:val="28"/>
          <w:highlight w:val="none"/>
          <w:lang w:val="en-US"/>
        </w:rPr>
        <w:t>.6</w:t>
      </w:r>
      <w:r>
        <w:rPr>
          <w:rFonts w:hint="eastAsia" w:ascii="宋体" w:hAnsi="宋体" w:eastAsia="宋体" w:cs="宋体"/>
          <w:color w:val="auto"/>
          <w:sz w:val="24"/>
          <w:szCs w:val="28"/>
          <w:highlight w:val="none"/>
          <w:lang w:eastAsia="zh-CN"/>
        </w:rPr>
        <w:t>不</w:t>
      </w:r>
      <w:bookmarkEnd w:id="444"/>
      <w:bookmarkEnd w:id="445"/>
      <w:bookmarkEnd w:id="446"/>
      <w:bookmarkEnd w:id="447"/>
      <w:bookmarkEnd w:id="448"/>
      <w:bookmarkEnd w:id="449"/>
      <w:r>
        <w:rPr>
          <w:rFonts w:hint="eastAsia" w:ascii="宋体" w:hAnsi="宋体" w:eastAsia="宋体" w:cs="宋体"/>
          <w:color w:val="auto"/>
          <w:sz w:val="24"/>
          <w:szCs w:val="28"/>
          <w:highlight w:val="none"/>
          <w:lang w:eastAsia="zh-CN"/>
        </w:rPr>
        <w:t>利物质条件</w:t>
      </w:r>
      <w:bookmarkEnd w:id="439"/>
      <w:bookmarkEnd w:id="440"/>
      <w:bookmarkEnd w:id="441"/>
      <w:bookmarkEnd w:id="442"/>
      <w:bookmarkEnd w:id="443"/>
    </w:p>
    <w:p w14:paraId="18438EC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bookmarkStart w:id="450" w:name="_Toc304295550"/>
      <w:bookmarkStart w:id="451" w:name="_Toc297123520"/>
      <w:bookmarkStart w:id="452" w:name="_Toc303539129"/>
      <w:bookmarkStart w:id="453" w:name="_Toc312678016"/>
      <w:bookmarkStart w:id="454" w:name="_Toc318581172"/>
      <w:bookmarkStart w:id="455" w:name="_Toc300934972"/>
      <w:bookmarkStart w:id="456" w:name="_Toc297216179"/>
      <w:r>
        <w:rPr>
          <w:rFonts w:hint="eastAsia" w:ascii="宋体" w:hAnsi="宋体" w:eastAsia="宋体" w:cs="宋体"/>
          <w:color w:val="auto"/>
          <w:kern w:val="2"/>
          <w:sz w:val="21"/>
          <w:szCs w:val="24"/>
          <w:highlight w:val="none"/>
          <w:lang w:val="en-US" w:eastAsia="zh-CN" w:bidi="ar"/>
        </w:rPr>
        <w:t>不利物质条件的其他情形和有关约定：。</w:t>
      </w:r>
    </w:p>
    <w:bookmarkEnd w:id="450"/>
    <w:bookmarkEnd w:id="451"/>
    <w:bookmarkEnd w:id="452"/>
    <w:bookmarkEnd w:id="453"/>
    <w:bookmarkEnd w:id="454"/>
    <w:bookmarkEnd w:id="455"/>
    <w:bookmarkEnd w:id="456"/>
    <w:p w14:paraId="77CC4B29">
      <w:pPr>
        <w:pStyle w:val="5"/>
        <w:widowControl/>
        <w:ind w:left="0" w:firstLine="562"/>
        <w:rPr>
          <w:rFonts w:hint="eastAsia" w:ascii="宋体" w:hAnsi="宋体" w:eastAsia="宋体" w:cs="宋体"/>
          <w:color w:val="auto"/>
          <w:sz w:val="24"/>
          <w:szCs w:val="28"/>
          <w:highlight w:val="none"/>
          <w:lang w:val="en-US"/>
        </w:rPr>
      </w:pPr>
      <w:bookmarkStart w:id="457" w:name="_Toc487632728"/>
      <w:bookmarkStart w:id="458" w:name="_Toc389065295"/>
      <w:bookmarkStart w:id="459" w:name="_Toc373227729"/>
      <w:bookmarkStart w:id="460" w:name="_Toc407135231"/>
      <w:bookmarkStart w:id="461" w:name="_Toc373478376"/>
      <w:r>
        <w:rPr>
          <w:rFonts w:hint="eastAsia" w:ascii="宋体" w:hAnsi="宋体" w:eastAsia="宋体" w:cs="宋体"/>
          <w:color w:val="auto"/>
          <w:sz w:val="24"/>
          <w:szCs w:val="28"/>
          <w:highlight w:val="none"/>
          <w:lang w:val="en-US"/>
        </w:rPr>
        <w:t>7</w:t>
      </w:r>
      <w:bookmarkStart w:id="462" w:name="_Toc304295551"/>
      <w:bookmarkStart w:id="463" w:name="_Toc312678017"/>
      <w:bookmarkStart w:id="464" w:name="_Toc297216180"/>
      <w:bookmarkStart w:id="465" w:name="_Toc297123521"/>
      <w:bookmarkStart w:id="466" w:name="_Toc300934973"/>
      <w:bookmarkStart w:id="467" w:name="_Toc303539130"/>
      <w:r>
        <w:rPr>
          <w:rFonts w:hint="eastAsia" w:ascii="宋体" w:hAnsi="宋体" w:eastAsia="宋体" w:cs="宋体"/>
          <w:color w:val="auto"/>
          <w:sz w:val="24"/>
          <w:szCs w:val="28"/>
          <w:highlight w:val="none"/>
          <w:lang w:val="en-US"/>
        </w:rPr>
        <w:t>.7</w:t>
      </w:r>
      <w:r>
        <w:rPr>
          <w:rFonts w:hint="eastAsia" w:ascii="宋体" w:hAnsi="宋体" w:eastAsia="宋体" w:cs="宋体"/>
          <w:color w:val="auto"/>
          <w:sz w:val="24"/>
          <w:szCs w:val="28"/>
          <w:highlight w:val="none"/>
          <w:lang w:eastAsia="zh-CN"/>
        </w:rPr>
        <w:t>异常恶劣的气候条件</w:t>
      </w:r>
      <w:bookmarkEnd w:id="457"/>
      <w:bookmarkEnd w:id="458"/>
      <w:bookmarkEnd w:id="459"/>
      <w:bookmarkEnd w:id="460"/>
      <w:bookmarkEnd w:id="461"/>
    </w:p>
    <w:bookmarkEnd w:id="462"/>
    <w:bookmarkEnd w:id="463"/>
    <w:bookmarkEnd w:id="464"/>
    <w:bookmarkEnd w:id="465"/>
    <w:bookmarkEnd w:id="466"/>
    <w:bookmarkEnd w:id="467"/>
    <w:p w14:paraId="58EC10E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发包人和承包人同意以下情形视为异常恶劣的气候条件：</w:t>
      </w:r>
    </w:p>
    <w:p w14:paraId="20EE71A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w:t>
      </w:r>
      <w:r>
        <w:rPr>
          <w:rFonts w:hint="eastAsia" w:ascii="宋体" w:hAnsi="宋体" w:eastAsia="宋体" w:cs="宋体"/>
          <w:color w:val="auto"/>
          <w:kern w:val="2"/>
          <w:sz w:val="21"/>
          <w:szCs w:val="24"/>
          <w:highlight w:val="none"/>
          <w:u w:val="single"/>
          <w:lang w:val="en-US" w:eastAsia="zh-CN" w:bidi="ar"/>
        </w:rPr>
        <w:t>八级以上台风（以气象部门鉴定为准）</w:t>
      </w:r>
      <w:r>
        <w:rPr>
          <w:rFonts w:hint="eastAsia" w:ascii="宋体" w:hAnsi="宋体" w:eastAsia="宋体" w:cs="宋体"/>
          <w:color w:val="auto"/>
          <w:kern w:val="2"/>
          <w:sz w:val="21"/>
          <w:szCs w:val="24"/>
          <w:highlight w:val="none"/>
          <w:lang w:val="en-US" w:eastAsia="zh-CN" w:bidi="ar"/>
        </w:rPr>
        <w:t>；</w:t>
      </w:r>
    </w:p>
    <w:p w14:paraId="3E53F90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w:t>
      </w:r>
      <w:r>
        <w:rPr>
          <w:rFonts w:hint="eastAsia" w:ascii="宋体" w:hAnsi="宋体" w:eastAsia="宋体" w:cs="宋体"/>
          <w:color w:val="auto"/>
          <w:kern w:val="2"/>
          <w:sz w:val="21"/>
          <w:szCs w:val="24"/>
          <w:highlight w:val="none"/>
          <w:u w:val="single"/>
          <w:lang w:val="en-US" w:eastAsia="zh-CN" w:bidi="ar"/>
        </w:rPr>
        <w:t>六级以上地震（以相关部门鉴定为准）</w:t>
      </w:r>
      <w:r>
        <w:rPr>
          <w:rFonts w:hint="eastAsia" w:ascii="宋体" w:hAnsi="宋体" w:eastAsia="宋体" w:cs="宋体"/>
          <w:color w:val="auto"/>
          <w:kern w:val="2"/>
          <w:sz w:val="21"/>
          <w:szCs w:val="24"/>
          <w:highlight w:val="none"/>
          <w:lang w:val="en-US" w:eastAsia="zh-CN" w:bidi="ar"/>
        </w:rPr>
        <w:t>；</w:t>
      </w:r>
    </w:p>
    <w:p w14:paraId="4591F4C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w:t>
      </w:r>
      <w:r>
        <w:rPr>
          <w:rFonts w:hint="eastAsia" w:ascii="宋体" w:hAnsi="宋体" w:eastAsia="宋体" w:cs="宋体"/>
          <w:color w:val="auto"/>
          <w:kern w:val="2"/>
          <w:sz w:val="21"/>
          <w:szCs w:val="24"/>
          <w:highlight w:val="none"/>
          <w:u w:val="single"/>
          <w:lang w:val="en-US" w:eastAsia="zh-CN" w:bidi="ar"/>
        </w:rPr>
        <w:t>暴雨及以上级别</w:t>
      </w:r>
      <w:r>
        <w:rPr>
          <w:rFonts w:hint="eastAsia" w:ascii="宋体" w:hAnsi="宋体" w:eastAsia="宋体" w:cs="宋体"/>
          <w:color w:val="auto"/>
          <w:kern w:val="2"/>
          <w:sz w:val="21"/>
          <w:szCs w:val="24"/>
          <w:highlight w:val="none"/>
          <w:lang w:val="en-US" w:eastAsia="zh-CN" w:bidi="ar"/>
        </w:rPr>
        <w:t>。</w:t>
      </w:r>
    </w:p>
    <w:p w14:paraId="14C73412">
      <w:pPr>
        <w:pStyle w:val="5"/>
        <w:widowControl/>
        <w:ind w:left="0" w:firstLine="562"/>
        <w:rPr>
          <w:rFonts w:hint="eastAsia" w:ascii="宋体" w:hAnsi="宋体" w:eastAsia="宋体" w:cs="宋体"/>
          <w:color w:val="auto"/>
          <w:sz w:val="24"/>
          <w:szCs w:val="28"/>
          <w:highlight w:val="none"/>
          <w:lang w:val="en-US"/>
        </w:rPr>
      </w:pPr>
      <w:bookmarkStart w:id="468" w:name="_Toc407135232"/>
      <w:bookmarkStart w:id="469" w:name="_Toc389065296"/>
      <w:bookmarkStart w:id="470" w:name="_Toc487632729"/>
      <w:bookmarkStart w:id="471" w:name="_Toc373227730"/>
      <w:bookmarkStart w:id="472" w:name="_Toc373478377"/>
      <w:r>
        <w:rPr>
          <w:rFonts w:hint="eastAsia" w:ascii="宋体" w:hAnsi="宋体" w:eastAsia="宋体" w:cs="宋体"/>
          <w:color w:val="auto"/>
          <w:sz w:val="24"/>
          <w:szCs w:val="28"/>
          <w:highlight w:val="none"/>
          <w:lang w:val="en-US"/>
        </w:rPr>
        <w:t>7.8</w:t>
      </w:r>
      <w:r>
        <w:rPr>
          <w:rFonts w:hint="eastAsia" w:ascii="宋体" w:hAnsi="宋体" w:eastAsia="宋体" w:cs="宋体"/>
          <w:color w:val="auto"/>
          <w:sz w:val="24"/>
          <w:szCs w:val="28"/>
          <w:highlight w:val="none"/>
          <w:lang w:eastAsia="zh-CN"/>
        </w:rPr>
        <w:t>提前竣工</w:t>
      </w:r>
      <w:bookmarkEnd w:id="468"/>
      <w:bookmarkEnd w:id="469"/>
      <w:bookmarkEnd w:id="470"/>
      <w:bookmarkEnd w:id="471"/>
      <w:bookmarkEnd w:id="472"/>
    </w:p>
    <w:p w14:paraId="02E8F25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7.8.1提前竣工（赶工）增加费的计算方法：</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2BE40F68">
      <w:pPr>
        <w:pStyle w:val="4"/>
        <w:widowControl/>
        <w:ind w:left="0" w:firstLine="602"/>
        <w:rPr>
          <w:rFonts w:hint="eastAsia" w:ascii="宋体" w:hAnsi="宋体" w:eastAsia="宋体" w:cs="宋体"/>
          <w:color w:val="auto"/>
          <w:highlight w:val="none"/>
          <w:lang w:val="en-US"/>
        </w:rPr>
      </w:pPr>
      <w:bookmarkStart w:id="473" w:name="_Toc389065297"/>
      <w:bookmarkStart w:id="474" w:name="_Toc407135233"/>
      <w:bookmarkStart w:id="475" w:name="_Toc487632730"/>
      <w:bookmarkStart w:id="476" w:name="_Toc373478378"/>
      <w:bookmarkStart w:id="477" w:name="_Toc373227731"/>
      <w:bookmarkStart w:id="478" w:name="_Toc351203640"/>
      <w:r>
        <w:rPr>
          <w:rFonts w:hint="eastAsia" w:ascii="宋体" w:hAnsi="宋体" w:eastAsia="宋体" w:cs="宋体"/>
          <w:color w:val="auto"/>
          <w:highlight w:val="none"/>
          <w:lang w:val="en-US"/>
        </w:rPr>
        <w:t>8.</w:t>
      </w:r>
      <w:r>
        <w:rPr>
          <w:rFonts w:hint="eastAsia" w:ascii="宋体" w:hAnsi="宋体" w:eastAsia="宋体" w:cs="宋体"/>
          <w:color w:val="auto"/>
          <w:highlight w:val="none"/>
          <w:lang w:eastAsia="zh-CN"/>
        </w:rPr>
        <w:t>材料与设备</w:t>
      </w:r>
      <w:bookmarkEnd w:id="473"/>
      <w:bookmarkEnd w:id="474"/>
      <w:bookmarkEnd w:id="475"/>
      <w:bookmarkEnd w:id="476"/>
      <w:bookmarkEnd w:id="477"/>
      <w:bookmarkEnd w:id="478"/>
    </w:p>
    <w:bookmarkEnd w:id="343"/>
    <w:bookmarkEnd w:id="344"/>
    <w:bookmarkEnd w:id="345"/>
    <w:bookmarkEnd w:id="346"/>
    <w:bookmarkEnd w:id="347"/>
    <w:bookmarkEnd w:id="348"/>
    <w:bookmarkEnd w:id="349"/>
    <w:bookmarkEnd w:id="350"/>
    <w:bookmarkEnd w:id="351"/>
    <w:bookmarkEnd w:id="352"/>
    <w:p w14:paraId="23384019">
      <w:pPr>
        <w:pStyle w:val="5"/>
        <w:widowControl/>
        <w:ind w:left="0" w:firstLine="562"/>
        <w:rPr>
          <w:rFonts w:hint="eastAsia" w:ascii="宋体" w:hAnsi="宋体" w:eastAsia="宋体" w:cs="宋体"/>
          <w:color w:val="auto"/>
          <w:sz w:val="24"/>
          <w:szCs w:val="28"/>
          <w:highlight w:val="none"/>
          <w:lang w:val="en-US"/>
        </w:rPr>
      </w:pPr>
      <w:bookmarkStart w:id="479" w:name="_Toc389065298"/>
      <w:bookmarkStart w:id="480" w:name="_Toc407135234"/>
      <w:bookmarkStart w:id="481" w:name="_Toc373478379"/>
      <w:bookmarkStart w:id="482" w:name="_Toc373227732"/>
      <w:bookmarkStart w:id="483" w:name="_Toc487632731"/>
      <w:r>
        <w:rPr>
          <w:rFonts w:hint="eastAsia" w:ascii="宋体" w:hAnsi="宋体" w:eastAsia="宋体" w:cs="宋体"/>
          <w:color w:val="auto"/>
          <w:sz w:val="24"/>
          <w:szCs w:val="28"/>
          <w:highlight w:val="none"/>
          <w:lang w:val="en-US"/>
        </w:rPr>
        <w:t>8.1</w:t>
      </w:r>
      <w:r>
        <w:rPr>
          <w:rFonts w:hint="eastAsia" w:ascii="宋体" w:hAnsi="宋体" w:eastAsia="宋体" w:cs="宋体"/>
          <w:color w:val="auto"/>
          <w:sz w:val="24"/>
          <w:szCs w:val="28"/>
          <w:highlight w:val="none"/>
          <w:lang w:eastAsia="zh-CN"/>
        </w:rPr>
        <w:t>承包人采购材料与工程设备</w:t>
      </w:r>
      <w:bookmarkEnd w:id="479"/>
      <w:bookmarkEnd w:id="480"/>
      <w:bookmarkEnd w:id="481"/>
      <w:bookmarkEnd w:id="482"/>
      <w:bookmarkEnd w:id="483"/>
    </w:p>
    <w:p w14:paraId="4236D80D">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kern w:val="2"/>
          <w:sz w:val="21"/>
          <w:szCs w:val="24"/>
          <w:highlight w:val="none"/>
          <w:lang w:val="en-US" w:eastAsia="zh-CN" w:bidi="ar"/>
        </w:rPr>
        <w:t>承包人提供主要材料和工程设备一览表》</w:t>
      </w:r>
      <w:r>
        <w:rPr>
          <w:rFonts w:hint="eastAsia" w:ascii="宋体" w:hAnsi="宋体" w:eastAsia="宋体" w:cs="宋体"/>
          <w:color w:val="auto"/>
          <w:kern w:val="0"/>
          <w:sz w:val="21"/>
          <w:szCs w:val="24"/>
          <w:highlight w:val="none"/>
          <w:lang w:val="en-US" w:eastAsia="zh-CN" w:bidi="ar"/>
        </w:rPr>
        <w:t>（表-22）见已标价工程量清单。</w:t>
      </w:r>
    </w:p>
    <w:p w14:paraId="146EFCFE">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bookmarkStart w:id="484" w:name="_Toc389065299"/>
      <w:bookmarkStart w:id="485" w:name="_Toc373478380"/>
      <w:bookmarkStart w:id="486" w:name="_Toc373227733"/>
      <w:r>
        <w:rPr>
          <w:rFonts w:hint="eastAsia" w:ascii="宋体" w:hAnsi="宋体" w:eastAsia="宋体" w:cs="宋体"/>
          <w:color w:val="auto"/>
          <w:kern w:val="2"/>
          <w:sz w:val="21"/>
          <w:szCs w:val="24"/>
          <w:highlight w:val="none"/>
          <w:lang w:val="en-US" w:eastAsia="zh-CN" w:bidi="ar"/>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762D691A">
      <w:pPr>
        <w:pStyle w:val="5"/>
        <w:widowControl/>
        <w:ind w:left="0" w:firstLine="562"/>
        <w:rPr>
          <w:rFonts w:hint="eastAsia" w:ascii="宋体" w:hAnsi="宋体" w:eastAsia="宋体" w:cs="宋体"/>
          <w:color w:val="auto"/>
          <w:sz w:val="24"/>
          <w:szCs w:val="28"/>
          <w:highlight w:val="none"/>
          <w:lang w:val="en-US"/>
        </w:rPr>
      </w:pPr>
      <w:bookmarkStart w:id="487" w:name="_Toc407135235"/>
      <w:bookmarkStart w:id="488" w:name="_Toc487632732"/>
      <w:r>
        <w:rPr>
          <w:rFonts w:hint="eastAsia" w:ascii="宋体" w:hAnsi="宋体" w:eastAsia="宋体" w:cs="宋体"/>
          <w:color w:val="auto"/>
          <w:sz w:val="24"/>
          <w:szCs w:val="28"/>
          <w:highlight w:val="none"/>
          <w:lang w:val="en-US"/>
        </w:rPr>
        <w:t>8</w:t>
      </w:r>
      <w:bookmarkStart w:id="489" w:name="_Toc312678019"/>
      <w:bookmarkStart w:id="490" w:name="_Toc300934979"/>
      <w:bookmarkStart w:id="491" w:name="_Toc312677493"/>
      <w:bookmarkStart w:id="492" w:name="_Toc303539136"/>
      <w:bookmarkStart w:id="493" w:name="_Toc296346668"/>
      <w:bookmarkStart w:id="494" w:name="_Toc296503167"/>
      <w:bookmarkStart w:id="495" w:name="_Toc297120467"/>
      <w:bookmarkStart w:id="496" w:name="_Toc292559877"/>
      <w:bookmarkStart w:id="497" w:name="_Toc297048353"/>
      <w:bookmarkStart w:id="498" w:name="_Toc280868654"/>
      <w:bookmarkStart w:id="499" w:name="_Toc296944506"/>
      <w:bookmarkStart w:id="500" w:name="_Toc296891207"/>
      <w:bookmarkStart w:id="501" w:name="_Toc296347166"/>
      <w:bookmarkStart w:id="502" w:name="_Toc304295556"/>
      <w:bookmarkStart w:id="503" w:name="_Toc297216186"/>
      <w:bookmarkStart w:id="504" w:name="_Toc297123527"/>
      <w:bookmarkStart w:id="505" w:name="_Toc292559372"/>
      <w:bookmarkStart w:id="506" w:name="_Toc296890995"/>
      <w:bookmarkStart w:id="507" w:name="_Toc267251424"/>
      <w:bookmarkStart w:id="508" w:name="_Toc280868656"/>
      <w:bookmarkStart w:id="509" w:name="_Toc280868655"/>
      <w:r>
        <w:rPr>
          <w:rFonts w:hint="eastAsia" w:ascii="宋体" w:hAnsi="宋体" w:eastAsia="宋体" w:cs="宋体"/>
          <w:color w:val="auto"/>
          <w:sz w:val="24"/>
          <w:szCs w:val="28"/>
          <w:highlight w:val="none"/>
          <w:lang w:val="en-US"/>
        </w:rPr>
        <w:t>.2</w:t>
      </w:r>
      <w:r>
        <w:rPr>
          <w:rFonts w:hint="eastAsia" w:ascii="宋体" w:hAnsi="宋体" w:eastAsia="宋体" w:cs="宋体"/>
          <w:color w:val="auto"/>
          <w:sz w:val="24"/>
          <w:szCs w:val="28"/>
          <w:highlight w:val="none"/>
          <w:lang w:eastAsia="zh-CN"/>
        </w:rPr>
        <w:t>材料与工程设备的保管与使用</w:t>
      </w:r>
      <w:bookmarkEnd w:id="484"/>
      <w:bookmarkEnd w:id="485"/>
      <w:bookmarkEnd w:id="486"/>
      <w:bookmarkEnd w:id="487"/>
      <w:bookmarkEnd w:id="488"/>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795E222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bookmarkStart w:id="510" w:name="_Toc292559373"/>
      <w:bookmarkStart w:id="511" w:name="_Toc292559878"/>
      <w:bookmarkStart w:id="512" w:name="_Toc297216187"/>
      <w:bookmarkStart w:id="513" w:name="_Toc296891208"/>
      <w:bookmarkStart w:id="514" w:name="_Toc312677494"/>
      <w:bookmarkStart w:id="515" w:name="_Toc296503168"/>
      <w:bookmarkStart w:id="516" w:name="_Toc300934980"/>
      <w:bookmarkStart w:id="517" w:name="_Toc297048354"/>
      <w:bookmarkStart w:id="518" w:name="_Toc312678020"/>
      <w:bookmarkStart w:id="519" w:name="_Toc297123528"/>
      <w:bookmarkStart w:id="520" w:name="_Toc296347167"/>
      <w:bookmarkStart w:id="521" w:name="_Toc296346669"/>
      <w:bookmarkStart w:id="522" w:name="_Toc296890996"/>
      <w:bookmarkStart w:id="523" w:name="_Toc304295557"/>
      <w:bookmarkStart w:id="524" w:name="_Toc296944507"/>
      <w:bookmarkStart w:id="525" w:name="_Toc318581173"/>
      <w:bookmarkStart w:id="526" w:name="_Toc297120468"/>
      <w:bookmarkStart w:id="527" w:name="_Toc303539137"/>
      <w:r>
        <w:rPr>
          <w:rFonts w:hint="eastAsia" w:ascii="宋体" w:hAnsi="宋体" w:eastAsia="宋体" w:cs="宋体"/>
          <w:color w:val="auto"/>
          <w:kern w:val="2"/>
          <w:sz w:val="21"/>
          <w:szCs w:val="24"/>
          <w:highlight w:val="none"/>
          <w:lang w:val="en-US" w:eastAsia="zh-CN" w:bidi="ar"/>
        </w:rPr>
        <w:t>发包人供应的材料设备的保管费用的承担：</w:t>
      </w:r>
      <w:r>
        <w:rPr>
          <w:rFonts w:hint="eastAsia" w:ascii="宋体" w:hAnsi="宋体" w:eastAsia="宋体" w:cs="宋体"/>
          <w:color w:val="auto"/>
          <w:kern w:val="2"/>
          <w:sz w:val="21"/>
          <w:szCs w:val="24"/>
          <w:highlight w:val="none"/>
          <w:u w:val="single"/>
          <w:lang w:val="en-US" w:eastAsia="zh-CN" w:bidi="ar"/>
        </w:rPr>
        <w:t>由承包人承担</w:t>
      </w:r>
      <w:r>
        <w:rPr>
          <w:rFonts w:hint="eastAsia" w:ascii="宋体" w:hAnsi="宋体" w:eastAsia="宋体" w:cs="宋体"/>
          <w:color w:val="auto"/>
          <w:kern w:val="2"/>
          <w:sz w:val="21"/>
          <w:szCs w:val="24"/>
          <w:highlight w:val="none"/>
          <w:lang w:val="en-US" w:eastAsia="zh-CN" w:bidi="ar"/>
        </w:rPr>
        <w:t>。</w:t>
      </w:r>
    </w:p>
    <w:bookmarkEnd w:id="510"/>
    <w:bookmarkEnd w:id="511"/>
    <w:p w14:paraId="766ACBDC">
      <w:pPr>
        <w:pStyle w:val="5"/>
        <w:widowControl/>
        <w:ind w:left="0" w:firstLine="562"/>
        <w:rPr>
          <w:rFonts w:hint="eastAsia" w:ascii="宋体" w:hAnsi="宋体" w:eastAsia="宋体" w:cs="宋体"/>
          <w:color w:val="auto"/>
          <w:sz w:val="24"/>
          <w:szCs w:val="28"/>
          <w:highlight w:val="none"/>
          <w:lang w:val="en-US"/>
        </w:rPr>
      </w:pPr>
      <w:bookmarkStart w:id="528" w:name="_Toc373478381"/>
      <w:bookmarkStart w:id="529" w:name="_Toc407135236"/>
      <w:bookmarkStart w:id="530" w:name="_Toc487632733"/>
      <w:bookmarkStart w:id="531" w:name="_Toc373227734"/>
      <w:bookmarkStart w:id="532" w:name="_Toc389065300"/>
      <w:r>
        <w:rPr>
          <w:rFonts w:hint="eastAsia" w:ascii="宋体" w:hAnsi="宋体" w:eastAsia="宋体" w:cs="宋体"/>
          <w:color w:val="auto"/>
          <w:sz w:val="24"/>
          <w:szCs w:val="28"/>
          <w:highlight w:val="none"/>
          <w:lang w:val="en-US"/>
        </w:rPr>
        <w:t>8.3</w:t>
      </w:r>
      <w:r>
        <w:rPr>
          <w:rFonts w:hint="eastAsia" w:ascii="宋体" w:hAnsi="宋体" w:eastAsia="宋体" w:cs="宋体"/>
          <w:color w:val="auto"/>
          <w:sz w:val="24"/>
          <w:szCs w:val="28"/>
          <w:highlight w:val="none"/>
          <w:lang w:eastAsia="zh-CN"/>
        </w:rPr>
        <w:t>样品</w:t>
      </w:r>
      <w:bookmarkEnd w:id="528"/>
      <w:bookmarkEnd w:id="529"/>
      <w:bookmarkEnd w:id="530"/>
      <w:bookmarkEnd w:id="531"/>
      <w:bookmarkEnd w:id="532"/>
    </w:p>
    <w:p w14:paraId="5F065E94">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样品的报送与封存</w:t>
      </w:r>
    </w:p>
    <w:p w14:paraId="6C1B185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4"/>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4"/>
          <w:highlight w:val="none"/>
          <w:u w:val="single"/>
          <w:lang w:val="en-US" w:eastAsia="zh-CN" w:bidi="ar"/>
        </w:rPr>
        <w:t>主要材料涉及品种、款式、颜色等方面内容的，承包人应提交准备合格的材料样品送发包人选定。</w:t>
      </w:r>
    </w:p>
    <w:p w14:paraId="7B967113">
      <w:pPr>
        <w:pStyle w:val="5"/>
        <w:widowControl/>
        <w:ind w:left="0" w:firstLine="562"/>
        <w:rPr>
          <w:rFonts w:hint="eastAsia" w:ascii="宋体" w:hAnsi="宋体" w:eastAsia="宋体" w:cs="宋体"/>
          <w:color w:val="auto"/>
          <w:sz w:val="24"/>
          <w:szCs w:val="28"/>
          <w:highlight w:val="none"/>
          <w:lang w:val="en-US"/>
        </w:rPr>
      </w:pPr>
      <w:bookmarkStart w:id="533" w:name="_Toc487632734"/>
      <w:bookmarkStart w:id="534" w:name="_Toc407135237"/>
      <w:bookmarkStart w:id="535" w:name="_Toc389065301"/>
      <w:bookmarkStart w:id="536" w:name="_Toc373227735"/>
      <w:bookmarkStart w:id="537" w:name="_Toc373478382"/>
      <w:r>
        <w:rPr>
          <w:rFonts w:hint="eastAsia" w:ascii="宋体" w:hAnsi="宋体" w:eastAsia="宋体" w:cs="宋体"/>
          <w:color w:val="auto"/>
          <w:sz w:val="24"/>
          <w:szCs w:val="28"/>
          <w:highlight w:val="none"/>
          <w:lang w:val="en-US"/>
        </w:rPr>
        <w:t>8.4</w:t>
      </w:r>
      <w:r>
        <w:rPr>
          <w:rFonts w:hint="eastAsia" w:ascii="宋体" w:hAnsi="宋体" w:eastAsia="宋体" w:cs="宋体"/>
          <w:color w:val="auto"/>
          <w:sz w:val="24"/>
          <w:szCs w:val="28"/>
          <w:highlight w:val="none"/>
          <w:lang w:eastAsia="zh-CN"/>
        </w:rPr>
        <w:t>施工设备和临时设施</w:t>
      </w:r>
      <w:bookmarkEnd w:id="533"/>
      <w:bookmarkEnd w:id="534"/>
      <w:bookmarkEnd w:id="535"/>
      <w:bookmarkEnd w:id="536"/>
      <w:bookmarkEnd w:id="537"/>
    </w:p>
    <w:p w14:paraId="1728B7B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①承包人的临时用地（含项目部驻地等）租用费（含拆迁补偿）、临时用地的环保、恢复、临时用地的青苗补偿及地面附着物拆除等费用均由承包人负责，以上费用在投标报价中综合考虑。</w:t>
      </w:r>
    </w:p>
    <w:p w14:paraId="6DC7354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②承包人负责合同实施期间其合同段内临时交通道路（含场内外连接公共交通道路）和交通设施的修建、维修、养护和交通管理工作，并承担一切费用。</w:t>
      </w:r>
    </w:p>
    <w:p w14:paraId="466118B2">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7092E9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发包人提供的施工设备和临时设施：</w:t>
      </w:r>
      <w:r>
        <w:rPr>
          <w:rFonts w:hint="eastAsia" w:ascii="宋体" w:hAnsi="宋体" w:eastAsia="宋体" w:cs="宋体"/>
          <w:color w:val="auto"/>
          <w:kern w:val="2"/>
          <w:sz w:val="21"/>
          <w:szCs w:val="24"/>
          <w:highlight w:val="none"/>
          <w:u w:val="single"/>
          <w:lang w:val="en-US" w:eastAsia="zh-CN" w:bidi="ar"/>
        </w:rPr>
        <w:t>发包人不提供任何施工设备和临时设施，临时设施的修建及施工所需的水、电管线的铺设等均由承包人自行解决，发包人予以协助</w:t>
      </w:r>
      <w:r>
        <w:rPr>
          <w:rFonts w:hint="eastAsia" w:ascii="宋体" w:hAnsi="宋体" w:eastAsia="宋体" w:cs="宋体"/>
          <w:color w:val="auto"/>
          <w:kern w:val="2"/>
          <w:sz w:val="21"/>
          <w:szCs w:val="24"/>
          <w:highlight w:val="none"/>
          <w:lang w:val="en-US" w:eastAsia="zh-CN" w:bidi="ar"/>
        </w:rPr>
        <w:t>。</w:t>
      </w:r>
    </w:p>
    <w:p w14:paraId="7BA0F941">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发包人提供的施工设备和临时设施的运行、维护、拆除、清运费用的承担人：</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063C74E7">
      <w:pPr>
        <w:pStyle w:val="4"/>
        <w:widowControl/>
        <w:ind w:left="0" w:firstLine="602"/>
        <w:rPr>
          <w:rFonts w:hint="eastAsia" w:ascii="宋体" w:hAnsi="宋体" w:eastAsia="宋体" w:cs="宋体"/>
          <w:color w:val="auto"/>
          <w:sz w:val="28"/>
          <w:szCs w:val="28"/>
          <w:highlight w:val="none"/>
          <w:lang w:val="en-US"/>
        </w:rPr>
      </w:pPr>
      <w:bookmarkStart w:id="538" w:name="_Toc351203641"/>
      <w:bookmarkStart w:id="539" w:name="_Toc373227736"/>
      <w:bookmarkStart w:id="540" w:name="_Toc487632735"/>
      <w:bookmarkStart w:id="541" w:name="_Toc407135238"/>
      <w:bookmarkStart w:id="542" w:name="_Toc389065302"/>
      <w:bookmarkStart w:id="543" w:name="_Toc373478383"/>
      <w:r>
        <w:rPr>
          <w:rFonts w:hint="eastAsia" w:ascii="宋体" w:hAnsi="宋体" w:eastAsia="宋体" w:cs="宋体"/>
          <w:color w:val="auto"/>
          <w:sz w:val="28"/>
          <w:szCs w:val="28"/>
          <w:highlight w:val="none"/>
          <w:lang w:val="en-US"/>
        </w:rPr>
        <w:t>9</w:t>
      </w:r>
      <w:bookmarkEnd w:id="507"/>
      <w:bookmarkEnd w:id="508"/>
      <w:bookmarkEnd w:id="509"/>
      <w:bookmarkStart w:id="544" w:name="_Toc312677495"/>
      <w:bookmarkStart w:id="545" w:name="_Toc304295559"/>
      <w:bookmarkStart w:id="546" w:name="_Toc300934982"/>
      <w:bookmarkStart w:id="547" w:name="_Toc312678021"/>
      <w:bookmarkStart w:id="548" w:name="_Toc303539139"/>
      <w:bookmarkStart w:id="549" w:name="_Toc297123533"/>
      <w:bookmarkStart w:id="550" w:name="_Toc297216192"/>
      <w:bookmarkStart w:id="551" w:name="_Toc267251427"/>
      <w:bookmarkStart w:id="552" w:name="_Toc296891213"/>
      <w:bookmarkStart w:id="553" w:name="_Toc296346674"/>
      <w:bookmarkStart w:id="554" w:name="_Toc292559883"/>
      <w:bookmarkStart w:id="555" w:name="_Toc296503173"/>
      <w:bookmarkStart w:id="556" w:name="_Toc297048359"/>
      <w:bookmarkStart w:id="557" w:name="_Toc292559378"/>
      <w:bookmarkStart w:id="558" w:name="_Toc296944512"/>
      <w:bookmarkStart w:id="559" w:name="_Toc296347172"/>
      <w:bookmarkStart w:id="560" w:name="_Toc296891001"/>
      <w:bookmarkStart w:id="561" w:name="_Toc297120473"/>
      <w:bookmarkStart w:id="562" w:name="_Toc267251428"/>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eastAsia="zh-CN"/>
        </w:rPr>
        <w:t>试验与检验</w:t>
      </w:r>
      <w:bookmarkEnd w:id="538"/>
      <w:bookmarkEnd w:id="539"/>
      <w:bookmarkEnd w:id="540"/>
      <w:bookmarkEnd w:id="541"/>
      <w:bookmarkEnd w:id="542"/>
      <w:bookmarkEnd w:id="543"/>
    </w:p>
    <w:bookmarkEnd w:id="544"/>
    <w:bookmarkEnd w:id="545"/>
    <w:bookmarkEnd w:id="546"/>
    <w:bookmarkEnd w:id="547"/>
    <w:bookmarkEnd w:id="548"/>
    <w:bookmarkEnd w:id="549"/>
    <w:bookmarkEnd w:id="550"/>
    <w:p w14:paraId="49F02926">
      <w:pPr>
        <w:pStyle w:val="5"/>
        <w:widowControl/>
        <w:ind w:left="0" w:firstLine="562"/>
        <w:rPr>
          <w:rFonts w:hint="eastAsia" w:ascii="宋体" w:hAnsi="宋体" w:eastAsia="宋体" w:cs="宋体"/>
          <w:color w:val="auto"/>
          <w:sz w:val="24"/>
          <w:szCs w:val="28"/>
          <w:highlight w:val="none"/>
          <w:lang w:val="en-US"/>
        </w:rPr>
      </w:pPr>
      <w:bookmarkStart w:id="563" w:name="_Toc389065303"/>
      <w:bookmarkStart w:id="564" w:name="_Toc487632736"/>
      <w:bookmarkStart w:id="565" w:name="_Toc373227737"/>
      <w:bookmarkStart w:id="566" w:name="_Toc407135239"/>
      <w:bookmarkStart w:id="567" w:name="_Toc373478384"/>
      <w:r>
        <w:rPr>
          <w:rFonts w:hint="eastAsia" w:ascii="宋体" w:hAnsi="宋体" w:eastAsia="宋体" w:cs="宋体"/>
          <w:color w:val="auto"/>
          <w:sz w:val="24"/>
          <w:szCs w:val="28"/>
          <w:highlight w:val="none"/>
          <w:lang w:val="en-US"/>
        </w:rPr>
        <w:t>9</w:t>
      </w:r>
      <w:bookmarkStart w:id="568" w:name="_Toc304295560"/>
      <w:bookmarkStart w:id="569" w:name="_Toc297216193"/>
      <w:bookmarkStart w:id="570" w:name="_Toc312677496"/>
      <w:bookmarkStart w:id="571" w:name="_Toc303539140"/>
      <w:bookmarkStart w:id="572" w:name="_Toc297123534"/>
      <w:bookmarkStart w:id="573" w:name="_Toc312678022"/>
      <w:bookmarkStart w:id="574" w:name="_Toc300934983"/>
      <w:r>
        <w:rPr>
          <w:rFonts w:hint="eastAsia" w:ascii="宋体" w:hAnsi="宋体" w:eastAsia="宋体" w:cs="宋体"/>
          <w:color w:val="auto"/>
          <w:sz w:val="24"/>
          <w:szCs w:val="28"/>
          <w:highlight w:val="none"/>
          <w:lang w:val="en-US"/>
        </w:rPr>
        <w:t>.1</w:t>
      </w:r>
      <w:r>
        <w:rPr>
          <w:rFonts w:hint="eastAsia" w:ascii="宋体" w:hAnsi="宋体" w:eastAsia="宋体" w:cs="宋体"/>
          <w:color w:val="auto"/>
          <w:sz w:val="24"/>
          <w:szCs w:val="28"/>
          <w:highlight w:val="none"/>
          <w:lang w:eastAsia="zh-CN"/>
        </w:rPr>
        <w:t>试验设备</w:t>
      </w:r>
      <w:bookmarkEnd w:id="563"/>
      <w:bookmarkEnd w:id="564"/>
      <w:bookmarkEnd w:id="565"/>
      <w:bookmarkEnd w:id="566"/>
      <w:bookmarkEnd w:id="567"/>
    </w:p>
    <w:bookmarkEnd w:id="568"/>
    <w:bookmarkEnd w:id="569"/>
    <w:bookmarkEnd w:id="570"/>
    <w:bookmarkEnd w:id="571"/>
    <w:bookmarkEnd w:id="572"/>
    <w:bookmarkEnd w:id="573"/>
    <w:bookmarkEnd w:id="574"/>
    <w:p w14:paraId="54DA96C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bookmarkStart w:id="575" w:name="_Toc389065304"/>
      <w:bookmarkStart w:id="576" w:name="_Toc487632737"/>
      <w:bookmarkStart w:id="577" w:name="_Toc407135240"/>
      <w:bookmarkStart w:id="578" w:name="_Toc373227738"/>
      <w:bookmarkStart w:id="579" w:name="_Toc373478385"/>
      <w:bookmarkStart w:id="580" w:name="_Toc312678024"/>
      <w:bookmarkStart w:id="581" w:name="_Toc312677498"/>
      <w:bookmarkStart w:id="582" w:name="_Toc318581174"/>
      <w:bookmarkStart w:id="583" w:name="_Toc300934985"/>
      <w:bookmarkStart w:id="584" w:name="_Toc303539142"/>
      <w:bookmarkStart w:id="585" w:name="_Toc297216195"/>
      <w:bookmarkStart w:id="586" w:name="_Toc297123536"/>
      <w:bookmarkStart w:id="587" w:name="_Toc304295562"/>
      <w:r>
        <w:rPr>
          <w:rFonts w:hint="eastAsia" w:ascii="宋体" w:hAnsi="宋体" w:eastAsia="宋体" w:cs="宋体"/>
          <w:color w:val="auto"/>
          <w:kern w:val="2"/>
          <w:sz w:val="21"/>
          <w:szCs w:val="24"/>
          <w:highlight w:val="none"/>
          <w:lang w:val="en-US" w:eastAsia="zh-CN" w:bidi="ar"/>
        </w:rPr>
        <w:t>施工现场需要配置的试验场所：</w:t>
      </w:r>
      <w:r>
        <w:rPr>
          <w:rFonts w:hint="eastAsia" w:ascii="宋体" w:hAnsi="宋体" w:eastAsia="宋体" w:cs="宋体"/>
          <w:color w:val="auto"/>
          <w:kern w:val="2"/>
          <w:sz w:val="21"/>
          <w:szCs w:val="24"/>
          <w:highlight w:val="none"/>
          <w:u w:val="single"/>
          <w:lang w:val="en-US" w:eastAsia="zh-CN" w:bidi="ar"/>
        </w:rPr>
        <w:t>按有关规定和监理人要求执行</w:t>
      </w:r>
      <w:r>
        <w:rPr>
          <w:rFonts w:hint="eastAsia" w:ascii="宋体" w:hAnsi="宋体" w:eastAsia="宋体" w:cs="宋体"/>
          <w:color w:val="auto"/>
          <w:kern w:val="2"/>
          <w:sz w:val="21"/>
          <w:szCs w:val="24"/>
          <w:highlight w:val="none"/>
          <w:lang w:val="en-US" w:eastAsia="zh-CN" w:bidi="ar"/>
        </w:rPr>
        <w:t>。</w:t>
      </w:r>
    </w:p>
    <w:p w14:paraId="0A6C900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施工现场需要配备的试验设备：</w:t>
      </w:r>
      <w:r>
        <w:rPr>
          <w:rFonts w:hint="eastAsia" w:ascii="宋体" w:hAnsi="宋体" w:eastAsia="宋体" w:cs="宋体"/>
          <w:color w:val="auto"/>
          <w:kern w:val="2"/>
          <w:sz w:val="21"/>
          <w:szCs w:val="24"/>
          <w:highlight w:val="none"/>
          <w:u w:val="single"/>
          <w:lang w:val="en-US" w:eastAsia="zh-CN" w:bidi="ar"/>
        </w:rPr>
        <w:t>按有关规定和监理人要求执行</w:t>
      </w:r>
      <w:r>
        <w:rPr>
          <w:rFonts w:hint="eastAsia" w:ascii="宋体" w:hAnsi="宋体" w:eastAsia="宋体" w:cs="宋体"/>
          <w:color w:val="auto"/>
          <w:kern w:val="2"/>
          <w:sz w:val="21"/>
          <w:szCs w:val="24"/>
          <w:highlight w:val="none"/>
          <w:lang w:val="en-US" w:eastAsia="zh-CN" w:bidi="ar"/>
        </w:rPr>
        <w:t>。</w:t>
      </w:r>
    </w:p>
    <w:p w14:paraId="0B4E72E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施工现场需要具备的其他试验条件：</w:t>
      </w:r>
      <w:r>
        <w:rPr>
          <w:rFonts w:hint="eastAsia" w:ascii="宋体" w:hAnsi="宋体" w:eastAsia="宋体" w:cs="宋体"/>
          <w:color w:val="auto"/>
          <w:kern w:val="2"/>
          <w:sz w:val="21"/>
          <w:szCs w:val="24"/>
          <w:highlight w:val="none"/>
          <w:u w:val="single"/>
          <w:lang w:val="en-US" w:eastAsia="zh-CN" w:bidi="ar"/>
        </w:rPr>
        <w:t>按有关规定和监理人要求执行</w:t>
      </w:r>
      <w:r>
        <w:rPr>
          <w:rFonts w:hint="eastAsia" w:ascii="宋体" w:hAnsi="宋体" w:eastAsia="宋体" w:cs="宋体"/>
          <w:color w:val="auto"/>
          <w:kern w:val="2"/>
          <w:sz w:val="21"/>
          <w:szCs w:val="24"/>
          <w:highlight w:val="none"/>
          <w:lang w:val="en-US" w:eastAsia="zh-CN" w:bidi="ar"/>
        </w:rPr>
        <w:t>。</w:t>
      </w:r>
    </w:p>
    <w:p w14:paraId="77F0F0C4">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9.2</w:t>
      </w:r>
      <w:r>
        <w:rPr>
          <w:rFonts w:hint="eastAsia" w:ascii="宋体" w:hAnsi="宋体" w:eastAsia="宋体" w:cs="宋体"/>
          <w:color w:val="auto"/>
          <w:sz w:val="24"/>
          <w:szCs w:val="28"/>
          <w:highlight w:val="none"/>
          <w:lang w:eastAsia="zh-CN"/>
        </w:rPr>
        <w:t>现场工艺试验</w:t>
      </w:r>
      <w:bookmarkEnd w:id="575"/>
      <w:bookmarkEnd w:id="576"/>
      <w:bookmarkEnd w:id="577"/>
      <w:bookmarkEnd w:id="578"/>
      <w:bookmarkEnd w:id="579"/>
    </w:p>
    <w:p w14:paraId="68515E8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现场工艺试验的有关约定：</w:t>
      </w:r>
      <w:r>
        <w:rPr>
          <w:rFonts w:hint="eastAsia" w:ascii="宋体" w:hAnsi="宋体" w:eastAsia="宋体" w:cs="宋体"/>
          <w:color w:val="auto"/>
          <w:kern w:val="2"/>
          <w:sz w:val="21"/>
          <w:szCs w:val="24"/>
          <w:highlight w:val="none"/>
          <w:u w:val="single"/>
          <w:lang w:val="en-US" w:eastAsia="zh-CN" w:bidi="ar"/>
        </w:rPr>
        <w:t>按规范要求执行</w:t>
      </w:r>
      <w:r>
        <w:rPr>
          <w:rFonts w:hint="eastAsia" w:ascii="宋体" w:hAnsi="宋体" w:eastAsia="宋体" w:cs="宋体"/>
          <w:color w:val="auto"/>
          <w:kern w:val="2"/>
          <w:sz w:val="21"/>
          <w:szCs w:val="24"/>
          <w:highlight w:val="none"/>
          <w:lang w:val="en-US" w:eastAsia="zh-CN" w:bidi="ar"/>
        </w:rPr>
        <w:t>。</w:t>
      </w:r>
    </w:p>
    <w:p w14:paraId="70C8E60C">
      <w:pPr>
        <w:pStyle w:val="5"/>
        <w:widowControl/>
        <w:ind w:left="0" w:firstLine="562"/>
        <w:rPr>
          <w:rFonts w:hint="eastAsia" w:ascii="宋体" w:hAnsi="宋体" w:eastAsia="宋体" w:cs="宋体"/>
          <w:color w:val="auto"/>
          <w:sz w:val="24"/>
          <w:szCs w:val="28"/>
          <w:highlight w:val="none"/>
          <w:lang w:val="en-US"/>
        </w:rPr>
      </w:pPr>
      <w:bookmarkStart w:id="588" w:name="_Toc487632738"/>
      <w:bookmarkStart w:id="589" w:name="_Toc407135241"/>
      <w:r>
        <w:rPr>
          <w:rFonts w:hint="eastAsia" w:ascii="宋体" w:hAnsi="宋体" w:eastAsia="宋体" w:cs="宋体"/>
          <w:color w:val="auto"/>
          <w:sz w:val="24"/>
          <w:szCs w:val="28"/>
          <w:highlight w:val="none"/>
          <w:lang w:val="en-US"/>
        </w:rPr>
        <w:t>9.3</w:t>
      </w:r>
      <w:r>
        <w:rPr>
          <w:rFonts w:hint="eastAsia" w:ascii="宋体" w:hAnsi="宋体" w:eastAsia="宋体" w:cs="宋体"/>
          <w:color w:val="auto"/>
          <w:sz w:val="24"/>
          <w:szCs w:val="28"/>
          <w:highlight w:val="none"/>
          <w:lang w:eastAsia="zh-CN"/>
        </w:rPr>
        <w:t>检验费用</w:t>
      </w:r>
      <w:bookmarkEnd w:id="588"/>
      <w:bookmarkEnd w:id="589"/>
    </w:p>
    <w:p w14:paraId="1F191CE1">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580"/>
    <w:bookmarkEnd w:id="581"/>
    <w:bookmarkEnd w:id="582"/>
    <w:bookmarkEnd w:id="583"/>
    <w:bookmarkEnd w:id="584"/>
    <w:bookmarkEnd w:id="585"/>
    <w:bookmarkEnd w:id="586"/>
    <w:bookmarkEnd w:id="587"/>
    <w:p w14:paraId="2D173009">
      <w:pPr>
        <w:pStyle w:val="4"/>
        <w:widowControl/>
        <w:ind w:left="0" w:firstLine="602"/>
        <w:rPr>
          <w:rFonts w:hint="eastAsia" w:ascii="宋体" w:hAnsi="宋体" w:eastAsia="宋体" w:cs="宋体"/>
          <w:color w:val="auto"/>
          <w:sz w:val="28"/>
          <w:szCs w:val="28"/>
          <w:highlight w:val="none"/>
          <w:lang w:val="en-US"/>
        </w:rPr>
      </w:pPr>
      <w:bookmarkStart w:id="590" w:name="_Toc389065305"/>
      <w:bookmarkStart w:id="591" w:name="_Toc373227739"/>
      <w:bookmarkStart w:id="592" w:name="_Toc487632739"/>
      <w:bookmarkStart w:id="593" w:name="_Toc351203642"/>
      <w:bookmarkStart w:id="594" w:name="_Toc373478386"/>
      <w:bookmarkStart w:id="595" w:name="_Toc407135242"/>
      <w:r>
        <w:rPr>
          <w:rFonts w:hint="eastAsia" w:ascii="宋体" w:hAnsi="宋体" w:eastAsia="宋体" w:cs="宋体"/>
          <w:color w:val="auto"/>
          <w:sz w:val="28"/>
          <w:szCs w:val="28"/>
          <w:highlight w:val="none"/>
          <w:lang w:val="en-US"/>
        </w:rPr>
        <w:t>1</w:t>
      </w:r>
      <w:bookmarkEnd w:id="551"/>
      <w:bookmarkEnd w:id="552"/>
      <w:bookmarkEnd w:id="553"/>
      <w:bookmarkEnd w:id="554"/>
      <w:bookmarkEnd w:id="555"/>
      <w:bookmarkEnd w:id="556"/>
      <w:bookmarkEnd w:id="557"/>
      <w:bookmarkEnd w:id="558"/>
      <w:bookmarkEnd w:id="559"/>
      <w:bookmarkEnd w:id="560"/>
      <w:bookmarkEnd w:id="561"/>
      <w:bookmarkEnd w:id="562"/>
      <w:bookmarkStart w:id="596" w:name="_Toc296944532"/>
      <w:bookmarkStart w:id="597" w:name="_Toc303539146"/>
      <w:bookmarkStart w:id="598" w:name="_Toc297123540"/>
      <w:bookmarkStart w:id="599" w:name="_Toc296346694"/>
      <w:bookmarkStart w:id="600" w:name="_Toc296891021"/>
      <w:bookmarkStart w:id="601" w:name="_Toc292559398"/>
      <w:bookmarkStart w:id="602" w:name="_Toc297048379"/>
      <w:bookmarkStart w:id="603" w:name="_Toc296503193"/>
      <w:bookmarkStart w:id="604" w:name="_Toc297216199"/>
      <w:bookmarkStart w:id="605" w:name="_Toc296891233"/>
      <w:bookmarkStart w:id="606" w:name="_Toc296347192"/>
      <w:bookmarkStart w:id="607" w:name="_Toc297120493"/>
      <w:bookmarkStart w:id="608" w:name="_Toc292559903"/>
      <w:bookmarkStart w:id="609" w:name="_Toc300934989"/>
      <w:bookmarkStart w:id="610" w:name="_Toc304295566"/>
      <w:bookmarkStart w:id="611" w:name="_Toc312678025"/>
      <w:bookmarkStart w:id="612" w:name="_Toc312677499"/>
      <w:bookmarkStart w:id="613" w:name="_Toc267251437"/>
      <w:bookmarkStart w:id="614" w:name="_Toc267251441"/>
      <w:bookmarkStart w:id="615" w:name="_Toc267251435"/>
      <w:bookmarkStart w:id="616" w:name="_Toc267251439"/>
      <w:bookmarkStart w:id="617" w:name="_Toc267251433"/>
      <w:bookmarkStart w:id="618" w:name="_Toc267251440"/>
      <w:bookmarkStart w:id="619" w:name="_Toc267251442"/>
      <w:r>
        <w:rPr>
          <w:rFonts w:hint="eastAsia" w:ascii="宋体" w:hAnsi="宋体" w:eastAsia="宋体" w:cs="宋体"/>
          <w:color w:val="auto"/>
          <w:sz w:val="28"/>
          <w:szCs w:val="28"/>
          <w:highlight w:val="none"/>
          <w:lang w:val="en-US"/>
        </w:rPr>
        <w:t>0.</w:t>
      </w:r>
      <w:r>
        <w:rPr>
          <w:rFonts w:hint="eastAsia" w:ascii="宋体" w:hAnsi="宋体" w:eastAsia="宋体" w:cs="宋体"/>
          <w:color w:val="auto"/>
          <w:sz w:val="28"/>
          <w:szCs w:val="28"/>
          <w:highlight w:val="none"/>
          <w:lang w:eastAsia="zh-CN"/>
        </w:rPr>
        <w:t>变更</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bookmarkEnd w:id="611"/>
    <w:bookmarkEnd w:id="612"/>
    <w:p w14:paraId="553B9C8B">
      <w:pPr>
        <w:pStyle w:val="5"/>
        <w:widowControl/>
        <w:ind w:left="0" w:firstLine="562"/>
        <w:rPr>
          <w:rFonts w:hint="eastAsia" w:ascii="宋体" w:hAnsi="宋体" w:eastAsia="宋体" w:cs="宋体"/>
          <w:color w:val="auto"/>
          <w:sz w:val="24"/>
          <w:szCs w:val="28"/>
          <w:highlight w:val="none"/>
          <w:lang w:val="en-US"/>
        </w:rPr>
      </w:pPr>
      <w:bookmarkStart w:id="620" w:name="_Toc487632740"/>
      <w:bookmarkStart w:id="621" w:name="_Toc389065306"/>
      <w:bookmarkStart w:id="622" w:name="_Toc373478387"/>
      <w:bookmarkStart w:id="623" w:name="_Toc373227740"/>
      <w:bookmarkStart w:id="624" w:name="_Toc407135243"/>
      <w:r>
        <w:rPr>
          <w:rFonts w:hint="eastAsia" w:ascii="宋体" w:hAnsi="宋体" w:eastAsia="宋体" w:cs="宋体"/>
          <w:color w:val="auto"/>
          <w:sz w:val="24"/>
          <w:szCs w:val="28"/>
          <w:highlight w:val="none"/>
          <w:lang w:val="en-US"/>
        </w:rPr>
        <w:t>1</w:t>
      </w:r>
      <w:bookmarkStart w:id="625" w:name="_Toc292559399"/>
      <w:bookmarkStart w:id="626" w:name="_Toc292559904"/>
      <w:bookmarkStart w:id="627" w:name="_Toc300934990"/>
      <w:bookmarkStart w:id="628" w:name="_Toc312678026"/>
      <w:bookmarkStart w:id="629" w:name="_Toc296347193"/>
      <w:bookmarkStart w:id="630" w:name="_Toc312677500"/>
      <w:bookmarkStart w:id="631" w:name="_Toc297048380"/>
      <w:bookmarkStart w:id="632" w:name="_Toc297120494"/>
      <w:bookmarkStart w:id="633" w:name="_Toc296503194"/>
      <w:bookmarkStart w:id="634" w:name="_Toc297216200"/>
      <w:bookmarkStart w:id="635" w:name="_Toc303539147"/>
      <w:bookmarkStart w:id="636" w:name="_Toc304295567"/>
      <w:bookmarkStart w:id="637" w:name="_Toc297123541"/>
      <w:bookmarkStart w:id="638" w:name="_Toc296346695"/>
      <w:bookmarkStart w:id="639" w:name="_Toc296891022"/>
      <w:bookmarkStart w:id="640" w:name="_Toc296891234"/>
      <w:bookmarkStart w:id="641" w:name="_Toc296944533"/>
      <w:r>
        <w:rPr>
          <w:rFonts w:hint="eastAsia" w:ascii="宋体" w:hAnsi="宋体" w:eastAsia="宋体" w:cs="宋体"/>
          <w:color w:val="auto"/>
          <w:sz w:val="24"/>
          <w:szCs w:val="28"/>
          <w:highlight w:val="none"/>
          <w:lang w:val="en-US"/>
        </w:rPr>
        <w:t>0.1</w:t>
      </w:r>
      <w:r>
        <w:rPr>
          <w:rFonts w:hint="eastAsia" w:ascii="宋体" w:hAnsi="宋体" w:eastAsia="宋体" w:cs="宋体"/>
          <w:color w:val="auto"/>
          <w:sz w:val="24"/>
          <w:szCs w:val="28"/>
          <w:highlight w:val="none"/>
          <w:lang w:eastAsia="zh-CN"/>
        </w:rPr>
        <w:t>变更的范围</w:t>
      </w:r>
      <w:bookmarkEnd w:id="620"/>
      <w:bookmarkEnd w:id="621"/>
      <w:bookmarkEnd w:id="622"/>
      <w:bookmarkEnd w:id="623"/>
      <w:bookmarkEnd w:id="624"/>
    </w:p>
    <w:p w14:paraId="22A9753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关于变更的范围的约定：</w:t>
      </w:r>
      <w:r>
        <w:rPr>
          <w:rFonts w:hint="eastAsia" w:ascii="宋体" w:hAnsi="宋体" w:eastAsia="宋体" w:cs="宋体"/>
          <w:color w:val="auto"/>
          <w:kern w:val="2"/>
          <w:sz w:val="21"/>
          <w:szCs w:val="24"/>
          <w:highlight w:val="none"/>
          <w:u w:val="single"/>
          <w:lang w:val="en-US" w:eastAsia="zh-CN" w:bidi="ar"/>
        </w:rPr>
        <w:t>按通用合同条款执行</w:t>
      </w:r>
      <w:r>
        <w:rPr>
          <w:rFonts w:hint="eastAsia" w:ascii="宋体" w:hAnsi="宋体" w:eastAsia="宋体" w:cs="宋体"/>
          <w:color w:val="auto"/>
          <w:kern w:val="2"/>
          <w:sz w:val="21"/>
          <w:szCs w:val="24"/>
          <w:highlight w:val="none"/>
          <w:lang w:val="en-US" w:eastAsia="zh-CN" w:bidi="ar"/>
        </w:rPr>
        <w:t>。</w:t>
      </w:r>
    </w:p>
    <w:p w14:paraId="6835D71A">
      <w:pPr>
        <w:pStyle w:val="5"/>
        <w:widowControl/>
        <w:ind w:left="0" w:firstLine="562"/>
        <w:rPr>
          <w:rFonts w:hint="eastAsia" w:ascii="宋体" w:hAnsi="宋体" w:eastAsia="宋体" w:cs="宋体"/>
          <w:color w:val="auto"/>
          <w:sz w:val="24"/>
          <w:szCs w:val="28"/>
          <w:highlight w:val="none"/>
          <w:lang w:val="en-US"/>
        </w:rPr>
      </w:pPr>
      <w:bookmarkStart w:id="642" w:name="_Toc407135244"/>
      <w:bookmarkStart w:id="643" w:name="_Toc373227741"/>
      <w:bookmarkStart w:id="644" w:name="_Toc389065307"/>
      <w:bookmarkStart w:id="645" w:name="_Toc373478388"/>
      <w:bookmarkStart w:id="646" w:name="_Toc487632741"/>
      <w:r>
        <w:rPr>
          <w:rFonts w:hint="eastAsia" w:ascii="宋体" w:hAnsi="宋体" w:eastAsia="宋体" w:cs="宋体"/>
          <w:color w:val="auto"/>
          <w:sz w:val="24"/>
          <w:szCs w:val="28"/>
          <w:highlight w:val="none"/>
          <w:lang w:val="en-US"/>
        </w:rPr>
        <w:t>10.2</w:t>
      </w:r>
      <w:r>
        <w:rPr>
          <w:rFonts w:hint="eastAsia" w:ascii="宋体" w:hAnsi="宋体" w:eastAsia="宋体" w:cs="宋体"/>
          <w:color w:val="auto"/>
          <w:sz w:val="24"/>
          <w:szCs w:val="28"/>
          <w:highlight w:val="none"/>
          <w:lang w:eastAsia="zh-CN"/>
        </w:rPr>
        <w:t>变更程序</w:t>
      </w:r>
      <w:bookmarkEnd w:id="642"/>
      <w:bookmarkEnd w:id="643"/>
      <w:bookmarkEnd w:id="644"/>
      <w:bookmarkEnd w:id="645"/>
      <w:bookmarkEnd w:id="646"/>
    </w:p>
    <w:p w14:paraId="5658B1C3">
      <w:pPr>
        <w:pStyle w:val="25"/>
        <w:keepNext w:val="0"/>
        <w:keepLines w:val="0"/>
        <w:widowControl w:val="0"/>
        <w:suppressLineNumbers w:val="0"/>
        <w:spacing w:before="0" w:beforeAutospacing="0" w:after="0" w:afterAutospacing="0" w:line="360" w:lineRule="auto"/>
        <w:ind w:left="0" w:right="0" w:firstLine="441" w:firstLineChars="210"/>
        <w:jc w:val="both"/>
        <w:rPr>
          <w:rFonts w:hAnsi="宋体" w:cs="宋体"/>
          <w:color w:val="auto"/>
          <w:highlight w:val="none"/>
          <w:lang w:val="en-US"/>
        </w:rPr>
      </w:pPr>
      <w:r>
        <w:rPr>
          <w:rFonts w:hint="eastAsia" w:ascii="宋体" w:hAnsi="宋体" w:eastAsia="宋体" w:cs="宋体"/>
          <w:color w:val="auto"/>
          <w:kern w:val="2"/>
          <w:sz w:val="21"/>
          <w:szCs w:val="21"/>
          <w:highlight w:val="none"/>
          <w:lang w:val="en-US" w:eastAsia="zh-CN" w:bidi="ar"/>
        </w:rPr>
        <w:t>10.2.1国有投资项目：</w:t>
      </w:r>
    </w:p>
    <w:p w14:paraId="72533843">
      <w:pPr>
        <w:pStyle w:val="25"/>
        <w:keepNext w:val="0"/>
        <w:keepLines w:val="0"/>
        <w:widowControl w:val="0"/>
        <w:suppressLineNumbers w:val="0"/>
        <w:spacing w:before="0" w:beforeAutospacing="0" w:after="0" w:afterAutospacing="0" w:line="360" w:lineRule="auto"/>
        <w:ind w:left="0" w:right="0" w:firstLine="441" w:firstLineChars="210"/>
        <w:jc w:val="both"/>
        <w:rPr>
          <w:rFonts w:hAnsi="宋体" w:cs="宋体"/>
          <w:bCs/>
          <w:color w:val="auto"/>
          <w:highlight w:val="none"/>
          <w:lang w:val="en-US"/>
        </w:rPr>
      </w:pPr>
      <w:r>
        <w:rPr>
          <w:rFonts w:hint="eastAsia" w:ascii="宋体" w:hAnsi="宋体" w:eastAsia="宋体" w:cs="宋体"/>
          <w:bCs/>
          <w:color w:val="auto"/>
          <w:kern w:val="2"/>
          <w:sz w:val="21"/>
          <w:szCs w:val="21"/>
          <w:highlight w:val="none"/>
          <w:lang w:val="en-US" w:eastAsia="zh-CN" w:bidi="ar"/>
        </w:rPr>
        <w:t>⑴设计变更和工程签证，按各市政府或相关部门的规定办理。属不可抗力（自然灾害、突发事件等）造成变更的，按特事特办原则予以办理。</w:t>
      </w:r>
    </w:p>
    <w:p w14:paraId="347E41E6">
      <w:pPr>
        <w:pStyle w:val="25"/>
        <w:keepNext w:val="0"/>
        <w:keepLines w:val="0"/>
        <w:widowControl w:val="0"/>
        <w:suppressLineNumbers w:val="0"/>
        <w:spacing w:before="0" w:beforeAutospacing="0" w:after="0" w:afterAutospacing="0" w:line="360" w:lineRule="auto"/>
        <w:ind w:left="0" w:right="0" w:firstLine="441" w:firstLineChars="210"/>
        <w:jc w:val="both"/>
        <w:rPr>
          <w:rFonts w:hAnsi="宋体" w:cs="宋体"/>
          <w:bCs/>
          <w:color w:val="auto"/>
          <w:highlight w:val="none"/>
          <w:lang w:val="en-US"/>
        </w:rPr>
      </w:pPr>
      <w:r>
        <w:rPr>
          <w:rFonts w:hint="eastAsia" w:ascii="宋体" w:hAnsi="宋体" w:eastAsia="宋体" w:cs="宋体"/>
          <w:bCs/>
          <w:color w:val="auto"/>
          <w:kern w:val="2"/>
          <w:sz w:val="21"/>
          <w:szCs w:val="21"/>
          <w:highlight w:val="none"/>
          <w:lang w:val="en-US" w:eastAsia="zh-CN" w:bidi="ar"/>
        </w:rPr>
        <w:t>⑵建设单位在实施项目过程中，若发生单价变动，由建设单位、监理单位、施工单位及其他相关单位共同商定并签字确认。</w:t>
      </w:r>
    </w:p>
    <w:p w14:paraId="55185676">
      <w:pPr>
        <w:pStyle w:val="25"/>
        <w:keepNext w:val="0"/>
        <w:keepLines w:val="0"/>
        <w:widowControl w:val="0"/>
        <w:suppressLineNumbers w:val="0"/>
        <w:spacing w:before="0" w:beforeAutospacing="0" w:after="0" w:afterAutospacing="0" w:line="360" w:lineRule="auto"/>
        <w:ind w:left="0" w:right="0" w:firstLine="441" w:firstLineChars="210"/>
        <w:jc w:val="both"/>
        <w:rPr>
          <w:rFonts w:hAnsi="宋体" w:cs="宋体"/>
          <w:bCs/>
          <w:color w:val="auto"/>
          <w:highlight w:val="none"/>
          <w:lang w:val="en-US"/>
        </w:rPr>
      </w:pPr>
      <w:r>
        <w:rPr>
          <w:rFonts w:hint="eastAsia" w:ascii="宋体" w:hAnsi="宋体" w:eastAsia="宋体" w:cs="宋体"/>
          <w:bCs/>
          <w:color w:val="auto"/>
          <w:kern w:val="2"/>
          <w:sz w:val="21"/>
          <w:szCs w:val="21"/>
          <w:highlight w:val="none"/>
          <w:lang w:val="en-US" w:eastAsia="zh-CN" w:bidi="ar"/>
        </w:rPr>
        <w:t>⑶当合同规定的合同价款调整情况发生后，承包人未在规定时间内通知发包人，或者未在规定时间内提出调整报告，发包人可以根据有关资料，决定是否调整和调整的金额，并书面通知承包人。</w:t>
      </w:r>
    </w:p>
    <w:p w14:paraId="229CE6B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10.2.2非国有投资项目：</w:t>
      </w:r>
    </w:p>
    <w:p w14:paraId="0984771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u w:val="single"/>
          <w:lang w:val="en-US" w:eastAsia="zh-CN" w:bidi="ar"/>
        </w:rPr>
        <w:t>方式：工程款原则上按月支付，合同内进度款支付限额为已完成</w:t>
      </w:r>
      <w:r>
        <w:rPr>
          <w:rFonts w:hint="eastAsia" w:ascii="宋体" w:hAnsi="宋体" w:eastAsia="宋体" w:cs="宋体"/>
          <w:color w:val="auto"/>
          <w:kern w:val="2"/>
          <w:sz w:val="21"/>
          <w:szCs w:val="24"/>
          <w:highlight w:val="none"/>
          <w:lang w:val="en-US" w:eastAsia="zh-CN" w:bidi="ar"/>
        </w:rPr>
        <w:t>。</w:t>
      </w:r>
    </w:p>
    <w:p w14:paraId="07AC0107">
      <w:pPr>
        <w:pStyle w:val="5"/>
        <w:widowControl/>
        <w:ind w:left="0" w:firstLine="562"/>
        <w:rPr>
          <w:rFonts w:hint="eastAsia" w:ascii="宋体" w:hAnsi="宋体" w:eastAsia="宋体" w:cs="宋体"/>
          <w:color w:val="auto"/>
          <w:sz w:val="24"/>
          <w:szCs w:val="28"/>
          <w:highlight w:val="none"/>
          <w:lang w:val="en-US"/>
        </w:rPr>
      </w:pPr>
      <w:bookmarkStart w:id="647" w:name="_Toc373227742"/>
      <w:bookmarkStart w:id="648" w:name="_Toc487632742"/>
      <w:bookmarkStart w:id="649" w:name="_Toc407135245"/>
      <w:bookmarkStart w:id="650" w:name="_Toc373478389"/>
      <w:bookmarkStart w:id="651" w:name="_Toc389065308"/>
      <w:r>
        <w:rPr>
          <w:rFonts w:hint="eastAsia" w:ascii="宋体" w:hAnsi="宋体" w:eastAsia="宋体" w:cs="宋体"/>
          <w:color w:val="auto"/>
          <w:sz w:val="24"/>
          <w:szCs w:val="28"/>
          <w:highlight w:val="none"/>
          <w:lang w:val="en-US"/>
        </w:rPr>
        <w:t>10.3</w:t>
      </w:r>
      <w:r>
        <w:rPr>
          <w:rFonts w:hint="eastAsia" w:ascii="宋体" w:hAnsi="宋体" w:eastAsia="宋体" w:cs="宋体"/>
          <w:color w:val="auto"/>
          <w:sz w:val="24"/>
          <w:szCs w:val="28"/>
          <w:highlight w:val="none"/>
          <w:lang w:eastAsia="zh-CN"/>
        </w:rPr>
        <w:t>变更估价</w:t>
      </w:r>
      <w:bookmarkEnd w:id="647"/>
      <w:bookmarkEnd w:id="648"/>
      <w:bookmarkEnd w:id="649"/>
      <w:bookmarkEnd w:id="650"/>
      <w:bookmarkEnd w:id="651"/>
    </w:p>
    <w:p w14:paraId="2BAFF82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10.3.1变更估价原则</w:t>
      </w:r>
    </w:p>
    <w:p w14:paraId="3489B00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关于变更估价的约定:</w:t>
      </w:r>
      <w:bookmarkStart w:id="652" w:name="_Toc251051742"/>
      <w:r>
        <w:rPr>
          <w:rFonts w:hint="eastAsia" w:ascii="宋体" w:hAnsi="宋体" w:eastAsia="宋体" w:cs="宋体"/>
          <w:color w:val="auto"/>
          <w:kern w:val="2"/>
          <w:sz w:val="21"/>
          <w:szCs w:val="24"/>
          <w:highlight w:val="none"/>
          <w:u w:val="single"/>
          <w:lang w:val="en-US" w:eastAsia="zh-CN" w:bidi="ar"/>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15%）计算，其中材料价格按施工期间的《梧州市建设工程造价信息》相应价格信息进行计算；《梧州市建设工程造价信息》没有相应价格信息的按市场价计算；无定额可套的，根据市场价格协商确定综合价格；对于政府及国有资金投资的项目，新增项目的单价必须经审计部门审定</w:t>
      </w:r>
      <w:bookmarkEnd w:id="652"/>
      <w:r>
        <w:rPr>
          <w:rFonts w:hint="eastAsia" w:ascii="宋体" w:hAnsi="宋体" w:eastAsia="宋体" w:cs="宋体"/>
          <w:color w:val="auto"/>
          <w:kern w:val="2"/>
          <w:sz w:val="21"/>
          <w:szCs w:val="24"/>
          <w:highlight w:val="none"/>
          <w:lang w:val="en-US" w:eastAsia="zh-CN" w:bidi="ar"/>
        </w:rPr>
        <w:t>。</w:t>
      </w:r>
    </w:p>
    <w:p w14:paraId="0E03FAA1">
      <w:pPr>
        <w:keepNext w:val="0"/>
        <w:keepLines w:val="0"/>
        <w:widowControl w:val="0"/>
        <w:suppressLineNumbers w:val="0"/>
        <w:spacing w:before="0" w:beforeAutospacing="0" w:after="0" w:afterAutospacing="0" w:line="360" w:lineRule="auto"/>
        <w:ind w:left="0" w:right="0" w:firstLine="420" w:firstLineChars="200"/>
        <w:jc w:val="left"/>
        <w:rPr>
          <w:rFonts w:hint="default"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u w:val="single"/>
          <w:lang w:val="en-US" w:eastAsia="zh-CN" w:bidi="ar"/>
        </w:rPr>
        <w:t>工程变更导致实际完成的变更工程量与已标价清单或预算书中列明的该项目工程量有偏差时，其综合单价的确定按专用条款“1.</w:t>
      </w:r>
      <w:r>
        <w:rPr>
          <w:rFonts w:hint="eastAsia" w:ascii="宋体" w:hAnsi="宋体" w:cs="宋体"/>
          <w:color w:val="auto"/>
          <w:kern w:val="2"/>
          <w:sz w:val="21"/>
          <w:szCs w:val="24"/>
          <w:highlight w:val="none"/>
          <w:u w:val="single"/>
          <w:lang w:val="en-US" w:eastAsia="zh-CN" w:bidi="ar"/>
        </w:rPr>
        <w:t>9</w:t>
      </w:r>
      <w:r>
        <w:rPr>
          <w:rFonts w:hint="eastAsia" w:ascii="宋体" w:hAnsi="宋体" w:eastAsia="宋体" w:cs="宋体"/>
          <w:color w:val="auto"/>
          <w:kern w:val="2"/>
          <w:sz w:val="21"/>
          <w:szCs w:val="24"/>
          <w:highlight w:val="none"/>
          <w:u w:val="single"/>
          <w:lang w:val="en-US" w:eastAsia="zh-CN" w:bidi="ar"/>
        </w:rPr>
        <w:t>工程量清单错误的修正”执行。</w:t>
      </w:r>
    </w:p>
    <w:p w14:paraId="437E1DB0">
      <w:pPr>
        <w:pStyle w:val="5"/>
        <w:widowControl/>
        <w:ind w:left="0" w:firstLine="562"/>
        <w:rPr>
          <w:rFonts w:hint="eastAsia" w:ascii="宋体" w:hAnsi="宋体" w:eastAsia="宋体" w:cs="宋体"/>
          <w:color w:val="auto"/>
          <w:sz w:val="24"/>
          <w:szCs w:val="28"/>
          <w:highlight w:val="none"/>
          <w:lang w:val="en-US"/>
        </w:rPr>
      </w:pPr>
      <w:bookmarkStart w:id="653" w:name="_Toc407135246"/>
      <w:bookmarkStart w:id="654" w:name="_Toc373478390"/>
      <w:bookmarkStart w:id="655" w:name="_Toc373227743"/>
      <w:bookmarkStart w:id="656" w:name="_Toc389065309"/>
      <w:bookmarkStart w:id="657" w:name="_Toc487632743"/>
      <w:r>
        <w:rPr>
          <w:rFonts w:hint="eastAsia" w:ascii="宋体" w:hAnsi="宋体" w:eastAsia="宋体" w:cs="宋体"/>
          <w:color w:val="auto"/>
          <w:sz w:val="24"/>
          <w:szCs w:val="28"/>
          <w:highlight w:val="none"/>
          <w:lang w:val="en-US"/>
        </w:rPr>
        <w:t>1</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Start w:id="658" w:name="_Toc292559402"/>
      <w:bookmarkStart w:id="659" w:name="_Toc303539150"/>
      <w:bookmarkStart w:id="660" w:name="_Toc292559907"/>
      <w:bookmarkStart w:id="661" w:name="_Toc297120497"/>
      <w:bookmarkStart w:id="662" w:name="_Toc300934993"/>
      <w:bookmarkStart w:id="663" w:name="_Toc296346698"/>
      <w:bookmarkStart w:id="664" w:name="_Toc297048383"/>
      <w:bookmarkStart w:id="665" w:name="_Toc296944536"/>
      <w:bookmarkStart w:id="666" w:name="_Toc297123544"/>
      <w:bookmarkStart w:id="667" w:name="_Toc296891025"/>
      <w:bookmarkStart w:id="668" w:name="_Toc296347196"/>
      <w:bookmarkStart w:id="669" w:name="_Toc296503197"/>
      <w:bookmarkStart w:id="670" w:name="_Toc297216203"/>
      <w:bookmarkStart w:id="671" w:name="_Toc296891237"/>
      <w:bookmarkStart w:id="672" w:name="_Toc312678029"/>
      <w:bookmarkStart w:id="673" w:name="_Toc312677503"/>
      <w:bookmarkStart w:id="674" w:name="_Toc304295570"/>
      <w:r>
        <w:rPr>
          <w:rFonts w:hint="eastAsia" w:ascii="宋体" w:hAnsi="宋体" w:eastAsia="宋体" w:cs="宋体"/>
          <w:color w:val="auto"/>
          <w:sz w:val="24"/>
          <w:szCs w:val="28"/>
          <w:highlight w:val="none"/>
          <w:lang w:val="en-US"/>
        </w:rPr>
        <w:t>0.4</w:t>
      </w:r>
      <w:r>
        <w:rPr>
          <w:rFonts w:hint="eastAsia" w:ascii="宋体" w:hAnsi="宋体" w:eastAsia="宋体" w:cs="宋体"/>
          <w:color w:val="auto"/>
          <w:sz w:val="24"/>
          <w:szCs w:val="28"/>
          <w:highlight w:val="none"/>
          <w:lang w:eastAsia="zh-CN"/>
        </w:rPr>
        <w:t>承</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Start w:id="675" w:name="_Toc300934994"/>
      <w:bookmarkStart w:id="676" w:name="_Toc303539151"/>
      <w:bookmarkStart w:id="677" w:name="_Toc297120503"/>
      <w:bookmarkStart w:id="678" w:name="_Toc297123545"/>
      <w:bookmarkStart w:id="679" w:name="_Toc297216204"/>
      <w:bookmarkStart w:id="680" w:name="_Toc296503203"/>
      <w:bookmarkStart w:id="681" w:name="_Toc292559913"/>
      <w:bookmarkStart w:id="682" w:name="_Toc296346704"/>
      <w:bookmarkStart w:id="683" w:name="_Toc292559408"/>
      <w:bookmarkStart w:id="684" w:name="_Toc296944542"/>
      <w:bookmarkStart w:id="685" w:name="_Toc296891243"/>
      <w:bookmarkStart w:id="686" w:name="_Toc296347202"/>
      <w:bookmarkStart w:id="687" w:name="_Toc296891031"/>
      <w:bookmarkStart w:id="688" w:name="_Toc297048389"/>
      <w:r>
        <w:rPr>
          <w:rFonts w:hint="eastAsia" w:ascii="宋体" w:hAnsi="宋体" w:eastAsia="宋体" w:cs="宋体"/>
          <w:color w:val="auto"/>
          <w:sz w:val="24"/>
          <w:szCs w:val="28"/>
          <w:highlight w:val="none"/>
          <w:lang w:eastAsia="zh-CN"/>
        </w:rPr>
        <w:t>包人的合理化建议</w:t>
      </w:r>
      <w:bookmarkEnd w:id="653"/>
      <w:bookmarkEnd w:id="654"/>
      <w:bookmarkEnd w:id="655"/>
      <w:bookmarkEnd w:id="656"/>
      <w:bookmarkEnd w:id="657"/>
    </w:p>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14:paraId="32D198B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bookmarkStart w:id="689" w:name="_Toc373227744"/>
      <w:bookmarkStart w:id="690" w:name="_Toc373478391"/>
      <w:bookmarkStart w:id="691" w:name="_Toc407135247"/>
      <w:bookmarkStart w:id="692" w:name="_Toc487632744"/>
      <w:bookmarkStart w:id="693" w:name="_Toc389065310"/>
      <w:r>
        <w:rPr>
          <w:rFonts w:hint="eastAsia" w:ascii="宋体" w:hAnsi="宋体" w:eastAsia="宋体" w:cs="宋体"/>
          <w:color w:val="auto"/>
          <w:kern w:val="2"/>
          <w:sz w:val="21"/>
          <w:szCs w:val="24"/>
          <w:highlight w:val="none"/>
          <w:lang w:val="en-US" w:eastAsia="zh-CN" w:bidi="ar"/>
        </w:rPr>
        <w:t>监理人审查承包人合理化建议的期限：</w:t>
      </w:r>
      <w:r>
        <w:rPr>
          <w:rFonts w:hint="eastAsia" w:ascii="宋体" w:hAnsi="宋体" w:eastAsia="宋体" w:cs="宋体"/>
          <w:color w:val="auto"/>
          <w:kern w:val="2"/>
          <w:sz w:val="21"/>
          <w:szCs w:val="24"/>
          <w:highlight w:val="none"/>
          <w:u w:val="single"/>
          <w:lang w:val="en-US" w:eastAsia="zh-CN" w:bidi="ar"/>
        </w:rPr>
        <w:t>按通用条款执行</w:t>
      </w:r>
      <w:r>
        <w:rPr>
          <w:rFonts w:hint="eastAsia" w:ascii="宋体" w:hAnsi="宋体" w:eastAsia="宋体" w:cs="宋体"/>
          <w:color w:val="auto"/>
          <w:kern w:val="2"/>
          <w:sz w:val="21"/>
          <w:szCs w:val="24"/>
          <w:highlight w:val="none"/>
          <w:lang w:val="en-US" w:eastAsia="zh-CN" w:bidi="ar"/>
        </w:rPr>
        <w:t>。</w:t>
      </w:r>
    </w:p>
    <w:p w14:paraId="45B7E89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发包人审批承包人合理化建议的期限：</w:t>
      </w:r>
      <w:r>
        <w:rPr>
          <w:rFonts w:hint="eastAsia" w:ascii="宋体" w:hAnsi="宋体" w:eastAsia="宋体" w:cs="宋体"/>
          <w:color w:val="auto"/>
          <w:kern w:val="2"/>
          <w:sz w:val="21"/>
          <w:szCs w:val="24"/>
          <w:highlight w:val="none"/>
          <w:u w:val="single"/>
          <w:lang w:val="en-US" w:eastAsia="zh-CN" w:bidi="ar"/>
        </w:rPr>
        <w:t>按通用条款执行</w:t>
      </w:r>
      <w:r>
        <w:rPr>
          <w:rFonts w:hint="eastAsia" w:ascii="宋体" w:hAnsi="宋体" w:eastAsia="宋体" w:cs="宋体"/>
          <w:color w:val="auto"/>
          <w:kern w:val="2"/>
          <w:sz w:val="21"/>
          <w:szCs w:val="24"/>
          <w:highlight w:val="none"/>
          <w:lang w:val="en-US" w:eastAsia="zh-CN" w:bidi="ar"/>
        </w:rPr>
        <w:t>。</w:t>
      </w:r>
    </w:p>
    <w:p w14:paraId="6410E8BE">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1</w:t>
      </w:r>
      <w:bookmarkStart w:id="694" w:name="_Toc297048385"/>
      <w:bookmarkStart w:id="695" w:name="_Toc300934997"/>
      <w:bookmarkStart w:id="696" w:name="_Toc304295574"/>
      <w:bookmarkStart w:id="697" w:name="_Toc292559909"/>
      <w:bookmarkStart w:id="698" w:name="_Toc312678033"/>
      <w:bookmarkStart w:id="699" w:name="_Toc296891239"/>
      <w:bookmarkStart w:id="700" w:name="_Toc296347198"/>
      <w:bookmarkStart w:id="701" w:name="_Toc312677507"/>
      <w:bookmarkStart w:id="702" w:name="_Toc297216207"/>
      <w:bookmarkStart w:id="703" w:name="_Toc303539154"/>
      <w:bookmarkStart w:id="704" w:name="_Toc296944538"/>
      <w:bookmarkStart w:id="705" w:name="_Toc296346700"/>
      <w:bookmarkStart w:id="706" w:name="_Toc297120499"/>
      <w:bookmarkStart w:id="707" w:name="_Toc296891027"/>
      <w:bookmarkStart w:id="708" w:name="_Toc297123548"/>
      <w:bookmarkStart w:id="709" w:name="_Toc296503199"/>
      <w:bookmarkStart w:id="710" w:name="_Toc292559404"/>
      <w:r>
        <w:rPr>
          <w:rFonts w:hint="eastAsia" w:ascii="宋体" w:hAnsi="宋体" w:eastAsia="宋体" w:cs="宋体"/>
          <w:color w:val="auto"/>
          <w:sz w:val="24"/>
          <w:szCs w:val="28"/>
          <w:highlight w:val="none"/>
          <w:lang w:val="en-US"/>
        </w:rPr>
        <w:t>0.6</w:t>
      </w:r>
      <w:r>
        <w:rPr>
          <w:rFonts w:hint="eastAsia" w:ascii="宋体" w:hAnsi="宋体" w:eastAsia="宋体" w:cs="宋体"/>
          <w:color w:val="auto"/>
          <w:sz w:val="24"/>
          <w:szCs w:val="28"/>
          <w:highlight w:val="none"/>
          <w:lang w:eastAsia="zh-CN"/>
        </w:rPr>
        <w:t>暂估价</w:t>
      </w:r>
      <w:bookmarkEnd w:id="689"/>
      <w:bookmarkEnd w:id="690"/>
      <w:bookmarkEnd w:id="691"/>
      <w:bookmarkEnd w:id="692"/>
      <w:bookmarkEnd w:id="693"/>
    </w:p>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14:paraId="32F6A07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4"/>
          <w:highlight w:val="none"/>
          <w:lang w:val="en-US" w:eastAsia="zh-CN" w:bidi="ar"/>
        </w:rPr>
        <w:t>暂</w:t>
      </w:r>
      <w:bookmarkStart w:id="711" w:name="_Toc318581176"/>
      <w:bookmarkStart w:id="712" w:name="_Toc312677508"/>
      <w:bookmarkStart w:id="713" w:name="_Toc312678034"/>
      <w:r>
        <w:rPr>
          <w:rFonts w:hint="eastAsia" w:ascii="宋体" w:hAnsi="宋体" w:eastAsia="宋体" w:cs="宋体"/>
          <w:color w:val="auto"/>
          <w:kern w:val="0"/>
          <w:sz w:val="21"/>
          <w:szCs w:val="24"/>
          <w:highlight w:val="none"/>
          <w:lang w:val="en-US" w:eastAsia="zh-CN" w:bidi="ar"/>
        </w:rPr>
        <w:t>估价材料和工程设备的明细详见已标价工程量清单《</w:t>
      </w:r>
      <w:r>
        <w:rPr>
          <w:rFonts w:hint="eastAsia" w:ascii="宋体" w:hAnsi="宋体" w:eastAsia="宋体" w:cs="宋体"/>
          <w:color w:val="auto"/>
          <w:kern w:val="2"/>
          <w:sz w:val="21"/>
          <w:szCs w:val="24"/>
          <w:highlight w:val="none"/>
          <w:lang w:val="en-US" w:eastAsia="zh-CN" w:bidi="ar"/>
        </w:rPr>
        <w:t>材料（工程设备）暂估价格及调整表》</w:t>
      </w:r>
      <w:r>
        <w:rPr>
          <w:rFonts w:hint="eastAsia" w:ascii="宋体" w:hAnsi="宋体" w:eastAsia="宋体" w:cs="宋体"/>
          <w:color w:val="auto"/>
          <w:kern w:val="0"/>
          <w:sz w:val="21"/>
          <w:szCs w:val="24"/>
          <w:highlight w:val="none"/>
          <w:lang w:val="en-US" w:eastAsia="zh-CN" w:bidi="ar"/>
        </w:rPr>
        <w:t>（表12-2）和《</w:t>
      </w:r>
      <w:r>
        <w:rPr>
          <w:rFonts w:hint="eastAsia" w:ascii="宋体" w:hAnsi="宋体" w:eastAsia="宋体" w:cs="宋体"/>
          <w:color w:val="auto"/>
          <w:kern w:val="2"/>
          <w:sz w:val="21"/>
          <w:szCs w:val="24"/>
          <w:highlight w:val="none"/>
          <w:lang w:val="en-US" w:eastAsia="zh-CN" w:bidi="ar"/>
        </w:rPr>
        <w:t>专业工程暂估价表》（</w:t>
      </w:r>
      <w:r>
        <w:rPr>
          <w:rFonts w:hint="eastAsia" w:ascii="宋体" w:hAnsi="宋体" w:eastAsia="宋体" w:cs="宋体"/>
          <w:color w:val="auto"/>
          <w:kern w:val="0"/>
          <w:sz w:val="21"/>
          <w:szCs w:val="24"/>
          <w:highlight w:val="none"/>
          <w:lang w:val="en-US" w:eastAsia="zh-CN" w:bidi="ar"/>
        </w:rPr>
        <w:t>表12-3）。</w:t>
      </w:r>
    </w:p>
    <w:bookmarkEnd w:id="711"/>
    <w:bookmarkEnd w:id="712"/>
    <w:bookmarkEnd w:id="713"/>
    <w:p w14:paraId="5C9590B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w:t>
      </w:r>
      <w:bookmarkStart w:id="714" w:name="_Toc312677509"/>
      <w:bookmarkStart w:id="715" w:name="_Toc312678035"/>
      <w:bookmarkStart w:id="716" w:name="_Toc318581177"/>
      <w:r>
        <w:rPr>
          <w:rFonts w:hint="eastAsia" w:ascii="宋体" w:hAnsi="宋体" w:eastAsia="宋体" w:cs="宋体"/>
          <w:color w:val="auto"/>
          <w:kern w:val="2"/>
          <w:sz w:val="21"/>
          <w:szCs w:val="24"/>
          <w:highlight w:val="none"/>
          <w:lang w:val="en-US" w:eastAsia="zh-CN" w:bidi="ar"/>
        </w:rPr>
        <w:t>0.6.1依法必须招标的暂估价项目</w:t>
      </w:r>
    </w:p>
    <w:bookmarkEnd w:id="714"/>
    <w:bookmarkEnd w:id="715"/>
    <w:bookmarkEnd w:id="716"/>
    <w:p w14:paraId="155BD86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对于依法必须招标的暂估价项目的确认和批准采取第种方式确定。</w:t>
      </w:r>
    </w:p>
    <w:p w14:paraId="41622AA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10.6.2不属于依法必须招标的暂估价项目</w:t>
      </w:r>
    </w:p>
    <w:p w14:paraId="33D9963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对于不属于依法必须招标的暂估价项目的确认和批准采取第种方式确定。</w:t>
      </w:r>
    </w:p>
    <w:p w14:paraId="41BE758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2"/>
          <w:sz w:val="21"/>
          <w:szCs w:val="24"/>
          <w:highlight w:val="none"/>
          <w:lang w:val="en-US" w:eastAsia="zh-CN" w:bidi="ar"/>
        </w:rPr>
        <w:t>第3种方式：</w:t>
      </w:r>
      <w:r>
        <w:rPr>
          <w:rFonts w:hint="eastAsia" w:ascii="宋体" w:hAnsi="宋体" w:eastAsia="宋体" w:cs="宋体"/>
          <w:color w:val="auto"/>
          <w:kern w:val="0"/>
          <w:sz w:val="21"/>
          <w:szCs w:val="24"/>
          <w:highlight w:val="none"/>
          <w:lang w:val="en-US" w:eastAsia="zh-CN" w:bidi="ar"/>
        </w:rPr>
        <w:t>承包人直接实施的暂估价项目</w:t>
      </w:r>
    </w:p>
    <w:p w14:paraId="32E8A85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承包人直接实施的暂估价项目的约定：</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11167041">
      <w:pPr>
        <w:pStyle w:val="5"/>
        <w:widowControl/>
        <w:ind w:left="0" w:firstLine="562"/>
        <w:rPr>
          <w:rFonts w:hint="eastAsia" w:ascii="宋体" w:hAnsi="宋体" w:eastAsia="宋体" w:cs="宋体"/>
          <w:color w:val="auto"/>
          <w:sz w:val="24"/>
          <w:szCs w:val="28"/>
          <w:highlight w:val="none"/>
          <w:lang w:val="en-US"/>
        </w:rPr>
      </w:pPr>
      <w:bookmarkStart w:id="717" w:name="_Toc487632745"/>
      <w:bookmarkStart w:id="718" w:name="_Toc373227745"/>
      <w:bookmarkStart w:id="719" w:name="_Toc407135248"/>
      <w:bookmarkStart w:id="720" w:name="_Toc389065311"/>
      <w:bookmarkStart w:id="721" w:name="_Toc373478392"/>
      <w:r>
        <w:rPr>
          <w:rFonts w:hint="eastAsia" w:ascii="宋体" w:hAnsi="宋体" w:eastAsia="宋体" w:cs="宋体"/>
          <w:color w:val="auto"/>
          <w:sz w:val="24"/>
          <w:szCs w:val="28"/>
          <w:highlight w:val="none"/>
          <w:lang w:val="en-US"/>
        </w:rPr>
        <w:t>10.7</w:t>
      </w:r>
      <w:r>
        <w:rPr>
          <w:rFonts w:hint="eastAsia" w:ascii="宋体" w:hAnsi="宋体" w:eastAsia="宋体" w:cs="宋体"/>
          <w:color w:val="auto"/>
          <w:sz w:val="24"/>
          <w:szCs w:val="28"/>
          <w:highlight w:val="none"/>
          <w:lang w:eastAsia="zh-CN"/>
        </w:rPr>
        <w:t>暂列金额</w:t>
      </w:r>
      <w:bookmarkEnd w:id="717"/>
      <w:bookmarkEnd w:id="718"/>
      <w:bookmarkEnd w:id="719"/>
      <w:bookmarkEnd w:id="720"/>
      <w:bookmarkEnd w:id="721"/>
    </w:p>
    <w:p w14:paraId="4CA7EF7E">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4"/>
          <w:highlight w:val="none"/>
          <w:lang w:val="en-US" w:eastAsia="zh-CN" w:bidi="ar"/>
        </w:rPr>
        <w:t>合同当事人关于暂列金额使用的约定：</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0"/>
          <w:sz w:val="21"/>
          <w:szCs w:val="24"/>
          <w:highlight w:val="none"/>
          <w:lang w:val="en-US" w:eastAsia="zh-CN" w:bidi="ar"/>
        </w:rPr>
        <w:t>。</w:t>
      </w:r>
    </w:p>
    <w:p w14:paraId="0D34C540">
      <w:pPr>
        <w:pStyle w:val="4"/>
        <w:widowControl/>
        <w:numPr>
          <w:ilvl w:val="0"/>
          <w:numId w:val="2"/>
        </w:numPr>
        <w:ind w:left="0" w:firstLine="602"/>
        <w:rPr>
          <w:rFonts w:hint="eastAsia" w:ascii="宋体" w:hAnsi="宋体" w:eastAsia="宋体" w:cs="宋体"/>
          <w:color w:val="auto"/>
          <w:sz w:val="28"/>
          <w:szCs w:val="28"/>
          <w:highlight w:val="none"/>
          <w:lang w:val="en-US"/>
        </w:rPr>
      </w:pPr>
      <w:bookmarkStart w:id="722" w:name="_Toc389065312"/>
      <w:bookmarkStart w:id="723" w:name="_Toc351203643"/>
      <w:bookmarkStart w:id="724" w:name="_Toc373478393"/>
      <w:bookmarkStart w:id="725" w:name="_Toc373227746"/>
      <w:bookmarkStart w:id="726" w:name="_Toc487632746"/>
      <w:bookmarkStart w:id="727" w:name="_Toc407135249"/>
      <w:r>
        <w:rPr>
          <w:rFonts w:hint="eastAsia" w:ascii="宋体" w:hAnsi="宋体" w:eastAsia="宋体" w:cs="宋体"/>
          <w:color w:val="auto"/>
          <w:sz w:val="28"/>
          <w:szCs w:val="28"/>
          <w:highlight w:val="none"/>
          <w:lang w:eastAsia="zh-CN"/>
        </w:rPr>
        <w:t>价格调整</w:t>
      </w:r>
      <w:bookmarkEnd w:id="722"/>
      <w:bookmarkEnd w:id="723"/>
      <w:bookmarkEnd w:id="724"/>
      <w:bookmarkEnd w:id="725"/>
      <w:bookmarkEnd w:id="726"/>
      <w:bookmarkEnd w:id="727"/>
    </w:p>
    <w:p w14:paraId="4CED130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①法律变化引起的调整；</w:t>
      </w:r>
    </w:p>
    <w:p w14:paraId="6B829C4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②工程变更、项目特征不符、工程量清单缺项、工程量偏差引起的调整；</w:t>
      </w:r>
    </w:p>
    <w:p w14:paraId="32DA56B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③计日工引起的调整。</w:t>
      </w:r>
    </w:p>
    <w:p w14:paraId="6C154176">
      <w:pPr>
        <w:pStyle w:val="5"/>
        <w:widowControl/>
        <w:ind w:left="0" w:firstLine="562"/>
        <w:rPr>
          <w:rFonts w:hint="eastAsia" w:ascii="宋体" w:hAnsi="宋体" w:eastAsia="宋体" w:cs="宋体"/>
          <w:color w:val="auto"/>
          <w:sz w:val="24"/>
          <w:szCs w:val="28"/>
          <w:highlight w:val="none"/>
          <w:lang w:val="en-US"/>
        </w:rPr>
      </w:pPr>
      <w:bookmarkStart w:id="728" w:name="_Toc407135250"/>
      <w:bookmarkStart w:id="729" w:name="_Toc373478394"/>
      <w:bookmarkStart w:id="730" w:name="_Toc487632747"/>
      <w:bookmarkStart w:id="731" w:name="_Toc373227747"/>
      <w:bookmarkStart w:id="732" w:name="_Toc389065313"/>
      <w:bookmarkStart w:id="733" w:name="_Toc292559406"/>
      <w:bookmarkStart w:id="734" w:name="_Toc312678039"/>
      <w:bookmarkStart w:id="735" w:name="_Toc297123550"/>
      <w:bookmarkStart w:id="736" w:name="_Toc303539157"/>
      <w:bookmarkStart w:id="737" w:name="_Toc296347200"/>
      <w:bookmarkStart w:id="738" w:name="_Toc297120501"/>
      <w:bookmarkStart w:id="739" w:name="_Toc297048387"/>
      <w:bookmarkStart w:id="740" w:name="_Toc297216209"/>
      <w:bookmarkStart w:id="741" w:name="_Toc292559911"/>
      <w:bookmarkStart w:id="742" w:name="_Toc296944540"/>
      <w:bookmarkStart w:id="743" w:name="_Toc296346702"/>
      <w:bookmarkStart w:id="744" w:name="_Toc300935000"/>
      <w:bookmarkStart w:id="745" w:name="_Toc304295577"/>
      <w:bookmarkStart w:id="746" w:name="_Toc296891241"/>
      <w:bookmarkStart w:id="747" w:name="_Toc296891029"/>
      <w:bookmarkStart w:id="748" w:name="_Toc296503201"/>
      <w:r>
        <w:rPr>
          <w:rFonts w:hint="eastAsia" w:ascii="宋体" w:hAnsi="宋体" w:eastAsia="宋体" w:cs="宋体"/>
          <w:color w:val="auto"/>
          <w:sz w:val="24"/>
          <w:szCs w:val="28"/>
          <w:highlight w:val="none"/>
          <w:lang w:val="en-US"/>
        </w:rPr>
        <w:t>11.1</w:t>
      </w:r>
      <w:r>
        <w:rPr>
          <w:rFonts w:hint="eastAsia" w:ascii="宋体" w:hAnsi="宋体" w:eastAsia="宋体" w:cs="宋体"/>
          <w:color w:val="auto"/>
          <w:sz w:val="24"/>
          <w:szCs w:val="28"/>
          <w:highlight w:val="none"/>
          <w:lang w:eastAsia="zh-CN"/>
        </w:rPr>
        <w:t>市场价格波动引起的调整</w:t>
      </w:r>
      <w:bookmarkEnd w:id="728"/>
      <w:bookmarkEnd w:id="729"/>
      <w:bookmarkEnd w:id="730"/>
      <w:bookmarkEnd w:id="731"/>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70050AC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4"/>
          <w:highlight w:val="none"/>
          <w:lang w:val="en-US" w:eastAsia="zh-CN" w:bidi="ar"/>
        </w:rPr>
        <w:t>市场价格波动是否调整合同价格的约定：</w:t>
      </w:r>
      <w:r>
        <w:rPr>
          <w:rFonts w:hint="eastAsia" w:ascii="宋体" w:hAnsi="宋体" w:eastAsia="宋体" w:cs="宋体"/>
          <w:color w:val="auto"/>
          <w:kern w:val="2"/>
          <w:sz w:val="21"/>
          <w:szCs w:val="24"/>
          <w:highlight w:val="none"/>
          <w:u w:val="single"/>
          <w:lang w:val="en-US" w:eastAsia="zh-CN" w:bidi="ar"/>
        </w:rPr>
        <w:t>不作调整</w:t>
      </w:r>
      <w:r>
        <w:rPr>
          <w:rFonts w:hint="eastAsia" w:ascii="宋体" w:hAnsi="宋体" w:eastAsia="宋体" w:cs="宋体"/>
          <w:color w:val="auto"/>
          <w:kern w:val="2"/>
          <w:sz w:val="21"/>
          <w:szCs w:val="24"/>
          <w:highlight w:val="none"/>
          <w:lang w:val="en-US" w:eastAsia="zh-CN" w:bidi="ar"/>
        </w:rPr>
        <w:t>。</w:t>
      </w:r>
    </w:p>
    <w:p w14:paraId="3613A57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因市场价格波动调整合同价格，采用以下第种方式对合同价格进行调整：</w:t>
      </w:r>
    </w:p>
    <w:p w14:paraId="29CBF40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第1种方式：采用价格指数进行价格调整。</w:t>
      </w:r>
    </w:p>
    <w:p w14:paraId="4004318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关于各可调因子、定值和变值权重，以及基本价格指数及其来源的约定：；</w:t>
      </w:r>
    </w:p>
    <w:p w14:paraId="07C21DC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第2种方式：采用造价信息进行价格调整。</w:t>
      </w:r>
    </w:p>
    <w:p w14:paraId="0C4E019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（1）允许调整的主要材料和设备、基期价格、风险系数、投标报价：详见《承包人提供主要材料和设备一览表》。</w:t>
      </w:r>
    </w:p>
    <w:p w14:paraId="2AC21B9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（2）主要材料和设备确认价：</w:t>
      </w:r>
    </w:p>
    <w:p w14:paraId="2CF6960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按施工期间《</w:t>
      </w:r>
      <w:bookmarkStart w:id="749" w:name="OLE_LINK10"/>
      <w:r>
        <w:rPr>
          <w:rFonts w:hint="eastAsia" w:ascii="宋体" w:hAnsi="宋体" w:eastAsia="宋体" w:cs="宋体"/>
          <w:color w:val="auto"/>
          <w:kern w:val="2"/>
          <w:sz w:val="21"/>
          <w:szCs w:val="24"/>
          <w:highlight w:val="none"/>
          <w:u w:val="single"/>
          <w:lang w:val="en-US" w:eastAsia="zh-CN" w:bidi="ar"/>
        </w:rPr>
        <w:t>梧州市</w:t>
      </w:r>
      <w:bookmarkEnd w:id="749"/>
      <w:r>
        <w:rPr>
          <w:rFonts w:hint="eastAsia" w:ascii="宋体" w:hAnsi="宋体" w:eastAsia="宋体" w:cs="宋体"/>
          <w:color w:val="auto"/>
          <w:kern w:val="2"/>
          <w:sz w:val="21"/>
          <w:szCs w:val="24"/>
          <w:highlight w:val="none"/>
          <w:lang w:val="en-US" w:eastAsia="zh-CN" w:bidi="ar"/>
        </w:rPr>
        <w:t>建设工程造价信息》加权平均计算，信息价没有的按通用条款规定确定。</w:t>
      </w:r>
    </w:p>
    <w:p w14:paraId="78552A5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（3）价差计算方法：</w:t>
      </w:r>
    </w:p>
    <w:p w14:paraId="578656F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5AFF6E6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0D662E1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③承包人在《承包人提供主要材料和设备一览表》中载明的材料和设备单价等于基准单价的：合同履行期间材料和设备单价涨跌幅以基准单价为基础超过约定的风险范围时，其超过部分据实调整。</w:t>
      </w:r>
    </w:p>
    <w:p w14:paraId="453E1EE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第3种方式：</w:t>
      </w:r>
      <w:r>
        <w:rPr>
          <w:rFonts w:hint="eastAsia" w:ascii="宋体" w:hAnsi="宋体" w:eastAsia="宋体" w:cs="宋体"/>
          <w:color w:val="auto"/>
          <w:kern w:val="2"/>
          <w:sz w:val="21"/>
          <w:szCs w:val="24"/>
          <w:highlight w:val="none"/>
          <w:u w:val="single"/>
          <w:lang w:val="en-US" w:eastAsia="zh-CN" w:bidi="ar"/>
        </w:rPr>
        <w:t>/</w:t>
      </w:r>
      <w:r>
        <w:rPr>
          <w:rFonts w:hint="eastAsia" w:ascii="宋体" w:hAnsi="宋体" w:eastAsia="宋体" w:cs="宋体"/>
          <w:color w:val="auto"/>
          <w:kern w:val="2"/>
          <w:sz w:val="21"/>
          <w:szCs w:val="24"/>
          <w:highlight w:val="none"/>
          <w:lang w:val="en-US" w:eastAsia="zh-CN" w:bidi="ar"/>
        </w:rPr>
        <w:t>。</w:t>
      </w:r>
    </w:p>
    <w:bookmarkEnd w:id="613"/>
    <w:bookmarkEnd w:id="614"/>
    <w:bookmarkEnd w:id="615"/>
    <w:bookmarkEnd w:id="616"/>
    <w:bookmarkEnd w:id="617"/>
    <w:bookmarkEnd w:id="618"/>
    <w:p w14:paraId="174A7479">
      <w:pPr>
        <w:pStyle w:val="4"/>
        <w:widowControl/>
        <w:ind w:left="0" w:firstLine="602"/>
        <w:rPr>
          <w:rFonts w:hint="eastAsia" w:ascii="宋体" w:hAnsi="宋体" w:eastAsia="宋体" w:cs="宋体"/>
          <w:color w:val="auto"/>
          <w:sz w:val="28"/>
          <w:szCs w:val="28"/>
          <w:highlight w:val="none"/>
          <w:lang w:val="en-US"/>
        </w:rPr>
      </w:pPr>
      <w:bookmarkStart w:id="750" w:name="_Toc296891033"/>
      <w:bookmarkStart w:id="751" w:name="_Toc297120505"/>
      <w:bookmarkStart w:id="752" w:name="_Toc296346706"/>
      <w:bookmarkStart w:id="753" w:name="_Toc297048391"/>
      <w:bookmarkStart w:id="754" w:name="_Toc296503205"/>
      <w:bookmarkStart w:id="755" w:name="_Toc292559915"/>
      <w:bookmarkStart w:id="756" w:name="_Toc292559410"/>
      <w:bookmarkStart w:id="757" w:name="_Toc296891245"/>
      <w:bookmarkStart w:id="758" w:name="_Toc296944544"/>
      <w:bookmarkStart w:id="759" w:name="_Toc296347204"/>
      <w:bookmarkStart w:id="760" w:name="_Toc373227748"/>
      <w:bookmarkStart w:id="761" w:name="_Toc351203644"/>
      <w:bookmarkStart w:id="762" w:name="_Toc373478395"/>
      <w:bookmarkStart w:id="763" w:name="_Toc407135251"/>
      <w:bookmarkStart w:id="764" w:name="_Toc487632748"/>
      <w:bookmarkStart w:id="765" w:name="_Toc300935002"/>
      <w:bookmarkStart w:id="766" w:name="_Toc312678040"/>
      <w:bookmarkStart w:id="767" w:name="_Toc303539159"/>
      <w:bookmarkStart w:id="768" w:name="_Toc304295579"/>
      <w:bookmarkStart w:id="769" w:name="_Toc297123552"/>
      <w:bookmarkStart w:id="770" w:name="_Toc297216211"/>
      <w:r>
        <w:rPr>
          <w:rFonts w:hint="eastAsia" w:ascii="宋体" w:hAnsi="宋体" w:eastAsia="宋体" w:cs="宋体"/>
          <w:color w:val="auto"/>
          <w:sz w:val="28"/>
          <w:szCs w:val="28"/>
          <w:highlight w:val="none"/>
          <w:lang w:val="en-US"/>
        </w:rPr>
        <w:t>12.</w:t>
      </w:r>
      <w:bookmarkEnd w:id="750"/>
      <w:bookmarkEnd w:id="751"/>
      <w:bookmarkEnd w:id="752"/>
      <w:bookmarkEnd w:id="753"/>
      <w:bookmarkEnd w:id="754"/>
      <w:bookmarkEnd w:id="755"/>
      <w:bookmarkEnd w:id="756"/>
      <w:bookmarkEnd w:id="757"/>
      <w:bookmarkEnd w:id="758"/>
      <w:bookmarkEnd w:id="759"/>
      <w:r>
        <w:rPr>
          <w:rFonts w:hint="eastAsia" w:ascii="宋体" w:hAnsi="宋体" w:eastAsia="宋体" w:cs="宋体"/>
          <w:color w:val="auto"/>
          <w:sz w:val="28"/>
          <w:szCs w:val="28"/>
          <w:highlight w:val="none"/>
          <w:lang w:eastAsia="zh-CN"/>
        </w:rPr>
        <w:t>合同价格、计量与支付</w:t>
      </w:r>
      <w:bookmarkEnd w:id="760"/>
      <w:bookmarkEnd w:id="761"/>
      <w:bookmarkEnd w:id="762"/>
      <w:bookmarkEnd w:id="763"/>
      <w:bookmarkEnd w:id="764"/>
    </w:p>
    <w:bookmarkEnd w:id="765"/>
    <w:bookmarkEnd w:id="766"/>
    <w:bookmarkEnd w:id="767"/>
    <w:bookmarkEnd w:id="768"/>
    <w:bookmarkEnd w:id="769"/>
    <w:bookmarkEnd w:id="770"/>
    <w:p w14:paraId="7B330858">
      <w:pPr>
        <w:pStyle w:val="5"/>
        <w:widowControl/>
        <w:ind w:left="0" w:firstLine="562"/>
        <w:rPr>
          <w:rFonts w:hint="eastAsia" w:ascii="宋体" w:hAnsi="宋体" w:eastAsia="宋体" w:cs="宋体"/>
          <w:color w:val="auto"/>
          <w:sz w:val="24"/>
          <w:szCs w:val="28"/>
          <w:highlight w:val="none"/>
          <w:lang w:val="en-US"/>
        </w:rPr>
      </w:pPr>
      <w:bookmarkStart w:id="771" w:name="_Toc267251461"/>
      <w:bookmarkStart w:id="772" w:name="_Toc292559411"/>
      <w:bookmarkStart w:id="773" w:name="_Toc292559916"/>
      <w:bookmarkStart w:id="774" w:name="_Toc297120506"/>
      <w:bookmarkStart w:id="775" w:name="_Toc296347205"/>
      <w:bookmarkStart w:id="776" w:name="_Toc296891034"/>
      <w:bookmarkStart w:id="777" w:name="_Toc296891246"/>
      <w:bookmarkStart w:id="778" w:name="_Toc297048392"/>
      <w:bookmarkStart w:id="779" w:name="_Toc296944545"/>
      <w:bookmarkStart w:id="780" w:name="_Toc296346707"/>
      <w:bookmarkStart w:id="781" w:name="_Toc296503206"/>
      <w:bookmarkStart w:id="782" w:name="_Toc389065314"/>
      <w:bookmarkStart w:id="783" w:name="_Toc373227749"/>
      <w:bookmarkStart w:id="784" w:name="_Toc487632749"/>
      <w:bookmarkStart w:id="785" w:name="_Toc407135252"/>
      <w:bookmarkStart w:id="786" w:name="_Toc373478396"/>
      <w:bookmarkStart w:id="787" w:name="_Toc312678041"/>
      <w:bookmarkStart w:id="788" w:name="_Toc297216212"/>
      <w:bookmarkStart w:id="789" w:name="_Toc304295580"/>
      <w:bookmarkStart w:id="790" w:name="_Toc303539160"/>
      <w:bookmarkStart w:id="791" w:name="_Toc300935003"/>
      <w:bookmarkStart w:id="792" w:name="_Toc297123553"/>
      <w:r>
        <w:rPr>
          <w:rFonts w:hint="eastAsia" w:ascii="宋体" w:hAnsi="宋体" w:eastAsia="宋体" w:cs="宋体"/>
          <w:color w:val="auto"/>
          <w:sz w:val="24"/>
          <w:szCs w:val="28"/>
          <w:highlight w:val="none"/>
          <w:lang w:val="en-US"/>
        </w:rPr>
        <w:t>12.1</w:t>
      </w:r>
      <w:r>
        <w:rPr>
          <w:rFonts w:hint="eastAsia" w:ascii="宋体" w:hAnsi="宋体" w:eastAsia="宋体" w:cs="宋体"/>
          <w:color w:val="auto"/>
          <w:sz w:val="24"/>
          <w:szCs w:val="28"/>
          <w:highlight w:val="none"/>
          <w:lang w:eastAsia="zh-CN"/>
        </w:rPr>
        <w:t>合</w:t>
      </w:r>
      <w:bookmarkEnd w:id="771"/>
      <w:bookmarkEnd w:id="772"/>
      <w:bookmarkEnd w:id="773"/>
      <w:r>
        <w:rPr>
          <w:rFonts w:hint="eastAsia" w:ascii="宋体" w:hAnsi="宋体" w:eastAsia="宋体" w:cs="宋体"/>
          <w:color w:val="auto"/>
          <w:sz w:val="24"/>
          <w:szCs w:val="28"/>
          <w:highlight w:val="none"/>
          <w:lang w:eastAsia="zh-CN"/>
        </w:rPr>
        <w:t>同价</w:t>
      </w:r>
      <w:bookmarkEnd w:id="774"/>
      <w:bookmarkEnd w:id="775"/>
      <w:bookmarkEnd w:id="776"/>
      <w:bookmarkEnd w:id="777"/>
      <w:bookmarkEnd w:id="778"/>
      <w:bookmarkEnd w:id="779"/>
      <w:bookmarkEnd w:id="780"/>
      <w:bookmarkEnd w:id="781"/>
      <w:r>
        <w:rPr>
          <w:rFonts w:hint="eastAsia" w:ascii="宋体" w:hAnsi="宋体" w:eastAsia="宋体" w:cs="宋体"/>
          <w:color w:val="auto"/>
          <w:sz w:val="24"/>
          <w:szCs w:val="28"/>
          <w:highlight w:val="none"/>
          <w:lang w:eastAsia="zh-CN"/>
        </w:rPr>
        <w:t>格形式</w:t>
      </w:r>
      <w:bookmarkEnd w:id="782"/>
      <w:bookmarkEnd w:id="783"/>
      <w:bookmarkEnd w:id="784"/>
      <w:bookmarkEnd w:id="785"/>
      <w:bookmarkEnd w:id="786"/>
    </w:p>
    <w:bookmarkEnd w:id="787"/>
    <w:bookmarkEnd w:id="788"/>
    <w:bookmarkEnd w:id="789"/>
    <w:bookmarkEnd w:id="790"/>
    <w:bookmarkEnd w:id="791"/>
    <w:bookmarkEnd w:id="792"/>
    <w:p w14:paraId="6CE73D3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bookmarkStart w:id="793" w:name="_Toc373478397"/>
      <w:bookmarkStart w:id="794" w:name="_Toc389065315"/>
      <w:bookmarkStart w:id="795" w:name="_Toc373227750"/>
      <w:bookmarkStart w:id="796" w:name="_Toc303539161"/>
      <w:bookmarkStart w:id="797" w:name="_Toc300935004"/>
      <w:bookmarkStart w:id="798" w:name="_Toc297216213"/>
      <w:bookmarkStart w:id="799" w:name="_Toc297123554"/>
      <w:bookmarkStart w:id="800" w:name="_Toc312678042"/>
      <w:bookmarkStart w:id="801" w:name="_Toc304295581"/>
      <w:bookmarkStart w:id="802" w:name="_Toc296891247"/>
      <w:bookmarkStart w:id="803" w:name="_Toc292559917"/>
      <w:bookmarkStart w:id="804" w:name="_Toc296944546"/>
      <w:bookmarkStart w:id="805" w:name="_Toc297048393"/>
      <w:bookmarkStart w:id="806" w:name="_Toc296503207"/>
      <w:bookmarkStart w:id="807" w:name="_Toc292559412"/>
      <w:bookmarkStart w:id="808" w:name="_Toc296347206"/>
      <w:bookmarkStart w:id="809" w:name="_Toc296891035"/>
      <w:bookmarkStart w:id="810" w:name="_Toc297120507"/>
      <w:bookmarkStart w:id="811" w:name="_Toc296346708"/>
      <w:r>
        <w:rPr>
          <w:rFonts w:hint="eastAsia" w:ascii="宋体" w:hAnsi="宋体" w:eastAsia="宋体" w:cs="宋体"/>
          <w:color w:val="auto"/>
          <w:kern w:val="2"/>
          <w:sz w:val="21"/>
          <w:szCs w:val="24"/>
          <w:highlight w:val="none"/>
          <w:lang w:val="en-US" w:eastAsia="zh-CN" w:bidi="ar"/>
        </w:rPr>
        <w:t>本工程采用</w:t>
      </w:r>
      <w:r>
        <w:rPr>
          <w:rFonts w:hint="eastAsia" w:ascii="宋体" w:hAnsi="宋体" w:cs="宋体"/>
          <w:color w:val="auto"/>
          <w:kern w:val="2"/>
          <w:sz w:val="21"/>
          <w:szCs w:val="24"/>
          <w:highlight w:val="none"/>
          <w:u w:val="single"/>
          <w:lang w:val="en-US" w:eastAsia="zh-CN" w:bidi="ar"/>
        </w:rPr>
        <w:t>（2）</w:t>
      </w:r>
      <w:r>
        <w:rPr>
          <w:rFonts w:hint="eastAsia" w:ascii="宋体" w:hAnsi="宋体" w:eastAsia="宋体" w:cs="宋体"/>
          <w:color w:val="auto"/>
          <w:kern w:val="2"/>
          <w:sz w:val="21"/>
          <w:szCs w:val="24"/>
          <w:highlight w:val="none"/>
          <w:lang w:val="en-US" w:eastAsia="zh-CN" w:bidi="ar"/>
        </w:rPr>
        <w:t>合同价格形式。</w:t>
      </w:r>
    </w:p>
    <w:p w14:paraId="1759B57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（1）单价合同。</w:t>
      </w:r>
    </w:p>
    <w:p w14:paraId="6E109D7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本合同价款采用固定综合单价方式确定，工程量按实际结算。</w:t>
      </w:r>
    </w:p>
    <w:p w14:paraId="4BED0C9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综合单价包含的风险范围：</w:t>
      </w:r>
      <w:r>
        <w:rPr>
          <w:rFonts w:hint="eastAsia" w:ascii="宋体" w:hAnsi="宋体" w:eastAsia="宋体" w:cs="宋体"/>
          <w:color w:val="auto"/>
          <w:kern w:val="2"/>
          <w:sz w:val="21"/>
          <w:szCs w:val="24"/>
          <w:highlight w:val="none"/>
          <w:u w:val="single"/>
          <w:lang w:val="en-US" w:eastAsia="zh-CN" w:bidi="ar"/>
        </w:rPr>
        <w:t>除工程变更、项目特征不符、工程量清单缺项、工程量偏差、政策性调整、本工程《承包人提供主要材料和设备一览表》中约定的材料和设备价格变动风险以外的其他风险因素。</w:t>
      </w:r>
    </w:p>
    <w:p w14:paraId="7153ACF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风险范围以外合同价格的调整方法：</w:t>
      </w:r>
    </w:p>
    <w:p w14:paraId="08B90F3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①工程变更：按10.</w:t>
      </w:r>
      <w:r>
        <w:rPr>
          <w:rFonts w:hint="eastAsia" w:ascii="宋体" w:hAnsi="宋体" w:cs="宋体"/>
          <w:color w:val="auto"/>
          <w:kern w:val="2"/>
          <w:sz w:val="21"/>
          <w:szCs w:val="24"/>
          <w:highlight w:val="none"/>
          <w:lang w:val="en-US" w:eastAsia="zh-CN" w:bidi="ar"/>
        </w:rPr>
        <w:t>3</w:t>
      </w:r>
      <w:r>
        <w:rPr>
          <w:rFonts w:hint="eastAsia" w:ascii="宋体" w:hAnsi="宋体" w:eastAsia="宋体" w:cs="宋体"/>
          <w:color w:val="auto"/>
          <w:kern w:val="2"/>
          <w:sz w:val="21"/>
          <w:szCs w:val="24"/>
          <w:highlight w:val="none"/>
          <w:lang w:val="en-US" w:eastAsia="zh-CN" w:bidi="ar"/>
        </w:rPr>
        <w:t>.1变更估价原则的约定调整。</w:t>
      </w:r>
    </w:p>
    <w:p w14:paraId="74F5C02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②政策性调整：按自治区住房城乡建设行政主管部门颁布的文件执行。</w:t>
      </w:r>
    </w:p>
    <w:p w14:paraId="2809CFB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③材料价格风险：按11.1的约定调整。</w:t>
      </w:r>
    </w:p>
    <w:p w14:paraId="457494D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④其它：。</w:t>
      </w:r>
    </w:p>
    <w:p w14:paraId="5CB2384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（2）总价合同。</w:t>
      </w:r>
    </w:p>
    <w:p w14:paraId="2A357A8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总价包含的风险范围：</w:t>
      </w:r>
      <w:r>
        <w:rPr>
          <w:rFonts w:hint="eastAsia" w:ascii="宋体" w:hAnsi="宋体" w:eastAsia="宋体" w:cs="宋体"/>
          <w:color w:val="auto"/>
          <w:kern w:val="2"/>
          <w:sz w:val="21"/>
          <w:szCs w:val="24"/>
          <w:highlight w:val="none"/>
          <w:u w:val="single"/>
          <w:lang w:val="en-US" w:eastAsia="zh-CN" w:bidi="ar"/>
        </w:rPr>
        <w:t>工程量清单</w:t>
      </w:r>
      <w:r>
        <w:rPr>
          <w:rFonts w:hint="eastAsia" w:ascii="宋体" w:hAnsi="宋体" w:cs="宋体"/>
          <w:color w:val="auto"/>
          <w:kern w:val="2"/>
          <w:sz w:val="21"/>
          <w:szCs w:val="24"/>
          <w:highlight w:val="none"/>
          <w:u w:val="single"/>
          <w:lang w:val="en-US" w:eastAsia="zh-CN" w:bidi="ar"/>
        </w:rPr>
        <w:t>和施工图</w:t>
      </w:r>
      <w:r>
        <w:rPr>
          <w:rFonts w:hint="eastAsia" w:ascii="宋体" w:hAnsi="宋体" w:eastAsia="宋体" w:cs="宋体"/>
          <w:color w:val="auto"/>
          <w:kern w:val="2"/>
          <w:sz w:val="21"/>
          <w:szCs w:val="24"/>
          <w:highlight w:val="none"/>
          <w:u w:val="single"/>
          <w:lang w:val="en-US" w:eastAsia="zh-CN" w:bidi="ar"/>
        </w:rPr>
        <w:t>范围内</w:t>
      </w:r>
      <w:r>
        <w:rPr>
          <w:rFonts w:hint="eastAsia" w:ascii="宋体" w:hAnsi="宋体" w:eastAsia="宋体" w:cs="宋体"/>
          <w:color w:val="auto"/>
          <w:kern w:val="2"/>
          <w:sz w:val="21"/>
          <w:szCs w:val="24"/>
          <w:highlight w:val="none"/>
          <w:lang w:val="en-US" w:eastAsia="zh-CN" w:bidi="ar"/>
        </w:rPr>
        <w:t>。</w:t>
      </w:r>
    </w:p>
    <w:p w14:paraId="1D94C80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风险范围以外合同价格的调整方法：</w:t>
      </w:r>
      <w:r>
        <w:rPr>
          <w:rFonts w:hint="eastAsia" w:ascii="宋体" w:hAnsi="宋体" w:eastAsia="宋体" w:cs="宋体"/>
          <w:color w:val="auto"/>
          <w:kern w:val="2"/>
          <w:sz w:val="21"/>
          <w:szCs w:val="24"/>
          <w:highlight w:val="none"/>
          <w:u w:val="single"/>
          <w:lang w:val="en-US" w:eastAsia="zh-CN" w:bidi="ar"/>
        </w:rPr>
        <w:t>按GB50500-2013清单计价规范执行</w:t>
      </w:r>
      <w:r>
        <w:rPr>
          <w:rFonts w:hint="eastAsia" w:ascii="宋体" w:hAnsi="宋体" w:eastAsia="宋体" w:cs="宋体"/>
          <w:color w:val="auto"/>
          <w:kern w:val="2"/>
          <w:sz w:val="21"/>
          <w:szCs w:val="24"/>
          <w:highlight w:val="none"/>
          <w:lang w:val="en-US" w:eastAsia="zh-CN" w:bidi="ar"/>
        </w:rPr>
        <w:t>。</w:t>
      </w:r>
    </w:p>
    <w:p w14:paraId="532762F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（3）其他价格方式：。</w:t>
      </w:r>
    </w:p>
    <w:p w14:paraId="02BECA82">
      <w:pPr>
        <w:pStyle w:val="5"/>
        <w:widowControl/>
        <w:ind w:left="0" w:firstLine="562"/>
        <w:rPr>
          <w:rFonts w:hint="eastAsia" w:ascii="宋体" w:hAnsi="宋体" w:eastAsia="宋体" w:cs="宋体"/>
          <w:color w:val="auto"/>
          <w:sz w:val="24"/>
          <w:szCs w:val="28"/>
          <w:highlight w:val="none"/>
          <w:lang w:val="en-US"/>
        </w:rPr>
      </w:pPr>
      <w:bookmarkStart w:id="812" w:name="_Toc487632750"/>
      <w:bookmarkStart w:id="813" w:name="_Toc407135253"/>
      <w:r>
        <w:rPr>
          <w:rFonts w:hint="eastAsia" w:ascii="宋体" w:hAnsi="宋体" w:eastAsia="宋体" w:cs="宋体"/>
          <w:color w:val="auto"/>
          <w:sz w:val="24"/>
          <w:szCs w:val="28"/>
          <w:highlight w:val="none"/>
          <w:lang w:val="en-US"/>
        </w:rPr>
        <w:t>12.2</w:t>
      </w:r>
      <w:r>
        <w:rPr>
          <w:rFonts w:hint="eastAsia" w:ascii="宋体" w:hAnsi="宋体" w:eastAsia="宋体" w:cs="宋体"/>
          <w:color w:val="auto"/>
          <w:sz w:val="24"/>
          <w:szCs w:val="28"/>
          <w:highlight w:val="none"/>
          <w:lang w:eastAsia="zh-CN"/>
        </w:rPr>
        <w:t>预付款</w:t>
      </w:r>
      <w:bookmarkEnd w:id="793"/>
      <w:bookmarkEnd w:id="794"/>
      <w:bookmarkEnd w:id="795"/>
      <w:bookmarkEnd w:id="812"/>
      <w:bookmarkEnd w:id="813"/>
    </w:p>
    <w:bookmarkEnd w:id="796"/>
    <w:bookmarkEnd w:id="797"/>
    <w:bookmarkEnd w:id="798"/>
    <w:bookmarkEnd w:id="799"/>
    <w:bookmarkEnd w:id="800"/>
    <w:bookmarkEnd w:id="801"/>
    <w:p w14:paraId="515501B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12.2.1预付款的支付</w:t>
      </w:r>
    </w:p>
    <w:p w14:paraId="3129B8B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30%</w:t>
      </w:r>
      <w:r>
        <w:rPr>
          <w:rFonts w:hint="eastAsia" w:ascii="宋体" w:hAnsi="宋体" w:eastAsia="宋体" w:cs="宋体"/>
          <w:color w:val="auto"/>
          <w:kern w:val="2"/>
          <w:sz w:val="21"/>
          <w:szCs w:val="24"/>
          <w:highlight w:val="none"/>
          <w:lang w:val="en-US" w:eastAsia="zh-CN" w:bidi="ar"/>
        </w:rPr>
        <w:t>。</w:t>
      </w:r>
    </w:p>
    <w:p w14:paraId="190A99F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预付款支付期限：。</w:t>
      </w:r>
    </w:p>
    <w:p w14:paraId="05A043B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预付款扣回的方式：。</w:t>
      </w:r>
    </w:p>
    <w:p w14:paraId="27A9688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12.2.2预付款担保</w:t>
      </w:r>
    </w:p>
    <w:p w14:paraId="226FAD4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承包人提交预付款担保的期限：。</w:t>
      </w:r>
    </w:p>
    <w:p w14:paraId="758B360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预付款担保的形式为：。</w:t>
      </w:r>
    </w:p>
    <w:p w14:paraId="1913817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预付款担保格式见合同附件7。</w:t>
      </w:r>
    </w:p>
    <w:bookmarkEnd w:id="802"/>
    <w:bookmarkEnd w:id="803"/>
    <w:bookmarkEnd w:id="804"/>
    <w:bookmarkEnd w:id="805"/>
    <w:bookmarkEnd w:id="806"/>
    <w:bookmarkEnd w:id="807"/>
    <w:bookmarkEnd w:id="808"/>
    <w:bookmarkEnd w:id="809"/>
    <w:bookmarkEnd w:id="810"/>
    <w:bookmarkEnd w:id="811"/>
    <w:p w14:paraId="7D9739D5">
      <w:pPr>
        <w:pStyle w:val="5"/>
        <w:widowControl/>
        <w:ind w:left="0" w:firstLine="562"/>
        <w:rPr>
          <w:rFonts w:hint="eastAsia" w:ascii="宋体" w:hAnsi="宋体" w:eastAsia="宋体" w:cs="宋体"/>
          <w:color w:val="auto"/>
          <w:sz w:val="24"/>
          <w:szCs w:val="28"/>
          <w:highlight w:val="none"/>
          <w:lang w:val="en-US"/>
        </w:rPr>
      </w:pPr>
      <w:bookmarkStart w:id="814" w:name="_Toc407135254"/>
      <w:bookmarkStart w:id="815" w:name="_Toc487632751"/>
      <w:bookmarkStart w:id="816" w:name="_Toc373227751"/>
      <w:bookmarkStart w:id="817" w:name="_Toc389065316"/>
      <w:bookmarkStart w:id="818" w:name="_Toc373478398"/>
      <w:r>
        <w:rPr>
          <w:rFonts w:hint="eastAsia" w:ascii="宋体" w:hAnsi="宋体" w:eastAsia="宋体" w:cs="宋体"/>
          <w:color w:val="auto"/>
          <w:sz w:val="24"/>
          <w:szCs w:val="28"/>
          <w:highlight w:val="none"/>
          <w:lang w:val="en-US"/>
        </w:rPr>
        <w:t>12.3</w:t>
      </w:r>
      <w:r>
        <w:rPr>
          <w:rFonts w:hint="eastAsia" w:ascii="宋体" w:hAnsi="宋体" w:eastAsia="宋体" w:cs="宋体"/>
          <w:color w:val="auto"/>
          <w:sz w:val="24"/>
          <w:szCs w:val="28"/>
          <w:highlight w:val="none"/>
          <w:lang w:eastAsia="zh-CN"/>
        </w:rPr>
        <w:t>计量</w:t>
      </w:r>
      <w:bookmarkEnd w:id="814"/>
      <w:bookmarkEnd w:id="815"/>
      <w:bookmarkEnd w:id="816"/>
      <w:bookmarkEnd w:id="817"/>
      <w:bookmarkEnd w:id="818"/>
    </w:p>
    <w:p w14:paraId="7C5E992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12.3.1计量原则</w:t>
      </w:r>
    </w:p>
    <w:p w14:paraId="5667799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工程量计算规则：</w:t>
      </w:r>
      <w:r>
        <w:rPr>
          <w:rFonts w:hint="eastAsia" w:ascii="宋体" w:hAnsi="宋体" w:eastAsia="宋体" w:cs="宋体"/>
          <w:color w:val="auto"/>
          <w:kern w:val="2"/>
          <w:sz w:val="21"/>
          <w:szCs w:val="24"/>
          <w:highlight w:val="none"/>
          <w:u w:val="single"/>
          <w:lang w:val="en-US" w:eastAsia="zh-CN" w:bidi="ar"/>
        </w:rPr>
        <w:t>工程的计量均以《建设工程工程量清单计价规范》（GB50500－2013）和及其广西壮族自治区实施细则、《建设工程工程量清单计算规范》（GB50854~50862－2013）及其广西实施细则、以及涉及到本工程补充项目清单为准。</w:t>
      </w:r>
    </w:p>
    <w:p w14:paraId="2FA8598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12.3.4总价合同的计量</w:t>
      </w:r>
    </w:p>
    <w:p w14:paraId="3DC92D2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关于总价合同计量的约定：</w:t>
      </w:r>
      <w:r>
        <w:rPr>
          <w:rFonts w:hint="eastAsia" w:ascii="宋体" w:hAnsi="宋体" w:cs="宋体"/>
          <w:color w:val="auto"/>
          <w:kern w:val="2"/>
          <w:sz w:val="21"/>
          <w:szCs w:val="24"/>
          <w:highlight w:val="none"/>
          <w:lang w:val="en-US" w:eastAsia="zh-CN" w:bidi="ar"/>
        </w:rPr>
        <w:t xml:space="preserve">工程量清单和经图审的施工图范围内总价固定。 </w:t>
      </w:r>
      <w:r>
        <w:rPr>
          <w:rFonts w:hint="eastAsia" w:ascii="宋体" w:hAnsi="宋体" w:eastAsia="宋体" w:cs="宋体"/>
          <w:color w:val="auto"/>
          <w:kern w:val="2"/>
          <w:sz w:val="21"/>
          <w:szCs w:val="24"/>
          <w:highlight w:val="none"/>
          <w:lang w:val="en-US" w:eastAsia="zh-CN" w:bidi="ar"/>
        </w:rPr>
        <w:t>进度款按支付分解表支付，按通用条款第</w:t>
      </w:r>
      <w:r>
        <w:rPr>
          <w:rFonts w:hint="eastAsia" w:ascii="宋体" w:hAnsi="宋体" w:eastAsia="宋体" w:cs="宋体"/>
          <w:color w:val="auto"/>
          <w:kern w:val="0"/>
          <w:sz w:val="21"/>
          <w:szCs w:val="24"/>
          <w:highlight w:val="none"/>
          <w:lang w:val="en-US" w:eastAsia="zh-CN" w:bidi="ar"/>
        </w:rPr>
        <w:t>12.3.4</w:t>
      </w:r>
      <w:r>
        <w:rPr>
          <w:rFonts w:hint="eastAsia" w:ascii="宋体" w:hAnsi="宋体" w:eastAsia="宋体" w:cs="宋体"/>
          <w:color w:val="auto"/>
          <w:kern w:val="2"/>
          <w:sz w:val="21"/>
          <w:szCs w:val="24"/>
          <w:highlight w:val="none"/>
          <w:lang w:val="en-US" w:eastAsia="zh-CN" w:bidi="ar"/>
        </w:rPr>
        <w:t>项</w:t>
      </w:r>
      <w:r>
        <w:rPr>
          <w:rFonts w:hint="eastAsia" w:ascii="宋体" w:hAnsi="宋体" w:eastAsia="宋体" w:cs="宋体"/>
          <w:color w:val="auto"/>
          <w:kern w:val="0"/>
          <w:sz w:val="21"/>
          <w:szCs w:val="24"/>
          <w:highlight w:val="none"/>
          <w:lang w:val="en-US" w:eastAsia="zh-CN" w:bidi="ar"/>
        </w:rPr>
        <w:t>〔总价合同的计量〕</w:t>
      </w:r>
      <w:r>
        <w:rPr>
          <w:rFonts w:hint="eastAsia" w:ascii="宋体" w:hAnsi="宋体" w:eastAsia="宋体" w:cs="宋体"/>
          <w:color w:val="auto"/>
          <w:kern w:val="2"/>
          <w:sz w:val="21"/>
          <w:szCs w:val="24"/>
          <w:highlight w:val="none"/>
          <w:lang w:val="en-US" w:eastAsia="zh-CN" w:bidi="ar"/>
        </w:rPr>
        <w:t>约定进行计量，但</w:t>
      </w:r>
      <w:r>
        <w:rPr>
          <w:rFonts w:hint="eastAsia" w:ascii="宋体" w:hAnsi="宋体" w:eastAsia="宋体" w:cs="宋体"/>
          <w:color w:val="auto"/>
          <w:kern w:val="0"/>
          <w:sz w:val="21"/>
          <w:szCs w:val="24"/>
          <w:highlight w:val="none"/>
          <w:lang w:val="en-US" w:eastAsia="zh-CN" w:bidi="ar"/>
        </w:rPr>
        <w:t>合同价款按照支付分解表进行支付。</w:t>
      </w:r>
    </w:p>
    <w:p w14:paraId="7E2CE70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12.3.5其他价格形式合同的计量</w:t>
      </w:r>
    </w:p>
    <w:p w14:paraId="5D9046C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其他价格形式的计量方式和程序：。</w:t>
      </w:r>
    </w:p>
    <w:p w14:paraId="4FD0C54B">
      <w:pPr>
        <w:pStyle w:val="5"/>
        <w:widowControl/>
        <w:ind w:left="0" w:firstLine="562"/>
        <w:rPr>
          <w:rFonts w:hint="eastAsia" w:ascii="宋体" w:hAnsi="宋体" w:eastAsia="宋体" w:cs="宋体"/>
          <w:color w:val="auto"/>
          <w:sz w:val="24"/>
          <w:szCs w:val="28"/>
          <w:highlight w:val="none"/>
          <w:lang w:val="en-US"/>
        </w:rPr>
      </w:pPr>
      <w:bookmarkStart w:id="819" w:name="_Toc407135255"/>
      <w:bookmarkStart w:id="820" w:name="_Toc389065317"/>
      <w:bookmarkStart w:id="821" w:name="_Toc373227752"/>
      <w:bookmarkStart w:id="822" w:name="_Toc487632752"/>
      <w:bookmarkStart w:id="823" w:name="_Toc373478399"/>
      <w:r>
        <w:rPr>
          <w:rFonts w:hint="eastAsia" w:ascii="宋体" w:hAnsi="宋体" w:eastAsia="宋体" w:cs="宋体"/>
          <w:color w:val="auto"/>
          <w:sz w:val="24"/>
          <w:szCs w:val="28"/>
          <w:highlight w:val="none"/>
          <w:lang w:val="en-US"/>
        </w:rPr>
        <w:t>12.4</w:t>
      </w:r>
      <w:r>
        <w:rPr>
          <w:rFonts w:hint="eastAsia" w:ascii="宋体" w:hAnsi="宋体" w:eastAsia="宋体" w:cs="宋体"/>
          <w:color w:val="auto"/>
          <w:sz w:val="24"/>
          <w:szCs w:val="28"/>
          <w:highlight w:val="none"/>
          <w:lang w:eastAsia="zh-CN"/>
        </w:rPr>
        <w:t>工程进度款支付</w:t>
      </w:r>
      <w:bookmarkEnd w:id="819"/>
      <w:bookmarkEnd w:id="820"/>
      <w:bookmarkEnd w:id="821"/>
      <w:bookmarkEnd w:id="822"/>
      <w:bookmarkEnd w:id="823"/>
    </w:p>
    <w:p w14:paraId="5A19EF9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bookmarkStart w:id="824" w:name="_Toc296346712"/>
      <w:bookmarkStart w:id="825" w:name="_Toc292559921"/>
      <w:bookmarkStart w:id="826" w:name="_Toc297123556"/>
      <w:bookmarkStart w:id="827" w:name="_Toc296944550"/>
      <w:bookmarkStart w:id="828" w:name="_Toc292559416"/>
      <w:bookmarkStart w:id="829" w:name="_Toc296503211"/>
      <w:bookmarkStart w:id="830" w:name="_Toc300935006"/>
      <w:bookmarkStart w:id="831" w:name="_Toc303539163"/>
      <w:bookmarkStart w:id="832" w:name="_Toc296891039"/>
      <w:bookmarkStart w:id="833" w:name="_Toc296891251"/>
      <w:bookmarkStart w:id="834" w:name="_Toc297216215"/>
      <w:bookmarkStart w:id="835" w:name="_Toc297120511"/>
      <w:bookmarkStart w:id="836" w:name="_Toc297048397"/>
      <w:bookmarkStart w:id="837" w:name="_Toc296347210"/>
      <w:r>
        <w:rPr>
          <w:rFonts w:hint="eastAsia" w:ascii="宋体" w:hAnsi="宋体" w:eastAsia="宋体" w:cs="宋体"/>
          <w:color w:val="auto"/>
          <w:kern w:val="2"/>
          <w:sz w:val="21"/>
          <w:szCs w:val="24"/>
          <w:highlight w:val="none"/>
          <w:lang w:val="en-US" w:eastAsia="zh-CN" w:bidi="ar"/>
        </w:rPr>
        <w:t>12.4.1付款周期</w:t>
      </w:r>
    </w:p>
    <w:p w14:paraId="4295027E">
      <w:pPr>
        <w:pStyle w:val="17"/>
        <w:numPr>
          <w:ilvl w:val="0"/>
          <w:numId w:val="0"/>
        </w:numPr>
        <w:spacing w:line="460" w:lineRule="exact"/>
        <w:ind w:firstLine="420" w:firstLineChars="200"/>
        <w:rPr>
          <w:rFonts w:hint="eastAsia" w:ascii="宋体" w:hAnsi="宋体" w:eastAsia="宋体" w:cs="宋体"/>
          <w:color w:val="auto"/>
          <w:kern w:val="2"/>
          <w:sz w:val="21"/>
          <w:szCs w:val="24"/>
          <w:highlight w:val="none"/>
          <w:lang w:val="en-US" w:eastAsia="zh-CN" w:bidi="ar"/>
        </w:rPr>
      </w:pPr>
      <w:r>
        <w:rPr>
          <w:rFonts w:hint="eastAsia" w:ascii="宋体" w:hAnsi="宋体" w:eastAsia="宋体" w:cs="宋体"/>
          <w:color w:val="auto"/>
          <w:kern w:val="2"/>
          <w:sz w:val="21"/>
          <w:szCs w:val="24"/>
          <w:highlight w:val="none"/>
          <w:lang w:val="en-US" w:eastAsia="zh-CN" w:bidi="ar"/>
        </w:rPr>
        <w:t>关于付款周期的约定：</w:t>
      </w:r>
      <w:bookmarkEnd w:id="619"/>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Start w:id="838" w:name="_Toc487632753"/>
      <w:bookmarkStart w:id="839" w:name="_Toc351203645"/>
      <w:bookmarkStart w:id="840" w:name="_Toc407135256"/>
      <w:bookmarkStart w:id="841" w:name="_Toc389065318"/>
      <w:bookmarkStart w:id="842" w:name="_Toc373227753"/>
      <w:bookmarkStart w:id="843" w:name="_Toc373478400"/>
      <w:bookmarkStart w:id="844" w:name="_Toc296944558"/>
      <w:bookmarkStart w:id="845" w:name="_Toc296891047"/>
      <w:bookmarkStart w:id="846" w:name="_Toc312678053"/>
      <w:bookmarkStart w:id="847" w:name="_Toc296891259"/>
      <w:bookmarkStart w:id="848" w:name="_Toc303539172"/>
      <w:bookmarkStart w:id="849" w:name="_Toc297216223"/>
      <w:bookmarkStart w:id="850" w:name="_Toc292559929"/>
      <w:bookmarkStart w:id="851" w:name="_Toc292559424"/>
      <w:bookmarkStart w:id="852" w:name="_Toc300935015"/>
      <w:bookmarkStart w:id="853" w:name="_Toc297123564"/>
      <w:bookmarkStart w:id="854" w:name="_Toc296346720"/>
      <w:bookmarkStart w:id="855" w:name="_Toc297048405"/>
      <w:bookmarkStart w:id="856" w:name="_Toc296503219"/>
      <w:bookmarkStart w:id="857" w:name="_Toc297120519"/>
      <w:bookmarkStart w:id="858" w:name="_Toc304295593"/>
      <w:bookmarkStart w:id="859" w:name="_Toc296347218"/>
    </w:p>
    <w:p w14:paraId="3C7DF5CD">
      <w:pPr>
        <w:pStyle w:val="17"/>
        <w:numPr>
          <w:ilvl w:val="0"/>
          <w:numId w:val="0"/>
        </w:numPr>
        <w:spacing w:line="460" w:lineRule="exact"/>
        <w:ind w:firstLine="40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（1）工程预付款：合同签订后</w:t>
      </w:r>
      <w:bookmarkStart w:id="860" w:name="OLE_LINK11"/>
      <w:r>
        <w:rPr>
          <w:rFonts w:hint="eastAsia" w:hAnsi="宋体"/>
          <w:color w:val="auto"/>
          <w:szCs w:val="21"/>
          <w:highlight w:val="none"/>
          <w:lang w:val="en-US" w:eastAsia="zh-CN"/>
        </w:rPr>
        <w:t>，甲方</w:t>
      </w:r>
      <w:bookmarkEnd w:id="860"/>
      <w:r>
        <w:rPr>
          <w:rFonts w:hint="eastAsia" w:hAnsi="宋体"/>
          <w:color w:val="auto"/>
          <w:szCs w:val="21"/>
          <w:highlight w:val="none"/>
          <w:lang w:val="en-US" w:eastAsia="zh-CN"/>
        </w:rPr>
        <w:t>自</w:t>
      </w:r>
      <w:r>
        <w:rPr>
          <w:rFonts w:hint="eastAsia" w:ascii="宋体" w:hAnsi="宋体"/>
          <w:color w:val="auto"/>
          <w:szCs w:val="21"/>
          <w:highlight w:val="none"/>
          <w:lang w:val="en-US" w:eastAsia="zh-CN"/>
        </w:rPr>
        <w:t>收到发票后10 个工作日内向</w:t>
      </w:r>
      <w:r>
        <w:rPr>
          <w:rFonts w:hint="eastAsia" w:hAnsi="宋体"/>
          <w:color w:val="auto"/>
          <w:szCs w:val="21"/>
          <w:highlight w:val="none"/>
          <w:lang w:val="en-US" w:eastAsia="zh-CN"/>
        </w:rPr>
        <w:t>乙方</w:t>
      </w:r>
      <w:r>
        <w:rPr>
          <w:rFonts w:hint="eastAsia" w:ascii="宋体" w:hAnsi="宋体"/>
          <w:color w:val="auto"/>
          <w:szCs w:val="21"/>
          <w:highlight w:val="none"/>
          <w:lang w:val="en-US" w:eastAsia="zh-CN"/>
        </w:rPr>
        <w:t>支付合同金额的 30%作为预付款。</w:t>
      </w:r>
    </w:p>
    <w:p w14:paraId="56BBBE3E">
      <w:pPr>
        <w:pStyle w:val="17"/>
        <w:spacing w:line="460" w:lineRule="exact"/>
        <w:ind w:firstLine="40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（2）工程进度款支付：中间无工程进度款。项目履约完成工程竣工验收后，</w:t>
      </w:r>
      <w:r>
        <w:rPr>
          <w:rFonts w:hint="eastAsia" w:hAnsi="宋体"/>
          <w:color w:val="auto"/>
          <w:szCs w:val="21"/>
          <w:highlight w:val="none"/>
          <w:lang w:val="en-US" w:eastAsia="zh-CN"/>
        </w:rPr>
        <w:t>甲方</w:t>
      </w:r>
      <w:r>
        <w:rPr>
          <w:rFonts w:hint="eastAsia" w:ascii="宋体" w:hAnsi="宋体"/>
          <w:color w:val="auto"/>
          <w:szCs w:val="21"/>
          <w:highlight w:val="none"/>
          <w:lang w:val="en-US" w:eastAsia="zh-CN"/>
        </w:rPr>
        <w:t>收到发票后10 个工作日内向乙方支付至合同金额的80%，待项目结算审核完成并且由审计（或财政）部门出具审计报告后，由乙方支付工程结算价款的3%到甲方账户作为质量保证(保修)金，</w:t>
      </w:r>
      <w:r>
        <w:rPr>
          <w:rFonts w:hint="eastAsia" w:hAnsi="宋体"/>
          <w:color w:val="auto"/>
          <w:szCs w:val="21"/>
          <w:highlight w:val="none"/>
          <w:lang w:val="en-US" w:eastAsia="zh-CN"/>
        </w:rPr>
        <w:t>甲方</w:t>
      </w:r>
      <w:r>
        <w:rPr>
          <w:rFonts w:hint="eastAsia" w:ascii="宋体" w:hAnsi="宋体"/>
          <w:color w:val="auto"/>
          <w:szCs w:val="21"/>
          <w:highlight w:val="none"/>
          <w:lang w:val="en-US" w:eastAsia="zh-CN"/>
        </w:rPr>
        <w:t>自结算审计报告确认之日起15天内拨付剩余价款。3%的质量保证(保修)金自质保期满后14天内，甲方扣除保修费用后一次性返还（不计息）至</w:t>
      </w:r>
      <w:bookmarkStart w:id="861" w:name="OLE_LINK12"/>
      <w:r>
        <w:rPr>
          <w:rFonts w:hint="eastAsia" w:ascii="宋体" w:hAnsi="宋体"/>
          <w:color w:val="auto"/>
          <w:szCs w:val="21"/>
          <w:highlight w:val="none"/>
          <w:lang w:val="en-US" w:eastAsia="zh-CN"/>
        </w:rPr>
        <w:t>乙方</w:t>
      </w:r>
      <w:bookmarkEnd w:id="861"/>
      <w:r>
        <w:rPr>
          <w:rFonts w:hint="eastAsia" w:ascii="宋体" w:hAnsi="宋体"/>
          <w:color w:val="auto"/>
          <w:szCs w:val="21"/>
          <w:highlight w:val="none"/>
          <w:lang w:val="en-US" w:eastAsia="zh-CN"/>
        </w:rPr>
        <w:t>账户。</w:t>
      </w:r>
    </w:p>
    <w:p w14:paraId="4B3A19F0">
      <w:pPr>
        <w:pStyle w:val="17"/>
        <w:spacing w:line="460" w:lineRule="exact"/>
        <w:ind w:firstLine="40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(3)工程预付款扣回：无。</w:t>
      </w:r>
    </w:p>
    <w:p w14:paraId="6EEBEF0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12.4.2进度付款申请单的编制</w:t>
      </w:r>
    </w:p>
    <w:p w14:paraId="266C83F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关于进度付款申请单编制的约定：</w:t>
      </w:r>
      <w:r>
        <w:rPr>
          <w:rFonts w:hint="eastAsia" w:ascii="宋体" w:hAnsi="宋体" w:eastAsia="宋体" w:cs="宋体"/>
          <w:color w:val="auto"/>
          <w:kern w:val="2"/>
          <w:sz w:val="21"/>
          <w:szCs w:val="24"/>
          <w:highlight w:val="none"/>
          <w:u w:val="single"/>
          <w:lang w:val="en-US" w:eastAsia="zh-CN" w:bidi="ar"/>
        </w:rPr>
        <w:t>按通用条款执行</w:t>
      </w:r>
      <w:r>
        <w:rPr>
          <w:rFonts w:hint="eastAsia" w:ascii="宋体" w:hAnsi="宋体" w:eastAsia="宋体" w:cs="宋体"/>
          <w:color w:val="auto"/>
          <w:kern w:val="2"/>
          <w:sz w:val="21"/>
          <w:szCs w:val="24"/>
          <w:highlight w:val="none"/>
          <w:lang w:val="en-US" w:eastAsia="zh-CN" w:bidi="ar"/>
        </w:rPr>
        <w:t>。</w:t>
      </w:r>
    </w:p>
    <w:p w14:paraId="03146CA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12.4.3进度付款申请单的提交</w:t>
      </w:r>
    </w:p>
    <w:p w14:paraId="290E484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bCs/>
          <w:color w:val="auto"/>
          <w:highlight w:val="none"/>
          <w:u w:val="single"/>
          <w:lang w:val="en-US"/>
        </w:rPr>
      </w:pPr>
      <w:r>
        <w:rPr>
          <w:rFonts w:hint="eastAsia" w:ascii="宋体" w:hAnsi="宋体" w:eastAsia="宋体" w:cs="宋体"/>
          <w:color w:val="auto"/>
          <w:kern w:val="2"/>
          <w:sz w:val="21"/>
          <w:szCs w:val="24"/>
          <w:highlight w:val="none"/>
          <w:lang w:val="en-US" w:eastAsia="zh-CN" w:bidi="ar"/>
        </w:rPr>
        <w:t>（1）单价合同进度付款申请单提交的约定：</w:t>
      </w:r>
      <w:r>
        <w:rPr>
          <w:rFonts w:hint="eastAsia" w:ascii="宋体" w:hAnsi="宋体" w:eastAsia="宋体" w:cs="宋体"/>
          <w:color w:val="auto"/>
          <w:kern w:val="2"/>
          <w:sz w:val="21"/>
          <w:szCs w:val="24"/>
          <w:highlight w:val="none"/>
          <w:u w:val="single"/>
          <w:lang w:val="en-US" w:eastAsia="zh-CN" w:bidi="ar"/>
        </w:rPr>
        <w:t>按通用条款执行</w:t>
      </w:r>
      <w:r>
        <w:rPr>
          <w:rFonts w:hint="eastAsia" w:ascii="宋体" w:hAnsi="宋体" w:eastAsia="宋体" w:cs="宋体"/>
          <w:color w:val="auto"/>
          <w:kern w:val="2"/>
          <w:sz w:val="21"/>
          <w:szCs w:val="24"/>
          <w:highlight w:val="none"/>
          <w:lang w:val="en-US" w:eastAsia="zh-CN" w:bidi="ar"/>
        </w:rPr>
        <w:t>。</w:t>
      </w:r>
    </w:p>
    <w:p w14:paraId="7BCD159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（2）总价合同进度付款申请单提交的约定：。</w:t>
      </w:r>
    </w:p>
    <w:p w14:paraId="0A766A0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（3）其他价格形式合同进度付款申请单提交的约定：。</w:t>
      </w:r>
    </w:p>
    <w:p w14:paraId="079F0A7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12.4.4进度款审核和支付</w:t>
      </w:r>
    </w:p>
    <w:p w14:paraId="37137D1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（1）监理人审查并报送发包人的期限：</w:t>
      </w:r>
      <w:r>
        <w:rPr>
          <w:rFonts w:hint="eastAsia" w:ascii="宋体" w:hAnsi="宋体" w:eastAsia="宋体" w:cs="宋体"/>
          <w:color w:val="auto"/>
          <w:kern w:val="2"/>
          <w:sz w:val="21"/>
          <w:szCs w:val="24"/>
          <w:highlight w:val="none"/>
          <w:u w:val="single"/>
          <w:lang w:val="en-US" w:eastAsia="zh-CN" w:bidi="ar"/>
        </w:rPr>
        <w:t>收到申请单后7天内</w:t>
      </w:r>
      <w:r>
        <w:rPr>
          <w:rFonts w:hint="eastAsia" w:ascii="宋体" w:hAnsi="宋体" w:eastAsia="宋体" w:cs="宋体"/>
          <w:color w:val="auto"/>
          <w:kern w:val="2"/>
          <w:sz w:val="21"/>
          <w:szCs w:val="24"/>
          <w:highlight w:val="none"/>
          <w:lang w:val="en-US" w:eastAsia="zh-CN" w:bidi="ar"/>
        </w:rPr>
        <w:t>。</w:t>
      </w:r>
    </w:p>
    <w:p w14:paraId="2A05D33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发包人完成审批并签发进度款支付证书的期限：</w:t>
      </w:r>
      <w:r>
        <w:rPr>
          <w:rFonts w:hint="eastAsia" w:ascii="宋体" w:hAnsi="宋体" w:eastAsia="宋体" w:cs="宋体"/>
          <w:color w:val="auto"/>
          <w:kern w:val="2"/>
          <w:sz w:val="21"/>
          <w:szCs w:val="24"/>
          <w:highlight w:val="none"/>
          <w:u w:val="single"/>
          <w:lang w:val="en-US" w:eastAsia="zh-CN" w:bidi="ar"/>
        </w:rPr>
        <w:t>收到监理人的审核单后10天内审批完毕呈职能部门审定。收到部门的审定意见书后10天内签发进度款支付证书</w:t>
      </w:r>
      <w:r>
        <w:rPr>
          <w:rFonts w:hint="eastAsia" w:ascii="宋体" w:hAnsi="宋体" w:eastAsia="宋体" w:cs="宋体"/>
          <w:color w:val="auto"/>
          <w:kern w:val="2"/>
          <w:sz w:val="21"/>
          <w:szCs w:val="24"/>
          <w:highlight w:val="none"/>
          <w:lang w:val="en-US" w:eastAsia="zh-CN" w:bidi="ar"/>
        </w:rPr>
        <w:t>。</w:t>
      </w:r>
    </w:p>
    <w:p w14:paraId="4BD1CCE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（2）发包人支付进度款的期限：</w:t>
      </w:r>
      <w:r>
        <w:rPr>
          <w:rFonts w:hint="eastAsia" w:ascii="宋体" w:hAnsi="宋体" w:eastAsia="宋体" w:cs="宋体"/>
          <w:color w:val="auto"/>
          <w:kern w:val="2"/>
          <w:sz w:val="21"/>
          <w:szCs w:val="24"/>
          <w:highlight w:val="none"/>
          <w:u w:val="single"/>
          <w:lang w:val="en-US" w:eastAsia="zh-CN" w:bidi="ar"/>
        </w:rPr>
        <w:t>承包人提交发票后7天内</w:t>
      </w:r>
      <w:r>
        <w:rPr>
          <w:rFonts w:hint="eastAsia" w:ascii="宋体" w:hAnsi="宋体" w:eastAsia="宋体" w:cs="宋体"/>
          <w:color w:val="auto"/>
          <w:kern w:val="2"/>
          <w:sz w:val="21"/>
          <w:szCs w:val="24"/>
          <w:highlight w:val="none"/>
          <w:lang w:val="en-US" w:eastAsia="zh-CN" w:bidi="ar"/>
        </w:rPr>
        <w:t>。</w:t>
      </w:r>
    </w:p>
    <w:p w14:paraId="50F09D3F">
      <w:pPr>
        <w:keepNext w:val="0"/>
        <w:keepLines w:val="0"/>
        <w:widowControl w:val="0"/>
        <w:suppressLineNumbers w:val="0"/>
        <w:spacing w:before="0" w:beforeAutospacing="0" w:after="0" w:afterAutospacing="0" w:line="360" w:lineRule="auto"/>
        <w:ind w:left="0" w:right="0" w:firstLine="525" w:firstLineChars="25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发包人逾期支付进度款的违约金的计算方式：</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0DB3BDE3">
      <w:pPr>
        <w:keepNext w:val="0"/>
        <w:keepLines w:val="0"/>
        <w:widowControl w:val="0"/>
        <w:suppressLineNumbers w:val="0"/>
        <w:spacing w:before="0" w:beforeAutospacing="0" w:after="0" w:afterAutospacing="0" w:line="360" w:lineRule="auto"/>
        <w:ind w:left="0" w:right="0" w:firstLine="525" w:firstLineChars="25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进度款支付方式：</w:t>
      </w:r>
      <w:r>
        <w:rPr>
          <w:rFonts w:hint="eastAsia" w:ascii="宋体" w:hAnsi="宋体" w:eastAsia="宋体" w:cs="宋体"/>
          <w:color w:val="auto"/>
          <w:kern w:val="2"/>
          <w:sz w:val="21"/>
          <w:szCs w:val="24"/>
          <w:highlight w:val="none"/>
          <w:u w:val="single"/>
          <w:lang w:val="en-US" w:eastAsia="zh-CN" w:bidi="ar"/>
        </w:rPr>
        <w:t>银行转账</w:t>
      </w:r>
      <w:r>
        <w:rPr>
          <w:rFonts w:hint="eastAsia" w:ascii="宋体" w:hAnsi="宋体" w:eastAsia="宋体" w:cs="宋体"/>
          <w:color w:val="auto"/>
          <w:kern w:val="2"/>
          <w:sz w:val="21"/>
          <w:szCs w:val="24"/>
          <w:highlight w:val="none"/>
          <w:lang w:val="en-US" w:eastAsia="zh-CN" w:bidi="ar"/>
        </w:rPr>
        <w:t>。</w:t>
      </w:r>
    </w:p>
    <w:p w14:paraId="007C0163">
      <w:pPr>
        <w:keepNext w:val="0"/>
        <w:keepLines w:val="0"/>
        <w:widowControl w:val="0"/>
        <w:suppressLineNumbers w:val="0"/>
        <w:spacing w:before="0" w:beforeAutospacing="0" w:after="0" w:afterAutospacing="0" w:line="360" w:lineRule="auto"/>
        <w:ind w:left="0" w:right="0" w:firstLine="525" w:firstLineChars="25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12.4.5支付分解表的编制</w:t>
      </w:r>
    </w:p>
    <w:p w14:paraId="27FC3A6F">
      <w:pPr>
        <w:keepNext w:val="0"/>
        <w:keepLines w:val="0"/>
        <w:widowControl w:val="0"/>
        <w:suppressLineNumbers w:val="0"/>
        <w:spacing w:before="0" w:beforeAutospacing="0" w:after="0" w:afterAutospacing="0" w:line="360" w:lineRule="auto"/>
        <w:ind w:left="0" w:right="0" w:firstLine="525" w:firstLineChars="25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1.总价合同支付分解表的编制与审批：。</w:t>
      </w:r>
    </w:p>
    <w:p w14:paraId="65EB5CAD">
      <w:pPr>
        <w:keepNext w:val="0"/>
        <w:keepLines w:val="0"/>
        <w:widowControl w:val="0"/>
        <w:suppressLineNumbers w:val="0"/>
        <w:spacing w:before="0" w:beforeAutospacing="0" w:after="0" w:afterAutospacing="0" w:line="360" w:lineRule="auto"/>
        <w:ind w:left="0" w:right="0" w:firstLine="525" w:firstLineChars="25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2.单价合同的总价项目支付分解表的编制与审批：总价项目不采用支付分解表的方式计算，而按《建设工程工程量清单计价规范（GB50500-2013）广西壮族自治区实施细则》的规定执行。</w:t>
      </w:r>
    </w:p>
    <w:p w14:paraId="7AB81458">
      <w:pPr>
        <w:pStyle w:val="4"/>
        <w:widowControl/>
        <w:ind w:left="0" w:firstLine="602"/>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13.</w:t>
      </w:r>
      <w:r>
        <w:rPr>
          <w:rFonts w:hint="eastAsia" w:ascii="宋体" w:hAnsi="宋体" w:eastAsia="宋体" w:cs="宋体"/>
          <w:color w:val="auto"/>
          <w:sz w:val="28"/>
          <w:szCs w:val="28"/>
          <w:highlight w:val="none"/>
          <w:lang w:eastAsia="zh-CN"/>
        </w:rPr>
        <w:t>验收和工程试车</w:t>
      </w:r>
      <w:bookmarkEnd w:id="838"/>
      <w:bookmarkEnd w:id="839"/>
      <w:bookmarkEnd w:id="840"/>
      <w:bookmarkEnd w:id="841"/>
      <w:bookmarkEnd w:id="842"/>
      <w:bookmarkEnd w:id="843"/>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14:paraId="38568709">
      <w:pPr>
        <w:pStyle w:val="5"/>
        <w:widowControl/>
        <w:ind w:left="0" w:firstLine="562"/>
        <w:rPr>
          <w:rFonts w:hint="eastAsia" w:ascii="宋体" w:hAnsi="宋体" w:eastAsia="宋体" w:cs="宋体"/>
          <w:color w:val="auto"/>
          <w:sz w:val="24"/>
          <w:szCs w:val="28"/>
          <w:highlight w:val="none"/>
          <w:lang w:val="en-US"/>
        </w:rPr>
      </w:pPr>
      <w:bookmarkStart w:id="862" w:name="_Toc373227754"/>
      <w:bookmarkStart w:id="863" w:name="_Toc389065319"/>
      <w:bookmarkStart w:id="864" w:name="_Toc407135257"/>
      <w:bookmarkStart w:id="865" w:name="_Toc373478401"/>
      <w:bookmarkStart w:id="866" w:name="_Toc487632754"/>
      <w:r>
        <w:rPr>
          <w:rFonts w:hint="eastAsia" w:ascii="宋体" w:hAnsi="宋体" w:eastAsia="宋体" w:cs="宋体"/>
          <w:color w:val="auto"/>
          <w:sz w:val="24"/>
          <w:szCs w:val="28"/>
          <w:highlight w:val="none"/>
          <w:lang w:val="en-US"/>
        </w:rPr>
        <w:t>13.1</w:t>
      </w:r>
      <w:r>
        <w:rPr>
          <w:rFonts w:hint="eastAsia" w:ascii="宋体" w:hAnsi="宋体" w:eastAsia="宋体" w:cs="宋体"/>
          <w:color w:val="auto"/>
          <w:sz w:val="24"/>
          <w:szCs w:val="28"/>
          <w:highlight w:val="none"/>
          <w:lang w:eastAsia="zh-CN"/>
        </w:rPr>
        <w:t>分部分项工程验收</w:t>
      </w:r>
      <w:bookmarkEnd w:id="862"/>
      <w:bookmarkEnd w:id="863"/>
      <w:bookmarkEnd w:id="864"/>
      <w:bookmarkEnd w:id="865"/>
      <w:bookmarkEnd w:id="866"/>
    </w:p>
    <w:p w14:paraId="70DB359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13.1.1监理人不能按时进行验收时，应提前</w:t>
      </w:r>
      <w:r>
        <w:rPr>
          <w:rFonts w:hint="eastAsia" w:ascii="宋体" w:hAnsi="宋体" w:eastAsia="宋体" w:cs="宋体"/>
          <w:color w:val="auto"/>
          <w:kern w:val="2"/>
          <w:sz w:val="21"/>
          <w:szCs w:val="24"/>
          <w:highlight w:val="none"/>
          <w:u w:val="single"/>
          <w:lang w:val="en-US" w:eastAsia="zh-CN" w:bidi="ar"/>
        </w:rPr>
        <w:t>48</w:t>
      </w:r>
      <w:r>
        <w:rPr>
          <w:rFonts w:hint="eastAsia" w:ascii="宋体" w:hAnsi="宋体" w:eastAsia="宋体" w:cs="宋体"/>
          <w:color w:val="auto"/>
          <w:kern w:val="2"/>
          <w:sz w:val="21"/>
          <w:szCs w:val="24"/>
          <w:highlight w:val="none"/>
          <w:lang w:val="en-US" w:eastAsia="zh-CN" w:bidi="ar"/>
        </w:rPr>
        <w:t>小时提交书面延期要求。</w:t>
      </w:r>
    </w:p>
    <w:p w14:paraId="2E257D1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bCs/>
          <w:color w:val="auto"/>
          <w:highlight w:val="none"/>
          <w:lang w:val="en-US"/>
        </w:rPr>
      </w:pPr>
      <w:r>
        <w:rPr>
          <w:rFonts w:hint="eastAsia" w:ascii="宋体" w:hAnsi="宋体" w:eastAsia="宋体" w:cs="宋体"/>
          <w:color w:val="auto"/>
          <w:kern w:val="2"/>
          <w:sz w:val="21"/>
          <w:szCs w:val="24"/>
          <w:highlight w:val="none"/>
          <w:lang w:val="en-US" w:eastAsia="zh-CN" w:bidi="ar"/>
        </w:rPr>
        <w:t>关于延期最长不得超过：</w:t>
      </w:r>
      <w:r>
        <w:rPr>
          <w:rFonts w:hint="eastAsia" w:ascii="宋体" w:hAnsi="宋体" w:eastAsia="宋体" w:cs="宋体"/>
          <w:color w:val="auto"/>
          <w:kern w:val="2"/>
          <w:sz w:val="21"/>
          <w:szCs w:val="24"/>
          <w:highlight w:val="none"/>
          <w:u w:val="single"/>
          <w:lang w:val="en-US" w:eastAsia="zh-CN" w:bidi="ar"/>
        </w:rPr>
        <w:t>48</w:t>
      </w:r>
      <w:r>
        <w:rPr>
          <w:rFonts w:hint="eastAsia" w:ascii="宋体" w:hAnsi="宋体" w:eastAsia="宋体" w:cs="宋体"/>
          <w:color w:val="auto"/>
          <w:kern w:val="2"/>
          <w:sz w:val="21"/>
          <w:szCs w:val="24"/>
          <w:highlight w:val="none"/>
          <w:lang w:val="en-US" w:eastAsia="zh-CN" w:bidi="ar"/>
        </w:rPr>
        <w:t>小时。</w:t>
      </w:r>
    </w:p>
    <w:p w14:paraId="2BDEC60E">
      <w:pPr>
        <w:pStyle w:val="5"/>
        <w:widowControl/>
        <w:ind w:left="0" w:firstLine="562"/>
        <w:rPr>
          <w:rFonts w:hint="eastAsia" w:ascii="宋体" w:hAnsi="宋体" w:eastAsia="宋体" w:cs="宋体"/>
          <w:color w:val="auto"/>
          <w:sz w:val="24"/>
          <w:szCs w:val="28"/>
          <w:highlight w:val="none"/>
          <w:lang w:val="en-US"/>
        </w:rPr>
      </w:pPr>
      <w:bookmarkStart w:id="867" w:name="_Toc373227755"/>
      <w:bookmarkStart w:id="868" w:name="_Toc407135258"/>
      <w:bookmarkStart w:id="869" w:name="_Toc487632755"/>
      <w:bookmarkStart w:id="870" w:name="_Toc389065320"/>
      <w:bookmarkStart w:id="871" w:name="_Toc373478402"/>
      <w:bookmarkStart w:id="872" w:name="_Toc296891263"/>
      <w:bookmarkStart w:id="873" w:name="_Toc296347222"/>
      <w:bookmarkStart w:id="874" w:name="_Toc292559933"/>
      <w:bookmarkStart w:id="875" w:name="_Toc304295596"/>
      <w:bookmarkStart w:id="876" w:name="_Toc296503223"/>
      <w:bookmarkStart w:id="877" w:name="_Toc300935016"/>
      <w:bookmarkStart w:id="878" w:name="_Toc297048409"/>
      <w:bookmarkStart w:id="879" w:name="_Toc296346724"/>
      <w:bookmarkStart w:id="880" w:name="_Toc312678056"/>
      <w:bookmarkStart w:id="881" w:name="_Toc296891051"/>
      <w:bookmarkStart w:id="882" w:name="_Toc297123565"/>
      <w:bookmarkStart w:id="883" w:name="_Toc303539173"/>
      <w:bookmarkStart w:id="884" w:name="_Toc297120523"/>
      <w:bookmarkStart w:id="885" w:name="_Toc292559428"/>
      <w:bookmarkStart w:id="886" w:name="_Toc297216224"/>
      <w:bookmarkStart w:id="887" w:name="_Toc296944562"/>
      <w:bookmarkStart w:id="888" w:name="_Toc267251472"/>
      <w:bookmarkStart w:id="889" w:name="_Toc267251476"/>
      <w:bookmarkStart w:id="890" w:name="_Toc267251475"/>
      <w:bookmarkStart w:id="891" w:name="_Toc267251473"/>
      <w:bookmarkStart w:id="892" w:name="_Toc267251474"/>
      <w:bookmarkStart w:id="893" w:name="_Toc267251470"/>
      <w:bookmarkStart w:id="894" w:name="_Toc267251471"/>
      <w:r>
        <w:rPr>
          <w:rFonts w:hint="eastAsia" w:ascii="宋体" w:hAnsi="宋体" w:eastAsia="宋体" w:cs="宋体"/>
          <w:color w:val="auto"/>
          <w:sz w:val="24"/>
          <w:szCs w:val="28"/>
          <w:highlight w:val="none"/>
          <w:lang w:val="en-US"/>
        </w:rPr>
        <w:t>13.2</w:t>
      </w:r>
      <w:r>
        <w:rPr>
          <w:rFonts w:hint="eastAsia" w:ascii="宋体" w:hAnsi="宋体" w:eastAsia="宋体" w:cs="宋体"/>
          <w:color w:val="auto"/>
          <w:sz w:val="24"/>
          <w:szCs w:val="28"/>
          <w:highlight w:val="none"/>
          <w:lang w:eastAsia="zh-CN"/>
        </w:rPr>
        <w:t>竣工验收</w:t>
      </w:r>
      <w:bookmarkEnd w:id="867"/>
      <w:bookmarkEnd w:id="868"/>
      <w:bookmarkEnd w:id="869"/>
      <w:bookmarkEnd w:id="870"/>
      <w:bookmarkEnd w:id="871"/>
    </w:p>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14:paraId="6FACEE6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bookmarkStart w:id="895" w:name="_Toc280868704"/>
      <w:bookmarkStart w:id="896" w:name="_Toc280868705"/>
      <w:bookmarkStart w:id="897" w:name="_Toc280868706"/>
      <w:bookmarkStart w:id="898" w:name="_Toc280868707"/>
      <w:bookmarkStart w:id="899" w:name="_Toc280868708"/>
      <w:bookmarkStart w:id="900" w:name="_Toc280868709"/>
      <w:r>
        <w:rPr>
          <w:rFonts w:hint="eastAsia" w:ascii="宋体" w:hAnsi="宋体" w:eastAsia="宋体" w:cs="宋体"/>
          <w:color w:val="auto"/>
          <w:kern w:val="2"/>
          <w:sz w:val="21"/>
          <w:szCs w:val="24"/>
          <w:highlight w:val="none"/>
          <w:lang w:val="en-US" w:eastAsia="zh-CN" w:bidi="ar"/>
        </w:rPr>
        <w:t>13.2.1竣工验收条件</w:t>
      </w:r>
    </w:p>
    <w:p w14:paraId="3952DA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kern w:val="2"/>
          <w:sz w:val="21"/>
          <w:szCs w:val="24"/>
          <w:highlight w:val="none"/>
          <w:u w:val="single"/>
          <w:lang w:val="en-US" w:eastAsia="zh-CN" w:bidi="ar"/>
        </w:rPr>
        <w:t>按规定</w:t>
      </w:r>
      <w:r>
        <w:rPr>
          <w:rFonts w:hint="eastAsia" w:ascii="宋体" w:hAnsi="宋体" w:eastAsia="宋体" w:cs="宋体"/>
          <w:color w:val="auto"/>
          <w:kern w:val="2"/>
          <w:sz w:val="21"/>
          <w:szCs w:val="24"/>
          <w:highlight w:val="none"/>
          <w:lang w:val="en-US" w:eastAsia="zh-CN" w:bidi="ar"/>
        </w:rPr>
        <w:t>。</w:t>
      </w:r>
    </w:p>
    <w:p w14:paraId="451056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竣工验收资料的份数：</w:t>
      </w:r>
      <w:r>
        <w:rPr>
          <w:rFonts w:hint="eastAsia" w:ascii="宋体" w:hAnsi="宋体" w:eastAsia="宋体" w:cs="宋体"/>
          <w:color w:val="auto"/>
          <w:kern w:val="2"/>
          <w:sz w:val="21"/>
          <w:szCs w:val="24"/>
          <w:highlight w:val="none"/>
          <w:u w:val="single"/>
          <w:lang w:val="en-US" w:eastAsia="zh-CN" w:bidi="ar"/>
        </w:rPr>
        <w:t>两份</w:t>
      </w:r>
      <w:r>
        <w:rPr>
          <w:rFonts w:hint="eastAsia" w:ascii="宋体" w:hAnsi="宋体" w:eastAsia="宋体" w:cs="宋体"/>
          <w:color w:val="auto"/>
          <w:kern w:val="2"/>
          <w:sz w:val="21"/>
          <w:szCs w:val="24"/>
          <w:highlight w:val="none"/>
          <w:lang w:val="en-US" w:eastAsia="zh-CN" w:bidi="ar"/>
        </w:rPr>
        <w:t>。</w:t>
      </w:r>
    </w:p>
    <w:p w14:paraId="3135FAB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2"/>
          <w:sz w:val="21"/>
          <w:szCs w:val="24"/>
          <w:highlight w:val="none"/>
          <w:u w:val="single"/>
          <w:lang w:val="en-US" w:eastAsia="zh-CN" w:bidi="ar"/>
        </w:rPr>
      </w:pPr>
      <w:r>
        <w:rPr>
          <w:rFonts w:hint="eastAsia" w:ascii="宋体" w:hAnsi="宋体" w:eastAsia="宋体" w:cs="宋体"/>
          <w:color w:val="auto"/>
          <w:kern w:val="2"/>
          <w:sz w:val="21"/>
          <w:szCs w:val="24"/>
          <w:highlight w:val="none"/>
          <w:lang w:val="en-US" w:eastAsia="zh-CN" w:bidi="ar"/>
        </w:rPr>
        <w:t>承包人提供竣工图的约定：</w:t>
      </w:r>
      <w:r>
        <w:rPr>
          <w:rFonts w:hint="eastAsia" w:ascii="宋体" w:hAnsi="宋体" w:eastAsia="宋体" w:cs="宋体"/>
          <w:color w:val="auto"/>
          <w:kern w:val="2"/>
          <w:sz w:val="21"/>
          <w:szCs w:val="24"/>
          <w:highlight w:val="none"/>
          <w:u w:val="single"/>
          <w:lang w:val="en-US" w:eastAsia="zh-CN" w:bidi="ar"/>
        </w:rPr>
        <w:t>提供竣工图的数量为1套</w:t>
      </w:r>
    </w:p>
    <w:p w14:paraId="2C41BCF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13.2.2竣工验收程序</w:t>
      </w:r>
    </w:p>
    <w:bookmarkEnd w:id="895"/>
    <w:p w14:paraId="4B62E77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4"/>
          <w:highlight w:val="none"/>
          <w:lang w:val="en-US" w:eastAsia="zh-CN" w:bidi="ar"/>
        </w:rPr>
        <w:t>关于竣工验收程序的约定：</w:t>
      </w:r>
      <w:r>
        <w:rPr>
          <w:rFonts w:hint="eastAsia" w:ascii="宋体" w:hAnsi="宋体" w:eastAsia="宋体" w:cs="宋体"/>
          <w:color w:val="auto"/>
          <w:kern w:val="2"/>
          <w:sz w:val="21"/>
          <w:szCs w:val="24"/>
          <w:highlight w:val="none"/>
          <w:u w:val="single"/>
          <w:lang w:val="en-US" w:eastAsia="zh-CN" w:bidi="ar"/>
        </w:rPr>
        <w:t>承包人准备的竣工验收资料齐全，并编制了竣工图（附电子文档）后向监理人提出预验收申请，预验收合格监理人签署同意验收后发包人在30天内组织有关部门竣工验收</w:t>
      </w:r>
      <w:r>
        <w:rPr>
          <w:rFonts w:hint="eastAsia" w:ascii="宋体" w:hAnsi="宋体" w:eastAsia="宋体" w:cs="宋体"/>
          <w:color w:val="auto"/>
          <w:kern w:val="2"/>
          <w:sz w:val="21"/>
          <w:szCs w:val="24"/>
          <w:highlight w:val="none"/>
          <w:lang w:val="en-US" w:eastAsia="zh-CN" w:bidi="ar"/>
        </w:rPr>
        <w:t>。</w:t>
      </w:r>
    </w:p>
    <w:p w14:paraId="690A088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4"/>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4"/>
          <w:highlight w:val="none"/>
          <w:u w:val="single"/>
          <w:lang w:val="en-US" w:eastAsia="zh-CN" w:bidi="ar"/>
        </w:rPr>
        <w:t>按通用条款执行</w:t>
      </w:r>
      <w:r>
        <w:rPr>
          <w:rFonts w:hint="eastAsia" w:ascii="宋体" w:hAnsi="宋体" w:eastAsia="宋体" w:cs="宋体"/>
          <w:color w:val="auto"/>
          <w:kern w:val="2"/>
          <w:sz w:val="21"/>
          <w:szCs w:val="24"/>
          <w:highlight w:val="none"/>
          <w:lang w:val="en-US" w:eastAsia="zh-CN" w:bidi="ar"/>
        </w:rPr>
        <w:t>。</w:t>
      </w:r>
    </w:p>
    <w:bookmarkEnd w:id="896"/>
    <w:p w14:paraId="3C04238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13.2.3移交、接收全部与部分工程</w:t>
      </w:r>
    </w:p>
    <w:bookmarkEnd w:id="897"/>
    <w:p w14:paraId="18AD4DB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承包人向发包人移交工程的期限：</w:t>
      </w:r>
      <w:r>
        <w:rPr>
          <w:rFonts w:hint="eastAsia" w:ascii="宋体" w:hAnsi="宋体" w:eastAsia="宋体" w:cs="宋体"/>
          <w:color w:val="auto"/>
          <w:kern w:val="2"/>
          <w:sz w:val="21"/>
          <w:szCs w:val="24"/>
          <w:highlight w:val="none"/>
          <w:u w:val="single"/>
          <w:lang w:val="en-US" w:eastAsia="zh-CN" w:bidi="ar"/>
        </w:rPr>
        <w:t>竣工验收合格后10天内（指全部工程）</w:t>
      </w:r>
      <w:r>
        <w:rPr>
          <w:rFonts w:hint="eastAsia" w:ascii="宋体" w:hAnsi="宋体" w:eastAsia="宋体" w:cs="宋体"/>
          <w:color w:val="auto"/>
          <w:kern w:val="2"/>
          <w:sz w:val="21"/>
          <w:szCs w:val="24"/>
          <w:highlight w:val="none"/>
          <w:lang w:val="en-US" w:eastAsia="zh-CN" w:bidi="ar"/>
        </w:rPr>
        <w:t>。</w:t>
      </w:r>
    </w:p>
    <w:p w14:paraId="0377621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4"/>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bookmarkEnd w:id="898"/>
    <w:p w14:paraId="570ABCA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承包人未按时移交工程的，违约金的计算方法为：。</w:t>
      </w:r>
    </w:p>
    <w:p w14:paraId="39DEC5EE">
      <w:pPr>
        <w:pStyle w:val="5"/>
        <w:widowControl/>
        <w:ind w:left="0" w:firstLine="562"/>
        <w:rPr>
          <w:rFonts w:hint="eastAsia" w:ascii="宋体" w:hAnsi="宋体" w:eastAsia="宋体" w:cs="宋体"/>
          <w:color w:val="auto"/>
          <w:sz w:val="24"/>
          <w:szCs w:val="28"/>
          <w:highlight w:val="none"/>
          <w:lang w:val="en-US"/>
        </w:rPr>
      </w:pPr>
      <w:bookmarkStart w:id="901" w:name="_Toc389065321"/>
      <w:bookmarkStart w:id="902" w:name="_Toc407135259"/>
      <w:bookmarkStart w:id="903" w:name="_Toc373227756"/>
      <w:bookmarkStart w:id="904" w:name="_Toc373478403"/>
      <w:bookmarkStart w:id="905" w:name="_Toc487632756"/>
      <w:r>
        <w:rPr>
          <w:rFonts w:hint="eastAsia" w:ascii="宋体" w:hAnsi="宋体" w:eastAsia="宋体" w:cs="宋体"/>
          <w:color w:val="auto"/>
          <w:sz w:val="24"/>
          <w:szCs w:val="28"/>
          <w:highlight w:val="none"/>
          <w:lang w:val="en-US"/>
        </w:rPr>
        <w:t>13.3</w:t>
      </w:r>
      <w:r>
        <w:rPr>
          <w:rFonts w:hint="eastAsia" w:ascii="宋体" w:hAnsi="宋体" w:eastAsia="宋体" w:cs="宋体"/>
          <w:color w:val="auto"/>
          <w:sz w:val="24"/>
          <w:szCs w:val="28"/>
          <w:highlight w:val="none"/>
          <w:lang w:eastAsia="zh-CN"/>
        </w:rPr>
        <w:t>工程试车</w:t>
      </w:r>
      <w:bookmarkEnd w:id="901"/>
      <w:bookmarkEnd w:id="902"/>
      <w:bookmarkEnd w:id="903"/>
      <w:bookmarkEnd w:id="904"/>
      <w:bookmarkEnd w:id="905"/>
    </w:p>
    <w:bookmarkEnd w:id="899"/>
    <w:p w14:paraId="62A4CC4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13.3.1试车程序</w:t>
      </w:r>
    </w:p>
    <w:p w14:paraId="130ACFC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4"/>
          <w:highlight w:val="none"/>
          <w:lang w:val="en-US" w:eastAsia="zh-CN" w:bidi="ar"/>
        </w:rPr>
        <w:t>工程试车内容：</w:t>
      </w:r>
      <w:r>
        <w:rPr>
          <w:rFonts w:hint="eastAsia" w:ascii="宋体" w:hAnsi="宋体" w:eastAsia="宋体" w:cs="宋体"/>
          <w:color w:val="auto"/>
          <w:kern w:val="2"/>
          <w:sz w:val="21"/>
          <w:szCs w:val="24"/>
          <w:highlight w:val="none"/>
          <w:lang w:val="en-US" w:eastAsia="zh-CN" w:bidi="ar"/>
        </w:rPr>
        <w:t>。</w:t>
      </w:r>
    </w:p>
    <w:p w14:paraId="3B2FDDD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（1）单机无负荷试车费用由承担；</w:t>
      </w:r>
    </w:p>
    <w:p w14:paraId="1835152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（2）无负荷联动试车费用由承担。</w:t>
      </w:r>
    </w:p>
    <w:p w14:paraId="1C5EC82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13.3.2投料试车</w:t>
      </w:r>
    </w:p>
    <w:p w14:paraId="4286AA8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4"/>
          <w:highlight w:val="none"/>
          <w:lang w:val="en-US" w:eastAsia="zh-CN" w:bidi="ar"/>
        </w:rPr>
        <w:t>关于投料试车相关事项的约定：</w:t>
      </w:r>
      <w:r>
        <w:rPr>
          <w:rFonts w:hint="eastAsia" w:ascii="宋体" w:hAnsi="宋体" w:eastAsia="宋体" w:cs="宋体"/>
          <w:color w:val="auto"/>
          <w:kern w:val="2"/>
          <w:sz w:val="21"/>
          <w:szCs w:val="24"/>
          <w:highlight w:val="none"/>
          <w:lang w:val="en-US" w:eastAsia="zh-CN" w:bidi="ar"/>
        </w:rPr>
        <w:t>。</w:t>
      </w:r>
    </w:p>
    <w:p w14:paraId="19A02767">
      <w:pPr>
        <w:pStyle w:val="5"/>
        <w:widowControl/>
        <w:ind w:left="0" w:firstLine="562"/>
        <w:rPr>
          <w:rFonts w:hint="eastAsia" w:ascii="宋体" w:hAnsi="宋体" w:eastAsia="宋体" w:cs="宋体"/>
          <w:color w:val="auto"/>
          <w:sz w:val="24"/>
          <w:szCs w:val="28"/>
          <w:highlight w:val="none"/>
          <w:lang w:val="en-US"/>
        </w:rPr>
      </w:pPr>
      <w:bookmarkStart w:id="906" w:name="_Toc389065322"/>
      <w:bookmarkStart w:id="907" w:name="_Toc407135260"/>
      <w:bookmarkStart w:id="908" w:name="_Toc373227757"/>
      <w:bookmarkStart w:id="909" w:name="_Toc373478404"/>
      <w:bookmarkStart w:id="910" w:name="_Toc487632757"/>
      <w:r>
        <w:rPr>
          <w:rFonts w:hint="eastAsia" w:ascii="宋体" w:hAnsi="宋体" w:eastAsia="宋体" w:cs="宋体"/>
          <w:color w:val="auto"/>
          <w:sz w:val="24"/>
          <w:szCs w:val="28"/>
          <w:highlight w:val="none"/>
          <w:lang w:val="en-US"/>
        </w:rPr>
        <w:t>13.5</w:t>
      </w:r>
      <w:r>
        <w:rPr>
          <w:rFonts w:hint="eastAsia" w:ascii="宋体" w:hAnsi="宋体" w:eastAsia="宋体" w:cs="宋体"/>
          <w:color w:val="auto"/>
          <w:sz w:val="24"/>
          <w:szCs w:val="28"/>
          <w:highlight w:val="none"/>
          <w:lang w:eastAsia="zh-CN"/>
        </w:rPr>
        <w:t>竣工退场</w:t>
      </w:r>
      <w:bookmarkEnd w:id="906"/>
      <w:bookmarkEnd w:id="907"/>
      <w:bookmarkEnd w:id="908"/>
      <w:bookmarkEnd w:id="909"/>
      <w:bookmarkEnd w:id="910"/>
    </w:p>
    <w:p w14:paraId="433A0FEA">
      <w:pPr>
        <w:keepNext w:val="0"/>
        <w:keepLines w:val="0"/>
        <w:widowControl w:val="0"/>
        <w:suppressLineNumbers w:val="0"/>
        <w:spacing w:before="0" w:beforeAutospacing="0" w:after="0" w:afterAutospacing="0" w:line="360" w:lineRule="auto"/>
        <w:ind w:left="0" w:right="0" w:firstLine="420" w:firstLineChars="200"/>
        <w:jc w:val="left"/>
        <w:outlineLvl w:val="0"/>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13.5.1竣工退场</w:t>
      </w:r>
    </w:p>
    <w:p w14:paraId="7EADAFF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承包人完成竣工退场的期限：</w:t>
      </w:r>
      <w:r>
        <w:rPr>
          <w:rFonts w:hint="eastAsia" w:ascii="宋体" w:hAnsi="宋体" w:eastAsia="宋体" w:cs="宋体"/>
          <w:color w:val="auto"/>
          <w:kern w:val="2"/>
          <w:sz w:val="21"/>
          <w:szCs w:val="24"/>
          <w:highlight w:val="none"/>
          <w:u w:val="single"/>
          <w:lang w:val="en-US" w:eastAsia="zh-CN" w:bidi="ar"/>
        </w:rPr>
        <w:t>竣工验收合格后30天内（但必须保留足够的后续管理人员进行保修期内管理）</w:t>
      </w:r>
      <w:r>
        <w:rPr>
          <w:rFonts w:hint="eastAsia" w:ascii="宋体" w:hAnsi="宋体" w:eastAsia="宋体" w:cs="宋体"/>
          <w:color w:val="auto"/>
          <w:kern w:val="0"/>
          <w:sz w:val="21"/>
          <w:szCs w:val="24"/>
          <w:highlight w:val="none"/>
          <w:lang w:val="en-US" w:eastAsia="zh-CN" w:bidi="ar"/>
        </w:rPr>
        <w:t>。</w:t>
      </w:r>
    </w:p>
    <w:p w14:paraId="2A1A9688">
      <w:pPr>
        <w:pStyle w:val="4"/>
        <w:widowControl/>
        <w:ind w:left="0" w:firstLine="602"/>
        <w:rPr>
          <w:rFonts w:hint="eastAsia" w:ascii="宋体" w:hAnsi="宋体" w:eastAsia="宋体" w:cs="宋体"/>
          <w:color w:val="auto"/>
          <w:sz w:val="28"/>
          <w:szCs w:val="28"/>
          <w:highlight w:val="none"/>
          <w:lang w:val="en-US"/>
        </w:rPr>
      </w:pPr>
      <w:bookmarkStart w:id="911" w:name="_Toc389065323"/>
      <w:bookmarkStart w:id="912" w:name="_Toc373478405"/>
      <w:bookmarkStart w:id="913" w:name="_Toc487632758"/>
      <w:bookmarkStart w:id="914" w:name="_Toc351203646"/>
      <w:bookmarkStart w:id="915" w:name="_Toc373227758"/>
      <w:bookmarkStart w:id="916" w:name="_Toc407135261"/>
      <w:r>
        <w:rPr>
          <w:rFonts w:hint="eastAsia" w:ascii="宋体" w:hAnsi="宋体" w:eastAsia="宋体" w:cs="宋体"/>
          <w:color w:val="auto"/>
          <w:sz w:val="28"/>
          <w:szCs w:val="28"/>
          <w:highlight w:val="none"/>
          <w:lang w:val="en-US"/>
        </w:rPr>
        <w:t>14.</w:t>
      </w:r>
      <w:r>
        <w:rPr>
          <w:rFonts w:hint="eastAsia" w:ascii="宋体" w:hAnsi="宋体" w:eastAsia="宋体" w:cs="宋体"/>
          <w:color w:val="auto"/>
          <w:sz w:val="28"/>
          <w:szCs w:val="28"/>
          <w:highlight w:val="none"/>
          <w:lang w:eastAsia="zh-CN"/>
        </w:rPr>
        <w:t>竣工结算</w:t>
      </w:r>
      <w:bookmarkEnd w:id="911"/>
      <w:bookmarkEnd w:id="912"/>
      <w:bookmarkEnd w:id="913"/>
      <w:bookmarkEnd w:id="914"/>
      <w:bookmarkEnd w:id="915"/>
      <w:bookmarkEnd w:id="916"/>
    </w:p>
    <w:p w14:paraId="2EB5D349">
      <w:pPr>
        <w:pStyle w:val="5"/>
        <w:widowControl/>
        <w:ind w:left="0" w:firstLine="562"/>
        <w:rPr>
          <w:rFonts w:hint="eastAsia" w:ascii="宋体" w:hAnsi="宋体" w:eastAsia="宋体" w:cs="宋体"/>
          <w:color w:val="auto"/>
          <w:sz w:val="24"/>
          <w:szCs w:val="28"/>
          <w:highlight w:val="none"/>
          <w:lang w:val="en-US"/>
        </w:rPr>
      </w:pPr>
      <w:bookmarkStart w:id="917" w:name="_Toc373227759"/>
      <w:bookmarkStart w:id="918" w:name="_Toc373478406"/>
      <w:bookmarkStart w:id="919" w:name="_Toc389065324"/>
      <w:bookmarkStart w:id="920" w:name="_Toc487632759"/>
      <w:bookmarkStart w:id="921" w:name="_Toc407135262"/>
      <w:r>
        <w:rPr>
          <w:rFonts w:hint="eastAsia" w:ascii="宋体" w:hAnsi="宋体" w:eastAsia="宋体" w:cs="宋体"/>
          <w:color w:val="auto"/>
          <w:sz w:val="24"/>
          <w:szCs w:val="28"/>
          <w:highlight w:val="none"/>
          <w:lang w:val="en-US"/>
        </w:rPr>
        <w:t>14.1</w:t>
      </w:r>
      <w:r>
        <w:rPr>
          <w:rFonts w:hint="eastAsia" w:ascii="宋体" w:hAnsi="宋体" w:eastAsia="宋体" w:cs="宋体"/>
          <w:color w:val="auto"/>
          <w:sz w:val="24"/>
          <w:szCs w:val="28"/>
          <w:highlight w:val="none"/>
          <w:lang w:eastAsia="zh-CN"/>
        </w:rPr>
        <w:t>竣工付款申请</w:t>
      </w:r>
      <w:bookmarkEnd w:id="917"/>
      <w:bookmarkEnd w:id="918"/>
      <w:bookmarkEnd w:id="919"/>
      <w:bookmarkEnd w:id="920"/>
      <w:bookmarkEnd w:id="921"/>
    </w:p>
    <w:p w14:paraId="12C756C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bookmarkStart w:id="922" w:name="_Toc487632760"/>
      <w:bookmarkStart w:id="923" w:name="_Toc373478407"/>
      <w:bookmarkStart w:id="924" w:name="_Toc373227760"/>
      <w:bookmarkStart w:id="925" w:name="_Toc389065325"/>
      <w:bookmarkStart w:id="926" w:name="_Toc407135263"/>
      <w:r>
        <w:rPr>
          <w:rFonts w:hint="eastAsia" w:ascii="宋体" w:hAnsi="宋体" w:eastAsia="宋体" w:cs="宋体"/>
          <w:color w:val="auto"/>
          <w:kern w:val="2"/>
          <w:sz w:val="21"/>
          <w:szCs w:val="24"/>
          <w:highlight w:val="none"/>
          <w:lang w:val="en-US" w:eastAsia="zh-CN" w:bidi="ar"/>
        </w:rPr>
        <w:t>承包人提交竣工付款申请单的期限：</w:t>
      </w:r>
      <w:r>
        <w:rPr>
          <w:rFonts w:hint="eastAsia" w:ascii="宋体" w:hAnsi="宋体" w:eastAsia="宋体" w:cs="宋体"/>
          <w:color w:val="auto"/>
          <w:kern w:val="2"/>
          <w:sz w:val="21"/>
          <w:szCs w:val="24"/>
          <w:highlight w:val="none"/>
          <w:u w:val="single"/>
          <w:lang w:val="en-US" w:eastAsia="zh-CN" w:bidi="ar"/>
        </w:rPr>
        <w:t>承包人应在工程竣工验收合格后20天内向发包人和监理人提交竣工结算申请单，并提交完整的结算资料。竣工结算申请单及结算资料提交份数一式两份，其中纸质2份，电子文档1份</w:t>
      </w:r>
      <w:r>
        <w:rPr>
          <w:rFonts w:hint="eastAsia" w:ascii="宋体" w:hAnsi="宋体" w:eastAsia="宋体" w:cs="宋体"/>
          <w:color w:val="auto"/>
          <w:kern w:val="2"/>
          <w:sz w:val="21"/>
          <w:szCs w:val="24"/>
          <w:highlight w:val="none"/>
          <w:lang w:val="en-US" w:eastAsia="zh-CN" w:bidi="ar"/>
        </w:rPr>
        <w:t>。</w:t>
      </w:r>
    </w:p>
    <w:p w14:paraId="24DB402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竣工付款申请单应包括的内容：</w:t>
      </w:r>
      <w:r>
        <w:rPr>
          <w:rFonts w:hint="eastAsia" w:ascii="宋体" w:hAnsi="宋体" w:eastAsia="宋体" w:cs="宋体"/>
          <w:color w:val="auto"/>
          <w:kern w:val="2"/>
          <w:sz w:val="21"/>
          <w:szCs w:val="24"/>
          <w:highlight w:val="none"/>
          <w:u w:val="single"/>
          <w:lang w:val="en-US" w:eastAsia="zh-CN" w:bidi="ar"/>
        </w:rPr>
        <w:t>结算书、签证资料、竣工图、会议纪要、施工组织设计、多项施工方案、竞争性磋商文件、投标文件、施工合同、施工日记等，并应符合有关部门的要求</w:t>
      </w:r>
      <w:r>
        <w:rPr>
          <w:rFonts w:hint="eastAsia" w:ascii="宋体" w:hAnsi="宋体" w:eastAsia="宋体" w:cs="宋体"/>
          <w:color w:val="auto"/>
          <w:kern w:val="2"/>
          <w:sz w:val="21"/>
          <w:szCs w:val="24"/>
          <w:highlight w:val="none"/>
          <w:lang w:val="en-US" w:eastAsia="zh-CN" w:bidi="ar"/>
        </w:rPr>
        <w:t>。</w:t>
      </w:r>
    </w:p>
    <w:p w14:paraId="5E966F51">
      <w:pPr>
        <w:pStyle w:val="5"/>
        <w:widowControl/>
        <w:ind w:left="0" w:firstLine="562"/>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lang w:val="en-US"/>
        </w:rPr>
        <w:t>14.2</w:t>
      </w:r>
      <w:r>
        <w:rPr>
          <w:rFonts w:hint="eastAsia" w:ascii="宋体" w:hAnsi="宋体" w:eastAsia="宋体" w:cs="宋体"/>
          <w:color w:val="auto"/>
          <w:sz w:val="24"/>
          <w:szCs w:val="28"/>
          <w:highlight w:val="none"/>
          <w:lang w:eastAsia="zh-CN"/>
        </w:rPr>
        <w:t>竣工结算审核</w:t>
      </w:r>
      <w:bookmarkEnd w:id="922"/>
      <w:bookmarkEnd w:id="923"/>
      <w:bookmarkEnd w:id="924"/>
      <w:bookmarkEnd w:id="925"/>
      <w:bookmarkEnd w:id="926"/>
    </w:p>
    <w:p w14:paraId="2DF25E4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发包人审批竣工付款申请单的期限：</w:t>
      </w:r>
      <w:r>
        <w:rPr>
          <w:rFonts w:hint="eastAsia" w:ascii="宋体" w:hAnsi="宋体" w:eastAsia="宋体" w:cs="宋体"/>
          <w:color w:val="auto"/>
          <w:highlight w:val="none"/>
        </w:rPr>
        <w:t>从接到竣工结算报告和完整的竣工结算资料之日起</w:t>
      </w:r>
      <w:r>
        <w:rPr>
          <w:rFonts w:hint="eastAsia" w:ascii="宋体" w:hAnsi="宋体" w:eastAsia="宋体" w:cs="宋体"/>
          <w:color w:val="auto"/>
          <w:highlight w:val="none"/>
          <w:lang w:val="en-US"/>
        </w:rPr>
        <w:t>20</w:t>
      </w:r>
      <w:r>
        <w:rPr>
          <w:rFonts w:hint="eastAsia" w:ascii="宋体" w:hAnsi="宋体" w:eastAsia="宋体" w:cs="宋体"/>
          <w:color w:val="auto"/>
          <w:highlight w:val="none"/>
        </w:rPr>
        <w:t>天</w:t>
      </w:r>
      <w:r>
        <w:rPr>
          <w:rFonts w:hint="eastAsia" w:ascii="宋体" w:hAnsi="宋体" w:eastAsia="宋体" w:cs="宋体"/>
          <w:color w:val="auto"/>
          <w:highlight w:val="none"/>
          <w:lang w:eastAsia="zh-CN"/>
        </w:rPr>
        <w:t>，</w:t>
      </w:r>
      <w:r>
        <w:rPr>
          <w:rFonts w:hint="eastAsia" w:ascii="宋体" w:hAnsi="宋体" w:eastAsia="宋体" w:cs="宋体"/>
          <w:color w:val="auto"/>
          <w:kern w:val="2"/>
          <w:sz w:val="21"/>
          <w:szCs w:val="24"/>
          <w:highlight w:val="none"/>
          <w:lang w:val="en-US" w:eastAsia="zh-CN" w:bidi="ar"/>
        </w:rPr>
        <w:t>因承包人提供的结算资料不完整而需要补充或承包人不按时对账耽误时间时，审查时间应相应顺延。</w:t>
      </w:r>
    </w:p>
    <w:p w14:paraId="6761F55B">
      <w:pPr>
        <w:keepNext w:val="0"/>
        <w:keepLines w:val="0"/>
        <w:widowControl w:val="0"/>
        <w:suppressLineNumbers w:val="0"/>
        <w:spacing w:before="0" w:beforeAutospacing="0" w:after="0" w:afterAutospacing="0" w:line="400" w:lineRule="exact"/>
        <w:ind w:left="0" w:right="0" w:firstLine="411" w:firstLineChars="196"/>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结算审核约定：</w:t>
      </w:r>
    </w:p>
    <w:p w14:paraId="7FCBD711">
      <w:pPr>
        <w:keepNext w:val="0"/>
        <w:keepLines w:val="0"/>
        <w:widowControl w:val="0"/>
        <w:suppressLineNumbers w:val="0"/>
        <w:spacing w:before="0" w:beforeAutospacing="0" w:after="0" w:afterAutospacing="0" w:line="400" w:lineRule="exact"/>
        <w:ind w:left="0" w:right="0" w:firstLine="411" w:firstLineChars="196"/>
        <w:jc w:val="both"/>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非国有投资项目：</w:t>
      </w:r>
      <w:r>
        <w:rPr>
          <w:rFonts w:hint="eastAsia" w:ascii="宋体" w:hAnsi="宋体" w:eastAsia="宋体" w:cs="宋体"/>
          <w:color w:val="auto"/>
          <w:kern w:val="2"/>
          <w:sz w:val="21"/>
          <w:szCs w:val="24"/>
          <w:highlight w:val="none"/>
          <w:u w:val="single"/>
          <w:lang w:val="en-US" w:eastAsia="zh-CN" w:bidi="ar"/>
        </w:rPr>
        <w:t>1、工程竣工验收报告经发包人认可后7天内，承包人向发包人递交竣工验收合格资料及完整的结算资料和报告，双方按照协议书约定的合同价款及专用条款约定的合同价调整内容，进行工程竣工结算。2、发包人收到承包人递交的竣工结算报告及结算资料之日起28天内进行审核，给予确认或者提出初审意见。发包人逾期不予审定结算的视为发包人已同意上述竣工结算报告及结算资料，并以此作为最终结算的依据。发包人初审竣工结算完毕之日起20天内，按审定后的结算价款，向承包人支付工程竣工结算价款。承包人应根据发包人的需要随时将竣工工程交付发包人。</w:t>
      </w:r>
    </w:p>
    <w:p w14:paraId="69E2EA81">
      <w:pPr>
        <w:pStyle w:val="5"/>
        <w:widowControl/>
        <w:ind w:left="0" w:firstLine="562"/>
        <w:rPr>
          <w:rFonts w:hint="eastAsia" w:ascii="宋体" w:hAnsi="宋体" w:eastAsia="宋体" w:cs="宋体"/>
          <w:color w:val="auto"/>
          <w:highlight w:val="none"/>
          <w:lang w:val="en-US"/>
        </w:rPr>
      </w:pPr>
      <w:bookmarkStart w:id="927" w:name="_Toc389065326"/>
      <w:bookmarkStart w:id="928" w:name="_Toc373227761"/>
      <w:bookmarkStart w:id="929" w:name="_Toc487632761"/>
      <w:bookmarkStart w:id="930" w:name="_Toc373478408"/>
      <w:bookmarkStart w:id="931" w:name="_Toc407135264"/>
      <w:r>
        <w:rPr>
          <w:rFonts w:hint="eastAsia" w:ascii="宋体" w:hAnsi="宋体" w:eastAsia="宋体" w:cs="宋体"/>
          <w:color w:val="auto"/>
          <w:highlight w:val="none"/>
          <w:lang w:val="en-US"/>
        </w:rPr>
        <w:t>14.3</w:t>
      </w:r>
      <w:r>
        <w:rPr>
          <w:rFonts w:hint="eastAsia" w:ascii="宋体" w:hAnsi="宋体" w:eastAsia="宋体" w:cs="宋体"/>
          <w:color w:val="auto"/>
          <w:highlight w:val="none"/>
          <w:lang w:eastAsia="zh-CN"/>
        </w:rPr>
        <w:t>最终结清</w:t>
      </w:r>
      <w:bookmarkEnd w:id="927"/>
      <w:bookmarkEnd w:id="928"/>
      <w:bookmarkEnd w:id="929"/>
      <w:bookmarkEnd w:id="930"/>
      <w:bookmarkEnd w:id="931"/>
    </w:p>
    <w:p w14:paraId="2ABC0A3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14.3.1最终结清申请单</w:t>
      </w:r>
    </w:p>
    <w:p w14:paraId="51BC576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承包人提交最终结清申请单的份数：</w:t>
      </w:r>
      <w:r>
        <w:rPr>
          <w:rFonts w:hint="eastAsia" w:ascii="宋体" w:hAnsi="宋体" w:eastAsia="宋体" w:cs="宋体"/>
          <w:color w:val="auto"/>
          <w:kern w:val="2"/>
          <w:sz w:val="21"/>
          <w:szCs w:val="24"/>
          <w:highlight w:val="none"/>
          <w:u w:val="single"/>
          <w:lang w:val="en-US" w:eastAsia="zh-CN" w:bidi="ar"/>
        </w:rPr>
        <w:t>一式两份</w:t>
      </w:r>
      <w:r>
        <w:rPr>
          <w:rFonts w:hint="eastAsia" w:ascii="宋体" w:hAnsi="宋体" w:eastAsia="宋体" w:cs="宋体"/>
          <w:color w:val="auto"/>
          <w:kern w:val="2"/>
          <w:sz w:val="21"/>
          <w:szCs w:val="24"/>
          <w:highlight w:val="none"/>
          <w:lang w:val="en-US" w:eastAsia="zh-CN" w:bidi="ar"/>
        </w:rPr>
        <w:t>。</w:t>
      </w:r>
    </w:p>
    <w:p w14:paraId="4878B1B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4"/>
          <w:highlight w:val="none"/>
          <w:lang w:val="en-US" w:eastAsia="zh-CN" w:bidi="ar"/>
        </w:rPr>
        <w:t>承包人提交最终结算申请单的期限：</w:t>
      </w:r>
      <w:r>
        <w:rPr>
          <w:rFonts w:hint="eastAsia" w:ascii="宋体" w:hAnsi="宋体" w:eastAsia="宋体" w:cs="宋体"/>
          <w:color w:val="auto"/>
          <w:kern w:val="2"/>
          <w:sz w:val="21"/>
          <w:szCs w:val="24"/>
          <w:highlight w:val="none"/>
          <w:u w:val="single"/>
          <w:lang w:val="en-US" w:eastAsia="zh-CN" w:bidi="ar"/>
        </w:rPr>
        <w:t>审计确认结算价款且保修期满并签发终止保修书后</w:t>
      </w:r>
      <w:r>
        <w:rPr>
          <w:rFonts w:hint="eastAsia" w:ascii="宋体" w:hAnsi="宋体" w:eastAsia="宋体" w:cs="宋体"/>
          <w:color w:val="auto"/>
          <w:kern w:val="2"/>
          <w:sz w:val="21"/>
          <w:szCs w:val="24"/>
          <w:highlight w:val="none"/>
          <w:lang w:val="en-US" w:eastAsia="zh-CN" w:bidi="ar"/>
        </w:rPr>
        <w:t>。</w:t>
      </w:r>
    </w:p>
    <w:p w14:paraId="533E69C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14.3.2最终结清证书和支付</w:t>
      </w:r>
    </w:p>
    <w:p w14:paraId="6F23656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4"/>
          <w:highlight w:val="none"/>
          <w:u w:val="single"/>
          <w:lang w:val="en-US" w:eastAsia="zh-CN" w:bidi="ar"/>
        </w:rPr>
        <w:t>应在收到承包人提交的最终结清申请单后14天内</w:t>
      </w:r>
      <w:r>
        <w:rPr>
          <w:rFonts w:hint="eastAsia" w:ascii="宋体" w:hAnsi="宋体" w:eastAsia="宋体" w:cs="宋体"/>
          <w:color w:val="auto"/>
          <w:kern w:val="2"/>
          <w:sz w:val="21"/>
          <w:szCs w:val="24"/>
          <w:highlight w:val="none"/>
          <w:lang w:val="en-US" w:eastAsia="zh-CN" w:bidi="ar"/>
        </w:rPr>
        <w:t>。</w:t>
      </w:r>
    </w:p>
    <w:p w14:paraId="7918BD9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（2）发包人完成支付的期限：</w:t>
      </w:r>
      <w:r>
        <w:rPr>
          <w:rFonts w:hint="eastAsia" w:ascii="宋体" w:hAnsi="宋体" w:eastAsia="宋体" w:cs="宋体"/>
          <w:color w:val="auto"/>
          <w:kern w:val="2"/>
          <w:sz w:val="21"/>
          <w:szCs w:val="24"/>
          <w:highlight w:val="none"/>
          <w:u w:val="single"/>
          <w:lang w:val="en-US" w:eastAsia="zh-CN" w:bidi="ar"/>
        </w:rPr>
        <w:t>应在颁发最终结清证书后14天内</w:t>
      </w:r>
      <w:r>
        <w:rPr>
          <w:rFonts w:hint="eastAsia" w:ascii="宋体" w:hAnsi="宋体" w:eastAsia="宋体" w:cs="宋体"/>
          <w:color w:val="auto"/>
          <w:kern w:val="2"/>
          <w:sz w:val="21"/>
          <w:szCs w:val="24"/>
          <w:highlight w:val="none"/>
          <w:lang w:val="en-US" w:eastAsia="zh-CN" w:bidi="ar"/>
        </w:rPr>
        <w:t>。</w:t>
      </w:r>
    </w:p>
    <w:bookmarkEnd w:id="888"/>
    <w:bookmarkEnd w:id="889"/>
    <w:bookmarkEnd w:id="890"/>
    <w:bookmarkEnd w:id="891"/>
    <w:bookmarkEnd w:id="892"/>
    <w:bookmarkEnd w:id="893"/>
    <w:bookmarkEnd w:id="894"/>
    <w:bookmarkEnd w:id="900"/>
    <w:p w14:paraId="20E9A471">
      <w:pPr>
        <w:pStyle w:val="4"/>
        <w:widowControl/>
        <w:ind w:left="0" w:firstLine="602"/>
        <w:rPr>
          <w:rFonts w:hint="eastAsia" w:ascii="宋体" w:hAnsi="宋体" w:eastAsia="宋体" w:cs="宋体"/>
          <w:color w:val="auto"/>
          <w:sz w:val="28"/>
          <w:szCs w:val="28"/>
          <w:highlight w:val="none"/>
          <w:lang w:val="en-US"/>
        </w:rPr>
      </w:pPr>
      <w:bookmarkStart w:id="932" w:name="_Toc373478409"/>
      <w:bookmarkStart w:id="933" w:name="_Toc373227762"/>
      <w:bookmarkStart w:id="934" w:name="_Toc389065327"/>
      <w:bookmarkStart w:id="935" w:name="_Toc407135265"/>
      <w:bookmarkStart w:id="936" w:name="_Toc351203647"/>
      <w:bookmarkStart w:id="937" w:name="_Toc487632762"/>
      <w:bookmarkStart w:id="938" w:name="_Toc267251483"/>
      <w:bookmarkStart w:id="939" w:name="_Toc267251482"/>
      <w:bookmarkStart w:id="940" w:name="_Toc267251484"/>
      <w:bookmarkStart w:id="941" w:name="_Toc267251485"/>
      <w:bookmarkStart w:id="942" w:name="_Toc267251490"/>
      <w:bookmarkStart w:id="943" w:name="_Toc267251486"/>
      <w:bookmarkStart w:id="944" w:name="_Toc267251489"/>
      <w:bookmarkStart w:id="945" w:name="_Toc267251488"/>
      <w:bookmarkStart w:id="946" w:name="_Toc267251494"/>
      <w:bookmarkStart w:id="947" w:name="_Toc267251496"/>
      <w:bookmarkStart w:id="948" w:name="_Toc267251503"/>
      <w:bookmarkStart w:id="949" w:name="_Toc267251498"/>
      <w:bookmarkStart w:id="950" w:name="_Toc267251493"/>
      <w:bookmarkStart w:id="951" w:name="_Toc267251499"/>
      <w:bookmarkStart w:id="952" w:name="_Toc267251501"/>
      <w:bookmarkStart w:id="953" w:name="_Toc267251495"/>
      <w:bookmarkStart w:id="954" w:name="_Toc267251502"/>
      <w:bookmarkStart w:id="955" w:name="_Toc267251492"/>
      <w:bookmarkStart w:id="956" w:name="_Toc267251491"/>
      <w:bookmarkStart w:id="957" w:name="_Toc267251497"/>
      <w:bookmarkStart w:id="958" w:name="_Toc267251504"/>
      <w:bookmarkStart w:id="959" w:name="_Toc267251506"/>
      <w:bookmarkStart w:id="960" w:name="_Toc267251507"/>
      <w:bookmarkStart w:id="961" w:name="_Toc267251508"/>
      <w:bookmarkStart w:id="962" w:name="_Toc267251514"/>
      <w:bookmarkStart w:id="963" w:name="_Toc267251509"/>
      <w:bookmarkStart w:id="964" w:name="_Toc267251510"/>
      <w:bookmarkStart w:id="965" w:name="_Toc267251513"/>
      <w:bookmarkStart w:id="966" w:name="_Toc267251515"/>
      <w:bookmarkStart w:id="967" w:name="_Toc267251511"/>
      <w:r>
        <w:rPr>
          <w:rFonts w:hint="eastAsia" w:ascii="宋体" w:hAnsi="宋体" w:eastAsia="宋体" w:cs="宋体"/>
          <w:color w:val="auto"/>
          <w:sz w:val="28"/>
          <w:szCs w:val="28"/>
          <w:highlight w:val="none"/>
          <w:lang w:val="en-US"/>
        </w:rPr>
        <w:t>15.</w:t>
      </w:r>
      <w:r>
        <w:rPr>
          <w:rFonts w:hint="eastAsia" w:ascii="宋体" w:hAnsi="宋体" w:eastAsia="宋体" w:cs="宋体"/>
          <w:color w:val="auto"/>
          <w:sz w:val="28"/>
          <w:szCs w:val="28"/>
          <w:highlight w:val="none"/>
          <w:lang w:eastAsia="zh-CN"/>
        </w:rPr>
        <w:t>缺陷责任期与保修</w:t>
      </w:r>
      <w:bookmarkEnd w:id="932"/>
      <w:bookmarkEnd w:id="933"/>
      <w:bookmarkEnd w:id="934"/>
      <w:bookmarkEnd w:id="935"/>
      <w:bookmarkEnd w:id="936"/>
      <w:bookmarkEnd w:id="937"/>
    </w:p>
    <w:p w14:paraId="3872EFFB">
      <w:pPr>
        <w:pStyle w:val="5"/>
        <w:widowControl/>
        <w:ind w:left="0" w:firstLine="562"/>
        <w:rPr>
          <w:rFonts w:hint="eastAsia" w:ascii="宋体" w:hAnsi="宋体" w:eastAsia="宋体" w:cs="宋体"/>
          <w:color w:val="auto"/>
          <w:sz w:val="24"/>
          <w:szCs w:val="28"/>
          <w:highlight w:val="none"/>
          <w:lang w:val="en-US"/>
        </w:rPr>
      </w:pPr>
      <w:bookmarkStart w:id="968" w:name="_Toc487632763"/>
      <w:bookmarkStart w:id="969" w:name="_Toc389065328"/>
      <w:bookmarkStart w:id="970" w:name="_Toc373227763"/>
      <w:bookmarkStart w:id="971" w:name="_Toc373478410"/>
      <w:bookmarkStart w:id="972" w:name="_Toc407135266"/>
      <w:r>
        <w:rPr>
          <w:rFonts w:hint="eastAsia" w:ascii="宋体" w:hAnsi="宋体" w:eastAsia="宋体" w:cs="宋体"/>
          <w:color w:val="auto"/>
          <w:sz w:val="24"/>
          <w:szCs w:val="28"/>
          <w:highlight w:val="none"/>
          <w:lang w:val="en-US"/>
        </w:rPr>
        <w:t>15.1</w:t>
      </w:r>
      <w:r>
        <w:rPr>
          <w:rFonts w:hint="eastAsia" w:ascii="宋体" w:hAnsi="宋体" w:eastAsia="宋体" w:cs="宋体"/>
          <w:color w:val="auto"/>
          <w:sz w:val="24"/>
          <w:szCs w:val="28"/>
          <w:highlight w:val="none"/>
          <w:lang w:eastAsia="zh-CN"/>
        </w:rPr>
        <w:t>缺陷责任期</w:t>
      </w:r>
      <w:bookmarkEnd w:id="938"/>
      <w:bookmarkEnd w:id="968"/>
      <w:bookmarkEnd w:id="969"/>
      <w:bookmarkEnd w:id="970"/>
      <w:bookmarkEnd w:id="971"/>
      <w:bookmarkEnd w:id="972"/>
    </w:p>
    <w:p w14:paraId="4DFA990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缺陷责任期的具体期限：</w:t>
      </w:r>
      <w:r>
        <w:rPr>
          <w:rFonts w:hint="eastAsia" w:ascii="宋体" w:hAnsi="宋体" w:eastAsia="宋体" w:cs="宋体"/>
          <w:color w:val="auto"/>
          <w:kern w:val="2"/>
          <w:sz w:val="21"/>
          <w:szCs w:val="24"/>
          <w:highlight w:val="none"/>
          <w:u w:val="single"/>
          <w:lang w:val="en-US" w:eastAsia="zh-CN" w:bidi="ar"/>
        </w:rPr>
        <w:t>12个月</w:t>
      </w:r>
      <w:r>
        <w:rPr>
          <w:rFonts w:hint="eastAsia" w:ascii="宋体" w:hAnsi="宋体" w:eastAsia="宋体" w:cs="宋体"/>
          <w:color w:val="auto"/>
          <w:kern w:val="2"/>
          <w:sz w:val="21"/>
          <w:szCs w:val="24"/>
          <w:highlight w:val="none"/>
          <w:lang w:val="en-US" w:eastAsia="zh-CN" w:bidi="ar"/>
        </w:rPr>
        <w:t>。</w:t>
      </w:r>
    </w:p>
    <w:p w14:paraId="7D853263">
      <w:pPr>
        <w:pStyle w:val="5"/>
        <w:widowControl/>
        <w:ind w:left="0" w:firstLine="562"/>
        <w:rPr>
          <w:rFonts w:hint="eastAsia" w:ascii="宋体" w:hAnsi="宋体" w:eastAsia="宋体" w:cs="宋体"/>
          <w:color w:val="auto"/>
          <w:sz w:val="24"/>
          <w:szCs w:val="28"/>
          <w:highlight w:val="none"/>
          <w:lang w:val="en-US"/>
        </w:rPr>
      </w:pPr>
      <w:bookmarkStart w:id="973" w:name="_Toc373478411"/>
      <w:bookmarkStart w:id="974" w:name="_Toc487632764"/>
      <w:bookmarkStart w:id="975" w:name="_Toc389065329"/>
      <w:bookmarkStart w:id="976" w:name="_Toc407135267"/>
      <w:bookmarkStart w:id="977" w:name="_Toc373227764"/>
      <w:r>
        <w:rPr>
          <w:rFonts w:hint="eastAsia" w:ascii="宋体" w:hAnsi="宋体" w:eastAsia="宋体" w:cs="宋体"/>
          <w:color w:val="auto"/>
          <w:sz w:val="24"/>
          <w:szCs w:val="28"/>
          <w:highlight w:val="none"/>
          <w:lang w:val="en-US"/>
        </w:rPr>
        <w:t>15.2</w:t>
      </w:r>
      <w:r>
        <w:rPr>
          <w:rFonts w:hint="eastAsia" w:ascii="宋体" w:hAnsi="宋体" w:eastAsia="宋体" w:cs="宋体"/>
          <w:color w:val="auto"/>
          <w:sz w:val="24"/>
          <w:szCs w:val="28"/>
          <w:highlight w:val="none"/>
          <w:lang w:eastAsia="zh-CN"/>
        </w:rPr>
        <w:t>质量保证金</w:t>
      </w:r>
      <w:bookmarkEnd w:id="973"/>
      <w:bookmarkEnd w:id="974"/>
      <w:bookmarkEnd w:id="975"/>
      <w:bookmarkEnd w:id="976"/>
      <w:bookmarkEnd w:id="977"/>
    </w:p>
    <w:p w14:paraId="6E244BF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关于是否扣留质量保证金的约定：</w:t>
      </w:r>
      <w:r>
        <w:rPr>
          <w:rFonts w:hint="eastAsia" w:ascii="宋体" w:hAnsi="宋体" w:eastAsia="宋体" w:cs="宋体"/>
          <w:color w:val="auto"/>
          <w:kern w:val="2"/>
          <w:sz w:val="21"/>
          <w:szCs w:val="24"/>
          <w:highlight w:val="none"/>
          <w:u w:val="single"/>
          <w:lang w:val="en-US" w:eastAsia="zh-CN" w:bidi="ar"/>
        </w:rPr>
        <w:t>按照竣工结算价格的3%比例预留</w:t>
      </w:r>
      <w:r>
        <w:rPr>
          <w:rFonts w:hint="eastAsia" w:ascii="宋体" w:hAnsi="宋体" w:eastAsia="宋体" w:cs="宋体"/>
          <w:color w:val="auto"/>
          <w:kern w:val="2"/>
          <w:sz w:val="21"/>
          <w:szCs w:val="24"/>
          <w:highlight w:val="none"/>
          <w:lang w:val="en-US" w:eastAsia="zh-CN" w:bidi="ar"/>
        </w:rPr>
        <w:t>。</w:t>
      </w:r>
    </w:p>
    <w:p w14:paraId="740EBB6E">
      <w:pPr>
        <w:keepNext w:val="0"/>
        <w:keepLines w:val="0"/>
        <w:widowControl w:val="0"/>
        <w:suppressLineNumbers w:val="0"/>
        <w:spacing w:before="0" w:beforeAutospacing="0" w:after="0" w:afterAutospacing="0" w:line="360" w:lineRule="auto"/>
        <w:ind w:left="0" w:right="0" w:firstLine="420" w:firstLineChars="200"/>
        <w:jc w:val="left"/>
        <w:outlineLvl w:val="0"/>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15.2.1承包人提供质量保证金的方式</w:t>
      </w:r>
    </w:p>
    <w:p w14:paraId="0EB37FE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质量保证金采用以下第</w:t>
      </w:r>
      <w:r>
        <w:rPr>
          <w:rFonts w:hint="eastAsia" w:ascii="宋体" w:hAnsi="宋体" w:eastAsia="宋体" w:cs="宋体"/>
          <w:color w:val="auto"/>
          <w:kern w:val="2"/>
          <w:sz w:val="21"/>
          <w:szCs w:val="24"/>
          <w:highlight w:val="none"/>
          <w:u w:val="single"/>
          <w:lang w:val="en-US" w:eastAsia="zh-CN" w:bidi="ar"/>
        </w:rPr>
        <w:t>2</w:t>
      </w:r>
      <w:r>
        <w:rPr>
          <w:rFonts w:hint="eastAsia" w:ascii="宋体" w:hAnsi="宋体" w:eastAsia="宋体" w:cs="宋体"/>
          <w:color w:val="auto"/>
          <w:kern w:val="2"/>
          <w:sz w:val="21"/>
          <w:szCs w:val="24"/>
          <w:highlight w:val="none"/>
          <w:lang w:val="en-US" w:eastAsia="zh-CN" w:bidi="ar"/>
        </w:rPr>
        <w:t>种方式：</w:t>
      </w:r>
    </w:p>
    <w:p w14:paraId="594B3774">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（1）质量保证金保函，保证金额为：；</w:t>
      </w:r>
    </w:p>
    <w:p w14:paraId="62B2503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w:t>
      </w:r>
      <w:r>
        <w:rPr>
          <w:rFonts w:hint="eastAsia" w:ascii="宋体" w:hAnsi="宋体" w:eastAsia="宋体" w:cs="宋体"/>
          <w:color w:val="auto"/>
          <w:kern w:val="2"/>
          <w:sz w:val="21"/>
          <w:szCs w:val="24"/>
          <w:highlight w:val="none"/>
          <w:lang w:val="en-US" w:eastAsia="zh-CN" w:bidi="ar"/>
        </w:rPr>
        <w:t>发包人按工程价款结算总额的</w:t>
      </w:r>
      <w:r>
        <w:rPr>
          <w:rFonts w:hint="eastAsia" w:ascii="宋体" w:hAnsi="宋体" w:eastAsia="宋体" w:cs="宋体"/>
          <w:color w:val="auto"/>
          <w:kern w:val="2"/>
          <w:sz w:val="21"/>
          <w:szCs w:val="24"/>
          <w:highlight w:val="none"/>
          <w:u w:val="single"/>
          <w:lang w:val="en-US" w:eastAsia="zh-CN" w:bidi="ar"/>
        </w:rPr>
        <w:t>3</w:t>
      </w:r>
      <w:r>
        <w:rPr>
          <w:rFonts w:hint="eastAsia" w:ascii="宋体" w:hAnsi="宋体" w:eastAsia="宋体" w:cs="宋体"/>
          <w:color w:val="auto"/>
          <w:kern w:val="2"/>
          <w:sz w:val="21"/>
          <w:szCs w:val="24"/>
          <w:highlight w:val="none"/>
          <w:lang w:val="en-US" w:eastAsia="zh-CN" w:bidi="ar"/>
        </w:rPr>
        <w:t>%（不得超过3%）预留工程质量保修金，待缺陷责任期满后返还，是否付息及利息计算方式为：</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0"/>
          <w:sz w:val="21"/>
          <w:szCs w:val="24"/>
          <w:highlight w:val="none"/>
          <w:lang w:val="en-US" w:eastAsia="zh-CN" w:bidi="ar"/>
        </w:rPr>
        <w:t>；</w:t>
      </w:r>
    </w:p>
    <w:p w14:paraId="64E3CEA3">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（3）其他方式：</w:t>
      </w:r>
      <w:r>
        <w:rPr>
          <w:rFonts w:hint="eastAsia" w:ascii="宋体" w:hAnsi="宋体" w:eastAsia="宋体" w:cs="宋体"/>
          <w:color w:val="auto"/>
          <w:kern w:val="2"/>
          <w:sz w:val="21"/>
          <w:szCs w:val="24"/>
          <w:highlight w:val="none"/>
          <w:u w:val="single"/>
          <w:lang w:val="en-US" w:eastAsia="zh-CN" w:bidi="ar"/>
        </w:rPr>
        <w:t>无</w:t>
      </w:r>
      <w:r>
        <w:rPr>
          <w:rFonts w:hint="eastAsia" w:ascii="宋体" w:hAnsi="宋体" w:eastAsia="宋体" w:cs="宋体"/>
          <w:color w:val="auto"/>
          <w:kern w:val="2"/>
          <w:sz w:val="21"/>
          <w:szCs w:val="24"/>
          <w:highlight w:val="none"/>
          <w:lang w:val="en-US" w:eastAsia="zh-CN" w:bidi="ar"/>
        </w:rPr>
        <w:t>。</w:t>
      </w:r>
    </w:p>
    <w:p w14:paraId="473424A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15.2.2质量保证金的扣留</w:t>
      </w:r>
    </w:p>
    <w:p w14:paraId="3B57349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质量保证金的扣留采取以下第</w:t>
      </w:r>
      <w:r>
        <w:rPr>
          <w:rFonts w:hint="eastAsia" w:ascii="宋体" w:hAnsi="宋体" w:eastAsia="宋体" w:cs="宋体"/>
          <w:color w:val="auto"/>
          <w:kern w:val="2"/>
          <w:sz w:val="21"/>
          <w:szCs w:val="24"/>
          <w:highlight w:val="none"/>
          <w:u w:val="single"/>
          <w:lang w:val="en-US" w:eastAsia="zh-CN" w:bidi="ar"/>
        </w:rPr>
        <w:t>2</w:t>
      </w:r>
      <w:r>
        <w:rPr>
          <w:rFonts w:hint="eastAsia" w:ascii="宋体" w:hAnsi="宋体" w:eastAsia="宋体" w:cs="宋体"/>
          <w:color w:val="auto"/>
          <w:kern w:val="2"/>
          <w:sz w:val="21"/>
          <w:szCs w:val="24"/>
          <w:highlight w:val="none"/>
          <w:lang w:val="en-US" w:eastAsia="zh-CN" w:bidi="ar"/>
        </w:rPr>
        <w:t>种方式：</w:t>
      </w:r>
    </w:p>
    <w:p w14:paraId="75DC4948">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（1）在支付工程进度款时逐次扣留，在此情形下，质量保证金的计算基数不包括预付款的支付、扣回以及价格调整的金额；</w:t>
      </w:r>
    </w:p>
    <w:p w14:paraId="5F4E658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（2）工程竣工结算时一次性扣留质量保证金；</w:t>
      </w:r>
    </w:p>
    <w:p w14:paraId="19C2ECC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（3）其他扣留方式:</w:t>
      </w:r>
      <w:r>
        <w:rPr>
          <w:rFonts w:hint="eastAsia" w:ascii="宋体" w:hAnsi="宋体" w:eastAsia="宋体" w:cs="宋体"/>
          <w:color w:val="auto"/>
          <w:kern w:val="0"/>
          <w:sz w:val="21"/>
          <w:szCs w:val="24"/>
          <w:highlight w:val="none"/>
          <w:u w:val="single"/>
          <w:lang w:val="en-US" w:eastAsia="zh-CN" w:bidi="ar"/>
        </w:rPr>
        <w:t>无</w:t>
      </w:r>
      <w:r>
        <w:rPr>
          <w:rFonts w:hint="eastAsia" w:ascii="宋体" w:hAnsi="宋体" w:eastAsia="宋体" w:cs="宋体"/>
          <w:color w:val="auto"/>
          <w:kern w:val="0"/>
          <w:sz w:val="21"/>
          <w:szCs w:val="24"/>
          <w:highlight w:val="none"/>
          <w:lang w:val="en-US" w:eastAsia="zh-CN" w:bidi="ar"/>
        </w:rPr>
        <w:t>。</w:t>
      </w:r>
    </w:p>
    <w:p w14:paraId="788FBBB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u w:val="single"/>
          <w:lang w:val="en-US"/>
        </w:rPr>
      </w:pPr>
      <w:r>
        <w:rPr>
          <w:rFonts w:hint="eastAsia" w:ascii="宋体" w:hAnsi="宋体" w:eastAsia="宋体" w:cs="宋体"/>
          <w:color w:val="auto"/>
          <w:kern w:val="2"/>
          <w:sz w:val="21"/>
          <w:szCs w:val="24"/>
          <w:highlight w:val="none"/>
          <w:lang w:val="en-US" w:eastAsia="zh-CN" w:bidi="ar"/>
        </w:rPr>
        <w:t>关于质量保证金的补充约定：</w:t>
      </w:r>
      <w:r>
        <w:rPr>
          <w:rFonts w:hint="eastAsia" w:ascii="宋体" w:hAnsi="宋体" w:eastAsia="宋体" w:cs="宋体"/>
          <w:color w:val="auto"/>
          <w:kern w:val="0"/>
          <w:sz w:val="21"/>
          <w:szCs w:val="24"/>
          <w:highlight w:val="none"/>
          <w:u w:val="single"/>
          <w:lang w:val="en-US" w:eastAsia="zh-CN" w:bidi="ar"/>
        </w:rPr>
        <w:t>无</w:t>
      </w:r>
      <w:r>
        <w:rPr>
          <w:rFonts w:hint="eastAsia" w:ascii="宋体" w:hAnsi="宋体" w:eastAsia="宋体" w:cs="宋体"/>
          <w:color w:val="auto"/>
          <w:kern w:val="0"/>
          <w:sz w:val="21"/>
          <w:szCs w:val="24"/>
          <w:highlight w:val="none"/>
          <w:lang w:val="en-US" w:eastAsia="zh-CN" w:bidi="ar"/>
        </w:rPr>
        <w:t>。</w:t>
      </w:r>
    </w:p>
    <w:bookmarkEnd w:id="939"/>
    <w:bookmarkEnd w:id="940"/>
    <w:p w14:paraId="57E9D1FB">
      <w:pPr>
        <w:pStyle w:val="5"/>
        <w:widowControl/>
        <w:ind w:left="0" w:firstLine="562"/>
        <w:rPr>
          <w:rFonts w:hint="eastAsia" w:ascii="宋体" w:hAnsi="宋体" w:eastAsia="宋体" w:cs="宋体"/>
          <w:color w:val="auto"/>
          <w:sz w:val="24"/>
          <w:szCs w:val="28"/>
          <w:highlight w:val="none"/>
          <w:lang w:val="en-US"/>
        </w:rPr>
      </w:pPr>
      <w:bookmarkStart w:id="978" w:name="_Toc487632765"/>
      <w:bookmarkStart w:id="979" w:name="_Toc407135268"/>
      <w:bookmarkStart w:id="980" w:name="_Toc389065330"/>
      <w:bookmarkStart w:id="981" w:name="_Toc373478412"/>
      <w:bookmarkStart w:id="982" w:name="_Toc373227765"/>
      <w:r>
        <w:rPr>
          <w:rFonts w:hint="eastAsia" w:ascii="宋体" w:hAnsi="宋体" w:eastAsia="宋体" w:cs="宋体"/>
          <w:color w:val="auto"/>
          <w:sz w:val="24"/>
          <w:szCs w:val="28"/>
          <w:highlight w:val="none"/>
          <w:lang w:val="en-US"/>
        </w:rPr>
        <w:t>15.3</w:t>
      </w:r>
      <w:r>
        <w:rPr>
          <w:rFonts w:hint="eastAsia" w:ascii="宋体" w:hAnsi="宋体" w:eastAsia="宋体" w:cs="宋体"/>
          <w:color w:val="auto"/>
          <w:sz w:val="24"/>
          <w:szCs w:val="28"/>
          <w:highlight w:val="none"/>
          <w:lang w:eastAsia="zh-CN"/>
        </w:rPr>
        <w:t>保修</w:t>
      </w:r>
      <w:bookmarkEnd w:id="978"/>
      <w:bookmarkEnd w:id="979"/>
      <w:bookmarkEnd w:id="980"/>
      <w:bookmarkEnd w:id="981"/>
      <w:bookmarkEnd w:id="982"/>
    </w:p>
    <w:bookmarkEnd w:id="941"/>
    <w:p w14:paraId="7D246E55">
      <w:pPr>
        <w:keepNext w:val="0"/>
        <w:keepLines w:val="0"/>
        <w:widowControl w:val="0"/>
        <w:suppressLineNumbers w:val="0"/>
        <w:spacing w:before="0" w:beforeAutospacing="0" w:after="0" w:afterAutospacing="0" w:line="360" w:lineRule="auto"/>
        <w:ind w:left="0" w:right="0" w:firstLine="409" w:firstLineChars="195"/>
        <w:jc w:val="left"/>
        <w:outlineLvl w:val="0"/>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15.3.1保修责任</w:t>
      </w:r>
    </w:p>
    <w:bookmarkEnd w:id="942"/>
    <w:bookmarkEnd w:id="943"/>
    <w:bookmarkEnd w:id="944"/>
    <w:bookmarkEnd w:id="945"/>
    <w:p w14:paraId="5CF49035">
      <w:pPr>
        <w:keepNext w:val="0"/>
        <w:keepLines w:val="0"/>
        <w:widowControl w:val="0"/>
        <w:suppressLineNumbers w:val="0"/>
        <w:spacing w:before="0" w:beforeAutospacing="0" w:after="0" w:afterAutospacing="0" w:line="360" w:lineRule="auto"/>
        <w:ind w:left="0" w:right="0" w:firstLine="409" w:firstLineChars="195"/>
        <w:jc w:val="left"/>
        <w:rPr>
          <w:rFonts w:hint="eastAsia" w:ascii="宋体" w:hAnsi="宋体" w:eastAsia="宋体" w:cs="宋体"/>
          <w:color w:val="auto"/>
          <w:kern w:val="0"/>
          <w:highlight w:val="none"/>
          <w:lang w:val="en-US"/>
        </w:rPr>
      </w:pPr>
      <w:bookmarkStart w:id="983" w:name="_Toc351203648"/>
      <w:bookmarkStart w:id="984" w:name="_Toc407135269"/>
      <w:bookmarkStart w:id="985" w:name="_Toc389065331"/>
      <w:bookmarkStart w:id="986" w:name="_Toc487632766"/>
      <w:bookmarkStart w:id="987" w:name="_Toc373478413"/>
      <w:bookmarkStart w:id="988" w:name="_Toc373227766"/>
      <w:bookmarkStart w:id="989" w:name="_Toc280868717"/>
      <w:bookmarkStart w:id="990" w:name="_Toc280868718"/>
      <w:r>
        <w:rPr>
          <w:rFonts w:hint="eastAsia" w:ascii="宋体" w:hAnsi="宋体" w:eastAsia="宋体" w:cs="宋体"/>
          <w:color w:val="auto"/>
          <w:kern w:val="2"/>
          <w:sz w:val="21"/>
          <w:szCs w:val="24"/>
          <w:highlight w:val="none"/>
          <w:lang w:val="en-US" w:eastAsia="zh-CN" w:bidi="ar"/>
        </w:rPr>
        <w:t>工程保修期为：</w:t>
      </w:r>
      <w:r>
        <w:rPr>
          <w:rFonts w:hint="eastAsia" w:ascii="宋体" w:hAnsi="宋体" w:eastAsia="宋体" w:cs="宋体"/>
          <w:color w:val="auto"/>
          <w:kern w:val="0"/>
          <w:sz w:val="21"/>
          <w:szCs w:val="24"/>
          <w:highlight w:val="none"/>
          <w:u w:val="single"/>
          <w:lang w:val="en-US" w:eastAsia="zh-CN" w:bidi="ar"/>
        </w:rPr>
        <w:t>执行《建设工程质量管理条例》规定</w:t>
      </w:r>
      <w:r>
        <w:rPr>
          <w:rFonts w:hint="eastAsia" w:ascii="宋体" w:hAnsi="宋体" w:eastAsia="宋体" w:cs="宋体"/>
          <w:color w:val="auto"/>
          <w:kern w:val="0"/>
          <w:sz w:val="21"/>
          <w:szCs w:val="24"/>
          <w:highlight w:val="none"/>
          <w:lang w:val="en-US" w:eastAsia="zh-CN" w:bidi="ar"/>
        </w:rPr>
        <w:t>。</w:t>
      </w:r>
    </w:p>
    <w:p w14:paraId="7B5F2268">
      <w:pPr>
        <w:keepNext w:val="0"/>
        <w:keepLines w:val="0"/>
        <w:widowControl w:val="0"/>
        <w:suppressLineNumbers w:val="0"/>
        <w:spacing w:before="0" w:beforeAutospacing="0" w:after="0" w:afterAutospacing="0" w:line="360" w:lineRule="auto"/>
        <w:ind w:left="0" w:right="0" w:firstLine="409" w:firstLineChars="195"/>
        <w:jc w:val="left"/>
        <w:rPr>
          <w:rFonts w:hint="eastAsia" w:ascii="宋体" w:hAnsi="宋体" w:eastAsia="宋体" w:cs="宋体"/>
          <w:color w:val="auto"/>
          <w:kern w:val="0"/>
          <w:highlight w:val="none"/>
          <w:u w:val="single"/>
          <w:lang w:val="en-US"/>
        </w:rPr>
      </w:pPr>
      <w:r>
        <w:rPr>
          <w:rFonts w:hint="eastAsia" w:ascii="宋体" w:hAnsi="宋体" w:eastAsia="宋体" w:cs="宋体"/>
          <w:color w:val="auto"/>
          <w:kern w:val="2"/>
          <w:sz w:val="21"/>
          <w:szCs w:val="24"/>
          <w:highlight w:val="none"/>
          <w:lang w:val="en-US" w:eastAsia="zh-CN" w:bidi="ar"/>
        </w:rPr>
        <w:t>工程保修书具体内容见合同附件8。</w:t>
      </w:r>
    </w:p>
    <w:p w14:paraId="46643AA5">
      <w:pPr>
        <w:keepNext w:val="0"/>
        <w:keepLines w:val="0"/>
        <w:widowControl w:val="0"/>
        <w:suppressLineNumbers w:val="0"/>
        <w:spacing w:before="0" w:beforeAutospacing="0" w:after="0" w:afterAutospacing="0" w:line="360" w:lineRule="auto"/>
        <w:ind w:left="0" w:right="0" w:firstLine="409" w:firstLineChars="195"/>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15.3.2修复通知</w:t>
      </w:r>
    </w:p>
    <w:p w14:paraId="549C08A8">
      <w:pPr>
        <w:keepNext w:val="0"/>
        <w:keepLines w:val="0"/>
        <w:widowControl w:val="0"/>
        <w:suppressLineNumbers w:val="0"/>
        <w:spacing w:before="0" w:beforeAutospacing="0" w:after="0" w:afterAutospacing="0" w:line="360" w:lineRule="auto"/>
        <w:ind w:left="0" w:right="0" w:firstLine="409" w:firstLineChars="195"/>
        <w:jc w:val="left"/>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1"/>
          <w:szCs w:val="24"/>
          <w:highlight w:val="none"/>
          <w:lang w:val="en-US" w:eastAsia="zh-CN" w:bidi="ar"/>
        </w:rPr>
        <w:t>承包人收到保修通知并到达工程现场的合理时间：</w:t>
      </w:r>
      <w:r>
        <w:rPr>
          <w:rFonts w:hint="eastAsia" w:ascii="宋体" w:hAnsi="宋体" w:eastAsia="宋体" w:cs="宋体"/>
          <w:color w:val="auto"/>
          <w:kern w:val="0"/>
          <w:sz w:val="21"/>
          <w:szCs w:val="24"/>
          <w:highlight w:val="none"/>
          <w:u w:val="single"/>
          <w:lang w:val="en-US" w:eastAsia="zh-CN" w:bidi="ar"/>
        </w:rPr>
        <w:t>3天内</w:t>
      </w:r>
      <w:r>
        <w:rPr>
          <w:rFonts w:hint="eastAsia" w:ascii="宋体" w:hAnsi="宋体" w:eastAsia="宋体" w:cs="宋体"/>
          <w:color w:val="auto"/>
          <w:kern w:val="0"/>
          <w:sz w:val="21"/>
          <w:szCs w:val="24"/>
          <w:highlight w:val="none"/>
          <w:lang w:val="en-US" w:eastAsia="zh-CN" w:bidi="ar"/>
        </w:rPr>
        <w:t>。</w:t>
      </w:r>
    </w:p>
    <w:p w14:paraId="3088A755">
      <w:pPr>
        <w:pStyle w:val="4"/>
        <w:widowControl/>
        <w:ind w:left="0" w:firstLine="602"/>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16.</w:t>
      </w:r>
      <w:r>
        <w:rPr>
          <w:rFonts w:hint="eastAsia" w:ascii="宋体" w:hAnsi="宋体" w:eastAsia="宋体" w:cs="宋体"/>
          <w:color w:val="auto"/>
          <w:sz w:val="28"/>
          <w:szCs w:val="28"/>
          <w:highlight w:val="none"/>
          <w:lang w:eastAsia="zh-CN"/>
        </w:rPr>
        <w:t>违约</w:t>
      </w:r>
      <w:bookmarkEnd w:id="983"/>
      <w:bookmarkEnd w:id="984"/>
      <w:bookmarkEnd w:id="985"/>
      <w:bookmarkEnd w:id="986"/>
      <w:bookmarkEnd w:id="987"/>
      <w:bookmarkEnd w:id="988"/>
    </w:p>
    <w:p w14:paraId="745AEB73">
      <w:pPr>
        <w:pStyle w:val="5"/>
        <w:widowControl/>
        <w:ind w:left="0" w:firstLine="562"/>
        <w:rPr>
          <w:rFonts w:hint="eastAsia" w:ascii="宋体" w:hAnsi="宋体" w:eastAsia="宋体" w:cs="宋体"/>
          <w:color w:val="auto"/>
          <w:sz w:val="24"/>
          <w:szCs w:val="28"/>
          <w:highlight w:val="none"/>
          <w:lang w:val="en-US"/>
        </w:rPr>
      </w:pPr>
      <w:bookmarkStart w:id="991" w:name="_Toc389065332"/>
      <w:bookmarkStart w:id="992" w:name="_Toc373478414"/>
      <w:bookmarkStart w:id="993" w:name="_Toc373227767"/>
      <w:bookmarkStart w:id="994" w:name="_Toc487632767"/>
      <w:bookmarkStart w:id="995" w:name="_Toc407135270"/>
      <w:r>
        <w:rPr>
          <w:rFonts w:hint="eastAsia" w:ascii="宋体" w:hAnsi="宋体" w:eastAsia="宋体" w:cs="宋体"/>
          <w:color w:val="auto"/>
          <w:sz w:val="24"/>
          <w:szCs w:val="28"/>
          <w:highlight w:val="none"/>
          <w:lang w:val="en-US"/>
        </w:rPr>
        <w:t>16.1</w:t>
      </w:r>
      <w:r>
        <w:rPr>
          <w:rFonts w:hint="eastAsia" w:ascii="宋体" w:hAnsi="宋体" w:eastAsia="宋体" w:cs="宋体"/>
          <w:color w:val="auto"/>
          <w:sz w:val="24"/>
          <w:szCs w:val="28"/>
          <w:highlight w:val="none"/>
          <w:lang w:eastAsia="zh-CN"/>
        </w:rPr>
        <w:t>发包人违约</w:t>
      </w:r>
      <w:bookmarkEnd w:id="991"/>
      <w:bookmarkEnd w:id="992"/>
      <w:bookmarkEnd w:id="993"/>
      <w:bookmarkEnd w:id="994"/>
      <w:bookmarkEnd w:id="995"/>
    </w:p>
    <w:p w14:paraId="24EA3B5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16.1.1发包人违约的情形</w:t>
      </w:r>
    </w:p>
    <w:p w14:paraId="2C87D79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发包人违约的其他情形：</w:t>
      </w:r>
      <w:r>
        <w:rPr>
          <w:rFonts w:hint="eastAsia" w:ascii="宋体" w:hAnsi="宋体" w:eastAsia="宋体" w:cs="宋体"/>
          <w:color w:val="auto"/>
          <w:kern w:val="2"/>
          <w:sz w:val="21"/>
          <w:szCs w:val="24"/>
          <w:highlight w:val="none"/>
          <w:u w:val="single"/>
          <w:lang w:val="en-US" w:eastAsia="zh-CN" w:bidi="ar"/>
        </w:rPr>
        <w:t>按通用条款执行</w:t>
      </w:r>
      <w:r>
        <w:rPr>
          <w:rFonts w:hint="eastAsia" w:ascii="宋体" w:hAnsi="宋体" w:eastAsia="宋体" w:cs="宋体"/>
          <w:color w:val="auto"/>
          <w:kern w:val="0"/>
          <w:sz w:val="21"/>
          <w:szCs w:val="24"/>
          <w:highlight w:val="none"/>
          <w:lang w:val="en-US" w:eastAsia="zh-CN" w:bidi="ar"/>
        </w:rPr>
        <w:t>。</w:t>
      </w:r>
    </w:p>
    <w:p w14:paraId="688C1D00">
      <w:pPr>
        <w:keepNext w:val="0"/>
        <w:keepLines w:val="0"/>
        <w:widowControl w:val="0"/>
        <w:suppressLineNumbers w:val="0"/>
        <w:spacing w:before="0" w:beforeAutospacing="0" w:after="0" w:afterAutospacing="0" w:line="360" w:lineRule="auto"/>
        <w:ind w:left="0" w:right="0" w:firstLine="420" w:firstLineChars="200"/>
        <w:jc w:val="left"/>
        <w:outlineLvl w:val="0"/>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16.1.2发包人违约的责任</w:t>
      </w:r>
    </w:p>
    <w:p w14:paraId="676E363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发包人违约责任的承担方式和计算方法：</w:t>
      </w:r>
    </w:p>
    <w:p w14:paraId="460C2DF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1"/>
          <w:szCs w:val="24"/>
          <w:highlight w:val="none"/>
          <w:lang w:val="en-US" w:eastAsia="zh-CN" w:bidi="ar"/>
        </w:rPr>
        <w:t>（1）因发包人原因未能在计划开工日期前7天内下达开工通知的违约责任：。</w:t>
      </w:r>
    </w:p>
    <w:p w14:paraId="7A68A9F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（2）因发包人原因未能按合同约定支付合同价款的违约责任：。</w:t>
      </w:r>
    </w:p>
    <w:p w14:paraId="73F59C5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（3）发包人违反第10.1款〔变更的范围〕第（2）项约定，自行实施被取消的工作或转由他人实施的违约责任：。</w:t>
      </w:r>
    </w:p>
    <w:p w14:paraId="0795DD3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（4）发包人提供的材料、工程设备的规格、数量或质量不符合合同约定，或因发包人原因导致交货日期延误或交货地点变更等情况的违约责任：。</w:t>
      </w:r>
    </w:p>
    <w:p w14:paraId="0DDA3D6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1"/>
          <w:szCs w:val="24"/>
          <w:highlight w:val="none"/>
          <w:lang w:val="en-US" w:eastAsia="zh-CN" w:bidi="ar"/>
        </w:rPr>
        <w:t>（5）因发包人违反合同约定造成暂停施工的违约责任：。</w:t>
      </w:r>
    </w:p>
    <w:p w14:paraId="7108BFB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（6）发包人无正当理由没有在约定期限内发出复工指示，导致承包人无法复工的违约责任：。</w:t>
      </w:r>
    </w:p>
    <w:p w14:paraId="4F0C8A2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（7）其他：。</w:t>
      </w:r>
    </w:p>
    <w:p w14:paraId="56D1D50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16.1.3因发包人违约解除合同</w:t>
      </w:r>
    </w:p>
    <w:p w14:paraId="7A8DC61B">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承包人按16.1.1项〔发包人违约的情形〕约定暂停施工满天后发包人仍不纠正其违约行为并致使合同目的不能实现的，承包人有权解除合同。</w:t>
      </w:r>
    </w:p>
    <w:p w14:paraId="1BACF4B6">
      <w:pPr>
        <w:pStyle w:val="5"/>
        <w:widowControl/>
        <w:ind w:left="0" w:firstLine="562"/>
        <w:rPr>
          <w:rFonts w:hint="eastAsia" w:ascii="宋体" w:hAnsi="宋体" w:eastAsia="宋体" w:cs="宋体"/>
          <w:color w:val="auto"/>
          <w:sz w:val="24"/>
          <w:szCs w:val="28"/>
          <w:highlight w:val="none"/>
          <w:lang w:val="en-US"/>
        </w:rPr>
      </w:pPr>
      <w:bookmarkStart w:id="996" w:name="_Toc389065333"/>
      <w:bookmarkStart w:id="997" w:name="_Toc407135271"/>
      <w:bookmarkStart w:id="998" w:name="_Toc373478415"/>
      <w:bookmarkStart w:id="999" w:name="_Toc487632768"/>
      <w:bookmarkStart w:id="1000" w:name="_Toc373227768"/>
      <w:r>
        <w:rPr>
          <w:rFonts w:hint="eastAsia" w:ascii="宋体" w:hAnsi="宋体" w:eastAsia="宋体" w:cs="宋体"/>
          <w:color w:val="auto"/>
          <w:sz w:val="24"/>
          <w:szCs w:val="28"/>
          <w:highlight w:val="none"/>
          <w:lang w:val="en-US"/>
        </w:rPr>
        <w:t>16.2</w:t>
      </w:r>
      <w:r>
        <w:rPr>
          <w:rFonts w:hint="eastAsia" w:ascii="宋体" w:hAnsi="宋体" w:eastAsia="宋体" w:cs="宋体"/>
          <w:color w:val="auto"/>
          <w:sz w:val="24"/>
          <w:szCs w:val="28"/>
          <w:highlight w:val="none"/>
          <w:lang w:eastAsia="zh-CN"/>
        </w:rPr>
        <w:t>承包人违约</w:t>
      </w:r>
      <w:bookmarkEnd w:id="996"/>
      <w:bookmarkEnd w:id="997"/>
      <w:bookmarkEnd w:id="998"/>
      <w:bookmarkEnd w:id="999"/>
      <w:bookmarkEnd w:id="1000"/>
    </w:p>
    <w:p w14:paraId="7AE5927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16.2.1承包人违约的情形</w:t>
      </w:r>
    </w:p>
    <w:p w14:paraId="28FDD81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1"/>
          <w:szCs w:val="24"/>
          <w:highlight w:val="none"/>
          <w:lang w:val="en-US" w:eastAsia="zh-CN" w:bidi="ar"/>
        </w:rPr>
        <w:t>承包人违约的其他情形：</w:t>
      </w:r>
      <w:r>
        <w:rPr>
          <w:rFonts w:hint="eastAsia" w:ascii="宋体" w:hAnsi="宋体" w:eastAsia="宋体" w:cs="宋体"/>
          <w:color w:val="auto"/>
          <w:kern w:val="0"/>
          <w:sz w:val="21"/>
          <w:szCs w:val="24"/>
          <w:highlight w:val="none"/>
          <w:u w:val="single"/>
          <w:lang w:val="en-US" w:eastAsia="zh-CN" w:bidi="ar"/>
        </w:rPr>
        <w:t>非承包人原因发生的工程事故，承包人不积极采取措施，导致经济损失扩大</w:t>
      </w:r>
      <w:r>
        <w:rPr>
          <w:rFonts w:hint="eastAsia" w:ascii="宋体" w:hAnsi="宋体" w:eastAsia="宋体" w:cs="宋体"/>
          <w:color w:val="auto"/>
          <w:kern w:val="0"/>
          <w:sz w:val="21"/>
          <w:szCs w:val="24"/>
          <w:highlight w:val="none"/>
          <w:lang w:val="en-US" w:eastAsia="zh-CN" w:bidi="ar"/>
        </w:rPr>
        <w:t>。</w:t>
      </w:r>
    </w:p>
    <w:p w14:paraId="2668322D">
      <w:pPr>
        <w:keepNext w:val="0"/>
        <w:keepLines w:val="0"/>
        <w:widowControl w:val="0"/>
        <w:suppressLineNumbers w:val="0"/>
        <w:spacing w:before="0" w:beforeAutospacing="0" w:after="0" w:afterAutospacing="0" w:line="360" w:lineRule="auto"/>
        <w:ind w:left="0" w:right="0" w:firstLine="420" w:firstLineChars="200"/>
        <w:jc w:val="left"/>
        <w:outlineLvl w:val="0"/>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16.2.2承包人违约的责任</w:t>
      </w:r>
    </w:p>
    <w:p w14:paraId="5F0E8B8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承包人违约责任的承担方式和计算方法：</w:t>
      </w:r>
    </w:p>
    <w:p w14:paraId="1682FD8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EF6A29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（2）承包人有本合同通用条款第16.2.1（6）条情形的，或经监理人检验认为修复质量不合格而承包人拒绝再进行修补的，发包人将扣除承包人全部质量保修金。</w:t>
      </w:r>
    </w:p>
    <w:p w14:paraId="4701825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6991AA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16.2.3因承包人违约解除合同</w:t>
      </w:r>
    </w:p>
    <w:p w14:paraId="58C0B04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关于承包人违约解除合同的特别约定：</w:t>
      </w:r>
      <w:r>
        <w:rPr>
          <w:rFonts w:hint="eastAsia" w:ascii="宋体" w:hAnsi="宋体" w:eastAsia="宋体" w:cs="宋体"/>
          <w:color w:val="auto"/>
          <w:kern w:val="0"/>
          <w:sz w:val="21"/>
          <w:szCs w:val="24"/>
          <w:highlight w:val="none"/>
          <w:u w:val="single"/>
          <w:lang w:val="en-US" w:eastAsia="zh-CN" w:bidi="ar"/>
        </w:rPr>
        <w:t>承包人有违反以下情况之一的，发包人有权解除合同，并没收其全部履约保证金</w:t>
      </w:r>
      <w:r>
        <w:rPr>
          <w:rFonts w:hint="eastAsia" w:ascii="宋体" w:hAnsi="宋体" w:eastAsia="宋体" w:cs="宋体"/>
          <w:color w:val="auto"/>
          <w:kern w:val="0"/>
          <w:sz w:val="21"/>
          <w:szCs w:val="24"/>
          <w:highlight w:val="none"/>
          <w:lang w:val="en-US" w:eastAsia="zh-CN" w:bidi="ar"/>
        </w:rPr>
        <w:t>。</w:t>
      </w:r>
    </w:p>
    <w:p w14:paraId="19AA989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（1）承包人无正当理由不按开工通知的要求及时进场组织施工和不按签订协议书时商定的进度计划有效地开展施工准备，造成工期延误的；</w:t>
      </w:r>
    </w:p>
    <w:p w14:paraId="651D310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（2）承包人违反本合同通用条款第3.5条规定私自将合同或合同的任何部分或任何权利转让给其他人，或私自将工程或工程的一部分分包出去的；</w:t>
      </w:r>
    </w:p>
    <w:p w14:paraId="0B24CB5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（3）未经监理人批准，承包人私自将已按投标文件承诺进入工地的工程设备、施工设备、临时工程或材料撤离工地的；</w:t>
      </w:r>
    </w:p>
    <w:p w14:paraId="220306F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（4）由于承包人原因拒绝按合同进度计划及时完成合同规定的工程，而又未采取有效措施赶上进度，造成工期严重延误的；</w:t>
      </w:r>
    </w:p>
    <w:p w14:paraId="7697648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（5）承包人否认合同有效或拒绝履行合同规定的承包人义务，或由于法律、财务等原因导致承包人无法继续履行或实质上已停止履行合同的义务的；</w:t>
      </w:r>
    </w:p>
    <w:p w14:paraId="6366AD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（6）合同签订之日起十五日内，承包人无法按合同规定及投标文件的承诺进场经监理工程师认可的全部人员和机械的。</w:t>
      </w:r>
    </w:p>
    <w:p w14:paraId="393CA3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4"/>
          <w:highlight w:val="none"/>
          <w:u w:val="single"/>
          <w:lang w:val="en-US" w:eastAsia="zh-CN" w:bidi="ar"/>
        </w:rPr>
        <w:t>费用另行约定，由发包人承担</w:t>
      </w:r>
      <w:r>
        <w:rPr>
          <w:rFonts w:hint="eastAsia" w:ascii="宋体" w:hAnsi="宋体" w:eastAsia="宋体" w:cs="宋体"/>
          <w:color w:val="auto"/>
          <w:kern w:val="0"/>
          <w:sz w:val="21"/>
          <w:szCs w:val="24"/>
          <w:highlight w:val="none"/>
          <w:lang w:val="en-US" w:eastAsia="zh-CN" w:bidi="ar"/>
        </w:rPr>
        <w:t>。</w:t>
      </w:r>
    </w:p>
    <w:p w14:paraId="1E904BD1">
      <w:pPr>
        <w:pStyle w:val="4"/>
        <w:widowControl/>
        <w:ind w:left="0" w:firstLine="602"/>
        <w:rPr>
          <w:rFonts w:hint="eastAsia" w:ascii="宋体" w:hAnsi="宋体" w:eastAsia="宋体" w:cs="宋体"/>
          <w:color w:val="auto"/>
          <w:sz w:val="28"/>
          <w:szCs w:val="28"/>
          <w:highlight w:val="none"/>
          <w:lang w:val="en-US"/>
        </w:rPr>
      </w:pPr>
      <w:bookmarkStart w:id="1001" w:name="_Toc351203649"/>
      <w:bookmarkStart w:id="1002" w:name="_Toc487632769"/>
      <w:bookmarkStart w:id="1003" w:name="_Toc373478416"/>
      <w:bookmarkStart w:id="1004" w:name="_Toc407135272"/>
      <w:bookmarkStart w:id="1005" w:name="_Toc389065334"/>
      <w:bookmarkStart w:id="1006" w:name="_Toc373227769"/>
      <w:r>
        <w:rPr>
          <w:rFonts w:hint="eastAsia" w:ascii="宋体" w:hAnsi="宋体" w:eastAsia="宋体" w:cs="宋体"/>
          <w:color w:val="auto"/>
          <w:sz w:val="28"/>
          <w:szCs w:val="28"/>
          <w:highlight w:val="none"/>
          <w:lang w:val="en-US"/>
        </w:rPr>
        <w:t>17.</w:t>
      </w:r>
      <w:r>
        <w:rPr>
          <w:rFonts w:hint="eastAsia" w:ascii="宋体" w:hAnsi="宋体" w:eastAsia="宋体" w:cs="宋体"/>
          <w:color w:val="auto"/>
          <w:sz w:val="28"/>
          <w:szCs w:val="28"/>
          <w:highlight w:val="none"/>
          <w:lang w:eastAsia="zh-CN"/>
        </w:rPr>
        <w:t>不可抗力</w:t>
      </w:r>
      <w:bookmarkEnd w:id="989"/>
      <w:bookmarkEnd w:id="1001"/>
      <w:bookmarkEnd w:id="1002"/>
      <w:bookmarkEnd w:id="1003"/>
      <w:bookmarkEnd w:id="1004"/>
      <w:bookmarkEnd w:id="1005"/>
      <w:bookmarkEnd w:id="1006"/>
    </w:p>
    <w:p w14:paraId="3BD2611B">
      <w:pPr>
        <w:pStyle w:val="5"/>
        <w:widowControl/>
        <w:ind w:left="0" w:firstLine="562"/>
        <w:rPr>
          <w:rFonts w:hint="eastAsia" w:ascii="宋体" w:hAnsi="宋体" w:eastAsia="宋体" w:cs="宋体"/>
          <w:color w:val="auto"/>
          <w:sz w:val="24"/>
          <w:szCs w:val="28"/>
          <w:highlight w:val="none"/>
          <w:lang w:val="en-US"/>
        </w:rPr>
      </w:pPr>
      <w:bookmarkStart w:id="1007" w:name="_Toc373227770"/>
      <w:bookmarkStart w:id="1008" w:name="_Toc389065335"/>
      <w:bookmarkStart w:id="1009" w:name="_Toc407135273"/>
      <w:bookmarkStart w:id="1010" w:name="_Toc487632770"/>
      <w:bookmarkStart w:id="1011" w:name="_Toc373478417"/>
      <w:r>
        <w:rPr>
          <w:rFonts w:hint="eastAsia" w:ascii="宋体" w:hAnsi="宋体" w:eastAsia="宋体" w:cs="宋体"/>
          <w:color w:val="auto"/>
          <w:sz w:val="24"/>
          <w:szCs w:val="28"/>
          <w:highlight w:val="none"/>
          <w:lang w:val="en-US"/>
        </w:rPr>
        <w:t>17.1</w:t>
      </w:r>
      <w:r>
        <w:rPr>
          <w:rFonts w:hint="eastAsia" w:ascii="宋体" w:hAnsi="宋体" w:eastAsia="宋体" w:cs="宋体"/>
          <w:color w:val="auto"/>
          <w:sz w:val="24"/>
          <w:szCs w:val="28"/>
          <w:highlight w:val="none"/>
          <w:lang w:eastAsia="zh-CN"/>
        </w:rPr>
        <w:t>不可抗力的确认</w:t>
      </w:r>
      <w:bookmarkEnd w:id="1007"/>
      <w:bookmarkEnd w:id="1008"/>
      <w:bookmarkEnd w:id="1009"/>
      <w:bookmarkEnd w:id="1010"/>
      <w:bookmarkEnd w:id="1011"/>
    </w:p>
    <w:p w14:paraId="049AE08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u w:val="single"/>
          <w:lang w:val="en-US"/>
        </w:rPr>
      </w:pPr>
      <w:r>
        <w:rPr>
          <w:rFonts w:hint="eastAsia" w:ascii="宋体" w:hAnsi="宋体" w:eastAsia="宋体" w:cs="宋体"/>
          <w:color w:val="auto"/>
          <w:kern w:val="2"/>
          <w:sz w:val="21"/>
          <w:szCs w:val="24"/>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4"/>
          <w:highlight w:val="none"/>
          <w:u w:val="single"/>
          <w:lang w:val="en-US" w:eastAsia="zh-CN" w:bidi="ar"/>
        </w:rPr>
        <w:t>无</w:t>
      </w:r>
      <w:r>
        <w:rPr>
          <w:rFonts w:hint="eastAsia" w:ascii="宋体" w:hAnsi="宋体" w:eastAsia="宋体" w:cs="宋体"/>
          <w:color w:val="auto"/>
          <w:kern w:val="0"/>
          <w:sz w:val="21"/>
          <w:szCs w:val="24"/>
          <w:highlight w:val="none"/>
          <w:lang w:val="en-US" w:eastAsia="zh-CN" w:bidi="ar"/>
        </w:rPr>
        <w:t>。</w:t>
      </w:r>
    </w:p>
    <w:p w14:paraId="1C1235F9">
      <w:pPr>
        <w:pStyle w:val="5"/>
        <w:widowControl/>
        <w:ind w:left="0" w:firstLine="562"/>
        <w:rPr>
          <w:rFonts w:hint="eastAsia" w:ascii="宋体" w:hAnsi="宋体" w:eastAsia="宋体" w:cs="宋体"/>
          <w:color w:val="auto"/>
          <w:sz w:val="24"/>
          <w:szCs w:val="28"/>
          <w:highlight w:val="none"/>
          <w:lang w:val="en-US"/>
        </w:rPr>
      </w:pPr>
      <w:bookmarkStart w:id="1012" w:name="_Toc373227771"/>
      <w:bookmarkStart w:id="1013" w:name="_Toc373478418"/>
      <w:bookmarkStart w:id="1014" w:name="_Toc487632771"/>
      <w:bookmarkStart w:id="1015" w:name="_Toc389065336"/>
      <w:bookmarkStart w:id="1016" w:name="_Toc407135274"/>
      <w:r>
        <w:rPr>
          <w:rFonts w:hint="eastAsia" w:ascii="宋体" w:hAnsi="宋体" w:eastAsia="宋体" w:cs="宋体"/>
          <w:color w:val="auto"/>
          <w:sz w:val="24"/>
          <w:szCs w:val="28"/>
          <w:highlight w:val="none"/>
          <w:lang w:val="en-US"/>
        </w:rPr>
        <w:t>17.2</w:t>
      </w:r>
      <w:r>
        <w:rPr>
          <w:rFonts w:hint="eastAsia" w:ascii="宋体" w:hAnsi="宋体" w:eastAsia="宋体" w:cs="宋体"/>
          <w:color w:val="auto"/>
          <w:sz w:val="24"/>
          <w:szCs w:val="28"/>
          <w:highlight w:val="none"/>
          <w:lang w:eastAsia="zh-CN"/>
        </w:rPr>
        <w:t>因不可抗力解除合同</w:t>
      </w:r>
      <w:bookmarkEnd w:id="1012"/>
      <w:bookmarkEnd w:id="1013"/>
      <w:bookmarkEnd w:id="1014"/>
      <w:bookmarkEnd w:id="1015"/>
      <w:bookmarkEnd w:id="1016"/>
    </w:p>
    <w:p w14:paraId="3A08B75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合同解除后，发包人应在商定或确定发包人应支付款项后</w:t>
      </w:r>
      <w:r>
        <w:rPr>
          <w:rFonts w:hint="eastAsia" w:ascii="宋体" w:hAnsi="宋体" w:eastAsia="宋体" w:cs="宋体"/>
          <w:color w:val="auto"/>
          <w:kern w:val="2"/>
          <w:sz w:val="21"/>
          <w:szCs w:val="24"/>
          <w:highlight w:val="none"/>
          <w:u w:val="single"/>
          <w:lang w:val="en-US" w:eastAsia="zh-CN" w:bidi="ar"/>
        </w:rPr>
        <w:t>15</w:t>
      </w:r>
      <w:r>
        <w:rPr>
          <w:rFonts w:hint="eastAsia" w:ascii="宋体" w:hAnsi="宋体" w:eastAsia="宋体" w:cs="宋体"/>
          <w:color w:val="auto"/>
          <w:kern w:val="2"/>
          <w:sz w:val="21"/>
          <w:szCs w:val="24"/>
          <w:highlight w:val="none"/>
          <w:lang w:val="en-US" w:eastAsia="zh-CN" w:bidi="ar"/>
        </w:rPr>
        <w:t>天内完成款项的支付。</w:t>
      </w:r>
    </w:p>
    <w:p w14:paraId="25D493CF">
      <w:pPr>
        <w:pStyle w:val="4"/>
        <w:widowControl/>
        <w:ind w:left="0" w:firstLine="602"/>
        <w:rPr>
          <w:rFonts w:hint="eastAsia" w:ascii="宋体" w:hAnsi="宋体" w:eastAsia="宋体" w:cs="宋体"/>
          <w:color w:val="auto"/>
          <w:sz w:val="28"/>
          <w:szCs w:val="28"/>
          <w:highlight w:val="none"/>
          <w:lang w:val="en-US"/>
        </w:rPr>
      </w:pPr>
      <w:bookmarkStart w:id="1017" w:name="_Toc407135275"/>
      <w:bookmarkStart w:id="1018" w:name="_Toc373227772"/>
      <w:bookmarkStart w:id="1019" w:name="_Toc373478419"/>
      <w:bookmarkStart w:id="1020" w:name="_Toc389065337"/>
      <w:bookmarkStart w:id="1021" w:name="_Toc487632772"/>
      <w:bookmarkStart w:id="1022" w:name="_Toc351203650"/>
      <w:r>
        <w:rPr>
          <w:rFonts w:hint="eastAsia" w:ascii="宋体" w:hAnsi="宋体" w:eastAsia="宋体" w:cs="宋体"/>
          <w:color w:val="auto"/>
          <w:sz w:val="28"/>
          <w:szCs w:val="28"/>
          <w:highlight w:val="none"/>
          <w:lang w:val="en-US"/>
        </w:rPr>
        <w:t>18.</w:t>
      </w:r>
      <w:r>
        <w:rPr>
          <w:rFonts w:hint="eastAsia" w:ascii="宋体" w:hAnsi="宋体" w:eastAsia="宋体" w:cs="宋体"/>
          <w:color w:val="auto"/>
          <w:sz w:val="28"/>
          <w:szCs w:val="28"/>
          <w:highlight w:val="none"/>
          <w:lang w:eastAsia="zh-CN"/>
        </w:rPr>
        <w:t>保险</w:t>
      </w:r>
      <w:bookmarkEnd w:id="1017"/>
      <w:bookmarkEnd w:id="1018"/>
      <w:bookmarkEnd w:id="1019"/>
      <w:bookmarkEnd w:id="1020"/>
      <w:bookmarkEnd w:id="1021"/>
      <w:bookmarkEnd w:id="1022"/>
    </w:p>
    <w:bookmarkEnd w:id="990"/>
    <w:p w14:paraId="69587D3D">
      <w:pPr>
        <w:pStyle w:val="5"/>
        <w:widowControl/>
        <w:ind w:left="0" w:firstLine="562"/>
        <w:rPr>
          <w:rFonts w:hint="eastAsia" w:ascii="宋体" w:hAnsi="宋体" w:eastAsia="宋体" w:cs="宋体"/>
          <w:color w:val="auto"/>
          <w:sz w:val="24"/>
          <w:szCs w:val="28"/>
          <w:highlight w:val="none"/>
          <w:lang w:val="en-US"/>
        </w:rPr>
      </w:pPr>
      <w:bookmarkStart w:id="1023" w:name="_Toc373227773"/>
      <w:bookmarkStart w:id="1024" w:name="_Toc389065338"/>
      <w:bookmarkStart w:id="1025" w:name="_Toc487632773"/>
      <w:bookmarkStart w:id="1026" w:name="_Toc373478420"/>
      <w:bookmarkStart w:id="1027" w:name="_Toc407135276"/>
      <w:r>
        <w:rPr>
          <w:rFonts w:hint="eastAsia" w:ascii="宋体" w:hAnsi="宋体" w:eastAsia="宋体" w:cs="宋体"/>
          <w:color w:val="auto"/>
          <w:sz w:val="24"/>
          <w:szCs w:val="28"/>
          <w:highlight w:val="none"/>
          <w:lang w:val="en-US"/>
        </w:rPr>
        <w:t>18.1</w:t>
      </w:r>
      <w:r>
        <w:rPr>
          <w:rFonts w:hint="eastAsia" w:ascii="宋体" w:hAnsi="宋体" w:eastAsia="宋体" w:cs="宋体"/>
          <w:color w:val="auto"/>
          <w:sz w:val="24"/>
          <w:szCs w:val="28"/>
          <w:highlight w:val="none"/>
          <w:lang w:eastAsia="zh-CN"/>
        </w:rPr>
        <w:t>工程保险</w:t>
      </w:r>
      <w:bookmarkEnd w:id="1023"/>
      <w:bookmarkEnd w:id="1024"/>
      <w:bookmarkEnd w:id="1025"/>
      <w:bookmarkEnd w:id="1026"/>
      <w:bookmarkEnd w:id="1027"/>
    </w:p>
    <w:p w14:paraId="6652B3C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关于工程保险的特别约定：</w:t>
      </w:r>
      <w:r>
        <w:rPr>
          <w:rFonts w:hint="eastAsia" w:ascii="宋体" w:hAnsi="宋体" w:eastAsia="宋体" w:cs="宋体"/>
          <w:color w:val="auto"/>
          <w:kern w:val="0"/>
          <w:sz w:val="21"/>
          <w:szCs w:val="24"/>
          <w:highlight w:val="none"/>
          <w:u w:val="single"/>
          <w:lang w:val="en-US" w:eastAsia="zh-CN" w:bidi="ar"/>
        </w:rPr>
        <w:t>由承包人负责并承担费用</w:t>
      </w:r>
      <w:r>
        <w:rPr>
          <w:rFonts w:hint="eastAsia" w:ascii="宋体" w:hAnsi="宋体" w:eastAsia="宋体" w:cs="宋体"/>
          <w:color w:val="auto"/>
          <w:kern w:val="0"/>
          <w:sz w:val="21"/>
          <w:szCs w:val="24"/>
          <w:highlight w:val="none"/>
          <w:lang w:val="en-US" w:eastAsia="zh-CN" w:bidi="ar"/>
        </w:rPr>
        <w:t>。</w:t>
      </w:r>
    </w:p>
    <w:p w14:paraId="60FEED63">
      <w:pPr>
        <w:pStyle w:val="5"/>
        <w:widowControl/>
        <w:ind w:left="0" w:firstLine="562"/>
        <w:rPr>
          <w:rFonts w:hint="eastAsia" w:ascii="宋体" w:hAnsi="宋体" w:eastAsia="宋体" w:cs="宋体"/>
          <w:color w:val="auto"/>
          <w:sz w:val="24"/>
          <w:szCs w:val="28"/>
          <w:highlight w:val="none"/>
          <w:lang w:val="en-US"/>
        </w:rPr>
      </w:pPr>
      <w:bookmarkStart w:id="1028" w:name="_Toc407135277"/>
      <w:bookmarkStart w:id="1029" w:name="_Toc373227774"/>
      <w:bookmarkStart w:id="1030" w:name="_Toc487632774"/>
      <w:bookmarkStart w:id="1031" w:name="_Toc389065339"/>
      <w:bookmarkStart w:id="1032" w:name="_Toc373478421"/>
      <w:r>
        <w:rPr>
          <w:rFonts w:hint="eastAsia" w:ascii="宋体" w:hAnsi="宋体" w:eastAsia="宋体" w:cs="宋体"/>
          <w:color w:val="auto"/>
          <w:sz w:val="24"/>
          <w:szCs w:val="28"/>
          <w:highlight w:val="none"/>
          <w:lang w:val="en-US"/>
        </w:rPr>
        <w:t>18.2</w:t>
      </w:r>
      <w:r>
        <w:rPr>
          <w:rFonts w:hint="eastAsia" w:ascii="宋体" w:hAnsi="宋体" w:eastAsia="宋体" w:cs="宋体"/>
          <w:color w:val="auto"/>
          <w:sz w:val="24"/>
          <w:szCs w:val="28"/>
          <w:highlight w:val="none"/>
          <w:lang w:eastAsia="zh-CN"/>
        </w:rPr>
        <w:t>其他保险</w:t>
      </w:r>
      <w:bookmarkEnd w:id="1028"/>
      <w:bookmarkEnd w:id="1029"/>
      <w:bookmarkEnd w:id="1030"/>
      <w:bookmarkEnd w:id="1031"/>
      <w:bookmarkEnd w:id="1032"/>
    </w:p>
    <w:p w14:paraId="548EA99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2"/>
          <w:sz w:val="21"/>
          <w:szCs w:val="24"/>
          <w:highlight w:val="none"/>
          <w:lang w:val="en-US" w:eastAsia="zh-CN" w:bidi="ar"/>
        </w:rPr>
        <w:t>关于其他保险的约定：</w:t>
      </w:r>
      <w:r>
        <w:rPr>
          <w:rFonts w:hint="eastAsia" w:ascii="宋体" w:hAnsi="宋体" w:eastAsia="宋体" w:cs="宋体"/>
          <w:color w:val="auto"/>
          <w:kern w:val="2"/>
          <w:sz w:val="21"/>
          <w:szCs w:val="24"/>
          <w:highlight w:val="none"/>
          <w:u w:val="single"/>
          <w:lang w:val="en-US" w:eastAsia="zh-CN" w:bidi="ar"/>
        </w:rPr>
        <w:t>由承包人考虑并承担费用</w:t>
      </w:r>
      <w:r>
        <w:rPr>
          <w:rFonts w:hint="eastAsia" w:ascii="宋体" w:hAnsi="宋体" w:eastAsia="宋体" w:cs="宋体"/>
          <w:color w:val="auto"/>
          <w:kern w:val="2"/>
          <w:sz w:val="21"/>
          <w:szCs w:val="24"/>
          <w:highlight w:val="none"/>
          <w:lang w:val="en-US" w:eastAsia="zh-CN" w:bidi="ar"/>
        </w:rPr>
        <w:t>。</w:t>
      </w:r>
    </w:p>
    <w:p w14:paraId="697B9DB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承包人是否应为其施工设备等办理财产保险：。</w:t>
      </w:r>
    </w:p>
    <w:p w14:paraId="5A0C6C39">
      <w:pPr>
        <w:pStyle w:val="5"/>
        <w:widowControl/>
        <w:ind w:left="0" w:firstLine="562"/>
        <w:rPr>
          <w:rFonts w:hint="eastAsia" w:ascii="宋体" w:hAnsi="宋体" w:eastAsia="宋体" w:cs="宋体"/>
          <w:color w:val="auto"/>
          <w:sz w:val="24"/>
          <w:szCs w:val="28"/>
          <w:highlight w:val="none"/>
          <w:lang w:val="en-US"/>
        </w:rPr>
      </w:pPr>
      <w:bookmarkStart w:id="1033" w:name="_Toc389065340"/>
      <w:bookmarkStart w:id="1034" w:name="_Toc373227775"/>
      <w:bookmarkStart w:id="1035" w:name="_Toc487632775"/>
      <w:bookmarkStart w:id="1036" w:name="_Toc407135278"/>
      <w:bookmarkStart w:id="1037" w:name="_Toc373478422"/>
      <w:r>
        <w:rPr>
          <w:rFonts w:hint="eastAsia" w:ascii="宋体" w:hAnsi="宋体" w:eastAsia="宋体" w:cs="宋体"/>
          <w:color w:val="auto"/>
          <w:sz w:val="24"/>
          <w:szCs w:val="28"/>
          <w:highlight w:val="none"/>
          <w:lang w:val="en-US"/>
        </w:rPr>
        <w:t>18.3</w:t>
      </w:r>
      <w:r>
        <w:rPr>
          <w:rFonts w:hint="eastAsia" w:ascii="宋体" w:hAnsi="宋体" w:eastAsia="宋体" w:cs="宋体"/>
          <w:color w:val="auto"/>
          <w:sz w:val="24"/>
          <w:szCs w:val="28"/>
          <w:highlight w:val="none"/>
          <w:lang w:eastAsia="zh-CN"/>
        </w:rPr>
        <w:t>通知义务</w:t>
      </w:r>
      <w:bookmarkEnd w:id="1033"/>
      <w:bookmarkEnd w:id="1034"/>
      <w:bookmarkEnd w:id="1035"/>
      <w:bookmarkEnd w:id="1036"/>
      <w:bookmarkEnd w:id="1037"/>
    </w:p>
    <w:p w14:paraId="75C1F22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4"/>
          <w:highlight w:val="none"/>
          <w:lang w:val="en-US" w:eastAsia="zh-CN" w:bidi="ar"/>
        </w:rPr>
        <w:t>关于变更保险合同时的通知义务的约定：</w:t>
      </w:r>
      <w:r>
        <w:rPr>
          <w:rFonts w:hint="eastAsia" w:ascii="宋体" w:hAnsi="宋体" w:eastAsia="宋体" w:cs="宋体"/>
          <w:color w:val="auto"/>
          <w:kern w:val="2"/>
          <w:sz w:val="21"/>
          <w:szCs w:val="24"/>
          <w:highlight w:val="none"/>
          <w:lang w:val="en-US" w:eastAsia="zh-CN" w:bidi="ar"/>
        </w:rPr>
        <w:t>。</w:t>
      </w:r>
    </w:p>
    <w:bookmarkEnd w:id="946"/>
    <w:bookmarkEnd w:id="947"/>
    <w:bookmarkEnd w:id="948"/>
    <w:bookmarkEnd w:id="949"/>
    <w:bookmarkEnd w:id="950"/>
    <w:bookmarkEnd w:id="951"/>
    <w:bookmarkEnd w:id="952"/>
    <w:bookmarkEnd w:id="953"/>
    <w:bookmarkEnd w:id="954"/>
    <w:bookmarkEnd w:id="955"/>
    <w:bookmarkEnd w:id="956"/>
    <w:bookmarkEnd w:id="957"/>
    <w:p w14:paraId="5864C81B">
      <w:pPr>
        <w:pStyle w:val="4"/>
        <w:widowControl/>
        <w:ind w:left="0" w:firstLine="602"/>
        <w:rPr>
          <w:rFonts w:hint="eastAsia" w:ascii="宋体" w:hAnsi="宋体" w:eastAsia="宋体" w:cs="宋体"/>
          <w:color w:val="auto"/>
          <w:sz w:val="28"/>
          <w:szCs w:val="28"/>
          <w:highlight w:val="none"/>
          <w:lang w:val="en-US"/>
        </w:rPr>
      </w:pPr>
      <w:bookmarkStart w:id="1038" w:name="_Toc351203651"/>
      <w:bookmarkStart w:id="1039" w:name="_Toc487632776"/>
      <w:bookmarkStart w:id="1040" w:name="_Toc373478423"/>
      <w:bookmarkStart w:id="1041" w:name="_Toc373227776"/>
      <w:bookmarkStart w:id="1042" w:name="_Toc389065341"/>
      <w:bookmarkStart w:id="1043" w:name="_Toc407135279"/>
      <w:r>
        <w:rPr>
          <w:rFonts w:hint="eastAsia" w:ascii="宋体" w:hAnsi="宋体" w:eastAsia="宋体" w:cs="宋体"/>
          <w:color w:val="auto"/>
          <w:sz w:val="28"/>
          <w:szCs w:val="28"/>
          <w:highlight w:val="none"/>
          <w:lang w:val="en-US"/>
        </w:rPr>
        <w:t>20.</w:t>
      </w:r>
      <w:r>
        <w:rPr>
          <w:rFonts w:hint="eastAsia" w:ascii="宋体" w:hAnsi="宋体" w:eastAsia="宋体" w:cs="宋体"/>
          <w:color w:val="auto"/>
          <w:sz w:val="28"/>
          <w:szCs w:val="28"/>
          <w:highlight w:val="none"/>
          <w:lang w:eastAsia="zh-CN"/>
        </w:rPr>
        <w:t>争议解决</w:t>
      </w:r>
      <w:bookmarkEnd w:id="1038"/>
      <w:bookmarkEnd w:id="1039"/>
      <w:bookmarkEnd w:id="1040"/>
      <w:bookmarkEnd w:id="1041"/>
      <w:bookmarkEnd w:id="1042"/>
      <w:bookmarkEnd w:id="1043"/>
    </w:p>
    <w:bookmarkEnd w:id="958"/>
    <w:bookmarkEnd w:id="959"/>
    <w:p w14:paraId="297E3574">
      <w:pPr>
        <w:pStyle w:val="5"/>
        <w:widowControl/>
        <w:ind w:left="0" w:firstLine="562"/>
        <w:rPr>
          <w:rFonts w:hint="eastAsia" w:ascii="宋体" w:hAnsi="宋体" w:eastAsia="宋体" w:cs="宋体"/>
          <w:color w:val="auto"/>
          <w:sz w:val="24"/>
          <w:szCs w:val="28"/>
          <w:highlight w:val="none"/>
          <w:lang w:val="en-US"/>
        </w:rPr>
      </w:pPr>
      <w:bookmarkStart w:id="1044" w:name="_Toc487632777"/>
      <w:bookmarkStart w:id="1045" w:name="_Toc389065342"/>
      <w:bookmarkStart w:id="1046" w:name="_Toc407135280"/>
      <w:bookmarkStart w:id="1047" w:name="_Toc373478424"/>
      <w:bookmarkStart w:id="1048" w:name="_Toc373227777"/>
      <w:r>
        <w:rPr>
          <w:rFonts w:hint="eastAsia" w:ascii="宋体" w:hAnsi="宋体" w:eastAsia="宋体" w:cs="宋体"/>
          <w:color w:val="auto"/>
          <w:sz w:val="24"/>
          <w:szCs w:val="28"/>
          <w:highlight w:val="none"/>
          <w:lang w:val="en-US"/>
        </w:rPr>
        <w:t>20.1</w:t>
      </w:r>
      <w:r>
        <w:rPr>
          <w:rFonts w:hint="eastAsia" w:ascii="宋体" w:hAnsi="宋体" w:eastAsia="宋体" w:cs="宋体"/>
          <w:color w:val="auto"/>
          <w:sz w:val="24"/>
          <w:szCs w:val="28"/>
          <w:highlight w:val="none"/>
          <w:lang w:eastAsia="zh-CN"/>
        </w:rPr>
        <w:t>争</w:t>
      </w:r>
      <w:bookmarkEnd w:id="960"/>
      <w:r>
        <w:rPr>
          <w:rFonts w:hint="eastAsia" w:ascii="宋体" w:hAnsi="宋体" w:eastAsia="宋体" w:cs="宋体"/>
          <w:color w:val="auto"/>
          <w:sz w:val="24"/>
          <w:szCs w:val="28"/>
          <w:highlight w:val="none"/>
          <w:lang w:eastAsia="zh-CN"/>
        </w:rPr>
        <w:t>议评审</w:t>
      </w:r>
      <w:bookmarkEnd w:id="1044"/>
      <w:bookmarkEnd w:id="1045"/>
      <w:bookmarkEnd w:id="1046"/>
      <w:bookmarkEnd w:id="1047"/>
      <w:bookmarkEnd w:id="1048"/>
    </w:p>
    <w:p w14:paraId="4D98AF80">
      <w:pPr>
        <w:keepNext w:val="0"/>
        <w:keepLines w:val="0"/>
        <w:widowControl w:val="0"/>
        <w:suppressLineNumbers w:val="0"/>
        <w:spacing w:before="0" w:beforeAutospacing="0" w:after="0" w:afterAutospacing="0" w:line="360" w:lineRule="auto"/>
        <w:ind w:left="149" w:leftChars="71" w:right="0" w:firstLine="315" w:firstLineChars="15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合同当事人是否同意将工程争议提交争议评审小组决定：。</w:t>
      </w:r>
    </w:p>
    <w:p w14:paraId="5CDA94DC">
      <w:pPr>
        <w:keepNext w:val="0"/>
        <w:keepLines w:val="0"/>
        <w:widowControl w:val="0"/>
        <w:suppressLineNumbers w:val="0"/>
        <w:spacing w:before="0" w:beforeAutospacing="0" w:after="0" w:afterAutospacing="0" w:line="360" w:lineRule="auto"/>
        <w:ind w:left="0" w:right="0" w:firstLine="420" w:firstLineChars="200"/>
        <w:jc w:val="left"/>
        <w:outlineLvl w:val="0"/>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20.1.1争议评审小组的确定</w:t>
      </w:r>
    </w:p>
    <w:p w14:paraId="1A23EC5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2"/>
          <w:sz w:val="21"/>
          <w:szCs w:val="24"/>
          <w:highlight w:val="none"/>
          <w:lang w:val="en-US" w:eastAsia="zh-CN" w:bidi="ar"/>
        </w:rPr>
        <w:t>争议评审小组成员的确定：。</w:t>
      </w:r>
    </w:p>
    <w:p w14:paraId="5E17C32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选定争议评审员的期限：。</w:t>
      </w:r>
    </w:p>
    <w:p w14:paraId="78C50F9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争议评审小组成员的报酬承担方式：。</w:t>
      </w:r>
    </w:p>
    <w:p w14:paraId="2E0AFEE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其他事项的约定：。</w:t>
      </w:r>
    </w:p>
    <w:p w14:paraId="6549FB8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4"/>
          <w:highlight w:val="none"/>
          <w:lang w:val="en-US" w:eastAsia="zh-CN" w:bidi="ar"/>
        </w:rPr>
        <w:t>20.1.2争议评审小组的决定</w:t>
      </w:r>
    </w:p>
    <w:p w14:paraId="3A56D0E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合同当事人关于本项的约定：。</w:t>
      </w:r>
    </w:p>
    <w:p w14:paraId="161BA7F0">
      <w:pPr>
        <w:pStyle w:val="5"/>
        <w:widowControl/>
        <w:ind w:left="0" w:firstLine="562"/>
        <w:rPr>
          <w:rFonts w:hint="eastAsia" w:ascii="宋体" w:hAnsi="宋体" w:eastAsia="宋体" w:cs="宋体"/>
          <w:color w:val="auto"/>
          <w:highlight w:val="none"/>
          <w:lang w:val="en-US"/>
        </w:rPr>
      </w:pPr>
      <w:bookmarkStart w:id="1049" w:name="_Toc487632778"/>
      <w:bookmarkStart w:id="1050" w:name="_Toc407135281"/>
      <w:bookmarkStart w:id="1051" w:name="_Toc373478425"/>
      <w:bookmarkStart w:id="1052" w:name="_Toc389065343"/>
      <w:bookmarkStart w:id="1053" w:name="_Toc373227778"/>
      <w:r>
        <w:rPr>
          <w:rFonts w:hint="eastAsia" w:ascii="宋体" w:hAnsi="宋体" w:eastAsia="宋体" w:cs="宋体"/>
          <w:color w:val="auto"/>
          <w:highlight w:val="none"/>
          <w:lang w:val="en-US"/>
        </w:rPr>
        <w:t>20.2</w:t>
      </w:r>
      <w:r>
        <w:rPr>
          <w:rFonts w:hint="eastAsia" w:ascii="宋体" w:hAnsi="宋体" w:eastAsia="宋体" w:cs="宋体"/>
          <w:color w:val="auto"/>
          <w:highlight w:val="none"/>
          <w:lang w:eastAsia="zh-CN"/>
        </w:rPr>
        <w:t>仲裁或诉讼</w:t>
      </w:r>
      <w:bookmarkEnd w:id="961"/>
      <w:bookmarkEnd w:id="1049"/>
      <w:bookmarkEnd w:id="1050"/>
      <w:bookmarkEnd w:id="1051"/>
      <w:bookmarkEnd w:id="1052"/>
      <w:bookmarkEnd w:id="1053"/>
    </w:p>
    <w:p w14:paraId="0B39D54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因合同及合同有关事项发生的争议，按下列第</w:t>
      </w:r>
      <w:r>
        <w:rPr>
          <w:rFonts w:hint="eastAsia" w:ascii="宋体" w:hAnsi="宋体" w:eastAsia="宋体" w:cs="宋体"/>
          <w:color w:val="auto"/>
          <w:kern w:val="2"/>
          <w:sz w:val="21"/>
          <w:szCs w:val="24"/>
          <w:highlight w:val="none"/>
          <w:u w:val="single"/>
          <w:lang w:val="en-US" w:eastAsia="zh-CN" w:bidi="ar"/>
        </w:rPr>
        <w:t>2</w:t>
      </w:r>
      <w:r>
        <w:rPr>
          <w:rFonts w:hint="eastAsia" w:ascii="宋体" w:hAnsi="宋体" w:eastAsia="宋体" w:cs="宋体"/>
          <w:color w:val="auto"/>
          <w:kern w:val="2"/>
          <w:sz w:val="21"/>
          <w:szCs w:val="24"/>
          <w:highlight w:val="none"/>
          <w:lang w:val="en-US" w:eastAsia="zh-CN" w:bidi="ar"/>
        </w:rPr>
        <w:t>种方式解决：</w:t>
      </w:r>
    </w:p>
    <w:p w14:paraId="17B0E2D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（1）提请</w:t>
      </w:r>
      <w:r>
        <w:rPr>
          <w:rFonts w:hint="eastAsia" w:ascii="宋体" w:hAnsi="宋体" w:eastAsia="宋体" w:cs="宋体"/>
          <w:color w:val="auto"/>
          <w:kern w:val="2"/>
          <w:sz w:val="21"/>
          <w:szCs w:val="24"/>
          <w:highlight w:val="none"/>
          <w:u w:val="single"/>
          <w:lang w:val="en-US" w:eastAsia="zh-CN" w:bidi="ar"/>
        </w:rPr>
        <w:t>梧州市</w:t>
      </w:r>
      <w:r>
        <w:rPr>
          <w:rFonts w:hint="eastAsia" w:ascii="宋体" w:hAnsi="宋体" w:eastAsia="宋体" w:cs="宋体"/>
          <w:color w:val="auto"/>
          <w:kern w:val="2"/>
          <w:sz w:val="21"/>
          <w:szCs w:val="24"/>
          <w:highlight w:val="none"/>
          <w:lang w:val="en-US" w:eastAsia="zh-CN" w:bidi="ar"/>
        </w:rPr>
        <w:t>仲裁委员会按照该会仲裁规则进行仲裁，仲裁裁决是终局的，对合同双方均有约束力。</w:t>
      </w:r>
    </w:p>
    <w:p w14:paraId="59847E1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（2）向</w:t>
      </w:r>
      <w:r>
        <w:rPr>
          <w:rFonts w:hint="eastAsia" w:ascii="宋体" w:hAnsi="宋体" w:eastAsia="宋体" w:cs="宋体"/>
          <w:color w:val="auto"/>
          <w:kern w:val="2"/>
          <w:sz w:val="21"/>
          <w:szCs w:val="24"/>
          <w:highlight w:val="none"/>
          <w:u w:val="single"/>
          <w:lang w:val="en-US" w:eastAsia="zh-CN" w:bidi="ar"/>
        </w:rPr>
        <w:t>工程所在地</w:t>
      </w:r>
      <w:r>
        <w:rPr>
          <w:rFonts w:hint="eastAsia" w:ascii="宋体" w:hAnsi="宋体" w:eastAsia="宋体" w:cs="宋体"/>
          <w:color w:val="auto"/>
          <w:kern w:val="2"/>
          <w:sz w:val="21"/>
          <w:szCs w:val="24"/>
          <w:highlight w:val="none"/>
          <w:lang w:val="en-US" w:eastAsia="zh-CN" w:bidi="ar"/>
        </w:rPr>
        <w:t>人民法院起诉。</w:t>
      </w:r>
      <w:bookmarkEnd w:id="962"/>
      <w:bookmarkEnd w:id="963"/>
      <w:bookmarkEnd w:id="964"/>
      <w:bookmarkEnd w:id="965"/>
      <w:bookmarkEnd w:id="966"/>
      <w:bookmarkEnd w:id="967"/>
    </w:p>
    <w:p w14:paraId="7E95B271">
      <w:pPr>
        <w:pStyle w:val="4"/>
        <w:widowControl/>
        <w:ind w:firstLine="602"/>
        <w:rPr>
          <w:rFonts w:ascii="宋体" w:hAnsi="宋体" w:eastAsia="宋体" w:cs="宋体"/>
          <w:color w:val="auto"/>
          <w:highlight w:val="none"/>
        </w:rPr>
      </w:pPr>
      <w:r>
        <w:rPr>
          <w:rFonts w:hint="eastAsia" w:ascii="宋体" w:hAnsi="宋体" w:eastAsia="宋体" w:cs="宋体"/>
          <w:color w:val="auto"/>
          <w:highlight w:val="none"/>
        </w:rPr>
        <w:t>21.补充条款</w:t>
      </w:r>
    </w:p>
    <w:p w14:paraId="3B9D9ED0">
      <w:pPr>
        <w:widowControl/>
        <w:jc w:val="left"/>
        <w:rPr>
          <w:rFonts w:hint="eastAsia" w:ascii="楷体" w:hAnsi="楷体" w:eastAsia="楷体"/>
          <w:color w:val="auto"/>
          <w:sz w:val="32"/>
          <w:szCs w:val="32"/>
          <w:highlight w:val="none"/>
        </w:rPr>
      </w:pPr>
      <w:r>
        <w:rPr>
          <w:rFonts w:hint="eastAsia" w:ascii="宋体" w:hAnsi="宋体" w:cs="宋体"/>
          <w:color w:val="auto"/>
          <w:highlight w:val="none"/>
          <w:lang w:bidi="ar"/>
        </w:rPr>
        <w:t>21.1凡进入本工程工作的妇女应持有计生证、否则不准安排工作，禁止使用童工。</w:t>
      </w:r>
    </w:p>
    <w:p w14:paraId="2A5DCA5E">
      <w:pPr>
        <w:pStyle w:val="5"/>
        <w:widowControl/>
        <w:ind w:left="0" w:firstLine="562"/>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（四）履约验收方案</w:t>
      </w:r>
    </w:p>
    <w:p w14:paraId="1B88D835">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（1）履约验收主体</w:t>
      </w:r>
    </w:p>
    <w:p w14:paraId="592D69E3">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eq \o\ac(</w:instrText>
      </w:r>
      <w:r>
        <w:rPr>
          <w:rFonts w:hint="eastAsia" w:ascii="宋体" w:hAnsi="宋体" w:eastAsia="宋体" w:cs="宋体"/>
          <w:color w:val="auto"/>
          <w:kern w:val="0"/>
          <w:position w:val="-4"/>
          <w:sz w:val="31"/>
          <w:szCs w:val="21"/>
          <w:highlight w:val="none"/>
          <w:u w:val="single"/>
        </w:rPr>
        <w:instrText xml:space="preserve">□</w:instrText>
      </w:r>
      <w:r>
        <w:rPr>
          <w:rFonts w:hint="eastAsia" w:ascii="宋体" w:hAnsi="宋体" w:eastAsia="宋体" w:cs="宋体"/>
          <w:color w:val="auto"/>
          <w:kern w:val="0"/>
          <w:position w:val="0"/>
          <w:sz w:val="21"/>
          <w:szCs w:val="21"/>
          <w:highlight w:val="none"/>
          <w:u w:val="single"/>
        </w:rPr>
        <w:instrText xml:space="preserve">,√)</w:instrText>
      </w:r>
      <w:r>
        <w:rPr>
          <w:rFonts w:hint="eastAsia" w:ascii="宋体" w:hAnsi="宋体" w:eastAsia="宋体" w:cs="宋体"/>
          <w:color w:val="auto"/>
          <w:kern w:val="0"/>
          <w:sz w:val="21"/>
          <w:szCs w:val="21"/>
          <w:highlight w:val="none"/>
          <w:u w:val="single"/>
        </w:rPr>
        <w:fldChar w:fldCharType="end"/>
      </w:r>
      <w:r>
        <w:rPr>
          <w:rFonts w:hint="eastAsia" w:ascii="宋体" w:hAnsi="宋体" w:eastAsia="宋体" w:cs="宋体"/>
          <w:color w:val="auto"/>
          <w:kern w:val="0"/>
          <w:sz w:val="21"/>
          <w:szCs w:val="21"/>
          <w:highlight w:val="none"/>
          <w:u w:val="single"/>
        </w:rPr>
        <w:t>采购人：梧州职业学院</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梧州市职业教育中心</w:t>
      </w:r>
      <w:r>
        <w:rPr>
          <w:rFonts w:hint="eastAsia" w:ascii="宋体" w:hAnsi="宋体" w:eastAsia="宋体" w:cs="宋体"/>
          <w:color w:val="auto"/>
          <w:kern w:val="0"/>
          <w:sz w:val="21"/>
          <w:szCs w:val="21"/>
          <w:highlight w:val="none"/>
          <w:u w:val="single"/>
          <w:lang w:eastAsia="zh-CN"/>
        </w:rPr>
        <w:t>）</w:t>
      </w:r>
    </w:p>
    <w:p w14:paraId="6BF1ED2C">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□采购代理机构：</w:t>
      </w:r>
    </w:p>
    <w:p w14:paraId="7368549E">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□本项目的其他供应商：</w:t>
      </w:r>
    </w:p>
    <w:p w14:paraId="40A110E8">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□第三方专业机构：</w:t>
      </w:r>
    </w:p>
    <w:p w14:paraId="55A1DB5C">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□专家：</w:t>
      </w:r>
    </w:p>
    <w:p w14:paraId="66C67E1E">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□服务对象：</w:t>
      </w:r>
    </w:p>
    <w:p w14:paraId="6F823904">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□其他：</w:t>
      </w:r>
    </w:p>
    <w:p w14:paraId="21663D0E">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（2）履约验收时间</w:t>
      </w:r>
    </w:p>
    <w:p w14:paraId="63C4BB0A">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项目完成后7个工作日内</w:t>
      </w:r>
    </w:p>
    <w:p w14:paraId="4297FC41">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（3）履约验收方式</w:t>
      </w:r>
    </w:p>
    <w:p w14:paraId="4F8CE82B">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自行组织验收</w:t>
      </w:r>
    </w:p>
    <w:p w14:paraId="0F2E96F8">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（4）履约验收程序</w:t>
      </w:r>
    </w:p>
    <w:p w14:paraId="2FA66B6B">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1.施工单位履约完成后向项目建设部门提出书面验收申请</w:t>
      </w:r>
    </w:p>
    <w:p w14:paraId="2E41BAF9">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2.项目建设部门组织预验收，主要确认施工内容是否完成、质量是否合格、建筑垃圾是否清理、卫生是否打扫干净。</w:t>
      </w:r>
    </w:p>
    <w:p w14:paraId="7A039BDF">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3.项目建设部门预验收合格后出具“工程建设项目验收申请书”向</w:t>
      </w:r>
      <w:r>
        <w:rPr>
          <w:rFonts w:hint="eastAsia" w:ascii="宋体" w:hAnsi="宋体" w:eastAsia="宋体" w:cs="宋体"/>
          <w:color w:val="auto"/>
          <w:kern w:val="0"/>
          <w:sz w:val="21"/>
          <w:szCs w:val="21"/>
          <w:highlight w:val="none"/>
          <w:u w:val="single"/>
          <w:lang w:val="en-US" w:eastAsia="zh-CN"/>
        </w:rPr>
        <w:t>国资</w:t>
      </w:r>
      <w:r>
        <w:rPr>
          <w:rFonts w:hint="eastAsia" w:ascii="宋体" w:hAnsi="宋体" w:eastAsia="宋体" w:cs="宋体"/>
          <w:color w:val="auto"/>
          <w:kern w:val="0"/>
          <w:sz w:val="21"/>
          <w:szCs w:val="21"/>
          <w:highlight w:val="none"/>
          <w:u w:val="single"/>
        </w:rPr>
        <w:t>处提请校级验收</w:t>
      </w:r>
    </w:p>
    <w:p w14:paraId="7C93E01D">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4.</w:t>
      </w:r>
      <w:r>
        <w:rPr>
          <w:rFonts w:hint="eastAsia" w:ascii="宋体" w:hAnsi="宋体" w:eastAsia="宋体" w:cs="宋体"/>
          <w:color w:val="auto"/>
          <w:kern w:val="0"/>
          <w:sz w:val="21"/>
          <w:szCs w:val="21"/>
          <w:highlight w:val="none"/>
          <w:u w:val="single"/>
          <w:lang w:val="en-US" w:eastAsia="zh-CN"/>
        </w:rPr>
        <w:t>国资</w:t>
      </w:r>
      <w:r>
        <w:rPr>
          <w:rFonts w:hint="eastAsia" w:ascii="宋体" w:hAnsi="宋体" w:eastAsia="宋体" w:cs="宋体"/>
          <w:color w:val="auto"/>
          <w:kern w:val="0"/>
          <w:sz w:val="21"/>
          <w:szCs w:val="21"/>
          <w:highlight w:val="none"/>
          <w:u w:val="single"/>
        </w:rPr>
        <w:t>处通知最终验收小组成员按时参加验收</w:t>
      </w:r>
    </w:p>
    <w:p w14:paraId="6FB6306B">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5.项目建设部门通知施工单位、设计单位、监理单位按时参加验收</w:t>
      </w:r>
    </w:p>
    <w:p w14:paraId="36B54F6C">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6.最终验收小组检查文件资料:</w:t>
      </w:r>
    </w:p>
    <w:p w14:paraId="7EFE2753">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建设单位资料包括但不限于施工图纸、招标文件、中标通知书、</w:t>
      </w:r>
    </w:p>
    <w:p w14:paraId="2EB721AC">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施工合同;施工单位资料包括但不限于开工令、投标文件、施工日志、主要施工材料的产品合格证书、隐蔽工程验收记录、工程联系函、变更签证单;监理单位资料包括但不限于监理日志、监理整改通知单;</w:t>
      </w:r>
    </w:p>
    <w:p w14:paraId="1F6AAFB5">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设计单位资料包括设计施工图、设计变更通知单(如有)。</w:t>
      </w:r>
    </w:p>
    <w:p w14:paraId="150AE443">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7.最终验收小组会同设计单位和监理单位进行分部工程验收、质量控制资料检查、对安全和主要使用功能进行核查抽查以及进行观感质量验收</w:t>
      </w:r>
    </w:p>
    <w:p w14:paraId="483B327B">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8.最终验收小组针对工程质量是否合格作出竣工验收结论，并由验收小组成员签字。</w:t>
      </w:r>
    </w:p>
    <w:p w14:paraId="7F28C46F">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（5）履约验收内容</w:t>
      </w:r>
    </w:p>
    <w:p w14:paraId="7B7A1EB3">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每一个分部分项工程按</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"http://wenku.baidu.com/view/8fcb56d7294ac850ad02de80d4d8d15abe2300d3.html?fr=income1-wk_app_search_ctr-search" \t "https://wenku.baidu.com/_blank"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u w:val="single"/>
        </w:rPr>
        <w:t>《建筑装饰工程施工及验收规范》</w:t>
      </w:r>
      <w:r>
        <w:rPr>
          <w:rFonts w:hint="eastAsia" w:ascii="宋体" w:hAnsi="宋体" w:eastAsia="宋体" w:cs="宋体"/>
          <w:color w:val="auto"/>
          <w:kern w:val="0"/>
          <w:sz w:val="21"/>
          <w:szCs w:val="21"/>
          <w:highlight w:val="none"/>
          <w:u w:val="single"/>
        </w:rPr>
        <w:fldChar w:fldCharType="end"/>
      </w:r>
      <w:r>
        <w:rPr>
          <w:rFonts w:hint="eastAsia" w:ascii="宋体" w:hAnsi="宋体" w:eastAsia="宋体" w:cs="宋体"/>
          <w:color w:val="auto"/>
          <w:kern w:val="0"/>
          <w:sz w:val="21"/>
          <w:szCs w:val="21"/>
          <w:highlight w:val="none"/>
          <w:u w:val="single"/>
        </w:rPr>
        <w:t>进行验收。</w:t>
      </w:r>
    </w:p>
    <w:p w14:paraId="6D30DA0D">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（6）履约验收验收标准</w:t>
      </w:r>
    </w:p>
    <w:p w14:paraId="7C3F1AF3">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"http://wenku.baidu.com/view/8fcb56d7294ac850ad02de80d4d8d15abe2300d3.html?fr=income1-wk_app_search_ctr-search" \t "https://wenku.baidu.com/_blank"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u w:val="single"/>
        </w:rPr>
        <w:t>《建筑装饰工程施工及验收规范》</w:t>
      </w:r>
      <w:r>
        <w:rPr>
          <w:rFonts w:hint="eastAsia" w:ascii="宋体" w:hAnsi="宋体" w:eastAsia="宋体" w:cs="宋体"/>
          <w:color w:val="auto"/>
          <w:kern w:val="0"/>
          <w:sz w:val="21"/>
          <w:szCs w:val="21"/>
          <w:highlight w:val="none"/>
          <w:u w:val="single"/>
        </w:rPr>
        <w:fldChar w:fldCharType="end"/>
      </w:r>
    </w:p>
    <w:p w14:paraId="45E7D762">
      <w:pPr>
        <w:spacing w:line="5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（7）履约验收其他事项</w:t>
      </w:r>
    </w:p>
    <w:p w14:paraId="27C39AF4">
      <w:pPr>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无</w:t>
      </w:r>
    </w:p>
    <w:p w14:paraId="7E2A4901">
      <w:pPr>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（五）风险管控措施</w:t>
      </w:r>
    </w:p>
    <w:p w14:paraId="6B9BC1F2">
      <w:pPr>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1.包1</w:t>
      </w:r>
    </w:p>
    <w:p w14:paraId="44F087F7">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（1）国家政策变化应对措施：按国家政策要求进行采购</w:t>
      </w:r>
    </w:p>
    <w:p w14:paraId="5F3EF45B">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（2）实施环境变化应对措施：按规定履行报批程序</w:t>
      </w:r>
    </w:p>
    <w:p w14:paraId="3E12EA4B">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（3）重大技术变化应对措施：按规定履行报批程序</w:t>
      </w:r>
    </w:p>
    <w:p w14:paraId="75842A33">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（4）预算项目调整应对措施：按规定履行报批程序</w:t>
      </w:r>
    </w:p>
    <w:p w14:paraId="7B0FEDB0">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（5）因质疑投诉影响采购进度应对措施：上报财政局，如情况属实则申请重新采购，不属实则按程序继续进行。</w:t>
      </w:r>
    </w:p>
    <w:p w14:paraId="4C634795">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（6）采购失败应对措施：重新采购</w:t>
      </w:r>
    </w:p>
    <w:p w14:paraId="1B2117B5">
      <w:pPr>
        <w:spacing w:line="560" w:lineRule="exact"/>
        <w:ind w:firstLine="420" w:firstLineChars="200"/>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（7）不按规定签订或者履行合同应对措施：上报财政局，并申请重新采购。</w:t>
      </w:r>
    </w:p>
    <w:p w14:paraId="44A30D94">
      <w:pPr>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（8）出现损害国家利益和社会公共利益情形应对措施：立即暂停采购，并上报上级部门。</w:t>
      </w:r>
      <w:bookmarkEnd w:id="96"/>
    </w:p>
    <w:p w14:paraId="6B96ED77">
      <w:pPr>
        <w:pStyle w:val="13"/>
        <w:rPr>
          <w:rFonts w:ascii="宋体" w:hAnsi="宋体" w:cs="宋体"/>
          <w:color w:val="auto"/>
          <w:highlight w:val="none"/>
        </w:rPr>
      </w:pPr>
    </w:p>
    <w:p w14:paraId="32A72925">
      <w:pPr>
        <w:pStyle w:val="95"/>
        <w:ind w:firstLine="883"/>
        <w:rPr>
          <w:rFonts w:ascii="宋体" w:hAnsi="宋体" w:cs="宋体"/>
          <w:b/>
          <w:color w:val="auto"/>
          <w:sz w:val="44"/>
          <w:szCs w:val="44"/>
          <w:highlight w:val="none"/>
        </w:rPr>
      </w:pPr>
    </w:p>
    <w:p w14:paraId="52ED04B1">
      <w:pPr>
        <w:tabs>
          <w:tab w:val="left" w:pos="3261"/>
        </w:tabs>
        <w:spacing w:line="360" w:lineRule="auto"/>
        <w:contextualSpacing/>
        <w:jc w:val="center"/>
        <w:rPr>
          <w:rFonts w:ascii="宋体" w:hAnsi="宋体" w:cs="宋体"/>
          <w:b/>
          <w:color w:val="auto"/>
          <w:sz w:val="44"/>
          <w:szCs w:val="44"/>
          <w:highlight w:val="none"/>
        </w:rPr>
      </w:pPr>
    </w:p>
    <w:p w14:paraId="75056CEB">
      <w:pPr>
        <w:pStyle w:val="3"/>
        <w:spacing w:before="0" w:after="0" w:line="360" w:lineRule="auto"/>
        <w:jc w:val="center"/>
        <w:rPr>
          <w:rFonts w:ascii="宋体" w:hAnsi="宋体" w:cs="宋体"/>
          <w:bCs w:val="0"/>
          <w:color w:val="auto"/>
          <w:kern w:val="2"/>
          <w:sz w:val="32"/>
          <w:szCs w:val="32"/>
          <w:highlight w:val="none"/>
        </w:rPr>
      </w:pPr>
      <w:bookmarkStart w:id="1054" w:name="_Toc5496"/>
      <w:r>
        <w:rPr>
          <w:rFonts w:hint="eastAsia" w:ascii="宋体" w:hAnsi="宋体" w:cs="宋体"/>
          <w:bCs w:val="0"/>
          <w:color w:val="auto"/>
          <w:kern w:val="2"/>
          <w:sz w:val="32"/>
          <w:szCs w:val="32"/>
          <w:highlight w:val="none"/>
        </w:rPr>
        <w:t>第九章 质疑、投诉材料格式</w:t>
      </w:r>
      <w:bookmarkEnd w:id="1054"/>
    </w:p>
    <w:p w14:paraId="3A42B1C7">
      <w:pPr>
        <w:rPr>
          <w:rFonts w:ascii="宋体" w:hAnsi="宋体"/>
          <w:color w:val="auto"/>
          <w:highlight w:val="none"/>
        </w:rPr>
      </w:pPr>
    </w:p>
    <w:p w14:paraId="6D9E0417">
      <w:pPr>
        <w:widowControl/>
        <w:jc w:val="left"/>
        <w:rPr>
          <w:rFonts w:ascii="宋体" w:hAnsi="宋体"/>
          <w:color w:val="auto"/>
          <w:highlight w:val="none"/>
        </w:rPr>
      </w:pPr>
      <w:r>
        <w:rPr>
          <w:rFonts w:ascii="宋体" w:hAnsi="宋体"/>
          <w:color w:val="auto"/>
          <w:highlight w:val="none"/>
        </w:rPr>
        <w:br w:type="page"/>
      </w:r>
    </w:p>
    <w:p w14:paraId="30B81965">
      <w:pPr>
        <w:spacing w:beforeLines="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4D4365EE">
      <w:pPr>
        <w:pStyle w:val="17"/>
        <w:spacing w:line="360" w:lineRule="auto"/>
        <w:ind w:firstLine="482" w:firstLineChars="200"/>
        <w:contextualSpacing/>
        <w:rPr>
          <w:rFonts w:hAnsi="宋体" w:cs="宋体"/>
          <w:b/>
          <w:bCs/>
          <w:color w:val="auto"/>
          <w:kern w:val="2"/>
          <w:sz w:val="24"/>
          <w:szCs w:val="24"/>
          <w:highlight w:val="none"/>
        </w:rPr>
      </w:pPr>
      <w:r>
        <w:rPr>
          <w:rFonts w:hint="eastAsia" w:hAnsi="宋体" w:cs="宋体"/>
          <w:b/>
          <w:bCs/>
          <w:color w:val="auto"/>
          <w:kern w:val="2"/>
          <w:sz w:val="24"/>
          <w:szCs w:val="24"/>
          <w:highlight w:val="none"/>
        </w:rPr>
        <w:t>一、质疑供应商基本信息：</w:t>
      </w:r>
    </w:p>
    <w:p w14:paraId="40C68B6A">
      <w:pPr>
        <w:pStyle w:val="17"/>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bCs/>
          <w:color w:val="auto"/>
          <w:kern w:val="2"/>
          <w:sz w:val="24"/>
          <w:szCs w:val="24"/>
          <w:highlight w:val="none"/>
        </w:rPr>
        <w:t>质疑供应商：</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14:paraId="177CA51D">
      <w:pPr>
        <w:pStyle w:val="17"/>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14:paraId="5DBD385D">
      <w:pPr>
        <w:pStyle w:val="17"/>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57CBF81E">
      <w:pPr>
        <w:pStyle w:val="17"/>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授权代表：</w:t>
      </w:r>
      <w:r>
        <w:rPr>
          <w:rFonts w:hint="eastAsia" w:hAnsi="宋体" w:cs="宋体"/>
          <w:bCs/>
          <w:color w:val="auto"/>
          <w:kern w:val="2"/>
          <w:sz w:val="24"/>
          <w:szCs w:val="24"/>
          <w:highlight w:val="none"/>
          <w:u w:val="single"/>
        </w:rPr>
        <w:t xml:space="preserve">                      </w:t>
      </w:r>
    </w:p>
    <w:p w14:paraId="6AF0FE48">
      <w:pPr>
        <w:pStyle w:val="17"/>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2C194463">
      <w:pPr>
        <w:pStyle w:val="17"/>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14:paraId="2402D401">
      <w:pPr>
        <w:pStyle w:val="17"/>
        <w:spacing w:line="360" w:lineRule="auto"/>
        <w:ind w:firstLine="482" w:firstLineChars="200"/>
        <w:contextualSpacing/>
        <w:rPr>
          <w:rFonts w:hAnsi="宋体" w:cs="宋体"/>
          <w:b/>
          <w:bCs/>
          <w:color w:val="auto"/>
          <w:kern w:val="2"/>
          <w:sz w:val="24"/>
          <w:szCs w:val="24"/>
          <w:highlight w:val="none"/>
        </w:rPr>
      </w:pPr>
      <w:r>
        <w:rPr>
          <w:rFonts w:hint="eastAsia" w:hAnsi="宋体" w:cs="宋体"/>
          <w:b/>
          <w:bCs/>
          <w:color w:val="auto"/>
          <w:kern w:val="2"/>
          <w:sz w:val="24"/>
          <w:szCs w:val="24"/>
          <w:highlight w:val="none"/>
        </w:rPr>
        <w:t>二、质疑项目基本情况：</w:t>
      </w:r>
    </w:p>
    <w:p w14:paraId="01608287">
      <w:pPr>
        <w:pStyle w:val="17"/>
        <w:spacing w:line="360" w:lineRule="auto"/>
        <w:ind w:firstLine="480" w:firstLineChars="200"/>
        <w:contextualSpacing/>
        <w:rPr>
          <w:rFonts w:hint="eastAsia" w:hAnsi="宋体" w:eastAsia="宋体" w:cs="宋体"/>
          <w:color w:val="auto"/>
          <w:kern w:val="2"/>
          <w:sz w:val="24"/>
          <w:szCs w:val="24"/>
          <w:highlight w:val="none"/>
          <w:lang w:eastAsia="zh-CN"/>
        </w:rPr>
      </w:pPr>
      <w:r>
        <w:rPr>
          <w:rFonts w:hint="eastAsia" w:hAnsi="宋体" w:cs="宋体"/>
          <w:bCs/>
          <w:color w:val="auto"/>
          <w:kern w:val="2"/>
          <w:sz w:val="24"/>
          <w:szCs w:val="24"/>
          <w:highlight w:val="none"/>
        </w:rPr>
        <w:t>质疑</w:t>
      </w:r>
      <w:r>
        <w:rPr>
          <w:rFonts w:hint="eastAsia" w:hAnsi="宋体" w:cs="宋体"/>
          <w:color w:val="auto"/>
          <w:kern w:val="2"/>
          <w:sz w:val="24"/>
          <w:szCs w:val="24"/>
          <w:highlight w:val="none"/>
        </w:rPr>
        <w:t>项目的名称：</w:t>
      </w:r>
      <w:r>
        <w:rPr>
          <w:rFonts w:hint="eastAsia" w:hAnsi="宋体" w:cs="宋体"/>
          <w:bCs/>
          <w:color w:val="auto"/>
          <w:kern w:val="2"/>
          <w:sz w:val="24"/>
          <w:szCs w:val="24"/>
          <w:highlight w:val="none"/>
          <w:u w:val="single"/>
          <w:lang w:eastAsia="zh-CN"/>
        </w:rPr>
        <w:t>梧州职业学院一食堂一楼新增电缆项目</w:t>
      </w:r>
    </w:p>
    <w:p w14:paraId="6586C02C">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bCs/>
          <w:color w:val="auto"/>
          <w:kern w:val="2"/>
          <w:sz w:val="24"/>
          <w:szCs w:val="24"/>
          <w:highlight w:val="none"/>
        </w:rPr>
        <w:t>质疑</w:t>
      </w:r>
      <w:r>
        <w:rPr>
          <w:rFonts w:hint="eastAsia" w:hAnsi="宋体" w:cs="宋体"/>
          <w:color w:val="auto"/>
          <w:kern w:val="2"/>
          <w:sz w:val="24"/>
          <w:szCs w:val="24"/>
          <w:highlight w:val="none"/>
        </w:rPr>
        <w:t>项目的编号：</w:t>
      </w:r>
      <w:r>
        <w:rPr>
          <w:rFonts w:hint="eastAsia" w:hAnsi="宋体" w:cs="宋体"/>
          <w:bCs/>
          <w:color w:val="auto"/>
          <w:kern w:val="2"/>
          <w:sz w:val="24"/>
          <w:szCs w:val="24"/>
          <w:highlight w:val="none"/>
          <w:u w:val="single"/>
        </w:rPr>
        <w:t xml:space="preserve">WZZC2024-C2-02791 </w:t>
      </w:r>
    </w:p>
    <w:p w14:paraId="6B9FBF6A">
      <w:pPr>
        <w:pStyle w:val="17"/>
        <w:spacing w:line="360" w:lineRule="auto"/>
        <w:ind w:firstLine="480" w:firstLineChars="200"/>
        <w:contextualSpacing/>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采购人名称：</w:t>
      </w:r>
      <w:r>
        <w:rPr>
          <w:rFonts w:hint="eastAsia" w:hAnsi="宋体" w:cs="宋体"/>
          <w:bCs/>
          <w:color w:val="auto"/>
          <w:kern w:val="2"/>
          <w:sz w:val="24"/>
          <w:szCs w:val="24"/>
          <w:highlight w:val="none"/>
          <w:u w:val="single"/>
          <w:lang w:eastAsia="zh-CN"/>
        </w:rPr>
        <w:t>梧州职业学院（梧州市职业教育中心）</w:t>
      </w:r>
    </w:p>
    <w:p w14:paraId="64DDC55E">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w:t>
      </w:r>
    </w:p>
    <w:p w14:paraId="46667C77">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□采购文件   采购文件获取日期：</w:t>
      </w:r>
      <w:r>
        <w:rPr>
          <w:rFonts w:hint="eastAsia" w:hAnsi="宋体" w:cs="宋体"/>
          <w:bCs/>
          <w:color w:val="auto"/>
          <w:kern w:val="2"/>
          <w:sz w:val="24"/>
          <w:szCs w:val="24"/>
          <w:highlight w:val="none"/>
          <w:u w:val="single"/>
        </w:rPr>
        <w:t xml:space="preserve">                                   </w:t>
      </w:r>
    </w:p>
    <w:p w14:paraId="3AE3F6F9">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 xml:space="preserve">□采购过程   </w:t>
      </w:r>
    </w:p>
    <w:p w14:paraId="344F7D86">
      <w:pPr>
        <w:pStyle w:val="17"/>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color w:val="auto"/>
          <w:kern w:val="2"/>
          <w:sz w:val="24"/>
          <w:szCs w:val="24"/>
          <w:highlight w:val="none"/>
        </w:rPr>
        <w:t xml:space="preserve">□成交结果   </w:t>
      </w:r>
    </w:p>
    <w:p w14:paraId="220960C7">
      <w:pPr>
        <w:pStyle w:val="17"/>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三、质疑事项具体内容</w:t>
      </w:r>
    </w:p>
    <w:p w14:paraId="19B40C8B">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质疑事项1：</w:t>
      </w:r>
      <w:r>
        <w:rPr>
          <w:rFonts w:hint="eastAsia" w:hAnsi="宋体" w:cs="宋体"/>
          <w:bCs/>
          <w:color w:val="auto"/>
          <w:kern w:val="2"/>
          <w:sz w:val="24"/>
          <w:szCs w:val="24"/>
          <w:highlight w:val="none"/>
          <w:u w:val="single"/>
        </w:rPr>
        <w:t xml:space="preserve">                                                            </w:t>
      </w:r>
    </w:p>
    <w:p w14:paraId="7A70967D">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事实依据：</w:t>
      </w:r>
      <w:r>
        <w:rPr>
          <w:rFonts w:hint="eastAsia" w:hAnsi="宋体" w:cs="宋体"/>
          <w:bCs/>
          <w:color w:val="auto"/>
          <w:kern w:val="2"/>
          <w:sz w:val="24"/>
          <w:szCs w:val="24"/>
          <w:highlight w:val="none"/>
          <w:u w:val="single"/>
        </w:rPr>
        <w:t xml:space="preserve">                                                             </w:t>
      </w:r>
    </w:p>
    <w:p w14:paraId="510B8EE5">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法律依据：</w:t>
      </w:r>
      <w:r>
        <w:rPr>
          <w:rFonts w:hint="eastAsia" w:hAnsi="宋体" w:cs="宋体"/>
          <w:color w:val="auto"/>
          <w:kern w:val="2"/>
          <w:sz w:val="24"/>
          <w:szCs w:val="24"/>
          <w:highlight w:val="none"/>
          <w:u w:val="single"/>
        </w:rPr>
        <w:t xml:space="preserve">                                                        </w:t>
      </w:r>
      <w:r>
        <w:rPr>
          <w:rFonts w:hint="eastAsia" w:hAnsi="宋体" w:cs="宋体"/>
          <w:bCs/>
          <w:color w:val="auto"/>
          <w:kern w:val="2"/>
          <w:sz w:val="24"/>
          <w:szCs w:val="24"/>
          <w:highlight w:val="none"/>
          <w:u w:val="single"/>
        </w:rPr>
        <w:t xml:space="preserve">     </w:t>
      </w:r>
    </w:p>
    <w:p w14:paraId="68A818BA">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质疑事项2</w:t>
      </w:r>
    </w:p>
    <w:p w14:paraId="27469543">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w:t>
      </w:r>
    </w:p>
    <w:p w14:paraId="3A18D73A">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四、与质疑事项相关的质疑请求：</w:t>
      </w:r>
    </w:p>
    <w:p w14:paraId="7F40AA4E">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请求：</w:t>
      </w:r>
      <w:r>
        <w:rPr>
          <w:rFonts w:hint="eastAsia" w:hAnsi="宋体" w:cs="宋体"/>
          <w:bCs/>
          <w:color w:val="auto"/>
          <w:kern w:val="2"/>
          <w:sz w:val="24"/>
          <w:szCs w:val="24"/>
          <w:highlight w:val="none"/>
          <w:u w:val="single"/>
        </w:rPr>
        <w:t xml:space="preserve">                                                                </w:t>
      </w:r>
    </w:p>
    <w:p w14:paraId="3FDBABCB">
      <w:pPr>
        <w:pStyle w:val="17"/>
        <w:spacing w:line="360" w:lineRule="auto"/>
        <w:ind w:firstLine="480" w:firstLineChars="200"/>
        <w:contextualSpacing/>
        <w:rPr>
          <w:rFonts w:hAnsi="宋体" w:cs="宋体"/>
          <w:color w:val="auto"/>
          <w:kern w:val="2"/>
          <w:sz w:val="24"/>
          <w:szCs w:val="24"/>
          <w:highlight w:val="none"/>
        </w:rPr>
      </w:pPr>
    </w:p>
    <w:p w14:paraId="30882460">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签字（签章）：                                       公章：</w:t>
      </w:r>
    </w:p>
    <w:p w14:paraId="191B7FCB">
      <w:pPr>
        <w:pStyle w:val="17"/>
        <w:spacing w:line="360" w:lineRule="auto"/>
        <w:ind w:firstLine="480" w:firstLineChars="200"/>
        <w:contextualSpacing/>
        <w:rPr>
          <w:rFonts w:hAnsi="宋体" w:cs="宋体"/>
          <w:color w:val="auto"/>
          <w:kern w:val="2"/>
          <w:sz w:val="24"/>
          <w:szCs w:val="24"/>
          <w:highlight w:val="none"/>
        </w:rPr>
      </w:pPr>
    </w:p>
    <w:p w14:paraId="4076F06A">
      <w:pPr>
        <w:pStyle w:val="17"/>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日期：</w:t>
      </w:r>
    </w:p>
    <w:p w14:paraId="66242482">
      <w:pPr>
        <w:widowControl/>
        <w:jc w:val="left"/>
        <w:rPr>
          <w:rFonts w:ascii="宋体" w:hAnsi="宋体" w:cs="宋体"/>
          <w:b/>
          <w:color w:val="auto"/>
          <w:sz w:val="24"/>
          <w:highlight w:val="none"/>
        </w:rPr>
      </w:pPr>
      <w:r>
        <w:rPr>
          <w:rFonts w:ascii="宋体" w:hAnsi="宋体" w:cs="宋体"/>
          <w:b/>
          <w:color w:val="auto"/>
          <w:sz w:val="24"/>
          <w:highlight w:val="none"/>
        </w:rPr>
        <w:br w:type="page"/>
      </w:r>
    </w:p>
    <w:p w14:paraId="32B3975C">
      <w:pPr>
        <w:pStyle w:val="17"/>
        <w:spacing w:line="360" w:lineRule="auto"/>
        <w:ind w:firstLine="482" w:firstLineChars="200"/>
        <w:contextualSpacing/>
        <w:rPr>
          <w:rFonts w:hAnsi="宋体" w:cs="宋体"/>
          <w:b/>
          <w:color w:val="auto"/>
          <w:kern w:val="2"/>
          <w:sz w:val="24"/>
          <w:szCs w:val="24"/>
          <w:highlight w:val="none"/>
        </w:rPr>
      </w:pPr>
    </w:p>
    <w:p w14:paraId="001248F8">
      <w:pPr>
        <w:pStyle w:val="17"/>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说明：</w:t>
      </w:r>
    </w:p>
    <w:p w14:paraId="379BF6BD">
      <w:pPr>
        <w:pStyle w:val="17"/>
        <w:spacing w:line="360" w:lineRule="auto"/>
        <w:ind w:firstLine="482" w:firstLineChars="200"/>
        <w:contextualSpacing/>
        <w:rPr>
          <w:rFonts w:hAnsi="宋体" w:cs="宋体"/>
          <w:b/>
          <w:bCs/>
          <w:color w:val="auto"/>
          <w:kern w:val="2"/>
          <w:sz w:val="24"/>
          <w:szCs w:val="24"/>
          <w:highlight w:val="none"/>
        </w:rPr>
      </w:pPr>
      <w:r>
        <w:rPr>
          <w:rFonts w:hint="eastAsia" w:hAnsi="宋体" w:cs="宋体"/>
          <w:b/>
          <w:color w:val="auto"/>
          <w:kern w:val="2"/>
          <w:sz w:val="24"/>
          <w:szCs w:val="24"/>
          <w:highlight w:val="none"/>
        </w:rPr>
        <w:t>1.供应商提出质疑时，应提交质疑函和必要的证明材料</w:t>
      </w:r>
      <w:r>
        <w:rPr>
          <w:rFonts w:hint="eastAsia" w:hAnsi="宋体" w:cs="宋体"/>
          <w:b/>
          <w:bCs/>
          <w:color w:val="auto"/>
          <w:kern w:val="2"/>
          <w:sz w:val="24"/>
          <w:szCs w:val="24"/>
          <w:highlight w:val="none"/>
        </w:rPr>
        <w:t>。</w:t>
      </w:r>
    </w:p>
    <w:p w14:paraId="21A70FD0">
      <w:pPr>
        <w:pStyle w:val="17"/>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2F2EB">
      <w:pPr>
        <w:pStyle w:val="17"/>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3.质疑函的质疑事项应具体、明确，并有必要的事实依据和法律依据。</w:t>
      </w:r>
    </w:p>
    <w:p w14:paraId="32710122">
      <w:pPr>
        <w:pStyle w:val="17"/>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4.质疑函的质疑请求应与质疑事项相关。</w:t>
      </w:r>
    </w:p>
    <w:p w14:paraId="09057F84">
      <w:pPr>
        <w:pStyle w:val="17"/>
        <w:spacing w:line="360" w:lineRule="auto"/>
        <w:ind w:firstLine="482" w:firstLineChars="200"/>
        <w:contextualSpacing/>
        <w:rPr>
          <w:rFonts w:hAnsi="宋体" w:cs="宋体"/>
          <w:b/>
          <w:color w:val="auto"/>
          <w:kern w:val="2"/>
          <w:highlight w:val="none"/>
        </w:rPr>
      </w:pPr>
      <w:r>
        <w:rPr>
          <w:rFonts w:hint="eastAsia" w:hAnsi="宋体" w:cs="宋体"/>
          <w:b/>
          <w:color w:val="auto"/>
          <w:kern w:val="2"/>
          <w:sz w:val="24"/>
          <w:szCs w:val="24"/>
          <w:highlight w:val="none"/>
        </w:rPr>
        <w:t>5.质疑供应商为法人或者其他组织的，质疑函应由法定代表人、主要负责人，或者其授权代表签字或者盖章，并加盖公章。</w:t>
      </w:r>
    </w:p>
    <w:p w14:paraId="615047FE">
      <w:pPr>
        <w:pStyle w:val="17"/>
        <w:rPr>
          <w:rFonts w:hAnsi="宋体" w:cs="宋体"/>
          <w:b/>
          <w:color w:val="auto"/>
          <w:kern w:val="2"/>
          <w:sz w:val="24"/>
          <w:szCs w:val="24"/>
          <w:highlight w:val="none"/>
        </w:rPr>
      </w:pPr>
    </w:p>
    <w:p w14:paraId="3C092F2F">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8261BB1">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6166FFE2">
      <w:pPr>
        <w:pStyle w:val="17"/>
        <w:spacing w:line="500" w:lineRule="exact"/>
        <w:ind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一、投诉相关主体基本情况：</w:t>
      </w:r>
    </w:p>
    <w:p w14:paraId="3F48B95E">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供应商：</w:t>
      </w:r>
      <w:r>
        <w:rPr>
          <w:rFonts w:hint="eastAsia" w:hAnsi="宋体" w:cs="宋体"/>
          <w:bCs/>
          <w:color w:val="auto"/>
          <w:kern w:val="2"/>
          <w:sz w:val="24"/>
          <w:szCs w:val="24"/>
          <w:highlight w:val="none"/>
          <w:u w:val="single"/>
        </w:rPr>
        <w:t xml:space="preserve">                                                                </w:t>
      </w:r>
    </w:p>
    <w:p w14:paraId="494933A0">
      <w:pPr>
        <w:pStyle w:val="17"/>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14:paraId="5E4CEC83">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法定代表人/主要负责人：</w:t>
      </w:r>
      <w:r>
        <w:rPr>
          <w:rFonts w:hint="eastAsia" w:hAnsi="宋体" w:cs="宋体"/>
          <w:bCs/>
          <w:color w:val="auto"/>
          <w:kern w:val="2"/>
          <w:sz w:val="24"/>
          <w:szCs w:val="24"/>
          <w:highlight w:val="none"/>
          <w:u w:val="single"/>
        </w:rPr>
        <w:t xml:space="preserve">                                                  </w:t>
      </w:r>
    </w:p>
    <w:p w14:paraId="3CE96B50">
      <w:pPr>
        <w:pStyle w:val="17"/>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0D5DAE3F">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授权代表：</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229B8F1A">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p>
    <w:p w14:paraId="30DCE655">
      <w:pPr>
        <w:pStyle w:val="17"/>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14:paraId="1AB16212">
      <w:pPr>
        <w:pStyle w:val="17"/>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被投诉人1：</w:t>
      </w:r>
    </w:p>
    <w:p w14:paraId="30F67262">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p>
    <w:p w14:paraId="6B9EC08F">
      <w:pPr>
        <w:pStyle w:val="17"/>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14:paraId="61714BBC">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1601D85C">
      <w:pPr>
        <w:pStyle w:val="17"/>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被投诉人2：</w:t>
      </w:r>
    </w:p>
    <w:p w14:paraId="4C0E9F60">
      <w:pPr>
        <w:pStyle w:val="17"/>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w:t>
      </w:r>
    </w:p>
    <w:p w14:paraId="4461B697">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相关供应商：</w:t>
      </w:r>
      <w:r>
        <w:rPr>
          <w:rFonts w:hint="eastAsia" w:hAnsi="宋体" w:cs="宋体"/>
          <w:bCs/>
          <w:color w:val="auto"/>
          <w:kern w:val="2"/>
          <w:sz w:val="24"/>
          <w:szCs w:val="24"/>
          <w:highlight w:val="none"/>
          <w:u w:val="single"/>
        </w:rPr>
        <w:t xml:space="preserve">                                              </w:t>
      </w:r>
    </w:p>
    <w:p w14:paraId="2F2FF0F2">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14:paraId="6445D40E">
      <w:pPr>
        <w:pStyle w:val="17"/>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2BA43E92">
      <w:pPr>
        <w:pStyle w:val="17"/>
        <w:spacing w:line="500" w:lineRule="exact"/>
        <w:ind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二、投诉项目基本情况：</w:t>
      </w:r>
    </w:p>
    <w:p w14:paraId="094D1AD8">
      <w:pPr>
        <w:pStyle w:val="17"/>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rPr>
        <w:t>采购</w:t>
      </w:r>
      <w:r>
        <w:rPr>
          <w:rFonts w:hint="eastAsia" w:hAnsi="宋体" w:cs="宋体"/>
          <w:color w:val="auto"/>
          <w:kern w:val="2"/>
          <w:sz w:val="24"/>
          <w:szCs w:val="24"/>
          <w:highlight w:val="none"/>
        </w:rPr>
        <w:t>项目的名称：</w:t>
      </w:r>
      <w:r>
        <w:rPr>
          <w:rFonts w:hint="eastAsia" w:hAnsi="宋体" w:cs="宋体"/>
          <w:bCs/>
          <w:color w:val="auto"/>
          <w:kern w:val="2"/>
          <w:sz w:val="24"/>
          <w:szCs w:val="24"/>
          <w:highlight w:val="none"/>
          <w:u w:val="single"/>
        </w:rPr>
        <w:t xml:space="preserve">                           </w:t>
      </w:r>
    </w:p>
    <w:p w14:paraId="1B35EA28">
      <w:pPr>
        <w:pStyle w:val="17"/>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rPr>
        <w:t>采购</w:t>
      </w:r>
      <w:r>
        <w:rPr>
          <w:rFonts w:hint="eastAsia" w:hAnsi="宋体" w:cs="宋体"/>
          <w:color w:val="auto"/>
          <w:kern w:val="2"/>
          <w:sz w:val="24"/>
          <w:szCs w:val="24"/>
          <w:highlight w:val="none"/>
        </w:rPr>
        <w:t>项目的编号：</w:t>
      </w:r>
      <w:r>
        <w:rPr>
          <w:rFonts w:hint="eastAsia" w:hAnsi="宋体" w:cs="宋体"/>
          <w:bCs/>
          <w:color w:val="auto"/>
          <w:kern w:val="2"/>
          <w:sz w:val="24"/>
          <w:szCs w:val="24"/>
          <w:highlight w:val="none"/>
          <w:u w:val="single"/>
        </w:rPr>
        <w:t xml:space="preserve">                           </w:t>
      </w:r>
    </w:p>
    <w:p w14:paraId="18CE75A1">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采购人名称：</w:t>
      </w:r>
      <w:r>
        <w:rPr>
          <w:rFonts w:hint="eastAsia" w:hAnsi="宋体" w:cs="宋体"/>
          <w:bCs/>
          <w:color w:val="auto"/>
          <w:kern w:val="2"/>
          <w:sz w:val="24"/>
          <w:szCs w:val="24"/>
          <w:highlight w:val="none"/>
          <w:u w:val="single"/>
        </w:rPr>
        <w:t xml:space="preserve">                           </w:t>
      </w:r>
    </w:p>
    <w:p w14:paraId="0DC914D4">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代理机构名称：</w:t>
      </w:r>
      <w:r>
        <w:rPr>
          <w:rFonts w:hint="eastAsia" w:hAnsi="宋体" w:cs="宋体"/>
          <w:bCs/>
          <w:color w:val="auto"/>
          <w:kern w:val="2"/>
          <w:sz w:val="24"/>
          <w:szCs w:val="24"/>
          <w:highlight w:val="none"/>
          <w:u w:val="single"/>
        </w:rPr>
        <w:t xml:space="preserve">                           </w:t>
      </w:r>
    </w:p>
    <w:p w14:paraId="18B84902">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招标文件公告：</w:t>
      </w:r>
      <w:r>
        <w:rPr>
          <w:rFonts w:hint="eastAsia" w:hAnsi="宋体" w:cs="宋体"/>
          <w:bCs/>
          <w:color w:val="auto"/>
          <w:kern w:val="2"/>
          <w:sz w:val="24"/>
          <w:szCs w:val="24"/>
          <w:highlight w:val="none"/>
          <w:u w:val="single"/>
        </w:rPr>
        <w:t>是/否</w:t>
      </w:r>
      <w:r>
        <w:rPr>
          <w:rFonts w:hint="eastAsia" w:hAnsi="宋体" w:cs="宋体"/>
          <w:bCs/>
          <w:color w:val="auto"/>
          <w:kern w:val="2"/>
          <w:sz w:val="24"/>
          <w:szCs w:val="24"/>
          <w:highlight w:val="none"/>
        </w:rPr>
        <w:t>公告期限：</w:t>
      </w:r>
      <w:r>
        <w:rPr>
          <w:rFonts w:hint="eastAsia" w:hAnsi="宋体" w:cs="宋体"/>
          <w:bCs/>
          <w:color w:val="auto"/>
          <w:kern w:val="2"/>
          <w:sz w:val="24"/>
          <w:szCs w:val="24"/>
          <w:highlight w:val="none"/>
          <w:u w:val="single"/>
        </w:rPr>
        <w:t xml:space="preserve">                                          </w:t>
      </w:r>
    </w:p>
    <w:p w14:paraId="6C332558">
      <w:pPr>
        <w:pStyle w:val="17"/>
        <w:spacing w:line="500" w:lineRule="exact"/>
        <w:ind w:firstLine="480" w:firstLineChars="200"/>
        <w:rPr>
          <w:rFonts w:hAnsi="宋体" w:cs="宋体"/>
          <w:b/>
          <w:color w:val="auto"/>
          <w:kern w:val="2"/>
          <w:sz w:val="24"/>
          <w:szCs w:val="24"/>
          <w:highlight w:val="none"/>
        </w:rPr>
      </w:pPr>
      <w:r>
        <w:rPr>
          <w:rFonts w:hint="eastAsia" w:hAnsi="宋体" w:cs="宋体"/>
          <w:bCs/>
          <w:color w:val="auto"/>
          <w:kern w:val="2"/>
          <w:sz w:val="24"/>
          <w:szCs w:val="24"/>
          <w:highlight w:val="none"/>
        </w:rPr>
        <w:t>采购结果公告：</w:t>
      </w:r>
      <w:r>
        <w:rPr>
          <w:rFonts w:hint="eastAsia" w:hAnsi="宋体" w:cs="宋体"/>
          <w:bCs/>
          <w:color w:val="auto"/>
          <w:kern w:val="2"/>
          <w:sz w:val="24"/>
          <w:szCs w:val="24"/>
          <w:highlight w:val="none"/>
          <w:u w:val="single"/>
        </w:rPr>
        <w:t>是/否</w:t>
      </w:r>
      <w:r>
        <w:rPr>
          <w:rFonts w:hint="eastAsia" w:hAnsi="宋体" w:cs="宋体"/>
          <w:bCs/>
          <w:color w:val="auto"/>
          <w:kern w:val="2"/>
          <w:sz w:val="24"/>
          <w:szCs w:val="24"/>
          <w:highlight w:val="none"/>
        </w:rPr>
        <w:t>公告期限：</w:t>
      </w:r>
      <w:r>
        <w:rPr>
          <w:rFonts w:hint="eastAsia" w:hAnsi="宋体" w:cs="宋体"/>
          <w:bCs/>
          <w:color w:val="auto"/>
          <w:kern w:val="2"/>
          <w:sz w:val="24"/>
          <w:szCs w:val="24"/>
          <w:highlight w:val="none"/>
          <w:u w:val="single"/>
        </w:rPr>
        <w:t xml:space="preserve">                                          </w:t>
      </w:r>
    </w:p>
    <w:p w14:paraId="7683C7A6">
      <w:pPr>
        <w:pStyle w:val="17"/>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三、质疑基本情况</w:t>
      </w:r>
    </w:p>
    <w:p w14:paraId="4DD45DF8">
      <w:pPr>
        <w:pStyle w:val="17"/>
        <w:spacing w:line="50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投诉人于</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年</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月</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日，向</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提出质疑，质疑事项为：</w:t>
      </w:r>
      <w:r>
        <w:rPr>
          <w:rFonts w:hint="eastAsia" w:hAnsi="宋体" w:cs="宋体"/>
          <w:bCs/>
          <w:color w:val="auto"/>
          <w:kern w:val="2"/>
          <w:sz w:val="24"/>
          <w:szCs w:val="24"/>
          <w:highlight w:val="none"/>
          <w:u w:val="single"/>
        </w:rPr>
        <w:t xml:space="preserve">                               </w:t>
      </w:r>
    </w:p>
    <w:p w14:paraId="7900A20E">
      <w:pPr>
        <w:pStyle w:val="17"/>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u w:val="single"/>
        </w:rPr>
        <w:t>采购人/代理机构</w:t>
      </w:r>
      <w:r>
        <w:rPr>
          <w:rFonts w:hint="eastAsia" w:hAnsi="宋体" w:cs="宋体"/>
          <w:bCs/>
          <w:color w:val="auto"/>
          <w:kern w:val="2"/>
          <w:sz w:val="24"/>
          <w:szCs w:val="24"/>
          <w:highlight w:val="none"/>
        </w:rPr>
        <w:t>于</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年</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月</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日，</w:t>
      </w:r>
      <w:r>
        <w:rPr>
          <w:rFonts w:hint="eastAsia" w:hAnsi="宋体" w:cs="宋体"/>
          <w:bCs/>
          <w:color w:val="auto"/>
          <w:kern w:val="2"/>
          <w:sz w:val="24"/>
          <w:szCs w:val="24"/>
          <w:highlight w:val="none"/>
        </w:rPr>
        <w:t xml:space="preserve">就质疑事项作出了答复/没有在法定期限内作出答复。 </w:t>
      </w:r>
    </w:p>
    <w:p w14:paraId="1811840C">
      <w:pPr>
        <w:pStyle w:val="17"/>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四、投诉事项具体内容</w:t>
      </w:r>
    </w:p>
    <w:p w14:paraId="22D887E8">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投诉事项1：</w:t>
      </w:r>
      <w:r>
        <w:rPr>
          <w:rFonts w:hint="eastAsia" w:hAnsi="宋体" w:cs="宋体"/>
          <w:bCs/>
          <w:color w:val="auto"/>
          <w:kern w:val="2"/>
          <w:sz w:val="24"/>
          <w:szCs w:val="24"/>
          <w:highlight w:val="none"/>
          <w:u w:val="single"/>
        </w:rPr>
        <w:t xml:space="preserve">                                                            </w:t>
      </w:r>
    </w:p>
    <w:p w14:paraId="023D5F5E">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事实依据：</w:t>
      </w:r>
      <w:r>
        <w:rPr>
          <w:rFonts w:hint="eastAsia" w:hAnsi="宋体" w:cs="宋体"/>
          <w:bCs/>
          <w:color w:val="auto"/>
          <w:kern w:val="2"/>
          <w:sz w:val="24"/>
          <w:szCs w:val="24"/>
          <w:highlight w:val="none"/>
          <w:u w:val="single"/>
        </w:rPr>
        <w:t xml:space="preserve">                                                             </w:t>
      </w:r>
    </w:p>
    <w:p w14:paraId="55DE0450">
      <w:pPr>
        <w:pStyle w:val="17"/>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法律依据：</w:t>
      </w:r>
      <w:r>
        <w:rPr>
          <w:rFonts w:hint="eastAsia" w:hAnsi="宋体" w:cs="宋体"/>
          <w:bCs/>
          <w:color w:val="auto"/>
          <w:kern w:val="2"/>
          <w:sz w:val="24"/>
          <w:szCs w:val="24"/>
          <w:highlight w:val="none"/>
          <w:u w:val="single"/>
        </w:rPr>
        <w:t xml:space="preserve">                                                             </w:t>
      </w:r>
    </w:p>
    <w:p w14:paraId="4F04383E">
      <w:pPr>
        <w:pStyle w:val="17"/>
        <w:spacing w:line="500" w:lineRule="exact"/>
        <w:ind w:firstLine="480" w:firstLineChars="200"/>
        <w:rPr>
          <w:rFonts w:hAnsi="宋体" w:cs="宋体"/>
          <w:bCs/>
          <w:color w:val="auto"/>
          <w:kern w:val="2"/>
          <w:sz w:val="24"/>
          <w:szCs w:val="24"/>
          <w:highlight w:val="none"/>
        </w:rPr>
      </w:pPr>
      <w:r>
        <w:rPr>
          <w:rFonts w:hint="eastAsia" w:hAnsi="宋体" w:cs="宋体"/>
          <w:color w:val="auto"/>
          <w:kern w:val="2"/>
          <w:sz w:val="24"/>
          <w:szCs w:val="24"/>
          <w:highlight w:val="none"/>
        </w:rPr>
        <w:t>投诉事项2</w:t>
      </w:r>
      <w:r>
        <w:rPr>
          <w:rFonts w:hint="eastAsia" w:hAnsi="宋体" w:cs="宋体"/>
          <w:bCs/>
          <w:color w:val="auto"/>
          <w:kern w:val="2"/>
          <w:sz w:val="24"/>
          <w:szCs w:val="24"/>
          <w:highlight w:val="none"/>
        </w:rPr>
        <w:t>……</w:t>
      </w:r>
    </w:p>
    <w:p w14:paraId="3667AFF4">
      <w:pPr>
        <w:pStyle w:val="17"/>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五、与投诉事项相关的投诉请求：</w:t>
      </w:r>
    </w:p>
    <w:p w14:paraId="764F3369">
      <w:pPr>
        <w:pStyle w:val="17"/>
        <w:spacing w:line="40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请求：</w:t>
      </w:r>
      <w:r>
        <w:rPr>
          <w:rFonts w:hint="eastAsia" w:hAnsi="宋体" w:cs="宋体"/>
          <w:bCs/>
          <w:color w:val="auto"/>
          <w:kern w:val="2"/>
          <w:sz w:val="24"/>
          <w:szCs w:val="24"/>
          <w:highlight w:val="none"/>
          <w:u w:val="single"/>
        </w:rPr>
        <w:t xml:space="preserve">                                                                 </w:t>
      </w:r>
    </w:p>
    <w:p w14:paraId="7B70A3DB">
      <w:pPr>
        <w:pStyle w:val="17"/>
        <w:spacing w:line="360" w:lineRule="auto"/>
        <w:ind w:left="25" w:leftChars="12" w:firstLine="352" w:firstLineChars="147"/>
        <w:rPr>
          <w:rFonts w:hAnsi="宋体" w:cs="宋体"/>
          <w:color w:val="auto"/>
          <w:kern w:val="2"/>
          <w:sz w:val="24"/>
          <w:szCs w:val="24"/>
          <w:highlight w:val="none"/>
        </w:rPr>
      </w:pPr>
    </w:p>
    <w:p w14:paraId="7889500E">
      <w:pPr>
        <w:pStyle w:val="17"/>
        <w:spacing w:line="360" w:lineRule="auto"/>
        <w:ind w:left="25" w:leftChars="12" w:firstLine="472" w:firstLineChars="197"/>
        <w:rPr>
          <w:rFonts w:hAnsi="宋体" w:cs="宋体"/>
          <w:color w:val="auto"/>
          <w:kern w:val="2"/>
          <w:sz w:val="24"/>
          <w:szCs w:val="24"/>
          <w:highlight w:val="none"/>
        </w:rPr>
      </w:pPr>
      <w:r>
        <w:rPr>
          <w:rFonts w:hint="eastAsia" w:hAnsi="宋体" w:cs="宋体"/>
          <w:color w:val="auto"/>
          <w:kern w:val="2"/>
          <w:sz w:val="24"/>
          <w:szCs w:val="24"/>
          <w:highlight w:val="none"/>
        </w:rPr>
        <w:t>签字（签章）：                             公章：</w:t>
      </w:r>
    </w:p>
    <w:p w14:paraId="256EE16D">
      <w:pPr>
        <w:pStyle w:val="17"/>
        <w:spacing w:line="360" w:lineRule="auto"/>
        <w:ind w:left="25" w:leftChars="12" w:firstLine="352" w:firstLineChars="147"/>
        <w:rPr>
          <w:rFonts w:hAnsi="宋体" w:cs="宋体"/>
          <w:color w:val="auto"/>
          <w:kern w:val="2"/>
          <w:sz w:val="24"/>
          <w:szCs w:val="24"/>
          <w:highlight w:val="none"/>
        </w:rPr>
      </w:pPr>
    </w:p>
    <w:p w14:paraId="0765A003">
      <w:pPr>
        <w:pStyle w:val="17"/>
        <w:spacing w:line="360" w:lineRule="auto"/>
        <w:ind w:left="25" w:leftChars="12" w:firstLine="472" w:firstLineChars="197"/>
        <w:rPr>
          <w:rFonts w:hAnsi="宋体" w:cs="宋体"/>
          <w:color w:val="auto"/>
          <w:kern w:val="2"/>
          <w:sz w:val="24"/>
          <w:szCs w:val="24"/>
          <w:highlight w:val="none"/>
        </w:rPr>
      </w:pPr>
      <w:r>
        <w:rPr>
          <w:rFonts w:hint="eastAsia" w:hAnsi="宋体" w:cs="宋体"/>
          <w:color w:val="auto"/>
          <w:kern w:val="2"/>
          <w:sz w:val="24"/>
          <w:szCs w:val="24"/>
          <w:highlight w:val="none"/>
        </w:rPr>
        <w:t>日期：</w:t>
      </w:r>
    </w:p>
    <w:p w14:paraId="327B95CF">
      <w:pPr>
        <w:pStyle w:val="17"/>
        <w:spacing w:line="360" w:lineRule="auto"/>
        <w:ind w:left="25" w:leftChars="12" w:firstLine="472" w:firstLineChars="197"/>
        <w:rPr>
          <w:rFonts w:hAnsi="宋体" w:cs="宋体"/>
          <w:color w:val="auto"/>
          <w:kern w:val="2"/>
          <w:sz w:val="24"/>
          <w:szCs w:val="24"/>
          <w:highlight w:val="none"/>
        </w:rPr>
      </w:pPr>
    </w:p>
    <w:p w14:paraId="16AC8F56">
      <w:pPr>
        <w:pStyle w:val="17"/>
        <w:spacing w:line="360" w:lineRule="auto"/>
        <w:rPr>
          <w:rFonts w:hAnsi="宋体" w:cs="宋体"/>
          <w:b/>
          <w:color w:val="auto"/>
          <w:kern w:val="2"/>
          <w:sz w:val="24"/>
          <w:szCs w:val="24"/>
          <w:highlight w:val="none"/>
        </w:rPr>
      </w:pPr>
      <w:r>
        <w:rPr>
          <w:rFonts w:hint="eastAsia" w:hAnsi="宋体" w:cs="宋体"/>
          <w:b/>
          <w:color w:val="auto"/>
          <w:kern w:val="2"/>
          <w:sz w:val="24"/>
          <w:szCs w:val="24"/>
          <w:highlight w:val="none"/>
        </w:rPr>
        <w:t>说明：</w:t>
      </w:r>
    </w:p>
    <w:p w14:paraId="711C5125">
      <w:pPr>
        <w:pStyle w:val="17"/>
        <w:spacing w:line="360" w:lineRule="auto"/>
        <w:ind w:left="25" w:leftChars="12" w:firstLine="354" w:firstLineChars="147"/>
        <w:rPr>
          <w:rFonts w:hAnsi="宋体" w:cs="宋体"/>
          <w:b/>
          <w:bCs/>
          <w:color w:val="auto"/>
          <w:kern w:val="2"/>
          <w:sz w:val="24"/>
          <w:szCs w:val="24"/>
          <w:highlight w:val="none"/>
        </w:rPr>
      </w:pPr>
      <w:r>
        <w:rPr>
          <w:rFonts w:hint="eastAsia" w:hAnsi="宋体" w:cs="宋体"/>
          <w:b/>
          <w:color w:val="auto"/>
          <w:kern w:val="2"/>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
          <w:sz w:val="24"/>
          <w:szCs w:val="24"/>
          <w:highlight w:val="none"/>
        </w:rPr>
        <w:t>。</w:t>
      </w:r>
    </w:p>
    <w:p w14:paraId="76E6ADFB">
      <w:pPr>
        <w:pStyle w:val="17"/>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BB0BBC">
      <w:pPr>
        <w:pStyle w:val="17"/>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3.投诉书应简要列明质疑事项，质疑函、质疑答复等作为附件材料提供。</w:t>
      </w:r>
    </w:p>
    <w:p w14:paraId="69D2FA36">
      <w:pPr>
        <w:pStyle w:val="17"/>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4.投诉书的投诉事项应具体、明确，并有必要的事实依据和法律依据。</w:t>
      </w:r>
    </w:p>
    <w:p w14:paraId="32E5C520">
      <w:pPr>
        <w:pStyle w:val="17"/>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5.投诉书的投诉请求应与投诉事项相关。</w:t>
      </w:r>
    </w:p>
    <w:p w14:paraId="26A86C38">
      <w:pPr>
        <w:pStyle w:val="17"/>
        <w:spacing w:line="360" w:lineRule="auto"/>
        <w:ind w:left="25" w:leftChars="12" w:firstLine="354" w:firstLineChars="147"/>
        <w:rPr>
          <w:rFonts w:hAnsi="宋体" w:cs="宋体"/>
          <w:b/>
          <w:color w:val="auto"/>
          <w:kern w:val="2"/>
          <w:highlight w:val="none"/>
        </w:rPr>
      </w:pPr>
      <w:r>
        <w:rPr>
          <w:rFonts w:hint="eastAsia" w:hAnsi="宋体" w:cs="宋体"/>
          <w:b/>
          <w:color w:val="auto"/>
          <w:kern w:val="2"/>
          <w:sz w:val="24"/>
          <w:szCs w:val="24"/>
          <w:highlight w:val="none"/>
        </w:rPr>
        <w:t>6.投诉人为法人或者其他组织的，投诉书应由法定代表人、主要负责人，或者其授权代表签字或者盖章，并加盖公章。</w:t>
      </w:r>
    </w:p>
    <w:p w14:paraId="432B0B17">
      <w:pPr>
        <w:rPr>
          <w:rFonts w:ascii="宋体" w:hAnsi="宋体" w:cs="宋体"/>
          <w:color w:val="auto"/>
          <w:highlight w:val="none"/>
        </w:rPr>
      </w:pPr>
    </w:p>
    <w:p w14:paraId="5E39B3E1">
      <w:pPr>
        <w:rPr>
          <w:rFonts w:ascii="宋体" w:hAnsi="宋体" w:cs="宋体"/>
          <w:color w:val="auto"/>
          <w:highlight w:val="none"/>
        </w:rPr>
      </w:pPr>
    </w:p>
    <w:sectPr>
      <w:footerReference r:id="rId6" w:type="first"/>
      <w:headerReference r:id="rId4" w:type="default"/>
      <w:footerReference r:id="rId5" w:type="default"/>
      <w:pgSz w:w="11911" w:h="16838"/>
      <w:pgMar w:top="1418" w:right="1418" w:bottom="1418" w:left="1418" w:header="851" w:footer="9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Ìå">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035E">
    <w:pPr>
      <w:pStyle w:val="20"/>
      <w:rPr>
        <w:rFonts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09018"/>
      <w:docPartObj>
        <w:docPartGallery w:val="autotext"/>
      </w:docPartObj>
    </w:sdtPr>
    <w:sdtContent>
      <w:p w14:paraId="0E5327C8">
        <w:pPr>
          <w:pStyle w:val="20"/>
          <w:tabs>
            <w:tab w:val="clear" w:pos="4153"/>
            <w:tab w:val="clear" w:pos="8306"/>
          </w:tabs>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14F9">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F7AA8">
                          <w:pPr>
                            <w:pStyle w:val="20"/>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9H5iRzAEAAJwDAAAOAAAAAAAAAAEAIAAAAB4BAABkcnMvZTJv&#10;RG9jLnhtbFBLBQYAAAAABgAGAFkBAABcBQAAAAA=&#10;">
              <v:fill on="f" focussize="0,0"/>
              <v:stroke on="f"/>
              <v:imagedata o:title=""/>
              <o:lock v:ext="edit" aspectratio="f"/>
              <v:textbox inset="0mm,0mm,0mm,0mm" style="mso-fit-shape-to-text:t;">
                <w:txbxContent>
                  <w:p w14:paraId="2F5F7AA8">
                    <w:pPr>
                      <w:pStyle w:val="20"/>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78D38">
    <w:pPr>
      <w:pStyle w:val="21"/>
      <w:tabs>
        <w:tab w:val="clear" w:pos="4153"/>
        <w:tab w:val="clear" w:pos="8306"/>
      </w:tabs>
      <w:rPr>
        <w:rFonts w:ascii="宋体" w:hAnsi="宋体"/>
        <w:kern w:val="2"/>
      </w:rPr>
    </w:pPr>
    <w:r>
      <w:rPr>
        <w:rFonts w:hint="eastAsia" w:ascii="宋体" w:hAnsi="宋体" w:cs="仿宋"/>
        <w:bCs/>
        <w:kern w:val="2"/>
        <w:lang w:eastAsia="zh-CN"/>
      </w:rPr>
      <w:t>梧州职业学院一食堂一楼新增电缆项目</w:t>
    </w:r>
    <w:r>
      <w:rPr>
        <w:rFonts w:hint="eastAsia" w:ascii="宋体" w:hAnsi="宋体" w:cs="仿宋"/>
        <w:bCs/>
        <w:kern w:val="2"/>
      </w:rPr>
      <w:t>（项目编号：</w:t>
    </w:r>
    <w:r>
      <w:rPr>
        <w:rFonts w:hint="eastAsia" w:ascii="宋体" w:hAnsi="宋体" w:cs="仿宋"/>
        <w:bCs/>
        <w:kern w:val="2"/>
        <w:lang w:eastAsia="zh-CN"/>
      </w:rPr>
      <w:t>WZZC2025-C3-990306-GXTZ</w:t>
    </w:r>
    <w:r>
      <w:rPr>
        <w:rFonts w:hint="eastAsia" w:ascii="宋体" w:hAnsi="宋体" w:cs="仿宋"/>
        <w:bCs/>
        <w:kern w:val="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D6596"/>
    <w:multiLevelType w:val="singleLevel"/>
    <w:tmpl w:val="6EDD6596"/>
    <w:lvl w:ilvl="0" w:tentative="0">
      <w:start w:val="1"/>
      <w:numFmt w:val="decimal"/>
      <w:suff w:val="space"/>
      <w:lvlText w:val="%1."/>
      <w:lvlJc w:val="left"/>
    </w:lvl>
  </w:abstractNum>
  <w:abstractNum w:abstractNumId="1">
    <w:nsid w:val="71C96C9D"/>
    <w:multiLevelType w:val="multilevel"/>
    <w:tmpl w:val="71C96C9D"/>
    <w:lvl w:ilvl="0" w:tentative="0">
      <w:start w:val="1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210"/>
  <w:drawingGridVerticalSpacing w:val="-7946"/>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Q0MzkwMmYyZDc3NDc0NDllNTZmYTY2ZTYwOTMifQ=="/>
    <w:docVar w:name="KSO_WPS_MARK_KEY" w:val="78991176-0e16-4ce6-9976-3a9ce0fcae2e"/>
  </w:docVars>
  <w:rsids>
    <w:rsidRoot w:val="004F1E6F"/>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578"/>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72A"/>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126"/>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18B7"/>
    <w:rsid w:val="00266165"/>
    <w:rsid w:val="002662FE"/>
    <w:rsid w:val="00266F2C"/>
    <w:rsid w:val="002701D8"/>
    <w:rsid w:val="0027125E"/>
    <w:rsid w:val="00271767"/>
    <w:rsid w:val="00272293"/>
    <w:rsid w:val="002723C8"/>
    <w:rsid w:val="00273C2A"/>
    <w:rsid w:val="00273CBE"/>
    <w:rsid w:val="002746B1"/>
    <w:rsid w:val="00274BAD"/>
    <w:rsid w:val="00282D56"/>
    <w:rsid w:val="002835B0"/>
    <w:rsid w:val="00283BE2"/>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11C"/>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5FA2"/>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6591"/>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0D2"/>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6862"/>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A7F51"/>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1E6F"/>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0B95"/>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C4A"/>
    <w:rsid w:val="005E3F85"/>
    <w:rsid w:val="005E4384"/>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B7C6C"/>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AF3"/>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64D4"/>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911"/>
    <w:rsid w:val="007B7490"/>
    <w:rsid w:val="007C0525"/>
    <w:rsid w:val="007C13F7"/>
    <w:rsid w:val="007C218D"/>
    <w:rsid w:val="007C2D28"/>
    <w:rsid w:val="007C3E22"/>
    <w:rsid w:val="007C5B90"/>
    <w:rsid w:val="007C6079"/>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5CC"/>
    <w:rsid w:val="008F091F"/>
    <w:rsid w:val="008F17B2"/>
    <w:rsid w:val="008F22B3"/>
    <w:rsid w:val="008F357B"/>
    <w:rsid w:val="008F3B1D"/>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7AF"/>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09C"/>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F8B"/>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7311"/>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7AD"/>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999"/>
    <w:rsid w:val="00C72F53"/>
    <w:rsid w:val="00C74035"/>
    <w:rsid w:val="00C748EA"/>
    <w:rsid w:val="00C77818"/>
    <w:rsid w:val="00C8063F"/>
    <w:rsid w:val="00C80F2C"/>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BE7"/>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559B"/>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051"/>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5C3A"/>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8727B9"/>
    <w:rsid w:val="01AF3D99"/>
    <w:rsid w:val="02511F9D"/>
    <w:rsid w:val="03A314B8"/>
    <w:rsid w:val="03D82B98"/>
    <w:rsid w:val="03F83E8B"/>
    <w:rsid w:val="05044FD5"/>
    <w:rsid w:val="057D6BA8"/>
    <w:rsid w:val="05C56868"/>
    <w:rsid w:val="07B72767"/>
    <w:rsid w:val="08077E72"/>
    <w:rsid w:val="086B47A6"/>
    <w:rsid w:val="08882DD0"/>
    <w:rsid w:val="09226B0F"/>
    <w:rsid w:val="09986D97"/>
    <w:rsid w:val="09CC2AAC"/>
    <w:rsid w:val="09D26E76"/>
    <w:rsid w:val="0A652D3E"/>
    <w:rsid w:val="0B326F2A"/>
    <w:rsid w:val="0B6727D9"/>
    <w:rsid w:val="0BB4635D"/>
    <w:rsid w:val="0BDC4B87"/>
    <w:rsid w:val="0C1E2888"/>
    <w:rsid w:val="0C92213C"/>
    <w:rsid w:val="0D84032B"/>
    <w:rsid w:val="0E7A2B4C"/>
    <w:rsid w:val="0F2A74C4"/>
    <w:rsid w:val="0FD70683"/>
    <w:rsid w:val="10A27F31"/>
    <w:rsid w:val="11847051"/>
    <w:rsid w:val="11927058"/>
    <w:rsid w:val="11DA398C"/>
    <w:rsid w:val="134F66BB"/>
    <w:rsid w:val="13AF4F03"/>
    <w:rsid w:val="13E901E3"/>
    <w:rsid w:val="1410303C"/>
    <w:rsid w:val="14736E66"/>
    <w:rsid w:val="147F458F"/>
    <w:rsid w:val="14D958EC"/>
    <w:rsid w:val="1534169A"/>
    <w:rsid w:val="15BB2916"/>
    <w:rsid w:val="15C03E03"/>
    <w:rsid w:val="162A25EB"/>
    <w:rsid w:val="16FD2A55"/>
    <w:rsid w:val="17067C1A"/>
    <w:rsid w:val="17117A8B"/>
    <w:rsid w:val="17366761"/>
    <w:rsid w:val="177C01F0"/>
    <w:rsid w:val="17CE6630"/>
    <w:rsid w:val="18AE0D86"/>
    <w:rsid w:val="1921046B"/>
    <w:rsid w:val="19741FD7"/>
    <w:rsid w:val="1AFF0AFE"/>
    <w:rsid w:val="1B086846"/>
    <w:rsid w:val="1B4F19F8"/>
    <w:rsid w:val="1BEE7F95"/>
    <w:rsid w:val="1C226F03"/>
    <w:rsid w:val="1CBA0FA6"/>
    <w:rsid w:val="1DC43018"/>
    <w:rsid w:val="1ECC44FA"/>
    <w:rsid w:val="1F063325"/>
    <w:rsid w:val="1F3E6060"/>
    <w:rsid w:val="1F71456F"/>
    <w:rsid w:val="1FBC5DF5"/>
    <w:rsid w:val="1FF90588"/>
    <w:rsid w:val="20C3623F"/>
    <w:rsid w:val="21781212"/>
    <w:rsid w:val="218C669E"/>
    <w:rsid w:val="21B83F86"/>
    <w:rsid w:val="21F235CB"/>
    <w:rsid w:val="221178A8"/>
    <w:rsid w:val="221213CF"/>
    <w:rsid w:val="22327A92"/>
    <w:rsid w:val="22963C78"/>
    <w:rsid w:val="231D53A2"/>
    <w:rsid w:val="234B49EE"/>
    <w:rsid w:val="236D5383"/>
    <w:rsid w:val="23B7504C"/>
    <w:rsid w:val="23F36A58"/>
    <w:rsid w:val="24571307"/>
    <w:rsid w:val="24640B89"/>
    <w:rsid w:val="24F06295"/>
    <w:rsid w:val="25110A2A"/>
    <w:rsid w:val="256C0944"/>
    <w:rsid w:val="26446DE3"/>
    <w:rsid w:val="269669E7"/>
    <w:rsid w:val="26D7699F"/>
    <w:rsid w:val="2810627B"/>
    <w:rsid w:val="296C5BF2"/>
    <w:rsid w:val="29A16BD4"/>
    <w:rsid w:val="2A067935"/>
    <w:rsid w:val="2AF04C32"/>
    <w:rsid w:val="2B774624"/>
    <w:rsid w:val="2C163734"/>
    <w:rsid w:val="2C372028"/>
    <w:rsid w:val="2C390172"/>
    <w:rsid w:val="2C7A72BE"/>
    <w:rsid w:val="2C9A7D75"/>
    <w:rsid w:val="2CC17412"/>
    <w:rsid w:val="2CF35FD9"/>
    <w:rsid w:val="2D947BEA"/>
    <w:rsid w:val="2E9067E6"/>
    <w:rsid w:val="2E9976CE"/>
    <w:rsid w:val="2F3F5C82"/>
    <w:rsid w:val="2F401D3C"/>
    <w:rsid w:val="2F5B24E1"/>
    <w:rsid w:val="2F6A44C2"/>
    <w:rsid w:val="2FA95C88"/>
    <w:rsid w:val="3041370F"/>
    <w:rsid w:val="312B50A3"/>
    <w:rsid w:val="32453A27"/>
    <w:rsid w:val="3263064A"/>
    <w:rsid w:val="327C1720"/>
    <w:rsid w:val="32A43132"/>
    <w:rsid w:val="32AC0C06"/>
    <w:rsid w:val="33231A92"/>
    <w:rsid w:val="33344EF5"/>
    <w:rsid w:val="3422003D"/>
    <w:rsid w:val="344F1CC6"/>
    <w:rsid w:val="346C4000"/>
    <w:rsid w:val="34735BC7"/>
    <w:rsid w:val="35020CF9"/>
    <w:rsid w:val="35323592"/>
    <w:rsid w:val="3537750C"/>
    <w:rsid w:val="3537798C"/>
    <w:rsid w:val="35C13FC9"/>
    <w:rsid w:val="364257B6"/>
    <w:rsid w:val="36CD0B0F"/>
    <w:rsid w:val="36E04F7F"/>
    <w:rsid w:val="374365F8"/>
    <w:rsid w:val="378123A9"/>
    <w:rsid w:val="37EA5922"/>
    <w:rsid w:val="3810372D"/>
    <w:rsid w:val="38276B93"/>
    <w:rsid w:val="38AC3431"/>
    <w:rsid w:val="38BD416F"/>
    <w:rsid w:val="38C239DC"/>
    <w:rsid w:val="39133709"/>
    <w:rsid w:val="392D2394"/>
    <w:rsid w:val="392F2E16"/>
    <w:rsid w:val="39A131D7"/>
    <w:rsid w:val="39E00529"/>
    <w:rsid w:val="3A0B64A7"/>
    <w:rsid w:val="3A485400"/>
    <w:rsid w:val="3A574DDA"/>
    <w:rsid w:val="3A890E8D"/>
    <w:rsid w:val="3AD3075A"/>
    <w:rsid w:val="3AEF12CB"/>
    <w:rsid w:val="3AF74C02"/>
    <w:rsid w:val="3BD00225"/>
    <w:rsid w:val="3C0059A5"/>
    <w:rsid w:val="3C134E78"/>
    <w:rsid w:val="3C931ABD"/>
    <w:rsid w:val="3CC24CAA"/>
    <w:rsid w:val="3CFC2AEE"/>
    <w:rsid w:val="3DEC7285"/>
    <w:rsid w:val="3DF6345D"/>
    <w:rsid w:val="3DF6798C"/>
    <w:rsid w:val="3E2B5515"/>
    <w:rsid w:val="3E4D4F28"/>
    <w:rsid w:val="3EE13701"/>
    <w:rsid w:val="3F1A4BB3"/>
    <w:rsid w:val="3F57272F"/>
    <w:rsid w:val="40192BA6"/>
    <w:rsid w:val="40E12FE8"/>
    <w:rsid w:val="41766EA9"/>
    <w:rsid w:val="42550A18"/>
    <w:rsid w:val="429D496A"/>
    <w:rsid w:val="42E36B0E"/>
    <w:rsid w:val="42F473A1"/>
    <w:rsid w:val="43222E7B"/>
    <w:rsid w:val="43444075"/>
    <w:rsid w:val="441E62C0"/>
    <w:rsid w:val="45325D14"/>
    <w:rsid w:val="45811C7C"/>
    <w:rsid w:val="45906116"/>
    <w:rsid w:val="46120A5E"/>
    <w:rsid w:val="468B3EFB"/>
    <w:rsid w:val="470A6193"/>
    <w:rsid w:val="47385210"/>
    <w:rsid w:val="476A1AE5"/>
    <w:rsid w:val="47DC4F5C"/>
    <w:rsid w:val="48681B97"/>
    <w:rsid w:val="48B40671"/>
    <w:rsid w:val="499B5738"/>
    <w:rsid w:val="499F244D"/>
    <w:rsid w:val="4A973F3F"/>
    <w:rsid w:val="4AF96BC7"/>
    <w:rsid w:val="4B5A416B"/>
    <w:rsid w:val="4B862A85"/>
    <w:rsid w:val="4BAC011F"/>
    <w:rsid w:val="4BF92A1F"/>
    <w:rsid w:val="4CEF36E2"/>
    <w:rsid w:val="4CEF4DC5"/>
    <w:rsid w:val="4D5B14E9"/>
    <w:rsid w:val="4DA31FC0"/>
    <w:rsid w:val="4DFF0198"/>
    <w:rsid w:val="4E257655"/>
    <w:rsid w:val="4E8E7871"/>
    <w:rsid w:val="4F372380"/>
    <w:rsid w:val="4F372FFB"/>
    <w:rsid w:val="5025116D"/>
    <w:rsid w:val="506E3258"/>
    <w:rsid w:val="51F4595F"/>
    <w:rsid w:val="52395ECD"/>
    <w:rsid w:val="52756157"/>
    <w:rsid w:val="52C10D75"/>
    <w:rsid w:val="53177392"/>
    <w:rsid w:val="53C27FF8"/>
    <w:rsid w:val="549E1A80"/>
    <w:rsid w:val="54AD765E"/>
    <w:rsid w:val="54C658F4"/>
    <w:rsid w:val="550C4BD7"/>
    <w:rsid w:val="554C1D56"/>
    <w:rsid w:val="55572986"/>
    <w:rsid w:val="55C062DD"/>
    <w:rsid w:val="565340FA"/>
    <w:rsid w:val="5723343E"/>
    <w:rsid w:val="572A6AD0"/>
    <w:rsid w:val="573D7EAB"/>
    <w:rsid w:val="5813465D"/>
    <w:rsid w:val="594A2AEB"/>
    <w:rsid w:val="59AA36DA"/>
    <w:rsid w:val="5A2F2CC8"/>
    <w:rsid w:val="5ABD4ED3"/>
    <w:rsid w:val="5B45014B"/>
    <w:rsid w:val="5BA26962"/>
    <w:rsid w:val="5C10702D"/>
    <w:rsid w:val="5C152601"/>
    <w:rsid w:val="5C487568"/>
    <w:rsid w:val="5C591F03"/>
    <w:rsid w:val="5C8A1B2F"/>
    <w:rsid w:val="5CC04E72"/>
    <w:rsid w:val="5D3262EB"/>
    <w:rsid w:val="5D914004"/>
    <w:rsid w:val="5E927ECD"/>
    <w:rsid w:val="5F561B72"/>
    <w:rsid w:val="606007BB"/>
    <w:rsid w:val="60AB4D25"/>
    <w:rsid w:val="60AC7F66"/>
    <w:rsid w:val="60CB53F6"/>
    <w:rsid w:val="61B807C5"/>
    <w:rsid w:val="61BF10D9"/>
    <w:rsid w:val="61DA3D4C"/>
    <w:rsid w:val="62375E95"/>
    <w:rsid w:val="624D53FA"/>
    <w:rsid w:val="627817B8"/>
    <w:rsid w:val="62AC22DC"/>
    <w:rsid w:val="637833E8"/>
    <w:rsid w:val="63902642"/>
    <w:rsid w:val="64834B05"/>
    <w:rsid w:val="64AF414A"/>
    <w:rsid w:val="64B1461A"/>
    <w:rsid w:val="64E45EF7"/>
    <w:rsid w:val="65903189"/>
    <w:rsid w:val="65C5379C"/>
    <w:rsid w:val="662809AB"/>
    <w:rsid w:val="664F01C9"/>
    <w:rsid w:val="6691014E"/>
    <w:rsid w:val="66C87CCE"/>
    <w:rsid w:val="66D44D17"/>
    <w:rsid w:val="671D183F"/>
    <w:rsid w:val="677435B2"/>
    <w:rsid w:val="67EF75F1"/>
    <w:rsid w:val="68DE4FFE"/>
    <w:rsid w:val="69124F16"/>
    <w:rsid w:val="691B01BE"/>
    <w:rsid w:val="694A5205"/>
    <w:rsid w:val="69CD5C14"/>
    <w:rsid w:val="69CF0D33"/>
    <w:rsid w:val="6B9946B3"/>
    <w:rsid w:val="6C662189"/>
    <w:rsid w:val="6C7007C7"/>
    <w:rsid w:val="6DE76850"/>
    <w:rsid w:val="6E075319"/>
    <w:rsid w:val="6E420FDA"/>
    <w:rsid w:val="6FB20BD4"/>
    <w:rsid w:val="6FB650F7"/>
    <w:rsid w:val="6FBA59BE"/>
    <w:rsid w:val="6FC36CCC"/>
    <w:rsid w:val="70296B3E"/>
    <w:rsid w:val="70611204"/>
    <w:rsid w:val="7064403B"/>
    <w:rsid w:val="70A03AD5"/>
    <w:rsid w:val="71741C9C"/>
    <w:rsid w:val="71BA664B"/>
    <w:rsid w:val="73445350"/>
    <w:rsid w:val="734463A5"/>
    <w:rsid w:val="740B6F86"/>
    <w:rsid w:val="74B36F66"/>
    <w:rsid w:val="74D72778"/>
    <w:rsid w:val="74D7619B"/>
    <w:rsid w:val="74FA2C30"/>
    <w:rsid w:val="754D5C4B"/>
    <w:rsid w:val="75B461D0"/>
    <w:rsid w:val="75BC5076"/>
    <w:rsid w:val="75E12DDE"/>
    <w:rsid w:val="761B5373"/>
    <w:rsid w:val="769B08D7"/>
    <w:rsid w:val="76C240A7"/>
    <w:rsid w:val="76EF3F3F"/>
    <w:rsid w:val="775246B7"/>
    <w:rsid w:val="77BD2F8C"/>
    <w:rsid w:val="781E69D1"/>
    <w:rsid w:val="78E13F00"/>
    <w:rsid w:val="795B0086"/>
    <w:rsid w:val="7A011223"/>
    <w:rsid w:val="7A263B6B"/>
    <w:rsid w:val="7AF46346"/>
    <w:rsid w:val="7B0F5EBF"/>
    <w:rsid w:val="7B130FB9"/>
    <w:rsid w:val="7BF64EDE"/>
    <w:rsid w:val="7C400C1E"/>
    <w:rsid w:val="7D166E9A"/>
    <w:rsid w:val="7D717AD0"/>
    <w:rsid w:val="7DD11708"/>
    <w:rsid w:val="7DD17B14"/>
    <w:rsid w:val="7EBD579E"/>
    <w:rsid w:val="7EC167BD"/>
    <w:rsid w:val="7F246C24"/>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41"/>
    <w:qFormat/>
    <w:uiPriority w:val="9"/>
    <w:pPr>
      <w:keepNext/>
      <w:keepLines/>
      <w:spacing w:before="280" w:after="290" w:line="376" w:lineRule="auto"/>
      <w:outlineLvl w:val="4"/>
    </w:pPr>
    <w:rPr>
      <w:b/>
      <w:bCs/>
      <w:sz w:val="28"/>
      <w:szCs w:val="28"/>
    </w:rPr>
  </w:style>
  <w:style w:type="paragraph" w:styleId="8">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43"/>
    <w:qFormat/>
    <w:uiPriority w:val="0"/>
    <w:pPr>
      <w:jc w:val="left"/>
    </w:pPr>
  </w:style>
  <w:style w:type="paragraph" w:styleId="12">
    <w:name w:val="Body Text 3"/>
    <w:basedOn w:val="1"/>
    <w:link w:val="44"/>
    <w:qFormat/>
    <w:uiPriority w:val="99"/>
    <w:pPr>
      <w:spacing w:after="120"/>
    </w:pPr>
    <w:rPr>
      <w:sz w:val="16"/>
      <w:szCs w:val="16"/>
    </w:rPr>
  </w:style>
  <w:style w:type="paragraph" w:styleId="13">
    <w:name w:val="Body Text"/>
    <w:basedOn w:val="1"/>
    <w:next w:val="1"/>
    <w:link w:val="37"/>
    <w:qFormat/>
    <w:uiPriority w:val="99"/>
  </w:style>
  <w:style w:type="paragraph" w:styleId="14">
    <w:name w:val="Body Text Indent"/>
    <w:basedOn w:val="1"/>
    <w:link w:val="45"/>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
    <w:next w:val="1"/>
    <w:link w:val="46"/>
    <w:qFormat/>
    <w:uiPriority w:val="0"/>
    <w:rPr>
      <w:rFonts w:ascii="宋体" w:hAnsi="Courier New"/>
      <w:kern w:val="0"/>
      <w:sz w:val="20"/>
      <w:szCs w:val="21"/>
    </w:rPr>
  </w:style>
  <w:style w:type="paragraph" w:styleId="18">
    <w:name w:val="Date"/>
    <w:basedOn w:val="1"/>
    <w:next w:val="1"/>
    <w:link w:val="47"/>
    <w:qFormat/>
    <w:uiPriority w:val="99"/>
    <w:pPr>
      <w:ind w:left="100" w:leftChars="2500"/>
    </w:pPr>
  </w:style>
  <w:style w:type="paragraph" w:styleId="19">
    <w:name w:val="Balloon Text"/>
    <w:basedOn w:val="1"/>
    <w:link w:val="48"/>
    <w:qFormat/>
    <w:uiPriority w:val="0"/>
    <w:rPr>
      <w:sz w:val="18"/>
      <w:szCs w:val="18"/>
    </w:rPr>
  </w:style>
  <w:style w:type="paragraph" w:styleId="20">
    <w:name w:val="footer"/>
    <w:basedOn w:val="1"/>
    <w:next w:val="1"/>
    <w:link w:val="49"/>
    <w:qFormat/>
    <w:uiPriority w:val="99"/>
    <w:pPr>
      <w:tabs>
        <w:tab w:val="center" w:pos="4153"/>
        <w:tab w:val="right" w:pos="8306"/>
      </w:tabs>
      <w:snapToGrid w:val="0"/>
      <w:jc w:val="left"/>
    </w:pPr>
    <w:rPr>
      <w:kern w:val="0"/>
      <w:sz w:val="18"/>
      <w:szCs w:val="18"/>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List"/>
    <w:basedOn w:val="1"/>
    <w:qFormat/>
    <w:uiPriority w:val="0"/>
    <w:pPr>
      <w:ind w:left="200" w:hanging="200" w:hangingChars="200"/>
      <w:contextualSpacing/>
    </w:pPr>
  </w:style>
  <w:style w:type="paragraph" w:styleId="24">
    <w:name w:val="toc 2"/>
    <w:basedOn w:val="1"/>
    <w:next w:val="1"/>
    <w:qFormat/>
    <w:uiPriority w:val="0"/>
    <w:pPr>
      <w:tabs>
        <w:tab w:val="right" w:leader="dot" w:pos="8296"/>
      </w:tabs>
      <w:ind w:left="420" w:leftChars="200"/>
    </w:pPr>
  </w:style>
  <w:style w:type="paragraph" w:styleId="25">
    <w:name w:val="Normal (Web)"/>
    <w:basedOn w:val="1"/>
    <w:qFormat/>
    <w:uiPriority w:val="0"/>
    <w:rPr>
      <w:rFonts w:ascii="Calibri" w:hAnsi="Calibri"/>
      <w:kern w:val="0"/>
      <w:sz w:val="24"/>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11"/>
    <w:next w:val="11"/>
    <w:link w:val="51"/>
    <w:qFormat/>
    <w:uiPriority w:val="99"/>
    <w:rPr>
      <w:b/>
      <w:bCs/>
    </w:rPr>
  </w:style>
  <w:style w:type="paragraph" w:styleId="28">
    <w:name w:val="Body Text First Indent"/>
    <w:basedOn w:val="13"/>
    <w:next w:val="1"/>
    <w:unhideWhenUsed/>
    <w:qFormat/>
    <w:uiPriority w:val="99"/>
    <w:pPr>
      <w:ind w:firstLine="420" w:firstLineChars="100"/>
    </w:p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qFormat/>
    <w:uiPriority w:val="0"/>
    <w:rPr>
      <w:vertAlign w:val="superscript"/>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character" w:customStyle="1" w:styleId="37">
    <w:name w:val="正文文本 Char1"/>
    <w:link w:val="13"/>
    <w:qFormat/>
    <w:uiPriority w:val="0"/>
    <w:rPr>
      <w:kern w:val="2"/>
      <w:sz w:val="21"/>
      <w:szCs w:val="24"/>
    </w:rPr>
  </w:style>
  <w:style w:type="character" w:customStyle="1" w:styleId="38">
    <w:name w:val="标题 1 Char"/>
    <w:link w:val="3"/>
    <w:qFormat/>
    <w:uiPriority w:val="9"/>
    <w:rPr>
      <w:b/>
      <w:bCs/>
      <w:kern w:val="44"/>
      <w:sz w:val="44"/>
      <w:szCs w:val="44"/>
    </w:rPr>
  </w:style>
  <w:style w:type="character" w:customStyle="1" w:styleId="39">
    <w:name w:val="标题 2 Char1"/>
    <w:link w:val="4"/>
    <w:qFormat/>
    <w:uiPriority w:val="9"/>
    <w:rPr>
      <w:rFonts w:ascii="Cambria" w:hAnsi="Cambria" w:eastAsia="宋体" w:cs="Times New Roman"/>
      <w:b/>
      <w:bCs/>
      <w:kern w:val="2"/>
      <w:sz w:val="32"/>
      <w:szCs w:val="32"/>
    </w:rPr>
  </w:style>
  <w:style w:type="character" w:customStyle="1" w:styleId="40">
    <w:name w:val="标题 3 Char"/>
    <w:link w:val="5"/>
    <w:qFormat/>
    <w:uiPriority w:val="9"/>
    <w:rPr>
      <w:b/>
      <w:bCs/>
      <w:kern w:val="2"/>
      <w:sz w:val="32"/>
      <w:szCs w:val="32"/>
    </w:rPr>
  </w:style>
  <w:style w:type="character" w:customStyle="1" w:styleId="41">
    <w:name w:val="标题 5 Char"/>
    <w:link w:val="6"/>
    <w:qFormat/>
    <w:uiPriority w:val="9"/>
    <w:rPr>
      <w:rFonts w:ascii="Times New Roman" w:hAnsi="Times New Roman"/>
      <w:b/>
      <w:bCs/>
      <w:kern w:val="2"/>
      <w:sz w:val="28"/>
      <w:szCs w:val="28"/>
    </w:rPr>
  </w:style>
  <w:style w:type="character" w:customStyle="1" w:styleId="42">
    <w:name w:val="标题 8 Char1"/>
    <w:link w:val="8"/>
    <w:qFormat/>
    <w:uiPriority w:val="9"/>
    <w:rPr>
      <w:rFonts w:ascii="等线 Light" w:hAnsi="等线 Light" w:eastAsia="等线 Light" w:cs="Times New Roman"/>
      <w:kern w:val="2"/>
      <w:sz w:val="24"/>
      <w:szCs w:val="24"/>
    </w:rPr>
  </w:style>
  <w:style w:type="character" w:customStyle="1" w:styleId="43">
    <w:name w:val="批注文字 Char1"/>
    <w:link w:val="11"/>
    <w:qFormat/>
    <w:uiPriority w:val="0"/>
    <w:rPr>
      <w:rFonts w:ascii="Times New Roman" w:hAnsi="Times New Roman"/>
      <w:kern w:val="2"/>
      <w:sz w:val="21"/>
      <w:szCs w:val="24"/>
    </w:rPr>
  </w:style>
  <w:style w:type="character" w:customStyle="1" w:styleId="44">
    <w:name w:val="正文文本 3 Char"/>
    <w:link w:val="12"/>
    <w:qFormat/>
    <w:uiPriority w:val="99"/>
    <w:rPr>
      <w:kern w:val="2"/>
      <w:sz w:val="16"/>
      <w:szCs w:val="16"/>
    </w:rPr>
  </w:style>
  <w:style w:type="character" w:customStyle="1" w:styleId="45">
    <w:name w:val="正文文本缩进 Char"/>
    <w:link w:val="14"/>
    <w:qFormat/>
    <w:uiPriority w:val="0"/>
    <w:rPr>
      <w:rFonts w:ascii="仿宋_GB2312" w:hAnsi="Times New Roman" w:eastAsia="仿宋_GB2312" w:cs="Times New Roman"/>
      <w:sz w:val="32"/>
      <w:szCs w:val="20"/>
    </w:rPr>
  </w:style>
  <w:style w:type="character" w:customStyle="1" w:styleId="46">
    <w:name w:val="纯文本 Char1"/>
    <w:link w:val="17"/>
    <w:qFormat/>
    <w:uiPriority w:val="0"/>
    <w:rPr>
      <w:rFonts w:ascii="宋体" w:hAnsi="Courier New" w:eastAsia="宋体" w:cs="Courier New"/>
      <w:szCs w:val="21"/>
    </w:rPr>
  </w:style>
  <w:style w:type="character" w:customStyle="1" w:styleId="47">
    <w:name w:val="日期 Char"/>
    <w:link w:val="18"/>
    <w:qFormat/>
    <w:uiPriority w:val="99"/>
    <w:rPr>
      <w:rFonts w:ascii="Times New Roman" w:hAnsi="Times New Roman"/>
      <w:kern w:val="2"/>
      <w:sz w:val="21"/>
      <w:szCs w:val="24"/>
    </w:rPr>
  </w:style>
  <w:style w:type="character" w:customStyle="1" w:styleId="48">
    <w:name w:val="批注框文本 Char"/>
    <w:link w:val="19"/>
    <w:semiHidden/>
    <w:qFormat/>
    <w:uiPriority w:val="0"/>
    <w:rPr>
      <w:kern w:val="2"/>
      <w:sz w:val="18"/>
      <w:szCs w:val="18"/>
    </w:rPr>
  </w:style>
  <w:style w:type="character" w:customStyle="1" w:styleId="49">
    <w:name w:val="页脚 Char"/>
    <w:link w:val="20"/>
    <w:qFormat/>
    <w:uiPriority w:val="99"/>
    <w:rPr>
      <w:sz w:val="18"/>
      <w:szCs w:val="18"/>
    </w:rPr>
  </w:style>
  <w:style w:type="character" w:customStyle="1" w:styleId="50">
    <w:name w:val="页眉 Char"/>
    <w:link w:val="21"/>
    <w:qFormat/>
    <w:uiPriority w:val="99"/>
    <w:rPr>
      <w:sz w:val="18"/>
      <w:szCs w:val="18"/>
    </w:rPr>
  </w:style>
  <w:style w:type="character" w:customStyle="1" w:styleId="51">
    <w:name w:val="批注主题 Char"/>
    <w:link w:val="27"/>
    <w:qFormat/>
    <w:uiPriority w:val="99"/>
    <w:rPr>
      <w:rFonts w:ascii="Times New Roman" w:hAnsi="Times New Roman"/>
      <w:b/>
      <w:bCs/>
      <w:kern w:val="2"/>
      <w:sz w:val="21"/>
      <w:szCs w:val="24"/>
    </w:rPr>
  </w:style>
  <w:style w:type="paragraph" w:customStyle="1" w:styleId="52">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character" w:customStyle="1" w:styleId="53">
    <w:name w:val="纯文本 字符2"/>
    <w:qFormat/>
    <w:uiPriority w:val="0"/>
    <w:rPr>
      <w:rFonts w:ascii="宋体" w:hAnsi="Courier New" w:eastAsia="宋体" w:cs="Courier New"/>
      <w:szCs w:val="21"/>
    </w:rPr>
  </w:style>
  <w:style w:type="character" w:customStyle="1" w:styleId="54">
    <w:name w:val="apple-style-span"/>
    <w:qFormat/>
    <w:uiPriority w:val="0"/>
  </w:style>
  <w:style w:type="character" w:customStyle="1" w:styleId="55">
    <w:name w:val="标题 2 Char"/>
    <w:qFormat/>
    <w:uiPriority w:val="9"/>
    <w:rPr>
      <w:rFonts w:ascii="Cambria" w:hAnsi="Cambria" w:eastAsia="宋体" w:cs="Times New Roman"/>
      <w:b/>
      <w:bCs/>
      <w:kern w:val="2"/>
      <w:sz w:val="32"/>
      <w:szCs w:val="32"/>
    </w:rPr>
  </w:style>
  <w:style w:type="character" w:customStyle="1" w:styleId="56">
    <w:name w:val="纯文本 字符"/>
    <w:qFormat/>
    <w:uiPriority w:val="0"/>
    <w:rPr>
      <w:rFonts w:ascii="宋体" w:hAnsi="Courier New" w:eastAsia="宋体" w:cs="Courier New"/>
      <w:szCs w:val="21"/>
    </w:rPr>
  </w:style>
  <w:style w:type="character" w:customStyle="1" w:styleId="57">
    <w:name w:val="纯文本 字符1"/>
    <w:qFormat/>
    <w:uiPriority w:val="0"/>
    <w:rPr>
      <w:rFonts w:ascii="宋体" w:hAnsi="Courier New"/>
    </w:rPr>
  </w:style>
  <w:style w:type="character" w:customStyle="1" w:styleId="58">
    <w:name w:val="标题 8 Char"/>
    <w:qFormat/>
    <w:uiPriority w:val="0"/>
    <w:rPr>
      <w:rFonts w:ascii="Arial" w:hAnsi="Arial" w:eastAsia="黑体"/>
      <w:kern w:val="2"/>
      <w:sz w:val="24"/>
      <w:szCs w:val="24"/>
    </w:rPr>
  </w:style>
  <w:style w:type="character" w:customStyle="1" w:styleId="59">
    <w:name w:val="纯文本 Char"/>
    <w:qFormat/>
    <w:uiPriority w:val="0"/>
    <w:rPr>
      <w:rFonts w:ascii="宋体" w:hAnsi="Courier New" w:eastAsia="宋体" w:cs="Courier New"/>
      <w:szCs w:val="21"/>
    </w:rPr>
  </w:style>
  <w:style w:type="character" w:customStyle="1" w:styleId="60">
    <w:name w:val="正文文本 Char"/>
    <w:qFormat/>
    <w:uiPriority w:val="99"/>
    <w:rPr>
      <w:rFonts w:ascii="Times New Roman" w:hAnsi="Times New Roman"/>
      <w:kern w:val="2"/>
      <w:sz w:val="21"/>
      <w:szCs w:val="24"/>
    </w:rPr>
  </w:style>
  <w:style w:type="character" w:customStyle="1" w:styleId="61">
    <w:name w:val="批注文字 字符1"/>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1 字符1"/>
    <w:qFormat/>
    <w:uiPriority w:val="0"/>
    <w:rPr>
      <w:b/>
      <w:bCs/>
      <w:kern w:val="44"/>
      <w:sz w:val="44"/>
      <w:szCs w:val="44"/>
    </w:rPr>
  </w:style>
  <w:style w:type="character" w:customStyle="1" w:styleId="64">
    <w:name w:val="正文文本 字符"/>
    <w:qFormat/>
    <w:uiPriority w:val="0"/>
    <w:rPr>
      <w:rFonts w:ascii="Times New Roman" w:hAnsi="Times New Roman"/>
      <w:kern w:val="2"/>
      <w:sz w:val="21"/>
      <w:szCs w:val="24"/>
    </w:rPr>
  </w:style>
  <w:style w:type="character" w:customStyle="1" w:styleId="65">
    <w:name w:val="批注文字 字符"/>
    <w:qFormat/>
    <w:uiPriority w:val="0"/>
    <w:rPr>
      <w:rFonts w:ascii="Times New Roman" w:hAnsi="Times New Roman"/>
      <w:kern w:val="2"/>
      <w:sz w:val="21"/>
      <w:szCs w:val="24"/>
    </w:rPr>
  </w:style>
  <w:style w:type="character" w:customStyle="1" w:styleId="66">
    <w:name w:val="textcontents"/>
    <w:qFormat/>
    <w:uiPriority w:val="0"/>
  </w:style>
  <w:style w:type="character" w:customStyle="1" w:styleId="67">
    <w:name w:val="批注文字 Char"/>
    <w:qFormat/>
    <w:uiPriority w:val="0"/>
    <w:rPr>
      <w:rFonts w:ascii="Times New Roman" w:hAnsi="Times New Roman"/>
      <w:kern w:val="2"/>
      <w:sz w:val="21"/>
      <w:szCs w:val="24"/>
    </w:rPr>
  </w:style>
  <w:style w:type="paragraph" w:customStyle="1" w:styleId="6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9">
    <w:name w:val="List Paragraph"/>
    <w:basedOn w:val="1"/>
    <w:qFormat/>
    <w:uiPriority w:val="99"/>
    <w:pPr>
      <w:ind w:firstLine="420" w:firstLineChars="200"/>
    </w:pPr>
  </w:style>
  <w:style w:type="paragraph" w:customStyle="1" w:styleId="70">
    <w:name w:val="默认段落字体 Para Char Char Char Char Char Char Char Char Char1 Char Char Char Char"/>
    <w:basedOn w:val="1"/>
    <w:qFormat/>
    <w:uiPriority w:val="0"/>
    <w:rPr>
      <w:rFonts w:ascii="Tahoma" w:hAnsi="Tahoma"/>
      <w:sz w:val="24"/>
      <w:szCs w:val="20"/>
    </w:rPr>
  </w:style>
  <w:style w:type="paragraph" w:customStyle="1" w:styleId="71">
    <w:name w:val="Table Paragraph"/>
    <w:basedOn w:val="1"/>
    <w:qFormat/>
    <w:uiPriority w:val="1"/>
    <w:pPr>
      <w:jc w:val="left"/>
    </w:pPr>
    <w:rPr>
      <w:rFonts w:ascii="Calibri" w:hAnsi="Calibri"/>
      <w:kern w:val="0"/>
      <w:sz w:val="22"/>
      <w:szCs w:val="22"/>
      <w:lang w:eastAsia="en-US"/>
    </w:rPr>
  </w:style>
  <w:style w:type="paragraph" w:customStyle="1" w:styleId="72">
    <w:name w:val="Char Char Char Char"/>
    <w:basedOn w:val="1"/>
    <w:qFormat/>
    <w:uiPriority w:val="0"/>
    <w:pPr>
      <w:widowControl/>
      <w:spacing w:after="160" w:line="240" w:lineRule="exact"/>
      <w:jc w:val="left"/>
    </w:pPr>
  </w:style>
  <w:style w:type="character" w:customStyle="1" w:styleId="73">
    <w:name w:val="未处理的提及"/>
    <w:unhideWhenUsed/>
    <w:qFormat/>
    <w:uiPriority w:val="99"/>
    <w:rPr>
      <w:color w:val="605E5C"/>
      <w:shd w:val="clear" w:color="auto" w:fill="E1DFDD"/>
    </w:rPr>
  </w:style>
  <w:style w:type="paragraph" w:customStyle="1" w:styleId="74">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5">
    <w:name w:val="正文2 Char Char"/>
    <w:link w:val="76"/>
    <w:qFormat/>
    <w:uiPriority w:val="0"/>
    <w:rPr>
      <w:sz w:val="24"/>
    </w:rPr>
  </w:style>
  <w:style w:type="paragraph" w:customStyle="1" w:styleId="76">
    <w:name w:val="正文2"/>
    <w:basedOn w:val="1"/>
    <w:link w:val="75"/>
    <w:qFormat/>
    <w:uiPriority w:val="0"/>
    <w:pPr>
      <w:adjustRightInd w:val="0"/>
      <w:spacing w:before="156" w:line="360" w:lineRule="auto"/>
      <w:ind w:firstLine="510" w:firstLineChars="200"/>
    </w:pPr>
    <w:rPr>
      <w:kern w:val="0"/>
      <w:sz w:val="24"/>
      <w:szCs w:val="20"/>
    </w:rPr>
  </w:style>
  <w:style w:type="paragraph" w:customStyle="1" w:styleId="7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8">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79">
    <w:name w:val="标题 1 字符"/>
    <w:qFormat/>
    <w:uiPriority w:val="9"/>
    <w:rPr>
      <w:b/>
      <w:bCs/>
      <w:kern w:val="44"/>
      <w:sz w:val="44"/>
      <w:szCs w:val="44"/>
    </w:rPr>
  </w:style>
  <w:style w:type="character" w:customStyle="1" w:styleId="80">
    <w:name w:val="标题 2 字符"/>
    <w:qFormat/>
    <w:uiPriority w:val="9"/>
    <w:rPr>
      <w:rFonts w:ascii="Cambria" w:hAnsi="Cambria"/>
      <w:b/>
      <w:bCs/>
      <w:kern w:val="2"/>
      <w:sz w:val="32"/>
      <w:szCs w:val="32"/>
    </w:rPr>
  </w:style>
  <w:style w:type="character" w:customStyle="1" w:styleId="81">
    <w:name w:val="标题 3 字符"/>
    <w:qFormat/>
    <w:uiPriority w:val="9"/>
    <w:rPr>
      <w:b/>
      <w:bCs/>
      <w:kern w:val="2"/>
      <w:sz w:val="32"/>
      <w:szCs w:val="32"/>
    </w:rPr>
  </w:style>
  <w:style w:type="character" w:customStyle="1" w:styleId="82">
    <w:name w:val="标题 5 字符"/>
    <w:qFormat/>
    <w:uiPriority w:val="9"/>
    <w:rPr>
      <w:b/>
      <w:bCs/>
      <w:kern w:val="2"/>
      <w:sz w:val="28"/>
      <w:szCs w:val="28"/>
    </w:rPr>
  </w:style>
  <w:style w:type="character" w:customStyle="1" w:styleId="83">
    <w:name w:val="标题 8 字符"/>
    <w:qFormat/>
    <w:uiPriority w:val="9"/>
    <w:rPr>
      <w:rFonts w:ascii="等线 Light" w:hAnsi="等线 Light" w:eastAsia="等线 Light"/>
      <w:kern w:val="2"/>
      <w:sz w:val="24"/>
      <w:szCs w:val="24"/>
    </w:rPr>
  </w:style>
  <w:style w:type="character" w:customStyle="1" w:styleId="84">
    <w:name w:val="批注文字 字符2"/>
    <w:qFormat/>
    <w:uiPriority w:val="0"/>
    <w:rPr>
      <w:kern w:val="2"/>
      <w:sz w:val="21"/>
      <w:szCs w:val="24"/>
    </w:rPr>
  </w:style>
  <w:style w:type="character" w:customStyle="1" w:styleId="85">
    <w:name w:val="正文文本 3 字符"/>
    <w:qFormat/>
    <w:uiPriority w:val="99"/>
    <w:rPr>
      <w:kern w:val="2"/>
      <w:sz w:val="16"/>
      <w:szCs w:val="16"/>
    </w:rPr>
  </w:style>
  <w:style w:type="character" w:customStyle="1" w:styleId="86">
    <w:name w:val="正文文本 字符1"/>
    <w:qFormat/>
    <w:uiPriority w:val="0"/>
    <w:rPr>
      <w:kern w:val="2"/>
      <w:sz w:val="21"/>
      <w:szCs w:val="24"/>
    </w:rPr>
  </w:style>
  <w:style w:type="character" w:customStyle="1" w:styleId="87">
    <w:name w:val="正文文本缩进 字符"/>
    <w:qFormat/>
    <w:uiPriority w:val="0"/>
    <w:rPr>
      <w:rFonts w:ascii="仿宋_GB2312" w:eastAsia="仿宋_GB2312"/>
      <w:sz w:val="32"/>
    </w:rPr>
  </w:style>
  <w:style w:type="character" w:customStyle="1" w:styleId="88">
    <w:name w:val="纯文本 字符3"/>
    <w:qFormat/>
    <w:uiPriority w:val="0"/>
    <w:rPr>
      <w:rFonts w:ascii="宋体" w:hAnsi="Courier New"/>
      <w:szCs w:val="21"/>
    </w:rPr>
  </w:style>
  <w:style w:type="character" w:customStyle="1" w:styleId="89">
    <w:name w:val="日期 字符"/>
    <w:qFormat/>
    <w:uiPriority w:val="99"/>
    <w:rPr>
      <w:kern w:val="2"/>
      <w:sz w:val="21"/>
      <w:szCs w:val="24"/>
    </w:rPr>
  </w:style>
  <w:style w:type="character" w:customStyle="1" w:styleId="90">
    <w:name w:val="页脚 字符"/>
    <w:qFormat/>
    <w:uiPriority w:val="99"/>
    <w:rPr>
      <w:sz w:val="18"/>
      <w:szCs w:val="18"/>
    </w:rPr>
  </w:style>
  <w:style w:type="character" w:customStyle="1" w:styleId="91">
    <w:name w:val="页眉 字符"/>
    <w:qFormat/>
    <w:uiPriority w:val="99"/>
    <w:rPr>
      <w:sz w:val="18"/>
      <w:szCs w:val="18"/>
    </w:rPr>
  </w:style>
  <w:style w:type="character" w:customStyle="1" w:styleId="92">
    <w:name w:val="批注主题 字符"/>
    <w:qFormat/>
    <w:uiPriority w:val="99"/>
    <w:rPr>
      <w:rFonts w:ascii="Times New Roman" w:hAnsi="Times New Roman"/>
      <w:b/>
      <w:bCs/>
      <w:kern w:val="2"/>
      <w:sz w:val="21"/>
      <w:szCs w:val="24"/>
    </w:rPr>
  </w:style>
  <w:style w:type="paragraph" w:customStyle="1" w:styleId="93">
    <w:name w:val="_Style 94"/>
    <w:basedOn w:val="1"/>
    <w:unhideWhenUsed/>
    <w:qFormat/>
    <w:uiPriority w:val="99"/>
  </w:style>
  <w:style w:type="paragraph" w:customStyle="1" w:styleId="94">
    <w:name w:val="_Style 95"/>
    <w:basedOn w:val="1"/>
    <w:unhideWhenUsed/>
    <w:qFormat/>
    <w:uiPriority w:val="99"/>
  </w:style>
  <w:style w:type="paragraph" w:customStyle="1" w:styleId="95">
    <w:name w:val="首行缩进"/>
    <w:basedOn w:val="1"/>
    <w:qFormat/>
    <w:uiPriority w:val="0"/>
    <w:pPr>
      <w:ind w:firstLine="480" w:firstLineChars="200"/>
    </w:pPr>
    <w:rPr>
      <w:lang w:val="zh-CN"/>
    </w:rPr>
  </w:style>
  <w:style w:type="character" w:customStyle="1" w:styleId="96">
    <w:name w:val="NormalCharacter"/>
    <w:semiHidden/>
    <w:qFormat/>
    <w:uiPriority w:val="0"/>
    <w:rPr>
      <w:rFonts w:ascii="Calibri" w:hAnsi="Calibri" w:eastAsia="宋体" w:cs="Times New Roman"/>
    </w:rPr>
  </w:style>
  <w:style w:type="paragraph" w:customStyle="1" w:styleId="97">
    <w:name w:val="样式29"/>
    <w:basedOn w:val="98"/>
    <w:qFormat/>
    <w:uiPriority w:val="0"/>
    <w:rPr>
      <w:rFonts w:eastAsia="楷体_GB2312"/>
    </w:rPr>
  </w:style>
  <w:style w:type="paragraph" w:customStyle="1" w:styleId="98">
    <w:name w:val="样式9 Char"/>
    <w:basedOn w:val="1"/>
    <w:qFormat/>
    <w:uiPriority w:val="0"/>
    <w:pPr>
      <w:spacing w:line="440" w:lineRule="exact"/>
      <w:ind w:firstLine="200" w:firstLineChars="200"/>
    </w:pPr>
    <w:rPr>
      <w:spacing w:val="6"/>
      <w:sz w:val="24"/>
    </w:rPr>
  </w:style>
  <w:style w:type="paragraph" w:customStyle="1" w:styleId="99">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样式7"/>
    <w:basedOn w:val="1"/>
    <w:qFormat/>
    <w:uiPriority w:val="0"/>
    <w:pPr>
      <w:spacing w:line="480" w:lineRule="exact"/>
      <w:jc w:val="center"/>
    </w:pPr>
    <w:rPr>
      <w:rFonts w:eastAsia="方正大标宋简体"/>
      <w:spacing w:val="6"/>
      <w:sz w:val="44"/>
    </w:rPr>
  </w:style>
  <w:style w:type="paragraph" w:customStyle="1" w:styleId="102">
    <w:name w:val="标题 5（有编号）（绿盟科技）"/>
    <w:basedOn w:val="1"/>
    <w:next w:val="103"/>
    <w:qFormat/>
    <w:uiPriority w:val="99"/>
    <w:pPr>
      <w:keepNext/>
      <w:keepLines/>
      <w:spacing w:before="280" w:after="156" w:line="377" w:lineRule="auto"/>
      <w:outlineLvl w:val="4"/>
    </w:pPr>
    <w:rPr>
      <w:rFonts w:ascii="Arial" w:hAnsi="Arial" w:eastAsia="黑体" w:cs="Arial"/>
      <w:b/>
      <w:bCs/>
      <w:sz w:val="24"/>
    </w:rPr>
  </w:style>
  <w:style w:type="paragraph" w:customStyle="1" w:styleId="103">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104">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0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0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无间隔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9D8EA-C25A-42A5-A39E-E1F2BF08D3B2}">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111</Pages>
  <Words>24859</Words>
  <Characters>26501</Characters>
  <Lines>517</Lines>
  <Paragraphs>145</Paragraphs>
  <TotalTime>142</TotalTime>
  <ScaleCrop>false</ScaleCrop>
  <LinksUpToDate>false</LinksUpToDate>
  <CharactersWithSpaces>26680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2024-10-29T14:23:00Z</dcterms:created>
  <dc:creator>唐冰</dc:creator>
  <cp:lastModifiedBy>Administrator</cp:lastModifiedBy>
  <cp:lastPrinted>2022-07-15T09:23:00Z</cp:lastPrinted>
  <dcterms:modified xsi:type="dcterms:W3CDTF">2025-11-19T08:15:29Z</dcterms:modified>
  <dc:title>竞争性谈判文件规范</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782FC9D8A9A74969A99170E0935BDB8C_13</vt:lpwstr>
  </property>
  <property fmtid="{D5CDD505-2E9C-101B-9397-08002B2CF9AE}" pid="4" name="KSOTemplateDocerSaveRecord">
    <vt:lpwstr>eyJoZGlkIjoiNmI4OTIyODZmZDNkMjMzZWQ1ZTc1OTA5ZWYzY2ViOTUiLCJ1c2VySWQiOiIyNjUyNjk5MTkifQ==</vt:lpwstr>
  </property>
</Properties>
</file>