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5DC75">
      <w:pPr>
        <w:spacing w:before="120" w:beforeLines="50" w:line="360" w:lineRule="auto"/>
        <w:jc w:val="center"/>
        <w:rPr>
          <w:rFonts w:ascii="宋体" w:hAnsi="宋体"/>
          <w:color w:val="auto"/>
          <w:sz w:val="52"/>
          <w:szCs w:val="52"/>
        </w:rPr>
      </w:pPr>
      <w:r>
        <w:rPr>
          <w:rFonts w:hint="eastAsia" w:ascii="宋体" w:hAnsi="宋体" w:cs="宋体"/>
          <w:color w:val="auto"/>
          <w:sz w:val="52"/>
          <w:szCs w:val="52"/>
          <w:highlight w:val="none"/>
        </w:rPr>
        <w:t>南宁市</w:t>
      </w:r>
      <w:r>
        <w:rPr>
          <w:rFonts w:hint="eastAsia" w:ascii="宋体" w:hAnsi="宋体"/>
          <w:color w:val="auto"/>
          <w:sz w:val="52"/>
          <w:szCs w:val="52"/>
        </w:rPr>
        <w:t>政府采购</w:t>
      </w:r>
    </w:p>
    <w:p w14:paraId="682646E3">
      <w:pPr>
        <w:spacing w:before="120" w:beforeLines="50" w:line="360" w:lineRule="auto"/>
        <w:jc w:val="center"/>
        <w:rPr>
          <w:rFonts w:hint="eastAsia" w:ascii="宋体" w:hAnsi="宋体"/>
          <w:color w:val="auto"/>
          <w:sz w:val="52"/>
          <w:szCs w:val="52"/>
        </w:rPr>
      </w:pPr>
      <w:r>
        <w:rPr>
          <w:rFonts w:hint="eastAsia" w:ascii="宋体" w:hAnsi="宋体"/>
          <w:color w:val="auto"/>
          <w:sz w:val="52"/>
          <w:szCs w:val="52"/>
          <w:highlight w:val="none"/>
        </w:rPr>
        <w:t>公开招标文件</w:t>
      </w:r>
      <w:r>
        <w:rPr>
          <w:rFonts w:hint="eastAsia" w:ascii="宋体" w:hAnsi="宋体"/>
          <w:color w:val="auto"/>
          <w:sz w:val="52"/>
          <w:szCs w:val="52"/>
        </w:rPr>
        <w:t>（服务类）</w:t>
      </w:r>
    </w:p>
    <w:p w14:paraId="78F7C201">
      <w:pPr>
        <w:spacing w:before="120" w:beforeLines="50" w:line="360" w:lineRule="auto"/>
        <w:jc w:val="center"/>
        <w:rPr>
          <w:rFonts w:hint="eastAsia" w:ascii="仿宋_GB2312" w:hAnsi="宋体" w:eastAsia="仿宋_GB2312"/>
          <w:b/>
          <w:color w:val="auto"/>
          <w:sz w:val="48"/>
          <w:szCs w:val="48"/>
        </w:rPr>
      </w:pPr>
    </w:p>
    <w:p w14:paraId="1BA9AECC">
      <w:pPr>
        <w:spacing w:before="120" w:beforeLines="50" w:line="360" w:lineRule="auto"/>
        <w:jc w:val="center"/>
        <w:rPr>
          <w:rFonts w:hint="eastAsia" w:ascii="仿宋_GB2312" w:hAnsi="宋体" w:eastAsia="仿宋_GB2312"/>
          <w:b/>
          <w:color w:val="auto"/>
          <w:sz w:val="48"/>
          <w:szCs w:val="48"/>
        </w:rPr>
      </w:pPr>
    </w:p>
    <w:p w14:paraId="1ED21AE0">
      <w:pPr>
        <w:snapToGrid w:val="0"/>
        <w:spacing w:before="120" w:beforeLines="50" w:line="360" w:lineRule="auto"/>
        <w:jc w:val="center"/>
        <w:rPr>
          <w:rFonts w:hint="eastAsia" w:ascii="华文新魏" w:hAnsi="宋体" w:eastAsia="华文新魏"/>
          <w:color w:val="auto"/>
          <w:sz w:val="72"/>
          <w:szCs w:val="72"/>
        </w:rPr>
      </w:pPr>
      <w:r>
        <w:rPr>
          <w:rFonts w:hint="eastAsia" w:ascii="华文新魏" w:hAnsi="宋体" w:eastAsia="华文新魏"/>
          <w:color w:val="auto"/>
          <w:sz w:val="72"/>
          <w:szCs w:val="72"/>
        </w:rPr>
        <w:t>招 标 文 件</w:t>
      </w:r>
    </w:p>
    <w:p w14:paraId="566FBB7C">
      <w:pPr>
        <w:snapToGrid w:val="0"/>
        <w:spacing w:before="120" w:beforeLines="50" w:line="360" w:lineRule="auto"/>
        <w:jc w:val="center"/>
        <w:rPr>
          <w:rFonts w:hint="eastAsia" w:ascii="宋体" w:hAnsi="宋体" w:eastAsia="宋体" w:cs="宋体"/>
          <w:color w:val="auto"/>
          <w:sz w:val="30"/>
          <w:szCs w:val="72"/>
        </w:rPr>
      </w:pPr>
      <w:r>
        <w:rPr>
          <w:rFonts w:hint="eastAsia" w:ascii="宋体" w:hAnsi="宋体" w:eastAsia="宋体" w:cs="宋体"/>
          <w:color w:val="auto"/>
          <w:sz w:val="30"/>
          <w:szCs w:val="72"/>
        </w:rPr>
        <w:t>（全流程电子化评标）</w:t>
      </w:r>
    </w:p>
    <w:p w14:paraId="7C734D6D">
      <w:pPr>
        <w:snapToGrid w:val="0"/>
        <w:spacing w:before="120" w:beforeLines="50" w:line="360" w:lineRule="auto"/>
        <w:rPr>
          <w:rFonts w:hint="eastAsia" w:ascii="仿宋_GB2312" w:hAnsi="宋体" w:eastAsia="仿宋_GB2312"/>
          <w:color w:val="auto"/>
          <w:sz w:val="30"/>
          <w:szCs w:val="72"/>
        </w:rPr>
      </w:pPr>
    </w:p>
    <w:p w14:paraId="7DADB148">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1205" w:firstLineChars="400"/>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项目</w:t>
      </w:r>
      <w:r>
        <w:rPr>
          <w:rFonts w:hint="eastAsia" w:ascii="宋体" w:hAnsi="宋体" w:eastAsia="宋体" w:cs="宋体"/>
          <w:b/>
          <w:bCs/>
          <w:color w:val="auto"/>
          <w:w w:val="95"/>
          <w:sz w:val="30"/>
          <w:szCs w:val="30"/>
        </w:rPr>
        <w:t>名称</w:t>
      </w:r>
      <w:r>
        <w:rPr>
          <w:rFonts w:hint="eastAsia" w:ascii="宋体" w:hAnsi="宋体" w:eastAsia="宋体" w:cs="宋体"/>
          <w:b/>
          <w:bCs/>
          <w:color w:val="auto"/>
          <w:sz w:val="30"/>
          <w:szCs w:val="30"/>
        </w:rPr>
        <w:t>：</w:t>
      </w:r>
      <w:r>
        <w:rPr>
          <w:rFonts w:hint="eastAsia" w:ascii="宋体" w:hAnsi="宋体" w:cs="宋体"/>
          <w:b/>
          <w:bCs/>
          <w:color w:val="auto"/>
          <w:sz w:val="30"/>
          <w:szCs w:val="30"/>
          <w:lang w:eastAsia="zh-CN"/>
        </w:rPr>
        <w:t>青秀区农村生活污水处理项目运维服务</w:t>
      </w:r>
    </w:p>
    <w:p w14:paraId="3FC9E85C">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1145" w:firstLineChars="400"/>
        <w:textAlignment w:val="auto"/>
        <w:rPr>
          <w:rFonts w:hint="eastAsia" w:ascii="宋体" w:hAnsi="宋体" w:eastAsia="宋体" w:cs="宋体"/>
          <w:b/>
          <w:bCs/>
          <w:color w:val="auto"/>
          <w:w w:val="95"/>
          <w:sz w:val="30"/>
          <w:szCs w:val="30"/>
        </w:rPr>
      </w:pPr>
      <w:r>
        <w:rPr>
          <w:rFonts w:hint="eastAsia" w:ascii="宋体" w:hAnsi="宋体" w:eastAsia="宋体" w:cs="宋体"/>
          <w:b/>
          <w:bCs/>
          <w:color w:val="auto"/>
          <w:w w:val="95"/>
          <w:sz w:val="30"/>
          <w:szCs w:val="30"/>
        </w:rPr>
        <w:t>项目</w:t>
      </w:r>
      <w:r>
        <w:rPr>
          <w:rFonts w:hint="eastAsia" w:ascii="宋体" w:hAnsi="宋体" w:eastAsia="宋体" w:cs="宋体"/>
          <w:b/>
          <w:bCs/>
          <w:color w:val="auto"/>
          <w:sz w:val="30"/>
          <w:szCs w:val="30"/>
        </w:rPr>
        <w:t>编号</w:t>
      </w:r>
      <w:r>
        <w:rPr>
          <w:rFonts w:hint="eastAsia" w:ascii="宋体" w:hAnsi="宋体" w:eastAsia="宋体" w:cs="宋体"/>
          <w:b/>
          <w:bCs/>
          <w:color w:val="auto"/>
          <w:w w:val="95"/>
          <w:sz w:val="30"/>
          <w:szCs w:val="30"/>
        </w:rPr>
        <w:t>：NNZC2025-G3-030091-GXHJ</w:t>
      </w:r>
    </w:p>
    <w:p w14:paraId="6E18FE5A">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1145" w:firstLineChars="400"/>
        <w:textAlignment w:val="auto"/>
        <w:rPr>
          <w:rFonts w:hint="eastAsia" w:ascii="宋体" w:hAnsi="宋体" w:cs="宋体"/>
          <w:b/>
          <w:bCs/>
          <w:color w:val="auto"/>
          <w:w w:val="95"/>
          <w:sz w:val="30"/>
          <w:szCs w:val="30"/>
          <w:lang w:val="en-US" w:eastAsia="zh-CN"/>
        </w:rPr>
      </w:pPr>
      <w:r>
        <w:rPr>
          <w:rFonts w:hint="eastAsia" w:ascii="宋体" w:hAnsi="宋体" w:cs="宋体"/>
          <w:b/>
          <w:bCs/>
          <w:color w:val="auto"/>
          <w:w w:val="95"/>
          <w:sz w:val="30"/>
          <w:szCs w:val="30"/>
          <w:lang w:val="en-US" w:eastAsia="zh-CN"/>
        </w:rPr>
        <w:t>采购计划文号：</w:t>
      </w:r>
      <w:r>
        <w:rPr>
          <w:rFonts w:hint="eastAsia" w:ascii="宋体" w:hAnsi="宋体" w:cs="宋体"/>
          <w:b/>
          <w:bCs/>
          <w:color w:val="auto"/>
          <w:w w:val="95"/>
          <w:sz w:val="30"/>
          <w:szCs w:val="30"/>
          <w:lang w:val="en-US" w:eastAsia="zh-CN"/>
        </w:rPr>
        <w:fldChar w:fldCharType="begin"/>
      </w:r>
      <w:r>
        <w:rPr>
          <w:rFonts w:hint="eastAsia" w:ascii="宋体" w:hAnsi="宋体" w:cs="宋体"/>
          <w:b/>
          <w:bCs/>
          <w:color w:val="auto"/>
          <w:w w:val="95"/>
          <w:sz w:val="30"/>
          <w:szCs w:val="30"/>
          <w:lang w:val="en-US" w:eastAsia="zh-CN"/>
        </w:rPr>
        <w:instrText xml:space="preserve"> HYPERLINK "https://pay.gcy.zfcg.gxzf.gov.cn/purchaseplan_front/" \l "/plan/list/view?id=1000000000025754972&amp;_app_=zcy.procurement" \t "https://www.gcy.zfcg.gxzf.gov.cn/delegation-order/_procurement_/order/_blank" </w:instrText>
      </w:r>
      <w:r>
        <w:rPr>
          <w:rFonts w:hint="eastAsia" w:ascii="宋体" w:hAnsi="宋体" w:cs="宋体"/>
          <w:b/>
          <w:bCs/>
          <w:color w:val="auto"/>
          <w:w w:val="95"/>
          <w:sz w:val="30"/>
          <w:szCs w:val="30"/>
          <w:lang w:val="en-US" w:eastAsia="zh-CN"/>
        </w:rPr>
        <w:fldChar w:fldCharType="separate"/>
      </w:r>
      <w:r>
        <w:rPr>
          <w:rFonts w:hint="eastAsia" w:ascii="宋体" w:hAnsi="宋体" w:cs="宋体"/>
          <w:b/>
          <w:bCs/>
          <w:color w:val="auto"/>
          <w:w w:val="95"/>
          <w:sz w:val="30"/>
          <w:szCs w:val="30"/>
          <w:lang w:val="en-US" w:eastAsia="zh-CN"/>
        </w:rPr>
        <w:t>QXZC2025-G3-00386-001</w:t>
      </w:r>
      <w:r>
        <w:rPr>
          <w:rFonts w:hint="eastAsia" w:ascii="宋体" w:hAnsi="宋体" w:cs="宋体"/>
          <w:b/>
          <w:bCs/>
          <w:color w:val="auto"/>
          <w:w w:val="95"/>
          <w:sz w:val="30"/>
          <w:szCs w:val="30"/>
          <w:lang w:val="en-US" w:eastAsia="zh-CN"/>
        </w:rPr>
        <w:fldChar w:fldCharType="end"/>
      </w:r>
      <w:r>
        <w:rPr>
          <w:rFonts w:hint="eastAsia" w:ascii="宋体" w:hAnsi="宋体" w:cs="宋体"/>
          <w:b/>
          <w:bCs/>
          <w:color w:val="auto"/>
          <w:w w:val="95"/>
          <w:sz w:val="30"/>
          <w:szCs w:val="30"/>
          <w:lang w:val="en-US" w:eastAsia="zh-CN"/>
        </w:rPr>
        <w:t>、</w:t>
      </w:r>
      <w:r>
        <w:rPr>
          <w:rFonts w:hint="eastAsia" w:ascii="宋体" w:hAnsi="宋体" w:cs="宋体"/>
          <w:b/>
          <w:bCs/>
          <w:color w:val="auto"/>
          <w:w w:val="95"/>
          <w:sz w:val="30"/>
          <w:szCs w:val="30"/>
          <w:lang w:val="en-US" w:eastAsia="zh-CN"/>
        </w:rPr>
        <w:fldChar w:fldCharType="begin"/>
      </w:r>
      <w:r>
        <w:rPr>
          <w:rFonts w:hint="eastAsia" w:ascii="宋体" w:hAnsi="宋体" w:cs="宋体"/>
          <w:b/>
          <w:bCs/>
          <w:color w:val="auto"/>
          <w:w w:val="95"/>
          <w:sz w:val="30"/>
          <w:szCs w:val="30"/>
          <w:lang w:val="en-US" w:eastAsia="zh-CN"/>
        </w:rPr>
        <w:instrText xml:space="preserve"> HYPERLINK "https://pay.gcy.zfcg.gxzf.gov.cn/purchaseplan_front/" \l "/plan/list/view?id=1000000000025754971&amp;_app_=zcy.procurement" \t "https://www.gcy.zfcg.gxzf.gov.cn/delegation-order/_procurement_/order/_blank" </w:instrText>
      </w:r>
      <w:r>
        <w:rPr>
          <w:rFonts w:hint="eastAsia" w:ascii="宋体" w:hAnsi="宋体" w:cs="宋体"/>
          <w:b/>
          <w:bCs/>
          <w:color w:val="auto"/>
          <w:w w:val="95"/>
          <w:sz w:val="30"/>
          <w:szCs w:val="30"/>
          <w:lang w:val="en-US" w:eastAsia="zh-CN"/>
        </w:rPr>
        <w:fldChar w:fldCharType="separate"/>
      </w:r>
      <w:r>
        <w:rPr>
          <w:rFonts w:hint="eastAsia" w:ascii="宋体" w:hAnsi="宋体" w:cs="宋体"/>
          <w:b/>
          <w:bCs/>
          <w:color w:val="auto"/>
          <w:w w:val="95"/>
          <w:sz w:val="30"/>
          <w:szCs w:val="30"/>
          <w:lang w:val="en-US" w:eastAsia="zh-CN"/>
        </w:rPr>
        <w:t>QXZC2025-G3-00386-002</w:t>
      </w:r>
      <w:r>
        <w:rPr>
          <w:rFonts w:hint="eastAsia" w:ascii="宋体" w:hAnsi="宋体" w:cs="宋体"/>
          <w:b/>
          <w:bCs/>
          <w:color w:val="auto"/>
          <w:w w:val="95"/>
          <w:sz w:val="30"/>
          <w:szCs w:val="30"/>
          <w:lang w:val="en-US" w:eastAsia="zh-CN"/>
        </w:rPr>
        <w:fldChar w:fldCharType="end"/>
      </w:r>
      <w:r>
        <w:rPr>
          <w:rFonts w:hint="eastAsia" w:ascii="宋体" w:hAnsi="宋体" w:cs="宋体"/>
          <w:b/>
          <w:bCs/>
          <w:color w:val="auto"/>
          <w:w w:val="95"/>
          <w:sz w:val="30"/>
          <w:szCs w:val="30"/>
          <w:lang w:val="en-US" w:eastAsia="zh-CN"/>
        </w:rPr>
        <w:t>、</w:t>
      </w:r>
    </w:p>
    <w:p w14:paraId="3DB7E756">
      <w:pPr>
        <w:pStyle w:val="2"/>
        <w:rPr>
          <w:rFonts w:hint="default"/>
          <w:lang w:val="en-US" w:eastAsia="zh-CN"/>
        </w:rPr>
      </w:pPr>
      <w:r>
        <w:rPr>
          <w:rFonts w:hint="eastAsia" w:ascii="宋体" w:hAnsi="宋体" w:cs="宋体"/>
          <w:b/>
          <w:bCs/>
          <w:color w:val="auto"/>
          <w:w w:val="95"/>
          <w:sz w:val="30"/>
          <w:szCs w:val="30"/>
          <w:lang w:val="en-US" w:eastAsia="zh-CN"/>
        </w:rPr>
        <w:t xml:space="preserve">                      </w:t>
      </w:r>
      <w:r>
        <w:rPr>
          <w:rFonts w:hint="eastAsia" w:ascii="宋体" w:hAnsi="宋体" w:cs="宋体"/>
          <w:b/>
          <w:bCs/>
          <w:color w:val="auto"/>
          <w:w w:val="95"/>
          <w:sz w:val="30"/>
          <w:szCs w:val="30"/>
          <w:lang w:val="en-US" w:eastAsia="zh-CN"/>
        </w:rPr>
        <w:fldChar w:fldCharType="begin"/>
      </w:r>
      <w:r>
        <w:rPr>
          <w:rFonts w:hint="eastAsia" w:ascii="宋体" w:hAnsi="宋体" w:cs="宋体"/>
          <w:b/>
          <w:bCs/>
          <w:color w:val="auto"/>
          <w:w w:val="95"/>
          <w:sz w:val="30"/>
          <w:szCs w:val="30"/>
          <w:lang w:val="en-US" w:eastAsia="zh-CN"/>
        </w:rPr>
        <w:instrText xml:space="preserve"> HYPERLINK "https://pay.gcy.zfcg.gxzf.gov.cn/purchaseplan_front/" \l "/plan/list/view?id=1000000000025754970&amp;_app_=zcy.procurement" \t "https://www.gcy.zfcg.gxzf.gov.cn/delegation-order/_procurement_/order/_blank" </w:instrText>
      </w:r>
      <w:r>
        <w:rPr>
          <w:rFonts w:hint="eastAsia" w:ascii="宋体" w:hAnsi="宋体" w:cs="宋体"/>
          <w:b/>
          <w:bCs/>
          <w:color w:val="auto"/>
          <w:w w:val="95"/>
          <w:sz w:val="30"/>
          <w:szCs w:val="30"/>
          <w:lang w:val="en-US" w:eastAsia="zh-CN"/>
        </w:rPr>
        <w:fldChar w:fldCharType="separate"/>
      </w:r>
      <w:r>
        <w:rPr>
          <w:rFonts w:hint="eastAsia" w:ascii="宋体" w:hAnsi="宋体" w:cs="宋体"/>
          <w:b/>
          <w:bCs/>
          <w:color w:val="auto"/>
          <w:w w:val="95"/>
          <w:sz w:val="30"/>
          <w:szCs w:val="30"/>
          <w:lang w:val="en-US" w:eastAsia="zh-CN"/>
        </w:rPr>
        <w:t>QXZC2025-G3-00386-003</w:t>
      </w:r>
      <w:r>
        <w:rPr>
          <w:rFonts w:hint="eastAsia" w:ascii="宋体" w:hAnsi="宋体" w:cs="宋体"/>
          <w:b/>
          <w:bCs/>
          <w:color w:val="auto"/>
          <w:w w:val="95"/>
          <w:sz w:val="30"/>
          <w:szCs w:val="30"/>
          <w:lang w:val="en-US" w:eastAsia="zh-CN"/>
        </w:rPr>
        <w:fldChar w:fldCharType="end"/>
      </w:r>
    </w:p>
    <w:p w14:paraId="54158856">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1205" w:firstLineChars="400"/>
        <w:textAlignment w:val="auto"/>
        <w:rPr>
          <w:rFonts w:hint="eastAsia" w:ascii="宋体" w:hAnsi="宋体" w:eastAsia="宋体" w:cs="宋体"/>
          <w:color w:val="auto"/>
          <w:sz w:val="30"/>
          <w:szCs w:val="30"/>
          <w:u w:val="single"/>
        </w:rPr>
      </w:pPr>
      <w:r>
        <w:rPr>
          <w:rFonts w:hint="eastAsia" w:ascii="宋体" w:hAnsi="宋体" w:eastAsia="宋体" w:cs="宋体"/>
          <w:b/>
          <w:color w:val="auto"/>
          <w:sz w:val="30"/>
          <w:szCs w:val="30"/>
        </w:rPr>
        <w:t>所属行政区划：</w:t>
      </w:r>
      <w:r>
        <w:rPr>
          <w:rFonts w:hint="eastAsia" w:ascii="宋体" w:hAnsi="宋体" w:eastAsia="宋体" w:cs="宋体"/>
          <w:b/>
          <w:color w:val="auto"/>
          <w:sz w:val="30"/>
          <w:szCs w:val="30"/>
          <w:lang w:val="en-US" w:eastAsia="zh-CN"/>
        </w:rPr>
        <w:t>青秀区</w:t>
      </w:r>
      <w:r>
        <w:rPr>
          <w:rFonts w:hint="eastAsia" w:ascii="宋体" w:hAnsi="宋体" w:eastAsia="宋体" w:cs="宋体"/>
          <w:b/>
          <w:color w:val="auto"/>
          <w:sz w:val="30"/>
          <w:szCs w:val="30"/>
        </w:rPr>
        <w:t xml:space="preserve">    </w:t>
      </w:r>
    </w:p>
    <w:p w14:paraId="62D1769D">
      <w:pPr>
        <w:pStyle w:val="4"/>
        <w:keepNext w:val="0"/>
        <w:keepLines w:val="0"/>
        <w:pageBreakBefore w:val="0"/>
        <w:widowControl w:val="0"/>
        <w:kinsoku/>
        <w:wordWrap/>
        <w:overflowPunct/>
        <w:topLinePunct w:val="0"/>
        <w:autoSpaceDE/>
        <w:autoSpaceDN/>
        <w:bidi w:val="0"/>
        <w:adjustRightInd/>
        <w:snapToGrid w:val="0"/>
        <w:spacing w:before="50" w:after="120" w:line="360" w:lineRule="auto"/>
        <w:ind w:firstLine="1145" w:firstLineChars="400"/>
        <w:textAlignment w:val="auto"/>
        <w:rPr>
          <w:rFonts w:hint="eastAsia" w:ascii="宋体" w:hAnsi="宋体" w:eastAsia="宋体" w:cs="宋体"/>
          <w:b/>
          <w:bCs/>
          <w:color w:val="auto"/>
          <w:w w:val="95"/>
          <w:sz w:val="30"/>
          <w:szCs w:val="30"/>
          <w:lang w:eastAsia="zh-CN"/>
        </w:rPr>
      </w:pPr>
      <w:r>
        <w:rPr>
          <w:rFonts w:hint="eastAsia" w:ascii="宋体" w:hAnsi="宋体" w:eastAsia="宋体" w:cs="宋体"/>
          <w:b/>
          <w:bCs/>
          <w:color w:val="auto"/>
          <w:w w:val="95"/>
          <w:sz w:val="30"/>
          <w:szCs w:val="30"/>
        </w:rPr>
        <w:t>采 购 人：</w:t>
      </w:r>
      <w:r>
        <w:rPr>
          <w:rFonts w:hint="eastAsia" w:hAnsi="宋体" w:cs="宋体"/>
          <w:b/>
          <w:bCs/>
          <w:color w:val="auto"/>
          <w:w w:val="95"/>
          <w:sz w:val="30"/>
          <w:szCs w:val="30"/>
          <w:lang w:eastAsia="zh-CN"/>
        </w:rPr>
        <w:t>南宁市青秀区住房和城乡建设局</w:t>
      </w:r>
    </w:p>
    <w:p w14:paraId="38ED9E4B">
      <w:pPr>
        <w:pStyle w:val="4"/>
        <w:keepNext w:val="0"/>
        <w:keepLines w:val="0"/>
        <w:pageBreakBefore w:val="0"/>
        <w:widowControl w:val="0"/>
        <w:kinsoku/>
        <w:wordWrap/>
        <w:overflowPunct/>
        <w:topLinePunct w:val="0"/>
        <w:autoSpaceDE/>
        <w:autoSpaceDN/>
        <w:bidi w:val="0"/>
        <w:adjustRightInd/>
        <w:snapToGrid w:val="0"/>
        <w:spacing w:before="50" w:after="120" w:line="360" w:lineRule="auto"/>
        <w:ind w:firstLine="1125" w:firstLineChars="393"/>
        <w:textAlignment w:val="auto"/>
        <w:rPr>
          <w:rFonts w:hint="eastAsia" w:ascii="宋体" w:hAnsi="宋体" w:eastAsia="宋体" w:cs="宋体"/>
          <w:b/>
          <w:bCs/>
          <w:color w:val="auto"/>
          <w:w w:val="95"/>
          <w:sz w:val="30"/>
          <w:szCs w:val="30"/>
          <w:lang w:eastAsia="zh-CN"/>
        </w:rPr>
      </w:pPr>
      <w:r>
        <w:rPr>
          <w:rFonts w:hint="eastAsia" w:ascii="宋体" w:hAnsi="宋体" w:eastAsia="宋体" w:cs="宋体"/>
          <w:b/>
          <w:bCs/>
          <w:color w:val="auto"/>
          <w:w w:val="95"/>
          <w:sz w:val="30"/>
          <w:szCs w:val="30"/>
        </w:rPr>
        <w:t>采购代理机构：</w:t>
      </w:r>
      <w:r>
        <w:rPr>
          <w:rFonts w:hint="eastAsia" w:hAnsi="宋体" w:eastAsia="宋体" w:cs="宋体"/>
          <w:b/>
          <w:bCs/>
          <w:color w:val="auto"/>
          <w:w w:val="95"/>
          <w:sz w:val="30"/>
          <w:szCs w:val="30"/>
          <w:lang w:eastAsia="zh-CN"/>
        </w:rPr>
        <w:t>广西华进项目管理有限公司</w:t>
      </w:r>
    </w:p>
    <w:p w14:paraId="5D53D3D8">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30"/>
          <w:szCs w:val="30"/>
          <w:lang w:eastAsia="zh-CN"/>
        </w:rPr>
      </w:pPr>
      <w:r>
        <w:rPr>
          <w:rFonts w:hint="eastAsia" w:hAnsi="宋体" w:cs="宋体"/>
          <w:b/>
          <w:bCs/>
          <w:color w:val="auto"/>
          <w:w w:val="95"/>
          <w:sz w:val="30"/>
          <w:szCs w:val="30"/>
          <w:lang w:eastAsia="zh-CN"/>
        </w:rPr>
        <w:t>2025年</w:t>
      </w:r>
      <w:r>
        <w:rPr>
          <w:rFonts w:hint="eastAsia" w:hAnsi="宋体" w:cs="宋体"/>
          <w:b/>
          <w:bCs/>
          <w:color w:val="auto"/>
          <w:w w:val="95"/>
          <w:sz w:val="30"/>
          <w:szCs w:val="30"/>
          <w:lang w:val="en-US" w:eastAsia="zh-CN"/>
        </w:rPr>
        <w:t>7</w:t>
      </w:r>
      <w:r>
        <w:rPr>
          <w:rFonts w:hint="eastAsia" w:hAnsi="宋体" w:cs="宋体"/>
          <w:b/>
          <w:bCs/>
          <w:color w:val="auto"/>
          <w:w w:val="95"/>
          <w:sz w:val="30"/>
          <w:szCs w:val="30"/>
          <w:lang w:eastAsia="zh-CN"/>
        </w:rPr>
        <w:t>月</w:t>
      </w:r>
    </w:p>
    <w:p w14:paraId="721D50FD">
      <w:pPr>
        <w:pStyle w:val="7"/>
        <w:keepNext w:val="0"/>
        <w:keepLines w:val="0"/>
        <w:pageBreakBefore w:val="0"/>
        <w:widowControl w:val="0"/>
        <w:kinsoku/>
        <w:wordWrap/>
        <w:overflowPunct/>
        <w:topLinePunct w:val="0"/>
        <w:autoSpaceDE/>
        <w:autoSpaceDN/>
        <w:bidi w:val="0"/>
        <w:adjustRightInd/>
        <w:snapToGrid w:val="0"/>
        <w:spacing w:before="50" w:after="120" w:line="360" w:lineRule="auto"/>
        <w:ind w:left="0" w:leftChars="0" w:firstLine="0" w:firstLineChars="0"/>
        <w:textAlignment w:val="auto"/>
        <w:rPr>
          <w:rFonts w:hAnsi="宋体" w:cs="宋体"/>
          <w:b/>
          <w:bCs/>
          <w:color w:val="auto"/>
          <w:sz w:val="30"/>
          <w:szCs w:val="30"/>
          <w:highlight w:val="none"/>
        </w:rPr>
        <w:sectPr>
          <w:headerReference r:id="rId4" w:type="first"/>
          <w:headerReference r:id="rId3" w:type="default"/>
          <w:footerReference r:id="rId5" w:type="default"/>
          <w:footerReference r:id="rId6" w:type="even"/>
          <w:pgSz w:w="11906" w:h="16838"/>
          <w:pgMar w:top="1440" w:right="1080" w:bottom="1440" w:left="1080" w:header="720" w:footer="720" w:gutter="0"/>
          <w:pgNumType w:fmt="decimal" w:start="1"/>
          <w:cols w:space="720" w:num="1"/>
          <w:titlePg/>
          <w:docGrid w:type="lines" w:linePitch="331" w:charSpace="0"/>
        </w:sectPr>
      </w:pPr>
    </w:p>
    <w:p w14:paraId="6BBD66A7">
      <w:pPr>
        <w:pStyle w:val="7"/>
        <w:jc w:val="center"/>
        <w:rPr>
          <w:rFonts w:hAnsi="宋体" w:cs="宋体"/>
          <w:b/>
          <w:color w:val="auto"/>
          <w:sz w:val="48"/>
          <w:szCs w:val="48"/>
          <w:highlight w:val="none"/>
        </w:rPr>
      </w:pPr>
      <w:r>
        <w:rPr>
          <w:rFonts w:hint="eastAsia" w:hAnsi="宋体" w:cs="宋体"/>
          <w:b/>
          <w:color w:val="auto"/>
          <w:sz w:val="48"/>
          <w:szCs w:val="48"/>
          <w:highlight w:val="none"/>
        </w:rPr>
        <w:t>目     录</w:t>
      </w:r>
    </w:p>
    <w:p w14:paraId="57B4E8E5">
      <w:pPr>
        <w:pStyle w:val="8"/>
        <w:tabs>
          <w:tab w:val="right" w:leader="dot" w:pos="9628"/>
        </w:tabs>
        <w:spacing w:before="0" w:after="0" w:line="420" w:lineRule="exact"/>
        <w:rPr>
          <w:rFonts w:ascii="宋体" w:hAnsi="宋体" w:cs="宋体"/>
          <w:b w:val="0"/>
          <w:bCs w:val="0"/>
          <w:color w:val="auto"/>
          <w:sz w:val="28"/>
          <w:szCs w:val="28"/>
          <w:highlight w:val="none"/>
        </w:rPr>
      </w:pPr>
      <w:r>
        <w:rPr>
          <w:rFonts w:hint="eastAsia" w:ascii="宋体" w:hAnsi="宋体" w:cs="宋体"/>
          <w:b w:val="0"/>
          <w:bCs w:val="0"/>
          <w:color w:val="auto"/>
          <w:sz w:val="28"/>
          <w:szCs w:val="28"/>
          <w:highlight w:val="none"/>
        </w:rPr>
        <w:fldChar w:fldCharType="begin"/>
      </w:r>
      <w:r>
        <w:rPr>
          <w:rFonts w:hint="eastAsia" w:ascii="宋体" w:hAnsi="宋体" w:cs="宋体"/>
          <w:b w:val="0"/>
          <w:bCs w:val="0"/>
          <w:color w:val="auto"/>
          <w:sz w:val="28"/>
          <w:szCs w:val="28"/>
          <w:highlight w:val="none"/>
        </w:rPr>
        <w:instrText xml:space="preserve"> TOC \o "1-3" \h \z \u </w:instrText>
      </w:r>
      <w:r>
        <w:rPr>
          <w:rFonts w:hint="eastAsia" w:ascii="宋体" w:hAnsi="宋体" w:cs="宋体"/>
          <w:b w:val="0"/>
          <w:bC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9"/>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_Toc80092990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3FB69F6">
      <w:pPr>
        <w:pStyle w:val="8"/>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9"/>
          <w:rFonts w:hint="eastAsia" w:ascii="宋体" w:hAnsi="宋体" w:cs="宋体"/>
          <w:color w:val="auto"/>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_Toc80092991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9527042">
      <w:pPr>
        <w:pStyle w:val="8"/>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9"/>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_Toc80092992 \h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bookmarkStart w:id="0" w:name="_Hlt80896542"/>
      <w:bookmarkEnd w:id="0"/>
      <w:bookmarkStart w:id="1" w:name="_Hlt80896543"/>
      <w:bookmarkEnd w:id="1"/>
    </w:p>
    <w:p w14:paraId="4E784755">
      <w:pPr>
        <w:pStyle w:val="8"/>
        <w:tabs>
          <w:tab w:val="right" w:leader="dot" w:pos="9628"/>
        </w:tabs>
        <w:spacing w:before="0" w:after="0" w:line="420" w:lineRule="exact"/>
        <w:rPr>
          <w:rFonts w:ascii="宋体" w:hAnsi="宋体" w:cs="宋体"/>
          <w:color w:val="auto"/>
          <w:highlight w:val="none"/>
        </w:rPr>
      </w:pPr>
      <w:bookmarkStart w:id="2" w:name="_Hlt80698806"/>
      <w:bookmarkEnd w:id="2"/>
      <w:r>
        <w:rPr>
          <w:rFonts w:hint="eastAsia" w:ascii="宋体" w:hAnsi="宋体" w:cs="宋体"/>
          <w:color w:val="auto"/>
          <w:highlight w:val="none"/>
        </w:rPr>
        <w:fldChar w:fldCharType="begin"/>
      </w:r>
      <w:r>
        <w:rPr>
          <w:rStyle w:val="9"/>
          <w:rFonts w:hint="eastAsia" w:ascii="宋体" w:hAnsi="宋体" w:cs="宋体"/>
          <w:color w:val="auto"/>
          <w:highlight w:val="none"/>
        </w:rPr>
        <w:instrText xml:space="preserve"> </w:instrText>
      </w:r>
      <w:r>
        <w:rPr>
          <w:rFonts w:hint="eastAsia" w:ascii="宋体" w:hAnsi="宋体" w:cs="宋体"/>
          <w:color w:val="auto"/>
          <w:highlight w:val="none"/>
        </w:rPr>
        <w:instrText xml:space="preserve">HYPERLINK \l "_Toc80093003"</w:instrText>
      </w:r>
      <w:r>
        <w:rPr>
          <w:rStyle w:val="9"/>
          <w:rFonts w:hint="eastAsia" w:ascii="宋体" w:hAnsi="宋体" w:cs="宋体"/>
          <w:color w:val="auto"/>
          <w:highlight w:val="none"/>
        </w:rPr>
        <w:instrText xml:space="preserve"> </w:instrText>
      </w:r>
      <w:r>
        <w:rPr>
          <w:rFonts w:hint="eastAsia" w:ascii="宋体" w:hAnsi="宋体" w:cs="宋体"/>
          <w:color w:val="auto"/>
          <w:highlight w:val="none"/>
        </w:rPr>
        <w:fldChar w:fldCharType="separate"/>
      </w:r>
      <w:r>
        <w:rPr>
          <w:rStyle w:val="9"/>
          <w:rFonts w:hint="eastAsia" w:ascii="宋体" w:hAnsi="宋体" w:cs="宋体"/>
          <w:color w:val="auto"/>
          <w:highlight w:val="none"/>
        </w:rPr>
        <w:t>第四章  评标方法及评分标准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_Toc80093003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5E9BA37">
      <w:pPr>
        <w:pStyle w:val="1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"_Toc80093007" </w:instrText>
      </w:r>
      <w:r>
        <w:rPr>
          <w:color w:val="auto"/>
          <w:highlight w:val="none"/>
        </w:rPr>
        <w:fldChar w:fldCharType="separate"/>
      </w:r>
      <w:r>
        <w:rPr>
          <w:rStyle w:val="9"/>
          <w:rFonts w:hint="eastAsia" w:ascii="宋体" w:hAnsi="宋体" w:cs="宋体"/>
          <w:color w:val="auto"/>
          <w:highlight w:val="none"/>
        </w:rPr>
        <w:t>第四节 中标候选人推荐原则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_Toc80093007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26C61F7">
      <w:pPr>
        <w:pStyle w:val="1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"_Toc80093008" </w:instrText>
      </w:r>
      <w:r>
        <w:rPr>
          <w:color w:val="auto"/>
          <w:highlight w:val="none"/>
        </w:rPr>
        <w:fldChar w:fldCharType="separate"/>
      </w:r>
      <w:r>
        <w:rPr>
          <w:rStyle w:val="9"/>
          <w:rFonts w:hint="eastAsia" w:ascii="宋体" w:hAnsi="宋体" w:cs="宋体"/>
          <w:color w:val="auto"/>
          <w:highlight w:val="none"/>
        </w:rPr>
        <w:t>第五节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_Toc80093008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BD1C875">
      <w:pPr>
        <w:pStyle w:val="8"/>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9"/>
          <w:rFonts w:hint="eastAsia" w:ascii="宋体" w:hAnsi="宋体" w:cs="宋体"/>
          <w:color w:val="auto"/>
          <w:highlight w:val="none"/>
        </w:rPr>
        <w:t>第五章 拟签订的合同文本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_Toc80093009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04BAF9F">
      <w:pPr>
        <w:pStyle w:val="8"/>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9"/>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_Toc80093010 \h </w:instrText>
      </w:r>
      <w:r>
        <w:rPr>
          <w:rFonts w:hint="eastAsia" w:ascii="宋体" w:hAnsi="宋体" w:cs="宋体"/>
          <w:color w:val="auto"/>
          <w:highlight w:val="none"/>
        </w:rPr>
        <w:fldChar w:fldCharType="separate"/>
      </w:r>
      <w:r>
        <w:rPr>
          <w:rFonts w:hint="eastAsia" w:ascii="宋体" w:hAnsi="宋体" w:cs="宋体"/>
          <w:color w:val="auto"/>
          <w:highlight w:val="none"/>
        </w:rPr>
        <w:t>67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4DCF811">
      <w:pPr>
        <w:pStyle w:val="1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"_Toc80093014" </w:instrText>
      </w:r>
      <w:r>
        <w:rPr>
          <w:color w:val="auto"/>
          <w:highlight w:val="none"/>
        </w:rPr>
        <w:fldChar w:fldCharType="separate"/>
      </w:r>
      <w:r>
        <w:rPr>
          <w:rStyle w:val="9"/>
          <w:rFonts w:hint="eastAsia" w:ascii="宋体" w:hAnsi="宋体" w:cs="宋体"/>
          <w:color w:val="auto"/>
          <w:highlight w:val="none"/>
        </w:rPr>
        <w:t>第四节 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_Toc80093014 \h </w:instrText>
      </w:r>
      <w:r>
        <w:rPr>
          <w:rFonts w:hint="eastAsia" w:ascii="宋体" w:hAnsi="宋体" w:cs="宋体"/>
          <w:color w:val="auto"/>
          <w:highlight w:val="none"/>
        </w:rPr>
        <w:fldChar w:fldCharType="separate"/>
      </w:r>
      <w:r>
        <w:rPr>
          <w:rFonts w:hint="eastAsia" w:ascii="宋体" w:hAnsi="宋体" w:cs="宋体"/>
          <w:color w:val="auto"/>
          <w:highlight w:val="none"/>
        </w:rPr>
        <w:t>89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F0C439B">
      <w:pPr>
        <w:pStyle w:val="1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"_Toc80093015" </w:instrText>
      </w:r>
      <w:r>
        <w:rPr>
          <w:color w:val="auto"/>
          <w:highlight w:val="none"/>
        </w:rPr>
        <w:fldChar w:fldCharType="separate"/>
      </w:r>
      <w:r>
        <w:rPr>
          <w:rStyle w:val="9"/>
          <w:rFonts w:hint="eastAsia" w:ascii="宋体" w:hAnsi="宋体" w:cs="宋体"/>
          <w:color w:val="auto"/>
          <w:highlight w:val="none"/>
        </w:rPr>
        <w:t>第五节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_Toc80093015 \h </w:instrText>
      </w:r>
      <w:r>
        <w:rPr>
          <w:rFonts w:hint="eastAsia" w:ascii="宋体" w:hAnsi="宋体" w:cs="宋体"/>
          <w:color w:val="auto"/>
          <w:highlight w:val="none"/>
        </w:rPr>
        <w:fldChar w:fldCharType="separate"/>
      </w:r>
      <w:r>
        <w:rPr>
          <w:rFonts w:hint="eastAsia" w:ascii="宋体" w:hAnsi="宋体" w:cs="宋体"/>
          <w:color w:val="auto"/>
          <w:highlight w:val="none"/>
        </w:rPr>
        <w:t>96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33E0C62">
      <w:pPr>
        <w:pStyle w:val="11"/>
        <w:tabs>
          <w:tab w:val="right" w:leader="dot" w:pos="9628"/>
        </w:tabs>
        <w:spacing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"_Toc80093016" </w:instrText>
      </w:r>
      <w:r>
        <w:rPr>
          <w:color w:val="auto"/>
          <w:highlight w:val="none"/>
        </w:rPr>
        <w:fldChar w:fldCharType="separate"/>
      </w:r>
      <w:r>
        <w:rPr>
          <w:rStyle w:val="9"/>
          <w:rFonts w:hint="eastAsia" w:ascii="宋体" w:hAnsi="宋体" w:cs="宋体"/>
          <w:color w:val="auto"/>
          <w:highlight w:val="none"/>
        </w:rPr>
        <w:t>第六节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_Toc80093016 \h </w:instrText>
      </w:r>
      <w:r>
        <w:rPr>
          <w:rFonts w:hint="eastAsia" w:ascii="宋体" w:hAnsi="宋体" w:cs="宋体"/>
          <w:color w:val="auto"/>
          <w:highlight w:val="none"/>
        </w:rPr>
        <w:fldChar w:fldCharType="separate"/>
      </w:r>
      <w:r>
        <w:rPr>
          <w:rFonts w:hint="eastAsia" w:ascii="宋体" w:hAnsi="宋体" w:cs="宋体"/>
          <w:color w:val="auto"/>
          <w:highlight w:val="none"/>
        </w:rPr>
        <w:t>101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8C64FE1">
      <w:pPr>
        <w:pStyle w:val="8"/>
        <w:tabs>
          <w:tab w:val="right" w:leader="dot" w:pos="9628"/>
        </w:tabs>
        <w:spacing w:before="0" w:after="0" w:line="420" w:lineRule="exact"/>
        <w:rPr>
          <w:rFonts w:ascii="宋体" w:hAnsi="宋体" w:cs="宋体"/>
          <w:color w:val="auto"/>
          <w:highlight w:val="none"/>
        </w:rPr>
      </w:pPr>
      <w:r>
        <w:rPr>
          <w:color w:val="auto"/>
          <w:highlight w:val="none"/>
        </w:rPr>
        <w:fldChar w:fldCharType="begin"/>
      </w:r>
      <w:r>
        <w:rPr>
          <w:color w:val="auto"/>
          <w:highlight w:val="none"/>
        </w:rPr>
        <w:instrText xml:space="preserve"> HYPERLINK \l "_Toc80093017" </w:instrText>
      </w:r>
      <w:r>
        <w:rPr>
          <w:color w:val="auto"/>
          <w:highlight w:val="none"/>
        </w:rPr>
        <w:fldChar w:fldCharType="separate"/>
      </w:r>
      <w:r>
        <w:rPr>
          <w:rStyle w:val="9"/>
          <w:rFonts w:hint="eastAsia" w:ascii="宋体" w:hAnsi="宋体" w:cs="宋体"/>
          <w:color w:val="auto"/>
          <w:highlight w:val="none"/>
        </w:rPr>
        <w:t>第七章 质疑、投诉证明材料格式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_Toc80093017 \h </w:instrText>
      </w:r>
      <w:r>
        <w:rPr>
          <w:rFonts w:hint="eastAsia" w:ascii="宋体" w:hAnsi="宋体" w:cs="宋体"/>
          <w:color w:val="auto"/>
          <w:highlight w:val="none"/>
        </w:rPr>
        <w:fldChar w:fldCharType="separate"/>
      </w:r>
      <w:r>
        <w:rPr>
          <w:rFonts w:hint="eastAsia" w:ascii="宋体" w:hAnsi="宋体" w:cs="宋体"/>
          <w:color w:val="auto"/>
          <w:highlight w:val="none"/>
        </w:rPr>
        <w:t>103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11BA67E">
      <w:pPr>
        <w:pStyle w:val="11"/>
        <w:tabs>
          <w:tab w:val="right" w:leader="dot" w:pos="9628"/>
        </w:tabs>
        <w:spacing w:line="420" w:lineRule="exact"/>
        <w:rPr>
          <w:rFonts w:ascii="宋体" w:hAnsi="宋体" w:cs="宋体"/>
          <w:color w:val="auto"/>
          <w:highlight w:val="none"/>
        </w:rPr>
      </w:pPr>
    </w:p>
    <w:p w14:paraId="0D0540D6">
      <w:pPr>
        <w:pStyle w:val="7"/>
        <w:spacing w:line="440" w:lineRule="exact"/>
        <w:jc w:val="center"/>
        <w:rPr>
          <w:rFonts w:hAnsi="宋体" w:cs="宋体"/>
          <w:b/>
          <w:bCs/>
          <w:color w:val="auto"/>
          <w:sz w:val="28"/>
          <w:szCs w:val="28"/>
          <w:highlight w:val="none"/>
          <w:u w:val="single"/>
        </w:rPr>
        <w:sectPr>
          <w:pgSz w:w="11906" w:h="16838"/>
          <w:pgMar w:top="1440" w:right="1080" w:bottom="1440" w:left="1080" w:header="720" w:footer="720" w:gutter="0"/>
          <w:pgNumType w:fmt="decimal"/>
          <w:cols w:space="720" w:num="1"/>
          <w:docGrid w:type="lines" w:linePitch="331" w:charSpace="0"/>
        </w:sectPr>
      </w:pPr>
    </w:p>
    <w:p w14:paraId="20861AB5">
      <w:pPr>
        <w:pStyle w:val="7"/>
        <w:spacing w:line="440" w:lineRule="exact"/>
        <w:jc w:val="center"/>
        <w:rPr>
          <w:rFonts w:hAnsi="宋体" w:cs="宋体"/>
          <w:b/>
          <w:bCs/>
          <w:color w:val="auto"/>
          <w:sz w:val="28"/>
          <w:szCs w:val="28"/>
          <w:highlight w:val="none"/>
          <w:u w:val="single"/>
        </w:rPr>
      </w:pPr>
      <w:bookmarkStart w:id="3" w:name="_Toc532545041"/>
      <w:bookmarkEnd w:id="3"/>
      <w:bookmarkStart w:id="4" w:name="_Toc80092990"/>
      <w:bookmarkEnd w:id="4"/>
      <w:r>
        <w:rPr>
          <w:rFonts w:hint="eastAsia" w:hAnsi="宋体" w:cs="宋体"/>
          <w:b/>
          <w:bCs/>
          <w:color w:val="auto"/>
          <w:sz w:val="28"/>
          <w:szCs w:val="28"/>
          <w:highlight w:val="none"/>
          <w:u w:val="single"/>
        </w:rPr>
        <w:fldChar w:fldCharType="end"/>
      </w:r>
      <w:r>
        <w:rPr>
          <w:rFonts w:hint="eastAsia" w:hAnsi="宋体" w:cs="宋体"/>
          <w:color w:val="auto"/>
          <w:highlight w:val="none"/>
        </w:rPr>
        <w:tab/>
      </w:r>
      <w:r>
        <w:rPr>
          <w:rFonts w:hint="eastAsia" w:hAnsi="宋体" w:cs="宋体"/>
          <w:b/>
          <w:color w:val="auto"/>
          <w:sz w:val="36"/>
          <w:highlight w:val="none"/>
        </w:rPr>
        <w:t>第一章  招标公告</w:t>
      </w:r>
    </w:p>
    <w:p w14:paraId="12FFD4EC">
      <w:pPr>
        <w:pStyle w:val="7"/>
        <w:jc w:val="center"/>
        <w:rPr>
          <w:rFonts w:hAnsi="宋体" w:cs="宋体"/>
          <w:b/>
          <w:color w:val="auto"/>
          <w:sz w:val="30"/>
          <w:szCs w:val="30"/>
          <w:highlight w:val="none"/>
        </w:rPr>
      </w:pPr>
      <w:r>
        <w:rPr>
          <w:rFonts w:hint="eastAsia" w:hAnsi="宋体" w:cs="宋体"/>
          <w:b/>
          <w:color w:val="auto"/>
          <w:sz w:val="30"/>
          <w:szCs w:val="30"/>
          <w:highlight w:val="none"/>
          <w:lang w:eastAsia="zh-CN"/>
        </w:rPr>
        <w:t>广西华进项目管理有限公司</w:t>
      </w:r>
      <w:r>
        <w:rPr>
          <w:rFonts w:hint="eastAsia" w:hAnsi="宋体" w:cs="宋体"/>
          <w:b/>
          <w:color w:val="auto"/>
          <w:sz w:val="30"/>
          <w:szCs w:val="30"/>
          <w:highlight w:val="none"/>
        </w:rPr>
        <w:t>关于</w:t>
      </w:r>
      <w:r>
        <w:rPr>
          <w:rFonts w:hint="eastAsia" w:hAnsi="宋体" w:cs="宋体"/>
          <w:b/>
          <w:bCs/>
          <w:color w:val="auto"/>
          <w:sz w:val="30"/>
          <w:szCs w:val="30"/>
          <w:lang w:eastAsia="zh-CN"/>
        </w:rPr>
        <w:t>青秀区农村生活污水处理项目运维服务</w:t>
      </w:r>
      <w:r>
        <w:rPr>
          <w:rFonts w:hint="eastAsia" w:hAnsi="宋体" w:cs="宋体"/>
          <w:b/>
          <w:color w:val="auto"/>
          <w:sz w:val="30"/>
          <w:szCs w:val="30"/>
          <w:highlight w:val="none"/>
        </w:rPr>
        <w:t>（项目编号：NNZC2025-G3-030091-GXHJ）的公开招标公告</w:t>
      </w:r>
    </w:p>
    <w:p w14:paraId="7F28B61A">
      <w:pPr>
        <w:pBdr>
          <w:top w:val="single" w:color="000000" w:sz="4" w:space="1"/>
          <w:left w:val="single" w:color="000000" w:sz="4" w:space="4"/>
          <w:bottom w:val="single" w:color="000000" w:sz="4" w:space="1"/>
          <w:right w:val="single" w:color="000000"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88B0712">
      <w:pPr>
        <w:pBdr>
          <w:top w:val="single" w:color="000000" w:sz="4" w:space="1"/>
          <w:left w:val="single" w:color="000000" w:sz="4" w:space="4"/>
          <w:bottom w:val="single" w:color="000000" w:sz="4" w:space="1"/>
          <w:right w:val="single" w:color="000000"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青秀区农村生活污水处理项目运维服务</w:t>
      </w:r>
      <w:r>
        <w:rPr>
          <w:rFonts w:hint="eastAsia" w:ascii="宋体" w:hAnsi="宋体" w:cs="宋体"/>
          <w:color w:val="auto"/>
          <w:szCs w:val="21"/>
          <w:highlight w:val="none"/>
        </w:rPr>
        <w:t>招标项目的潜在投标人应在“广西政府采购云”平台（</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日09时30分</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22F364CB">
      <w:pPr>
        <w:spacing w:line="360" w:lineRule="auto"/>
        <w:rPr>
          <w:rFonts w:ascii="宋体" w:hAnsi="宋体" w:cs="宋体"/>
          <w:b/>
          <w:bCs/>
          <w:color w:val="auto"/>
          <w:sz w:val="24"/>
          <w:highlight w:val="none"/>
        </w:rPr>
      </w:pPr>
      <w:bookmarkStart w:id="5" w:name="_Toc28359079"/>
      <w:bookmarkEnd w:id="5"/>
      <w:bookmarkStart w:id="6" w:name="_Toc28359002"/>
      <w:bookmarkEnd w:id="6"/>
      <w:bookmarkStart w:id="7" w:name="_Toc35393621"/>
      <w:bookmarkEnd w:id="7"/>
      <w:bookmarkStart w:id="8" w:name="_Toc35393790"/>
      <w:bookmarkEnd w:id="8"/>
      <w:bookmarkStart w:id="9" w:name="_Hlk24379207"/>
      <w:r>
        <w:rPr>
          <w:rFonts w:hint="eastAsia" w:ascii="宋体" w:hAnsi="宋体" w:cs="宋体"/>
          <w:b/>
          <w:bCs/>
          <w:color w:val="auto"/>
          <w:sz w:val="24"/>
          <w:highlight w:val="none"/>
        </w:rPr>
        <w:t>一、项目基本情况</w:t>
      </w:r>
    </w:p>
    <w:p w14:paraId="6E4B0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项目编号：NNZC2025-G3-030091-GXHJ</w:t>
      </w:r>
    </w:p>
    <w:p w14:paraId="2DD2235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青秀区农村生活污水处理项目运维服务</w:t>
      </w:r>
    </w:p>
    <w:bookmarkEnd w:id="9"/>
    <w:p w14:paraId="6CC407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1800</w:t>
      </w:r>
      <w:r>
        <w:rPr>
          <w:rFonts w:hint="eastAsia" w:ascii="宋体" w:hAnsi="宋体" w:cs="宋体"/>
          <w:color w:val="auto"/>
          <w:szCs w:val="21"/>
          <w:highlight w:val="none"/>
        </w:rPr>
        <w:t>万元</w:t>
      </w:r>
    </w:p>
    <w:p w14:paraId="283CD36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rPr>
        <w:t>最高限价</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1800</w:t>
      </w:r>
      <w:r>
        <w:rPr>
          <w:rFonts w:hint="eastAsia" w:ascii="宋体" w:hAnsi="宋体" w:cs="宋体"/>
          <w:color w:val="auto"/>
          <w:szCs w:val="21"/>
          <w:highlight w:val="none"/>
        </w:rPr>
        <w:t>万元</w:t>
      </w:r>
    </w:p>
    <w:p w14:paraId="58B58D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r>
        <w:rPr>
          <w:rFonts w:hint="eastAsia" w:ascii="宋体" w:hAnsi="宋体" w:cs="宋体"/>
          <w:color w:val="auto"/>
          <w:szCs w:val="21"/>
          <w:highlight w:val="none"/>
          <w:lang w:eastAsia="zh-CN"/>
        </w:rPr>
        <w:t>青秀区农村生活污水处理项目运维服务</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项，对青秀区四个镇96个村屯约145座农村生活污水处理设施及1个提升泵站进行为期3年的运维管护工作</w:t>
      </w:r>
      <w:r>
        <w:rPr>
          <w:rFonts w:hint="eastAsia" w:ascii="宋体" w:hAnsi="宋体" w:cs="宋体"/>
          <w:color w:val="auto"/>
          <w:szCs w:val="21"/>
          <w:highlight w:val="none"/>
          <w:lang w:eastAsia="zh-CN"/>
        </w:rPr>
        <w:t>，</w:t>
      </w:r>
      <w:r>
        <w:rPr>
          <w:rFonts w:hint="eastAsia" w:ascii="宋体" w:hAnsi="宋体" w:cs="宋体"/>
          <w:color w:val="auto"/>
          <w:szCs w:val="21"/>
          <w:highlight w:val="none"/>
        </w:rPr>
        <w:t>具体内容详见公开招标采购文件。</w:t>
      </w:r>
    </w:p>
    <w:p w14:paraId="76972D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合同履行期限：自合同签订之日起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p>
    <w:p w14:paraId="0240BC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w:t>
      </w:r>
    </w:p>
    <w:p w14:paraId="1140B6B7">
      <w:pPr>
        <w:spacing w:line="360" w:lineRule="auto"/>
        <w:rPr>
          <w:rFonts w:ascii="宋体" w:hAnsi="宋体" w:cs="宋体"/>
          <w:b/>
          <w:bCs/>
          <w:color w:val="auto"/>
          <w:sz w:val="24"/>
          <w:highlight w:val="none"/>
        </w:rPr>
      </w:pPr>
      <w:bookmarkStart w:id="10" w:name="_Toc35393791"/>
      <w:bookmarkEnd w:id="10"/>
      <w:bookmarkStart w:id="11" w:name="_Toc35393622"/>
      <w:bookmarkEnd w:id="11"/>
      <w:bookmarkStart w:id="12" w:name="_Toc28359080"/>
      <w:bookmarkEnd w:id="12"/>
      <w:bookmarkStart w:id="13" w:name="_Toc28359003"/>
      <w:bookmarkEnd w:id="13"/>
      <w:r>
        <w:rPr>
          <w:rFonts w:hint="eastAsia" w:ascii="宋体" w:hAnsi="宋体" w:cs="宋体"/>
          <w:b/>
          <w:bCs/>
          <w:color w:val="auto"/>
          <w:sz w:val="24"/>
          <w:highlight w:val="none"/>
        </w:rPr>
        <w:t>二、投标人的资格要求：</w:t>
      </w:r>
    </w:p>
    <w:p w14:paraId="01534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141D3CF2">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cs="宋体"/>
          <w:color w:val="auto"/>
          <w:szCs w:val="21"/>
          <w:highlight w:val="none"/>
        </w:rPr>
      </w:pPr>
      <w:bookmarkStart w:id="14" w:name="_Toc28359081"/>
      <w:bookmarkStart w:id="15" w:name="_Toc28359004"/>
      <w:r>
        <w:rPr>
          <w:rFonts w:hint="eastAsia" w:ascii="宋体" w:hAnsi="宋体" w:cs="宋体"/>
          <w:color w:val="auto"/>
          <w:szCs w:val="21"/>
          <w:highlight w:val="none"/>
        </w:rPr>
        <w:t>2.落实政府采购政策需满足的资格要求：</w:t>
      </w:r>
    </w:p>
    <w:p w14:paraId="4B2D1DEE">
      <w:pPr>
        <w:keepNext w:val="0"/>
        <w:keepLines w:val="0"/>
        <w:pageBreakBefore w:val="0"/>
        <w:kinsoku/>
        <w:wordWrap/>
        <w:overflowPunct/>
        <w:topLinePunct w:val="0"/>
        <w:autoSpaceDE/>
        <w:autoSpaceDN/>
        <w:bidi w:val="0"/>
        <w:adjustRightInd/>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专门面向中小企业采购的项目（供应商应为中小微企业</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监狱企业</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残疾人福利性单位)</w:t>
      </w:r>
    </w:p>
    <w:p w14:paraId="1FDFE270">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非专门面向中小企业采购的项目</w:t>
      </w:r>
    </w:p>
    <w:p w14:paraId="3B262A1D">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74F32E25">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4. 本项目的特定条件：无。</w:t>
      </w:r>
    </w:p>
    <w:p w14:paraId="33162046">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32E0C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bookmarkEnd w:id="14"/>
    <w:bookmarkEnd w:id="15"/>
    <w:p w14:paraId="6EDAD86F">
      <w:pPr>
        <w:spacing w:line="360" w:lineRule="auto"/>
        <w:rPr>
          <w:rFonts w:ascii="宋体" w:hAnsi="宋体" w:cs="宋体"/>
          <w:b/>
          <w:bCs/>
          <w:color w:val="auto"/>
          <w:sz w:val="24"/>
          <w:highlight w:val="none"/>
        </w:rPr>
      </w:pPr>
      <w:bookmarkStart w:id="16" w:name="_Toc35393623"/>
      <w:bookmarkEnd w:id="16"/>
      <w:bookmarkStart w:id="17" w:name="_Toc35393792"/>
      <w:bookmarkEnd w:id="17"/>
      <w:r>
        <w:rPr>
          <w:rFonts w:hint="eastAsia" w:ascii="宋体" w:hAnsi="宋体" w:cs="宋体"/>
          <w:b/>
          <w:bCs/>
          <w:color w:val="auto"/>
          <w:sz w:val="24"/>
          <w:highlight w:val="none"/>
        </w:rPr>
        <w:t>三、获取招标文件</w:t>
      </w:r>
    </w:p>
    <w:p w14:paraId="2F2B74FE">
      <w:pPr>
        <w:snapToGrid w:val="0"/>
        <w:spacing w:line="360" w:lineRule="auto"/>
        <w:ind w:firstLine="472" w:firstLineChars="225"/>
        <w:rPr>
          <w:rFonts w:ascii="宋体" w:hAnsi="宋体" w:cs="宋体"/>
          <w:color w:val="auto"/>
          <w:szCs w:val="21"/>
          <w:highlight w:val="none"/>
        </w:rPr>
      </w:pPr>
      <w:bookmarkStart w:id="18" w:name="_Toc28359005"/>
      <w:bookmarkStart w:id="19" w:name="_Toc35393793"/>
      <w:bookmarkStart w:id="20" w:name="_Toc35393624"/>
      <w:bookmarkStart w:id="21" w:name="_Toc28359082"/>
      <w:r>
        <w:rPr>
          <w:rFonts w:hint="eastAsia" w:ascii="宋体" w:hAnsi="宋体" w:cs="宋体"/>
          <w:color w:val="auto"/>
          <w:szCs w:val="21"/>
          <w:highlight w:val="none"/>
        </w:rPr>
        <w:t>时间：自公告发布之日起至投标截止时间。</w:t>
      </w:r>
    </w:p>
    <w:p w14:paraId="11910C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获取方式：网上下载。本项目不发放纸质文件，供应商登录广西政府采购云平台https://www.gcy.zfcg.gxzf.gov.cn/在线申请获取采购文件（进入“项目采购”应用，在获取采购文件菜单中选择项目，申请获取采购文件）  </w:t>
      </w:r>
    </w:p>
    <w:p w14:paraId="4CC0DFCC">
      <w:pPr>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售价：0元。</w:t>
      </w:r>
    </w:p>
    <w:bookmarkEnd w:id="18"/>
    <w:bookmarkEnd w:id="19"/>
    <w:bookmarkEnd w:id="20"/>
    <w:bookmarkEnd w:id="21"/>
    <w:p w14:paraId="65ED8D3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BF54311">
      <w:pPr>
        <w:spacing w:line="360" w:lineRule="auto"/>
        <w:ind w:firstLine="420" w:firstLineChars="200"/>
        <w:rPr>
          <w:rFonts w:ascii="宋体" w:hAnsi="宋体" w:cs="宋体"/>
          <w:bCs/>
          <w:color w:val="auto"/>
          <w:szCs w:val="21"/>
          <w:highlight w:val="none"/>
        </w:rPr>
      </w:pPr>
      <w:bookmarkStart w:id="22" w:name="PO_3000001866_PM015_1"/>
      <w:bookmarkEnd w:id="22"/>
      <w:r>
        <w:rPr>
          <w:rFonts w:hint="eastAsia" w:ascii="宋体" w:hAnsi="宋体" w:cs="宋体"/>
          <w:bCs/>
          <w:color w:val="auto"/>
          <w:szCs w:val="21"/>
          <w:highlight w:val="none"/>
        </w:rPr>
        <w:t>1、提交投标文件截止时间和开标时间：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日09时30分</w:t>
      </w:r>
      <w:r>
        <w:rPr>
          <w:rFonts w:hint="eastAsia" w:ascii="宋体" w:hAnsi="宋体" w:cs="宋体"/>
          <w:bCs/>
          <w:color w:val="auto"/>
          <w:szCs w:val="21"/>
          <w:highlight w:val="none"/>
          <w:u w:val="single"/>
        </w:rPr>
        <w:t>前</w:t>
      </w:r>
      <w:r>
        <w:rPr>
          <w:rFonts w:hint="eastAsia" w:ascii="宋体" w:hAnsi="宋体" w:cs="宋体"/>
          <w:bCs/>
          <w:color w:val="auto"/>
          <w:szCs w:val="21"/>
          <w:highlight w:val="none"/>
        </w:rPr>
        <w:t>（北京时间）</w:t>
      </w:r>
    </w:p>
    <w:p w14:paraId="0A8FB3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和开标地点：“广西政府采购云平台”（https://www.gcy.zfcg.gxzf.gov.cn）（本项目不要求投标单位到达开标现场，但投标单位应派法定代表人或委托代理人准时在线出席电子开评标会议，随时关注开评标进度，如在开评标过程中有电子询标，应在规定的时间内对电子询标函进行澄清回复。）</w:t>
      </w:r>
    </w:p>
    <w:p w14:paraId="61E4A873">
      <w:pPr>
        <w:spacing w:line="360" w:lineRule="auto"/>
        <w:rPr>
          <w:rFonts w:ascii="宋体" w:hAnsi="宋体" w:cs="宋体"/>
          <w:b/>
          <w:bCs/>
          <w:color w:val="auto"/>
          <w:sz w:val="24"/>
          <w:highlight w:val="none"/>
        </w:rPr>
      </w:pPr>
      <w:bookmarkStart w:id="23" w:name="_Toc28359084"/>
      <w:bookmarkEnd w:id="23"/>
      <w:bookmarkStart w:id="24" w:name="_Toc28359007"/>
      <w:bookmarkEnd w:id="24"/>
      <w:bookmarkStart w:id="25" w:name="_Toc35393625"/>
      <w:bookmarkEnd w:id="25"/>
      <w:bookmarkStart w:id="26" w:name="_Toc35393794"/>
      <w:bookmarkEnd w:id="26"/>
      <w:r>
        <w:rPr>
          <w:rFonts w:hint="eastAsia" w:ascii="宋体" w:hAnsi="宋体" w:cs="宋体"/>
          <w:b/>
          <w:bCs/>
          <w:color w:val="auto"/>
          <w:sz w:val="24"/>
          <w:highlight w:val="none"/>
        </w:rPr>
        <w:t>五、公告期限</w:t>
      </w:r>
    </w:p>
    <w:p w14:paraId="3E2AC1F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9CBBAAD">
      <w:pPr>
        <w:spacing w:line="360" w:lineRule="auto"/>
        <w:rPr>
          <w:rFonts w:ascii="宋体" w:hAnsi="宋体" w:cs="宋体"/>
          <w:b/>
          <w:bCs/>
          <w:color w:val="auto"/>
          <w:sz w:val="24"/>
          <w:highlight w:val="none"/>
        </w:rPr>
      </w:pPr>
      <w:bookmarkStart w:id="27" w:name="_Toc35393795"/>
      <w:bookmarkEnd w:id="27"/>
      <w:bookmarkStart w:id="28" w:name="_Toc35393626"/>
      <w:bookmarkEnd w:id="28"/>
      <w:r>
        <w:rPr>
          <w:rFonts w:hint="eastAsia" w:ascii="宋体" w:hAnsi="宋体" w:cs="宋体"/>
          <w:b/>
          <w:bCs/>
          <w:color w:val="auto"/>
          <w:sz w:val="24"/>
          <w:highlight w:val="none"/>
        </w:rPr>
        <w:t>六、其他补充事宜</w:t>
      </w:r>
    </w:p>
    <w:p w14:paraId="39E0175C">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4D0F7983">
      <w:pPr>
        <w:spacing w:line="360" w:lineRule="auto"/>
        <w:ind w:firstLine="315" w:firstLineChars="150"/>
        <w:jc w:val="left"/>
        <w:rPr>
          <w:rFonts w:hint="eastAsia" w:ascii="宋体" w:hAnsi="宋体" w:cs="宋体"/>
          <w:color w:val="auto"/>
          <w:kern w:val="0"/>
          <w:szCs w:val="21"/>
          <w:highlight w:val="none"/>
          <w:lang w:eastAsia="zh-CN"/>
        </w:rPr>
      </w:pPr>
      <w:bookmarkStart w:id="29" w:name="_Hlk37429595"/>
      <w:bookmarkStart w:id="30" w:name="_Hlk37429585"/>
      <w:r>
        <w:rPr>
          <w:rFonts w:hint="eastAsia" w:ascii="宋体" w:hAnsi="宋体" w:cs="宋体"/>
          <w:color w:val="auto"/>
          <w:kern w:val="0"/>
          <w:szCs w:val="21"/>
          <w:highlight w:val="none"/>
        </w:rPr>
        <w:t>2.采购意向公开链接：</w:t>
      </w:r>
      <w:r>
        <w:rPr>
          <w:rFonts w:hint="eastAsia" w:ascii="宋体" w:hAnsi="宋体" w:cs="宋体"/>
          <w:color w:val="auto"/>
          <w:kern w:val="0"/>
          <w:szCs w:val="21"/>
          <w:highlight w:val="none"/>
          <w:lang w:eastAsia="zh-CN"/>
        </w:rPr>
        <w:fldChar w:fldCharType="begin"/>
      </w:r>
      <w:r>
        <w:rPr>
          <w:rFonts w:hint="eastAsia" w:ascii="宋体" w:hAnsi="宋体" w:cs="宋体"/>
          <w:color w:val="auto"/>
          <w:kern w:val="0"/>
          <w:szCs w:val="21"/>
          <w:highlight w:val="none"/>
          <w:lang w:eastAsia="zh-CN"/>
        </w:rPr>
        <w:instrText xml:space="preserve"> HYPERLINK "http://www.ccgp-guangxi.gov.cn/site/detail?categoryCode=reformColumn&amp;parentId=66601&amp;articleId=vhg7Z/nUkfNlJq6k+ASPNA==" </w:instrText>
      </w:r>
      <w:r>
        <w:rPr>
          <w:rFonts w:hint="eastAsia" w:ascii="宋体" w:hAnsi="宋体" w:cs="宋体"/>
          <w:color w:val="auto"/>
          <w:kern w:val="0"/>
          <w:szCs w:val="21"/>
          <w:highlight w:val="none"/>
          <w:lang w:eastAsia="zh-CN"/>
        </w:rPr>
        <w:fldChar w:fldCharType="separate"/>
      </w:r>
      <w:r>
        <w:rPr>
          <w:rFonts w:hint="eastAsia" w:ascii="宋体" w:hAnsi="宋体" w:cs="宋体"/>
          <w:color w:val="auto"/>
          <w:kern w:val="0"/>
          <w:szCs w:val="21"/>
          <w:highlight w:val="none"/>
          <w:lang w:eastAsia="zh-CN"/>
        </w:rPr>
        <w:t>http://www.ccgp-guangxi.gov.cn/site/detail?categoryCode=reformColumn&amp;parentId=66601&amp;articleId=vhg7Z/nUkfNlJq6k+ASPNA==</w:t>
      </w:r>
      <w:r>
        <w:rPr>
          <w:rFonts w:hint="eastAsia" w:ascii="宋体" w:hAnsi="宋体" w:cs="宋体"/>
          <w:color w:val="auto"/>
          <w:kern w:val="0"/>
          <w:szCs w:val="21"/>
          <w:highlight w:val="none"/>
          <w:lang w:eastAsia="zh-CN"/>
        </w:rPr>
        <w:fldChar w:fldCharType="end"/>
      </w:r>
    </w:p>
    <w:p w14:paraId="0EFF5E84">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3.网上查询地址</w:t>
      </w:r>
    </w:p>
    <w:bookmarkEnd w:id="29"/>
    <w:bookmarkEnd w:id="30"/>
    <w:p w14:paraId="34ADC56F">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广西政府采购网 （http://www.ccgp-guangxi.gov.cn/ ）、全国公共资源交易平台（广西•南宁）（http：//ggzy.jgswj.gxzf.gov.cn/nnggzy/）、中国政府采购网（http：//www.ccgp.gov.cn/）</w:t>
      </w:r>
      <w:r>
        <w:rPr>
          <w:rFonts w:hint="eastAsia" w:ascii="宋体" w:hAnsi="宋体" w:cs="宋体"/>
          <w:color w:val="auto"/>
          <w:kern w:val="0"/>
          <w:szCs w:val="21"/>
          <w:highlight w:val="none"/>
          <w:lang w:eastAsia="zh-CN"/>
        </w:rPr>
        <w:t>、</w:t>
      </w:r>
      <w:r>
        <w:rPr>
          <w:rFonts w:hint="eastAsia" w:ascii="宋体" w:hAnsi="宋体"/>
          <w:color w:val="auto"/>
        </w:rPr>
        <w:t>青秀区政府采购网</w:t>
      </w:r>
      <w:r>
        <w:rPr>
          <w:rFonts w:hint="eastAsia" w:ascii="宋体" w:hAnsi="宋体"/>
          <w:color w:val="auto"/>
          <w:lang w:eastAsia="zh-CN"/>
        </w:rPr>
        <w:t>（</w:t>
      </w:r>
      <w:r>
        <w:rPr>
          <w:rFonts w:hint="eastAsia" w:ascii="宋体" w:hAnsi="宋体"/>
          <w:color w:val="auto"/>
        </w:rPr>
        <w:t>www.qingxiu.gov.cn</w:t>
      </w:r>
      <w:r>
        <w:rPr>
          <w:rFonts w:hint="eastAsia" w:ascii="宋体" w:hAnsi="宋体"/>
          <w:color w:val="auto"/>
          <w:lang w:eastAsia="zh-CN"/>
        </w:rPr>
        <w:t>）</w:t>
      </w:r>
      <w:r>
        <w:rPr>
          <w:rFonts w:hint="eastAsia" w:ascii="宋体" w:hAnsi="宋体" w:cs="宋体"/>
          <w:color w:val="auto"/>
          <w:kern w:val="0"/>
          <w:szCs w:val="21"/>
          <w:highlight w:val="none"/>
        </w:rPr>
        <w:t>。</w:t>
      </w:r>
    </w:p>
    <w:p w14:paraId="1323068F">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 本项目需要落实的政府采购政策</w:t>
      </w:r>
    </w:p>
    <w:p w14:paraId="466192D8">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59BBE7C">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52E06D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0FDE1B37">
      <w:pPr>
        <w:spacing w:line="360" w:lineRule="auto"/>
        <w:ind w:firstLine="315" w:firstLineChars="1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（4）政府采购支持监狱企业发展</w:t>
      </w:r>
      <w:r>
        <w:rPr>
          <w:rFonts w:hint="eastAsia" w:ascii="宋体" w:hAnsi="宋体" w:cs="宋体"/>
          <w:color w:val="auto"/>
          <w:kern w:val="0"/>
          <w:szCs w:val="21"/>
          <w:highlight w:val="none"/>
          <w:lang w:eastAsia="zh-CN"/>
        </w:rPr>
        <w:t>。</w:t>
      </w:r>
    </w:p>
    <w:p w14:paraId="1FAE86D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589FCB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6.供应商</w:t>
      </w:r>
      <w:r>
        <w:rPr>
          <w:rFonts w:hint="eastAsia" w:ascii="宋体" w:hAnsi="宋体" w:cs="宋体"/>
          <w:color w:val="auto"/>
          <w:szCs w:val="21"/>
          <w:highlight w:val="none"/>
        </w:rPr>
        <w:t>竞标注意事项：</w:t>
      </w:r>
    </w:p>
    <w:p w14:paraId="5CB9924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南宁市全流程电子化项目，通过“广西政府采购云”平台（https://www.gcy.zfcg.gxzf.gov.cn/）实行在线电子投标，供应商应先安装“政采云电子交易客户端”（请自行前往“广西政府采购云平台”平台进行下载），并按照本项目招标文件和“广西政府采购云平台”平台的要求编制、加密后在投标截止时间前通过网络上传至南宁市“政采云”平台，</w:t>
      </w:r>
      <w:r>
        <w:rPr>
          <w:rFonts w:hint="eastAsia" w:ascii="宋体" w:hAnsi="宋体" w:cs="宋体"/>
          <w:b/>
          <w:color w:val="auto"/>
          <w:szCs w:val="21"/>
          <w:highlight w:val="none"/>
        </w:rPr>
        <w:t>供应商在“</w:t>
      </w:r>
      <w:r>
        <w:rPr>
          <w:rFonts w:hint="eastAsia" w:ascii="宋体" w:hAnsi="宋体" w:cs="宋体"/>
          <w:color w:val="auto"/>
          <w:szCs w:val="21"/>
          <w:highlight w:val="none"/>
        </w:rPr>
        <w:t>广西政府采购云平台</w:t>
      </w:r>
      <w:r>
        <w:rPr>
          <w:rFonts w:hint="eastAsia" w:ascii="宋体" w:hAnsi="宋体" w:cs="宋体"/>
          <w:b/>
          <w:color w:val="auto"/>
          <w:szCs w:val="21"/>
          <w:highlight w:val="none"/>
        </w:rPr>
        <w:t>”平台提交电子版投标文件时，请填写参加远程开标活动经办人联系方式，</w:t>
      </w:r>
      <w:r>
        <w:rPr>
          <w:rFonts w:hint="eastAsia" w:ascii="宋体" w:hAnsi="宋体" w:cs="宋体"/>
          <w:color w:val="auto"/>
          <w:szCs w:val="21"/>
          <w:highlight w:val="none"/>
        </w:rPr>
        <w:t>电子投标具体操作流程详见本公告附件2。</w:t>
      </w:r>
    </w:p>
    <w:p w14:paraId="7828F97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投标人只需办理其中一家CA数字证书及签章，建议各投标人抓紧时间办理。</w:t>
      </w:r>
    </w:p>
    <w:p w14:paraId="1F29010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70151A60">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3D3C233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14:paraId="4B00D721">
      <w:pPr>
        <w:spacing w:line="360" w:lineRule="auto"/>
        <w:rPr>
          <w:rFonts w:ascii="宋体" w:hAnsi="宋体" w:cs="宋体"/>
          <w:b/>
          <w:bCs/>
          <w:color w:val="auto"/>
          <w:sz w:val="24"/>
          <w:highlight w:val="none"/>
        </w:rPr>
      </w:pPr>
      <w:bookmarkStart w:id="31" w:name="_Toc35393627"/>
      <w:bookmarkEnd w:id="31"/>
      <w:bookmarkStart w:id="32" w:name="_Toc28359085"/>
      <w:bookmarkEnd w:id="32"/>
      <w:bookmarkStart w:id="33" w:name="_Toc35393796"/>
      <w:bookmarkEnd w:id="33"/>
      <w:bookmarkStart w:id="34" w:name="_Toc28359008"/>
      <w:bookmarkEnd w:id="34"/>
      <w:r>
        <w:rPr>
          <w:rFonts w:hint="eastAsia" w:ascii="宋体" w:hAnsi="宋体" w:cs="宋体"/>
          <w:b/>
          <w:bCs/>
          <w:color w:val="auto"/>
          <w:sz w:val="24"/>
          <w:highlight w:val="none"/>
        </w:rPr>
        <w:t>七、对本次招标提出询问，请按以下方式联系。</w:t>
      </w:r>
    </w:p>
    <w:p w14:paraId="6266A6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7A9494B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南宁市青秀区住房和城乡建设局</w:t>
      </w:r>
    </w:p>
    <w:p w14:paraId="3A8A07D0">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 xml:space="preserve">地址：南宁市青秀区悦宾路1号 </w:t>
      </w:r>
    </w:p>
    <w:p w14:paraId="6E45D2A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黄工</w:t>
      </w:r>
    </w:p>
    <w:p w14:paraId="2CBB7D0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0771-5826353</w:t>
      </w:r>
    </w:p>
    <w:p w14:paraId="297D19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14:paraId="0E55D98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广西华进项目管理有限公司</w:t>
      </w:r>
    </w:p>
    <w:p w14:paraId="6F060DC5">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南宁市青秀区金浦路26-1号东方国际商务港A座1510</w:t>
      </w:r>
    </w:p>
    <w:p w14:paraId="784A1186">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0771-5523193</w:t>
      </w:r>
    </w:p>
    <w:p w14:paraId="4828A5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3.项目联系方式</w:t>
      </w:r>
    </w:p>
    <w:p w14:paraId="4E30D3B3">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李工</w:t>
      </w:r>
    </w:p>
    <w:p w14:paraId="3B6A03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0771-5523193</w:t>
      </w:r>
    </w:p>
    <w:p w14:paraId="7FC7EAAB">
      <w:pPr>
        <w:rPr>
          <w:rFonts w:ascii="宋体" w:hAnsi="宋体" w:cs="宋体"/>
          <w:color w:val="auto"/>
          <w:szCs w:val="21"/>
          <w:highlight w:val="none"/>
        </w:rPr>
      </w:pPr>
    </w:p>
    <w:p w14:paraId="19C63D82">
      <w:pPr>
        <w:pStyle w:val="1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附件： </w:t>
      </w:r>
    </w:p>
    <w:p w14:paraId="653969DF">
      <w:pPr>
        <w:pStyle w:val="1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1.CA证书申请方式及操作指南下载地址（登录</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9"/>
          <w:rFonts w:hint="eastAsia" w:ascii="宋体" w:hAnsi="宋体" w:cs="宋体"/>
          <w:color w:val="auto"/>
          <w:highlight w:val="none"/>
        </w:rPr>
        <w:t>http://nncz.nanning.gov.cn/</w:t>
      </w:r>
      <w:r>
        <w:rPr>
          <w:rStyle w:val="9"/>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（南宁市财政局官网）-业务专题-政府采购监督管理-资料下载-“广西政采云西部CA办理方式”或“广西政府采购云CA证书办理操作指南”</w:t>
      </w:r>
      <w:r>
        <w:rPr>
          <w:rFonts w:hint="eastAsia" w:ascii="宋体" w:hAnsi="宋体" w:cs="宋体"/>
          <w:color w:val="auto"/>
          <w:szCs w:val="21"/>
          <w:highlight w:val="none"/>
        </w:rPr>
        <w:t>）</w:t>
      </w:r>
    </w:p>
    <w:p w14:paraId="2B39C6D6">
      <w:pPr>
        <w:pStyle w:val="1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9"/>
          <w:rFonts w:hint="eastAsia" w:ascii="宋体" w:hAnsi="宋体" w:cs="宋体"/>
          <w:color w:val="auto"/>
          <w:highlight w:val="none"/>
        </w:rPr>
        <w:t>http://nncz.nanning.gov.cn/</w:t>
      </w:r>
      <w:r>
        <w:rPr>
          <w:rStyle w:val="9"/>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（南宁市财政局官网）-业务专题-政府采购监督管理-资料下载-南宁市政府采购项目全流程电子化交易操作指南</w:t>
      </w:r>
      <w:r>
        <w:rPr>
          <w:rFonts w:hint="eastAsia" w:ascii="宋体" w:hAnsi="宋体" w:cs="宋体"/>
          <w:color w:val="auto"/>
          <w:szCs w:val="21"/>
          <w:highlight w:val="none"/>
        </w:rPr>
        <w:t>）</w:t>
      </w:r>
    </w:p>
    <w:p w14:paraId="0348ADF8">
      <w:pPr>
        <w:pStyle w:val="13"/>
        <w:spacing w:line="360" w:lineRule="auto"/>
        <w:ind w:firstLine="420" w:firstLineChars="200"/>
        <w:rPr>
          <w:rFonts w:ascii="宋体" w:hAnsi="宋体" w:cs="宋体"/>
          <w:color w:val="auto"/>
          <w:szCs w:val="21"/>
          <w:highlight w:val="none"/>
        </w:rPr>
      </w:pPr>
    </w:p>
    <w:p w14:paraId="54DB6F25">
      <w:pPr>
        <w:pStyle w:val="13"/>
        <w:spacing w:line="360" w:lineRule="auto"/>
        <w:ind w:firstLine="105" w:firstLineChars="50"/>
        <w:rPr>
          <w:rFonts w:ascii="宋体" w:hAnsi="宋体" w:cs="宋体"/>
          <w:color w:val="auto"/>
          <w:szCs w:val="21"/>
          <w:highlight w:val="none"/>
        </w:rPr>
      </w:pPr>
    </w:p>
    <w:p w14:paraId="01A2D6D7">
      <w:pPr>
        <w:spacing w:line="360" w:lineRule="auto"/>
        <w:rPr>
          <w:rFonts w:ascii="宋体" w:hAnsi="宋体" w:cs="宋体"/>
          <w:color w:val="auto"/>
          <w:szCs w:val="21"/>
          <w:highlight w:val="none"/>
        </w:rPr>
      </w:pPr>
    </w:p>
    <w:p w14:paraId="36EDB28D">
      <w:pPr>
        <w:spacing w:line="480" w:lineRule="auto"/>
        <w:jc w:val="righ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南宁市青秀区住房和城乡建设局</w:t>
      </w:r>
    </w:p>
    <w:p w14:paraId="26A0EF73">
      <w:pPr>
        <w:spacing w:line="48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广西华进项目管理有限公司</w:t>
      </w:r>
    </w:p>
    <w:p w14:paraId="3D96B31F">
      <w:pPr>
        <w:snapToGrid w:val="0"/>
        <w:spacing w:line="360" w:lineRule="auto"/>
        <w:ind w:firstLine="420"/>
        <w:jc w:val="right"/>
        <w:rPr>
          <w:rFonts w:ascii="宋体" w:hAnsi="宋体" w:cs="宋体"/>
          <w:color w:val="auto"/>
          <w:sz w:val="21"/>
          <w:szCs w:val="21"/>
          <w:highlight w:val="none"/>
          <w:lang w:val="zh-CN"/>
        </w:rPr>
        <w:sectPr>
          <w:footerReference r:id="rId7" w:type="default"/>
          <w:pgSz w:w="11906" w:h="16838"/>
          <w:pgMar w:top="1440" w:right="1080" w:bottom="1440" w:left="1080" w:header="720" w:footer="720" w:gutter="0"/>
          <w:pgNumType w:fmt="decimal" w:start="1"/>
          <w:cols w:space="720" w:num="1"/>
          <w:docGrid w:type="lines" w:linePitch="331" w:charSpace="0"/>
        </w:sectPr>
      </w:pPr>
      <w:r>
        <w:rPr>
          <w:rFonts w:hint="eastAsia" w:ascii="宋体" w:hAnsi="宋体" w:cs="宋体"/>
          <w:color w:val="auto"/>
          <w:sz w:val="21"/>
          <w:szCs w:val="21"/>
          <w:highlight w:val="none"/>
          <w:lang w:val="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val="zh-CN"/>
        </w:rPr>
        <w:t>年</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lang w:val="zh-CN"/>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val="zh-CN"/>
        </w:rPr>
        <w:t>日</w:t>
      </w:r>
    </w:p>
    <w:p w14:paraId="29ECA458">
      <w:pPr>
        <w:pStyle w:val="7"/>
        <w:jc w:val="center"/>
        <w:outlineLvl w:val="0"/>
        <w:rPr>
          <w:rFonts w:hAnsi="宋体" w:cs="宋体"/>
          <w:b/>
          <w:color w:val="auto"/>
          <w:sz w:val="36"/>
          <w:highlight w:val="none"/>
        </w:rPr>
      </w:pPr>
      <w:bookmarkStart w:id="35" w:name="_Toc532545042"/>
      <w:bookmarkEnd w:id="35"/>
      <w:bookmarkStart w:id="36" w:name="_Toc80092991"/>
      <w:bookmarkEnd w:id="36"/>
      <w:r>
        <w:rPr>
          <w:rFonts w:hint="eastAsia" w:hAnsi="宋体" w:cs="宋体"/>
          <w:b/>
          <w:color w:val="auto"/>
          <w:sz w:val="36"/>
          <w:highlight w:val="none"/>
        </w:rPr>
        <w:t>第二章  采购需求</w:t>
      </w:r>
    </w:p>
    <w:p w14:paraId="6A48AFAD">
      <w:pPr>
        <w:spacing w:line="340" w:lineRule="exact"/>
        <w:rPr>
          <w:rFonts w:ascii="宋体" w:hAnsi="宋体" w:cs="宋体"/>
          <w:b/>
          <w:color w:val="auto"/>
          <w:szCs w:val="21"/>
          <w:highlight w:val="none"/>
        </w:rPr>
      </w:pPr>
    </w:p>
    <w:p w14:paraId="4820A84F">
      <w:pPr>
        <w:spacing w:line="34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1DC4D0B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628A12B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6BE6A7A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164A583F">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29CFF9D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如投标人投标产品存在侵犯他人的知识产权或者专利成果行为的，应承担相应法律责任。</w:t>
      </w:r>
    </w:p>
    <w:p w14:paraId="393658AB">
      <w:pPr>
        <w:spacing w:line="360" w:lineRule="auto"/>
        <w:ind w:firstLine="424" w:firstLineChars="202"/>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4.其他未列明行业中小企业划分标准：</w:t>
      </w:r>
      <w:r>
        <w:rPr>
          <w:rFonts w:hint="eastAsia" w:ascii="宋体" w:hAnsi="宋体" w:cs="宋体"/>
          <w:color w:val="auto"/>
          <w:kern w:val="0"/>
          <w:sz w:val="21"/>
          <w:szCs w:val="21"/>
          <w:lang w:val="en-US" w:eastAsia="zh-CN"/>
        </w:rPr>
        <w:t>从业人员大于三百人</w:t>
      </w:r>
      <w:r>
        <w:rPr>
          <w:rFonts w:hint="eastAsia" w:ascii="宋体" w:hAnsi="宋体" w:cs="宋体"/>
          <w:color w:val="auto"/>
          <w:kern w:val="0"/>
          <w:sz w:val="21"/>
          <w:szCs w:val="21"/>
        </w:rPr>
        <w:t>300</w:t>
      </w:r>
      <w:r>
        <w:rPr>
          <w:rFonts w:hint="eastAsia" w:ascii="宋体" w:hAnsi="宋体" w:cs="宋体"/>
          <w:color w:val="auto"/>
          <w:kern w:val="0"/>
          <w:sz w:val="21"/>
          <w:szCs w:val="21"/>
          <w:lang w:val="en-US" w:eastAsia="zh-CN"/>
        </w:rPr>
        <w:t>为大型企业，从业人员大于100人，小于300 的为中型企业，从业人员大于10人，小于100人的为小型企业，从业人员小于</w:t>
      </w:r>
      <w:r>
        <w:rPr>
          <w:rFonts w:hint="eastAsia" w:ascii="宋体" w:hAnsi="宋体" w:cs="宋体"/>
          <w:color w:val="auto"/>
          <w:kern w:val="0"/>
          <w:sz w:val="21"/>
          <w:szCs w:val="21"/>
        </w:rPr>
        <w:t>10</w:t>
      </w:r>
      <w:r>
        <w:rPr>
          <w:rFonts w:hint="eastAsia" w:ascii="宋体" w:hAnsi="宋体" w:cs="宋体"/>
          <w:color w:val="auto"/>
          <w:kern w:val="0"/>
          <w:sz w:val="21"/>
          <w:szCs w:val="21"/>
          <w:lang w:val="en-US" w:eastAsia="zh-CN"/>
        </w:rPr>
        <w:t>人的为微型企业。</w:t>
      </w:r>
    </w:p>
    <w:p w14:paraId="19D3917D">
      <w:pPr>
        <w:rPr>
          <w:color w:val="auto"/>
        </w:rPr>
      </w:pPr>
    </w:p>
    <w:p w14:paraId="2A34A6CC">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br w:type="page"/>
      </w:r>
    </w:p>
    <w:tbl>
      <w:tblPr>
        <w:tblStyle w:val="5"/>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27"/>
        <w:gridCol w:w="914"/>
        <w:gridCol w:w="477"/>
        <w:gridCol w:w="532"/>
        <w:gridCol w:w="4529"/>
        <w:gridCol w:w="1023"/>
        <w:gridCol w:w="1306"/>
      </w:tblGrid>
      <w:tr w14:paraId="5194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32" w:type="dxa"/>
            <w:gridSpan w:val="8"/>
            <w:vAlign w:val="center"/>
          </w:tcPr>
          <w:p w14:paraId="54D49BCE">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服务需求一览表</w:t>
            </w:r>
          </w:p>
        </w:tc>
      </w:tr>
      <w:tr w14:paraId="240B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vAlign w:val="center"/>
          </w:tcPr>
          <w:p w14:paraId="13595F86">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标段</w:t>
            </w:r>
          </w:p>
        </w:tc>
        <w:tc>
          <w:tcPr>
            <w:tcW w:w="9408" w:type="dxa"/>
            <w:gridSpan w:val="7"/>
            <w:vAlign w:val="center"/>
          </w:tcPr>
          <w:p w14:paraId="0F9D5A00">
            <w:pPr>
              <w:spacing w:line="360" w:lineRule="auto"/>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无分标</w:t>
            </w:r>
          </w:p>
        </w:tc>
      </w:tr>
      <w:tr w14:paraId="580E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4" w:type="dxa"/>
            <w:vMerge w:val="restart"/>
            <w:vAlign w:val="center"/>
          </w:tcPr>
          <w:p w14:paraId="49725011">
            <w:pPr>
              <w:spacing w:line="4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采购清单及服务参数</w:t>
            </w:r>
          </w:p>
        </w:tc>
        <w:tc>
          <w:tcPr>
            <w:tcW w:w="627" w:type="dxa"/>
            <w:tcMar>
              <w:top w:w="0" w:type="dxa"/>
              <w:left w:w="0" w:type="dxa"/>
              <w:bottom w:w="0" w:type="dxa"/>
              <w:right w:w="0" w:type="dxa"/>
            </w:tcMar>
            <w:vAlign w:val="center"/>
          </w:tcPr>
          <w:p w14:paraId="43F999A8">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914" w:type="dxa"/>
            <w:vAlign w:val="center"/>
          </w:tcPr>
          <w:p w14:paraId="7E0F6C25">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采购服务名称</w:t>
            </w:r>
          </w:p>
        </w:tc>
        <w:tc>
          <w:tcPr>
            <w:tcW w:w="477" w:type="dxa"/>
            <w:vAlign w:val="center"/>
          </w:tcPr>
          <w:p w14:paraId="763BBD28">
            <w:pPr>
              <w:pStyle w:val="7"/>
              <w:snapToGrid w:val="0"/>
              <w:jc w:val="center"/>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单位</w:t>
            </w:r>
          </w:p>
        </w:tc>
        <w:tc>
          <w:tcPr>
            <w:tcW w:w="532" w:type="dxa"/>
            <w:vAlign w:val="center"/>
          </w:tcPr>
          <w:p w14:paraId="153F98F9">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4529" w:type="dxa"/>
            <w:vAlign w:val="center"/>
          </w:tcPr>
          <w:p w14:paraId="6F788B91">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服务参数</w:t>
            </w:r>
          </w:p>
        </w:tc>
        <w:tc>
          <w:tcPr>
            <w:tcW w:w="1023" w:type="dxa"/>
            <w:vAlign w:val="center"/>
          </w:tcPr>
          <w:p w14:paraId="34EB9C7D">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分项预算合计（元）</w:t>
            </w:r>
          </w:p>
        </w:tc>
        <w:tc>
          <w:tcPr>
            <w:tcW w:w="1306" w:type="dxa"/>
            <w:vAlign w:val="center"/>
          </w:tcPr>
          <w:p w14:paraId="142CD97F">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中小企业划分标准所属行业名称（行业名称及划分见本章附件2）</w:t>
            </w:r>
          </w:p>
        </w:tc>
      </w:tr>
      <w:tr w14:paraId="1A70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tcPr>
          <w:p w14:paraId="7BDC5470">
            <w:pPr>
              <w:spacing w:line="440" w:lineRule="exact"/>
              <w:jc w:val="center"/>
              <w:rPr>
                <w:rFonts w:ascii="宋体" w:hAnsi="宋体" w:cs="宋体"/>
                <w:color w:val="000000" w:themeColor="text1"/>
                <w:szCs w:val="21"/>
                <w:highlight w:val="none"/>
                <w14:textFill>
                  <w14:solidFill>
                    <w14:schemeClr w14:val="tx1"/>
                  </w14:solidFill>
                </w14:textFill>
              </w:rPr>
            </w:pPr>
          </w:p>
        </w:tc>
        <w:tc>
          <w:tcPr>
            <w:tcW w:w="627" w:type="dxa"/>
            <w:vAlign w:val="center"/>
          </w:tcPr>
          <w:p w14:paraId="14AC0316">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914" w:type="dxa"/>
            <w:vAlign w:val="center"/>
          </w:tcPr>
          <w:p w14:paraId="0B77B9AA">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青秀区农村生活污水处理项目运维服务</w:t>
            </w:r>
          </w:p>
          <w:p w14:paraId="3C495D95">
            <w:pPr>
              <w:spacing w:line="440" w:lineRule="exact"/>
              <w:rPr>
                <w:rFonts w:ascii="宋体" w:hAnsi="宋体" w:cs="宋体"/>
                <w:color w:val="000000" w:themeColor="text1"/>
                <w:szCs w:val="21"/>
                <w:highlight w:val="none"/>
                <w14:textFill>
                  <w14:solidFill>
                    <w14:schemeClr w14:val="tx1"/>
                  </w14:solidFill>
                </w14:textFill>
              </w:rPr>
            </w:pPr>
          </w:p>
        </w:tc>
        <w:tc>
          <w:tcPr>
            <w:tcW w:w="477" w:type="dxa"/>
            <w:vAlign w:val="center"/>
          </w:tcPr>
          <w:p w14:paraId="3A81EEA2">
            <w:pPr>
              <w:spacing w:line="440" w:lineRule="exact"/>
              <w:jc w:val="center"/>
              <w:rPr>
                <w:rFonts w:ascii="宋体" w:hAnsi="宋体" w:cs="宋体"/>
                <w:color w:val="000000" w:themeColor="text1"/>
                <w:szCs w:val="21"/>
                <w:highlight w:val="none"/>
                <w14:textFill>
                  <w14:solidFill>
                    <w14:schemeClr w14:val="tx1"/>
                  </w14:solidFill>
                </w14:textFill>
              </w:rPr>
            </w:pPr>
          </w:p>
          <w:p w14:paraId="31FABDCE">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w:t>
            </w:r>
          </w:p>
        </w:tc>
        <w:tc>
          <w:tcPr>
            <w:tcW w:w="532" w:type="dxa"/>
            <w:vAlign w:val="center"/>
          </w:tcPr>
          <w:p w14:paraId="3B3E6DC7">
            <w:pPr>
              <w:spacing w:line="440" w:lineRule="exact"/>
              <w:jc w:val="center"/>
              <w:rPr>
                <w:rFonts w:ascii="宋体" w:hAnsi="宋体" w:cs="宋体"/>
                <w:color w:val="000000" w:themeColor="text1"/>
                <w:szCs w:val="21"/>
                <w:highlight w:val="none"/>
                <w14:textFill>
                  <w14:solidFill>
                    <w14:schemeClr w14:val="tx1"/>
                  </w14:solidFill>
                </w14:textFill>
              </w:rPr>
            </w:pPr>
          </w:p>
          <w:p w14:paraId="411FAEC3">
            <w:pPr>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529" w:type="dxa"/>
            <w:vAlign w:val="center"/>
          </w:tcPr>
          <w:p w14:paraId="76D1B3A7">
            <w:pPr>
              <w:adjustRightInd w:val="0"/>
              <w:spacing w:line="400" w:lineRule="exac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一、工程概述</w:t>
            </w:r>
          </w:p>
          <w:p w14:paraId="12977AA0">
            <w:pPr>
              <w:adjustRightInd w:val="0"/>
              <w:spacing w:line="400" w:lineRule="exact"/>
              <w:ind w:firstLine="210" w:firstLineChars="1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青秀区农村生活污水处理项目运维服务项目内容为在青秀区四个镇区96个坡屯建设</w:t>
            </w:r>
            <w:r>
              <w:rPr>
                <w:rFonts w:hint="eastAsia" w:ascii="宋体" w:hAnsi="宋体"/>
                <w:color w:val="000000" w:themeColor="text1"/>
                <w:highlight w:val="none"/>
                <w:lang w:val="en-US" w:eastAsia="zh-CN"/>
                <w14:textFill>
                  <w14:solidFill>
                    <w14:schemeClr w14:val="tx1"/>
                  </w14:solidFill>
                </w14:textFill>
              </w:rPr>
              <w:t>145</w:t>
            </w:r>
            <w:r>
              <w:rPr>
                <w:rFonts w:hint="eastAsia" w:ascii="宋体" w:hAnsi="宋体"/>
                <w:color w:val="000000" w:themeColor="text1"/>
                <w:highlight w:val="none"/>
                <w14:textFill>
                  <w14:solidFill>
                    <w14:schemeClr w14:val="tx1"/>
                  </w14:solidFill>
                </w14:textFill>
              </w:rPr>
              <w:t>座农村生活污水处理设施运维服务。该工程于2018年12月开工，已于2020年12月底竣工验收合格，并移交给第三方运维单位进行污水处理站设施运维工作。由于该项目运行维护服务即将到期，为更好的管理污水处理设施，使其能正常运行，达到水环境治理的最终效果，现对青秀区农村生活污水处理项目运维服务进行公开招标。</w:t>
            </w:r>
          </w:p>
          <w:p w14:paraId="30D910E2">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二、服务参数内容：</w:t>
            </w:r>
          </w:p>
          <w:p w14:paraId="28403563">
            <w:pPr>
              <w:adjustRightInd w:val="0"/>
              <w:spacing w:line="400" w:lineRule="exact"/>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1.</w:t>
            </w:r>
            <w:r>
              <w:rPr>
                <w:rFonts w:hint="eastAsia" w:ascii="宋体" w:hAnsi="宋体" w:eastAsia="宋体" w:cs="Times New Roman"/>
                <w:color w:val="000000" w:themeColor="text1"/>
                <w:highlight w:val="none"/>
                <w14:textFill>
                  <w14:solidFill>
                    <w14:schemeClr w14:val="tx1"/>
                  </w14:solidFill>
                </w14:textFill>
              </w:rPr>
              <w:t>主要包括</w:t>
            </w:r>
            <w:r>
              <w:rPr>
                <w:rFonts w:ascii="宋体" w:hAnsi="宋体" w:eastAsia="宋体" w:cs="宋体"/>
                <w:color w:val="000000" w:themeColor="text1"/>
                <w:sz w:val="21"/>
                <w:szCs w:val="21"/>
                <w14:textFill>
                  <w14:solidFill>
                    <w14:schemeClr w14:val="tx1"/>
                  </w14:solidFill>
                </w14:textFill>
              </w:rPr>
              <w:t>污水处理站</w:t>
            </w:r>
            <w:r>
              <w:rPr>
                <w:rFonts w:hint="eastAsia" w:ascii="宋体" w:hAnsi="宋体" w:eastAsia="宋体" w:cs="Times New Roman"/>
                <w:color w:val="000000" w:themeColor="text1"/>
                <w:highlight w:val="none"/>
                <w14:textFill>
                  <w14:solidFill>
                    <w14:schemeClr w14:val="tx1"/>
                  </w14:solidFill>
                </w14:textFill>
              </w:rPr>
              <w:t>区域内的设备、设施正常运行和安全生产，负责设备设施的管理、保养与维护，负责卫生清洁、绿化、建筑物、道路、房屋、围墙、边坡等厂区红线范围内的管理、保养与维护，具体包括但不仅限于全面负责污水处理</w:t>
            </w:r>
            <w:r>
              <w:rPr>
                <w:rFonts w:hint="eastAsia" w:ascii="宋体" w:hAnsi="宋体" w:cs="Times New Roman"/>
                <w:color w:val="000000" w:themeColor="text1"/>
                <w:highlight w:val="none"/>
                <w:lang w:val="en-US" w:eastAsia="zh-CN"/>
                <w14:textFill>
                  <w14:solidFill>
                    <w14:schemeClr w14:val="tx1"/>
                  </w14:solidFill>
                </w14:textFill>
              </w:rPr>
              <w:t>站</w:t>
            </w:r>
            <w:r>
              <w:rPr>
                <w:rFonts w:hint="eastAsia" w:ascii="宋体" w:hAnsi="宋体" w:eastAsia="宋体" w:cs="Times New Roman"/>
                <w:color w:val="000000" w:themeColor="text1"/>
                <w:highlight w:val="none"/>
                <w14:textFill>
                  <w14:solidFill>
                    <w14:schemeClr w14:val="tx1"/>
                  </w14:solidFill>
                </w14:textFill>
              </w:rPr>
              <w:t>生产运行的管理、操作、药剂和动力消耗、耗材采购及更换，污水处理设备以及在线自动监测设备等设备维护、管养，污泥等生产废物存放以及处置、分析化验等，及为确保污水处理</w:t>
            </w:r>
            <w:r>
              <w:rPr>
                <w:rFonts w:hint="eastAsia" w:ascii="宋体" w:hAnsi="宋体" w:cs="Times New Roman"/>
                <w:color w:val="000000" w:themeColor="text1"/>
                <w:highlight w:val="none"/>
                <w:lang w:val="en-US" w:eastAsia="zh-CN"/>
                <w14:textFill>
                  <w14:solidFill>
                    <w14:schemeClr w14:val="tx1"/>
                  </w14:solidFill>
                </w14:textFill>
              </w:rPr>
              <w:t>站</w:t>
            </w:r>
            <w:r>
              <w:rPr>
                <w:rFonts w:hint="eastAsia" w:ascii="宋体" w:hAnsi="宋体" w:eastAsia="宋体" w:cs="Times New Roman"/>
                <w:color w:val="000000" w:themeColor="text1"/>
                <w:highlight w:val="none"/>
                <w14:textFill>
                  <w14:solidFill>
                    <w14:schemeClr w14:val="tx1"/>
                  </w14:solidFill>
                </w14:textFill>
              </w:rPr>
              <w:t>的正常运行的其他一切相关工作（如日常巡检、安保、紧急事项等工作），建立并完善污水管</w:t>
            </w:r>
            <w:r>
              <w:rPr>
                <w:rFonts w:hint="eastAsia" w:ascii="宋体" w:hAnsi="宋体" w:eastAsia="宋体" w:cs="Times New Roman"/>
                <w:color w:val="000000" w:themeColor="text1"/>
                <w:highlight w:val="none"/>
                <w:lang w:val="en-US" w:eastAsia="zh-CN"/>
                <w14:textFill>
                  <w14:solidFill>
                    <w14:schemeClr w14:val="tx1"/>
                  </w14:solidFill>
                </w14:textFill>
              </w:rPr>
              <w:t>井</w:t>
            </w:r>
            <w:r>
              <w:rPr>
                <w:rFonts w:hint="eastAsia" w:ascii="宋体" w:hAnsi="宋体" w:eastAsia="宋体" w:cs="Times New Roman"/>
                <w:color w:val="000000" w:themeColor="text1"/>
                <w:highlight w:val="none"/>
                <w14:textFill>
                  <w14:solidFill>
                    <w14:schemeClr w14:val="tx1"/>
                  </w14:solidFill>
                </w14:textFill>
              </w:rPr>
              <w:t>的巡查制度和应急处理预案，一旦发现污水处理设施破损或堵塞，要立即安排进行维修，保证污水处理系统的完好通畅</w:t>
            </w:r>
            <w:r>
              <w:rPr>
                <w:rFonts w:hint="eastAsia" w:ascii="宋体" w:hAnsi="宋体" w:eastAsia="宋体" w:cs="Times New Roman"/>
                <w:color w:val="000000" w:themeColor="text1"/>
                <w:highlight w:val="none"/>
                <w:lang w:eastAsia="zh-CN"/>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包括招标文件和合同中一切明示或暗示的风险、责任和义务的费用。</w:t>
            </w:r>
          </w:p>
          <w:p w14:paraId="468D400F">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日常管理运营相关要求</w:t>
            </w:r>
            <w:r>
              <w:rPr>
                <w:rFonts w:hint="eastAsia" w:ascii="宋体" w:hAnsi="宋体" w:eastAsia="宋体" w:cs="宋体"/>
                <w:color w:val="000000" w:themeColor="text1"/>
                <w:highlight w:val="none"/>
                <w14:textFill>
                  <w14:solidFill>
                    <w14:schemeClr w14:val="tx1"/>
                  </w14:solidFill>
                </w14:textFill>
              </w:rPr>
              <w:t>:</w:t>
            </w:r>
          </w:p>
          <w:p w14:paraId="5002394D">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）在中标人运营管理期间，保证污水处理</w:t>
            </w:r>
            <w:r>
              <w:rPr>
                <w:rFonts w:hint="eastAsia" w:ascii="宋体" w:hAnsi="宋体"/>
                <w:color w:val="000000" w:themeColor="text1"/>
                <w:highlight w:val="none"/>
                <w:lang w:val="en-US" w:eastAsia="zh-CN"/>
                <w14:textFill>
                  <w14:solidFill>
                    <w14:schemeClr w14:val="tx1"/>
                  </w14:solidFill>
                </w14:textFill>
              </w:rPr>
              <w:t>站</w:t>
            </w:r>
            <w:r>
              <w:rPr>
                <w:rFonts w:hint="eastAsia" w:ascii="宋体" w:hAnsi="宋体"/>
                <w:color w:val="000000" w:themeColor="text1"/>
                <w:highlight w:val="none"/>
                <w14:textFill>
                  <w14:solidFill>
                    <w14:schemeClr w14:val="tx1"/>
                  </w14:solidFill>
                </w14:textFill>
              </w:rPr>
              <w:t>的正常运行和各项成果符合技术规范、法律法规、政策、招标文件和合同要求。</w:t>
            </w:r>
          </w:p>
          <w:p w14:paraId="6D1BF7A9">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 xml:space="preserve">）中标人在运营管理期间，必须严格按设备操作规程、安全操作规程进行操作，保证入场人员人身和财产安全，杜绝安全生产事故的发生。 </w:t>
            </w:r>
          </w:p>
          <w:p w14:paraId="38AF0BFB">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）污水处理</w:t>
            </w:r>
            <w:r>
              <w:rPr>
                <w:rFonts w:hint="eastAsia" w:ascii="宋体" w:hAnsi="宋体"/>
                <w:color w:val="000000" w:themeColor="text1"/>
                <w:highlight w:val="none"/>
                <w:lang w:val="en-US" w:eastAsia="zh-CN"/>
                <w14:textFill>
                  <w14:solidFill>
                    <w14:schemeClr w14:val="tx1"/>
                  </w14:solidFill>
                </w14:textFill>
              </w:rPr>
              <w:t>站</w:t>
            </w:r>
            <w:r>
              <w:rPr>
                <w:rFonts w:hint="eastAsia" w:ascii="宋体" w:hAnsi="宋体"/>
                <w:color w:val="000000" w:themeColor="text1"/>
                <w:highlight w:val="none"/>
                <w14:textFill>
                  <w14:solidFill>
                    <w14:schemeClr w14:val="tx1"/>
                  </w14:solidFill>
                </w14:textFill>
              </w:rPr>
              <w:t xml:space="preserve">的设备的运行记录、维修记录、交接班记录表等必须由中标人详实纪录并妥善保存，当合同期满后，完整移交给采购人。 </w:t>
            </w:r>
          </w:p>
          <w:p w14:paraId="73F0FEF6">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）完成甲方临时安排的其他紧急或特殊事项，及负责</w:t>
            </w:r>
            <w:r>
              <w:rPr>
                <w:rFonts w:hint="eastAsia" w:ascii="宋体" w:hAnsi="宋体"/>
                <w:color w:val="000000" w:themeColor="text1"/>
                <w:highlight w:val="none"/>
                <w:lang w:val="en-US" w:eastAsia="zh-CN"/>
                <w14:textFill>
                  <w14:solidFill>
                    <w14:schemeClr w14:val="tx1"/>
                  </w14:solidFill>
                </w14:textFill>
              </w:rPr>
              <w:t>维修</w:t>
            </w:r>
            <w:r>
              <w:rPr>
                <w:rFonts w:hint="eastAsia" w:ascii="宋体" w:hAnsi="宋体"/>
                <w:color w:val="000000" w:themeColor="text1"/>
                <w:highlight w:val="none"/>
                <w14:textFill>
                  <w14:solidFill>
                    <w14:schemeClr w14:val="tx1"/>
                  </w14:solidFill>
                </w14:textFill>
              </w:rPr>
              <w:t>处理污水管网存在问题等。</w:t>
            </w:r>
          </w:p>
          <w:p w14:paraId="55F0B58F">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）中标人的工作人员必须服从采购人的管理人员检查和监督、考核，不得出现偷排等违法行为，以及及时处理“广西重点污染源自动监控系统”上存在异常事件。</w:t>
            </w:r>
          </w:p>
          <w:p w14:paraId="27544F14">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）中标人的投标报价（单价和总价）不仅限于包含了中标人所提供的完成运营服务所需人工费、</w:t>
            </w:r>
            <w:r>
              <w:rPr>
                <w:rFonts w:hint="eastAsia" w:ascii="宋体" w:hAnsi="宋体"/>
                <w:color w:val="000000" w:themeColor="text1"/>
                <w:highlight w:val="none"/>
                <w:lang w:val="en-US" w:eastAsia="zh-CN"/>
                <w14:textFill>
                  <w14:solidFill>
                    <w14:schemeClr w14:val="tx1"/>
                  </w14:solidFill>
                </w14:textFill>
              </w:rPr>
              <w:t>设备管网</w:t>
            </w:r>
            <w:r>
              <w:rPr>
                <w:rFonts w:hint="eastAsia" w:ascii="宋体" w:hAnsi="宋体"/>
                <w:color w:val="000000" w:themeColor="text1"/>
                <w:highlight w:val="none"/>
                <w14:textFill>
                  <w14:solidFill>
                    <w14:schemeClr w14:val="tx1"/>
                  </w14:solidFill>
                </w14:textFill>
              </w:rPr>
              <w:t>维修维保费、污泥处置费、水电费、药剂费（含检测费）、在线监测费，也包括在完成义务中所涉及的劳务、材料、机械设备、必备的辅助材料、设备及动力能源消耗、管理、维护、安全、环保、文明施工、保险（含商业险）、税费、利润、临时设施与临时工程、人员、设备进退场及与服务过程涉及的一切明示或暗示的风险、责任和义务的费用。</w:t>
            </w:r>
          </w:p>
          <w:p w14:paraId="7D2B6CA8">
            <w:pPr>
              <w:adjustRightInd w:val="0"/>
              <w:spacing w:line="4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质量要求：达到国家现行的相关标准、要求符合广西区、南宁市住建部门对镇级污水处理</w:t>
            </w:r>
            <w:r>
              <w:rPr>
                <w:rFonts w:hint="eastAsia" w:ascii="宋体" w:hAnsi="宋体"/>
                <w:color w:val="000000" w:themeColor="text1"/>
                <w:highlight w:val="none"/>
                <w:lang w:val="en-US" w:eastAsia="zh-CN"/>
                <w14:textFill>
                  <w14:solidFill>
                    <w14:schemeClr w14:val="tx1"/>
                  </w14:solidFill>
                </w14:textFill>
              </w:rPr>
              <w:t>站</w:t>
            </w:r>
            <w:r>
              <w:rPr>
                <w:rFonts w:hint="eastAsia" w:ascii="宋体" w:hAnsi="宋体"/>
                <w:color w:val="000000" w:themeColor="text1"/>
                <w:highlight w:val="none"/>
                <w14:textFill>
                  <w14:solidFill>
                    <w14:schemeClr w14:val="tx1"/>
                  </w14:solidFill>
                </w14:textFill>
              </w:rPr>
              <w:t>的相关运营标准、要求；污水处理</w:t>
            </w:r>
            <w:r>
              <w:rPr>
                <w:rFonts w:hint="eastAsia" w:ascii="宋体" w:hAnsi="宋体"/>
                <w:color w:val="000000" w:themeColor="text1"/>
                <w:highlight w:val="none"/>
                <w:lang w:val="en-US" w:eastAsia="zh-CN"/>
                <w14:textFill>
                  <w14:solidFill>
                    <w14:schemeClr w14:val="tx1"/>
                  </w14:solidFill>
                </w14:textFill>
              </w:rPr>
              <w:t>站</w:t>
            </w:r>
            <w:r>
              <w:rPr>
                <w:rFonts w:hint="eastAsia" w:ascii="宋体" w:hAnsi="宋体"/>
                <w:color w:val="000000" w:themeColor="text1"/>
                <w:highlight w:val="none"/>
                <w14:textFill>
                  <w14:solidFill>
                    <w14:schemeClr w14:val="tx1"/>
                  </w14:solidFill>
                </w14:textFill>
              </w:rPr>
              <w:t>出水执行</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DB45/2413—2021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《农村生活污水处理设施水污染物排放标准》，并能通过环保部门的各项验收；符合招标文件和合同约定。</w:t>
            </w:r>
          </w:p>
          <w:p w14:paraId="00AD7D90">
            <w:pPr>
              <w:pStyle w:val="14"/>
              <w:ind w:firstLine="0" w:firstLineChars="0"/>
              <w:rPr>
                <w:rFonts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运营服务期为合同签订后开始接手运营之日起</w:t>
            </w:r>
            <w:r>
              <w:rPr>
                <w:rFonts w:hint="eastAsia" w:eastAsia="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年。</w:t>
            </w:r>
          </w:p>
        </w:tc>
        <w:tc>
          <w:tcPr>
            <w:tcW w:w="1023" w:type="dxa"/>
            <w:vAlign w:val="center"/>
          </w:tcPr>
          <w:p w14:paraId="5EDA75B4">
            <w:pPr>
              <w:spacing w:line="440" w:lineRule="exact"/>
              <w:ind w:right="19" w:rightChars="9"/>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18000000</w:t>
            </w:r>
            <w:r>
              <w:rPr>
                <w:rFonts w:hint="eastAsia" w:ascii="宋体" w:hAnsi="宋体" w:cs="宋体"/>
                <w:color w:val="000000" w:themeColor="text1"/>
                <w:szCs w:val="21"/>
                <w:highlight w:val="none"/>
                <w14:textFill>
                  <w14:solidFill>
                    <w14:schemeClr w14:val="tx1"/>
                  </w14:solidFill>
                </w14:textFill>
              </w:rPr>
              <w:t>.00</w:t>
            </w:r>
          </w:p>
        </w:tc>
        <w:tc>
          <w:tcPr>
            <w:tcW w:w="1306" w:type="dxa"/>
            <w:vAlign w:val="center"/>
          </w:tcPr>
          <w:p w14:paraId="0B0752D0">
            <w:pPr>
              <w:spacing w:line="440" w:lineRule="exact"/>
              <w:ind w:right="19" w:rightChars="9"/>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其他未列明行业</w:t>
            </w:r>
          </w:p>
        </w:tc>
      </w:tr>
      <w:tr w14:paraId="1D94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4" w:type="dxa"/>
            <w:vAlign w:val="center"/>
          </w:tcPr>
          <w:p w14:paraId="6068A753">
            <w:pPr>
              <w:spacing w:line="440" w:lineRule="exact"/>
              <w:jc w:val="center"/>
              <w:rPr>
                <w:rFonts w:ascii="宋体" w:hAnsi="宋体" w:cs="宋体"/>
                <w:b/>
                <w:bCs/>
                <w:color w:val="000000" w:themeColor="text1"/>
                <w:szCs w:val="21"/>
                <w:highlight w:val="none"/>
                <w14:textFill>
                  <w14:solidFill>
                    <w14:schemeClr w14:val="tx1"/>
                  </w14:solidFill>
                </w14:textFill>
              </w:rPr>
            </w:pPr>
          </w:p>
          <w:p w14:paraId="5E531868">
            <w:pPr>
              <w:spacing w:line="440" w:lineRule="exact"/>
              <w:jc w:val="center"/>
              <w:rPr>
                <w:rFonts w:ascii="宋体" w:hAnsi="宋体" w:cs="宋体"/>
                <w:b/>
                <w:bCs/>
                <w:color w:val="000000" w:themeColor="text1"/>
                <w:szCs w:val="21"/>
                <w:highlight w:val="none"/>
                <w14:textFill>
                  <w14:solidFill>
                    <w14:schemeClr w14:val="tx1"/>
                  </w14:solidFill>
                </w14:textFill>
              </w:rPr>
            </w:pPr>
          </w:p>
          <w:p w14:paraId="3EB41759">
            <w:pPr>
              <w:spacing w:line="4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商务条款</w:t>
            </w:r>
          </w:p>
        </w:tc>
        <w:tc>
          <w:tcPr>
            <w:tcW w:w="9408" w:type="dxa"/>
            <w:gridSpan w:val="7"/>
          </w:tcPr>
          <w:p w14:paraId="183D6BE1">
            <w:pPr>
              <w:widowControl/>
              <w:spacing w:line="400" w:lineRule="exact"/>
              <w:rPr>
                <w:rFonts w:ascii="Times New Roman" w:hAnsi="Times New Roman"/>
                <w:color w:val="000000" w:themeColor="text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一、合同签订期：</w:t>
            </w:r>
            <w:r>
              <w:rPr>
                <w:rFonts w:hint="eastAsia" w:ascii="宋体" w:hAnsi="宋体" w:cs="宋体"/>
                <w:color w:val="000000" w:themeColor="text1"/>
                <w:szCs w:val="21"/>
                <w:highlight w:val="none"/>
                <w14:textFill>
                  <w14:solidFill>
                    <w14:schemeClr w14:val="tx1"/>
                  </w14:solidFill>
                </w14:textFill>
              </w:rPr>
              <w:t>自中标通知书发出之日起</w:t>
            </w:r>
            <w:r>
              <w:rPr>
                <w:rFonts w:hint="eastAsia" w:ascii="宋体" w:hAnsi="宋体" w:cs="宋体"/>
                <w:color w:val="000000" w:themeColor="text1"/>
                <w:szCs w:val="21"/>
                <w:highlight w:val="none"/>
                <w:u w:val="single"/>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日内</w:t>
            </w:r>
            <w:r>
              <w:rPr>
                <w:rFonts w:hint="eastAsia" w:ascii="Times New Roman" w:hAnsi="Times New Roman"/>
                <w:color w:val="000000" w:themeColor="text1"/>
                <w14:textFill>
                  <w14:solidFill>
                    <w14:schemeClr w14:val="tx1"/>
                  </w14:solidFill>
                </w14:textFill>
              </w:rPr>
              <w:t>；</w:t>
            </w:r>
          </w:p>
          <w:p w14:paraId="26BA7BA3">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Times New Roman" w:hAnsi="Times New Roman"/>
                <w:color w:val="000000" w:themeColor="text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二、服务时间：自合同签订之日起</w:t>
            </w:r>
            <w:r>
              <w:rPr>
                <w:rFonts w:hint="eastAsia" w:ascii="Times New Roman" w:hAnsi="Times New Roman"/>
                <w:color w:val="000000" w:themeColor="text1"/>
                <w:lang w:val="en-US" w:eastAsia="zh-CN"/>
                <w14:textFill>
                  <w14:solidFill>
                    <w14:schemeClr w14:val="tx1"/>
                  </w14:solidFill>
                </w14:textFill>
              </w:rPr>
              <w:t>3</w:t>
            </w:r>
            <w:r>
              <w:rPr>
                <w:rFonts w:hint="eastAsia" w:ascii="Times New Roman" w:hAnsi="Times New Roman"/>
                <w:color w:val="000000" w:themeColor="text1"/>
                <w14:textFill>
                  <w14:solidFill>
                    <w14:schemeClr w14:val="tx1"/>
                  </w14:solidFill>
                </w14:textFill>
              </w:rPr>
              <w:t>年；</w:t>
            </w:r>
          </w:p>
          <w:p w14:paraId="24F47D7E">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Times New Roman" w:hAnsi="Times New Roman"/>
                <w:color w:val="000000" w:themeColor="text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三、服务地点：采购人指定地点；</w:t>
            </w:r>
          </w:p>
          <w:p w14:paraId="7DBA16D7">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color w:val="000000" w:themeColor="text1"/>
                <w:highlight w:val="none"/>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四、</w:t>
            </w:r>
            <w:r>
              <w:rPr>
                <w:rFonts w:hint="eastAsia" w:ascii="Times New Roman" w:hAnsi="Times New Roman"/>
                <w:color w:val="000000" w:themeColor="text1"/>
                <w:highlight w:val="none"/>
                <w14:textFill>
                  <w14:solidFill>
                    <w14:schemeClr w14:val="tx1"/>
                  </w14:solidFill>
                </w14:textFill>
              </w:rPr>
              <w:t>服务质量要求：达到</w:t>
            </w:r>
            <w:r>
              <w:rPr>
                <w:rFonts w:hint="eastAsia" w:ascii="Times New Roman" w:hAnsi="Times New Roman"/>
                <w:color w:val="000000" w:themeColor="text1"/>
                <w:highlight w:val="none"/>
                <w:lang w:val="en-US" w:eastAsia="zh-CN"/>
                <w14:textFill>
                  <w14:solidFill>
                    <w14:schemeClr w14:val="tx1"/>
                  </w14:solidFill>
                </w14:textFill>
              </w:rPr>
              <w:t>自治区</w:t>
            </w:r>
            <w:r>
              <w:rPr>
                <w:rFonts w:hint="eastAsia" w:ascii="Times New Roman" w:hAnsi="Times New Roman"/>
                <w:color w:val="000000" w:themeColor="text1"/>
                <w:highlight w:val="none"/>
                <w14:textFill>
                  <w14:solidFill>
                    <w14:schemeClr w14:val="tx1"/>
                  </w14:solidFill>
                </w14:textFill>
              </w:rPr>
              <w:t xml:space="preserve">现行的相关标准和要求； </w:t>
            </w:r>
          </w:p>
          <w:p w14:paraId="6A30750F">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五、资金拨付形式：无预付款，按合同每年的运维费分四期付款，第一期支付25%，第二期支付25%，第三期支付25%，第四期支付25%（</w:t>
            </w:r>
            <w:r>
              <w:rPr>
                <w:rFonts w:hint="eastAsia"/>
                <w:color w:val="000000" w:themeColor="text1"/>
                <w:highlight w:val="none"/>
                <w:lang w:eastAsia="zh-CN"/>
                <w14:textFill>
                  <w14:solidFill>
                    <w14:schemeClr w14:val="tx1"/>
                  </w14:solidFill>
                </w14:textFill>
              </w:rPr>
              <w:t>一期为9个月</w:t>
            </w:r>
            <w:r>
              <w:rPr>
                <w:rFonts w:hint="eastAsia" w:ascii="Times New Roman" w:hAnsi="Times New Roman"/>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p>
          <w:p w14:paraId="33BD341A">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color w:val="000000" w:themeColor="text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六、服务要求：</w:t>
            </w:r>
          </w:p>
          <w:p w14:paraId="30C37460">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一</w:t>
            </w:r>
            <w:r>
              <w:rPr>
                <w:rFonts w:hint="eastAsia" w:ascii="Times New Roman" w:hAnsi="Times New Roman"/>
                <w:color w:val="000000" w:themeColor="text1"/>
                <w14:textFill>
                  <w14:solidFill>
                    <w14:schemeClr w14:val="tx1"/>
                  </w14:solidFill>
                </w14:textFill>
              </w:rPr>
              <w:t>）处理问题响应时间：</w:t>
            </w:r>
            <w:r>
              <w:rPr>
                <w:rFonts w:hint="eastAsia" w:ascii="宋体" w:hAnsi="宋体" w:cs="宋体"/>
                <w:color w:val="000000" w:themeColor="text1"/>
                <w:szCs w:val="21"/>
                <w:highlight w:val="none"/>
                <w14:textFill>
                  <w14:solidFill>
                    <w14:schemeClr w14:val="tx1"/>
                  </w14:solidFill>
                </w14:textFill>
              </w:rPr>
              <w:t>接到采购人处理问题通知后</w:t>
            </w:r>
            <w:r>
              <w:rPr>
                <w:rFonts w:ascii="宋体" w:hAnsi="宋体" w:cs="宋体"/>
                <w:color w:val="000000" w:themeColor="text1"/>
                <w:szCs w:val="21"/>
                <w:highlight w:val="none"/>
                <w:u w:val="single"/>
                <w14:textFill>
                  <w14:solidFill>
                    <w14:schemeClr w14:val="tx1"/>
                  </w14:solidFill>
                </w14:textFill>
              </w:rPr>
              <w:t>12</w:t>
            </w:r>
            <w:r>
              <w:rPr>
                <w:rFonts w:hint="eastAsia" w:ascii="宋体" w:hAnsi="宋体" w:cs="宋体"/>
                <w:color w:val="000000" w:themeColor="text1"/>
                <w:szCs w:val="21"/>
                <w:highlight w:val="none"/>
                <w14:textFill>
                  <w14:solidFill>
                    <w14:schemeClr w14:val="tx1"/>
                  </w14:solidFill>
                </w14:textFill>
              </w:rPr>
              <w:t>小时内到达采购人指定现场</w:t>
            </w:r>
            <w:r>
              <w:rPr>
                <w:rFonts w:hint="eastAsia" w:ascii="Times New Roman" w:hAnsi="Times New Roman"/>
                <w:color w:val="000000" w:themeColor="text1"/>
                <w14:textFill>
                  <w14:solidFill>
                    <w14:schemeClr w14:val="tx1"/>
                  </w14:solidFill>
                </w14:textFill>
              </w:rPr>
              <w:t>。</w:t>
            </w:r>
          </w:p>
          <w:p w14:paraId="278800FB">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Times New Roman" w:hAnsi="Times New Roman"/>
                <w:color w:val="000000" w:themeColor="text1"/>
                <w:highlight w:val="none"/>
                <w:u w:val="none"/>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七</w:t>
            </w:r>
            <w:r>
              <w:rPr>
                <w:rFonts w:hint="eastAsia" w:ascii="Times New Roman" w:hAnsi="Times New Roman"/>
                <w:color w:val="000000" w:themeColor="text1"/>
                <w14:textFill>
                  <w14:solidFill>
                    <w14:schemeClr w14:val="tx1"/>
                  </w14:solidFill>
                </w14:textFill>
              </w:rPr>
              <w:t>、备品备件及耗材等要求</w:t>
            </w:r>
            <w:r>
              <w:rPr>
                <w:rFonts w:hint="eastAsia"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u w:val="none"/>
                <w14:textFill>
                  <w14:solidFill>
                    <w14:schemeClr w14:val="tx1"/>
                  </w14:solidFill>
                </w14:textFill>
              </w:rPr>
              <w:t>零部件、污水处理设施的相关设备及排污管网维护、配件及安装材料，符合国家相关质量标准。</w:t>
            </w:r>
          </w:p>
          <w:p w14:paraId="0E488F99">
            <w:pPr>
              <w:pStyle w:val="3"/>
              <w:spacing w:line="400" w:lineRule="exact"/>
              <w:ind w:firstLine="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八</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投标报价：青秀区农村生活污水处理项目运维服务预算不超过600万元/年，3年总价不超过1800万元。</w:t>
            </w:r>
          </w:p>
        </w:tc>
      </w:tr>
    </w:tbl>
    <w:p w14:paraId="138B3515">
      <w:pPr>
        <w:spacing w:line="428" w:lineRule="exact"/>
        <w:ind w:left="119"/>
        <w:rPr>
          <w:rFonts w:ascii="宋体" w:hAnsi="宋体" w:cs="宋体"/>
          <w:color w:val="auto"/>
          <w:highlight w:val="none"/>
        </w:rPr>
      </w:pPr>
      <w:r>
        <w:rPr>
          <w:rFonts w:ascii="宋体" w:hAnsi="宋体" w:cs="宋体"/>
          <w:color w:val="auto"/>
          <w:highlight w:val="none"/>
        </w:rPr>
        <w:br w:type="page"/>
      </w:r>
      <w:r>
        <w:rPr>
          <w:rFonts w:hint="eastAsia" w:ascii="宋体" w:hAnsi="宋体" w:cs="宋体"/>
          <w:color w:val="auto"/>
          <w:highlight w:val="none"/>
        </w:rPr>
        <w:t xml:space="preserve"> </w:t>
      </w: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cs="宋体"/>
          <w:color w:val="auto"/>
          <w:sz w:val="32"/>
          <w:szCs w:val="32"/>
          <w:highlight w:val="none"/>
        </w:rPr>
        <w:t>：</w:t>
      </w:r>
    </w:p>
    <w:p w14:paraId="77DF9589">
      <w:pPr>
        <w:spacing w:before="7"/>
        <w:rPr>
          <w:rFonts w:ascii="宋体" w:hAnsi="宋体" w:cs="宋体"/>
          <w:color w:val="auto"/>
          <w:sz w:val="17"/>
          <w:szCs w:val="17"/>
          <w:highlight w:val="none"/>
        </w:rPr>
      </w:pPr>
    </w:p>
    <w:p w14:paraId="7563DA5B">
      <w:pPr>
        <w:spacing w:line="528" w:lineRule="exact"/>
        <w:ind w:left="1871" w:firstLine="1205" w:firstLineChars="400"/>
        <w:jc w:val="both"/>
        <w:rPr>
          <w:rFonts w:ascii="宋体" w:hAnsi="宋体" w:cs="宋体"/>
          <w:b/>
          <w:bCs/>
          <w:color w:val="auto"/>
          <w:sz w:val="30"/>
          <w:szCs w:val="30"/>
          <w:highlight w:val="none"/>
        </w:rPr>
      </w:pPr>
      <w:r>
        <w:rPr>
          <w:rFonts w:hint="eastAsia" w:ascii="宋体" w:hAnsi="宋体" w:cs="宋体"/>
          <w:b/>
          <w:bCs/>
          <w:color w:val="auto"/>
          <w:sz w:val="30"/>
          <w:szCs w:val="30"/>
          <w:highlight w:val="none"/>
        </w:rPr>
        <w:t>节能产品政府采购品目清单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24"/>
        <w:gridCol w:w="1408"/>
        <w:gridCol w:w="1612"/>
        <w:gridCol w:w="4335"/>
      </w:tblGrid>
      <w:tr w14:paraId="3EDE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1" w:type="dxa"/>
          </w:tcPr>
          <w:p w14:paraId="0FC2CEA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品目序号</w:t>
            </w:r>
          </w:p>
        </w:tc>
        <w:tc>
          <w:tcPr>
            <w:tcW w:w="4244" w:type="dxa"/>
            <w:gridSpan w:val="3"/>
            <w:vAlign w:val="center"/>
          </w:tcPr>
          <w:p w14:paraId="51D3AD4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4335" w:type="dxa"/>
            <w:vAlign w:val="center"/>
          </w:tcPr>
          <w:p w14:paraId="2108DE1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依据的标准</w:t>
            </w:r>
          </w:p>
        </w:tc>
      </w:tr>
      <w:tr w14:paraId="5617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14:paraId="2509AAE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24" w:type="dxa"/>
            <w:vMerge w:val="restart"/>
            <w:vAlign w:val="center"/>
          </w:tcPr>
          <w:p w14:paraId="27C8D43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A020101计算机设备</w:t>
            </w:r>
          </w:p>
        </w:tc>
        <w:tc>
          <w:tcPr>
            <w:tcW w:w="1408" w:type="dxa"/>
            <w:vAlign w:val="center"/>
          </w:tcPr>
          <w:p w14:paraId="4710B7C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★A02010104台式计算机</w:t>
            </w:r>
          </w:p>
        </w:tc>
        <w:tc>
          <w:tcPr>
            <w:tcW w:w="1612" w:type="dxa"/>
            <w:vAlign w:val="center"/>
          </w:tcPr>
          <w:p w14:paraId="79F779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089C70F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6E11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244CA593">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1ED3AFBA">
            <w:pPr>
              <w:widowControl/>
              <w:jc w:val="left"/>
              <w:rPr>
                <w:rFonts w:hint="eastAsia" w:ascii="宋体" w:hAnsi="宋体" w:eastAsia="宋体" w:cs="宋体"/>
                <w:color w:val="auto"/>
                <w:kern w:val="0"/>
                <w:sz w:val="21"/>
                <w:szCs w:val="21"/>
                <w:highlight w:val="none"/>
              </w:rPr>
            </w:pPr>
          </w:p>
        </w:tc>
        <w:tc>
          <w:tcPr>
            <w:tcW w:w="1408" w:type="dxa"/>
            <w:vAlign w:val="center"/>
          </w:tcPr>
          <w:p w14:paraId="258F47C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★A02010105便携式计算机</w:t>
            </w:r>
          </w:p>
        </w:tc>
        <w:tc>
          <w:tcPr>
            <w:tcW w:w="1612" w:type="dxa"/>
            <w:vAlign w:val="center"/>
          </w:tcPr>
          <w:p w14:paraId="7E51354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3B2EBE2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4B27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55427E38">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05A089E3">
            <w:pPr>
              <w:widowControl/>
              <w:jc w:val="left"/>
              <w:rPr>
                <w:rFonts w:hint="eastAsia" w:ascii="宋体" w:hAnsi="宋体" w:eastAsia="宋体" w:cs="宋体"/>
                <w:color w:val="auto"/>
                <w:kern w:val="0"/>
                <w:sz w:val="21"/>
                <w:szCs w:val="21"/>
                <w:highlight w:val="none"/>
              </w:rPr>
            </w:pPr>
          </w:p>
        </w:tc>
        <w:tc>
          <w:tcPr>
            <w:tcW w:w="1408" w:type="dxa"/>
            <w:vAlign w:val="center"/>
          </w:tcPr>
          <w:p w14:paraId="1D0518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★A02010107平板式微型计算机</w:t>
            </w:r>
          </w:p>
        </w:tc>
        <w:tc>
          <w:tcPr>
            <w:tcW w:w="1612" w:type="dxa"/>
            <w:vAlign w:val="center"/>
          </w:tcPr>
          <w:p w14:paraId="1D7F6D8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2C9E50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5DD0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14:paraId="0C4AAC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24" w:type="dxa"/>
            <w:vMerge w:val="restart"/>
            <w:vAlign w:val="center"/>
          </w:tcPr>
          <w:p w14:paraId="2F2E0F1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A020106输入输出设备</w:t>
            </w:r>
          </w:p>
        </w:tc>
        <w:tc>
          <w:tcPr>
            <w:tcW w:w="1408" w:type="dxa"/>
            <w:vMerge w:val="restart"/>
            <w:vAlign w:val="center"/>
          </w:tcPr>
          <w:p w14:paraId="76C5EA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A02010601打印设备</w:t>
            </w:r>
          </w:p>
        </w:tc>
        <w:tc>
          <w:tcPr>
            <w:tcW w:w="1612" w:type="dxa"/>
            <w:vAlign w:val="center"/>
          </w:tcPr>
          <w:p w14:paraId="6358FC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A0201060101喷墨打印机</w:t>
            </w:r>
          </w:p>
        </w:tc>
        <w:tc>
          <w:tcPr>
            <w:tcW w:w="4335" w:type="dxa"/>
            <w:vAlign w:val="center"/>
          </w:tcPr>
          <w:p w14:paraId="5E9B3C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52F3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32253B45">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706C9E67">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7B283D75">
            <w:pPr>
              <w:widowControl/>
              <w:jc w:val="left"/>
              <w:rPr>
                <w:rFonts w:hint="eastAsia" w:ascii="宋体" w:hAnsi="宋体" w:eastAsia="宋体" w:cs="宋体"/>
                <w:color w:val="auto"/>
                <w:kern w:val="0"/>
                <w:sz w:val="21"/>
                <w:szCs w:val="21"/>
                <w:highlight w:val="none"/>
              </w:rPr>
            </w:pPr>
          </w:p>
        </w:tc>
        <w:tc>
          <w:tcPr>
            <w:tcW w:w="1612" w:type="dxa"/>
            <w:vAlign w:val="center"/>
          </w:tcPr>
          <w:p w14:paraId="5A712E4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★A0201060102激光打印机</w:t>
            </w:r>
          </w:p>
        </w:tc>
        <w:tc>
          <w:tcPr>
            <w:tcW w:w="4335" w:type="dxa"/>
            <w:vAlign w:val="center"/>
          </w:tcPr>
          <w:p w14:paraId="06738F4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3357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6D61AA3F">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0DE480B3">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4F446C2E">
            <w:pPr>
              <w:widowControl/>
              <w:jc w:val="left"/>
              <w:rPr>
                <w:rFonts w:hint="eastAsia" w:ascii="宋体" w:hAnsi="宋体" w:eastAsia="宋体" w:cs="宋体"/>
                <w:color w:val="auto"/>
                <w:kern w:val="0"/>
                <w:sz w:val="21"/>
                <w:szCs w:val="21"/>
                <w:highlight w:val="none"/>
              </w:rPr>
            </w:pPr>
          </w:p>
        </w:tc>
        <w:tc>
          <w:tcPr>
            <w:tcW w:w="1612" w:type="dxa"/>
            <w:vAlign w:val="center"/>
          </w:tcPr>
          <w:p w14:paraId="1AA4616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★A0201060104针式打印机</w:t>
            </w:r>
          </w:p>
        </w:tc>
        <w:tc>
          <w:tcPr>
            <w:tcW w:w="4335" w:type="dxa"/>
            <w:vAlign w:val="center"/>
          </w:tcPr>
          <w:p w14:paraId="15D087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2186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3E8E3196">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59A2A16B">
            <w:pPr>
              <w:widowControl/>
              <w:jc w:val="left"/>
              <w:rPr>
                <w:rFonts w:hint="eastAsia" w:ascii="宋体" w:hAnsi="宋体" w:eastAsia="宋体" w:cs="宋体"/>
                <w:color w:val="auto"/>
                <w:kern w:val="0"/>
                <w:sz w:val="21"/>
                <w:szCs w:val="21"/>
                <w:highlight w:val="none"/>
              </w:rPr>
            </w:pPr>
          </w:p>
        </w:tc>
        <w:tc>
          <w:tcPr>
            <w:tcW w:w="1408" w:type="dxa"/>
            <w:vAlign w:val="center"/>
          </w:tcPr>
          <w:p w14:paraId="53DB793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A02010604显示设备</w:t>
            </w:r>
          </w:p>
        </w:tc>
        <w:tc>
          <w:tcPr>
            <w:tcW w:w="1612" w:type="dxa"/>
            <w:vAlign w:val="center"/>
          </w:tcPr>
          <w:p w14:paraId="277A043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★A0201060401液晶显示器</w:t>
            </w:r>
          </w:p>
        </w:tc>
        <w:tc>
          <w:tcPr>
            <w:tcW w:w="4335" w:type="dxa"/>
            <w:vAlign w:val="center"/>
          </w:tcPr>
          <w:p w14:paraId="4E1B1A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《计算机显示器能效限定值及能效等级》（GB21520）</w:t>
            </w:r>
          </w:p>
        </w:tc>
      </w:tr>
      <w:tr w14:paraId="1739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41" w:type="dxa"/>
            <w:vMerge w:val="continue"/>
            <w:vAlign w:val="center"/>
          </w:tcPr>
          <w:p w14:paraId="03E3543A">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5C3FE9CF">
            <w:pPr>
              <w:widowControl/>
              <w:jc w:val="left"/>
              <w:rPr>
                <w:rFonts w:hint="eastAsia" w:ascii="宋体" w:hAnsi="宋体" w:eastAsia="宋体" w:cs="宋体"/>
                <w:color w:val="auto"/>
                <w:kern w:val="0"/>
                <w:sz w:val="21"/>
                <w:szCs w:val="21"/>
                <w:highlight w:val="none"/>
              </w:rPr>
            </w:pPr>
          </w:p>
        </w:tc>
        <w:tc>
          <w:tcPr>
            <w:tcW w:w="1408" w:type="dxa"/>
            <w:vAlign w:val="center"/>
          </w:tcPr>
          <w:p w14:paraId="531F65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A02010609图形图像输入设备</w:t>
            </w:r>
          </w:p>
        </w:tc>
        <w:tc>
          <w:tcPr>
            <w:tcW w:w="1612" w:type="dxa"/>
            <w:vAlign w:val="center"/>
          </w:tcPr>
          <w:p w14:paraId="619318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A0201060901扫描仪</w:t>
            </w:r>
          </w:p>
        </w:tc>
        <w:tc>
          <w:tcPr>
            <w:tcW w:w="4335" w:type="dxa"/>
            <w:vAlign w:val="center"/>
          </w:tcPr>
          <w:p w14:paraId="1AAF3B8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14:paraId="2FF9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1A7A773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24" w:type="dxa"/>
            <w:vAlign w:val="center"/>
          </w:tcPr>
          <w:p w14:paraId="0EB0C9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A020202投影仪</w:t>
            </w:r>
          </w:p>
        </w:tc>
        <w:tc>
          <w:tcPr>
            <w:tcW w:w="1408" w:type="dxa"/>
            <w:vAlign w:val="center"/>
          </w:tcPr>
          <w:p w14:paraId="275B60D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14:paraId="2A7521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63DE6C4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《投影机能效限定值及能效等级》（GB32028）</w:t>
            </w:r>
          </w:p>
        </w:tc>
      </w:tr>
      <w:tr w14:paraId="3029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3EF6FF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24" w:type="dxa"/>
            <w:vAlign w:val="center"/>
          </w:tcPr>
          <w:p w14:paraId="647380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A020204多功能一体机</w:t>
            </w:r>
          </w:p>
        </w:tc>
        <w:tc>
          <w:tcPr>
            <w:tcW w:w="1408" w:type="dxa"/>
            <w:vAlign w:val="center"/>
          </w:tcPr>
          <w:p w14:paraId="68C4C4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14:paraId="75DCD53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004CB4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4116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1F03ACD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24" w:type="dxa"/>
            <w:vAlign w:val="center"/>
          </w:tcPr>
          <w:p w14:paraId="7200527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A020519泵</w:t>
            </w:r>
          </w:p>
        </w:tc>
        <w:tc>
          <w:tcPr>
            <w:tcW w:w="1408" w:type="dxa"/>
            <w:vAlign w:val="center"/>
          </w:tcPr>
          <w:p w14:paraId="4B9482F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A02051901离心泵</w:t>
            </w:r>
          </w:p>
        </w:tc>
        <w:tc>
          <w:tcPr>
            <w:tcW w:w="1612" w:type="dxa"/>
            <w:vAlign w:val="center"/>
          </w:tcPr>
          <w:p w14:paraId="794CF7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4CC403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《清水离心泵能效限定值及节能评价值》（GB19762）</w:t>
            </w:r>
          </w:p>
        </w:tc>
      </w:tr>
      <w:tr w14:paraId="0DA7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restart"/>
            <w:vAlign w:val="center"/>
          </w:tcPr>
          <w:p w14:paraId="5375D5B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24" w:type="dxa"/>
            <w:vMerge w:val="restart"/>
            <w:vAlign w:val="center"/>
          </w:tcPr>
          <w:p w14:paraId="583031E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A020523制冷空调设备</w:t>
            </w:r>
          </w:p>
        </w:tc>
        <w:tc>
          <w:tcPr>
            <w:tcW w:w="1408" w:type="dxa"/>
            <w:vMerge w:val="restart"/>
            <w:vAlign w:val="center"/>
          </w:tcPr>
          <w:p w14:paraId="06AF84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★A02052301制冷压缩机</w:t>
            </w:r>
          </w:p>
        </w:tc>
        <w:tc>
          <w:tcPr>
            <w:tcW w:w="1612" w:type="dxa"/>
            <w:vAlign w:val="center"/>
          </w:tcPr>
          <w:p w14:paraId="7BD66B9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w:t>
            </w:r>
          </w:p>
        </w:tc>
        <w:tc>
          <w:tcPr>
            <w:tcW w:w="4335" w:type="dxa"/>
            <w:vAlign w:val="center"/>
          </w:tcPr>
          <w:p w14:paraId="15FE660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《冷水机组能效限定值及能效等级》（GB19577），《低环境温度空气源热泵（冷水）机组能效限定值及能效等级》（GB37480）</w:t>
            </w:r>
          </w:p>
        </w:tc>
      </w:tr>
      <w:tr w14:paraId="4CBE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60300451">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2F824F66">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28285213">
            <w:pPr>
              <w:widowControl/>
              <w:jc w:val="left"/>
              <w:rPr>
                <w:rFonts w:hint="eastAsia" w:ascii="宋体" w:hAnsi="宋体" w:eastAsia="宋体" w:cs="宋体"/>
                <w:color w:val="auto"/>
                <w:kern w:val="0"/>
                <w:sz w:val="21"/>
                <w:szCs w:val="21"/>
                <w:highlight w:val="none"/>
              </w:rPr>
            </w:pPr>
          </w:p>
        </w:tc>
        <w:tc>
          <w:tcPr>
            <w:tcW w:w="1612" w:type="dxa"/>
            <w:vAlign w:val="center"/>
          </w:tcPr>
          <w:p w14:paraId="6B85298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水源热泵机组</w:t>
            </w:r>
          </w:p>
        </w:tc>
        <w:tc>
          <w:tcPr>
            <w:tcW w:w="4335" w:type="dxa"/>
            <w:vAlign w:val="center"/>
          </w:tcPr>
          <w:p w14:paraId="7C1736E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《水（地）源热泵机组能效限定值及能效等级》（GB30721）</w:t>
            </w:r>
          </w:p>
        </w:tc>
      </w:tr>
      <w:tr w14:paraId="0BFD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3A3C033A">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031FDDA0">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0B0C0D2E">
            <w:pPr>
              <w:widowControl/>
              <w:jc w:val="left"/>
              <w:rPr>
                <w:rFonts w:hint="eastAsia" w:ascii="宋体" w:hAnsi="宋体" w:eastAsia="宋体" w:cs="宋体"/>
                <w:color w:val="auto"/>
                <w:kern w:val="0"/>
                <w:sz w:val="21"/>
                <w:szCs w:val="21"/>
                <w:highlight w:val="none"/>
              </w:rPr>
            </w:pPr>
          </w:p>
        </w:tc>
        <w:tc>
          <w:tcPr>
            <w:tcW w:w="1612" w:type="dxa"/>
            <w:vAlign w:val="center"/>
          </w:tcPr>
          <w:p w14:paraId="001FF85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w:t>
            </w:r>
          </w:p>
        </w:tc>
        <w:tc>
          <w:tcPr>
            <w:tcW w:w="4335" w:type="dxa"/>
            <w:vAlign w:val="center"/>
          </w:tcPr>
          <w:p w14:paraId="24B8E3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《溴化锂吸收式冷水机组能效限定值及能效等级》（GB29540）</w:t>
            </w:r>
          </w:p>
        </w:tc>
      </w:tr>
      <w:tr w14:paraId="0909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43E6C8F8">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67B7F439">
            <w:pPr>
              <w:widowControl/>
              <w:jc w:val="left"/>
              <w:rPr>
                <w:rFonts w:hint="eastAsia" w:ascii="宋体" w:hAnsi="宋体" w:eastAsia="宋体" w:cs="宋体"/>
                <w:color w:val="auto"/>
                <w:kern w:val="0"/>
                <w:sz w:val="21"/>
                <w:szCs w:val="21"/>
                <w:highlight w:val="none"/>
              </w:rPr>
            </w:pPr>
          </w:p>
        </w:tc>
        <w:tc>
          <w:tcPr>
            <w:tcW w:w="1408" w:type="dxa"/>
            <w:vMerge w:val="restart"/>
            <w:vAlign w:val="center"/>
          </w:tcPr>
          <w:p w14:paraId="789D1E8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★A02052305空调机组</w:t>
            </w:r>
          </w:p>
        </w:tc>
        <w:tc>
          <w:tcPr>
            <w:tcW w:w="1612" w:type="dxa"/>
            <w:vAlign w:val="center"/>
          </w:tcPr>
          <w:p w14:paraId="0EAE61F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多联式空调（热泵）机组（制冷量&gt;14000W）</w:t>
            </w:r>
          </w:p>
        </w:tc>
        <w:tc>
          <w:tcPr>
            <w:tcW w:w="4335" w:type="dxa"/>
            <w:vAlign w:val="center"/>
          </w:tcPr>
          <w:p w14:paraId="3FAA30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7D07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31A5FE2D">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55EFE0A9">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4CD7B55A">
            <w:pPr>
              <w:widowControl/>
              <w:jc w:val="left"/>
              <w:rPr>
                <w:rFonts w:hint="eastAsia" w:ascii="宋体" w:hAnsi="宋体" w:eastAsia="宋体" w:cs="宋体"/>
                <w:color w:val="auto"/>
                <w:kern w:val="0"/>
                <w:sz w:val="21"/>
                <w:szCs w:val="21"/>
                <w:highlight w:val="none"/>
              </w:rPr>
            </w:pPr>
          </w:p>
        </w:tc>
        <w:tc>
          <w:tcPr>
            <w:tcW w:w="1612" w:type="dxa"/>
            <w:vAlign w:val="center"/>
          </w:tcPr>
          <w:p w14:paraId="075489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单元式空气调节机（制冷量&gt;14000W</w:t>
            </w:r>
          </w:p>
        </w:tc>
        <w:tc>
          <w:tcPr>
            <w:tcW w:w="4335" w:type="dxa"/>
            <w:vAlign w:val="center"/>
          </w:tcPr>
          <w:p w14:paraId="12872AA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《单元式空气调节机能效限定值及能效等级》（GB19576）《风管送风式空调机组能效限定值及能效等级》（GB37479）</w:t>
            </w:r>
          </w:p>
        </w:tc>
      </w:tr>
      <w:tr w14:paraId="6332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00F56D5C">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64E50340">
            <w:pPr>
              <w:widowControl/>
              <w:jc w:val="left"/>
              <w:rPr>
                <w:rFonts w:hint="eastAsia" w:ascii="宋体" w:hAnsi="宋体" w:eastAsia="宋体" w:cs="宋体"/>
                <w:color w:val="auto"/>
                <w:kern w:val="0"/>
                <w:sz w:val="21"/>
                <w:szCs w:val="21"/>
                <w:highlight w:val="none"/>
              </w:rPr>
            </w:pPr>
          </w:p>
        </w:tc>
        <w:tc>
          <w:tcPr>
            <w:tcW w:w="1408" w:type="dxa"/>
            <w:vAlign w:val="center"/>
          </w:tcPr>
          <w:p w14:paraId="5A67C0F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★A02052309专用制冷、空调设备</w:t>
            </w:r>
          </w:p>
        </w:tc>
        <w:tc>
          <w:tcPr>
            <w:tcW w:w="1612" w:type="dxa"/>
            <w:vAlign w:val="center"/>
          </w:tcPr>
          <w:p w14:paraId="183B54C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机房空调</w:t>
            </w:r>
          </w:p>
        </w:tc>
        <w:tc>
          <w:tcPr>
            <w:tcW w:w="4335" w:type="dxa"/>
            <w:vAlign w:val="center"/>
          </w:tcPr>
          <w:p w14:paraId="19A9B4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w:t>
            </w:r>
          </w:p>
        </w:tc>
      </w:tr>
      <w:tr w14:paraId="594E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0943984A">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26E88028">
            <w:pPr>
              <w:widowControl/>
              <w:jc w:val="left"/>
              <w:rPr>
                <w:rFonts w:hint="eastAsia" w:ascii="宋体" w:hAnsi="宋体" w:eastAsia="宋体" w:cs="宋体"/>
                <w:color w:val="auto"/>
                <w:kern w:val="0"/>
                <w:sz w:val="21"/>
                <w:szCs w:val="21"/>
                <w:highlight w:val="none"/>
              </w:rPr>
            </w:pPr>
          </w:p>
        </w:tc>
        <w:tc>
          <w:tcPr>
            <w:tcW w:w="1408" w:type="dxa"/>
            <w:vAlign w:val="center"/>
          </w:tcPr>
          <w:p w14:paraId="01C1A30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A02052399其他制冷空调设备</w:t>
            </w:r>
          </w:p>
        </w:tc>
        <w:tc>
          <w:tcPr>
            <w:tcW w:w="1612" w:type="dxa"/>
            <w:vAlign w:val="center"/>
          </w:tcPr>
          <w:p w14:paraId="40601A7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冷却塔</w:t>
            </w:r>
          </w:p>
        </w:tc>
        <w:tc>
          <w:tcPr>
            <w:tcW w:w="4335" w:type="dxa"/>
            <w:vAlign w:val="center"/>
          </w:tcPr>
          <w:p w14:paraId="7930B8F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《机械通风冷却塔第1部分：中小型开式冷却塔》（GB/T7190.1）；《机械通风冷却塔第2部分：大型开式冷却塔》（GB/T7190.2）</w:t>
            </w:r>
          </w:p>
        </w:tc>
      </w:tr>
      <w:tr w14:paraId="4633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6F96C7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24" w:type="dxa"/>
            <w:vAlign w:val="center"/>
          </w:tcPr>
          <w:p w14:paraId="42B11C0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A020601电机</w:t>
            </w:r>
          </w:p>
        </w:tc>
        <w:tc>
          <w:tcPr>
            <w:tcW w:w="1408" w:type="dxa"/>
            <w:vAlign w:val="center"/>
          </w:tcPr>
          <w:p w14:paraId="7C9AEC6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14:paraId="2C58C1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075E2A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《中小型三相异步电动机能效限定值及能效等级》（GB18613）</w:t>
            </w:r>
          </w:p>
        </w:tc>
      </w:tr>
      <w:tr w14:paraId="2195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497857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24" w:type="dxa"/>
            <w:vAlign w:val="center"/>
          </w:tcPr>
          <w:p w14:paraId="0A89FF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A020602变压器</w:t>
            </w:r>
          </w:p>
        </w:tc>
        <w:tc>
          <w:tcPr>
            <w:tcW w:w="1408" w:type="dxa"/>
            <w:vAlign w:val="center"/>
          </w:tcPr>
          <w:p w14:paraId="546540F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配电变压器</w:t>
            </w:r>
          </w:p>
        </w:tc>
        <w:tc>
          <w:tcPr>
            <w:tcW w:w="1612" w:type="dxa"/>
            <w:vAlign w:val="center"/>
          </w:tcPr>
          <w:p w14:paraId="0E22AD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5E6ECA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《三相配电变压器能效限定值及能效等级》（GB20052）</w:t>
            </w:r>
          </w:p>
        </w:tc>
      </w:tr>
      <w:tr w14:paraId="5E12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40A6776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224" w:type="dxa"/>
            <w:vAlign w:val="center"/>
          </w:tcPr>
          <w:p w14:paraId="2952B3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★A020609镇流器</w:t>
            </w:r>
          </w:p>
        </w:tc>
        <w:tc>
          <w:tcPr>
            <w:tcW w:w="1408" w:type="dxa"/>
            <w:vAlign w:val="center"/>
          </w:tcPr>
          <w:p w14:paraId="7E60948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管型荧光灯镇流器</w:t>
            </w:r>
          </w:p>
        </w:tc>
        <w:tc>
          <w:tcPr>
            <w:tcW w:w="1612" w:type="dxa"/>
            <w:vAlign w:val="center"/>
          </w:tcPr>
          <w:p w14:paraId="761072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392D155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《管形荧光灯镇流器能效限定值及能效等级》（GB17896）</w:t>
            </w:r>
          </w:p>
        </w:tc>
      </w:tr>
      <w:tr w14:paraId="0A1F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14:paraId="782C54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24" w:type="dxa"/>
            <w:vMerge w:val="restart"/>
            <w:vAlign w:val="center"/>
          </w:tcPr>
          <w:p w14:paraId="601A72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A020618生活用电器</w:t>
            </w:r>
          </w:p>
        </w:tc>
        <w:tc>
          <w:tcPr>
            <w:tcW w:w="1408" w:type="dxa"/>
            <w:vAlign w:val="center"/>
          </w:tcPr>
          <w:p w14:paraId="068DF1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A0206180101电冰箱</w:t>
            </w:r>
          </w:p>
        </w:tc>
        <w:tc>
          <w:tcPr>
            <w:tcW w:w="1612" w:type="dxa"/>
            <w:vAlign w:val="center"/>
          </w:tcPr>
          <w:p w14:paraId="2CF0A79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0FB7EF3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《家用电冰箱耗电量限定值及能效等级》（GB 12021.2）</w:t>
            </w:r>
          </w:p>
        </w:tc>
      </w:tr>
      <w:tr w14:paraId="5D08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41" w:type="dxa"/>
            <w:vMerge w:val="continue"/>
            <w:vAlign w:val="center"/>
          </w:tcPr>
          <w:p w14:paraId="604450F2">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139A68D9">
            <w:pPr>
              <w:widowControl/>
              <w:jc w:val="left"/>
              <w:rPr>
                <w:rFonts w:hint="eastAsia" w:ascii="宋体" w:hAnsi="宋体" w:eastAsia="宋体" w:cs="宋体"/>
                <w:color w:val="auto"/>
                <w:kern w:val="0"/>
                <w:sz w:val="21"/>
                <w:szCs w:val="21"/>
                <w:highlight w:val="none"/>
              </w:rPr>
            </w:pPr>
          </w:p>
        </w:tc>
        <w:tc>
          <w:tcPr>
            <w:tcW w:w="1408" w:type="dxa"/>
            <w:vMerge w:val="restart"/>
            <w:vAlign w:val="center"/>
          </w:tcPr>
          <w:p w14:paraId="76D8FB7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★A0206180203空调机</w:t>
            </w:r>
          </w:p>
        </w:tc>
        <w:tc>
          <w:tcPr>
            <w:tcW w:w="1612" w:type="dxa"/>
            <w:vAlign w:val="center"/>
          </w:tcPr>
          <w:p w14:paraId="319E1DA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房间空气调节器</w:t>
            </w:r>
          </w:p>
        </w:tc>
        <w:tc>
          <w:tcPr>
            <w:tcW w:w="4335" w:type="dxa"/>
            <w:vAlign w:val="center"/>
          </w:tcPr>
          <w:p w14:paraId="7723E8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14:paraId="391D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6CF5CC65">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0CF5A02E">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1A33B2ED">
            <w:pPr>
              <w:widowControl/>
              <w:jc w:val="left"/>
              <w:rPr>
                <w:rFonts w:hint="eastAsia" w:ascii="宋体" w:hAnsi="宋体" w:eastAsia="宋体" w:cs="宋体"/>
                <w:color w:val="auto"/>
                <w:kern w:val="0"/>
                <w:sz w:val="21"/>
                <w:szCs w:val="21"/>
                <w:highlight w:val="none"/>
              </w:rPr>
            </w:pPr>
          </w:p>
        </w:tc>
        <w:tc>
          <w:tcPr>
            <w:tcW w:w="1612" w:type="dxa"/>
            <w:vAlign w:val="center"/>
          </w:tcPr>
          <w:p w14:paraId="534E703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 14000W）</w:t>
            </w:r>
          </w:p>
        </w:tc>
        <w:tc>
          <w:tcPr>
            <w:tcW w:w="4335" w:type="dxa"/>
            <w:vAlign w:val="center"/>
          </w:tcPr>
          <w:p w14:paraId="410196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0149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556A6E46">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3793DF24">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6F5FE3F5">
            <w:pPr>
              <w:widowControl/>
              <w:jc w:val="left"/>
              <w:rPr>
                <w:rFonts w:hint="eastAsia" w:ascii="宋体" w:hAnsi="宋体" w:eastAsia="宋体" w:cs="宋体"/>
                <w:color w:val="auto"/>
                <w:kern w:val="0"/>
                <w:sz w:val="21"/>
                <w:szCs w:val="21"/>
                <w:highlight w:val="none"/>
              </w:rPr>
            </w:pPr>
          </w:p>
        </w:tc>
        <w:tc>
          <w:tcPr>
            <w:tcW w:w="1612" w:type="dxa"/>
            <w:vAlign w:val="center"/>
          </w:tcPr>
          <w:p w14:paraId="0D55C55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单元式空气调节机（制冷量≤14000W）</w:t>
            </w:r>
          </w:p>
        </w:tc>
        <w:tc>
          <w:tcPr>
            <w:tcW w:w="4335" w:type="dxa"/>
            <w:vAlign w:val="center"/>
          </w:tcPr>
          <w:p w14:paraId="78E46D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《单元式空气调节机能效限定值及能源效率等级》（GB19576）《风管送风式空调机组能效限定值及能效等级》（GB37479）</w:t>
            </w:r>
          </w:p>
        </w:tc>
      </w:tr>
      <w:tr w14:paraId="2F2D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11D9C1A8">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1288E395">
            <w:pPr>
              <w:widowControl/>
              <w:jc w:val="left"/>
              <w:rPr>
                <w:rFonts w:hint="eastAsia" w:ascii="宋体" w:hAnsi="宋体" w:eastAsia="宋体" w:cs="宋体"/>
                <w:color w:val="auto"/>
                <w:kern w:val="0"/>
                <w:sz w:val="21"/>
                <w:szCs w:val="21"/>
                <w:highlight w:val="none"/>
              </w:rPr>
            </w:pPr>
          </w:p>
        </w:tc>
        <w:tc>
          <w:tcPr>
            <w:tcW w:w="1408" w:type="dxa"/>
            <w:vAlign w:val="center"/>
          </w:tcPr>
          <w:p w14:paraId="53F546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A0206180301洗衣机</w:t>
            </w:r>
          </w:p>
        </w:tc>
        <w:tc>
          <w:tcPr>
            <w:tcW w:w="1612" w:type="dxa"/>
            <w:vAlign w:val="center"/>
          </w:tcPr>
          <w:p w14:paraId="7C115A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26468A6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《电动洗衣机能效水效限定值及等级》（GB12021.4）</w:t>
            </w:r>
          </w:p>
        </w:tc>
      </w:tr>
      <w:tr w14:paraId="4591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0CCCBC7C">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02E8D12C">
            <w:pPr>
              <w:widowControl/>
              <w:jc w:val="left"/>
              <w:rPr>
                <w:rFonts w:hint="eastAsia" w:ascii="宋体" w:hAnsi="宋体" w:eastAsia="宋体" w:cs="宋体"/>
                <w:color w:val="auto"/>
                <w:kern w:val="0"/>
                <w:sz w:val="21"/>
                <w:szCs w:val="21"/>
                <w:highlight w:val="none"/>
              </w:rPr>
            </w:pPr>
          </w:p>
        </w:tc>
        <w:tc>
          <w:tcPr>
            <w:tcW w:w="1408" w:type="dxa"/>
            <w:vMerge w:val="restart"/>
            <w:vAlign w:val="center"/>
          </w:tcPr>
          <w:p w14:paraId="0AFC7D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A02061808热水器</w:t>
            </w:r>
          </w:p>
        </w:tc>
        <w:tc>
          <w:tcPr>
            <w:tcW w:w="1612" w:type="dxa"/>
            <w:vAlign w:val="center"/>
          </w:tcPr>
          <w:p w14:paraId="1D7CB9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★电热水器</w:t>
            </w:r>
          </w:p>
        </w:tc>
        <w:tc>
          <w:tcPr>
            <w:tcW w:w="4335" w:type="dxa"/>
            <w:vAlign w:val="center"/>
          </w:tcPr>
          <w:p w14:paraId="41BAA5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《储水式电热水器能效限定值及能效等级》（GB21519）</w:t>
            </w:r>
          </w:p>
        </w:tc>
      </w:tr>
      <w:tr w14:paraId="6B73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4117AF32">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77CD16EC">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578B314B">
            <w:pPr>
              <w:widowControl/>
              <w:jc w:val="left"/>
              <w:rPr>
                <w:rFonts w:hint="eastAsia" w:ascii="宋体" w:hAnsi="宋体" w:eastAsia="宋体" w:cs="宋体"/>
                <w:color w:val="auto"/>
                <w:kern w:val="0"/>
                <w:sz w:val="21"/>
                <w:szCs w:val="21"/>
                <w:highlight w:val="none"/>
              </w:rPr>
            </w:pPr>
          </w:p>
        </w:tc>
        <w:tc>
          <w:tcPr>
            <w:tcW w:w="1612" w:type="dxa"/>
            <w:vAlign w:val="center"/>
          </w:tcPr>
          <w:p w14:paraId="19DE31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燃气热水器</w:t>
            </w:r>
          </w:p>
        </w:tc>
        <w:tc>
          <w:tcPr>
            <w:tcW w:w="4335" w:type="dxa"/>
            <w:vAlign w:val="center"/>
          </w:tcPr>
          <w:p w14:paraId="1307BC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《家用燃气快速热水器和燃气采暖热水炉能效限定值及能效等级》（GB20665）</w:t>
            </w:r>
          </w:p>
        </w:tc>
      </w:tr>
      <w:tr w14:paraId="7745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4A6D27DF">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71B63088">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57D1D91B">
            <w:pPr>
              <w:widowControl/>
              <w:jc w:val="left"/>
              <w:rPr>
                <w:rFonts w:hint="eastAsia" w:ascii="宋体" w:hAnsi="宋体" w:eastAsia="宋体" w:cs="宋体"/>
                <w:color w:val="auto"/>
                <w:kern w:val="0"/>
                <w:sz w:val="21"/>
                <w:szCs w:val="21"/>
                <w:highlight w:val="none"/>
              </w:rPr>
            </w:pPr>
          </w:p>
        </w:tc>
        <w:tc>
          <w:tcPr>
            <w:tcW w:w="1612" w:type="dxa"/>
            <w:vAlign w:val="center"/>
          </w:tcPr>
          <w:p w14:paraId="592AD3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热泵热水器</w:t>
            </w:r>
          </w:p>
        </w:tc>
        <w:tc>
          <w:tcPr>
            <w:tcW w:w="4335" w:type="dxa"/>
            <w:vAlign w:val="center"/>
          </w:tcPr>
          <w:p w14:paraId="6C12A6E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《热泵热水机（器）能效限定值及能效等级》（GB29541）</w:t>
            </w:r>
          </w:p>
        </w:tc>
      </w:tr>
      <w:tr w14:paraId="17D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73B40C23">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25C206DB">
            <w:pPr>
              <w:widowControl/>
              <w:jc w:val="left"/>
              <w:rPr>
                <w:rFonts w:hint="eastAsia" w:ascii="宋体" w:hAnsi="宋体" w:eastAsia="宋体" w:cs="宋体"/>
                <w:color w:val="auto"/>
                <w:kern w:val="0"/>
                <w:sz w:val="21"/>
                <w:szCs w:val="21"/>
                <w:highlight w:val="none"/>
              </w:rPr>
            </w:pPr>
          </w:p>
        </w:tc>
        <w:tc>
          <w:tcPr>
            <w:tcW w:w="1408" w:type="dxa"/>
            <w:vMerge w:val="continue"/>
            <w:vAlign w:val="center"/>
          </w:tcPr>
          <w:p w14:paraId="19F3E454">
            <w:pPr>
              <w:widowControl/>
              <w:jc w:val="left"/>
              <w:rPr>
                <w:rFonts w:hint="eastAsia" w:ascii="宋体" w:hAnsi="宋体" w:eastAsia="宋体" w:cs="宋体"/>
                <w:color w:val="auto"/>
                <w:kern w:val="0"/>
                <w:sz w:val="21"/>
                <w:szCs w:val="21"/>
                <w:highlight w:val="none"/>
              </w:rPr>
            </w:pPr>
          </w:p>
        </w:tc>
        <w:tc>
          <w:tcPr>
            <w:tcW w:w="1612" w:type="dxa"/>
            <w:vAlign w:val="center"/>
          </w:tcPr>
          <w:p w14:paraId="23B3D2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太阳能热水系统</w:t>
            </w:r>
          </w:p>
        </w:tc>
        <w:tc>
          <w:tcPr>
            <w:tcW w:w="4335" w:type="dxa"/>
            <w:vAlign w:val="center"/>
          </w:tcPr>
          <w:p w14:paraId="24A707F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《家用太阳能热水系统能效限定值及能效等级》（GB26969）</w:t>
            </w:r>
          </w:p>
        </w:tc>
      </w:tr>
      <w:tr w14:paraId="588F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restart"/>
            <w:vAlign w:val="center"/>
          </w:tcPr>
          <w:p w14:paraId="2F85726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224" w:type="dxa"/>
            <w:vMerge w:val="restart"/>
            <w:vAlign w:val="center"/>
          </w:tcPr>
          <w:p w14:paraId="55B720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A020619照明设备</w:t>
            </w:r>
          </w:p>
        </w:tc>
        <w:tc>
          <w:tcPr>
            <w:tcW w:w="1408" w:type="dxa"/>
            <w:vAlign w:val="center"/>
          </w:tcPr>
          <w:p w14:paraId="1A7F82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w:t>
            </w:r>
          </w:p>
        </w:tc>
        <w:tc>
          <w:tcPr>
            <w:tcW w:w="1612" w:type="dxa"/>
            <w:vAlign w:val="center"/>
          </w:tcPr>
          <w:p w14:paraId="51BD03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7DD0C3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《普通照明用双端荧光灯能效限定值及能效等级》（GB19043）</w:t>
            </w:r>
          </w:p>
        </w:tc>
      </w:tr>
      <w:tr w14:paraId="14EC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7B36BBF8">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2F57368A">
            <w:pPr>
              <w:widowControl/>
              <w:jc w:val="left"/>
              <w:rPr>
                <w:rFonts w:hint="eastAsia" w:ascii="宋体" w:hAnsi="宋体" w:eastAsia="宋体" w:cs="宋体"/>
                <w:color w:val="auto"/>
                <w:kern w:val="0"/>
                <w:sz w:val="21"/>
                <w:szCs w:val="21"/>
                <w:highlight w:val="none"/>
              </w:rPr>
            </w:pPr>
          </w:p>
        </w:tc>
        <w:tc>
          <w:tcPr>
            <w:tcW w:w="1408" w:type="dxa"/>
            <w:vAlign w:val="center"/>
          </w:tcPr>
          <w:p w14:paraId="2B22E9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LED道路/隧道照明产品</w:t>
            </w:r>
          </w:p>
        </w:tc>
        <w:tc>
          <w:tcPr>
            <w:tcW w:w="1612" w:type="dxa"/>
            <w:vAlign w:val="center"/>
          </w:tcPr>
          <w:p w14:paraId="120F857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68880CD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《道路和隧道照明用LED灯具能效限定值及能效等级》（GB37478）</w:t>
            </w:r>
          </w:p>
        </w:tc>
      </w:tr>
      <w:tr w14:paraId="4884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3A2B4517">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1802F312">
            <w:pPr>
              <w:widowControl/>
              <w:jc w:val="left"/>
              <w:rPr>
                <w:rFonts w:hint="eastAsia" w:ascii="宋体" w:hAnsi="宋体" w:eastAsia="宋体" w:cs="宋体"/>
                <w:color w:val="auto"/>
                <w:kern w:val="0"/>
                <w:sz w:val="21"/>
                <w:szCs w:val="21"/>
                <w:highlight w:val="none"/>
              </w:rPr>
            </w:pPr>
          </w:p>
        </w:tc>
        <w:tc>
          <w:tcPr>
            <w:tcW w:w="1408" w:type="dxa"/>
            <w:vAlign w:val="center"/>
          </w:tcPr>
          <w:p w14:paraId="07EC0F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612" w:type="dxa"/>
            <w:vAlign w:val="center"/>
          </w:tcPr>
          <w:p w14:paraId="75B003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109D64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3C97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Merge w:val="continue"/>
            <w:vAlign w:val="center"/>
          </w:tcPr>
          <w:p w14:paraId="387B0F46">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47D1728F">
            <w:pPr>
              <w:widowControl/>
              <w:jc w:val="left"/>
              <w:rPr>
                <w:rFonts w:hint="eastAsia" w:ascii="宋体" w:hAnsi="宋体" w:eastAsia="宋体" w:cs="宋体"/>
                <w:color w:val="auto"/>
                <w:kern w:val="0"/>
                <w:sz w:val="21"/>
                <w:szCs w:val="21"/>
                <w:highlight w:val="none"/>
              </w:rPr>
            </w:pPr>
          </w:p>
        </w:tc>
        <w:tc>
          <w:tcPr>
            <w:tcW w:w="1408" w:type="dxa"/>
            <w:vAlign w:val="center"/>
          </w:tcPr>
          <w:p w14:paraId="303DD7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普通照明用非定向自镇流LED灯</w:t>
            </w:r>
          </w:p>
        </w:tc>
        <w:tc>
          <w:tcPr>
            <w:tcW w:w="1612" w:type="dxa"/>
            <w:vAlign w:val="center"/>
          </w:tcPr>
          <w:p w14:paraId="26AF761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2498F0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1707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1" w:type="dxa"/>
            <w:vAlign w:val="center"/>
          </w:tcPr>
          <w:p w14:paraId="5EF36A5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224" w:type="dxa"/>
            <w:vAlign w:val="center"/>
          </w:tcPr>
          <w:p w14:paraId="559012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★A020910电视设备</w:t>
            </w:r>
          </w:p>
        </w:tc>
        <w:tc>
          <w:tcPr>
            <w:tcW w:w="1408" w:type="dxa"/>
            <w:vAlign w:val="center"/>
          </w:tcPr>
          <w:p w14:paraId="7B3292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A02091001普通电视设备（电视机）</w:t>
            </w:r>
          </w:p>
        </w:tc>
        <w:tc>
          <w:tcPr>
            <w:tcW w:w="1612" w:type="dxa"/>
            <w:vAlign w:val="center"/>
          </w:tcPr>
          <w:p w14:paraId="177646D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3F155B1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《平板电视能效限定值及能效等级》（GB24850）</w:t>
            </w:r>
          </w:p>
        </w:tc>
      </w:tr>
      <w:tr w14:paraId="26FD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41" w:type="dxa"/>
            <w:vAlign w:val="center"/>
          </w:tcPr>
          <w:p w14:paraId="6B0705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224" w:type="dxa"/>
            <w:vAlign w:val="center"/>
          </w:tcPr>
          <w:p w14:paraId="7B82EE6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★A020911视频设备</w:t>
            </w:r>
          </w:p>
        </w:tc>
        <w:tc>
          <w:tcPr>
            <w:tcW w:w="1408" w:type="dxa"/>
            <w:vAlign w:val="center"/>
          </w:tcPr>
          <w:p w14:paraId="4086E0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A02091107视频监控设备</w:t>
            </w:r>
          </w:p>
        </w:tc>
        <w:tc>
          <w:tcPr>
            <w:tcW w:w="1612" w:type="dxa"/>
            <w:vAlign w:val="center"/>
          </w:tcPr>
          <w:p w14:paraId="084C74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监视器</w:t>
            </w:r>
          </w:p>
        </w:tc>
        <w:tc>
          <w:tcPr>
            <w:tcW w:w="4335" w:type="dxa"/>
            <w:vAlign w:val="center"/>
          </w:tcPr>
          <w:p w14:paraId="651162D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48A4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506B89F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224" w:type="dxa"/>
            <w:vAlign w:val="center"/>
          </w:tcPr>
          <w:p w14:paraId="6EA6EB3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A031210饮食炊事机械</w:t>
            </w:r>
          </w:p>
        </w:tc>
        <w:tc>
          <w:tcPr>
            <w:tcW w:w="1408" w:type="dxa"/>
            <w:vAlign w:val="center"/>
          </w:tcPr>
          <w:p w14:paraId="248310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w:t>
            </w:r>
          </w:p>
        </w:tc>
        <w:tc>
          <w:tcPr>
            <w:tcW w:w="1612" w:type="dxa"/>
            <w:vAlign w:val="center"/>
          </w:tcPr>
          <w:p w14:paraId="489CF5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58CDF5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《商用燃气灶具能效限定值及能效等级》（GB30531）</w:t>
            </w:r>
          </w:p>
        </w:tc>
      </w:tr>
      <w:tr w14:paraId="14E4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1" w:type="dxa"/>
            <w:vMerge w:val="restart"/>
            <w:vAlign w:val="center"/>
          </w:tcPr>
          <w:p w14:paraId="1515EE0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24" w:type="dxa"/>
            <w:vMerge w:val="restart"/>
            <w:vAlign w:val="center"/>
          </w:tcPr>
          <w:p w14:paraId="12DFFF9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★A060805便器</w:t>
            </w:r>
          </w:p>
        </w:tc>
        <w:tc>
          <w:tcPr>
            <w:tcW w:w="1408" w:type="dxa"/>
            <w:vAlign w:val="center"/>
          </w:tcPr>
          <w:p w14:paraId="5E6E388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w:t>
            </w:r>
          </w:p>
        </w:tc>
        <w:tc>
          <w:tcPr>
            <w:tcW w:w="1612" w:type="dxa"/>
            <w:vAlign w:val="center"/>
          </w:tcPr>
          <w:p w14:paraId="6E5522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4BE46F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《坐便器水效限定值及水效等级》（GB25502）</w:t>
            </w:r>
          </w:p>
        </w:tc>
      </w:tr>
      <w:tr w14:paraId="09F2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0AE22E4E">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6BCE257F">
            <w:pPr>
              <w:widowControl/>
              <w:jc w:val="left"/>
              <w:rPr>
                <w:rFonts w:hint="eastAsia" w:ascii="宋体" w:hAnsi="宋体" w:eastAsia="宋体" w:cs="宋体"/>
                <w:color w:val="auto"/>
                <w:kern w:val="0"/>
                <w:sz w:val="21"/>
                <w:szCs w:val="21"/>
                <w:highlight w:val="none"/>
              </w:rPr>
            </w:pPr>
          </w:p>
        </w:tc>
        <w:tc>
          <w:tcPr>
            <w:tcW w:w="1408" w:type="dxa"/>
            <w:vAlign w:val="center"/>
          </w:tcPr>
          <w:p w14:paraId="7DFC14D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w:t>
            </w:r>
          </w:p>
        </w:tc>
        <w:tc>
          <w:tcPr>
            <w:tcW w:w="1612" w:type="dxa"/>
            <w:vAlign w:val="center"/>
          </w:tcPr>
          <w:p w14:paraId="7FEC870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7DC8B2D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《蹲便器用水效率限定值及用水效率等级》（GB30717）</w:t>
            </w:r>
          </w:p>
        </w:tc>
      </w:tr>
      <w:tr w14:paraId="6C51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Merge w:val="continue"/>
            <w:vAlign w:val="center"/>
          </w:tcPr>
          <w:p w14:paraId="6EBE9813">
            <w:pPr>
              <w:widowControl/>
              <w:jc w:val="left"/>
              <w:rPr>
                <w:rFonts w:hint="eastAsia" w:ascii="宋体" w:hAnsi="宋体" w:eastAsia="宋体" w:cs="宋体"/>
                <w:color w:val="auto"/>
                <w:kern w:val="0"/>
                <w:sz w:val="21"/>
                <w:szCs w:val="21"/>
                <w:highlight w:val="none"/>
              </w:rPr>
            </w:pPr>
          </w:p>
        </w:tc>
        <w:tc>
          <w:tcPr>
            <w:tcW w:w="1224" w:type="dxa"/>
            <w:vMerge w:val="continue"/>
            <w:vAlign w:val="center"/>
          </w:tcPr>
          <w:p w14:paraId="4017BAF9">
            <w:pPr>
              <w:widowControl/>
              <w:jc w:val="left"/>
              <w:rPr>
                <w:rFonts w:hint="eastAsia" w:ascii="宋体" w:hAnsi="宋体" w:eastAsia="宋体" w:cs="宋体"/>
                <w:color w:val="auto"/>
                <w:kern w:val="0"/>
                <w:sz w:val="21"/>
                <w:szCs w:val="21"/>
                <w:highlight w:val="none"/>
              </w:rPr>
            </w:pPr>
          </w:p>
        </w:tc>
        <w:tc>
          <w:tcPr>
            <w:tcW w:w="1408" w:type="dxa"/>
            <w:vAlign w:val="center"/>
          </w:tcPr>
          <w:p w14:paraId="484395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w:t>
            </w:r>
          </w:p>
        </w:tc>
        <w:tc>
          <w:tcPr>
            <w:tcW w:w="1612" w:type="dxa"/>
            <w:vAlign w:val="center"/>
          </w:tcPr>
          <w:p w14:paraId="5CDAB2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733F150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《小便器用水效率限定值及用水效率等级》（GB28377）</w:t>
            </w:r>
          </w:p>
        </w:tc>
      </w:tr>
      <w:tr w14:paraId="2EDF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5E7064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224" w:type="dxa"/>
            <w:vAlign w:val="center"/>
          </w:tcPr>
          <w:p w14:paraId="1C6B80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★A060806水嘴</w:t>
            </w:r>
          </w:p>
        </w:tc>
        <w:tc>
          <w:tcPr>
            <w:tcW w:w="1408" w:type="dxa"/>
            <w:vAlign w:val="center"/>
          </w:tcPr>
          <w:p w14:paraId="56B5E1E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14:paraId="111D944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2A13AEC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《水嘴用水效率限定值及用水效率等级》（GB 25501）</w:t>
            </w:r>
          </w:p>
        </w:tc>
      </w:tr>
      <w:tr w14:paraId="0E84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0FDE646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224" w:type="dxa"/>
            <w:vAlign w:val="center"/>
          </w:tcPr>
          <w:p w14:paraId="3543EAD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A060807便器冲洗阀</w:t>
            </w:r>
          </w:p>
        </w:tc>
        <w:tc>
          <w:tcPr>
            <w:tcW w:w="1408" w:type="dxa"/>
            <w:vAlign w:val="center"/>
          </w:tcPr>
          <w:p w14:paraId="712FCF0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14:paraId="70539C3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4F41920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《便器冲洗阀用水效率限定值及用水效率等级》（GB28379）</w:t>
            </w:r>
          </w:p>
        </w:tc>
      </w:tr>
      <w:tr w14:paraId="3EEE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1" w:type="dxa"/>
            <w:vAlign w:val="center"/>
          </w:tcPr>
          <w:p w14:paraId="3E18F28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224" w:type="dxa"/>
            <w:vAlign w:val="center"/>
          </w:tcPr>
          <w:p w14:paraId="3481B1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A060810淋浴器</w:t>
            </w:r>
          </w:p>
        </w:tc>
        <w:tc>
          <w:tcPr>
            <w:tcW w:w="1408" w:type="dxa"/>
            <w:vAlign w:val="center"/>
          </w:tcPr>
          <w:p w14:paraId="40B356D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vAlign w:val="center"/>
          </w:tcPr>
          <w:p w14:paraId="093968E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vAlign w:val="center"/>
          </w:tcPr>
          <w:p w14:paraId="341D8D6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《淋浴器用水效率限定值及用水效率等级》（GB28378）</w:t>
            </w:r>
          </w:p>
        </w:tc>
      </w:tr>
    </w:tbl>
    <w:p w14:paraId="68C0B1EC">
      <w:pPr>
        <w:pStyle w:val="15"/>
        <w:spacing w:line="360" w:lineRule="auto"/>
        <w:rPr>
          <w:rFonts w:ascii="宋体" w:hAnsi="宋体" w:cs="宋体"/>
          <w:color w:val="auto"/>
          <w:szCs w:val="21"/>
          <w:highlight w:val="none"/>
        </w:rPr>
      </w:pPr>
    </w:p>
    <w:p w14:paraId="4C558E75">
      <w:pPr>
        <w:pStyle w:val="15"/>
        <w:spacing w:line="360" w:lineRule="auto"/>
        <w:rPr>
          <w:rFonts w:ascii="宋体" w:hAnsi="宋体" w:cs="宋体"/>
          <w:color w:val="auto"/>
          <w:szCs w:val="21"/>
          <w:highlight w:val="none"/>
        </w:rPr>
      </w:pPr>
      <w:r>
        <w:rPr>
          <w:rFonts w:hint="eastAsia" w:ascii="宋体" w:hAnsi="宋体" w:cs="宋体"/>
          <w:color w:val="auto"/>
          <w:szCs w:val="21"/>
          <w:highlight w:val="none"/>
        </w:rPr>
        <w:t>注：1.节能产品认证应依据相关国家标准的最新版本，依据国家标准中二级能效（水效）指标。</w:t>
      </w:r>
    </w:p>
    <w:p w14:paraId="3025D418">
      <w:pPr>
        <w:pStyle w:val="15"/>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04E25239">
      <w:pPr>
        <w:pStyle w:val="7"/>
        <w:jc w:val="left"/>
        <w:rPr>
          <w:rFonts w:hAnsi="宋体" w:cs="宋体"/>
          <w:color w:val="auto"/>
          <w:highlight w:val="none"/>
        </w:rPr>
      </w:pPr>
      <w:r>
        <w:rPr>
          <w:rFonts w:hint="eastAsia" w:hAnsi="宋体" w:cs="宋体"/>
          <w:color w:val="auto"/>
          <w:highlight w:val="none"/>
        </w:rPr>
        <w:br w:type="page"/>
      </w:r>
      <w:r>
        <w:rPr>
          <w:rFonts w:hint="eastAsia" w:hAnsi="宋体" w:cs="宋体"/>
          <w:b/>
          <w:bCs/>
          <w:color w:val="auto"/>
          <w:sz w:val="32"/>
          <w:szCs w:val="32"/>
          <w:highlight w:val="none"/>
        </w:rPr>
        <w:t>附件</w:t>
      </w:r>
      <w:r>
        <w:rPr>
          <w:rFonts w:hint="eastAsia" w:hAnsi="宋体" w:cs="宋体"/>
          <w:b/>
          <w:bCs/>
          <w:color w:val="auto"/>
          <w:sz w:val="32"/>
          <w:szCs w:val="32"/>
          <w:highlight w:val="none"/>
          <w:lang w:val="en-US" w:eastAsia="zh-CN"/>
        </w:rPr>
        <w:t>2</w:t>
      </w:r>
      <w:r>
        <w:rPr>
          <w:rFonts w:hint="eastAsia" w:hAnsi="宋体" w:cs="宋体"/>
          <w:b/>
          <w:bCs/>
          <w:color w:val="auto"/>
          <w:sz w:val="32"/>
          <w:szCs w:val="32"/>
          <w:highlight w:val="none"/>
        </w:rPr>
        <w:t>：</w:t>
      </w:r>
    </w:p>
    <w:p w14:paraId="0BEC0C4E">
      <w:pPr>
        <w:spacing w:line="528" w:lineRule="exact"/>
        <w:ind w:left="1871" w:firstLine="803" w:firstLineChars="200"/>
        <w:rPr>
          <w:color w:val="auto"/>
        </w:rPr>
      </w:pPr>
      <w:r>
        <w:rPr>
          <w:rFonts w:hint="eastAsia" w:ascii="宋体" w:hAnsi="宋体" w:cs="宋体"/>
          <w:b/>
          <w:bCs/>
          <w:color w:val="auto"/>
          <w:sz w:val="40"/>
          <w:szCs w:val="40"/>
          <w:highlight w:val="none"/>
        </w:rPr>
        <w:t>中小微企业划型标准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095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7329A30C">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auto"/>
            <w:vAlign w:val="center"/>
          </w:tcPr>
          <w:p w14:paraId="5CE9179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auto"/>
            <w:vAlign w:val="center"/>
          </w:tcPr>
          <w:p w14:paraId="296276BB">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79A953B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auto"/>
            <w:vAlign w:val="center"/>
          </w:tcPr>
          <w:p w14:paraId="199DFDF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auto"/>
            <w:vAlign w:val="center"/>
          </w:tcPr>
          <w:p w14:paraId="27BF64D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auto"/>
            <w:vAlign w:val="center"/>
          </w:tcPr>
          <w:p w14:paraId="65C89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auto"/>
            <w:vAlign w:val="center"/>
          </w:tcPr>
          <w:p w14:paraId="355E470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6CF7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2CE7217D">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369" w:type="dxa"/>
            <w:shd w:val="clear" w:color="auto" w:fill="auto"/>
            <w:vAlign w:val="center"/>
          </w:tcPr>
          <w:p w14:paraId="7FBDBA5F">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627C72B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247BDF99">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shd w:val="clear" w:color="auto" w:fill="auto"/>
            <w:vAlign w:val="center"/>
          </w:tcPr>
          <w:p w14:paraId="2A94D77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shd w:val="clear" w:color="auto" w:fill="auto"/>
            <w:vAlign w:val="center"/>
          </w:tcPr>
          <w:p w14:paraId="3AB4136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shd w:val="clear" w:color="auto" w:fill="auto"/>
            <w:vAlign w:val="center"/>
          </w:tcPr>
          <w:p w14:paraId="4A0FA42B">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0772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077044CE">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工业 *</w:t>
            </w:r>
          </w:p>
        </w:tc>
        <w:tc>
          <w:tcPr>
            <w:tcW w:w="1369" w:type="dxa"/>
            <w:shd w:val="clear" w:color="auto" w:fill="auto"/>
            <w:vAlign w:val="center"/>
          </w:tcPr>
          <w:p w14:paraId="60A655F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48DBF3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2BA25E84">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7B6660D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6C5750B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shd w:val="clear" w:color="auto" w:fill="auto"/>
            <w:vAlign w:val="center"/>
          </w:tcPr>
          <w:p w14:paraId="63C3C15A">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AD2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81077A">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4F806A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4400368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730A591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shd w:val="clear" w:color="auto" w:fill="auto"/>
            <w:vAlign w:val="center"/>
          </w:tcPr>
          <w:p w14:paraId="4F25355F">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shd w:val="clear" w:color="auto" w:fill="auto"/>
            <w:vAlign w:val="center"/>
          </w:tcPr>
          <w:p w14:paraId="73588C4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shd w:val="clear" w:color="auto" w:fill="auto"/>
            <w:vAlign w:val="center"/>
          </w:tcPr>
          <w:p w14:paraId="285017A6">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7288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9CD069">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建筑业</w:t>
            </w:r>
          </w:p>
        </w:tc>
        <w:tc>
          <w:tcPr>
            <w:tcW w:w="1369" w:type="dxa"/>
            <w:shd w:val="clear" w:color="auto" w:fill="auto"/>
            <w:vAlign w:val="center"/>
          </w:tcPr>
          <w:p w14:paraId="4F62F62D">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3785C36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74D2973F">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shd w:val="clear" w:color="auto" w:fill="auto"/>
            <w:vAlign w:val="center"/>
          </w:tcPr>
          <w:p w14:paraId="1F875C41">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shd w:val="clear" w:color="auto" w:fill="auto"/>
            <w:vAlign w:val="center"/>
          </w:tcPr>
          <w:p w14:paraId="5966017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shd w:val="clear" w:color="auto" w:fill="auto"/>
            <w:vAlign w:val="center"/>
          </w:tcPr>
          <w:p w14:paraId="7F13341C">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867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05AC76">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02C025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shd w:val="clear" w:color="auto" w:fill="auto"/>
            <w:vAlign w:val="center"/>
          </w:tcPr>
          <w:p w14:paraId="59B3669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47B5A401">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shd w:val="clear" w:color="auto" w:fill="auto"/>
            <w:vAlign w:val="center"/>
          </w:tcPr>
          <w:p w14:paraId="5783FE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shd w:val="clear" w:color="auto" w:fill="auto"/>
            <w:vAlign w:val="center"/>
          </w:tcPr>
          <w:p w14:paraId="0BF57ED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shd w:val="clear" w:color="auto" w:fill="auto"/>
            <w:vAlign w:val="center"/>
          </w:tcPr>
          <w:p w14:paraId="40994623">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770C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6C9C0E5">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批发业</w:t>
            </w:r>
          </w:p>
        </w:tc>
        <w:tc>
          <w:tcPr>
            <w:tcW w:w="1369" w:type="dxa"/>
            <w:shd w:val="clear" w:color="auto" w:fill="auto"/>
            <w:vAlign w:val="center"/>
          </w:tcPr>
          <w:p w14:paraId="41FFDFA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0DDA15F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17553F6A">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shd w:val="clear" w:color="auto" w:fill="auto"/>
            <w:vAlign w:val="center"/>
          </w:tcPr>
          <w:p w14:paraId="0049A5E1">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shd w:val="clear" w:color="auto" w:fill="auto"/>
            <w:vAlign w:val="center"/>
          </w:tcPr>
          <w:p w14:paraId="18B8292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shd w:val="clear" w:color="auto" w:fill="auto"/>
            <w:vAlign w:val="center"/>
          </w:tcPr>
          <w:p w14:paraId="3CFE58D6">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4B6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296628">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75C4FA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53C9295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620BF567">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shd w:val="clear" w:color="auto" w:fill="auto"/>
            <w:vAlign w:val="center"/>
          </w:tcPr>
          <w:p w14:paraId="5497D763">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shd w:val="clear" w:color="auto" w:fill="auto"/>
            <w:vAlign w:val="center"/>
          </w:tcPr>
          <w:p w14:paraId="3A395815">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shd w:val="clear" w:color="auto" w:fill="auto"/>
            <w:vAlign w:val="center"/>
          </w:tcPr>
          <w:p w14:paraId="09D582E9">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2AA9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E9F80E3">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369" w:type="dxa"/>
            <w:shd w:val="clear" w:color="auto" w:fill="auto"/>
            <w:vAlign w:val="center"/>
          </w:tcPr>
          <w:p w14:paraId="43BF4EE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6D5A2EC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6063AA4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6F6A1BDF">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shd w:val="clear" w:color="auto" w:fill="auto"/>
            <w:vAlign w:val="center"/>
          </w:tcPr>
          <w:p w14:paraId="665C681E">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shd w:val="clear" w:color="auto" w:fill="auto"/>
            <w:vAlign w:val="center"/>
          </w:tcPr>
          <w:p w14:paraId="744CFCC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6B3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30360E4">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1B6266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25C2C61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78CADD70">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shd w:val="clear" w:color="auto" w:fill="auto"/>
            <w:vAlign w:val="center"/>
          </w:tcPr>
          <w:p w14:paraId="6983960D">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shd w:val="clear" w:color="auto" w:fill="auto"/>
            <w:vAlign w:val="center"/>
          </w:tcPr>
          <w:p w14:paraId="3E98428A">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shd w:val="clear" w:color="auto" w:fill="auto"/>
            <w:vAlign w:val="center"/>
          </w:tcPr>
          <w:p w14:paraId="6A389F8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3AB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59C0B29">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 *</w:t>
            </w:r>
          </w:p>
        </w:tc>
        <w:tc>
          <w:tcPr>
            <w:tcW w:w="1369" w:type="dxa"/>
            <w:shd w:val="clear" w:color="auto" w:fill="auto"/>
            <w:vAlign w:val="center"/>
          </w:tcPr>
          <w:p w14:paraId="34FD893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5B60285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6DB38759">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4D3B7B23">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1D2D22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shd w:val="clear" w:color="auto" w:fill="auto"/>
            <w:vAlign w:val="center"/>
          </w:tcPr>
          <w:p w14:paraId="092B228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412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9411BFE">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1FC412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2BF1D20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5A5598ED">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shd w:val="clear" w:color="auto" w:fill="auto"/>
            <w:vAlign w:val="center"/>
          </w:tcPr>
          <w:p w14:paraId="7070A428">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shd w:val="clear" w:color="auto" w:fill="auto"/>
            <w:vAlign w:val="center"/>
          </w:tcPr>
          <w:p w14:paraId="4DBFBBB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shd w:val="clear" w:color="auto" w:fill="auto"/>
            <w:vAlign w:val="center"/>
          </w:tcPr>
          <w:p w14:paraId="169DF377">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4EE7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819FB2D">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369" w:type="dxa"/>
            <w:shd w:val="clear" w:color="auto" w:fill="auto"/>
            <w:vAlign w:val="center"/>
          </w:tcPr>
          <w:p w14:paraId="3233B30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2645B6C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0F53DCA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shd w:val="clear" w:color="auto" w:fill="auto"/>
            <w:vAlign w:val="center"/>
          </w:tcPr>
          <w:p w14:paraId="01E9A73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shd w:val="clear" w:color="auto" w:fill="auto"/>
            <w:vAlign w:val="center"/>
          </w:tcPr>
          <w:p w14:paraId="1C967D5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shd w:val="clear" w:color="auto" w:fill="auto"/>
            <w:vAlign w:val="center"/>
          </w:tcPr>
          <w:p w14:paraId="04167415">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AB5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81AA82">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5F7477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50569AA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1C72ABD5">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shd w:val="clear" w:color="auto" w:fill="auto"/>
            <w:vAlign w:val="center"/>
          </w:tcPr>
          <w:p w14:paraId="5A599BD2">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shd w:val="clear" w:color="auto" w:fill="auto"/>
            <w:vAlign w:val="center"/>
          </w:tcPr>
          <w:p w14:paraId="7F16B4B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shd w:val="clear" w:color="auto" w:fill="auto"/>
            <w:vAlign w:val="center"/>
          </w:tcPr>
          <w:p w14:paraId="545113D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765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1C5D6D6">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369" w:type="dxa"/>
            <w:shd w:val="clear" w:color="auto" w:fill="auto"/>
            <w:vAlign w:val="center"/>
          </w:tcPr>
          <w:p w14:paraId="0B86F33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014D70F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5C124B84">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656A843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5E3208E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shd w:val="clear" w:color="auto" w:fill="auto"/>
            <w:vAlign w:val="center"/>
          </w:tcPr>
          <w:p w14:paraId="36816A27">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35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CE0F8C">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3E339D2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0A30275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3BDA9CA9">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shd w:val="clear" w:color="auto" w:fill="auto"/>
            <w:vAlign w:val="center"/>
          </w:tcPr>
          <w:p w14:paraId="404B21CE">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shd w:val="clear" w:color="auto" w:fill="auto"/>
            <w:vAlign w:val="center"/>
          </w:tcPr>
          <w:p w14:paraId="41EB83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shd w:val="clear" w:color="auto" w:fill="auto"/>
            <w:vAlign w:val="center"/>
          </w:tcPr>
          <w:p w14:paraId="4B762F2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594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2731881">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369" w:type="dxa"/>
            <w:shd w:val="clear" w:color="auto" w:fill="auto"/>
            <w:vAlign w:val="center"/>
          </w:tcPr>
          <w:p w14:paraId="70A7B7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154FEC1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5E4124B8">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42830E5D">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3AA22F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32F46014">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58F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6C08B4">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1D6DB0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24F330E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0F718268">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shd w:val="clear" w:color="auto" w:fill="auto"/>
            <w:vAlign w:val="center"/>
          </w:tcPr>
          <w:p w14:paraId="7CC30ECD">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shd w:val="clear" w:color="auto" w:fill="auto"/>
            <w:vAlign w:val="center"/>
          </w:tcPr>
          <w:p w14:paraId="023EAAA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shd w:val="clear" w:color="auto" w:fill="auto"/>
            <w:vAlign w:val="center"/>
          </w:tcPr>
          <w:p w14:paraId="553924D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40B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9D87234">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369" w:type="dxa"/>
            <w:shd w:val="clear" w:color="auto" w:fill="auto"/>
            <w:vAlign w:val="center"/>
          </w:tcPr>
          <w:p w14:paraId="462F9CB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40A2E29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41F9B2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48B62568">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1E2CA5A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30DF199A">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AFE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DD71A9D">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5294F4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705180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5AB7B8E8">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shd w:val="clear" w:color="auto" w:fill="auto"/>
            <w:vAlign w:val="center"/>
          </w:tcPr>
          <w:p w14:paraId="6EFA4D3E">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shd w:val="clear" w:color="auto" w:fill="auto"/>
            <w:vAlign w:val="center"/>
          </w:tcPr>
          <w:p w14:paraId="1E2ACD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shd w:val="clear" w:color="auto" w:fill="auto"/>
            <w:vAlign w:val="center"/>
          </w:tcPr>
          <w:p w14:paraId="6240178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5C2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0D8869D">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 *</w:t>
            </w:r>
          </w:p>
        </w:tc>
        <w:tc>
          <w:tcPr>
            <w:tcW w:w="1369" w:type="dxa"/>
            <w:shd w:val="clear" w:color="auto" w:fill="auto"/>
            <w:vAlign w:val="center"/>
          </w:tcPr>
          <w:p w14:paraId="029255E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1ED11C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0E6268B8">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shd w:val="clear" w:color="auto" w:fill="auto"/>
            <w:vAlign w:val="center"/>
          </w:tcPr>
          <w:p w14:paraId="5A6298D3">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shd w:val="clear" w:color="auto" w:fill="auto"/>
            <w:vAlign w:val="center"/>
          </w:tcPr>
          <w:p w14:paraId="47F07DD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1714E4A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341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F6673CD">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11AAD1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523F17E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78BFAABE">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shd w:val="clear" w:color="auto" w:fill="auto"/>
            <w:vAlign w:val="center"/>
          </w:tcPr>
          <w:p w14:paraId="69E47D5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shd w:val="clear" w:color="auto" w:fill="auto"/>
            <w:vAlign w:val="center"/>
          </w:tcPr>
          <w:p w14:paraId="045561E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shd w:val="clear" w:color="auto" w:fill="auto"/>
            <w:vAlign w:val="center"/>
          </w:tcPr>
          <w:p w14:paraId="3D8C052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2B6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72C129F">
            <w:pPr>
              <w:widowControl/>
              <w:spacing w:line="240" w:lineRule="exact"/>
              <w:jc w:val="center"/>
              <w:rPr>
                <w:rFonts w:hint="eastAsia" w:ascii="宋体" w:hAnsi="宋体" w:eastAsia="宋体" w:cs="宋体"/>
                <w:color w:val="auto"/>
                <w:spacing w:val="-12"/>
                <w:kern w:val="0"/>
                <w:sz w:val="21"/>
                <w:szCs w:val="21"/>
              </w:rPr>
            </w:pPr>
            <w:r>
              <w:rPr>
                <w:rFonts w:hint="eastAsia" w:ascii="宋体" w:hAnsi="宋体" w:eastAsia="宋体" w:cs="宋体"/>
                <w:color w:val="auto"/>
                <w:spacing w:val="-12"/>
                <w:kern w:val="0"/>
                <w:sz w:val="21"/>
                <w:szCs w:val="21"/>
              </w:rPr>
              <w:t>软件和信息技术服</w:t>
            </w:r>
            <w:r>
              <w:rPr>
                <w:rFonts w:hint="eastAsia" w:ascii="宋体" w:hAnsi="宋体" w:eastAsia="宋体" w:cs="宋体"/>
                <w:color w:val="auto"/>
                <w:kern w:val="0"/>
                <w:sz w:val="21"/>
                <w:szCs w:val="21"/>
              </w:rPr>
              <w:t>务业</w:t>
            </w:r>
          </w:p>
        </w:tc>
        <w:tc>
          <w:tcPr>
            <w:tcW w:w="1369" w:type="dxa"/>
            <w:shd w:val="clear" w:color="auto" w:fill="auto"/>
            <w:vAlign w:val="center"/>
          </w:tcPr>
          <w:p w14:paraId="7280F2C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1E70813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690A880B">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39F25B82">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5AC4FEF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23ED631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308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64FFBCD">
            <w:pPr>
              <w:widowControl/>
              <w:jc w:val="center"/>
              <w:rPr>
                <w:rFonts w:hint="eastAsia" w:ascii="宋体" w:hAnsi="宋体" w:eastAsia="宋体" w:cs="宋体"/>
                <w:color w:val="auto"/>
                <w:spacing w:val="-12"/>
                <w:kern w:val="0"/>
                <w:sz w:val="21"/>
                <w:szCs w:val="21"/>
              </w:rPr>
            </w:pPr>
          </w:p>
        </w:tc>
        <w:tc>
          <w:tcPr>
            <w:tcW w:w="1369" w:type="dxa"/>
            <w:shd w:val="clear" w:color="auto" w:fill="auto"/>
            <w:vAlign w:val="center"/>
          </w:tcPr>
          <w:p w14:paraId="3BB0BDD5">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1ED21F2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1BD69E31">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shd w:val="clear" w:color="auto" w:fill="auto"/>
            <w:vAlign w:val="center"/>
          </w:tcPr>
          <w:p w14:paraId="70CAEB32">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shd w:val="clear" w:color="auto" w:fill="auto"/>
            <w:vAlign w:val="center"/>
          </w:tcPr>
          <w:p w14:paraId="4E8F1EA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shd w:val="clear" w:color="auto" w:fill="auto"/>
            <w:vAlign w:val="center"/>
          </w:tcPr>
          <w:p w14:paraId="544B5E5B">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168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21E7FDE">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369" w:type="dxa"/>
            <w:shd w:val="clear" w:color="auto" w:fill="auto"/>
            <w:vAlign w:val="center"/>
          </w:tcPr>
          <w:p w14:paraId="1C52949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3A40759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095AF04E">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shd w:val="clear" w:color="auto" w:fill="auto"/>
            <w:vAlign w:val="center"/>
          </w:tcPr>
          <w:p w14:paraId="21AC2D6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shd w:val="clear" w:color="auto" w:fill="auto"/>
            <w:vAlign w:val="center"/>
          </w:tcPr>
          <w:p w14:paraId="2606C51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shd w:val="clear" w:color="auto" w:fill="auto"/>
            <w:vAlign w:val="center"/>
          </w:tcPr>
          <w:p w14:paraId="0FF0D913">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C2B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17F6AEB">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396D38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shd w:val="clear" w:color="auto" w:fill="auto"/>
            <w:vAlign w:val="center"/>
          </w:tcPr>
          <w:p w14:paraId="55B32DD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0A32218C">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shd w:val="clear" w:color="auto" w:fill="auto"/>
            <w:vAlign w:val="center"/>
          </w:tcPr>
          <w:p w14:paraId="5F89C281">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shd w:val="clear" w:color="auto" w:fill="auto"/>
            <w:vAlign w:val="center"/>
          </w:tcPr>
          <w:p w14:paraId="3B17691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shd w:val="clear" w:color="auto" w:fill="auto"/>
            <w:vAlign w:val="center"/>
          </w:tcPr>
          <w:p w14:paraId="22EBF59D">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23D5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A9E1BD1">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369" w:type="dxa"/>
            <w:shd w:val="clear" w:color="auto" w:fill="auto"/>
            <w:vAlign w:val="center"/>
          </w:tcPr>
          <w:p w14:paraId="5DC2EC3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4666A0E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4A48B950">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22CA0C8B">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45F323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shd w:val="clear" w:color="auto" w:fill="auto"/>
            <w:vAlign w:val="center"/>
          </w:tcPr>
          <w:p w14:paraId="1A3D81C0">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2238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770E995">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138DDB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00DA6F5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3CD07E15">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shd w:val="clear" w:color="auto" w:fill="auto"/>
            <w:vAlign w:val="center"/>
          </w:tcPr>
          <w:p w14:paraId="508DAD8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shd w:val="clear" w:color="auto" w:fill="auto"/>
            <w:vAlign w:val="center"/>
          </w:tcPr>
          <w:p w14:paraId="247A142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shd w:val="clear" w:color="auto" w:fill="auto"/>
            <w:vAlign w:val="center"/>
          </w:tcPr>
          <w:p w14:paraId="2274D1DE">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3D4E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0CB027F">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租赁和商务服务业</w:t>
            </w:r>
          </w:p>
        </w:tc>
        <w:tc>
          <w:tcPr>
            <w:tcW w:w="1369" w:type="dxa"/>
            <w:shd w:val="clear" w:color="auto" w:fill="auto"/>
            <w:vAlign w:val="center"/>
          </w:tcPr>
          <w:p w14:paraId="6F01E9C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217F5938">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5D4545D0">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6A02FCB2">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2F9AB48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557329A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8BC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6650E4A">
            <w:pPr>
              <w:widowControl/>
              <w:jc w:val="center"/>
              <w:rPr>
                <w:rFonts w:hint="eastAsia" w:ascii="宋体" w:hAnsi="宋体" w:eastAsia="宋体" w:cs="宋体"/>
                <w:color w:val="auto"/>
                <w:kern w:val="0"/>
                <w:sz w:val="21"/>
                <w:szCs w:val="21"/>
              </w:rPr>
            </w:pPr>
          </w:p>
        </w:tc>
        <w:tc>
          <w:tcPr>
            <w:tcW w:w="1369" w:type="dxa"/>
            <w:shd w:val="clear" w:color="auto" w:fill="auto"/>
            <w:vAlign w:val="center"/>
          </w:tcPr>
          <w:p w14:paraId="2A5C3E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shd w:val="clear" w:color="auto" w:fill="auto"/>
            <w:vAlign w:val="center"/>
          </w:tcPr>
          <w:p w14:paraId="36BDD01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7E3E6331">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shd w:val="clear" w:color="auto" w:fill="auto"/>
            <w:vAlign w:val="center"/>
          </w:tcPr>
          <w:p w14:paraId="1178377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shd w:val="clear" w:color="auto" w:fill="auto"/>
            <w:vAlign w:val="center"/>
          </w:tcPr>
          <w:p w14:paraId="268D35F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shd w:val="clear" w:color="auto" w:fill="auto"/>
            <w:vAlign w:val="center"/>
          </w:tcPr>
          <w:p w14:paraId="12C4D99D">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3773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30166E24">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 *</w:t>
            </w:r>
          </w:p>
        </w:tc>
        <w:tc>
          <w:tcPr>
            <w:tcW w:w="1369" w:type="dxa"/>
            <w:shd w:val="clear" w:color="auto" w:fill="auto"/>
            <w:vAlign w:val="center"/>
          </w:tcPr>
          <w:p w14:paraId="4A15B21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270D31BD">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0292C955">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3A4B9526">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4C14303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529DE4F2">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58B9A0D9">
      <w:pPr>
        <w:pStyle w:val="7"/>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说明：</w:t>
      </w:r>
      <w:bookmarkStart w:id="37" w:name="_Toc80092992"/>
      <w:bookmarkEnd w:id="37"/>
      <w:bookmarkStart w:id="38" w:name="_Toc532545044"/>
      <w:bookmarkEnd w:id="38"/>
    </w:p>
    <w:p w14:paraId="5BC46F5D">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　　1.大型、中型和小型企业须同时满足所列指标的下限，否则下划一档；微型企业只须满足所列指标中的一项即可。</w:t>
      </w:r>
    </w:p>
    <w:p w14:paraId="77B4BE1C">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EADB496">
      <w:pPr>
        <w:pStyle w:val="7"/>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cs="宋体"/>
          <w:color w:val="auto"/>
          <w:szCs w:val="21"/>
          <w:highlight w:val="none"/>
        </w:rPr>
      </w:pPr>
      <w:r>
        <w:rPr>
          <w:rFonts w:hint="eastAsia" w:ascii="宋体" w:hAnsi="宋体" w:cs="宋体"/>
          <w:color w:val="auto"/>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1D51A4C">
      <w:pPr>
        <w:rPr>
          <w:rFonts w:hint="eastAsia" w:hAnsi="宋体" w:cs="宋体"/>
          <w:b/>
          <w:color w:val="auto"/>
          <w:sz w:val="36"/>
          <w:highlight w:val="none"/>
        </w:rPr>
      </w:pPr>
      <w:r>
        <w:rPr>
          <w:rFonts w:hint="eastAsia" w:hAnsi="宋体" w:cs="宋体"/>
          <w:b/>
          <w:color w:val="auto"/>
          <w:sz w:val="36"/>
          <w:highlight w:val="none"/>
        </w:rPr>
        <w:br w:type="page"/>
      </w:r>
    </w:p>
    <w:p w14:paraId="7FF21DA5">
      <w:pPr>
        <w:pStyle w:val="7"/>
        <w:jc w:val="center"/>
        <w:outlineLvl w:val="0"/>
        <w:rPr>
          <w:rFonts w:hAnsi="宋体" w:cs="宋体"/>
          <w:b/>
          <w:color w:val="auto"/>
          <w:sz w:val="36"/>
          <w:highlight w:val="none"/>
        </w:rPr>
      </w:pPr>
      <w:r>
        <w:rPr>
          <w:rFonts w:hint="eastAsia" w:hAnsi="宋体" w:cs="宋体"/>
          <w:b/>
          <w:color w:val="auto"/>
          <w:sz w:val="36"/>
          <w:highlight w:val="none"/>
        </w:rPr>
        <w:t>第三章  投标人须知</w:t>
      </w:r>
    </w:p>
    <w:p w14:paraId="2F17EA9B">
      <w:pPr>
        <w:pStyle w:val="7"/>
        <w:spacing w:line="720" w:lineRule="auto"/>
        <w:jc w:val="center"/>
        <w:outlineLvl w:val="1"/>
        <w:rPr>
          <w:rFonts w:hAnsi="宋体" w:cs="宋体"/>
          <w:b/>
          <w:color w:val="auto"/>
          <w:sz w:val="30"/>
          <w:szCs w:val="30"/>
          <w:highlight w:val="none"/>
        </w:rPr>
      </w:pPr>
      <w:bookmarkStart w:id="39" w:name="_Toc80092993"/>
      <w:bookmarkEnd w:id="39"/>
      <w:r>
        <w:rPr>
          <w:rFonts w:hint="eastAsia" w:hAnsi="宋体" w:cs="宋体"/>
          <w:b/>
          <w:color w:val="auto"/>
          <w:sz w:val="30"/>
          <w:szCs w:val="30"/>
          <w:highlight w:val="none"/>
        </w:rPr>
        <w:t>第一节 投标人须知前附表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69"/>
        <w:gridCol w:w="6976"/>
      </w:tblGrid>
      <w:tr w14:paraId="7EF2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5210D671">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069" w:type="dxa"/>
            <w:vAlign w:val="center"/>
          </w:tcPr>
          <w:p w14:paraId="30B9A1BA">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6976" w:type="dxa"/>
            <w:vAlign w:val="center"/>
          </w:tcPr>
          <w:p w14:paraId="1FA635D7">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7E8B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65E8CF8E">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2069" w:type="dxa"/>
            <w:vAlign w:val="center"/>
          </w:tcPr>
          <w:p w14:paraId="2049E0F8">
            <w:pPr>
              <w:spacing w:line="460" w:lineRule="exact"/>
              <w:jc w:val="center"/>
              <w:rPr>
                <w:rFonts w:ascii="宋体" w:hAnsi="宋体" w:cs="宋体"/>
                <w:color w:val="auto"/>
                <w:szCs w:val="21"/>
                <w:highlight w:val="none"/>
              </w:rPr>
            </w:pPr>
            <w:bookmarkStart w:id="40" w:name="_5"/>
            <w:bookmarkEnd w:id="40"/>
            <w:bookmarkStart w:id="41" w:name="_9.2"/>
            <w:bookmarkEnd w:id="41"/>
            <w:bookmarkStart w:id="42" w:name="_8.1"/>
            <w:bookmarkEnd w:id="42"/>
            <w:r>
              <w:rPr>
                <w:rFonts w:hint="eastAsia" w:ascii="宋体" w:hAnsi="宋体" w:cs="宋体"/>
                <w:color w:val="auto"/>
                <w:szCs w:val="21"/>
                <w:highlight w:val="none"/>
              </w:rPr>
              <w:t>是否接受联合体投标</w:t>
            </w:r>
          </w:p>
        </w:tc>
        <w:tc>
          <w:tcPr>
            <w:tcW w:w="6976" w:type="dxa"/>
            <w:vAlign w:val="center"/>
          </w:tcPr>
          <w:p w14:paraId="664BA92F">
            <w:pPr>
              <w:pStyle w:val="13"/>
              <w:spacing w:line="460" w:lineRule="exact"/>
              <w:rPr>
                <w:rFonts w:ascii="宋体" w:hAnsi="宋体" w:cs="宋体"/>
                <w:color w:val="auto"/>
                <w:szCs w:val="21"/>
                <w:highlight w:val="none"/>
              </w:rPr>
            </w:pPr>
            <w:bookmarkStart w:id="43" w:name="PO_3000001866_PM007"/>
            <w:bookmarkEnd w:id="43"/>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允许联合体投标。</w:t>
            </w:r>
          </w:p>
        </w:tc>
      </w:tr>
      <w:tr w14:paraId="400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60A5E9A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2069" w:type="dxa"/>
            <w:vAlign w:val="center"/>
          </w:tcPr>
          <w:p w14:paraId="720EF02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6976" w:type="dxa"/>
            <w:vAlign w:val="center"/>
          </w:tcPr>
          <w:p w14:paraId="2D09B614">
            <w:pPr>
              <w:pStyle w:val="13"/>
              <w:spacing w:line="4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4DA3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70FB562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069" w:type="dxa"/>
            <w:vAlign w:val="center"/>
          </w:tcPr>
          <w:p w14:paraId="53DC418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6976" w:type="dxa"/>
            <w:vAlign w:val="center"/>
          </w:tcPr>
          <w:p w14:paraId="7500EC05">
            <w:pPr>
              <w:pStyle w:val="13"/>
              <w:spacing w:line="460" w:lineRule="exact"/>
              <w:rPr>
                <w:rFonts w:ascii="宋体" w:hAnsi="宋体" w:cs="宋体"/>
                <w:color w:val="auto"/>
                <w:szCs w:val="21"/>
                <w:highlight w:val="none"/>
              </w:rPr>
            </w:pPr>
            <w:r>
              <w:rPr>
                <w:rFonts w:hint="eastAsia" w:ascii="宋体" w:hAnsi="宋体" w:cs="宋体"/>
                <w:color w:val="auto"/>
                <w:szCs w:val="21"/>
                <w:highlight w:val="none"/>
                <w:lang w:eastAsia="zh-CN"/>
              </w:rPr>
              <w:sym w:font="Wingdings 2" w:char="0052"/>
            </w:r>
            <w:r>
              <w:rPr>
                <w:rFonts w:hint="eastAsia" w:ascii="宋体" w:hAnsi="宋体" w:cs="宋体"/>
                <w:color w:val="auto"/>
                <w:szCs w:val="21"/>
                <w:highlight w:val="none"/>
              </w:rPr>
              <w:t>不允许转包/分包</w:t>
            </w:r>
          </w:p>
        </w:tc>
      </w:tr>
      <w:tr w14:paraId="73F3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77E078E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069" w:type="dxa"/>
            <w:vAlign w:val="center"/>
          </w:tcPr>
          <w:p w14:paraId="5DBC939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976" w:type="dxa"/>
            <w:vAlign w:val="center"/>
          </w:tcPr>
          <w:p w14:paraId="041E4A8D">
            <w:pPr>
              <w:spacing w:line="46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58FD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72EEE72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069" w:type="dxa"/>
            <w:vAlign w:val="center"/>
          </w:tcPr>
          <w:p w14:paraId="2FA1A2A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6976" w:type="dxa"/>
            <w:vAlign w:val="center"/>
          </w:tcPr>
          <w:p w14:paraId="5D6A2CFA">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不组织召开开标前答疑会</w:t>
            </w:r>
          </w:p>
        </w:tc>
      </w:tr>
      <w:tr w14:paraId="510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34232B5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069" w:type="dxa"/>
            <w:vAlign w:val="center"/>
          </w:tcPr>
          <w:p w14:paraId="72F48EB7">
            <w:pPr>
              <w:snapToGrid w:val="0"/>
              <w:spacing w:line="460" w:lineRule="exact"/>
              <w:jc w:val="center"/>
              <w:rPr>
                <w:rFonts w:ascii="宋体" w:hAnsi="宋体" w:cs="宋体"/>
                <w:color w:val="auto"/>
                <w:szCs w:val="21"/>
                <w:highlight w:val="none"/>
              </w:rPr>
            </w:pPr>
            <w:bookmarkStart w:id="44" w:name="_13.2"/>
            <w:bookmarkEnd w:id="44"/>
            <w:r>
              <w:rPr>
                <w:rFonts w:hint="eastAsia" w:ascii="宋体" w:hAnsi="宋体" w:cs="宋体"/>
                <w:color w:val="auto"/>
                <w:szCs w:val="21"/>
                <w:highlight w:val="none"/>
              </w:rPr>
              <w:t>资格证明文件组成</w:t>
            </w:r>
          </w:p>
        </w:tc>
        <w:tc>
          <w:tcPr>
            <w:tcW w:w="6976" w:type="dxa"/>
            <w:vAlign w:val="center"/>
          </w:tcPr>
          <w:p w14:paraId="29600581">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16"/>
                <w:rFonts w:hint="eastAsia" w:cs="宋体"/>
                <w:color w:val="auto"/>
                <w:sz w:val="21"/>
                <w:szCs w:val="21"/>
                <w:highlight w:val="none"/>
              </w:rPr>
              <w:t>执业许可证</w:t>
            </w:r>
            <w:r>
              <w:rPr>
                <w:rFonts w:hint="eastAsia" w:ascii="宋体" w:hAnsi="宋体" w:cs="宋体"/>
                <w:color w:val="auto"/>
                <w:szCs w:val="21"/>
                <w:highlight w:val="none"/>
              </w:rPr>
              <w:t>等），投标人为自然人的，提供身份证复印件。</w:t>
            </w:r>
            <w:r>
              <w:rPr>
                <w:rFonts w:hint="eastAsia" w:ascii="宋体" w:hAnsi="宋体" w:cs="宋体"/>
                <w:b/>
                <w:bCs/>
                <w:color w:val="auto"/>
                <w:szCs w:val="21"/>
                <w:highlight w:val="none"/>
              </w:rPr>
              <w:t>（必须提供，否则作无效投标处理）</w:t>
            </w:r>
          </w:p>
          <w:p w14:paraId="082BC1FD">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响应文件截止之日止半年内任意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color w:val="auto"/>
                <w:szCs w:val="21"/>
                <w:highlight w:val="none"/>
              </w:rPr>
              <w:t>（必须提供，否则作无效投标处理）</w:t>
            </w:r>
          </w:p>
          <w:p w14:paraId="21F30B91">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3、投标人依法缴纳社会保障资金的相关材料[响应文件截止之日止半年内任意连续</w:t>
            </w:r>
            <w:r>
              <w:rPr>
                <w:rFonts w:hint="eastAsia" w:ascii="宋体" w:hAnsi="宋体" w:cs="宋体"/>
                <w:color w:val="auto"/>
                <w:szCs w:val="21"/>
                <w:highlight w:val="none"/>
                <w:u w:val="none"/>
              </w:rPr>
              <w:t>三</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color w:val="auto"/>
                <w:szCs w:val="21"/>
                <w:highlight w:val="none"/>
              </w:rPr>
              <w:t>（必须提供，否则作无效投标处理）</w:t>
            </w:r>
          </w:p>
          <w:p w14:paraId="0768F62B">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3或2024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经第三方审计的</w:t>
            </w:r>
            <w:r>
              <w:rPr>
                <w:rFonts w:hint="eastAsia" w:ascii="宋体" w:hAnsi="宋体" w:cs="宋体"/>
                <w:color w:val="auto"/>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color w:val="auto"/>
                <w:szCs w:val="21"/>
                <w:highlight w:val="none"/>
              </w:rPr>
              <w:t>（必须提供，否则作无效投标处理）</w:t>
            </w:r>
          </w:p>
          <w:p w14:paraId="4D300548">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5、投标人直接控股、管理关系信息表。</w:t>
            </w:r>
            <w:r>
              <w:rPr>
                <w:rFonts w:hint="eastAsia" w:ascii="宋体" w:hAnsi="宋体" w:cs="宋体"/>
                <w:b/>
                <w:bCs/>
                <w:color w:val="auto"/>
                <w:szCs w:val="21"/>
                <w:highlight w:val="none"/>
              </w:rPr>
              <w:t>（必须提供，否则作无效投标处理）</w:t>
            </w:r>
          </w:p>
          <w:p w14:paraId="68AD0545">
            <w:pPr>
              <w:numPr>
                <w:ilvl w:val="0"/>
                <w:numId w:val="0"/>
              </w:numPr>
              <w:snapToGrid w:val="0"/>
              <w:spacing w:line="460" w:lineRule="exact"/>
              <w:ind w:left="360" w:leftChars="0" w:hanging="360" w:firstLineChars="0"/>
              <w:jc w:val="left"/>
              <w:rPr>
                <w:rFonts w:ascii="宋体" w:hAnsi="宋体" w:cs="宋体"/>
                <w:color w:val="auto"/>
                <w:szCs w:val="21"/>
                <w:highlight w:val="none"/>
              </w:rPr>
            </w:pPr>
            <w:r>
              <w:rPr>
                <w:rFonts w:ascii="宋体" w:hAnsi="宋体" w:eastAsia="宋体" w:cs="宋体"/>
                <w:color w:val="auto"/>
                <w:kern w:val="2"/>
                <w:sz w:val="21"/>
                <w:szCs w:val="21"/>
                <w:lang w:val="en-US" w:eastAsia="zh-CN" w:bidi="ar-SA"/>
              </w:rPr>
              <w:t>6、</w:t>
            </w:r>
            <w:r>
              <w:rPr>
                <w:rFonts w:hint="eastAsia" w:ascii="宋体" w:hAnsi="宋体" w:cs="宋体"/>
                <w:color w:val="auto"/>
                <w:szCs w:val="21"/>
                <w:highlight w:val="none"/>
              </w:rPr>
              <w:t>投标资格声明。</w:t>
            </w:r>
            <w:r>
              <w:rPr>
                <w:rFonts w:hint="eastAsia" w:ascii="宋体" w:hAnsi="宋体" w:cs="宋体"/>
                <w:b/>
                <w:bCs/>
                <w:color w:val="auto"/>
                <w:szCs w:val="21"/>
                <w:highlight w:val="none"/>
              </w:rPr>
              <w:t>（必须提供，否则作无效投标处理）</w:t>
            </w:r>
          </w:p>
          <w:p w14:paraId="02AFEFE7">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、中小企业声明函或残疾人福利性单位声明函或监狱企业证明。</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如有，请提供</w:t>
            </w:r>
            <w:r>
              <w:rPr>
                <w:rFonts w:hint="eastAsia" w:ascii="宋体" w:hAnsi="宋体" w:cs="宋体"/>
                <w:b/>
                <w:bCs/>
                <w:color w:val="auto"/>
                <w:szCs w:val="21"/>
                <w:highlight w:val="none"/>
              </w:rPr>
              <w:t>）</w:t>
            </w:r>
          </w:p>
          <w:p w14:paraId="3D85898A">
            <w:pPr>
              <w:pStyle w:val="3"/>
              <w:ind w:left="0" w:leftChars="0" w:firstLine="0" w:firstLineChars="0"/>
              <w:rPr>
                <w:rFonts w:hint="eastAsia" w:ascii="宋体" w:hAnsi="宋体" w:eastAsia="宋体" w:cs="宋体"/>
                <w:color w:val="auto"/>
              </w:rPr>
            </w:pPr>
            <w:r>
              <w:rPr>
                <w:rFonts w:hint="eastAsia" w:eastAsia="宋体"/>
                <w:color w:val="auto"/>
                <w:lang w:val="en-US" w:eastAsia="zh-CN"/>
              </w:rPr>
              <w:t>8</w:t>
            </w:r>
            <w:r>
              <w:rPr>
                <w:rFonts w:hint="eastAsia" w:ascii="宋体" w:hAnsi="宋体" w:eastAsia="宋体" w:cs="宋体"/>
                <w:color w:val="auto"/>
                <w:lang w:val="en-US" w:eastAsia="zh-CN"/>
              </w:rPr>
              <w:t>、</w:t>
            </w:r>
            <w:r>
              <w:rPr>
                <w:rFonts w:hint="eastAsia" w:ascii="宋体" w:hAnsi="宋体" w:eastAsia="宋体" w:cs="宋体"/>
                <w:color w:val="auto"/>
              </w:rPr>
              <w:t>除招标文件规定必须提供以外，投标人认为需要提供的其他证明材料。</w:t>
            </w:r>
          </w:p>
          <w:p w14:paraId="2DB1DF84">
            <w:pPr>
              <w:pStyle w:val="3"/>
              <w:rPr>
                <w:color w:val="auto"/>
              </w:rPr>
            </w:pPr>
          </w:p>
          <w:p w14:paraId="4A933A5A">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4FDF98C5">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tc>
      </w:tr>
      <w:tr w14:paraId="52BD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66DFA31E">
            <w:pPr>
              <w:spacing w:line="460" w:lineRule="exact"/>
              <w:jc w:val="center"/>
              <w:rPr>
                <w:rFonts w:ascii="宋体" w:hAnsi="宋体" w:cs="宋体"/>
                <w:color w:val="auto"/>
                <w:szCs w:val="21"/>
                <w:highlight w:val="none"/>
              </w:rPr>
            </w:pPr>
          </w:p>
        </w:tc>
        <w:tc>
          <w:tcPr>
            <w:tcW w:w="2069" w:type="dxa"/>
            <w:vAlign w:val="center"/>
          </w:tcPr>
          <w:p w14:paraId="14B742BF">
            <w:pPr>
              <w:snapToGrid w:val="0"/>
              <w:spacing w:line="460" w:lineRule="exact"/>
              <w:jc w:val="center"/>
              <w:rPr>
                <w:rFonts w:ascii="宋体" w:hAnsi="宋体" w:cs="宋体"/>
                <w:color w:val="auto"/>
                <w:szCs w:val="21"/>
                <w:highlight w:val="none"/>
              </w:rPr>
            </w:pPr>
            <w:bookmarkStart w:id="45" w:name="_13.3"/>
            <w:bookmarkEnd w:id="45"/>
            <w:r>
              <w:rPr>
                <w:rFonts w:hint="eastAsia" w:ascii="宋体" w:hAnsi="宋体" w:cs="宋体"/>
                <w:color w:val="auto"/>
                <w:szCs w:val="21"/>
                <w:highlight w:val="none"/>
              </w:rPr>
              <w:t>商务文件组成</w:t>
            </w:r>
          </w:p>
          <w:p w14:paraId="5717301A">
            <w:pPr>
              <w:spacing w:line="460" w:lineRule="exact"/>
              <w:jc w:val="center"/>
              <w:rPr>
                <w:rFonts w:ascii="宋体" w:hAnsi="宋体" w:cs="宋体"/>
                <w:color w:val="auto"/>
                <w:szCs w:val="21"/>
                <w:highlight w:val="none"/>
              </w:rPr>
            </w:pPr>
          </w:p>
        </w:tc>
        <w:tc>
          <w:tcPr>
            <w:tcW w:w="6976" w:type="dxa"/>
            <w:vAlign w:val="center"/>
          </w:tcPr>
          <w:p w14:paraId="4F08AB3D">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bCs/>
                <w:color w:val="auto"/>
                <w:szCs w:val="21"/>
                <w:highlight w:val="none"/>
              </w:rPr>
              <w:t>（必须提供，否则作无效投标处理）</w:t>
            </w:r>
          </w:p>
          <w:p w14:paraId="37C5B2CE">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（除自然人投标外必须提供，否则作无效投标处理）</w:t>
            </w:r>
          </w:p>
          <w:p w14:paraId="4543545F">
            <w:pPr>
              <w:snapToGrid w:val="0"/>
              <w:spacing w:line="46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bCs/>
                <w:color w:val="auto"/>
                <w:szCs w:val="21"/>
                <w:highlight w:val="none"/>
              </w:rPr>
              <w:t>（委托时必须提供，否则作无效投标处理）</w:t>
            </w:r>
          </w:p>
          <w:p w14:paraId="143BD555">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bCs/>
                <w:color w:val="auto"/>
                <w:szCs w:val="21"/>
                <w:highlight w:val="none"/>
              </w:rPr>
              <w:t>（必须提供，否则作无效投标处理）</w:t>
            </w:r>
          </w:p>
          <w:p w14:paraId="25E087D2">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、投标人情况介绍；</w:t>
            </w:r>
          </w:p>
          <w:p w14:paraId="71D70058">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投标人类似</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业绩</w:t>
            </w:r>
            <w:r>
              <w:rPr>
                <w:rFonts w:hint="eastAsia" w:ascii="宋体" w:hAnsi="宋体" w:cs="宋体"/>
                <w:color w:val="auto"/>
                <w:highlight w:val="none"/>
              </w:rPr>
              <w:t>证明文件（如有要求）；</w:t>
            </w:r>
          </w:p>
          <w:p w14:paraId="1BA4159B">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highlight w:val="none"/>
              </w:rPr>
              <w:t>其他商务文件或说明</w:t>
            </w:r>
            <w:r>
              <w:rPr>
                <w:rFonts w:hint="eastAsia" w:ascii="宋体" w:hAnsi="宋体" w:cs="宋体"/>
                <w:color w:val="auto"/>
                <w:szCs w:val="21"/>
                <w:highlight w:val="none"/>
              </w:rPr>
              <w:t>。</w:t>
            </w:r>
          </w:p>
          <w:p w14:paraId="1F877738">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752DB0A5">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1.法定代表人授权委托书必须由法定代表人及委托代理人签字，并加盖投标人电子公章，否则作无效投标处理。</w:t>
            </w:r>
          </w:p>
          <w:p w14:paraId="652BC9A1">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78A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restart"/>
            <w:vAlign w:val="center"/>
          </w:tcPr>
          <w:p w14:paraId="18740DA5">
            <w:pPr>
              <w:spacing w:line="460" w:lineRule="exact"/>
              <w:jc w:val="center"/>
              <w:rPr>
                <w:rFonts w:ascii="宋体" w:hAnsi="宋体" w:cs="宋体"/>
                <w:color w:val="auto"/>
                <w:szCs w:val="21"/>
                <w:highlight w:val="none"/>
              </w:rPr>
            </w:pPr>
          </w:p>
        </w:tc>
        <w:tc>
          <w:tcPr>
            <w:tcW w:w="2069" w:type="dxa"/>
            <w:vAlign w:val="center"/>
          </w:tcPr>
          <w:p w14:paraId="1B8DBA63">
            <w:pPr>
              <w:snapToGrid w:val="0"/>
              <w:spacing w:line="460" w:lineRule="exact"/>
              <w:jc w:val="center"/>
              <w:rPr>
                <w:rFonts w:ascii="宋体" w:hAnsi="宋体" w:cs="宋体"/>
                <w:color w:val="auto"/>
                <w:szCs w:val="21"/>
                <w:highlight w:val="none"/>
              </w:rPr>
            </w:pPr>
            <w:bookmarkStart w:id="46" w:name="_13.4"/>
            <w:bookmarkEnd w:id="46"/>
            <w:r>
              <w:rPr>
                <w:rFonts w:hint="eastAsia" w:ascii="宋体" w:hAnsi="宋体" w:cs="宋体"/>
                <w:color w:val="auto"/>
                <w:szCs w:val="21"/>
                <w:highlight w:val="none"/>
              </w:rPr>
              <w:t>技术文件组成</w:t>
            </w:r>
          </w:p>
          <w:p w14:paraId="1289E7D1">
            <w:pPr>
              <w:spacing w:line="460" w:lineRule="exact"/>
              <w:jc w:val="center"/>
              <w:rPr>
                <w:rFonts w:ascii="宋体" w:hAnsi="宋体" w:cs="宋体"/>
                <w:color w:val="auto"/>
                <w:szCs w:val="21"/>
                <w:highlight w:val="none"/>
              </w:rPr>
            </w:pPr>
          </w:p>
        </w:tc>
        <w:tc>
          <w:tcPr>
            <w:tcW w:w="6976" w:type="dxa"/>
            <w:vAlign w:val="center"/>
          </w:tcPr>
          <w:p w14:paraId="5D758054">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1、投标服务技术需求偏离表；</w:t>
            </w:r>
            <w:r>
              <w:rPr>
                <w:rFonts w:hint="eastAsia" w:ascii="宋体" w:hAnsi="宋体" w:cs="宋体"/>
                <w:b/>
                <w:bCs/>
                <w:color w:val="auto"/>
                <w:szCs w:val="21"/>
                <w:highlight w:val="none"/>
              </w:rPr>
              <w:t>（必须提供，否则作无效投标处理）</w:t>
            </w:r>
          </w:p>
          <w:p w14:paraId="1F73991D">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对本项目的常见问题分析及对应合理化措施方案；</w:t>
            </w:r>
          </w:p>
          <w:p w14:paraId="683F1A40">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3、组织实施方案；</w:t>
            </w:r>
          </w:p>
          <w:p w14:paraId="7F623199">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4、拟投入人员配备； </w:t>
            </w:r>
          </w:p>
          <w:p w14:paraId="55E09A1A">
            <w:pPr>
              <w:snapToGrid w:val="0"/>
              <w:spacing w:line="4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olor w:val="auto"/>
                <w:szCs w:val="21"/>
                <w:highlight w:val="none"/>
              </w:rPr>
              <w:t>服务</w:t>
            </w:r>
            <w:r>
              <w:rPr>
                <w:rFonts w:hint="eastAsia" w:ascii="宋体" w:hAnsi="宋体"/>
                <w:color w:val="auto"/>
                <w:szCs w:val="21"/>
                <w:highlight w:val="none"/>
                <w:lang w:val="en-US" w:eastAsia="zh-CN"/>
              </w:rPr>
              <w:t>承诺</w:t>
            </w:r>
            <w:r>
              <w:rPr>
                <w:rFonts w:hint="eastAsia" w:ascii="宋体" w:hAnsi="宋体"/>
                <w:color w:val="auto"/>
                <w:szCs w:val="21"/>
                <w:highlight w:val="none"/>
              </w:rPr>
              <w:t>方案；</w:t>
            </w:r>
            <w:r>
              <w:rPr>
                <w:rFonts w:hint="eastAsia" w:ascii="宋体" w:hAnsi="宋体"/>
                <w:b/>
                <w:color w:val="auto"/>
                <w:szCs w:val="21"/>
                <w:highlight w:val="none"/>
              </w:rPr>
              <w:t>（如有请提供）</w:t>
            </w:r>
          </w:p>
          <w:p w14:paraId="524715C8">
            <w:pPr>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、除招标文件规定必须提供以外，投标人需要说明的其他文件和说明。</w:t>
            </w:r>
          </w:p>
          <w:p w14:paraId="57B06333">
            <w:pPr>
              <w:snapToGrid w:val="0"/>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B9E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vAlign w:val="center"/>
          </w:tcPr>
          <w:p w14:paraId="0B8A06BE">
            <w:pPr>
              <w:spacing w:line="460" w:lineRule="exact"/>
              <w:jc w:val="center"/>
              <w:rPr>
                <w:rFonts w:ascii="宋体" w:hAnsi="宋体" w:cs="宋体"/>
                <w:color w:val="auto"/>
                <w:szCs w:val="21"/>
                <w:highlight w:val="none"/>
              </w:rPr>
            </w:pPr>
          </w:p>
        </w:tc>
        <w:tc>
          <w:tcPr>
            <w:tcW w:w="2069" w:type="dxa"/>
            <w:vAlign w:val="center"/>
          </w:tcPr>
          <w:p w14:paraId="2FD241E2">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报价文件组成</w:t>
            </w:r>
          </w:p>
        </w:tc>
        <w:tc>
          <w:tcPr>
            <w:tcW w:w="6976" w:type="dxa"/>
            <w:vAlign w:val="center"/>
          </w:tcPr>
          <w:p w14:paraId="189983F3">
            <w:pPr>
              <w:tabs>
                <w:tab w:val="left" w:pos="459"/>
              </w:tabs>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0E093D0A">
            <w:pPr>
              <w:tabs>
                <w:tab w:val="left" w:pos="459"/>
              </w:tabs>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bCs/>
                <w:color w:val="auto"/>
                <w:szCs w:val="21"/>
                <w:highlight w:val="none"/>
              </w:rPr>
              <w:t>（必须提供，否则作无效投标处理）</w:t>
            </w:r>
          </w:p>
          <w:p w14:paraId="245AA2AF">
            <w:pPr>
              <w:tabs>
                <w:tab w:val="left" w:pos="459"/>
              </w:tabs>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w:t>
            </w:r>
          </w:p>
        </w:tc>
      </w:tr>
      <w:tr w14:paraId="7EBF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0EB964D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069" w:type="dxa"/>
            <w:vAlign w:val="center"/>
          </w:tcPr>
          <w:p w14:paraId="7DD86144">
            <w:pPr>
              <w:spacing w:line="460" w:lineRule="exact"/>
              <w:jc w:val="center"/>
              <w:rPr>
                <w:rFonts w:ascii="宋体" w:hAnsi="宋体" w:cs="宋体"/>
                <w:color w:val="auto"/>
                <w:szCs w:val="21"/>
                <w:highlight w:val="none"/>
              </w:rPr>
            </w:pPr>
            <w:bookmarkStart w:id="47" w:name="_16.2"/>
            <w:bookmarkEnd w:id="47"/>
            <w:r>
              <w:rPr>
                <w:rFonts w:hint="eastAsia" w:ascii="宋体" w:hAnsi="宋体" w:cs="宋体"/>
                <w:color w:val="auto"/>
                <w:szCs w:val="21"/>
                <w:highlight w:val="none"/>
              </w:rPr>
              <w:t>投标报价要求</w:t>
            </w:r>
          </w:p>
        </w:tc>
        <w:tc>
          <w:tcPr>
            <w:tcW w:w="6976" w:type="dxa"/>
            <w:vAlign w:val="center"/>
          </w:tcPr>
          <w:p w14:paraId="49ED2870">
            <w:pPr>
              <w:spacing w:line="440" w:lineRule="exact"/>
              <w:ind w:right="149" w:rightChars="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投标报价是履行合同的最终价格，必须包含满足本次投标全部采购需求所应提供的服务（1）</w:t>
            </w:r>
            <w:r>
              <w:rPr>
                <w:rFonts w:hint="eastAsia" w:ascii="宋体" w:hAnsi="宋体" w:cs="宋体"/>
                <w:b w:val="0"/>
                <w:bCs w:val="0"/>
                <w:color w:val="auto"/>
                <w:kern w:val="0"/>
                <w:szCs w:val="21"/>
                <w:lang w:val="en-US" w:eastAsia="zh-CN" w:bidi="ar"/>
              </w:rPr>
              <w:t>服务的价格</w:t>
            </w:r>
            <w:r>
              <w:rPr>
                <w:rFonts w:hint="eastAsia" w:ascii="宋体" w:hAnsi="宋体" w:cs="宋体"/>
                <w:color w:val="auto"/>
                <w:szCs w:val="21"/>
                <w:highlight w:val="none"/>
              </w:rPr>
              <w:t>；（2）</w:t>
            </w:r>
            <w:r>
              <w:rPr>
                <w:rFonts w:hint="eastAsia" w:ascii="宋体" w:hAnsi="宋体" w:cs="宋体"/>
                <w:b w:val="0"/>
                <w:bCs w:val="0"/>
                <w:color w:val="auto"/>
                <w:kern w:val="0"/>
                <w:szCs w:val="21"/>
                <w:lang w:val="en-US" w:eastAsia="zh-CN" w:bidi="ar"/>
              </w:rPr>
              <w:t>必要的保险费用和各项税金</w:t>
            </w:r>
            <w:r>
              <w:rPr>
                <w:rFonts w:hint="eastAsia" w:ascii="宋体" w:hAnsi="宋体" w:cs="宋体"/>
                <w:color w:val="auto"/>
                <w:szCs w:val="21"/>
                <w:highlight w:val="none"/>
              </w:rPr>
              <w:t>；（3）</w:t>
            </w:r>
            <w:r>
              <w:rPr>
                <w:rFonts w:hint="eastAsia" w:ascii="宋体" w:hAnsi="宋体" w:cs="宋体"/>
                <w:b w:val="0"/>
                <w:bCs w:val="0"/>
                <w:color w:val="auto"/>
                <w:kern w:val="0"/>
                <w:szCs w:val="21"/>
                <w:lang w:val="en-US" w:eastAsia="zh-CN" w:bidi="ar"/>
              </w:rPr>
              <w:t>其他(如运输、装卸、安装、调试、培训、技术支持、售后服务、更新升级等费用，根据项目具体情况填写):实施和完成本项目全部服务工作所需的设备、劳务、技术服务费、交通、通讯、办公场地、税费和利润等与造价咨询服务业务有关一切费用和政策性文件规定及合同包含的所有风险、责任等各项应有的费用</w:t>
            </w:r>
            <w:r>
              <w:rPr>
                <w:rFonts w:hint="eastAsia" w:ascii="宋体" w:hAnsi="宋体" w:cs="宋体"/>
                <w:color w:val="auto"/>
                <w:szCs w:val="21"/>
                <w:highlight w:val="none"/>
                <w:lang w:eastAsia="zh-CN"/>
              </w:rPr>
              <w:t>。</w:t>
            </w:r>
          </w:p>
        </w:tc>
      </w:tr>
      <w:tr w14:paraId="2DDC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665C62A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17.2</w:t>
            </w:r>
          </w:p>
        </w:tc>
        <w:tc>
          <w:tcPr>
            <w:tcW w:w="2069" w:type="dxa"/>
            <w:vAlign w:val="center"/>
          </w:tcPr>
          <w:p w14:paraId="753C2C06">
            <w:pPr>
              <w:spacing w:line="460" w:lineRule="exact"/>
              <w:jc w:val="center"/>
              <w:rPr>
                <w:rFonts w:ascii="宋体" w:hAnsi="宋体" w:cs="宋体"/>
                <w:color w:val="auto"/>
                <w:szCs w:val="21"/>
                <w:highlight w:val="none"/>
              </w:rPr>
            </w:pPr>
            <w:bookmarkStart w:id="48" w:name="_17.1"/>
            <w:bookmarkEnd w:id="48"/>
            <w:r>
              <w:rPr>
                <w:rFonts w:hint="eastAsia" w:ascii="宋体" w:hAnsi="宋体" w:cs="宋体"/>
                <w:color w:val="auto"/>
                <w:szCs w:val="21"/>
                <w:highlight w:val="none"/>
              </w:rPr>
              <w:t>投标有效期</w:t>
            </w:r>
          </w:p>
        </w:tc>
        <w:tc>
          <w:tcPr>
            <w:tcW w:w="6976" w:type="dxa"/>
            <w:vAlign w:val="center"/>
          </w:tcPr>
          <w:p w14:paraId="19AB0A28">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27A2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40A695D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2069" w:type="dxa"/>
            <w:vAlign w:val="center"/>
          </w:tcPr>
          <w:p w14:paraId="2F023AD0">
            <w:pPr>
              <w:spacing w:line="460" w:lineRule="exact"/>
              <w:jc w:val="center"/>
              <w:rPr>
                <w:rFonts w:ascii="宋体" w:hAnsi="宋体" w:cs="宋体"/>
                <w:color w:val="auto"/>
                <w:szCs w:val="21"/>
                <w:highlight w:val="none"/>
              </w:rPr>
            </w:pPr>
            <w:bookmarkStart w:id="49" w:name="_18"/>
            <w:bookmarkEnd w:id="49"/>
            <w:r>
              <w:rPr>
                <w:rFonts w:hint="eastAsia" w:ascii="宋体" w:hAnsi="宋体" w:cs="宋体"/>
                <w:color w:val="auto"/>
                <w:szCs w:val="21"/>
                <w:highlight w:val="none"/>
              </w:rPr>
              <w:t>投标保证金金额</w:t>
            </w:r>
          </w:p>
        </w:tc>
        <w:tc>
          <w:tcPr>
            <w:tcW w:w="6976" w:type="dxa"/>
            <w:vAlign w:val="center"/>
          </w:tcPr>
          <w:p w14:paraId="1D9DF0BE">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41DE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3FCCF42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069" w:type="dxa"/>
            <w:vAlign w:val="center"/>
          </w:tcPr>
          <w:p w14:paraId="4329064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6976" w:type="dxa"/>
            <w:vAlign w:val="center"/>
          </w:tcPr>
          <w:p w14:paraId="7B123BDA">
            <w:pPr>
              <w:spacing w:line="460" w:lineRule="exact"/>
              <w:rPr>
                <w:rFonts w:ascii="宋体" w:hAnsi="宋体" w:cs="宋体"/>
                <w:color w:val="auto"/>
                <w:szCs w:val="21"/>
                <w:highlight w:val="non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2E32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3827115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2069" w:type="dxa"/>
            <w:vAlign w:val="center"/>
          </w:tcPr>
          <w:p w14:paraId="11833CB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备份投标文件</w:t>
            </w:r>
          </w:p>
        </w:tc>
        <w:tc>
          <w:tcPr>
            <w:tcW w:w="6976" w:type="dxa"/>
            <w:vAlign w:val="center"/>
          </w:tcPr>
          <w:p w14:paraId="7FBCF9AA">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4E8D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74" w:type="dxa"/>
            <w:vMerge w:val="restart"/>
            <w:vAlign w:val="center"/>
          </w:tcPr>
          <w:p w14:paraId="10AFB42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2069" w:type="dxa"/>
            <w:vAlign w:val="center"/>
          </w:tcPr>
          <w:p w14:paraId="51B72733">
            <w:pPr>
              <w:spacing w:line="460" w:lineRule="exact"/>
              <w:jc w:val="center"/>
              <w:rPr>
                <w:rFonts w:ascii="宋体" w:hAnsi="宋体" w:cs="宋体"/>
                <w:color w:val="auto"/>
                <w:szCs w:val="21"/>
                <w:highlight w:val="none"/>
              </w:rPr>
            </w:pPr>
            <w:bookmarkStart w:id="50" w:name="_21.1"/>
            <w:bookmarkEnd w:id="50"/>
            <w:r>
              <w:rPr>
                <w:rFonts w:hint="eastAsia" w:ascii="宋体" w:hAnsi="宋体" w:cs="宋体"/>
                <w:color w:val="auto"/>
                <w:szCs w:val="21"/>
                <w:highlight w:val="none"/>
              </w:rPr>
              <w:t>投标截止时间</w:t>
            </w:r>
          </w:p>
        </w:tc>
        <w:tc>
          <w:tcPr>
            <w:tcW w:w="6976" w:type="dxa"/>
            <w:vAlign w:val="center"/>
          </w:tcPr>
          <w:p w14:paraId="06EE145F">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013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4" w:type="dxa"/>
            <w:vMerge w:val="continue"/>
            <w:vAlign w:val="center"/>
          </w:tcPr>
          <w:p w14:paraId="3B20DBE7">
            <w:pPr>
              <w:spacing w:line="460" w:lineRule="exact"/>
              <w:jc w:val="center"/>
              <w:rPr>
                <w:rFonts w:ascii="宋体" w:hAnsi="宋体" w:cs="宋体"/>
                <w:color w:val="auto"/>
                <w:szCs w:val="21"/>
                <w:highlight w:val="none"/>
              </w:rPr>
            </w:pPr>
          </w:p>
        </w:tc>
        <w:tc>
          <w:tcPr>
            <w:tcW w:w="2069" w:type="dxa"/>
            <w:vAlign w:val="center"/>
          </w:tcPr>
          <w:p w14:paraId="56949C1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6976" w:type="dxa"/>
            <w:vAlign w:val="center"/>
          </w:tcPr>
          <w:p w14:paraId="6B842978">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E3F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4" w:type="dxa"/>
            <w:vMerge w:val="continue"/>
            <w:vAlign w:val="center"/>
          </w:tcPr>
          <w:p w14:paraId="424DA20A">
            <w:pPr>
              <w:spacing w:line="460" w:lineRule="exact"/>
              <w:jc w:val="center"/>
              <w:rPr>
                <w:rFonts w:ascii="宋体" w:hAnsi="宋体" w:cs="宋体"/>
                <w:color w:val="auto"/>
                <w:szCs w:val="21"/>
                <w:highlight w:val="none"/>
              </w:rPr>
            </w:pPr>
          </w:p>
        </w:tc>
        <w:tc>
          <w:tcPr>
            <w:tcW w:w="2069" w:type="dxa"/>
            <w:vAlign w:val="center"/>
          </w:tcPr>
          <w:p w14:paraId="7DB4A91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投标地点</w:t>
            </w:r>
          </w:p>
        </w:tc>
        <w:tc>
          <w:tcPr>
            <w:tcW w:w="6976" w:type="dxa"/>
            <w:vAlign w:val="center"/>
          </w:tcPr>
          <w:p w14:paraId="50ACCB17">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1BD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4" w:type="dxa"/>
            <w:vMerge w:val="continue"/>
            <w:vAlign w:val="center"/>
          </w:tcPr>
          <w:p w14:paraId="3C3012C2">
            <w:pPr>
              <w:spacing w:line="460" w:lineRule="exact"/>
              <w:jc w:val="center"/>
              <w:rPr>
                <w:rFonts w:ascii="宋体" w:hAnsi="宋体" w:cs="宋体"/>
                <w:color w:val="auto"/>
                <w:szCs w:val="21"/>
                <w:highlight w:val="none"/>
              </w:rPr>
            </w:pPr>
          </w:p>
        </w:tc>
        <w:tc>
          <w:tcPr>
            <w:tcW w:w="2069" w:type="dxa"/>
            <w:vAlign w:val="center"/>
          </w:tcPr>
          <w:p w14:paraId="253CFA6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6976" w:type="dxa"/>
            <w:vAlign w:val="center"/>
          </w:tcPr>
          <w:p w14:paraId="328D516E">
            <w:pPr>
              <w:snapToGrid w:val="0"/>
              <w:spacing w:line="46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/年/月 /日/ 时 /分</w:t>
            </w:r>
            <w:r>
              <w:rPr>
                <w:rFonts w:hint="eastAsia" w:ascii="宋体" w:hAnsi="宋体" w:cs="宋体"/>
                <w:bCs/>
                <w:color w:val="auto"/>
                <w:szCs w:val="21"/>
                <w:highlight w:val="none"/>
              </w:rPr>
              <w:t>（北京时间）</w:t>
            </w:r>
          </w:p>
          <w:p w14:paraId="2694C8A5">
            <w:pPr>
              <w:snapToGrid w:val="0"/>
              <w:spacing w:line="460" w:lineRule="exact"/>
              <w:rPr>
                <w:rFonts w:ascii="宋体" w:hAnsi="宋体" w:cs="宋体"/>
                <w:bCs/>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7100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4A33E42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2069" w:type="dxa"/>
            <w:vAlign w:val="center"/>
          </w:tcPr>
          <w:p w14:paraId="7DB14EB4">
            <w:pPr>
              <w:spacing w:line="460" w:lineRule="exact"/>
              <w:jc w:val="center"/>
              <w:rPr>
                <w:rFonts w:ascii="宋体" w:hAnsi="宋体" w:cs="宋体"/>
                <w:color w:val="auto"/>
                <w:szCs w:val="21"/>
                <w:highlight w:val="none"/>
              </w:rPr>
            </w:pPr>
            <w:bookmarkStart w:id="51" w:name="_23"/>
            <w:bookmarkEnd w:id="51"/>
            <w:r>
              <w:rPr>
                <w:rFonts w:hint="eastAsia" w:ascii="宋体" w:hAnsi="宋体" w:cs="宋体"/>
                <w:color w:val="auto"/>
                <w:szCs w:val="21"/>
                <w:highlight w:val="none"/>
              </w:rPr>
              <w:t>开标时间、地点</w:t>
            </w:r>
          </w:p>
        </w:tc>
        <w:tc>
          <w:tcPr>
            <w:tcW w:w="6976" w:type="dxa"/>
            <w:vAlign w:val="center"/>
          </w:tcPr>
          <w:p w14:paraId="6DFFE923">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11FE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74" w:type="dxa"/>
            <w:vMerge w:val="restart"/>
            <w:vAlign w:val="center"/>
          </w:tcPr>
          <w:p w14:paraId="3925041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25.3（2）</w:t>
            </w:r>
          </w:p>
        </w:tc>
        <w:tc>
          <w:tcPr>
            <w:tcW w:w="2069" w:type="dxa"/>
            <w:vAlign w:val="center"/>
          </w:tcPr>
          <w:p w14:paraId="5131AB83">
            <w:pPr>
              <w:spacing w:line="460" w:lineRule="exact"/>
              <w:jc w:val="center"/>
              <w:rPr>
                <w:rFonts w:ascii="宋体" w:hAnsi="宋体" w:cs="宋体"/>
                <w:color w:val="auto"/>
                <w:szCs w:val="21"/>
                <w:highlight w:val="none"/>
              </w:rPr>
            </w:pPr>
            <w:bookmarkStart w:id="52" w:name="_25.3"/>
            <w:bookmarkEnd w:id="52"/>
            <w:r>
              <w:rPr>
                <w:rFonts w:hint="eastAsia" w:ascii="宋体" w:hAnsi="宋体" w:cs="宋体"/>
                <w:color w:val="auto"/>
                <w:szCs w:val="21"/>
                <w:highlight w:val="none"/>
              </w:rPr>
              <w:t>投标人信用查询渠道</w:t>
            </w:r>
          </w:p>
        </w:tc>
        <w:tc>
          <w:tcPr>
            <w:tcW w:w="6976" w:type="dxa"/>
            <w:vAlign w:val="center"/>
          </w:tcPr>
          <w:p w14:paraId="40197498">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72469BC7">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6194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4" w:type="dxa"/>
            <w:vMerge w:val="continue"/>
            <w:vAlign w:val="center"/>
          </w:tcPr>
          <w:p w14:paraId="5557D8A5">
            <w:pPr>
              <w:spacing w:line="460" w:lineRule="exact"/>
              <w:jc w:val="center"/>
              <w:rPr>
                <w:rFonts w:ascii="宋体" w:hAnsi="宋体" w:cs="宋体"/>
                <w:color w:val="auto"/>
                <w:szCs w:val="21"/>
                <w:highlight w:val="none"/>
              </w:rPr>
            </w:pPr>
          </w:p>
        </w:tc>
        <w:tc>
          <w:tcPr>
            <w:tcW w:w="2069" w:type="dxa"/>
            <w:vAlign w:val="center"/>
          </w:tcPr>
          <w:p w14:paraId="7BF7A65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6976" w:type="dxa"/>
            <w:vAlign w:val="center"/>
          </w:tcPr>
          <w:p w14:paraId="46924C7E">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7C7B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4" w:type="dxa"/>
            <w:vMerge w:val="continue"/>
            <w:vAlign w:val="center"/>
          </w:tcPr>
          <w:p w14:paraId="7939137A">
            <w:pPr>
              <w:spacing w:line="460" w:lineRule="exact"/>
              <w:jc w:val="center"/>
              <w:rPr>
                <w:rFonts w:ascii="宋体" w:hAnsi="宋体" w:cs="宋体"/>
                <w:color w:val="auto"/>
                <w:szCs w:val="21"/>
                <w:highlight w:val="none"/>
              </w:rPr>
            </w:pPr>
          </w:p>
        </w:tc>
        <w:tc>
          <w:tcPr>
            <w:tcW w:w="2069" w:type="dxa"/>
            <w:vAlign w:val="center"/>
          </w:tcPr>
          <w:p w14:paraId="3B6AF2C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76" w:type="dxa"/>
            <w:vAlign w:val="center"/>
          </w:tcPr>
          <w:p w14:paraId="490FC2FC">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在查询网站中直接截图查询记录，截图在“政采云”平台作为附件上传保存。</w:t>
            </w:r>
          </w:p>
        </w:tc>
      </w:tr>
      <w:tr w14:paraId="5195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74" w:type="dxa"/>
            <w:vMerge w:val="continue"/>
            <w:vAlign w:val="center"/>
          </w:tcPr>
          <w:p w14:paraId="51AD5FFF">
            <w:pPr>
              <w:spacing w:line="460" w:lineRule="exact"/>
              <w:jc w:val="center"/>
              <w:rPr>
                <w:rFonts w:ascii="宋体" w:hAnsi="宋体" w:cs="宋体"/>
                <w:color w:val="auto"/>
                <w:szCs w:val="21"/>
                <w:highlight w:val="none"/>
              </w:rPr>
            </w:pPr>
          </w:p>
        </w:tc>
        <w:tc>
          <w:tcPr>
            <w:tcW w:w="2069" w:type="dxa"/>
            <w:vAlign w:val="center"/>
          </w:tcPr>
          <w:p w14:paraId="288A1D1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6976" w:type="dxa"/>
            <w:vAlign w:val="center"/>
          </w:tcPr>
          <w:p w14:paraId="17680E37">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21F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06E6957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2069" w:type="dxa"/>
            <w:vAlign w:val="center"/>
          </w:tcPr>
          <w:p w14:paraId="5181C66D">
            <w:pPr>
              <w:spacing w:line="460" w:lineRule="exact"/>
              <w:jc w:val="center"/>
              <w:rPr>
                <w:rFonts w:ascii="宋体" w:hAnsi="宋体" w:cs="宋体"/>
                <w:color w:val="auto"/>
                <w:szCs w:val="21"/>
                <w:highlight w:val="none"/>
              </w:rPr>
            </w:pPr>
            <w:bookmarkStart w:id="53" w:name="_28.3"/>
            <w:bookmarkEnd w:id="53"/>
            <w:bookmarkStart w:id="54" w:name="_26"/>
            <w:bookmarkEnd w:id="54"/>
            <w:r>
              <w:rPr>
                <w:rFonts w:hint="eastAsia" w:ascii="宋体" w:hAnsi="宋体" w:cs="宋体"/>
                <w:color w:val="auto"/>
                <w:szCs w:val="21"/>
                <w:highlight w:val="none"/>
              </w:rPr>
              <w:t>评标方法</w:t>
            </w:r>
          </w:p>
        </w:tc>
        <w:tc>
          <w:tcPr>
            <w:tcW w:w="6976" w:type="dxa"/>
            <w:vAlign w:val="center"/>
          </w:tcPr>
          <w:p w14:paraId="2DF53653">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综合评分法</w:t>
            </w:r>
          </w:p>
          <w:p w14:paraId="16A969B7">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□最低评标价法</w:t>
            </w:r>
          </w:p>
        </w:tc>
      </w:tr>
      <w:tr w14:paraId="6D30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74" w:type="dxa"/>
            <w:vAlign w:val="center"/>
          </w:tcPr>
          <w:p w14:paraId="5BE0B2CD">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29.2</w:t>
            </w:r>
          </w:p>
        </w:tc>
        <w:tc>
          <w:tcPr>
            <w:tcW w:w="2069" w:type="dxa"/>
            <w:vAlign w:val="center"/>
          </w:tcPr>
          <w:p w14:paraId="1EBEBF04">
            <w:pPr>
              <w:spacing w:line="460" w:lineRule="exact"/>
              <w:jc w:val="center"/>
              <w:rPr>
                <w:rFonts w:ascii="宋体" w:hAnsi="宋体" w:cs="宋体"/>
                <w:color w:val="auto"/>
                <w:szCs w:val="21"/>
                <w:highlight w:val="none"/>
              </w:rPr>
            </w:pPr>
            <w:bookmarkStart w:id="55" w:name="_29.2.2（2）"/>
            <w:bookmarkEnd w:id="55"/>
            <w:r>
              <w:rPr>
                <w:rFonts w:hint="eastAsia" w:ascii="宋体" w:hAnsi="宋体" w:cs="宋体"/>
                <w:color w:val="auto"/>
                <w:szCs w:val="21"/>
                <w:highlight w:val="none"/>
              </w:rPr>
              <w:t>允许负偏离项</w:t>
            </w:r>
          </w:p>
        </w:tc>
        <w:tc>
          <w:tcPr>
            <w:tcW w:w="6976" w:type="dxa"/>
            <w:vAlign w:val="center"/>
          </w:tcPr>
          <w:p w14:paraId="2A64C7E1">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p>
          <w:p w14:paraId="732AFC4F">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项。</w:t>
            </w:r>
          </w:p>
        </w:tc>
      </w:tr>
      <w:tr w14:paraId="4D92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174CF0D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2069" w:type="dxa"/>
            <w:vAlign w:val="center"/>
          </w:tcPr>
          <w:p w14:paraId="7A7354F7">
            <w:pPr>
              <w:autoSpaceDE w:val="0"/>
              <w:autoSpaceDN w:val="0"/>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确定中标人时，出现中标候选人分数并列的情形，确定中标人方式</w:t>
            </w:r>
          </w:p>
        </w:tc>
        <w:tc>
          <w:tcPr>
            <w:tcW w:w="6976" w:type="dxa"/>
            <w:vAlign w:val="center"/>
          </w:tcPr>
          <w:p w14:paraId="496183E9">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59600203">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采用综合评分法的，按综合得分由高到低顺序排列。若综合得分相同的，按投标报价由低到高顺序排列。若综合得分且投标报价相同的，货物类采购项目以技术性能得分较高者为先，服务类采购项目以实力信誉及业绩得分较高者为先。投标文件满足招标文件全部实质性要求，且按照评审因素的量化指标综合评审得分最高的投标人为排名第一的中标候选人。</w:t>
            </w:r>
          </w:p>
        </w:tc>
      </w:tr>
      <w:tr w14:paraId="780E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74" w:type="dxa"/>
            <w:vAlign w:val="center"/>
          </w:tcPr>
          <w:p w14:paraId="49F9424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069" w:type="dxa"/>
            <w:vAlign w:val="center"/>
          </w:tcPr>
          <w:p w14:paraId="2B36656E">
            <w:pPr>
              <w:spacing w:line="460" w:lineRule="exact"/>
              <w:jc w:val="center"/>
              <w:rPr>
                <w:rFonts w:ascii="宋体" w:hAnsi="宋体" w:cs="宋体"/>
                <w:color w:val="auto"/>
                <w:szCs w:val="21"/>
                <w:highlight w:val="none"/>
              </w:rPr>
            </w:pPr>
            <w:bookmarkStart w:id="56" w:name="_39.1"/>
            <w:bookmarkEnd w:id="56"/>
            <w:r>
              <w:rPr>
                <w:rFonts w:hint="eastAsia" w:ascii="宋体" w:hAnsi="宋体" w:cs="宋体"/>
                <w:color w:val="auto"/>
                <w:szCs w:val="21"/>
                <w:highlight w:val="none"/>
              </w:rPr>
              <w:t>履约保证金金额</w:t>
            </w:r>
          </w:p>
        </w:tc>
        <w:tc>
          <w:tcPr>
            <w:tcW w:w="6976" w:type="dxa"/>
            <w:vAlign w:val="bottom"/>
          </w:tcPr>
          <w:p w14:paraId="63CBFC70">
            <w:pPr>
              <w:autoSpaceDE w:val="0"/>
              <w:autoSpaceDN w:val="0"/>
              <w:snapToGrid w:val="0"/>
              <w:spacing w:line="460" w:lineRule="exact"/>
              <w:jc w:val="left"/>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7D2A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766E88F4">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069" w:type="dxa"/>
            <w:vAlign w:val="center"/>
          </w:tcPr>
          <w:p w14:paraId="1235F1E9">
            <w:pPr>
              <w:spacing w:line="460" w:lineRule="exact"/>
              <w:jc w:val="center"/>
              <w:rPr>
                <w:rFonts w:ascii="宋体" w:hAnsi="宋体" w:cs="宋体"/>
                <w:color w:val="auto"/>
                <w:szCs w:val="21"/>
                <w:highlight w:val="none"/>
              </w:rPr>
            </w:pPr>
            <w:bookmarkStart w:id="57" w:name="_40.1"/>
            <w:bookmarkEnd w:id="57"/>
            <w:r>
              <w:rPr>
                <w:rFonts w:hint="eastAsia" w:ascii="宋体" w:hAnsi="宋体" w:cs="宋体"/>
                <w:color w:val="auto"/>
                <w:szCs w:val="21"/>
                <w:highlight w:val="none"/>
              </w:rPr>
              <w:t>签订电子合同携带的材料</w:t>
            </w:r>
          </w:p>
        </w:tc>
        <w:tc>
          <w:tcPr>
            <w:tcW w:w="6976" w:type="dxa"/>
            <w:vAlign w:val="center"/>
          </w:tcPr>
          <w:p w14:paraId="1BD40E9D">
            <w:pPr>
              <w:autoSpaceDE w:val="0"/>
              <w:autoSpaceDN w:val="0"/>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电子采购合同需要供应商通过有效CA证书进行电子签名与签章</w:t>
            </w:r>
          </w:p>
        </w:tc>
      </w:tr>
      <w:tr w14:paraId="6B5B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74" w:type="dxa"/>
            <w:vMerge w:val="restart"/>
            <w:vAlign w:val="center"/>
          </w:tcPr>
          <w:p w14:paraId="321CE50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38.2.1</w:t>
            </w:r>
          </w:p>
        </w:tc>
        <w:tc>
          <w:tcPr>
            <w:tcW w:w="2069" w:type="dxa"/>
            <w:vAlign w:val="center"/>
          </w:tcPr>
          <w:p w14:paraId="6E5A5568">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976" w:type="dxa"/>
            <w:vAlign w:val="center"/>
          </w:tcPr>
          <w:p w14:paraId="30AD3CBE">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5E78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4" w:type="dxa"/>
            <w:vMerge w:val="continue"/>
            <w:vAlign w:val="center"/>
          </w:tcPr>
          <w:p w14:paraId="18597524">
            <w:pPr>
              <w:spacing w:line="460" w:lineRule="exact"/>
              <w:jc w:val="center"/>
              <w:rPr>
                <w:rFonts w:ascii="宋体" w:hAnsi="宋体" w:cs="宋体"/>
                <w:color w:val="auto"/>
                <w:szCs w:val="21"/>
                <w:highlight w:val="none"/>
              </w:rPr>
            </w:pPr>
          </w:p>
        </w:tc>
        <w:tc>
          <w:tcPr>
            <w:tcW w:w="2069" w:type="dxa"/>
            <w:vAlign w:val="center"/>
          </w:tcPr>
          <w:p w14:paraId="74F1928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76" w:type="dxa"/>
            <w:vAlign w:val="center"/>
          </w:tcPr>
          <w:p w14:paraId="58AA617F">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广西华进项目管理有限公司</w:t>
            </w:r>
            <w:r>
              <w:rPr>
                <w:rFonts w:hint="eastAsia" w:ascii="宋体" w:hAnsi="宋体" w:cs="宋体"/>
                <w:color w:val="auto"/>
                <w:szCs w:val="21"/>
                <w:highlight w:val="none"/>
              </w:rPr>
              <w:t>；</w:t>
            </w:r>
          </w:p>
          <w:p w14:paraId="065DF7AE">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联系电话：0771-</w:t>
            </w:r>
            <w:r>
              <w:rPr>
                <w:rFonts w:hint="eastAsia" w:ascii="宋体" w:hAnsi="宋体" w:cs="宋体"/>
                <w:color w:val="auto"/>
                <w:szCs w:val="21"/>
                <w:highlight w:val="none"/>
                <w:lang w:val="en-US" w:eastAsia="zh-CN"/>
              </w:rPr>
              <w:t>5523193</w:t>
            </w:r>
            <w:r>
              <w:rPr>
                <w:rFonts w:hint="eastAsia" w:ascii="宋体" w:hAnsi="宋体" w:cs="宋体"/>
                <w:color w:val="auto"/>
                <w:szCs w:val="21"/>
                <w:highlight w:val="none"/>
              </w:rPr>
              <w:t>；</w:t>
            </w:r>
          </w:p>
          <w:p w14:paraId="5E187490">
            <w:pPr>
              <w:snapToGrid w:val="0"/>
              <w:spacing w:line="460" w:lineRule="exact"/>
              <w:rPr>
                <w:rFonts w:ascii="宋体" w:hAnsi="宋体" w:cs="宋体"/>
                <w:color w:val="auto"/>
                <w:szCs w:val="21"/>
                <w:highlight w:val="none"/>
              </w:rPr>
            </w:pPr>
            <w:bookmarkStart w:id="58" w:name="PO_3000001866_PM035"/>
            <w:bookmarkEnd w:id="58"/>
            <w:r>
              <w:rPr>
                <w:rFonts w:hint="eastAsia" w:ascii="宋体" w:hAnsi="宋体" w:cs="宋体"/>
                <w:color w:val="auto"/>
                <w:szCs w:val="21"/>
                <w:highlight w:val="none"/>
              </w:rPr>
              <w:t>通讯地址：</w:t>
            </w:r>
            <w:r>
              <w:rPr>
                <w:rFonts w:hint="eastAsia" w:ascii="宋体" w:hAnsi="宋体" w:cs="宋体"/>
                <w:color w:val="auto"/>
                <w:szCs w:val="21"/>
                <w:highlight w:val="none"/>
                <w:lang w:val="en-US" w:eastAsia="zh-CN"/>
              </w:rPr>
              <w:t>南宁市青秀区金浦路26-1号东方国际商务港A座1510</w:t>
            </w:r>
            <w:r>
              <w:rPr>
                <w:rFonts w:hint="eastAsia" w:ascii="宋体" w:hAnsi="宋体" w:cs="宋体"/>
                <w:color w:val="auto"/>
                <w:szCs w:val="21"/>
                <w:highlight w:val="none"/>
              </w:rPr>
              <w:t>。</w:t>
            </w:r>
          </w:p>
          <w:p w14:paraId="69CF3A3A">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南宁市青秀区住房和城乡建设局</w:t>
            </w:r>
            <w:r>
              <w:rPr>
                <w:rFonts w:hint="eastAsia" w:ascii="宋体" w:hAnsi="宋体" w:cs="宋体"/>
                <w:color w:val="auto"/>
                <w:szCs w:val="21"/>
                <w:highlight w:val="none"/>
              </w:rPr>
              <w:t>；</w:t>
            </w:r>
          </w:p>
          <w:p w14:paraId="5180BD4C">
            <w:pPr>
              <w:snapToGrid w:val="0"/>
              <w:spacing w:line="460" w:lineRule="exact"/>
              <w:rPr>
                <w:rFonts w:ascii="宋体" w:hAnsi="宋体" w:cs="宋体"/>
                <w:color w:val="auto"/>
                <w:szCs w:val="21"/>
                <w:highlight w:val="none"/>
              </w:rPr>
            </w:pPr>
            <w:bookmarkStart w:id="59" w:name="PO_3000001866_PM028_1"/>
            <w:bookmarkEnd w:id="59"/>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0771-5826353</w:t>
            </w:r>
            <w:r>
              <w:rPr>
                <w:rFonts w:hint="eastAsia" w:ascii="宋体" w:hAnsi="宋体" w:cs="宋体"/>
                <w:color w:val="auto"/>
                <w:szCs w:val="21"/>
                <w:highlight w:val="none"/>
              </w:rPr>
              <w:t>；</w:t>
            </w:r>
          </w:p>
          <w:p w14:paraId="507F147C">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通讯地址：南宁市青秀区悦宾路1号 。</w:t>
            </w:r>
          </w:p>
        </w:tc>
      </w:tr>
      <w:tr w14:paraId="59E6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4" w:type="dxa"/>
            <w:vMerge w:val="continue"/>
            <w:vAlign w:val="center"/>
          </w:tcPr>
          <w:p w14:paraId="26AB479F">
            <w:pPr>
              <w:spacing w:line="460" w:lineRule="exact"/>
              <w:jc w:val="center"/>
              <w:rPr>
                <w:rFonts w:ascii="宋体" w:hAnsi="宋体" w:cs="宋体"/>
                <w:color w:val="auto"/>
                <w:szCs w:val="21"/>
                <w:highlight w:val="none"/>
              </w:rPr>
            </w:pPr>
          </w:p>
        </w:tc>
        <w:tc>
          <w:tcPr>
            <w:tcW w:w="2069" w:type="dxa"/>
            <w:vAlign w:val="center"/>
          </w:tcPr>
          <w:p w14:paraId="1E3FC5F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76" w:type="dxa"/>
            <w:vAlign w:val="center"/>
          </w:tcPr>
          <w:p w14:paraId="1BA5AFA2">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08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66C8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74" w:type="dxa"/>
            <w:vAlign w:val="center"/>
          </w:tcPr>
          <w:p w14:paraId="4B8E256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38.3.1</w:t>
            </w:r>
          </w:p>
        </w:tc>
        <w:tc>
          <w:tcPr>
            <w:tcW w:w="2069" w:type="dxa"/>
            <w:vAlign w:val="center"/>
          </w:tcPr>
          <w:p w14:paraId="6437F53B">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投诉受理方式</w:t>
            </w:r>
          </w:p>
        </w:tc>
        <w:tc>
          <w:tcPr>
            <w:tcW w:w="6976" w:type="dxa"/>
            <w:vAlign w:val="center"/>
          </w:tcPr>
          <w:p w14:paraId="118B90E6">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4862F408">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2、邮寄地址：</w:t>
            </w:r>
          </w:p>
          <w:p w14:paraId="1708E541">
            <w:pPr>
              <w:snapToGrid w:val="0"/>
              <w:spacing w:line="460" w:lineRule="exact"/>
              <w:rPr>
                <w:rFonts w:ascii="宋体" w:hAnsi="宋体" w:cs="宋体"/>
                <w:color w:val="auto"/>
                <w:szCs w:val="21"/>
                <w:highlight w:val="none"/>
              </w:rPr>
            </w:pPr>
            <w:bookmarkStart w:id="60" w:name="PO_3000001866_PM036"/>
            <w:bookmarkEnd w:id="60"/>
            <w:r>
              <w:rPr>
                <w:rFonts w:hint="eastAsia" w:ascii="宋体" w:hAnsi="宋体" w:cs="宋体"/>
                <w:color w:val="auto"/>
                <w:szCs w:val="21"/>
                <w:highlight w:val="none"/>
              </w:rPr>
              <w:t>名称：南宁市青秀区财政局政府采购监督管理办公室</w:t>
            </w:r>
          </w:p>
          <w:p w14:paraId="4C72ED91">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地址：南宁市青秀区悦宾路1号</w:t>
            </w:r>
          </w:p>
          <w:p w14:paraId="63D2FFB9">
            <w:pPr>
              <w:snapToGrid w:val="0"/>
              <w:spacing w:line="460" w:lineRule="exact"/>
              <w:rPr>
                <w:rFonts w:ascii="宋体" w:hAnsi="宋体" w:cs="宋体"/>
                <w:color w:val="auto"/>
                <w:szCs w:val="21"/>
                <w:highlight w:val="none"/>
              </w:rPr>
            </w:pPr>
            <w:bookmarkStart w:id="61" w:name="PO_3000001866_PM038_1"/>
            <w:bookmarkEnd w:id="61"/>
            <w:r>
              <w:rPr>
                <w:rFonts w:hint="eastAsia" w:ascii="宋体" w:hAnsi="宋体" w:cs="宋体"/>
                <w:color w:val="auto"/>
                <w:szCs w:val="21"/>
                <w:highlight w:val="none"/>
              </w:rPr>
              <w:t>联系电话：0771-5826232</w:t>
            </w:r>
          </w:p>
        </w:tc>
      </w:tr>
      <w:tr w14:paraId="40E9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74" w:type="dxa"/>
            <w:vMerge w:val="restart"/>
            <w:vAlign w:val="center"/>
          </w:tcPr>
          <w:p w14:paraId="4B23C04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40</w:t>
            </w:r>
          </w:p>
        </w:tc>
        <w:tc>
          <w:tcPr>
            <w:tcW w:w="2069" w:type="dxa"/>
            <w:vAlign w:val="center"/>
          </w:tcPr>
          <w:p w14:paraId="65B604B6">
            <w:pPr>
              <w:spacing w:line="460" w:lineRule="exact"/>
              <w:jc w:val="center"/>
              <w:rPr>
                <w:rFonts w:ascii="宋体" w:hAnsi="宋体" w:cs="宋体"/>
                <w:color w:val="auto"/>
                <w:szCs w:val="21"/>
                <w:highlight w:val="none"/>
              </w:rPr>
            </w:pPr>
            <w:bookmarkStart w:id="62" w:name="_41"/>
            <w:bookmarkEnd w:id="62"/>
            <w:bookmarkStart w:id="63" w:name="_42"/>
            <w:bookmarkEnd w:id="63"/>
            <w:r>
              <w:rPr>
                <w:rFonts w:hint="eastAsia" w:ascii="宋体" w:hAnsi="宋体" w:cs="宋体"/>
                <w:color w:val="auto"/>
                <w:szCs w:val="21"/>
                <w:highlight w:val="none"/>
              </w:rPr>
              <w:t>采购代理费支付方式</w:t>
            </w:r>
          </w:p>
        </w:tc>
        <w:tc>
          <w:tcPr>
            <w:tcW w:w="6976" w:type="dxa"/>
            <w:vAlign w:val="center"/>
          </w:tcPr>
          <w:p w14:paraId="3BD8A07A">
            <w:pPr>
              <w:pStyle w:val="7"/>
              <w:snapToGrid w:val="0"/>
              <w:spacing w:line="460" w:lineRule="exact"/>
              <w:rPr>
                <w:rFonts w:hAnsi="宋体" w:cs="宋体"/>
                <w:color w:val="auto"/>
                <w:szCs w:val="21"/>
                <w:highlight w:val="none"/>
              </w:rPr>
            </w:pPr>
            <w:r>
              <w:rPr>
                <w:rFonts w:hint="eastAsia" w:hAnsi="宋体" w:cs="宋体"/>
                <w:color w:val="auto"/>
                <w:szCs w:val="21"/>
                <w:highlight w:val="none"/>
              </w:rPr>
              <w:sym w:font="Wingdings 2" w:char="0052"/>
            </w:r>
            <w:r>
              <w:rPr>
                <w:rFonts w:hint="eastAsia" w:hAnsi="宋体" w:cs="宋体"/>
                <w:color w:val="auto"/>
                <w:szCs w:val="21"/>
                <w:highlight w:val="none"/>
              </w:rPr>
              <w:t>本项目代理服务费由</w:t>
            </w:r>
            <w:r>
              <w:rPr>
                <w:rFonts w:hint="eastAsia" w:hAnsi="宋体" w:cs="宋体"/>
                <w:color w:val="auto"/>
                <w:szCs w:val="21"/>
                <w:highlight w:val="none"/>
                <w:u w:val="single"/>
              </w:rPr>
              <w:t>中标人</w:t>
            </w:r>
            <w:r>
              <w:rPr>
                <w:rFonts w:hint="eastAsia" w:hAnsi="宋体" w:cs="宋体"/>
                <w:color w:val="auto"/>
                <w:szCs w:val="21"/>
                <w:highlight w:val="none"/>
              </w:rPr>
              <w:t>一次性向采购代理机构支付。</w:t>
            </w:r>
          </w:p>
          <w:p w14:paraId="1C792B3B">
            <w:pPr>
              <w:pStyle w:val="7"/>
              <w:snapToGrid w:val="0"/>
              <w:spacing w:line="460" w:lineRule="exact"/>
              <w:rPr>
                <w:rFonts w:hAnsi="宋体" w:cs="宋体"/>
                <w:color w:val="auto"/>
                <w:szCs w:val="21"/>
                <w:highlight w:val="none"/>
              </w:rPr>
            </w:pPr>
            <w:r>
              <w:rPr>
                <w:rFonts w:hint="eastAsia" w:hAnsi="宋体" w:cs="宋体"/>
                <w:color w:val="auto"/>
                <w:szCs w:val="21"/>
                <w:highlight w:val="none"/>
              </w:rPr>
              <w:t>□采购人支付。</w:t>
            </w:r>
          </w:p>
          <w:p w14:paraId="0890DB3F">
            <w:pPr>
              <w:pStyle w:val="7"/>
              <w:snapToGrid w:val="0"/>
              <w:spacing w:line="460" w:lineRule="exact"/>
              <w:rPr>
                <w:rFonts w:hAnsi="宋体" w:cs="宋体"/>
                <w:color w:val="auto"/>
                <w:szCs w:val="21"/>
                <w:highlight w:val="none"/>
              </w:rPr>
            </w:pPr>
            <w:r>
              <w:rPr>
                <w:rFonts w:hint="eastAsia" w:hAnsi="宋体" w:cs="宋体"/>
                <w:color w:val="auto"/>
                <w:szCs w:val="21"/>
                <w:highlight w:val="none"/>
              </w:rPr>
              <w:t>□本项目不收取代理服务费。</w:t>
            </w:r>
          </w:p>
        </w:tc>
      </w:tr>
      <w:tr w14:paraId="1C55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74" w:type="dxa"/>
            <w:vMerge w:val="continue"/>
            <w:vAlign w:val="center"/>
          </w:tcPr>
          <w:p w14:paraId="48B4B317">
            <w:pPr>
              <w:spacing w:line="460" w:lineRule="exact"/>
              <w:jc w:val="center"/>
              <w:rPr>
                <w:rFonts w:ascii="宋体" w:hAnsi="宋体" w:cs="宋体"/>
                <w:color w:val="auto"/>
                <w:szCs w:val="21"/>
                <w:highlight w:val="none"/>
              </w:rPr>
            </w:pPr>
          </w:p>
        </w:tc>
        <w:tc>
          <w:tcPr>
            <w:tcW w:w="2069" w:type="dxa"/>
            <w:vAlign w:val="center"/>
          </w:tcPr>
          <w:p w14:paraId="636889F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6976" w:type="dxa"/>
            <w:vAlign w:val="center"/>
          </w:tcPr>
          <w:p w14:paraId="36C6E2FD">
            <w:pPr>
              <w:pStyle w:val="7"/>
              <w:numPr>
                <w:ilvl w:val="0"/>
                <w:numId w:val="0"/>
              </w:numPr>
              <w:snapToGrid w:val="0"/>
              <w:spacing w:line="460" w:lineRule="exact"/>
              <w:rPr>
                <w:rFonts w:hint="eastAsia" w:hAnsi="宋体" w:cs="宋体"/>
                <w:color w:val="auto"/>
                <w:szCs w:val="21"/>
                <w:highlight w:val="none"/>
              </w:rPr>
            </w:pPr>
            <w:r>
              <w:rPr>
                <w:rFonts w:hint="eastAsia" w:ascii="宋体" w:hAnsi="宋体" w:eastAsia="宋体" w:cs="宋体"/>
                <w:color w:val="auto"/>
                <w:kern w:val="2"/>
                <w:sz w:val="21"/>
                <w:szCs w:val="21"/>
                <w:lang w:val="en-US" w:eastAsia="zh-CN" w:bidi="ar-SA"/>
              </w:rPr>
              <w:t>（1）</w:t>
            </w:r>
            <w:r>
              <w:rPr>
                <w:rFonts w:hint="eastAsia" w:hAnsi="宋体" w:cs="宋体"/>
                <w:color w:val="auto"/>
                <w:szCs w:val="21"/>
                <w:highlight w:val="none"/>
              </w:rPr>
              <w:t>经委托人与受托人协商一致，本合同代理报酬收费以中标金额为基数，参照原国家发展计划委员会《招标代理服务收费管理暂行办法》（计价格[2002]1980号）、国家发展和改革委员会《关于降低部分建设项目收费标准规范收费行为等有关问题的通知》（发改价格[2011]534号）规定的代理费收费标准收取，向中标人收取；</w:t>
            </w:r>
          </w:p>
          <w:p w14:paraId="0A78A147">
            <w:pPr>
              <w:pStyle w:val="7"/>
              <w:numPr>
                <w:ilvl w:val="0"/>
                <w:numId w:val="0"/>
              </w:numPr>
              <w:snapToGrid w:val="0"/>
              <w:spacing w:line="460" w:lineRule="exact"/>
              <w:rPr>
                <w:rFonts w:hAnsi="宋体" w:cs="宋体"/>
                <w:color w:val="auto"/>
                <w:szCs w:val="21"/>
                <w:highlight w:val="none"/>
              </w:rPr>
            </w:pPr>
            <w:r>
              <w:rPr>
                <w:rFonts w:hint="eastAsia" w:hAnsi="宋体" w:cs="宋体"/>
                <w:color w:val="auto"/>
                <w:szCs w:val="21"/>
                <w:highlight w:val="none"/>
              </w:rPr>
              <w:t>（2）采购需求调查及论证咨询费包干5万元，由中标人支付。</w:t>
            </w:r>
          </w:p>
        </w:tc>
      </w:tr>
      <w:tr w14:paraId="264F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74" w:type="dxa"/>
            <w:vMerge w:val="continue"/>
            <w:vAlign w:val="center"/>
          </w:tcPr>
          <w:p w14:paraId="2CFCF5F5">
            <w:pPr>
              <w:spacing w:line="460" w:lineRule="exact"/>
              <w:jc w:val="center"/>
              <w:rPr>
                <w:rFonts w:ascii="宋体" w:hAnsi="宋体" w:cs="宋体"/>
                <w:color w:val="auto"/>
                <w:szCs w:val="21"/>
                <w:highlight w:val="none"/>
              </w:rPr>
            </w:pPr>
          </w:p>
        </w:tc>
        <w:tc>
          <w:tcPr>
            <w:tcW w:w="2069" w:type="dxa"/>
            <w:vAlign w:val="center"/>
          </w:tcPr>
          <w:p w14:paraId="24DAC95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6976" w:type="dxa"/>
            <w:vAlign w:val="center"/>
          </w:tcPr>
          <w:p w14:paraId="72624EE3">
            <w:pPr>
              <w:pStyle w:val="7"/>
              <w:snapToGrid w:val="0"/>
              <w:spacing w:line="460" w:lineRule="exact"/>
              <w:rPr>
                <w:rFonts w:hint="eastAsia" w:hAnsi="宋体" w:cs="宋体"/>
                <w:color w:val="auto"/>
                <w:szCs w:val="21"/>
                <w:highlight w:val="none"/>
                <w:lang w:val="en-US" w:eastAsia="zh-CN"/>
              </w:rPr>
            </w:pPr>
            <w:r>
              <w:rPr>
                <w:rFonts w:hint="eastAsia" w:hAnsi="宋体" w:cs="宋体"/>
                <w:color w:val="auto"/>
                <w:szCs w:val="21"/>
                <w:highlight w:val="none"/>
                <w:lang w:val="en-US" w:eastAsia="zh-CN"/>
              </w:rPr>
              <w:t>开户名称： 广西华进项目管理有限公司</w:t>
            </w:r>
          </w:p>
          <w:p w14:paraId="4BAE478F">
            <w:pPr>
              <w:pStyle w:val="7"/>
              <w:snapToGrid w:val="0"/>
              <w:spacing w:line="460" w:lineRule="exact"/>
              <w:rPr>
                <w:rFonts w:hint="eastAsia" w:hAnsi="宋体" w:cs="宋体"/>
                <w:color w:val="auto"/>
                <w:szCs w:val="21"/>
                <w:highlight w:val="none"/>
                <w:lang w:val="en-US" w:eastAsia="zh-CN"/>
              </w:rPr>
            </w:pPr>
            <w:r>
              <w:rPr>
                <w:rFonts w:hint="eastAsia" w:hAnsi="宋体" w:cs="宋体"/>
                <w:color w:val="auto"/>
                <w:szCs w:val="21"/>
                <w:highlight w:val="none"/>
                <w:lang w:val="en-US" w:eastAsia="zh-CN"/>
              </w:rPr>
              <w:t>开户银行： 民生银行南宁金湖支行</w:t>
            </w:r>
          </w:p>
          <w:p w14:paraId="7FA6D143">
            <w:pPr>
              <w:pStyle w:val="7"/>
              <w:snapToGrid w:val="0"/>
              <w:spacing w:line="460" w:lineRule="exact"/>
              <w:rPr>
                <w:rFonts w:hAnsi="宋体" w:cs="宋体"/>
                <w:color w:val="auto"/>
                <w:szCs w:val="21"/>
                <w:highlight w:val="none"/>
              </w:rPr>
            </w:pPr>
            <w:r>
              <w:rPr>
                <w:rFonts w:hint="eastAsia" w:hAnsi="宋体" w:cs="宋体"/>
                <w:color w:val="auto"/>
                <w:szCs w:val="21"/>
                <w:highlight w:val="none"/>
                <w:lang w:val="en-US" w:eastAsia="zh-CN"/>
              </w:rPr>
              <w:t>银行账号：172563786</w:t>
            </w:r>
          </w:p>
        </w:tc>
      </w:tr>
      <w:tr w14:paraId="678F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11B280A7">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069" w:type="dxa"/>
            <w:vAlign w:val="center"/>
          </w:tcPr>
          <w:p w14:paraId="17A9841C">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解释</w:t>
            </w:r>
          </w:p>
        </w:tc>
        <w:tc>
          <w:tcPr>
            <w:tcW w:w="6976" w:type="dxa"/>
            <w:vAlign w:val="center"/>
          </w:tcPr>
          <w:p w14:paraId="50669E49">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73518D38">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231B29E7">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449249C4">
            <w:pPr>
              <w:snapToGrid w:val="0"/>
              <w:spacing w:line="460" w:lineRule="exact"/>
              <w:rPr>
                <w:rFonts w:ascii="宋体" w:hAnsi="宋体" w:cs="宋体"/>
                <w:color w:val="auto"/>
                <w:szCs w:val="21"/>
                <w:highlight w:val="none"/>
              </w:rPr>
            </w:pPr>
            <w:r>
              <w:rPr>
                <w:rFonts w:hint="eastAsia" w:ascii="宋体" w:hAnsi="宋体" w:cs="宋体"/>
                <w:color w:val="auto"/>
                <w:szCs w:val="21"/>
                <w:highlight w:val="none"/>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C30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417A889D">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069" w:type="dxa"/>
            <w:vAlign w:val="center"/>
          </w:tcPr>
          <w:p w14:paraId="7091D848">
            <w:pPr>
              <w:snapToGrid w:val="0"/>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其他释义</w:t>
            </w:r>
          </w:p>
        </w:tc>
        <w:tc>
          <w:tcPr>
            <w:tcW w:w="6976" w:type="dxa"/>
            <w:vAlign w:val="center"/>
          </w:tcPr>
          <w:p w14:paraId="6632259E">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3521AAC8">
            <w:pPr>
              <w:pStyle w:val="7"/>
              <w:snapToGrid w:val="0"/>
              <w:spacing w:line="460" w:lineRule="exact"/>
              <w:rPr>
                <w:rFonts w:hAnsi="宋体" w:cs="宋体"/>
                <w:b/>
                <w:bCs/>
                <w:color w:val="auto"/>
                <w:szCs w:val="21"/>
                <w:highlight w:val="none"/>
              </w:rPr>
            </w:pPr>
            <w:r>
              <w:rPr>
                <w:rFonts w:hint="eastAsia" w:hAnsi="宋体" w:cs="宋体"/>
                <w:b/>
                <w:bCs/>
                <w:color w:val="auto"/>
                <w:szCs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1FE2693">
            <w:pPr>
              <w:spacing w:line="460" w:lineRule="exact"/>
              <w:rPr>
                <w:rFonts w:ascii="宋体" w:hAnsi="宋体" w:cs="宋体"/>
                <w:b/>
                <w:bCs/>
                <w:color w:val="auto"/>
                <w:szCs w:val="21"/>
                <w:highlight w:val="none"/>
              </w:rPr>
            </w:pPr>
            <w:r>
              <w:rPr>
                <w:rFonts w:hint="eastAsia" w:ascii="宋体" w:hAnsi="宋体" w:cs="宋体"/>
                <w:b/>
                <w:bCs/>
                <w:color w:val="auto"/>
                <w:szCs w:val="21"/>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18284A8F">
            <w:pPr>
              <w:pStyle w:val="7"/>
              <w:snapToGrid w:val="0"/>
              <w:spacing w:line="460" w:lineRule="exact"/>
              <w:rPr>
                <w:rFonts w:hAnsi="宋体" w:cs="宋体"/>
                <w:b/>
                <w:bCs/>
                <w:color w:val="auto"/>
                <w:szCs w:val="21"/>
                <w:highlight w:val="none"/>
              </w:rPr>
            </w:pPr>
            <w:r>
              <w:rPr>
                <w:rFonts w:hint="eastAsia" w:hAnsi="宋体" w:cs="宋体"/>
                <w:b/>
                <w:bCs/>
                <w:color w:val="auto"/>
                <w:szCs w:val="21"/>
                <w:highlight w:val="none"/>
              </w:rPr>
              <w:t>4、自然人投标的，招标文件规定盖公章处由自然人摁手指指印。</w:t>
            </w:r>
          </w:p>
          <w:p w14:paraId="78564654">
            <w:pPr>
              <w:spacing w:line="460" w:lineRule="exact"/>
              <w:jc w:val="left"/>
              <w:rPr>
                <w:rFonts w:ascii="宋体" w:hAnsi="宋体" w:cs="宋体"/>
                <w:b/>
                <w:bCs/>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1A10962F">
      <w:pPr>
        <w:rPr>
          <w:rFonts w:hint="eastAsia" w:ascii="Arial" w:hAnsi="Arial" w:eastAsia="黑体" w:cs="Arial"/>
          <w:b/>
          <w:color w:val="auto"/>
          <w:sz w:val="32"/>
          <w:szCs w:val="32"/>
          <w:highlight w:val="none"/>
        </w:rPr>
      </w:pPr>
      <w:bookmarkStart w:id="64" w:name="_Toc80092994"/>
      <w:bookmarkStart w:id="65" w:name="_Toc532545043"/>
      <w:r>
        <w:rPr>
          <w:rFonts w:hint="eastAsia" w:ascii="Arial" w:hAnsi="Arial" w:eastAsia="黑体" w:cs="Arial"/>
          <w:b/>
          <w:color w:val="auto"/>
          <w:sz w:val="32"/>
          <w:szCs w:val="32"/>
          <w:highlight w:val="none"/>
        </w:rPr>
        <w:br w:type="page"/>
      </w:r>
    </w:p>
    <w:p w14:paraId="4D30EEFB">
      <w:pPr>
        <w:keepNext/>
        <w:keepLines/>
        <w:spacing w:before="260" w:after="260" w:line="413" w:lineRule="auto"/>
        <w:jc w:val="center"/>
        <w:outlineLvl w:val="1"/>
        <w:rPr>
          <w:rFonts w:ascii="Arial" w:hAnsi="Arial" w:eastAsia="黑体" w:cs="Arial"/>
          <w:b/>
          <w:color w:val="auto"/>
          <w:sz w:val="32"/>
          <w:szCs w:val="32"/>
          <w:highlight w:val="none"/>
        </w:rPr>
      </w:pPr>
      <w:r>
        <w:rPr>
          <w:rFonts w:hint="eastAsia" w:ascii="Arial" w:hAnsi="Arial" w:eastAsia="黑体" w:cs="Arial"/>
          <w:b/>
          <w:color w:val="auto"/>
          <w:sz w:val="32"/>
          <w:szCs w:val="32"/>
          <w:highlight w:val="none"/>
        </w:rPr>
        <w:t>第二节 投标人须知正文</w:t>
      </w:r>
      <w:bookmarkEnd w:id="64"/>
    </w:p>
    <w:p w14:paraId="6B6C4B1D">
      <w:pPr>
        <w:spacing w:line="400" w:lineRule="exact"/>
        <w:ind w:firstLine="643"/>
        <w:jc w:val="center"/>
        <w:outlineLvl w:val="2"/>
        <w:rPr>
          <w:rFonts w:eastAsia="Times New Roman"/>
          <w:b/>
          <w:color w:val="auto"/>
          <w:sz w:val="32"/>
          <w:szCs w:val="32"/>
          <w:highlight w:val="none"/>
        </w:rPr>
      </w:pPr>
      <w:bookmarkStart w:id="66" w:name="_Toc80092995"/>
      <w:r>
        <w:rPr>
          <w:rFonts w:hint="eastAsia" w:ascii="宋体" w:hAnsi="宋体" w:cs="宋体"/>
          <w:b/>
          <w:color w:val="auto"/>
          <w:sz w:val="32"/>
          <w:szCs w:val="32"/>
          <w:highlight w:val="none"/>
        </w:rPr>
        <w:t>一、总</w:t>
      </w:r>
      <w:r>
        <w:rPr>
          <w:rFonts w:eastAsia="Times New Roman"/>
          <w:b/>
          <w:color w:val="auto"/>
          <w:sz w:val="32"/>
          <w:szCs w:val="32"/>
          <w:highlight w:val="none"/>
        </w:rPr>
        <w:t xml:space="preserve">  </w:t>
      </w:r>
      <w:r>
        <w:rPr>
          <w:rFonts w:hint="eastAsia" w:ascii="宋体" w:hAnsi="宋体" w:cs="宋体"/>
          <w:b/>
          <w:color w:val="auto"/>
          <w:sz w:val="32"/>
          <w:szCs w:val="32"/>
          <w:highlight w:val="none"/>
        </w:rPr>
        <w:t>则</w:t>
      </w:r>
      <w:bookmarkEnd w:id="66"/>
    </w:p>
    <w:p w14:paraId="07B57581">
      <w:pPr>
        <w:spacing w:line="360" w:lineRule="auto"/>
        <w:ind w:firstLine="480" w:firstLineChars="200"/>
        <w:rPr>
          <w:rFonts w:ascii="黑体" w:hAnsi="黑体" w:eastAsia="黑体"/>
          <w:color w:val="auto"/>
          <w:sz w:val="24"/>
          <w:highlight w:val="none"/>
        </w:rPr>
      </w:pPr>
      <w:bookmarkStart w:id="67" w:name="_Toc254970527"/>
      <w:bookmarkStart w:id="68" w:name="_Toc254970668"/>
      <w:r>
        <w:rPr>
          <w:rFonts w:hint="eastAsia" w:ascii="黑体" w:hAnsi="黑体" w:eastAsia="黑体"/>
          <w:color w:val="auto"/>
          <w:sz w:val="24"/>
          <w:highlight w:val="none"/>
        </w:rPr>
        <w:t>1.适用范围</w:t>
      </w:r>
      <w:bookmarkEnd w:id="67"/>
      <w:bookmarkEnd w:id="68"/>
    </w:p>
    <w:p w14:paraId="32C176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F8A13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899ACE2">
      <w:pPr>
        <w:spacing w:line="360" w:lineRule="auto"/>
        <w:ind w:firstLine="480" w:firstLineChars="200"/>
        <w:rPr>
          <w:rFonts w:ascii="黑体" w:hAnsi="黑体" w:eastAsia="黑体"/>
          <w:color w:val="auto"/>
          <w:sz w:val="24"/>
          <w:highlight w:val="none"/>
        </w:rPr>
      </w:pPr>
      <w:bookmarkStart w:id="69" w:name="_Toc254970669"/>
      <w:bookmarkStart w:id="70" w:name="_Toc254970528"/>
      <w:r>
        <w:rPr>
          <w:rFonts w:hint="eastAsia" w:ascii="黑体" w:hAnsi="黑体" w:eastAsia="黑体"/>
          <w:color w:val="auto"/>
          <w:sz w:val="24"/>
          <w:highlight w:val="none"/>
        </w:rPr>
        <w:t>2.定义</w:t>
      </w:r>
      <w:bookmarkEnd w:id="69"/>
      <w:bookmarkEnd w:id="70"/>
    </w:p>
    <w:p w14:paraId="631849F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1755BC7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2151485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32A558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40093EF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14:paraId="3C4AD6A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6</w:t>
      </w:r>
      <w:r>
        <w:rPr>
          <w:rFonts w:hint="eastAsia" w:ascii="宋体" w:hAnsi="宋体"/>
          <w:b/>
          <w:color w:val="auto"/>
          <w:szCs w:val="21"/>
          <w:highlight w:val="none"/>
        </w:rPr>
        <w:t>“书面形式”是指合同书、信件和数据电文（包括电报、电传、传真、短信、电子数据交换和电子邮件）等可以有形地表现所载内容的形式。</w:t>
      </w:r>
    </w:p>
    <w:p w14:paraId="1C54E03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7</w:t>
      </w:r>
      <w:r>
        <w:rPr>
          <w:rFonts w:hint="eastAsia" w:ascii="宋体" w:hAnsi="宋体"/>
          <w:b/>
          <w:color w:val="auto"/>
          <w:szCs w:val="21"/>
          <w:highlight w:val="none"/>
        </w:rPr>
        <w:t>“实质性要求”是指招标文件中已经指明不满足则投标无效的条款，或者不能负偏离的条款，或者采购需求中带“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14:paraId="53E40958">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3B7598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1D36C9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71" w:name="_Toc254970670"/>
      <w:bookmarkStart w:id="72" w:name="_Toc254970529"/>
    </w:p>
    <w:p w14:paraId="1A925D7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bookmarkEnd w:id="71"/>
      <w:bookmarkEnd w:id="72"/>
      <w:r>
        <w:rPr>
          <w:rFonts w:hint="eastAsia" w:ascii="黑体" w:hAnsi="黑体" w:eastAsia="黑体"/>
          <w:color w:val="auto"/>
          <w:sz w:val="24"/>
          <w:highlight w:val="none"/>
        </w:rPr>
        <w:t>投标人的资格要求</w:t>
      </w:r>
    </w:p>
    <w:p w14:paraId="17D35F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2147E628">
      <w:pPr>
        <w:spacing w:line="360" w:lineRule="auto"/>
        <w:ind w:firstLine="480" w:firstLineChars="200"/>
        <w:rPr>
          <w:rFonts w:ascii="黑体" w:hAnsi="黑体" w:eastAsia="黑体"/>
          <w:color w:val="auto"/>
          <w:sz w:val="24"/>
          <w:highlight w:val="none"/>
        </w:rPr>
      </w:pPr>
      <w:bookmarkStart w:id="73" w:name="_Toc254970530"/>
      <w:bookmarkStart w:id="74" w:name="_Toc254970671"/>
      <w:r>
        <w:rPr>
          <w:rFonts w:hint="eastAsia" w:ascii="黑体" w:hAnsi="黑体" w:eastAsia="黑体"/>
          <w:color w:val="auto"/>
          <w:sz w:val="24"/>
          <w:highlight w:val="none"/>
        </w:rPr>
        <w:t>4.投标委托</w:t>
      </w:r>
      <w:bookmarkEnd w:id="73"/>
      <w:bookmarkEnd w:id="74"/>
    </w:p>
    <w:p w14:paraId="35A54E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投标人代表参加投标活动过程中必须携带个人有效身份证件。如投标人代表不是法定代表人，须持有法定代表人授权委托书（正本用原件，副本用扫描件，按第六章要求格式填写）。</w:t>
      </w:r>
    </w:p>
    <w:p w14:paraId="147D40BE">
      <w:pPr>
        <w:spacing w:line="360" w:lineRule="auto"/>
        <w:ind w:firstLine="480" w:firstLineChars="200"/>
        <w:rPr>
          <w:rFonts w:ascii="黑体" w:hAnsi="黑体" w:eastAsia="黑体"/>
          <w:color w:val="auto"/>
          <w:sz w:val="24"/>
          <w:highlight w:val="none"/>
        </w:rPr>
      </w:pPr>
      <w:bookmarkStart w:id="75" w:name="_5.投标费用"/>
      <w:bookmarkEnd w:id="75"/>
      <w:bookmarkStart w:id="76" w:name="_Toc254970531"/>
      <w:bookmarkStart w:id="77" w:name="_Toc254970672"/>
      <w:r>
        <w:rPr>
          <w:rFonts w:hint="eastAsia" w:ascii="黑体" w:hAnsi="黑体" w:eastAsia="黑体"/>
          <w:color w:val="auto"/>
          <w:sz w:val="24"/>
          <w:highlight w:val="none"/>
        </w:rPr>
        <w:t>5.投标费用</w:t>
      </w:r>
      <w:bookmarkEnd w:id="76"/>
      <w:bookmarkEnd w:id="77"/>
    </w:p>
    <w:p w14:paraId="087E23F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F6FD34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4CA42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7DCCD0E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51C8A3AF">
      <w:pPr>
        <w:spacing w:line="360" w:lineRule="auto"/>
        <w:ind w:firstLine="420" w:firstLineChars="200"/>
        <w:rPr>
          <w:rFonts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724F67A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12681347">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7.</w:t>
      </w: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3FB025D">
      <w:pPr>
        <w:spacing w:line="360" w:lineRule="auto"/>
        <w:ind w:firstLine="420" w:firstLineChars="200"/>
        <w:rPr>
          <w:rFonts w:ascii="宋体" w:hAnsi="宋体"/>
          <w:bCs/>
          <w:color w:val="auto"/>
          <w:szCs w:val="21"/>
          <w:highlight w:val="none"/>
        </w:rPr>
      </w:pPr>
      <w:r>
        <w:rPr>
          <w:rFonts w:hint="eastAsia" w:ascii="宋体" w:hAnsi="宋体" w:eastAsia="宋体" w:cs="Times New Roman"/>
          <w:bCs/>
          <w:color w:val="auto"/>
          <w:szCs w:val="21"/>
          <w:highlight w:val="none"/>
        </w:rPr>
        <w:t>7.</w:t>
      </w:r>
      <w:r>
        <w:rPr>
          <w:rFonts w:ascii="宋体" w:hAnsi="宋体" w:eastAsia="宋体" w:cs="Times New Roman"/>
          <w:bCs/>
          <w:color w:val="auto"/>
          <w:szCs w:val="21"/>
          <w:highlight w:val="none"/>
        </w:rPr>
        <w:t>2</w:t>
      </w:r>
      <w:r>
        <w:rPr>
          <w:rFonts w:hint="eastAsia" w:ascii="宋体" w:hAnsi="宋体" w:eastAsia="宋体" w:cs="Times New Roman"/>
          <w:bCs/>
          <w:color w:val="auto"/>
          <w:szCs w:val="21"/>
          <w:highlight w:val="none"/>
        </w:rPr>
        <w:t>根据《政府采购促进中小企业发展管理办法》（财库[2020]46号）</w:t>
      </w:r>
      <w:r>
        <w:rPr>
          <w:rFonts w:ascii="宋体" w:hAnsi="宋体" w:eastAsia="宋体" w:cs="Times New Roman"/>
          <w:bCs/>
          <w:color w:val="auto"/>
          <w:szCs w:val="21"/>
          <w:highlight w:val="none"/>
        </w:rPr>
        <w:t>第九条</w:t>
      </w:r>
      <w:r>
        <w:rPr>
          <w:rFonts w:hint="eastAsia" w:ascii="宋体" w:hAnsi="宋体" w:eastAsia="宋体" w:cs="Times New Roman"/>
          <w:bCs/>
          <w:color w:val="auto"/>
          <w:szCs w:val="21"/>
          <w:highlight w:val="none"/>
        </w:rPr>
        <w:t>规定，</w:t>
      </w:r>
      <w:r>
        <w:rPr>
          <w:rFonts w:ascii="宋体" w:hAnsi="宋体" w:eastAsia="宋体" w:cs="Times New Roman"/>
          <w:bCs/>
          <w:color w:val="auto"/>
          <w:szCs w:val="21"/>
          <w:highlight w:val="none"/>
        </w:rPr>
        <w:t>允许大中型企业向一家或者多家小微企业分包的采购项目，对于分包</w:t>
      </w:r>
      <w:r>
        <w:rPr>
          <w:rFonts w:ascii="宋体" w:hAnsi="宋体"/>
          <w:bCs/>
          <w:color w:val="auto"/>
          <w:szCs w:val="21"/>
          <w:highlight w:val="none"/>
        </w:rPr>
        <w:t>意向协议约定小微企业的合同份额占到合同总金额 30%以上的，采购人、采购代理机构应当对大中型企业的报价给予2%-3%的扣除，用扣除后的价格参加评审。接受分包的小微企业与分包企业之间存在直接控股、管理关系的，不享受价格扣除优惠政策。</w:t>
      </w:r>
    </w:p>
    <w:p w14:paraId="1B3EF08D">
      <w:pPr>
        <w:spacing w:line="360" w:lineRule="auto"/>
        <w:ind w:firstLine="480" w:firstLineChars="200"/>
        <w:rPr>
          <w:rFonts w:ascii="黑体" w:hAnsi="黑体" w:eastAsia="黑体"/>
          <w:color w:val="auto"/>
          <w:sz w:val="24"/>
          <w:highlight w:val="none"/>
        </w:rPr>
      </w:pPr>
      <w:bookmarkStart w:id="78" w:name="_Toc254970532"/>
      <w:bookmarkStart w:id="79" w:name="_Toc254970673"/>
      <w:r>
        <w:rPr>
          <w:rFonts w:hint="eastAsia" w:ascii="黑体" w:hAnsi="黑体" w:eastAsia="黑体"/>
          <w:color w:val="auto"/>
          <w:sz w:val="24"/>
          <w:highlight w:val="none"/>
        </w:rPr>
        <w:t>8.特别说明：</w:t>
      </w:r>
      <w:bookmarkEnd w:id="78"/>
      <w:bookmarkEnd w:id="79"/>
      <w:bookmarkStart w:id="80" w:name="_8.1提供相同品牌产品且通过资格审查、符合性审查的不同投标人参加同一合"/>
      <w:bookmarkEnd w:id="80"/>
    </w:p>
    <w:p w14:paraId="48F3824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如果本招标文件要求投标人提供资格、信誉、荣誉、业绩与企业认证等材料的，则投标人所提供的以上材料必须为投标人所拥有。</w:t>
      </w:r>
    </w:p>
    <w:p w14:paraId="7DFC4D7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14:paraId="6F18DA0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13671C96">
      <w:pPr>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14:paraId="269483E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14:paraId="33549982">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14:paraId="40CEE0CD">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14:paraId="4693CE3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14:paraId="2F2D0F18">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14:paraId="1D2F84A9">
      <w:pPr>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14:paraId="7A52F022">
      <w:pPr>
        <w:spacing w:line="360" w:lineRule="auto"/>
        <w:ind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14:paraId="33E906E7">
      <w:pPr>
        <w:spacing w:line="360" w:lineRule="auto"/>
        <w:ind w:firstLine="420" w:firstLineChars="200"/>
        <w:rPr>
          <w:rFonts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14:paraId="0AFFC9C2">
      <w:pPr>
        <w:spacing w:line="360" w:lineRule="auto"/>
        <w:ind w:firstLine="422" w:firstLineChars="200"/>
        <w:rPr>
          <w:rFonts w:hAnsi="宋体"/>
          <w:b/>
          <w:color w:val="auto"/>
          <w:highlight w:val="none"/>
        </w:rPr>
      </w:pPr>
      <w:r>
        <w:rPr>
          <w:rFonts w:hint="eastAsia" w:hAnsi="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79E48625">
      <w:pPr>
        <w:spacing w:line="360" w:lineRule="auto"/>
        <w:ind w:firstLine="422" w:firstLineChars="200"/>
        <w:rPr>
          <w:rFonts w:hAnsi="宋体"/>
          <w:b/>
          <w:color w:val="auto"/>
          <w:highlight w:val="none"/>
        </w:rPr>
      </w:pPr>
      <w:r>
        <w:rPr>
          <w:rFonts w:hint="eastAsia" w:hAnsi="宋体"/>
          <w:b/>
          <w:color w:val="auto"/>
          <w:highlight w:val="none"/>
        </w:rPr>
        <w:t>（2）不同投标人委托同一单位或者个人办理投标事宜；</w:t>
      </w:r>
    </w:p>
    <w:p w14:paraId="397CCF8C">
      <w:pPr>
        <w:spacing w:line="360" w:lineRule="auto"/>
        <w:ind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14:paraId="3EDC308B">
      <w:pPr>
        <w:spacing w:line="360" w:lineRule="auto"/>
        <w:ind w:firstLine="422" w:firstLineChars="200"/>
        <w:rPr>
          <w:rFonts w:hAnsi="宋体"/>
          <w:b/>
          <w:color w:val="auto"/>
          <w:highlight w:val="none"/>
        </w:rPr>
      </w:pPr>
      <w:r>
        <w:rPr>
          <w:rFonts w:hint="eastAsia" w:hAnsi="宋体"/>
          <w:b/>
          <w:color w:val="auto"/>
          <w:highlight w:val="none"/>
        </w:rPr>
        <w:t>（4）不同投标人的电子或纸质投标文件异常一致或者投标报价呈规律性差异；</w:t>
      </w:r>
    </w:p>
    <w:p w14:paraId="4AE532F4">
      <w:pPr>
        <w:spacing w:line="360" w:lineRule="auto"/>
        <w:ind w:firstLine="422" w:firstLineChars="200"/>
        <w:rPr>
          <w:rFonts w:hAnsi="宋体"/>
          <w:b/>
          <w:color w:val="auto"/>
          <w:highlight w:val="none"/>
        </w:rPr>
      </w:pPr>
      <w:r>
        <w:rPr>
          <w:rFonts w:hint="eastAsia" w:hAnsi="宋体"/>
          <w:b/>
          <w:color w:val="auto"/>
          <w:highlight w:val="none"/>
        </w:rPr>
        <w:t>（5）不同投标人的纸质投标文件相互混装；</w:t>
      </w:r>
    </w:p>
    <w:p w14:paraId="03D83C0D">
      <w:pPr>
        <w:spacing w:line="360" w:lineRule="auto"/>
        <w:ind w:firstLine="420" w:firstLineChars="200"/>
        <w:rPr>
          <w:rFonts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14:paraId="05E94D83">
      <w:pPr>
        <w:spacing w:line="360" w:lineRule="auto"/>
        <w:ind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（1）供应商直接或者间接从采购人或者采购代理机构处获得其他供应商的相关信息并修改其投标文件或者投标文件；</w:t>
      </w:r>
    </w:p>
    <w:p w14:paraId="648220D6">
      <w:pPr>
        <w:spacing w:line="360" w:lineRule="auto"/>
        <w:ind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（2）供应商按照采购人或者采购代理机构的授意撤换、修改投标文件或者投标文件；</w:t>
      </w:r>
    </w:p>
    <w:p w14:paraId="073DDCA1">
      <w:pPr>
        <w:spacing w:line="360" w:lineRule="auto"/>
        <w:ind w:firstLine="420" w:firstLineChars="200"/>
        <w:rPr>
          <w:rFonts w:hAnsi="宋体"/>
          <w:color w:val="auto"/>
          <w:highlight w:val="none"/>
        </w:rPr>
      </w:pPr>
      <w:r>
        <w:rPr>
          <w:rFonts w:hint="eastAsia" w:hAnsi="宋体"/>
          <w:color w:val="auto"/>
          <w:highlight w:val="none"/>
        </w:rPr>
        <w:t>（3）供应商之间协商报价、技术方案等投标文件或者投标文件的实质性内容；</w:t>
      </w:r>
    </w:p>
    <w:p w14:paraId="294D11EE">
      <w:pPr>
        <w:spacing w:line="360" w:lineRule="auto"/>
        <w:ind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14:paraId="1AE6BB8D">
      <w:pPr>
        <w:spacing w:line="360" w:lineRule="auto"/>
        <w:ind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B8B6DE0">
      <w:pPr>
        <w:spacing w:line="360" w:lineRule="auto"/>
        <w:ind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14:paraId="5FF71A58">
      <w:pPr>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14:paraId="5CE94BA6">
      <w:pPr>
        <w:snapToGrid w:val="0"/>
        <w:spacing w:line="360" w:lineRule="auto"/>
        <w:ind w:left="2" w:leftChars="1" w:firstLine="422" w:firstLineChars="200"/>
        <w:rPr>
          <w:rFonts w:ascii="宋体" w:hAnsi="宋体"/>
          <w:b/>
          <w:color w:val="auto"/>
          <w:kern w:val="1"/>
          <w:szCs w:val="20"/>
          <w:highlight w:val="none"/>
        </w:rPr>
      </w:pPr>
    </w:p>
    <w:p w14:paraId="62C10AB1">
      <w:pPr>
        <w:spacing w:line="400" w:lineRule="exact"/>
        <w:ind w:firstLine="643"/>
        <w:jc w:val="center"/>
        <w:outlineLvl w:val="2"/>
        <w:rPr>
          <w:rFonts w:eastAsia="Times New Roman"/>
          <w:b/>
          <w:color w:val="auto"/>
          <w:sz w:val="32"/>
          <w:szCs w:val="32"/>
          <w:highlight w:val="none"/>
        </w:rPr>
      </w:pPr>
      <w:bookmarkStart w:id="81" w:name="_Toc254970675"/>
      <w:bookmarkStart w:id="82" w:name="_Toc254970534"/>
      <w:bookmarkStart w:id="83" w:name="_Toc80092996"/>
      <w:r>
        <w:rPr>
          <w:rFonts w:hint="eastAsia" w:ascii="宋体" w:hAnsi="宋体" w:cs="宋体"/>
          <w:b/>
          <w:color w:val="auto"/>
          <w:sz w:val="32"/>
          <w:szCs w:val="32"/>
          <w:highlight w:val="none"/>
        </w:rPr>
        <w:t>二、招标文件</w:t>
      </w:r>
      <w:bookmarkEnd w:id="81"/>
      <w:bookmarkEnd w:id="82"/>
      <w:bookmarkEnd w:id="83"/>
    </w:p>
    <w:p w14:paraId="0CA6D01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3934CB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69A983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0F9732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4FA8AF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010CBD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11A9C3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29BAE0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1B3C6BC5">
      <w:pPr>
        <w:spacing w:line="360" w:lineRule="auto"/>
        <w:ind w:firstLine="420" w:firstLineChars="200"/>
        <w:rPr>
          <w:rFonts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00750D2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403AB7C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C40C84F">
      <w:pPr>
        <w:spacing w:line="360" w:lineRule="auto"/>
        <w:ind w:firstLine="420" w:firstLineChars="200"/>
        <w:rPr>
          <w:rFonts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53B7F47A">
      <w:pPr>
        <w:spacing w:line="360" w:lineRule="auto"/>
        <w:ind w:firstLine="420" w:firstLineChars="200"/>
        <w:rPr>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E95D76E">
      <w:pPr>
        <w:spacing w:line="360" w:lineRule="auto"/>
        <w:ind w:firstLine="420" w:firstLineChars="200"/>
        <w:rPr>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szCs w:val="21"/>
          <w:highlight w:val="none"/>
        </w:rPr>
        <w:t>规定的政府采购信息发布媒体上</w:t>
      </w:r>
      <w:r>
        <w:rPr>
          <w:rFonts w:hint="eastAsia"/>
          <w:color w:val="auto"/>
          <w:highlight w:val="none"/>
        </w:rPr>
        <w:t>发布更正公告。</w:t>
      </w:r>
    </w:p>
    <w:p w14:paraId="32508956">
      <w:pPr>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bookmarkStart w:id="84"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bookmarkEnd w:id="84"/>
    <w:p w14:paraId="65DE601A">
      <w:pPr>
        <w:spacing w:line="400" w:lineRule="exact"/>
        <w:ind w:firstLine="643"/>
        <w:jc w:val="center"/>
        <w:outlineLvl w:val="2"/>
        <w:rPr>
          <w:rFonts w:hint="eastAsia" w:ascii="宋体" w:hAnsi="宋体" w:cs="宋体"/>
          <w:b/>
          <w:color w:val="auto"/>
          <w:sz w:val="32"/>
          <w:szCs w:val="32"/>
          <w:highlight w:val="none"/>
        </w:rPr>
      </w:pPr>
      <w:bookmarkStart w:id="85" w:name="_Toc254970535"/>
      <w:bookmarkStart w:id="86" w:name="_Toc80092997"/>
      <w:bookmarkStart w:id="87" w:name="_Toc254970676"/>
    </w:p>
    <w:p w14:paraId="1273AAAE">
      <w:pPr>
        <w:spacing w:line="400" w:lineRule="exact"/>
        <w:ind w:firstLine="643"/>
        <w:jc w:val="center"/>
        <w:outlineLvl w:val="2"/>
        <w:rPr>
          <w:rFonts w:eastAsia="Times New Roman"/>
          <w:b/>
          <w:color w:val="auto"/>
          <w:sz w:val="32"/>
          <w:szCs w:val="32"/>
          <w:highlight w:val="none"/>
        </w:rPr>
      </w:pPr>
      <w:r>
        <w:rPr>
          <w:rFonts w:hint="eastAsia" w:ascii="宋体" w:hAnsi="宋体" w:cs="宋体"/>
          <w:b/>
          <w:color w:val="auto"/>
          <w:sz w:val="32"/>
          <w:szCs w:val="32"/>
          <w:highlight w:val="none"/>
        </w:rPr>
        <w:t>三、投标文件的编制</w:t>
      </w:r>
      <w:bookmarkEnd w:id="85"/>
      <w:bookmarkEnd w:id="86"/>
      <w:bookmarkEnd w:id="87"/>
    </w:p>
    <w:p w14:paraId="4B5F8597">
      <w:pPr>
        <w:spacing w:line="360" w:lineRule="auto"/>
        <w:ind w:firstLine="480" w:firstLineChars="200"/>
        <w:rPr>
          <w:rFonts w:ascii="黑体" w:hAnsi="黑体" w:eastAsia="黑体"/>
          <w:color w:val="auto"/>
          <w:sz w:val="24"/>
          <w:highlight w:val="none"/>
        </w:rPr>
      </w:pPr>
      <w:bookmarkStart w:id="88" w:name="_Toc254970536"/>
      <w:bookmarkStart w:id="89" w:name="_Toc254970677"/>
      <w:r>
        <w:rPr>
          <w:rFonts w:hint="eastAsia" w:ascii="黑体" w:hAnsi="黑体" w:eastAsia="黑体"/>
          <w:color w:val="auto"/>
          <w:sz w:val="24"/>
          <w:highlight w:val="none"/>
        </w:rPr>
        <w:t>12.投标文件的编制原则</w:t>
      </w:r>
    </w:p>
    <w:p w14:paraId="6322F7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14:paraId="03FBF1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625A38A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88"/>
      <w:bookmarkEnd w:id="89"/>
    </w:p>
    <w:p w14:paraId="16F72D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14:paraId="1B77DE98">
      <w:pPr>
        <w:spacing w:line="360" w:lineRule="auto"/>
        <w:ind w:firstLine="420" w:firstLineChars="200"/>
        <w:rPr>
          <w:rFonts w:ascii="宋体" w:hAnsi="宋体"/>
          <w:bCs/>
          <w:color w:val="auto"/>
          <w:szCs w:val="21"/>
          <w:highlight w:val="none"/>
        </w:rPr>
      </w:pPr>
      <w:bookmarkStart w:id="90" w:name="_13.1报价文件:_具体材料见“投标人须知前附表”。"/>
      <w:bookmarkEnd w:id="90"/>
      <w:bookmarkStart w:id="91" w:name="_13.2资格证明文件：具体材料见“投标人须知前附表”。"/>
      <w:bookmarkEnd w:id="91"/>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426FB0B7">
      <w:pPr>
        <w:spacing w:line="360" w:lineRule="auto"/>
        <w:ind w:firstLine="420" w:firstLineChars="200"/>
        <w:rPr>
          <w:rFonts w:ascii="宋体" w:hAnsi="宋体"/>
          <w:bCs/>
          <w:color w:val="auto"/>
          <w:szCs w:val="21"/>
          <w:highlight w:val="none"/>
        </w:rPr>
      </w:pPr>
      <w:bookmarkStart w:id="92" w:name="_13.3商务文件:_具体材料见“投标人须知前附表”。"/>
      <w:bookmarkEnd w:id="92"/>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14:paraId="69BF3B85">
      <w:pPr>
        <w:spacing w:line="360" w:lineRule="auto"/>
        <w:ind w:firstLine="420" w:firstLineChars="200"/>
        <w:rPr>
          <w:rFonts w:ascii="宋体" w:hAnsi="宋体"/>
          <w:bCs/>
          <w:color w:val="auto"/>
          <w:szCs w:val="21"/>
          <w:highlight w:val="none"/>
        </w:rPr>
      </w:pPr>
      <w:bookmarkStart w:id="93" w:name="_13.4技术文件：具体材料见“投标人须知前附表”。"/>
      <w:bookmarkEnd w:id="93"/>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14:paraId="6B290C9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14:paraId="0EA04824">
      <w:pPr>
        <w:spacing w:line="360" w:lineRule="auto"/>
        <w:ind w:firstLine="420" w:firstLineChars="200"/>
        <w:rPr>
          <w:rFonts w:ascii="宋体" w:hAnsi="宋体"/>
          <w:bCs/>
          <w:color w:val="auto"/>
          <w:szCs w:val="21"/>
          <w:highlight w:val="none"/>
        </w:rPr>
      </w:pPr>
      <w:bookmarkStart w:id="94" w:name="_13.5投标文件电子版：具体材料见“投标人须知前附表”。"/>
      <w:bookmarkEnd w:id="94"/>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14:paraId="4383FBB2">
      <w:pPr>
        <w:spacing w:line="360" w:lineRule="auto"/>
        <w:ind w:firstLine="480" w:firstLineChars="200"/>
        <w:rPr>
          <w:rFonts w:ascii="黑体" w:hAnsi="黑体" w:eastAsia="黑体"/>
          <w:color w:val="auto"/>
          <w:sz w:val="24"/>
          <w:highlight w:val="none"/>
        </w:rPr>
      </w:pPr>
      <w:bookmarkStart w:id="95" w:name="_Toc254970537"/>
      <w:bookmarkStart w:id="96" w:name="_Toc254970678"/>
      <w:r>
        <w:rPr>
          <w:rFonts w:hint="eastAsia" w:ascii="黑体" w:hAnsi="黑体" w:eastAsia="黑体"/>
          <w:color w:val="auto"/>
          <w:sz w:val="24"/>
          <w:highlight w:val="none"/>
        </w:rPr>
        <w:t>14.投标文件的语言及计量</w:t>
      </w:r>
      <w:bookmarkEnd w:id="95"/>
      <w:bookmarkEnd w:id="96"/>
    </w:p>
    <w:p w14:paraId="6CD1944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0350BF3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68AD1A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7AAA1FB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5A05FEE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5811599A">
      <w:pPr>
        <w:spacing w:line="360" w:lineRule="auto"/>
        <w:ind w:firstLine="420" w:firstLineChars="200"/>
        <w:rPr>
          <w:rFonts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733073EE">
      <w:pPr>
        <w:spacing w:line="360" w:lineRule="auto"/>
        <w:ind w:firstLine="480" w:firstLineChars="200"/>
        <w:rPr>
          <w:rFonts w:ascii="黑体" w:hAnsi="黑体" w:eastAsia="黑体"/>
          <w:color w:val="auto"/>
          <w:sz w:val="24"/>
          <w:highlight w:val="none"/>
        </w:rPr>
      </w:pPr>
      <w:bookmarkStart w:id="97" w:name="_Toc254970538"/>
      <w:bookmarkStart w:id="98" w:name="_Toc254970679"/>
      <w:r>
        <w:rPr>
          <w:rFonts w:hint="eastAsia" w:ascii="黑体" w:hAnsi="黑体" w:eastAsia="黑体"/>
          <w:color w:val="auto"/>
          <w:sz w:val="24"/>
          <w:highlight w:val="none"/>
        </w:rPr>
        <w:t>16.投标报价</w:t>
      </w:r>
      <w:bookmarkEnd w:id="97"/>
      <w:bookmarkEnd w:id="98"/>
    </w:p>
    <w:p w14:paraId="648D59F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35519BE2">
      <w:pPr>
        <w:spacing w:line="360" w:lineRule="auto"/>
        <w:ind w:firstLine="420" w:firstLineChars="200"/>
        <w:rPr>
          <w:rFonts w:ascii="宋体" w:hAnsi="宋体"/>
          <w:bCs/>
          <w:color w:val="auto"/>
          <w:szCs w:val="21"/>
          <w:highlight w:val="none"/>
        </w:rPr>
      </w:pPr>
      <w:bookmarkStart w:id="99" w:name="_16.2投标报价具体定义见投标人须知前附表。"/>
      <w:bookmarkEnd w:id="99"/>
      <w:r>
        <w:rPr>
          <w:rFonts w:hint="eastAsia" w:ascii="宋体" w:hAnsi="宋体"/>
          <w:bCs/>
          <w:color w:val="auto"/>
          <w:szCs w:val="21"/>
          <w:highlight w:val="none"/>
        </w:rPr>
        <w:t>16.2投标报价具体包括内容详见“投标人须知前附表”。</w:t>
      </w:r>
    </w:p>
    <w:p w14:paraId="78D5730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35172C0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350147AF">
      <w:pPr>
        <w:spacing w:line="360" w:lineRule="auto"/>
        <w:ind w:firstLine="420" w:firstLineChars="200"/>
        <w:rPr>
          <w:rFonts w:ascii="宋体" w:hAnsi="宋体"/>
          <w:bCs/>
          <w:color w:val="auto"/>
          <w:szCs w:val="21"/>
          <w:highlight w:val="none"/>
        </w:rPr>
      </w:pPr>
      <w:bookmarkStart w:id="100" w:name="_17.1投标有效期应按“投标人须知中的前附表”规定的期限。"/>
      <w:bookmarkEnd w:id="100"/>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6159A4D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101" w:name="_Toc254970681"/>
      <w:bookmarkStart w:id="102" w:name="_Toc254970540"/>
      <w:r>
        <w:rPr>
          <w:rFonts w:hint="eastAsia" w:ascii="宋体" w:hAnsi="宋体"/>
          <w:bCs/>
          <w:color w:val="auto"/>
          <w:szCs w:val="21"/>
          <w:highlight w:val="none"/>
        </w:rPr>
        <w:t xml:space="preserve"> 投标有效期应按规定的期限作出承诺，具体详见“投标人须知前附表”。</w:t>
      </w:r>
    </w:p>
    <w:p w14:paraId="5E20655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01"/>
      <w:bookmarkEnd w:id="102"/>
    </w:p>
    <w:p w14:paraId="32F1BF73">
      <w:pPr>
        <w:spacing w:line="360" w:lineRule="auto"/>
        <w:ind w:firstLine="480" w:firstLineChars="200"/>
        <w:rPr>
          <w:rFonts w:ascii="黑体" w:hAnsi="黑体" w:eastAsia="黑体"/>
          <w:color w:val="auto"/>
          <w:sz w:val="24"/>
          <w:highlight w:val="none"/>
        </w:rPr>
      </w:pPr>
      <w:bookmarkStart w:id="103" w:name="_18.投标保证金"/>
      <w:bookmarkEnd w:id="103"/>
      <w:bookmarkStart w:id="104" w:name="_Toc254970682"/>
      <w:bookmarkStart w:id="105" w:name="_Toc254970541"/>
      <w:r>
        <w:rPr>
          <w:rFonts w:hint="eastAsia" w:ascii="黑体" w:hAnsi="黑体" w:eastAsia="黑体"/>
          <w:color w:val="auto"/>
          <w:sz w:val="24"/>
          <w:highlight w:val="none"/>
        </w:rPr>
        <w:t>18.投标保证金</w:t>
      </w:r>
      <w:bookmarkEnd w:id="104"/>
      <w:bookmarkEnd w:id="105"/>
    </w:p>
    <w:p w14:paraId="62F1C296">
      <w:pPr>
        <w:spacing w:line="360" w:lineRule="auto"/>
        <w:ind w:firstLine="420" w:firstLineChars="200"/>
        <w:rPr>
          <w:rFonts w:hAnsi="宋体"/>
          <w:color w:val="auto"/>
          <w:szCs w:val="21"/>
          <w:highlight w:val="none"/>
        </w:rPr>
      </w:pPr>
      <w:bookmarkStart w:id="106" w:name="_Toc254970542"/>
      <w:bookmarkStart w:id="107" w:name="_Toc254970683"/>
      <w:r>
        <w:rPr>
          <w:rFonts w:hint="eastAsia" w:hAnsi="宋体"/>
          <w:color w:val="auto"/>
          <w:szCs w:val="21"/>
          <w:highlight w:val="none"/>
        </w:rPr>
        <w:t>见“投标人须知前附表”。</w:t>
      </w:r>
    </w:p>
    <w:p w14:paraId="22A5D29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106"/>
      <w:bookmarkEnd w:id="107"/>
      <w:r>
        <w:rPr>
          <w:rFonts w:hint="eastAsia" w:ascii="黑体" w:hAnsi="黑体" w:eastAsia="黑体"/>
          <w:color w:val="auto"/>
          <w:sz w:val="24"/>
          <w:highlight w:val="none"/>
        </w:rPr>
        <w:t>编制</w:t>
      </w:r>
    </w:p>
    <w:p w14:paraId="7F1FF2C0">
      <w:pPr>
        <w:spacing w:line="360" w:lineRule="auto"/>
        <w:ind w:firstLine="422" w:firstLineChars="200"/>
        <w:rPr>
          <w:rFonts w:hAnsi="宋体"/>
          <w:color w:val="auto"/>
          <w:szCs w:val="21"/>
          <w:highlight w:val="none"/>
        </w:rPr>
      </w:pPr>
      <w:r>
        <w:rPr>
          <w:rFonts w:hint="eastAsia" w:ascii="宋体" w:hAnsi="宋体"/>
          <w:b/>
          <w:color w:val="auto"/>
          <w:szCs w:val="21"/>
          <w:highlight w:val="none"/>
        </w:rPr>
        <w:t xml:space="preserve"> </w:t>
      </w:r>
      <w:r>
        <w:rPr>
          <w:rFonts w:hint="eastAsia" w:hAnsi="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8" w:name="_19.2投标文件应按报价文件、资格证明文件、商务文件、技术文件分别编制"/>
      <w:bookmarkEnd w:id="108"/>
      <w:r>
        <w:rPr>
          <w:rFonts w:hint="eastAsia" w:hAnsi="宋体"/>
          <w:color w:val="auto"/>
          <w:szCs w:val="21"/>
          <w:highlight w:val="none"/>
        </w:rPr>
        <w:t xml:space="preserve"> </w:t>
      </w:r>
    </w:p>
    <w:p w14:paraId="458F3043">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w:t>
      </w:r>
      <w:r>
        <w:rPr>
          <w:rFonts w:hint="eastAsia" w:hAnsi="宋体"/>
          <w:color w:val="auto"/>
          <w:szCs w:val="21"/>
          <w:highlight w:val="none"/>
        </w:rPr>
        <w:t>.2投标文件按照招标文件第六章格式要求在规定位置进行签署、盖章。投标人的投标文件未按照招标文件要求签署、盖章的，</w:t>
      </w:r>
      <w:r>
        <w:rPr>
          <w:rFonts w:hint="eastAsia" w:hAnsi="宋体"/>
          <w:b/>
          <w:color w:val="auto"/>
          <w:szCs w:val="21"/>
          <w:highlight w:val="none"/>
        </w:rPr>
        <w:t>其投标无效。</w:t>
      </w:r>
      <w:r>
        <w:rPr>
          <w:rFonts w:hint="eastAsia" w:hAnsi="宋体"/>
          <w:color w:val="auto"/>
          <w:szCs w:val="21"/>
          <w:highlight w:val="none"/>
        </w:rPr>
        <w:t>骑缝盖公章不视为在规定位置盖章。</w:t>
      </w:r>
    </w:p>
    <w:p w14:paraId="288EDB79">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w:t>
      </w:r>
      <w:r>
        <w:rPr>
          <w:rFonts w:hint="eastAsia" w:hAnsi="宋体"/>
          <w:color w:val="auto"/>
          <w:szCs w:val="21"/>
          <w:highlight w:val="none"/>
        </w:rPr>
        <w:t>3为确保网上操作合法、有效和安全，投标人应当在投标截止时间前完成在</w:t>
      </w:r>
      <w:r>
        <w:rPr>
          <w:rFonts w:hint="eastAsia" w:hAnsi="宋体"/>
          <w:color w:val="auto"/>
          <w:szCs w:val="21"/>
          <w:highlight w:val="none"/>
          <w:lang w:eastAsia="zh-CN"/>
        </w:rPr>
        <w:t>广西政府采购云平台</w:t>
      </w:r>
      <w:r>
        <w:rPr>
          <w:rFonts w:hint="eastAsia" w:hAnsi="宋体"/>
          <w:color w:val="auto"/>
          <w:szCs w:val="21"/>
          <w:highlight w:val="none"/>
        </w:rPr>
        <w:t>的身份认证，确保在电子投标过程中能够对相关数据电文进行加密和使用电子签名。</w:t>
      </w:r>
    </w:p>
    <w:p w14:paraId="2839C3A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3F531F24">
      <w:pPr>
        <w:spacing w:line="360" w:lineRule="auto"/>
        <w:ind w:firstLine="420" w:firstLineChars="200"/>
        <w:rPr>
          <w:rFonts w:ascii="宋体" w:hAnsi="宋体" w:cs="宋体"/>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303DCCBD">
      <w:pPr>
        <w:spacing w:line="360" w:lineRule="auto"/>
        <w:ind w:firstLine="525" w:firstLineChars="250"/>
        <w:rPr>
          <w:rFonts w:hAnsi="宋体"/>
          <w:color w:val="auto"/>
          <w:highlight w:val="none"/>
        </w:rPr>
      </w:pPr>
      <w:r>
        <w:rPr>
          <w:rFonts w:hint="eastAsia" w:hAnsi="宋体"/>
          <w:color w:val="auto"/>
          <w:highlight w:val="none"/>
        </w:rPr>
        <w:t>19.6 对招标文件的实质性要求和条件作出响应是指投标人必须对招标文件中标注为实质性要求和条件的</w:t>
      </w:r>
      <w:r>
        <w:rPr>
          <w:rFonts w:hint="eastAsia"/>
          <w:color w:val="auto"/>
          <w:szCs w:val="21"/>
          <w:highlight w:val="none"/>
        </w:rPr>
        <w:t>服务内容及要求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395F1C4D">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14:paraId="08AAADC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6F2080C2">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58104FE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75F99C1F">
      <w:pPr>
        <w:spacing w:line="360" w:lineRule="auto"/>
        <w:ind w:firstLine="420" w:firstLineChars="200"/>
        <w:rPr>
          <w:rFonts w:hAnsi="宋体"/>
          <w:b/>
          <w:color w:val="auto"/>
          <w:highlight w:val="none"/>
        </w:rPr>
      </w:pPr>
      <w:bookmarkStart w:id="109" w:name="_21.1投标人必须在“投标人须知中的前附表”规定的投标文件接收时间和投"/>
      <w:bookmarkEnd w:id="109"/>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 xml:space="preserve">通过有效数字证书（CA认证锁）进行电子签章、加密，然后通过网络将加密的电子投标文件递交至“南宁市政采云平台”。 </w:t>
      </w:r>
      <w:r>
        <w:rPr>
          <w:rFonts w:hint="eastAsia" w:hAnsi="宋体"/>
          <w:b/>
          <w:color w:val="auto"/>
          <w:highlight w:val="none"/>
        </w:rPr>
        <w:t xml:space="preserve"> </w:t>
      </w:r>
    </w:p>
    <w:p w14:paraId="1BE8BFBA">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将拒收。</w:t>
      </w:r>
    </w:p>
    <w:p w14:paraId="7A3E7B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电子版投标文件提交方式见“招标公告”中“四、提交投标文件截止时间、开标时间和地点”</w:t>
      </w:r>
      <w:r>
        <w:rPr>
          <w:rFonts w:hint="eastAsia" w:ascii="宋体" w:hAnsi="宋体"/>
          <w:b/>
          <w:color w:val="auto"/>
          <w:szCs w:val="21"/>
          <w:highlight w:val="none"/>
        </w:rPr>
        <w:t xml:space="preserve"> 。</w:t>
      </w:r>
    </w:p>
    <w:p w14:paraId="68B7180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10" w:name="_Toc254970684"/>
      <w:bookmarkStart w:id="111" w:name="_Toc254970543"/>
    </w:p>
    <w:p w14:paraId="5DC5FF6C">
      <w:pPr>
        <w:spacing w:line="360" w:lineRule="auto"/>
        <w:ind w:firstLine="420" w:firstLineChars="200"/>
        <w:rPr>
          <w:rFonts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将拒收。（补充、修改或者撤回方式见公告附件“电子投标文件制作与投送教程”）</w:t>
      </w:r>
    </w:p>
    <w:p w14:paraId="0F806546">
      <w:pPr>
        <w:adjustRightIn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2</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收到投标文件，将妥善保存并即时向供应商发出确认回执通知。在投标截止时间前，除供应商补充、修改或者撤回投标文件外，任何单位和个人不得解密或提取投标文件。</w:t>
      </w:r>
    </w:p>
    <w:bookmarkEnd w:id="110"/>
    <w:bookmarkEnd w:id="111"/>
    <w:p w14:paraId="112C87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操作退回，除此之外采购人和采购代理机构对已提交的投标文件概不退回。</w:t>
      </w:r>
    </w:p>
    <w:p w14:paraId="15BABD56">
      <w:pPr>
        <w:snapToGrid w:val="0"/>
        <w:spacing w:line="400" w:lineRule="exact"/>
        <w:ind w:firstLine="1126" w:firstLineChars="352"/>
        <w:rPr>
          <w:rFonts w:ascii="仿宋_GB2312" w:hAnsi="宋体" w:eastAsia="仿宋_GB2312"/>
          <w:snapToGrid w:val="0"/>
          <w:color w:val="auto"/>
          <w:kern w:val="0"/>
          <w:sz w:val="32"/>
          <w:szCs w:val="21"/>
          <w:highlight w:val="none"/>
        </w:rPr>
      </w:pPr>
    </w:p>
    <w:p w14:paraId="72087742">
      <w:pPr>
        <w:spacing w:line="400" w:lineRule="exact"/>
        <w:ind w:firstLine="643"/>
        <w:jc w:val="center"/>
        <w:outlineLvl w:val="2"/>
        <w:rPr>
          <w:rFonts w:eastAsia="Times New Roman"/>
          <w:b/>
          <w:color w:val="auto"/>
          <w:sz w:val="32"/>
          <w:szCs w:val="32"/>
          <w:highlight w:val="none"/>
        </w:rPr>
      </w:pPr>
      <w:bookmarkStart w:id="112" w:name="_Toc80092998"/>
      <w:bookmarkStart w:id="113" w:name="_Toc254970544"/>
      <w:bookmarkStart w:id="114" w:name="_Toc254970685"/>
      <w:r>
        <w:rPr>
          <w:rFonts w:hint="eastAsia" w:ascii="宋体" w:hAnsi="宋体" w:cs="宋体"/>
          <w:b/>
          <w:color w:val="auto"/>
          <w:sz w:val="32"/>
          <w:szCs w:val="32"/>
          <w:highlight w:val="none"/>
        </w:rPr>
        <w:t>四、开</w:t>
      </w:r>
      <w:r>
        <w:rPr>
          <w:rFonts w:eastAsia="Times New Roman"/>
          <w:b/>
          <w:color w:val="auto"/>
          <w:sz w:val="32"/>
          <w:szCs w:val="32"/>
          <w:highlight w:val="none"/>
        </w:rPr>
        <w:t xml:space="preserve">  </w:t>
      </w:r>
      <w:r>
        <w:rPr>
          <w:rFonts w:hint="eastAsia" w:ascii="宋体" w:hAnsi="宋体" w:cs="宋体"/>
          <w:b/>
          <w:color w:val="auto"/>
          <w:sz w:val="32"/>
          <w:szCs w:val="32"/>
          <w:highlight w:val="none"/>
        </w:rPr>
        <w:t>标</w:t>
      </w:r>
      <w:bookmarkEnd w:id="112"/>
      <w:bookmarkEnd w:id="113"/>
      <w:bookmarkEnd w:id="114"/>
    </w:p>
    <w:p w14:paraId="1781026F">
      <w:pPr>
        <w:spacing w:line="360" w:lineRule="auto"/>
        <w:ind w:firstLine="480" w:firstLineChars="200"/>
        <w:rPr>
          <w:rFonts w:ascii="黑体" w:hAnsi="黑体" w:eastAsia="黑体"/>
          <w:color w:val="auto"/>
          <w:sz w:val="24"/>
          <w:highlight w:val="none"/>
        </w:rPr>
      </w:pPr>
      <w:bookmarkStart w:id="115" w:name="_23.开标时间和地点"/>
      <w:bookmarkEnd w:id="115"/>
      <w:r>
        <w:rPr>
          <w:rFonts w:hint="eastAsia" w:ascii="黑体" w:hAnsi="黑体" w:eastAsia="黑体"/>
          <w:color w:val="auto"/>
          <w:sz w:val="24"/>
          <w:highlight w:val="none"/>
        </w:rPr>
        <w:t>23.开标时间和地点</w:t>
      </w:r>
    </w:p>
    <w:p w14:paraId="37F40C69">
      <w:pPr>
        <w:spacing w:line="360" w:lineRule="auto"/>
        <w:ind w:firstLine="420" w:firstLineChars="200"/>
        <w:rPr>
          <w:rFonts w:hAnsi="宋体"/>
          <w:bCs/>
          <w:color w:val="auto"/>
          <w:highlight w:val="none"/>
        </w:rPr>
      </w:pPr>
      <w:r>
        <w:rPr>
          <w:rFonts w:hint="eastAsia" w:hAnsi="宋体"/>
          <w:bCs/>
          <w:color w:val="auto"/>
          <w:highlight w:val="none"/>
        </w:rPr>
        <w:t>23.1开标时间及地点详见“投标人须知前附表”</w:t>
      </w:r>
    </w:p>
    <w:p w14:paraId="553C2C61">
      <w:pPr>
        <w:spacing w:line="360" w:lineRule="auto"/>
        <w:ind w:firstLine="420" w:firstLineChars="200"/>
        <w:rPr>
          <w:color w:val="auto"/>
          <w:highlight w:val="none"/>
        </w:rPr>
      </w:pPr>
      <w:r>
        <w:rPr>
          <w:rFonts w:hint="eastAsia" w:hAnsi="宋体"/>
          <w:color w:val="auto"/>
          <w:highlight w:val="none"/>
        </w:rPr>
        <w:t>23.2如</w:t>
      </w:r>
      <w:r>
        <w:rPr>
          <w:rFonts w:hint="eastAsia" w:hAnsi="宋体"/>
          <w:bCs/>
          <w:color w:val="auto"/>
          <w:highlight w:val="none"/>
        </w:rPr>
        <w:t>投标人成功解密投标文件，但未在“政采云”电子开标大厅参加开标的，视同认可开标过程和结果，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14:paraId="5755A0D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06EAAAB5">
      <w:pPr>
        <w:autoSpaceDE w:val="0"/>
        <w:autoSpaceDN w:val="0"/>
        <w:adjustRightInd w:val="0"/>
        <w:spacing w:line="440" w:lineRule="exact"/>
        <w:ind w:firstLine="420" w:firstLineChars="200"/>
        <w:rPr>
          <w:rFonts w:ascii="宋体" w:hAnsi="宋体"/>
          <w:color w:val="auto"/>
          <w:szCs w:val="21"/>
          <w:highlight w:val="none"/>
        </w:rPr>
      </w:pPr>
      <w:r>
        <w:rPr>
          <w:rFonts w:hint="eastAsia" w:ascii="宋体" w:hAnsi="宋体"/>
          <w:bCs/>
          <w:color w:val="auto"/>
          <w:szCs w:val="21"/>
          <w:highlight w:val="none"/>
        </w:rPr>
        <w:t>24.1</w:t>
      </w:r>
      <w:r>
        <w:rPr>
          <w:rFonts w:hint="eastAsia" w:ascii="宋体" w:hAnsi="宋体"/>
          <w:color w:val="auto"/>
          <w:szCs w:val="21"/>
          <w:highlight w:val="none"/>
        </w:rPr>
        <w:t>开标形式：</w:t>
      </w:r>
    </w:p>
    <w:p w14:paraId="57635E7C">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选取评审专家，如采购代理机构未按规定选取专家的，视为本次开评标无效，应当重新采购；</w:t>
      </w:r>
    </w:p>
    <w:p w14:paraId="64DF7636">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14:paraId="04E193EE">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14:paraId="41C402B4">
      <w:pPr>
        <w:snapToGrid w:val="0"/>
        <w:spacing w:line="440" w:lineRule="exact"/>
        <w:ind w:firstLine="422" w:firstLineChars="200"/>
        <w:rPr>
          <w:rFonts w:ascii="宋体" w:hAnsi="宋体"/>
          <w:color w:val="auto"/>
          <w:kern w:val="1"/>
          <w:szCs w:val="21"/>
          <w:highlight w:val="none"/>
        </w:rPr>
      </w:pPr>
      <w:r>
        <w:rPr>
          <w:rFonts w:hint="eastAsia" w:ascii="宋体" w:hAnsi="宋体"/>
          <w:b/>
          <w:color w:val="auto"/>
          <w:kern w:val="1"/>
          <w:szCs w:val="21"/>
          <w:highlight w:val="none"/>
        </w:rPr>
        <w:t>（1）解密电子投标文件。</w:t>
      </w:r>
      <w:r>
        <w:rPr>
          <w:rFonts w:hint="eastAsia" w:ascii="宋体" w:hAnsi="宋体" w:cs="仿宋_GB2312"/>
          <w:b/>
          <w:color w:val="auto"/>
          <w:kern w:val="1"/>
          <w:szCs w:val="21"/>
          <w:highlight w:val="none"/>
          <w:lang w:eastAsia="zh-CN"/>
        </w:rPr>
        <w:t>广西政府采购云平台</w:t>
      </w:r>
      <w:r>
        <w:rPr>
          <w:rFonts w:hint="eastAsia" w:ascii="宋体" w:hAnsi="宋体" w:cs="仿宋_GB2312"/>
          <w:color w:val="auto"/>
          <w:kern w:val="1"/>
          <w:szCs w:val="21"/>
          <w:highlight w:val="none"/>
        </w:rPr>
        <w:t>按开标时间自动提取所有投标文件。采购代理机构依托</w:t>
      </w:r>
      <w:r>
        <w:rPr>
          <w:rFonts w:hint="eastAsia" w:ascii="宋体" w:hAnsi="宋体" w:cs="仿宋_GB2312"/>
          <w:color w:val="auto"/>
          <w:kern w:val="1"/>
          <w:szCs w:val="21"/>
          <w:highlight w:val="none"/>
          <w:lang w:eastAsia="zh-CN"/>
        </w:rPr>
        <w:t>广西政府采购云平台</w:t>
      </w:r>
      <w:r>
        <w:rPr>
          <w:rFonts w:hint="eastAsia" w:ascii="宋体" w:hAnsi="宋体"/>
          <w:color w:val="auto"/>
          <w:kern w:val="1"/>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color w:val="auto"/>
          <w:kern w:val="1"/>
          <w:szCs w:val="21"/>
          <w:highlight w:val="none"/>
        </w:rPr>
        <w:t>须携带加密时所用的CA锁准时登录到</w:t>
      </w:r>
      <w:r>
        <w:rPr>
          <w:rFonts w:hint="eastAsia" w:ascii="宋体" w:hAnsi="宋体"/>
          <w:b/>
          <w:color w:val="auto"/>
          <w:kern w:val="1"/>
          <w:szCs w:val="21"/>
          <w:highlight w:val="none"/>
          <w:lang w:eastAsia="zh-CN"/>
        </w:rPr>
        <w:t>广西政府采购云平台</w:t>
      </w:r>
      <w:r>
        <w:rPr>
          <w:rFonts w:hint="eastAsia" w:ascii="宋体" w:hAnsi="宋体"/>
          <w:b/>
          <w:color w:val="auto"/>
          <w:kern w:val="1"/>
          <w:szCs w:val="21"/>
          <w:highlight w:val="none"/>
        </w:rPr>
        <w:t>电子开标大厅签到并对电子投标文件解密</w:t>
      </w:r>
      <w:r>
        <w:rPr>
          <w:rFonts w:hint="eastAsia" w:ascii="宋体" w:hAnsi="宋体"/>
          <w:color w:val="auto"/>
          <w:kern w:val="1"/>
          <w:szCs w:val="21"/>
          <w:highlight w:val="none"/>
        </w:rPr>
        <w:t>。开标后5分钟投标人还未进行解密的，代理机构要通知投标人。通知后，</w:t>
      </w:r>
      <w:r>
        <w:rPr>
          <w:rFonts w:hint="eastAsia" w:ascii="宋体" w:hAnsi="宋体" w:cs="仿宋_GB2312"/>
          <w:color w:val="auto"/>
          <w:kern w:val="1"/>
          <w:szCs w:val="21"/>
          <w:highlight w:val="none"/>
        </w:rPr>
        <w:t>投标文件仍未按时解密，</w:t>
      </w:r>
      <w:r>
        <w:rPr>
          <w:rFonts w:hint="eastAsia" w:ascii="宋体" w:hAnsi="宋体"/>
          <w:color w:val="auto"/>
          <w:kern w:val="1"/>
          <w:szCs w:val="21"/>
          <w:highlight w:val="none"/>
        </w:rPr>
        <w:t>或者投标人没预留联系方式或预留联系方式无效，导致代理机构无法联系到投标人进行解密的，</w:t>
      </w:r>
      <w:r>
        <w:rPr>
          <w:rFonts w:hint="eastAsia" w:ascii="宋体" w:hAnsi="宋体"/>
          <w:b/>
          <w:color w:val="auto"/>
          <w:kern w:val="1"/>
          <w:szCs w:val="21"/>
          <w:highlight w:val="none"/>
        </w:rPr>
        <w:t>均视为无效投标。</w:t>
      </w:r>
    </w:p>
    <w:p w14:paraId="53D59800">
      <w:pPr>
        <w:snapToGrid w:val="0"/>
        <w:spacing w:line="440" w:lineRule="exact"/>
        <w:ind w:firstLine="420" w:firstLineChars="200"/>
        <w:rPr>
          <w:rFonts w:ascii="宋体" w:hAnsi="宋体"/>
          <w:color w:val="auto"/>
          <w:kern w:val="1"/>
          <w:szCs w:val="21"/>
          <w:highlight w:val="none"/>
        </w:rPr>
      </w:pPr>
      <w:r>
        <w:rPr>
          <w:rFonts w:hint="eastAsia" w:ascii="宋体" w:hAnsi="宋体"/>
          <w:color w:val="auto"/>
          <w:kern w:val="1"/>
          <w:szCs w:val="21"/>
          <w:highlight w:val="none"/>
        </w:rPr>
        <w:t>（解密</w:t>
      </w:r>
      <w:r>
        <w:rPr>
          <w:rFonts w:hint="eastAsia" w:ascii="宋体" w:hAnsi="宋体"/>
          <w:bCs/>
          <w:color w:val="auto"/>
          <w:kern w:val="1"/>
          <w:szCs w:val="21"/>
          <w:highlight w:val="none"/>
        </w:rPr>
        <w:t>异常情况处理：详见本章</w:t>
      </w:r>
      <w:r>
        <w:rPr>
          <w:rFonts w:hint="eastAsia" w:ascii="宋体" w:hAnsi="宋体"/>
          <w:color w:val="auto"/>
          <w:kern w:val="1"/>
          <w:szCs w:val="20"/>
          <w:highlight w:val="none"/>
        </w:rPr>
        <w:t>29.3 电子交易活动的中止。</w:t>
      </w:r>
      <w:r>
        <w:rPr>
          <w:rFonts w:hint="eastAsia" w:ascii="宋体" w:hAnsi="宋体"/>
          <w:color w:val="auto"/>
          <w:kern w:val="1"/>
          <w:szCs w:val="21"/>
          <w:highlight w:val="none"/>
        </w:rPr>
        <w:t>）</w:t>
      </w:r>
    </w:p>
    <w:p w14:paraId="6738DB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远程不见面开标大厅展示；</w:t>
      </w:r>
    </w:p>
    <w:p w14:paraId="43D9E8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07A13FC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0772C8F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5902A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12563028">
      <w:pPr>
        <w:snapToGrid w:val="0"/>
        <w:spacing w:line="440" w:lineRule="exact"/>
        <w:ind w:firstLine="422" w:firstLineChars="200"/>
        <w:rPr>
          <w:rFonts w:ascii="宋体" w:hAnsi="宋体"/>
          <w:color w:val="auto"/>
          <w:kern w:val="1"/>
          <w:szCs w:val="21"/>
          <w:highlight w:val="none"/>
        </w:rPr>
      </w:pPr>
      <w:r>
        <w:rPr>
          <w:rFonts w:hint="eastAsia" w:ascii="宋体" w:hAnsi="宋体"/>
          <w:b/>
          <w:bCs/>
          <w:color w:val="auto"/>
          <w:kern w:val="1"/>
          <w:szCs w:val="21"/>
          <w:highlight w:val="none"/>
        </w:rPr>
        <w:t>特别说明：</w:t>
      </w:r>
      <w:r>
        <w:rPr>
          <w:rFonts w:hint="eastAsia" w:ascii="宋体" w:hAnsi="宋体"/>
          <w:color w:val="auto"/>
          <w:kern w:val="1"/>
          <w:szCs w:val="21"/>
          <w:highlight w:val="none"/>
        </w:rPr>
        <w:t>如遇</w:t>
      </w:r>
      <w:r>
        <w:rPr>
          <w:rFonts w:hint="eastAsia" w:ascii="宋体" w:hAnsi="宋体"/>
          <w:color w:val="auto"/>
          <w:kern w:val="1"/>
          <w:szCs w:val="21"/>
          <w:highlight w:val="none"/>
          <w:lang w:eastAsia="zh-CN"/>
        </w:rPr>
        <w:t>广西政府采购云平台</w:t>
      </w:r>
      <w:r>
        <w:rPr>
          <w:rFonts w:hint="eastAsia" w:ascii="宋体" w:hAnsi="宋体"/>
          <w:color w:val="auto"/>
          <w:kern w:val="1"/>
          <w:szCs w:val="21"/>
          <w:highlight w:val="none"/>
        </w:rPr>
        <w:t>电子化开标或评审程序调整的，按调整后执行。</w:t>
      </w:r>
    </w:p>
    <w:p w14:paraId="636BE0D8">
      <w:pPr>
        <w:snapToGrid w:val="0"/>
        <w:spacing w:line="400" w:lineRule="exact"/>
        <w:ind w:left="689" w:leftChars="228" w:hanging="210" w:hangingChars="100"/>
        <w:rPr>
          <w:rFonts w:ascii="宋体" w:hAnsi="宋体"/>
          <w:color w:val="auto"/>
          <w:kern w:val="1"/>
          <w:szCs w:val="20"/>
          <w:highlight w:val="none"/>
        </w:rPr>
      </w:pPr>
    </w:p>
    <w:p w14:paraId="791CB7A7">
      <w:pPr>
        <w:spacing w:line="400" w:lineRule="exact"/>
        <w:ind w:firstLine="643"/>
        <w:jc w:val="center"/>
        <w:outlineLvl w:val="2"/>
        <w:rPr>
          <w:rFonts w:eastAsia="Times New Roman"/>
          <w:b/>
          <w:color w:val="auto"/>
          <w:sz w:val="32"/>
          <w:szCs w:val="32"/>
          <w:highlight w:val="none"/>
        </w:rPr>
      </w:pPr>
      <w:bookmarkStart w:id="116" w:name="_Toc80092999"/>
      <w:r>
        <w:rPr>
          <w:rFonts w:hint="eastAsia" w:ascii="宋体" w:hAnsi="宋体" w:cs="宋体"/>
          <w:b/>
          <w:color w:val="auto"/>
          <w:sz w:val="32"/>
          <w:szCs w:val="32"/>
          <w:highlight w:val="none"/>
        </w:rPr>
        <w:t>五、资格审查</w:t>
      </w:r>
      <w:bookmarkEnd w:id="116"/>
    </w:p>
    <w:p w14:paraId="6D28A3C2">
      <w:pPr>
        <w:spacing w:line="360" w:lineRule="auto"/>
        <w:ind w:firstLine="482" w:firstLineChars="200"/>
        <w:outlineLvl w:val="4"/>
        <w:rPr>
          <w:rFonts w:ascii="黑体" w:hAnsi="黑体" w:eastAsia="黑体"/>
          <w:b/>
          <w:color w:val="auto"/>
          <w:sz w:val="24"/>
          <w:szCs w:val="28"/>
          <w:highlight w:val="none"/>
        </w:rPr>
      </w:pPr>
      <w:r>
        <w:rPr>
          <w:rFonts w:hint="eastAsia" w:ascii="黑体" w:hAnsi="黑体" w:eastAsia="黑体"/>
          <w:b/>
          <w:color w:val="auto"/>
          <w:sz w:val="24"/>
          <w:szCs w:val="28"/>
          <w:highlight w:val="none"/>
        </w:rPr>
        <w:t>25.资格审查</w:t>
      </w:r>
    </w:p>
    <w:p w14:paraId="7AF86E6C">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14:paraId="665A2840">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2D5DF270">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13369E5">
      <w:pPr>
        <w:spacing w:line="360" w:lineRule="auto"/>
        <w:ind w:firstLine="422" w:firstLineChars="200"/>
        <w:rPr>
          <w:rFonts w:ascii="宋体" w:hAnsi="宋体"/>
          <w:b/>
          <w:bCs/>
          <w:color w:val="auto"/>
          <w:szCs w:val="20"/>
          <w:highlight w:val="none"/>
        </w:rPr>
      </w:pPr>
      <w:bookmarkStart w:id="117" w:name="_25.3_投标人有下列情形之一的，资格审查不通过而导致其投标无效："/>
      <w:bookmarkEnd w:id="117"/>
      <w:r>
        <w:rPr>
          <w:rFonts w:hint="eastAsia" w:ascii="宋体" w:hAnsi="宋体"/>
          <w:b/>
          <w:bCs/>
          <w:color w:val="auto"/>
          <w:szCs w:val="20"/>
          <w:highlight w:val="none"/>
        </w:rPr>
        <w:t>25.4投标人有下列情形之一的，资格审查不通过，作无效投标处理：</w:t>
      </w:r>
    </w:p>
    <w:p w14:paraId="689F94C6">
      <w:pPr>
        <w:spacing w:line="360" w:lineRule="auto"/>
        <w:ind w:firstLine="420" w:firstLineChars="200"/>
        <w:rPr>
          <w:rFonts w:hAnsi="宋体"/>
          <w:color w:val="auto"/>
          <w:highlight w:val="none"/>
        </w:rPr>
      </w:pPr>
      <w:r>
        <w:rPr>
          <w:rFonts w:hint="eastAsia" w:hAnsi="宋体"/>
          <w:color w:val="auto"/>
          <w:highlight w:val="none"/>
        </w:rPr>
        <w:t>（1）不具备招标文件中规定的资格要求的；（注：其中信用查询规则见“投标人须知前附表”，</w:t>
      </w:r>
      <w:r>
        <w:rPr>
          <w:rFonts w:hint="eastAsia" w:hAnsi="宋体"/>
          <w:color w:val="auto"/>
          <w:highlight w:val="none"/>
          <w:lang w:eastAsia="zh-CN"/>
        </w:rPr>
        <w:t>广西政府采购云平台</w:t>
      </w:r>
      <w:r>
        <w:rPr>
          <w:rFonts w:hint="eastAsia" w:hAnsi="宋体"/>
          <w:color w:val="auto"/>
          <w:highlight w:val="none"/>
        </w:rPr>
        <w:t>已与“信用中国”平台做接口，审查专家可直接在线查询）</w:t>
      </w:r>
    </w:p>
    <w:p w14:paraId="5F518DA5">
      <w:pPr>
        <w:spacing w:line="360" w:lineRule="auto"/>
        <w:ind w:firstLine="420" w:firstLineChars="200"/>
        <w:rPr>
          <w:rFonts w:hAnsi="宋体"/>
          <w:color w:val="auto"/>
          <w:highlight w:val="none"/>
        </w:rPr>
      </w:pPr>
      <w:r>
        <w:rPr>
          <w:rFonts w:hint="eastAsia" w:hAnsi="宋体"/>
          <w:color w:val="auto"/>
          <w:highlight w:val="none"/>
        </w:rPr>
        <w:t>（2）投标文件未提供任一项“投标人须知前附表”资格证明文件规定的“必须提供”的文件资料的；</w:t>
      </w:r>
    </w:p>
    <w:p w14:paraId="673B7CBC">
      <w:pPr>
        <w:spacing w:line="360" w:lineRule="auto"/>
        <w:ind w:firstLine="420" w:firstLineChars="200"/>
        <w:rPr>
          <w:rFonts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14:paraId="1D3801C2">
      <w:pPr>
        <w:spacing w:line="360" w:lineRule="auto"/>
        <w:ind w:firstLine="420" w:firstLineChars="200"/>
        <w:outlineLvl w:val="4"/>
        <w:rPr>
          <w:rFonts w:ascii="宋体" w:hAnsi="宋体" w:eastAsia="Times New Roman"/>
          <w:bCs/>
          <w:color w:val="auto"/>
          <w:szCs w:val="20"/>
          <w:highlight w:val="none"/>
        </w:rPr>
      </w:pPr>
      <w:r>
        <w:rPr>
          <w:rFonts w:hint="eastAsia" w:ascii="宋体" w:hAnsi="宋体" w:eastAsia="Times New Roman"/>
          <w:bCs/>
          <w:color w:val="auto"/>
          <w:szCs w:val="20"/>
          <w:highlight w:val="none"/>
        </w:rPr>
        <w:t>25.5资格审查的</w:t>
      </w:r>
      <w:r>
        <w:rPr>
          <w:rFonts w:ascii="宋体" w:hAnsi="宋体" w:eastAsia="Times New Roman"/>
          <w:bCs/>
          <w:color w:val="auto"/>
          <w:szCs w:val="20"/>
          <w:highlight w:val="none"/>
        </w:rPr>
        <w:t>合格投标人不足3家的，不得评标。</w:t>
      </w:r>
    </w:p>
    <w:p w14:paraId="0F14C83B">
      <w:pPr>
        <w:spacing w:line="360" w:lineRule="auto"/>
        <w:ind w:firstLine="643"/>
        <w:jc w:val="center"/>
        <w:outlineLvl w:val="2"/>
        <w:rPr>
          <w:rFonts w:eastAsia="Times New Roman"/>
          <w:b/>
          <w:color w:val="auto"/>
          <w:sz w:val="32"/>
          <w:szCs w:val="32"/>
          <w:highlight w:val="none"/>
        </w:rPr>
      </w:pPr>
      <w:bookmarkStart w:id="118" w:name="_Toc80093000"/>
      <w:r>
        <w:rPr>
          <w:rFonts w:hint="eastAsia" w:ascii="宋体" w:hAnsi="宋体" w:cs="宋体"/>
          <w:b/>
          <w:color w:val="auto"/>
          <w:sz w:val="32"/>
          <w:szCs w:val="32"/>
          <w:highlight w:val="none"/>
        </w:rPr>
        <w:t>六、评</w:t>
      </w:r>
      <w:r>
        <w:rPr>
          <w:rFonts w:eastAsia="Times New Roman"/>
          <w:b/>
          <w:color w:val="auto"/>
          <w:sz w:val="32"/>
          <w:szCs w:val="32"/>
          <w:highlight w:val="none"/>
        </w:rPr>
        <w:t xml:space="preserve"> </w:t>
      </w:r>
      <w:r>
        <w:rPr>
          <w:rFonts w:hint="eastAsia" w:ascii="宋体" w:hAnsi="宋体" w:cs="宋体"/>
          <w:b/>
          <w:color w:val="auto"/>
          <w:sz w:val="32"/>
          <w:szCs w:val="32"/>
          <w:highlight w:val="none"/>
        </w:rPr>
        <w:t>标</w:t>
      </w:r>
      <w:bookmarkEnd w:id="118"/>
    </w:p>
    <w:p w14:paraId="319ED5B3">
      <w:pPr>
        <w:spacing w:line="360" w:lineRule="auto"/>
        <w:ind w:firstLine="480" w:firstLineChars="200"/>
        <w:rPr>
          <w:rFonts w:ascii="黑体" w:hAnsi="黑体" w:eastAsia="黑体"/>
          <w:color w:val="auto"/>
          <w:sz w:val="24"/>
          <w:highlight w:val="none"/>
        </w:rPr>
      </w:pPr>
      <w:bookmarkStart w:id="119" w:name="_26.组建评标委员会"/>
      <w:bookmarkEnd w:id="119"/>
      <w:r>
        <w:rPr>
          <w:rFonts w:hint="eastAsia" w:ascii="黑体" w:hAnsi="黑体" w:eastAsia="黑体"/>
          <w:color w:val="auto"/>
          <w:sz w:val="24"/>
          <w:highlight w:val="none"/>
        </w:rPr>
        <w:t>26.组建评标委员会</w:t>
      </w:r>
    </w:p>
    <w:p w14:paraId="7758584D">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评标委员会由采购人代表和评审专家组成，人数为5人以上单数，其中评审专家不得少于成员总数的三分之二。</w:t>
      </w:r>
    </w:p>
    <w:p w14:paraId="5F9FACC6">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3418F31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71A14E8F">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评标方法和评标标准”</w:t>
      </w:r>
      <w:r>
        <w:rPr>
          <w:rFonts w:hAnsi="宋体"/>
          <w:color w:val="auto"/>
          <w:highlight w:val="none"/>
        </w:rPr>
        <w:t>没有规定的方法、评审因素和标准，不作为评标依据。</w:t>
      </w:r>
    </w:p>
    <w:p w14:paraId="0812DC8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553FE107">
      <w:pPr>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3ABBC20">
      <w:pPr>
        <w:spacing w:line="360" w:lineRule="auto"/>
        <w:ind w:firstLine="420" w:firstLineChars="200"/>
        <w:rPr>
          <w:rFonts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0" w:name="_28.3评标方法。本项目将按须知前附表规定的评标办法进行评标，具体评标"/>
      <w:bookmarkEnd w:id="120"/>
    </w:p>
    <w:p w14:paraId="1E957867">
      <w:pPr>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2CC78F6">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07C379A2">
      <w:pPr>
        <w:widowControl/>
        <w:spacing w:line="560" w:lineRule="exact"/>
        <w:ind w:firstLine="420" w:firstLineChars="200"/>
        <w:jc w:val="left"/>
        <w:textAlignment w:val="baseline"/>
        <w:rPr>
          <w:rFonts w:hAnsi="宋体"/>
          <w:color w:val="auto"/>
          <w:highlight w:val="none"/>
        </w:rPr>
      </w:pPr>
      <w:r>
        <w:rPr>
          <w:rFonts w:hint="eastAsia" w:hAnsi="宋体"/>
          <w:color w:val="auto"/>
          <w:highlight w:val="none"/>
        </w:rPr>
        <w:t>28.5</w:t>
      </w:r>
      <w:r>
        <w:rPr>
          <w:rFonts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1223AA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71F78128">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14:paraId="0841945C">
      <w:pPr>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评标委员会按照</w:t>
      </w:r>
      <w:r>
        <w:rPr>
          <w:rFonts w:hint="eastAsia" w:hAnsi="宋体" w:cs="宋体"/>
          <w:b/>
          <w:color w:val="auto"/>
          <w:highlight w:val="none"/>
        </w:rPr>
        <w:t>“第四章 评标方法和评标标准”</w:t>
      </w:r>
      <w:r>
        <w:rPr>
          <w:rFonts w:hAnsi="宋体"/>
          <w:color w:val="auto"/>
          <w:highlight w:val="none"/>
        </w:rPr>
        <w:t>规定的方法、评审因素、标准和程序对投标文件进行评审。</w:t>
      </w:r>
    </w:p>
    <w:p w14:paraId="71BC38C2">
      <w:pPr>
        <w:spacing w:line="360" w:lineRule="auto"/>
        <w:ind w:firstLine="420" w:firstLineChars="200"/>
        <w:rPr>
          <w:rFonts w:hAnsi="宋体"/>
          <w:color w:val="auto"/>
          <w:highlight w:val="none"/>
        </w:rPr>
      </w:pPr>
      <w:r>
        <w:rPr>
          <w:rFonts w:hint="eastAsia" w:hAnsi="宋体"/>
          <w:color w:val="auto"/>
          <w:highlight w:val="none"/>
        </w:rPr>
        <w:t>29.3 电子交易活动的中止。采购过程中出现以下情形，导致电子交易平台无法正常运行，或者无法保证电子交易的公平、公正和安全时，采购机构可中止电子交易活动：</w:t>
      </w:r>
    </w:p>
    <w:p w14:paraId="3ABBB2B1">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56207F1F">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1BCB7E59">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1F081BAC">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7CDEBF77">
      <w:pPr>
        <w:spacing w:line="360" w:lineRule="auto"/>
        <w:ind w:firstLine="420" w:firstLineChars="200"/>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5</w:t>
      </w:r>
      <w:r>
        <w:rPr>
          <w:rFonts w:hint="eastAsia" w:hAnsi="宋体"/>
          <w:color w:val="auto"/>
          <w:highlight w:val="none"/>
        </w:rPr>
        <w:t>）其他无法保证电子交易的公平、公正和安全的情况。</w:t>
      </w:r>
    </w:p>
    <w:p w14:paraId="523130DA">
      <w:pPr>
        <w:spacing w:line="360" w:lineRule="auto"/>
        <w:ind w:firstLine="420" w:firstLineChars="200"/>
        <w:rPr>
          <w:rFonts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9B13032">
      <w:pPr>
        <w:snapToGrid w:val="0"/>
        <w:spacing w:line="400" w:lineRule="exact"/>
        <w:ind w:firstLine="420" w:firstLineChars="200"/>
        <w:rPr>
          <w:rFonts w:ascii="宋体" w:hAnsi="宋体"/>
          <w:color w:val="auto"/>
          <w:kern w:val="1"/>
          <w:szCs w:val="20"/>
          <w:highlight w:val="none"/>
        </w:rPr>
      </w:pPr>
    </w:p>
    <w:p w14:paraId="2C884A50">
      <w:pPr>
        <w:spacing w:line="400" w:lineRule="exact"/>
        <w:ind w:firstLine="643"/>
        <w:jc w:val="center"/>
        <w:outlineLvl w:val="2"/>
        <w:rPr>
          <w:rFonts w:eastAsia="Times New Roman"/>
          <w:b/>
          <w:color w:val="auto"/>
          <w:sz w:val="32"/>
          <w:szCs w:val="32"/>
          <w:highlight w:val="none"/>
        </w:rPr>
      </w:pPr>
      <w:bookmarkStart w:id="121" w:name="_Toc254970546"/>
      <w:bookmarkStart w:id="122" w:name="_Toc254970687"/>
      <w:bookmarkStart w:id="123" w:name="_Toc80093001"/>
      <w:r>
        <w:rPr>
          <w:rFonts w:hint="eastAsia" w:ascii="宋体" w:hAnsi="宋体" w:cs="宋体"/>
          <w:b/>
          <w:color w:val="auto"/>
          <w:sz w:val="32"/>
          <w:szCs w:val="32"/>
          <w:highlight w:val="none"/>
        </w:rPr>
        <w:t>七、</w:t>
      </w:r>
      <w:bookmarkEnd w:id="121"/>
      <w:bookmarkEnd w:id="122"/>
      <w:r>
        <w:rPr>
          <w:rFonts w:hint="eastAsia" w:ascii="宋体" w:hAnsi="宋体" w:cs="宋体"/>
          <w:b/>
          <w:color w:val="auto"/>
          <w:sz w:val="32"/>
          <w:szCs w:val="32"/>
          <w:highlight w:val="none"/>
        </w:rPr>
        <w:t>中标和合同</w:t>
      </w:r>
      <w:bookmarkEnd w:id="123"/>
    </w:p>
    <w:p w14:paraId="6A0BF58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0BD1EA27">
      <w:pPr>
        <w:spacing w:line="360" w:lineRule="auto"/>
        <w:ind w:firstLine="422" w:firstLineChars="200"/>
        <w:rPr>
          <w:rFonts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本项目授权评标委员会直接按第四章“评标方法及标准”的规定排列中标候选人顺序，并依照次序确定中标人。</w:t>
      </w:r>
    </w:p>
    <w:p w14:paraId="7647B233">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796AF0E">
      <w:pPr>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3中标供应商无正当理由拒签合同的，根据《中华人民共和国政府采购法》第七十七条第一款规定处理。</w:t>
      </w:r>
    </w:p>
    <w:p w14:paraId="5B00E732">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3BAF785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7020AECF">
      <w:pPr>
        <w:spacing w:line="360" w:lineRule="auto"/>
        <w:ind w:firstLine="420" w:firstLineChars="200"/>
        <w:rPr>
          <w:rFonts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发布中标结果公告，中标结果公告期限为1个工作日，发布中标结果公告的同时向中标供应商发出中标通知书。</w:t>
      </w:r>
      <w:r>
        <w:rPr>
          <w:rFonts w:hint="eastAsia" w:hAnsi="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24CC10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3E834F9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FAD05B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3604CA9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发出电子中标通知书。</w:t>
      </w:r>
    </w:p>
    <w:p w14:paraId="4064B33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57731AA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45FF0BB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0523F20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252BD7D0">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23AF560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1890981F">
      <w:pPr>
        <w:spacing w:line="360" w:lineRule="auto"/>
        <w:ind w:firstLine="420" w:firstLineChars="200"/>
        <w:rPr>
          <w:rFonts w:ascii="宋体" w:hAnsi="宋体" w:cs="仿宋_GB2312"/>
          <w:color w:val="auto"/>
          <w:szCs w:val="21"/>
          <w:highlight w:val="none"/>
        </w:rPr>
      </w:pPr>
      <w:bookmarkStart w:id="124" w:name="_39.1中标人须于签订合同前按本须知前附表规定的金额转账或电汇到指定账"/>
      <w:bookmarkEnd w:id="124"/>
      <w:r>
        <w:rPr>
          <w:rFonts w:hint="eastAsia" w:ascii="宋体" w:hAnsi="宋体" w:cs="仿宋_GB2312"/>
          <w:color w:val="auto"/>
          <w:szCs w:val="21"/>
          <w:highlight w:val="none"/>
        </w:rPr>
        <w:t>见“投标人须知前附表”。</w:t>
      </w:r>
    </w:p>
    <w:p w14:paraId="4155099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03B5167D">
      <w:pPr>
        <w:adjustRightInd w:val="0"/>
        <w:snapToGrid w:val="0"/>
        <w:spacing w:line="360" w:lineRule="auto"/>
        <w:ind w:firstLine="422" w:firstLineChars="200"/>
        <w:rPr>
          <w:rFonts w:ascii="宋体" w:hAnsi="宋体"/>
          <w:color w:val="auto"/>
          <w:kern w:val="0"/>
          <w:szCs w:val="21"/>
          <w:highlight w:val="none"/>
          <w:lang w:val="zh-CN"/>
        </w:rPr>
      </w:pPr>
      <w:bookmarkStart w:id="125" w:name="_40.1投标人接到中标通知书后，按须知前附表规定向采购人出示相关资格证"/>
      <w:bookmarkEnd w:id="125"/>
      <w:r>
        <w:rPr>
          <w:rFonts w:hint="eastAsia" w:ascii="宋体" w:hAnsi="宋体"/>
          <w:b/>
          <w:color w:val="auto"/>
          <w:szCs w:val="21"/>
          <w:highlight w:val="none"/>
        </w:rPr>
        <w:t xml:space="preserve"> 36.1中标人领取电子中标通知书后，</w:t>
      </w:r>
      <w:r>
        <w:rPr>
          <w:rFonts w:hint="eastAsia" w:ascii="宋体" w:hAnsi="宋体"/>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6576E35">
      <w:pPr>
        <w:adjustRightInd w:val="0"/>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36.2</w:t>
      </w:r>
      <w:r>
        <w:rPr>
          <w:rFonts w:ascii="宋体" w:hAnsi="宋体" w:cs="仿宋_GB2312"/>
          <w:color w:val="auto"/>
          <w:szCs w:val="21"/>
          <w:highlight w:val="none"/>
        </w:rPr>
        <w:t>采购合同由采购人与中标供应商根据</w:t>
      </w:r>
      <w:r>
        <w:rPr>
          <w:rFonts w:hint="eastAsia" w:ascii="宋体" w:hAnsi="宋体" w:cs="仿宋_GB2312"/>
          <w:color w:val="auto"/>
          <w:szCs w:val="21"/>
          <w:highlight w:val="none"/>
        </w:rPr>
        <w:t>招标文件、投标文件等内容通过政府采购电子交易平台在线签订，自动备案。</w:t>
      </w:r>
    </w:p>
    <w:p w14:paraId="2B025C10">
      <w:pPr>
        <w:adjustRightInd w:val="0"/>
        <w:snapToGrid w:val="0"/>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36.3签订合同时间：按中标通知书规定的时间与采购人签订合同（最长不能超过25日）。</w:t>
      </w:r>
    </w:p>
    <w:p w14:paraId="210B72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415A2A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CB3C0E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2D312F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0847438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4815187B">
      <w:pPr>
        <w:spacing w:line="360" w:lineRule="auto"/>
        <w:ind w:firstLine="480" w:firstLineChars="200"/>
        <w:rPr>
          <w:rFonts w:ascii="黑体" w:hAnsi="黑体" w:eastAsia="黑体"/>
          <w:color w:val="auto"/>
          <w:sz w:val="24"/>
          <w:highlight w:val="none"/>
        </w:rPr>
      </w:pPr>
      <w:bookmarkStart w:id="126" w:name="_41.政府采购合同公告"/>
      <w:bookmarkEnd w:id="126"/>
      <w:r>
        <w:rPr>
          <w:rFonts w:hint="eastAsia" w:ascii="黑体" w:hAnsi="黑体" w:eastAsia="黑体"/>
          <w:color w:val="auto"/>
          <w:sz w:val="24"/>
          <w:highlight w:val="none"/>
        </w:rPr>
        <w:t>37.政府采购合同公告</w:t>
      </w:r>
    </w:p>
    <w:p w14:paraId="568705D5">
      <w:pPr>
        <w:spacing w:line="360" w:lineRule="auto"/>
        <w:ind w:firstLine="420" w:firstLineChars="200"/>
        <w:rPr>
          <w:rFonts w:ascii="宋体"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在以下媒体上发布</w:t>
      </w:r>
      <w:r>
        <w:rPr>
          <w:rFonts w:hint="eastAsia" w:ascii="宋体" w:hAnsi="宋体" w:cs="宋体"/>
          <w:color w:val="auto"/>
          <w:szCs w:val="21"/>
          <w:highlight w:val="none"/>
        </w:rPr>
        <w:t xml:space="preserve"> “广西政府采购网”（http://zfcg.gxzf.gov.cn）</w:t>
      </w:r>
      <w:r>
        <w:rPr>
          <w:rFonts w:hint="eastAsia" w:hAnsi="宋体"/>
          <w:color w:val="auto"/>
          <w:highlight w:val="none"/>
        </w:rPr>
        <w:t>上公告，</w:t>
      </w:r>
      <w:r>
        <w:rPr>
          <w:rFonts w:hAnsi="宋体"/>
          <w:color w:val="auto"/>
          <w:highlight w:val="none"/>
        </w:rPr>
        <w:t>但政府采购合同中涉及国家秘密、商业秘密的内容除外。</w:t>
      </w:r>
    </w:p>
    <w:p w14:paraId="4AE509D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14:paraId="7BB720A5">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2FE36442">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14:paraId="6D3D122A">
      <w:pPr>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3C45F548">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0132F9F7">
      <w:pPr>
        <w:spacing w:line="360" w:lineRule="auto"/>
        <w:ind w:firstLine="420" w:firstLineChars="200"/>
        <w:rPr>
          <w:rFonts w:ascii="宋体" w:hAnsi="宋体"/>
          <w:color w:val="auto"/>
          <w:szCs w:val="21"/>
          <w:highlight w:val="none"/>
        </w:rPr>
      </w:pP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14:paraId="1E22A306">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55595CF">
      <w:pPr>
        <w:spacing w:line="360" w:lineRule="auto"/>
        <w:ind w:firstLine="420" w:firstLineChars="200"/>
        <w:rPr>
          <w:rFonts w:hAnsi="宋体"/>
          <w:bCs/>
          <w:color w:val="auto"/>
          <w:highlight w:val="none"/>
        </w:rPr>
      </w:pPr>
      <w:r>
        <w:rPr>
          <w:rFonts w:hint="eastAsia"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01EC961">
      <w:pPr>
        <w:spacing w:line="360" w:lineRule="auto"/>
        <w:ind w:firstLine="420" w:firstLineChars="200"/>
        <w:rPr>
          <w:rFonts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43A71A0">
      <w:pPr>
        <w:spacing w:line="360" w:lineRule="auto"/>
        <w:ind w:firstLine="420" w:firstLineChars="200"/>
        <w:rPr>
          <w:rFonts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14:paraId="4F8CBBD7">
      <w:pPr>
        <w:spacing w:line="360" w:lineRule="auto"/>
        <w:ind w:firstLine="422" w:firstLineChars="200"/>
        <w:rPr>
          <w:rFonts w:hAnsi="宋体"/>
          <w:bCs/>
          <w:color w:val="auto"/>
          <w:szCs w:val="21"/>
          <w:highlight w:val="none"/>
        </w:rPr>
      </w:pPr>
      <w:r>
        <w:rPr>
          <w:rFonts w:hint="eastAsia" w:hAnsi="宋体"/>
          <w:b/>
          <w:bCs/>
          <w:color w:val="auto"/>
          <w:szCs w:val="21"/>
          <w:highlight w:val="none"/>
        </w:rPr>
        <w:t>38.2.2</w:t>
      </w:r>
      <w:r>
        <w:rPr>
          <w:rFonts w:hint="eastAsia" w:hAnsi="宋体"/>
          <w:bCs/>
          <w:color w:val="auto"/>
          <w:szCs w:val="21"/>
          <w:highlight w:val="none"/>
        </w:rPr>
        <w:t>供应商质疑实行实名制，其质疑应当有具体的质疑事项及事实根据，质疑应当坚持依法依规、诚实信用原则，不得进行虚假、恶意质疑。</w:t>
      </w:r>
    </w:p>
    <w:p w14:paraId="41409855">
      <w:pPr>
        <w:spacing w:line="360" w:lineRule="auto"/>
        <w:ind w:firstLine="422" w:firstLineChars="200"/>
        <w:rPr>
          <w:rFonts w:hAnsi="宋体"/>
          <w:bCs/>
          <w:color w:val="auto"/>
          <w:highlight w:val="none"/>
        </w:rPr>
      </w:pPr>
      <w:r>
        <w:rPr>
          <w:rFonts w:hint="eastAsia" w:hAnsi="宋体"/>
          <w:b/>
          <w:bCs/>
          <w:color w:val="auto"/>
          <w:highlight w:val="none"/>
        </w:rPr>
        <w:t>38.2.3</w:t>
      </w:r>
      <w:r>
        <w:rPr>
          <w:rFonts w:hint="eastAsia" w:hAnsi="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质疑供应商可以委托代理人办理质疑事务。委托代理人应熟悉相关业务情况。代理人办理质疑事务时，除提交质疑书外，还应当提交质疑供应商的授权委托书和委托代理人身份证明扫描件</w:t>
      </w:r>
      <w:r>
        <w:rPr>
          <w:rFonts w:hint="eastAsia" w:hAnsi="宋体"/>
          <w:color w:val="auto"/>
          <w:highlight w:val="none"/>
        </w:rPr>
        <w:t>。</w:t>
      </w:r>
    </w:p>
    <w:p w14:paraId="27750E2A">
      <w:pPr>
        <w:spacing w:line="360" w:lineRule="auto"/>
        <w:ind w:firstLine="422" w:firstLineChars="200"/>
        <w:rPr>
          <w:rFonts w:hAnsi="宋体"/>
          <w:b/>
          <w:bCs/>
          <w:color w:val="auto"/>
          <w:highlight w:val="none"/>
        </w:rPr>
      </w:pPr>
      <w:r>
        <w:rPr>
          <w:rFonts w:hint="eastAsia" w:hAnsi="宋体"/>
          <w:b/>
          <w:bCs/>
          <w:color w:val="auto"/>
          <w:highlight w:val="none"/>
        </w:rPr>
        <w:t>38.2.4 质疑供应商提起质疑应当符合下列条件：</w:t>
      </w:r>
    </w:p>
    <w:p w14:paraId="4EC86C5E">
      <w:pPr>
        <w:spacing w:line="360" w:lineRule="auto"/>
        <w:ind w:firstLine="420" w:firstLineChars="200"/>
        <w:rPr>
          <w:rFonts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采购活动的供应商（潜在供应商已依法获取可之一的采购文件的，可以对该采购文件质疑）；</w:t>
      </w:r>
    </w:p>
    <w:p w14:paraId="13E90831">
      <w:pPr>
        <w:spacing w:line="360" w:lineRule="auto"/>
        <w:ind w:firstLine="420" w:firstLineChars="200"/>
        <w:rPr>
          <w:rFonts w:hAnsi="宋体"/>
          <w:bCs/>
          <w:color w:val="auto"/>
          <w:highlight w:val="none"/>
        </w:rPr>
      </w:pPr>
      <w:r>
        <w:rPr>
          <w:rFonts w:hint="eastAsia" w:hAnsi="宋体"/>
          <w:bCs/>
          <w:color w:val="auto"/>
          <w:highlight w:val="none"/>
        </w:rPr>
        <w:t>（2）质疑函内容符合本章第38.2.5项的规定；</w:t>
      </w:r>
    </w:p>
    <w:p w14:paraId="73B1493B">
      <w:pPr>
        <w:spacing w:line="360" w:lineRule="auto"/>
        <w:ind w:firstLine="420" w:firstLineChars="200"/>
        <w:rPr>
          <w:rFonts w:hAnsi="宋体"/>
          <w:bCs/>
          <w:color w:val="auto"/>
          <w:highlight w:val="none"/>
        </w:rPr>
      </w:pPr>
      <w:r>
        <w:rPr>
          <w:rFonts w:hint="eastAsia" w:hAnsi="宋体"/>
          <w:bCs/>
          <w:color w:val="auto"/>
          <w:highlight w:val="none"/>
        </w:rPr>
        <w:t>（3）在质疑有效期限内提起质疑；</w:t>
      </w:r>
    </w:p>
    <w:p w14:paraId="0575CAA2">
      <w:pPr>
        <w:spacing w:line="360" w:lineRule="auto"/>
        <w:ind w:firstLine="420" w:firstLineChars="200"/>
        <w:rPr>
          <w:rFonts w:hAnsi="宋体"/>
          <w:bCs/>
          <w:color w:val="auto"/>
          <w:highlight w:val="none"/>
        </w:rPr>
      </w:pPr>
      <w:r>
        <w:rPr>
          <w:rFonts w:hint="eastAsia" w:hAnsi="宋体"/>
          <w:bCs/>
          <w:color w:val="auto"/>
          <w:highlight w:val="none"/>
        </w:rPr>
        <w:t>（4）属于所质疑的采购人或采购人委托的采购代理机构组织的采购活动；</w:t>
      </w:r>
    </w:p>
    <w:p w14:paraId="09A7B729">
      <w:pPr>
        <w:spacing w:line="360" w:lineRule="auto"/>
        <w:ind w:firstLine="420" w:firstLineChars="200"/>
        <w:rPr>
          <w:rFonts w:hAnsi="宋体"/>
          <w:bCs/>
          <w:color w:val="auto"/>
          <w:highlight w:val="none"/>
        </w:rPr>
      </w:pPr>
      <w:r>
        <w:rPr>
          <w:rFonts w:hint="eastAsia" w:hAnsi="宋体"/>
          <w:bCs/>
          <w:color w:val="auto"/>
          <w:highlight w:val="none"/>
        </w:rPr>
        <w:t xml:space="preserve">（5）同一质疑事项未经采购人或采购人委托的采购代理机构质疑处理； </w:t>
      </w:r>
    </w:p>
    <w:p w14:paraId="00ACE353">
      <w:pPr>
        <w:spacing w:line="360" w:lineRule="auto"/>
        <w:ind w:firstLine="420" w:firstLineChars="200"/>
        <w:rPr>
          <w:rFonts w:hAnsi="宋体"/>
          <w:bCs/>
          <w:color w:val="auto"/>
          <w:highlight w:val="none"/>
        </w:rPr>
      </w:pPr>
      <w:r>
        <w:rPr>
          <w:rFonts w:hint="eastAsia" w:hAnsi="宋体"/>
          <w:bCs/>
          <w:color w:val="auto"/>
          <w:highlight w:val="none"/>
        </w:rPr>
        <w:t>（6）供应商对同一采购程序环节的质疑应当在质疑有效期内一次性提出；</w:t>
      </w:r>
    </w:p>
    <w:p w14:paraId="60B24606">
      <w:pPr>
        <w:spacing w:line="360" w:lineRule="auto"/>
        <w:ind w:firstLine="420" w:firstLineChars="200"/>
        <w:rPr>
          <w:rFonts w:hAnsi="宋体"/>
          <w:bCs/>
          <w:color w:val="auto"/>
          <w:highlight w:val="none"/>
        </w:rPr>
      </w:pPr>
      <w:r>
        <w:rPr>
          <w:rFonts w:hint="eastAsia" w:hAnsi="宋体"/>
          <w:bCs/>
          <w:color w:val="auto"/>
          <w:highlight w:val="none"/>
        </w:rPr>
        <w:t>（7）供应商提交质疑应当提交必要的证明材料，证明材料应以合法手段取得；</w:t>
      </w:r>
    </w:p>
    <w:p w14:paraId="6449687E">
      <w:pPr>
        <w:spacing w:line="360" w:lineRule="auto"/>
        <w:ind w:firstLine="420" w:firstLineChars="200"/>
        <w:rPr>
          <w:color w:val="auto"/>
          <w:highlight w:val="none"/>
        </w:rPr>
      </w:pPr>
      <w:r>
        <w:rPr>
          <w:rFonts w:hint="eastAsia" w:hAnsi="宋体"/>
          <w:bCs/>
          <w:color w:val="auto"/>
          <w:highlight w:val="none"/>
        </w:rPr>
        <w:t>（8）财政部门规定的其他条件。</w:t>
      </w:r>
    </w:p>
    <w:p w14:paraId="075CA128">
      <w:pPr>
        <w:spacing w:line="360" w:lineRule="auto"/>
        <w:ind w:firstLine="420" w:firstLineChars="200"/>
        <w:rPr>
          <w:rFonts w:ascii="宋体" w:hAnsi="宋体"/>
          <w:b/>
          <w:color w:val="auto"/>
          <w:szCs w:val="21"/>
          <w:highlight w:val="none"/>
        </w:rPr>
      </w:pPr>
      <w:bookmarkStart w:id="127" w:name="_9.2质疑、投诉应当采用书面形式，质疑函、投诉书均应明确阐述招标文件、"/>
      <w:bookmarkEnd w:id="127"/>
      <w:r>
        <w:rPr>
          <w:rFonts w:hint="eastAsia" w:ascii="宋体" w:hAnsi="宋体"/>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14:paraId="725EEE0A">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14:paraId="503BF68E">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14:paraId="76097575">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14:paraId="09C21F17">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14:paraId="621FEA52">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14:paraId="318708E2">
      <w:pPr>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14:paraId="75BD91FF">
      <w:pPr>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14:paraId="531F3814">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71D85C3">
      <w:pPr>
        <w:spacing w:line="360" w:lineRule="auto"/>
        <w:ind w:firstLine="420" w:firstLineChars="200"/>
        <w:rPr>
          <w:rFonts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14:paraId="381109DC">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49C28A2A">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7587FE45">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0B9DDB58">
      <w:pPr>
        <w:spacing w:line="360" w:lineRule="auto"/>
        <w:ind w:firstLine="422" w:firstLineChars="200"/>
        <w:rPr>
          <w:rFonts w:hAnsi="宋体"/>
          <w:b/>
          <w:color w:val="auto"/>
          <w:highlight w:val="none"/>
        </w:rPr>
      </w:pPr>
      <w:r>
        <w:rPr>
          <w:rFonts w:hAnsi="宋体"/>
          <w:b/>
          <w:color w:val="auto"/>
          <w:highlight w:val="none"/>
        </w:rPr>
        <w:t>38</w:t>
      </w:r>
      <w:r>
        <w:rPr>
          <w:rFonts w:hint="eastAsia" w:hAnsi="宋体"/>
          <w:b/>
          <w:color w:val="auto"/>
          <w:highlight w:val="none"/>
        </w:rPr>
        <w:t>.3投诉</w:t>
      </w:r>
    </w:p>
    <w:p w14:paraId="288D5A25">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未在规定期限内做出答复的，供应商可以在答复期满后15个工作日内向南宁市政府采购监督管理部门提起投诉，投诉方式见“投标人须知前附表”。</w:t>
      </w:r>
    </w:p>
    <w:p w14:paraId="7720148E">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76190EF5">
      <w:pPr>
        <w:spacing w:line="360" w:lineRule="auto"/>
        <w:ind w:firstLine="420" w:firstLineChars="200"/>
        <w:rPr>
          <w:color w:val="auto"/>
          <w:highlight w:val="none"/>
        </w:rPr>
      </w:pPr>
      <w:r>
        <w:rPr>
          <w:rFonts w:hint="eastAsia" w:hAnsi="宋体"/>
          <w:color w:val="auto"/>
          <w:highlight w:val="none"/>
        </w:rPr>
        <w:t xml:space="preserve">（1）投诉人和被投诉人的名称、地址、邮编、联系人及联系电话等； </w:t>
      </w:r>
    </w:p>
    <w:p w14:paraId="40D3CCA8">
      <w:pPr>
        <w:spacing w:line="360" w:lineRule="auto"/>
        <w:ind w:firstLine="420" w:firstLineChars="200"/>
        <w:rPr>
          <w:color w:val="auto"/>
          <w:highlight w:val="none"/>
        </w:rPr>
      </w:pPr>
      <w:r>
        <w:rPr>
          <w:rFonts w:hint="eastAsia" w:hAnsi="宋体"/>
          <w:color w:val="auto"/>
          <w:highlight w:val="none"/>
        </w:rPr>
        <w:t>（2）质疑和质疑答复情况及相关证明材料；</w:t>
      </w:r>
      <w:r>
        <w:rPr>
          <w:rFonts w:hint="eastAsia"/>
          <w:color w:val="auto"/>
          <w:highlight w:val="none"/>
        </w:rPr>
        <w:t xml:space="preserve"> </w:t>
      </w:r>
    </w:p>
    <w:p w14:paraId="6DC00293">
      <w:pPr>
        <w:spacing w:line="360" w:lineRule="auto"/>
        <w:ind w:firstLine="420" w:firstLineChars="200"/>
        <w:rPr>
          <w:rFonts w:hAnsi="宋体"/>
          <w:color w:val="auto"/>
          <w:highlight w:val="none"/>
        </w:rPr>
      </w:pPr>
      <w:r>
        <w:rPr>
          <w:rFonts w:hint="eastAsia" w:hAnsi="宋体"/>
          <w:color w:val="auto"/>
          <w:highlight w:val="none"/>
        </w:rPr>
        <w:t>（3）具体、明确的投诉事项和与投诉事项相关的投诉请求；</w:t>
      </w:r>
    </w:p>
    <w:p w14:paraId="169C02B5">
      <w:pPr>
        <w:spacing w:line="360" w:lineRule="auto"/>
        <w:ind w:firstLine="420" w:firstLineChars="200"/>
        <w:rPr>
          <w:rFonts w:hAnsi="宋体"/>
          <w:color w:val="auto"/>
          <w:highlight w:val="none"/>
        </w:rPr>
      </w:pPr>
      <w:r>
        <w:rPr>
          <w:rFonts w:hint="eastAsia" w:hAnsi="宋体"/>
          <w:color w:val="auto"/>
          <w:highlight w:val="none"/>
        </w:rPr>
        <w:t>（4）事实依据；</w:t>
      </w:r>
    </w:p>
    <w:p w14:paraId="40BABF06">
      <w:pPr>
        <w:spacing w:line="360" w:lineRule="auto"/>
        <w:ind w:firstLine="420" w:firstLineChars="200"/>
        <w:rPr>
          <w:color w:val="auto"/>
          <w:highlight w:val="none"/>
        </w:rPr>
      </w:pPr>
      <w:r>
        <w:rPr>
          <w:rFonts w:hint="eastAsia" w:hAnsi="宋体"/>
          <w:color w:val="auto"/>
          <w:highlight w:val="none"/>
        </w:rPr>
        <w:t>（5）法律依据；</w:t>
      </w:r>
    </w:p>
    <w:p w14:paraId="53D1A4D6">
      <w:pPr>
        <w:spacing w:line="360" w:lineRule="auto"/>
        <w:ind w:firstLine="420" w:firstLineChars="200"/>
        <w:rPr>
          <w:rFonts w:hAnsi="宋体"/>
          <w:color w:val="auto"/>
          <w:highlight w:val="none"/>
        </w:rPr>
      </w:pPr>
      <w:r>
        <w:rPr>
          <w:rFonts w:hint="eastAsia" w:hAnsi="宋体"/>
          <w:color w:val="auto"/>
          <w:highlight w:val="none"/>
        </w:rPr>
        <w:t>（6）提起投诉的日期。</w:t>
      </w:r>
    </w:p>
    <w:p w14:paraId="5CC29486">
      <w:pPr>
        <w:spacing w:line="360" w:lineRule="auto"/>
        <w:ind w:firstLine="420" w:firstLineChars="200"/>
        <w:rPr>
          <w:rFonts w:hAnsi="宋体"/>
          <w:color w:val="auto"/>
          <w:highlight w:val="none"/>
        </w:rPr>
      </w:pPr>
      <w:r>
        <w:rPr>
          <w:rFonts w:hint="eastAsia" w:hAnsi="宋体"/>
          <w:color w:val="auto"/>
          <w:highlight w:val="none"/>
        </w:rPr>
        <w:t>（7）附件材料：营业执照副本内页扫描件（要求证件有效并清晰反映企业法人经营范围；近期连续三个月依法缴纳税收和在职职工社会保障资金证明材料（扫描件）。</w:t>
      </w:r>
      <w:r>
        <w:rPr>
          <w:rFonts w:hint="eastAsia" w:hAnsi="宋体"/>
          <w:color w:val="auto"/>
          <w:highlight w:val="none"/>
        </w:rPr>
        <w:tab/>
      </w:r>
    </w:p>
    <w:p w14:paraId="10E6F28B">
      <w:pPr>
        <w:spacing w:line="360" w:lineRule="auto"/>
        <w:ind w:firstLine="422" w:firstLineChars="200"/>
        <w:rPr>
          <w:rFonts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委托代理人身份证明扫描件。</w:t>
      </w:r>
    </w:p>
    <w:p w14:paraId="63E7F9F4">
      <w:pPr>
        <w:spacing w:line="360" w:lineRule="auto"/>
        <w:ind w:firstLine="422" w:firstLineChars="200"/>
        <w:rPr>
          <w:rFonts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14:paraId="41A622CD">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181558A7">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25A386A3">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56839AA0">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7FD44A81">
      <w:pPr>
        <w:spacing w:line="360" w:lineRule="auto"/>
        <w:ind w:firstLine="420" w:firstLineChars="200"/>
        <w:rPr>
          <w:rFonts w:ascii="宋体" w:hAnsi="宋体"/>
          <w:color w:val="auto"/>
          <w:highlight w:val="none"/>
        </w:rPr>
      </w:pPr>
      <w:r>
        <w:rPr>
          <w:rFonts w:hint="eastAsia" w:ascii="宋体" w:hAnsi="宋体"/>
          <w:color w:val="auto"/>
          <w:highlight w:val="none"/>
        </w:rPr>
        <w:t>（5）属于南宁市政府采购监督管理部门管辖；</w:t>
      </w:r>
    </w:p>
    <w:p w14:paraId="541406AC">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14:paraId="36BE11A6">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14:paraId="0CF85F52">
      <w:pPr>
        <w:spacing w:line="360" w:lineRule="auto"/>
        <w:ind w:firstLine="422" w:firstLineChars="200"/>
        <w:rPr>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color w:val="auto"/>
          <w:highlight w:val="none"/>
        </w:rPr>
        <w:t xml:space="preserve">  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w:t>
      </w:r>
      <w:r>
        <w:rPr>
          <w:rFonts w:hint="eastAsia" w:ascii="宋体" w:hAnsi="宋体" w:cs="宋体"/>
          <w:color w:val="auto"/>
          <w:szCs w:val="21"/>
          <w:highlight w:val="none"/>
        </w:rPr>
        <w:t>“广西政府采购网”（http://zfcg.gxzf.gov.cn）</w:t>
      </w:r>
      <w:r>
        <w:rPr>
          <w:rFonts w:hint="eastAsia"/>
          <w:color w:val="auto"/>
          <w:highlight w:val="none"/>
        </w:rPr>
        <w:t>发布。</w:t>
      </w:r>
    </w:p>
    <w:p w14:paraId="0911255F">
      <w:pPr>
        <w:spacing w:line="360" w:lineRule="auto"/>
        <w:ind w:firstLine="422" w:firstLineChars="200"/>
        <w:rPr>
          <w:rFonts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 xml:space="preserve">  南宁市政府采购监督管理部门在处理投诉事项期间，可以视具体情况暂停采购活动。</w:t>
      </w:r>
    </w:p>
    <w:p w14:paraId="60152E95">
      <w:pPr>
        <w:snapToGrid w:val="0"/>
        <w:spacing w:line="360" w:lineRule="auto"/>
        <w:ind w:left="120" w:leftChars="57" w:firstLine="482" w:firstLineChars="150"/>
        <w:jc w:val="center"/>
        <w:rPr>
          <w:rFonts w:hint="eastAsia"/>
          <w:b/>
          <w:bCs/>
          <w:color w:val="auto"/>
          <w:sz w:val="32"/>
          <w:szCs w:val="32"/>
          <w:highlight w:val="none"/>
        </w:rPr>
      </w:pPr>
    </w:p>
    <w:p w14:paraId="2C24E720">
      <w:pPr>
        <w:snapToGrid w:val="0"/>
        <w:spacing w:line="360" w:lineRule="auto"/>
        <w:ind w:left="120" w:leftChars="57" w:firstLine="482" w:firstLineChars="150"/>
        <w:jc w:val="center"/>
        <w:rPr>
          <w:b/>
          <w:bCs/>
          <w:color w:val="auto"/>
          <w:sz w:val="32"/>
          <w:szCs w:val="32"/>
          <w:highlight w:val="none"/>
        </w:rPr>
      </w:pPr>
      <w:r>
        <w:rPr>
          <w:rFonts w:hint="eastAsia"/>
          <w:b/>
          <w:bCs/>
          <w:color w:val="auto"/>
          <w:sz w:val="32"/>
          <w:szCs w:val="32"/>
          <w:highlight w:val="none"/>
        </w:rPr>
        <w:t>八、验收</w:t>
      </w:r>
    </w:p>
    <w:p w14:paraId="4134458B">
      <w:pPr>
        <w:spacing w:line="360" w:lineRule="auto"/>
        <w:ind w:firstLine="422" w:firstLineChars="200"/>
        <w:rPr>
          <w:rFonts w:hAnsi="宋体"/>
          <w:b/>
          <w:color w:val="auto"/>
          <w:highlight w:val="none"/>
        </w:rPr>
      </w:pPr>
      <w:r>
        <w:rPr>
          <w:rFonts w:hint="eastAsia" w:hAnsi="宋体"/>
          <w:b/>
          <w:color w:val="auto"/>
          <w:highlight w:val="none"/>
        </w:rPr>
        <w:t>39.验收</w:t>
      </w:r>
    </w:p>
    <w:p w14:paraId="62CCD7A2">
      <w:pPr>
        <w:tabs>
          <w:tab w:val="left" w:pos="0"/>
        </w:tabs>
        <w:spacing w:line="360" w:lineRule="auto"/>
        <w:ind w:firstLine="480"/>
        <w:rPr>
          <w:rFonts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554CE1">
      <w:pPr>
        <w:tabs>
          <w:tab w:val="left" w:pos="0"/>
        </w:tabs>
        <w:spacing w:line="360" w:lineRule="auto"/>
        <w:ind w:firstLine="480"/>
        <w:rPr>
          <w:rFonts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14:paraId="3CA6F97D">
      <w:pPr>
        <w:tabs>
          <w:tab w:val="left" w:pos="0"/>
        </w:tabs>
        <w:spacing w:line="360" w:lineRule="auto"/>
        <w:ind w:firstLine="480"/>
        <w:rPr>
          <w:rFonts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7A802">
      <w:pPr>
        <w:tabs>
          <w:tab w:val="left" w:pos="0"/>
        </w:tabs>
        <w:spacing w:line="360" w:lineRule="auto"/>
        <w:ind w:firstLine="480"/>
        <w:rPr>
          <w:rFonts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E26EC1">
      <w:pPr>
        <w:snapToGrid w:val="0"/>
        <w:spacing w:line="400" w:lineRule="exact"/>
        <w:rPr>
          <w:rFonts w:ascii="宋体" w:hAnsi="宋体"/>
          <w:color w:val="auto"/>
          <w:kern w:val="1"/>
          <w:szCs w:val="20"/>
          <w:highlight w:val="none"/>
        </w:rPr>
      </w:pPr>
    </w:p>
    <w:p w14:paraId="1ECDEA39">
      <w:pPr>
        <w:spacing w:line="360" w:lineRule="auto"/>
        <w:ind w:firstLine="643"/>
        <w:jc w:val="center"/>
        <w:outlineLvl w:val="2"/>
        <w:rPr>
          <w:rFonts w:eastAsia="Times New Roman"/>
          <w:b/>
          <w:color w:val="auto"/>
          <w:sz w:val="32"/>
          <w:szCs w:val="32"/>
          <w:highlight w:val="none"/>
        </w:rPr>
      </w:pPr>
      <w:bookmarkStart w:id="128" w:name="_八、其他事项"/>
      <w:bookmarkEnd w:id="128"/>
      <w:bookmarkStart w:id="129" w:name="_Toc80093002"/>
      <w:r>
        <w:rPr>
          <w:rFonts w:hint="eastAsia" w:ascii="宋体" w:hAnsi="宋体" w:cs="宋体"/>
          <w:b/>
          <w:color w:val="auto"/>
          <w:sz w:val="32"/>
          <w:szCs w:val="32"/>
          <w:highlight w:val="none"/>
        </w:rPr>
        <w:t>九、其他事项</w:t>
      </w:r>
      <w:bookmarkEnd w:id="129"/>
    </w:p>
    <w:p w14:paraId="609D12EB">
      <w:pPr>
        <w:spacing w:line="360" w:lineRule="auto"/>
        <w:ind w:firstLine="480" w:firstLineChars="200"/>
        <w:rPr>
          <w:rFonts w:ascii="黑体" w:hAnsi="黑体" w:eastAsia="黑体"/>
          <w:color w:val="auto"/>
          <w:sz w:val="24"/>
          <w:highlight w:val="none"/>
        </w:rPr>
      </w:pPr>
      <w:bookmarkStart w:id="130" w:name="_42.代理服务费"/>
      <w:bookmarkEnd w:id="130"/>
      <w:r>
        <w:rPr>
          <w:rFonts w:hint="eastAsia" w:ascii="黑体" w:hAnsi="黑体" w:eastAsia="黑体"/>
          <w:color w:val="auto"/>
          <w:sz w:val="24"/>
          <w:highlight w:val="none"/>
        </w:rPr>
        <w:t>40.代理服务费</w:t>
      </w:r>
    </w:p>
    <w:p w14:paraId="6E197D0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代理服务收费标准及缴费账户详见“投标人须知前附表”，投标人为联合体的，可以由联合体中的一方或者多方共同交纳代理服务费。</w:t>
      </w:r>
    </w:p>
    <w:p w14:paraId="7A60372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14:paraId="4E0234B6">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14:paraId="31403470">
      <w:pPr>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 xml:space="preserve"> </w:t>
      </w:r>
      <w:r>
        <w:rPr>
          <w:rFonts w:hint="eastAsia" w:hAnsi="宋体"/>
          <w:color w:val="auto"/>
          <w:highlight w:val="none"/>
        </w:rPr>
        <w:t>其他事项详见“投标人须知前附表”。</w:t>
      </w:r>
    </w:p>
    <w:p w14:paraId="0F594EE6">
      <w:pPr>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.3</w:t>
      </w:r>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auto"/>
          <w:highlight w:val="none"/>
        </w:rPr>
        <w:t>不对其中涉及的货物的制造商和工程承建商作出要求的，</w:t>
      </w:r>
      <w:r>
        <w:rPr>
          <w:rFonts w:hint="eastAsia" w:hAnsi="宋体"/>
          <w:color w:val="auto"/>
          <w:highlight w:val="none"/>
        </w:rPr>
        <w:t>享受本文件规定的中小企业扶持政策。</w:t>
      </w:r>
    </w:p>
    <w:p w14:paraId="60358306">
      <w:pPr>
        <w:spacing w:line="360" w:lineRule="auto"/>
        <w:ind w:firstLine="420" w:firstLineChars="200"/>
        <w:rPr>
          <w:rFonts w:hAnsi="宋体"/>
          <w:color w:val="auto"/>
          <w:highlight w:val="none"/>
        </w:rPr>
      </w:pPr>
      <w:r>
        <w:rPr>
          <w:rFonts w:hint="eastAsia" w:hAnsi="宋体"/>
          <w:color w:val="auto"/>
          <w:highlight w:val="none"/>
        </w:rPr>
        <w:t>以联合体形式参加政府采购活动，联合体各方均为中小企业的，联合体视同中小企业。其中，联合体各方均为小微企业的，联合体视同小微企业。</w:t>
      </w:r>
    </w:p>
    <w:p w14:paraId="296015D3">
      <w:pPr>
        <w:spacing w:line="360" w:lineRule="auto"/>
        <w:ind w:firstLine="420" w:firstLineChars="200"/>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14:paraId="1B7EA60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42.政采贷相关说明</w:t>
      </w:r>
    </w:p>
    <w:p w14:paraId="120121E8">
      <w:pPr>
        <w:spacing w:line="360" w:lineRule="auto"/>
        <w:ind w:firstLine="420" w:firstLineChars="200"/>
        <w:jc w:val="left"/>
        <w:rPr>
          <w:rFonts w:ascii="宋体" w:hAnsi="宋体" w:cs="宋体"/>
          <w:color w:val="auto"/>
          <w:highlight w:val="none"/>
        </w:rPr>
      </w:pPr>
      <w:r>
        <w:rPr>
          <w:rFonts w:hint="eastAsia" w:hAnsi="宋体"/>
          <w:color w:val="auto"/>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color w:val="auto"/>
          <w:highlight w:val="none"/>
        </w:rPr>
        <w:br w:type="page"/>
      </w:r>
    </w:p>
    <w:bookmarkEnd w:id="65"/>
    <w:p w14:paraId="534603BA">
      <w:pPr>
        <w:pStyle w:val="7"/>
        <w:jc w:val="center"/>
        <w:outlineLvl w:val="0"/>
        <w:rPr>
          <w:rFonts w:hAnsi="宋体" w:cs="宋体"/>
          <w:b/>
          <w:color w:val="auto"/>
          <w:sz w:val="36"/>
          <w:highlight w:val="none"/>
        </w:rPr>
      </w:pPr>
      <w:bookmarkStart w:id="131" w:name="_Toc80093003"/>
      <w:bookmarkEnd w:id="131"/>
      <w:r>
        <w:rPr>
          <w:rFonts w:hint="eastAsia" w:hAnsi="宋体" w:cs="宋体"/>
          <w:b/>
          <w:color w:val="auto"/>
          <w:sz w:val="36"/>
          <w:highlight w:val="none"/>
        </w:rPr>
        <w:t>第四章  评标方法及评分标准</w:t>
      </w:r>
    </w:p>
    <w:p w14:paraId="23CD37CB">
      <w:pPr>
        <w:pStyle w:val="7"/>
        <w:jc w:val="center"/>
        <w:outlineLvl w:val="1"/>
        <w:rPr>
          <w:rFonts w:hAnsi="宋体" w:cs="宋体"/>
          <w:b/>
          <w:bCs/>
          <w:color w:val="auto"/>
          <w:sz w:val="32"/>
          <w:szCs w:val="32"/>
          <w:highlight w:val="none"/>
        </w:rPr>
      </w:pPr>
      <w:bookmarkStart w:id="132" w:name="_Toc80093004"/>
      <w:bookmarkEnd w:id="132"/>
      <w:r>
        <w:rPr>
          <w:rFonts w:hint="eastAsia" w:hAnsi="宋体" w:cs="宋体"/>
          <w:b/>
          <w:bCs/>
          <w:color w:val="auto"/>
          <w:sz w:val="32"/>
          <w:szCs w:val="32"/>
          <w:highlight w:val="none"/>
        </w:rPr>
        <w:t>第一节 评标方法</w:t>
      </w:r>
    </w:p>
    <w:p w14:paraId="24363812">
      <w:pPr>
        <w:pStyle w:val="7"/>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4AA02FD8">
      <w:pPr>
        <w:pStyle w:val="7"/>
        <w:spacing w:line="360" w:lineRule="auto"/>
        <w:ind w:firstLine="420"/>
        <w:rPr>
          <w:rFonts w:hAnsi="宋体" w:cs="宋体"/>
          <w:color w:val="auto"/>
          <w:szCs w:val="21"/>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1D1DCA57">
      <w:pPr>
        <w:autoSpaceDE w:val="0"/>
        <w:autoSpaceDN w:val="0"/>
        <w:spacing w:line="440" w:lineRule="exact"/>
        <w:ind w:firstLine="420" w:firstLineChars="200"/>
        <w:rPr>
          <w:rFonts w:ascii="宋体" w:hAnsi="宋体" w:cs="宋体"/>
          <w:color w:val="auto"/>
          <w:highlight w:val="none"/>
        </w:rPr>
      </w:pPr>
      <w:r>
        <w:rPr>
          <w:rFonts w:hint="eastAsia" w:ascii="宋体" w:hAnsi="宋体" w:cs="宋体"/>
          <w:color w:val="auto"/>
          <w:highlight w:val="none"/>
        </w:rPr>
        <w:sym w:font="Wingdings 2" w:char="0052"/>
      </w: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委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330A06CE">
      <w:pPr>
        <w:pStyle w:val="7"/>
        <w:spacing w:line="360" w:lineRule="auto"/>
        <w:ind w:firstLine="420"/>
        <w:rPr>
          <w:rFonts w:hAnsi="宋体" w:cs="宋体"/>
          <w:color w:val="auto"/>
          <w:highlight w:val="none"/>
        </w:rPr>
      </w:pPr>
    </w:p>
    <w:p w14:paraId="5DB663BB">
      <w:pPr>
        <w:pStyle w:val="7"/>
        <w:tabs>
          <w:tab w:val="left" w:pos="2472"/>
        </w:tabs>
        <w:spacing w:line="460" w:lineRule="exact"/>
        <w:jc w:val="center"/>
        <w:outlineLvl w:val="1"/>
        <w:rPr>
          <w:rFonts w:hAnsi="宋体" w:cs="宋体"/>
          <w:b/>
          <w:bCs/>
          <w:color w:val="auto"/>
          <w:sz w:val="32"/>
          <w:szCs w:val="32"/>
          <w:highlight w:val="none"/>
        </w:rPr>
      </w:pPr>
      <w:bookmarkStart w:id="133" w:name="_Toc80093005"/>
      <w:bookmarkEnd w:id="133"/>
      <w:r>
        <w:rPr>
          <w:rFonts w:hint="eastAsia" w:hAnsi="宋体" w:cs="宋体"/>
          <w:b/>
          <w:bCs/>
          <w:color w:val="auto"/>
          <w:sz w:val="32"/>
          <w:szCs w:val="32"/>
          <w:highlight w:val="none"/>
        </w:rPr>
        <w:t>第二节 评标程序</w:t>
      </w:r>
    </w:p>
    <w:p w14:paraId="2F57B72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452FE6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评委应当对符合资格的投标人的投标文件进行投标报价、商务、技术等实质性内容符合性审查，以确定其是否满足招标文件的实质性要求。</w:t>
      </w:r>
    </w:p>
    <w:p w14:paraId="738641A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2F1C67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2401F1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445528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7DB574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367744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4D67B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45A89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3A6D6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236ADA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0192ED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3DA13E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44F722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73AA13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01C60F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468594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F0197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（7）投标文件中的文件资料因填写不齐全或者内容虚假或者出现其他情形而导致被评委认定无效的；</w:t>
      </w:r>
    </w:p>
    <w:p w14:paraId="527FE1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2AE97C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556A7E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066CD5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5DA943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48A55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0FAB35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593556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098A9D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（4）虚假投标，或者出现其他情形而导致被评委认定无效的；</w:t>
      </w:r>
    </w:p>
    <w:p w14:paraId="2142B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（5）投标技术方案不明确，招标文件未允许但存在一个或者一个以上备选（替代）投标方案的。</w:t>
      </w:r>
    </w:p>
    <w:p w14:paraId="0F2CB88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4B2F31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委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委。投标人的澄清、说明或者补正不得超出投标文件的范围或者改变投标文件的实质性内容。投标人未在规定时间内进行澄清、说明或者补正的，按无效投标处理。</w:t>
      </w:r>
    </w:p>
    <w:p w14:paraId="443610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委以书面形式要求投标人在规定时间内作出必要的澄清、说明或者补正。投标人的澄清、说明或者补正必须采用书面形式，并加盖公章，或者由法定代表人或者其授权的代表签字。</w:t>
      </w:r>
    </w:p>
    <w:p w14:paraId="0AF4E98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008B4D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489E5B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D85EA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48BBA4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710C8D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259D9A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2B264E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1E7205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90537A5">
      <w:pPr>
        <w:spacing w:line="360" w:lineRule="auto"/>
        <w:ind w:firstLine="420" w:firstLineChars="200"/>
        <w:rPr>
          <w:rFonts w:ascii="宋体" w:hAnsi="宋体" w:cs="宋体"/>
          <w:color w:val="auto"/>
          <w:szCs w:val="21"/>
          <w:highlight w:val="none"/>
        </w:rPr>
      </w:pPr>
      <w:bookmarkStart w:id="134" w:name="_Toc80093006"/>
      <w:r>
        <w:rPr>
          <w:rFonts w:hint="eastAsia" w:ascii="宋体" w:hAnsi="宋体" w:cs="宋体"/>
          <w:color w:val="auto"/>
          <w:szCs w:val="21"/>
          <w:highlight w:val="none"/>
        </w:rPr>
        <w:t>5.比较与评价</w:t>
      </w:r>
    </w:p>
    <w:p w14:paraId="009BB0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70BD23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6D16CFEC">
      <w:pPr>
        <w:widowControl/>
        <w:numPr>
          <w:ilvl w:val="0"/>
          <w:numId w:val="1"/>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F7F851B">
      <w:pPr>
        <w:widowControl/>
        <w:numPr>
          <w:ilvl w:val="0"/>
          <w:numId w:val="1"/>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712D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2843412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236CFC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2E1477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C2C2EF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7172BD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71D05468">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4146A9C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（一）分值汇总计算错误的；</w:t>
      </w:r>
    </w:p>
    <w:p w14:paraId="718BE38D">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（二）分项评分超出评分标准范围的；</w:t>
      </w:r>
    </w:p>
    <w:p w14:paraId="75FD5706">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（三）评标委员会成员对客观评审因素评分不一致的；</w:t>
      </w:r>
    </w:p>
    <w:p w14:paraId="44DE6EFD">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（四）经评标委员会认定评分畸高、畸低的。</w:t>
      </w:r>
    </w:p>
    <w:p w14:paraId="19D8E31E">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bookmarkEnd w:id="134"/>
    <w:p w14:paraId="558F149B">
      <w:pPr>
        <w:widowControl/>
        <w:spacing w:line="560" w:lineRule="exact"/>
        <w:ind w:firstLine="420"/>
        <w:jc w:val="left"/>
        <w:rPr>
          <w:rFonts w:ascii="宋体" w:hAnsi="宋体" w:cs="宋体"/>
          <w:color w:val="auto"/>
          <w:highlight w:val="none"/>
        </w:rPr>
      </w:pPr>
      <w:r>
        <w:rPr>
          <w:rFonts w:hint="eastAsia" w:ascii="宋体" w:hAnsi="宋体" w:cs="宋体"/>
          <w:color w:val="auto"/>
          <w:highlight w:val="none"/>
        </w:rPr>
        <w:t>（4）除上述情况外，评标价＝投标报价；</w:t>
      </w:r>
    </w:p>
    <w:p w14:paraId="639D2D76">
      <w:pPr>
        <w:pStyle w:val="7"/>
        <w:spacing w:line="360" w:lineRule="auto"/>
        <w:ind w:firstLine="3915" w:firstLineChars="1300"/>
        <w:jc w:val="both"/>
        <w:rPr>
          <w:rFonts w:hAnsi="宋体" w:cs="宋体"/>
          <w:b/>
          <w:color w:val="auto"/>
          <w:sz w:val="30"/>
          <w:szCs w:val="30"/>
          <w:highlight w:val="none"/>
        </w:rPr>
      </w:pPr>
      <w:r>
        <w:rPr>
          <w:rFonts w:hint="eastAsia" w:hAnsi="宋体" w:cs="宋体"/>
          <w:b/>
          <w:color w:val="auto"/>
          <w:sz w:val="30"/>
          <w:szCs w:val="30"/>
          <w:highlight w:val="none"/>
        </w:rPr>
        <w:t>综合评分法</w:t>
      </w:r>
    </w:p>
    <w:p w14:paraId="4DF63E9B">
      <w:pPr>
        <w:pStyle w:val="7"/>
        <w:spacing w:line="360" w:lineRule="auto"/>
        <w:ind w:firstLine="420"/>
        <w:rPr>
          <w:rFonts w:hAnsi="宋体" w:cs="宋体"/>
          <w:b/>
          <w:color w:val="auto"/>
          <w:highlight w:val="none"/>
        </w:rPr>
      </w:pPr>
      <w:bookmarkStart w:id="135" w:name="PO_TDCUS_ITEM_SM_TITLE_1"/>
      <w:bookmarkEnd w:id="135"/>
      <w:bookmarkStart w:id="136" w:name="PO_TDCUS_ITEM_SM_TABLE_1"/>
      <w:r>
        <w:rPr>
          <w:rFonts w:hint="eastAsia" w:hAnsi="宋体" w:cs="宋体"/>
          <w:b/>
          <w:color w:val="auto"/>
          <w:highlight w:val="none"/>
        </w:rPr>
        <w:t>评分方法</w:t>
      </w:r>
      <w:r>
        <w:rPr>
          <w:rFonts w:hint="eastAsia" w:hAnsi="宋体" w:cs="宋体"/>
          <w:bCs/>
          <w:color w:val="auto"/>
          <w:highlight w:val="none"/>
        </w:rPr>
        <w:t xml:space="preserve"> </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315"/>
        <w:gridCol w:w="5282"/>
        <w:gridCol w:w="1171"/>
        <w:gridCol w:w="1180"/>
      </w:tblGrid>
      <w:tr w14:paraId="4E71C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661" w:type="dxa"/>
            <w:vAlign w:val="center"/>
          </w:tcPr>
          <w:p w14:paraId="2E5A5901">
            <w:pPr>
              <w:pStyle w:val="7"/>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1315" w:type="dxa"/>
            <w:vAlign w:val="center"/>
          </w:tcPr>
          <w:p w14:paraId="1350702C">
            <w:pPr>
              <w:pStyle w:val="7"/>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w:t>
            </w:r>
          </w:p>
        </w:tc>
        <w:tc>
          <w:tcPr>
            <w:tcW w:w="5282" w:type="dxa"/>
          </w:tcPr>
          <w:p w14:paraId="0A32FFBB">
            <w:pPr>
              <w:pStyle w:val="7"/>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评审因素具体内容</w:t>
            </w:r>
          </w:p>
        </w:tc>
        <w:tc>
          <w:tcPr>
            <w:tcW w:w="1171" w:type="dxa"/>
            <w:vAlign w:val="center"/>
          </w:tcPr>
          <w:p w14:paraId="491F621D">
            <w:pPr>
              <w:pStyle w:val="7"/>
              <w:spacing w:line="360" w:lineRule="auto"/>
              <w:jc w:val="center"/>
              <w:rPr>
                <w:rFonts w:hAnsi="宋体" w:cs="宋体"/>
                <w:b/>
                <w:color w:val="auto"/>
                <w:szCs w:val="21"/>
                <w:highlight w:val="none"/>
              </w:rPr>
            </w:pPr>
            <w:r>
              <w:rPr>
                <w:rFonts w:hint="eastAsia" w:hAnsi="宋体" w:cs="宋体"/>
                <w:b/>
                <w:color w:val="auto"/>
                <w:szCs w:val="21"/>
                <w:highlight w:val="none"/>
              </w:rPr>
              <w:t>分值</w:t>
            </w:r>
          </w:p>
        </w:tc>
        <w:tc>
          <w:tcPr>
            <w:tcW w:w="1180" w:type="dxa"/>
            <w:vAlign w:val="center"/>
          </w:tcPr>
          <w:p w14:paraId="7D770887">
            <w:pPr>
              <w:pStyle w:val="7"/>
              <w:spacing w:line="360" w:lineRule="auto"/>
              <w:jc w:val="center"/>
              <w:rPr>
                <w:rFonts w:hAnsi="宋体" w:cs="宋体"/>
                <w:b/>
                <w:color w:val="auto"/>
                <w:szCs w:val="21"/>
                <w:highlight w:val="none"/>
              </w:rPr>
            </w:pPr>
            <w:r>
              <w:rPr>
                <w:rFonts w:hint="eastAsia" w:hAnsi="宋体" w:cs="宋体"/>
                <w:b/>
                <w:color w:val="auto"/>
                <w:szCs w:val="21"/>
                <w:highlight w:val="none"/>
              </w:rPr>
              <w:t>备注</w:t>
            </w:r>
          </w:p>
        </w:tc>
      </w:tr>
      <w:tr w14:paraId="47A51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1" w:type="dxa"/>
            <w:vAlign w:val="center"/>
          </w:tcPr>
          <w:p w14:paraId="1C48768D">
            <w:pPr>
              <w:pStyle w:val="7"/>
              <w:spacing w:line="360" w:lineRule="auto"/>
              <w:jc w:val="center"/>
              <w:rPr>
                <w:rFonts w:hAnsi="宋体" w:cs="宋体"/>
                <w:bCs/>
                <w:color w:val="auto"/>
                <w:szCs w:val="21"/>
                <w:highlight w:val="none"/>
              </w:rPr>
            </w:pPr>
            <w:r>
              <w:rPr>
                <w:rFonts w:hint="eastAsia" w:hAnsi="宋体" w:cs="宋体"/>
                <w:bCs/>
                <w:color w:val="auto"/>
                <w:szCs w:val="21"/>
                <w:highlight w:val="none"/>
              </w:rPr>
              <w:t>1</w:t>
            </w:r>
          </w:p>
        </w:tc>
        <w:tc>
          <w:tcPr>
            <w:tcW w:w="1315" w:type="dxa"/>
            <w:vAlign w:val="center"/>
          </w:tcPr>
          <w:p w14:paraId="5DC0F360">
            <w:pPr>
              <w:pStyle w:val="7"/>
              <w:spacing w:line="360" w:lineRule="auto"/>
              <w:jc w:val="center"/>
              <w:rPr>
                <w:rFonts w:hAnsi="宋体" w:cs="宋体"/>
                <w:bCs/>
                <w:color w:val="auto"/>
                <w:szCs w:val="21"/>
                <w:highlight w:val="none"/>
              </w:rPr>
            </w:pPr>
            <w:r>
              <w:rPr>
                <w:rFonts w:hint="eastAsia" w:hAnsi="宋体" w:cs="宋体"/>
                <w:bCs/>
                <w:color w:val="auto"/>
                <w:szCs w:val="21"/>
                <w:highlight w:val="none"/>
              </w:rPr>
              <w:t>报价分</w:t>
            </w:r>
          </w:p>
          <w:p w14:paraId="3EBDC8D4">
            <w:pPr>
              <w:pStyle w:val="7"/>
              <w:spacing w:line="360" w:lineRule="auto"/>
              <w:jc w:val="center"/>
              <w:rPr>
                <w:rFonts w:hAnsi="宋体" w:cs="宋体"/>
                <w:bCs/>
                <w:color w:val="auto"/>
                <w:szCs w:val="21"/>
                <w:highlight w:val="none"/>
              </w:rPr>
            </w:pPr>
          </w:p>
        </w:tc>
        <w:tc>
          <w:tcPr>
            <w:tcW w:w="5282" w:type="dxa"/>
          </w:tcPr>
          <w:p w14:paraId="1A8E97F3">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（1）评标报价为投标人的投标报价进行政策性扣除后的价格，评标报价只是作为评标时使用。最终中标人的中标金额等于投标报价。</w:t>
            </w:r>
          </w:p>
          <w:p w14:paraId="743871BB">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（2）</w:t>
            </w:r>
            <w:r>
              <w:rPr>
                <w:rFonts w:hint="eastAsia" w:ascii="宋体" w:hAnsi="宋体" w:eastAsia="宋体" w:cs="Courier New"/>
                <w:bCs/>
                <w:color w:val="auto"/>
                <w:szCs w:val="21"/>
                <w:highlight w:val="none"/>
                <w:lang w:val="en-US" w:eastAsia="zh-CN"/>
              </w:rPr>
              <w:t>根据《政府采购促进中小企业发展管理办法》及桂财采〔2022〕30号《广西壮族自治区财政厅关于进一步发挥政府采购政策功能促进企业发展的通知》的规定，投标人属于《政府采购促进中小企业发展管理办法》规定的小微企业的，对投标报价给予</w:t>
            </w:r>
            <w:r>
              <w:rPr>
                <w:rFonts w:hint="eastAsia" w:hAnsi="宋体" w:cs="Courier New"/>
                <w:bCs/>
                <w:color w:val="auto"/>
                <w:szCs w:val="21"/>
                <w:highlight w:val="none"/>
                <w:lang w:val="en-US" w:eastAsia="zh-CN"/>
              </w:rPr>
              <w:t>2</w:t>
            </w:r>
            <w:r>
              <w:rPr>
                <w:rFonts w:hint="eastAsia" w:ascii="宋体" w:hAnsi="宋体" w:eastAsia="宋体" w:cs="Courier New"/>
                <w:bCs/>
                <w:color w:val="auto"/>
                <w:szCs w:val="21"/>
                <w:highlight w:val="none"/>
                <w:lang w:val="en-US" w:eastAsia="zh-CN"/>
              </w:rPr>
              <w:t>0%的扣除</w:t>
            </w:r>
            <w:r>
              <w:rPr>
                <w:rFonts w:hint="eastAsia" w:hAnsi="宋体" w:cs="宋体"/>
                <w:bCs/>
                <w:color w:val="auto"/>
                <w:szCs w:val="21"/>
                <w:highlight w:val="none"/>
              </w:rPr>
              <w:t>。</w:t>
            </w:r>
          </w:p>
          <w:p w14:paraId="5BC4A3A6">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（3）</w:t>
            </w:r>
            <w:r>
              <w:rPr>
                <w:rFonts w:hint="eastAsia" w:hAnsi="宋体" w:cs="宋体"/>
                <w:bCs/>
                <w:color w:val="auto"/>
                <w:szCs w:val="21"/>
                <w:highlight w:val="none"/>
                <w:lang w:val="en-US" w:eastAsia="zh-CN"/>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33B2C43">
            <w:pPr>
              <w:pStyle w:val="7"/>
              <w:spacing w:line="360" w:lineRule="auto"/>
              <w:rPr>
                <w:rFonts w:hint="eastAsia" w:ascii="宋体" w:hAnsi="宋体" w:eastAsia="宋体" w:cs="Courier New"/>
                <w:bCs/>
                <w:color w:val="auto"/>
                <w:kern w:val="2"/>
                <w:sz w:val="21"/>
                <w:szCs w:val="21"/>
                <w:lang w:val="en-US" w:eastAsia="zh-CN" w:bidi="ar-SA"/>
              </w:rPr>
            </w:pPr>
            <w:r>
              <w:rPr>
                <w:rFonts w:hint="eastAsia" w:hAnsi="宋体" w:cs="宋体"/>
                <w:bCs/>
                <w:color w:val="auto"/>
                <w:szCs w:val="21"/>
                <w:highlight w:val="none"/>
              </w:rPr>
              <w:t>（4）</w:t>
            </w:r>
            <w:r>
              <w:rPr>
                <w:rFonts w:hint="eastAsia" w:ascii="宋体" w:hAnsi="宋体" w:eastAsia="宋体" w:cs="Courier New"/>
                <w:bCs/>
                <w:color w:val="auto"/>
                <w:kern w:val="2"/>
                <w:sz w:val="21"/>
                <w:szCs w:val="21"/>
                <w:lang w:val="en-US" w:eastAsia="zh-CN" w:bidi="ar-SA"/>
              </w:rPr>
              <w:t xml:space="preserve">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000A9319">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（5）政策性扣除计算方法。</w:t>
            </w:r>
          </w:p>
          <w:p w14:paraId="56EE92FE">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在服务采购项目中，服务由小微企业承接；对符合上述要求的投标人的投标报价给予</w:t>
            </w:r>
            <w:r>
              <w:rPr>
                <w:rFonts w:hint="eastAsia" w:hAnsi="宋体" w:cs="宋体"/>
                <w:bCs/>
                <w:color w:val="auto"/>
                <w:szCs w:val="21"/>
                <w:highlight w:val="none"/>
                <w:lang w:val="en-US" w:eastAsia="zh-CN"/>
              </w:rPr>
              <w:t>2</w:t>
            </w:r>
            <w:r>
              <w:rPr>
                <w:rFonts w:hint="eastAsia" w:hAnsi="宋体" w:cs="宋体"/>
                <w:bCs/>
                <w:color w:val="auto"/>
                <w:szCs w:val="21"/>
                <w:highlight w:val="none"/>
              </w:rPr>
              <w:t>0%的扣除，扣除后的价格为评标报价，即评标报价=投标报价×（1-</w:t>
            </w:r>
            <w:r>
              <w:rPr>
                <w:rFonts w:hint="eastAsia" w:hAnsi="宋体" w:cs="宋体"/>
                <w:bCs/>
                <w:color w:val="auto"/>
                <w:szCs w:val="21"/>
                <w:highlight w:val="none"/>
                <w:lang w:val="en-US" w:eastAsia="zh-CN"/>
              </w:rPr>
              <w:t>2</w:t>
            </w:r>
            <w:r>
              <w:rPr>
                <w:rFonts w:hint="eastAsia" w:hAnsi="宋体" w:cs="宋体"/>
                <w:bCs/>
                <w:color w:val="auto"/>
                <w:szCs w:val="21"/>
                <w:highlight w:val="none"/>
              </w:rPr>
              <w:t>0%）。</w:t>
            </w:r>
          </w:p>
          <w:p w14:paraId="3F32692F">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（6）满足招标文件要求且评标报价最低的评标报价为评标基准价，其价格分为满分。</w:t>
            </w:r>
          </w:p>
          <w:p w14:paraId="51F6311E">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（7）价格分计算公式：</w:t>
            </w:r>
          </w:p>
          <w:p w14:paraId="28FDC3F9">
            <w:pPr>
              <w:pStyle w:val="7"/>
              <w:spacing w:line="360" w:lineRule="auto"/>
              <w:rPr>
                <w:rFonts w:hint="eastAsia" w:hAnsi="宋体" w:cs="宋体"/>
                <w:bCs/>
                <w:color w:val="auto"/>
                <w:szCs w:val="21"/>
                <w:highlight w:val="none"/>
              </w:rPr>
            </w:pPr>
            <w:r>
              <w:rPr>
                <w:rFonts w:hint="eastAsia" w:hAnsi="宋体" w:cs="宋体"/>
                <w:bCs/>
                <w:color w:val="auto"/>
                <w:szCs w:val="21"/>
                <w:highlight w:val="none"/>
              </w:rPr>
              <w:t>价格分=(评标基准价／评标报价)×10分</w:t>
            </w:r>
          </w:p>
        </w:tc>
        <w:tc>
          <w:tcPr>
            <w:tcW w:w="1171" w:type="dxa"/>
            <w:vAlign w:val="center"/>
          </w:tcPr>
          <w:p w14:paraId="047AF421">
            <w:pPr>
              <w:pStyle w:val="7"/>
              <w:spacing w:line="360" w:lineRule="auto"/>
              <w:jc w:val="center"/>
              <w:rPr>
                <w:rFonts w:hAnsi="宋体" w:cs="宋体"/>
                <w:bCs/>
                <w:color w:val="auto"/>
                <w:szCs w:val="21"/>
                <w:highlight w:val="none"/>
              </w:rPr>
            </w:pPr>
            <w:r>
              <w:rPr>
                <w:rFonts w:hint="eastAsia" w:hAnsi="宋体" w:cs="宋体"/>
                <w:bCs/>
                <w:color w:val="auto"/>
                <w:szCs w:val="21"/>
                <w:highlight w:val="none"/>
                <w:lang w:val="en-US" w:eastAsia="zh-CN"/>
              </w:rPr>
              <w:t>10</w:t>
            </w:r>
            <w:r>
              <w:rPr>
                <w:rFonts w:hint="eastAsia" w:hAnsi="宋体" w:cs="宋体"/>
                <w:bCs/>
                <w:color w:val="auto"/>
                <w:szCs w:val="21"/>
                <w:highlight w:val="none"/>
              </w:rPr>
              <w:t>分</w:t>
            </w:r>
          </w:p>
        </w:tc>
        <w:tc>
          <w:tcPr>
            <w:tcW w:w="1180" w:type="dxa"/>
            <w:vAlign w:val="center"/>
          </w:tcPr>
          <w:p w14:paraId="1A774EC0">
            <w:pPr>
              <w:pStyle w:val="7"/>
              <w:spacing w:line="360" w:lineRule="auto"/>
              <w:jc w:val="center"/>
              <w:rPr>
                <w:rFonts w:hAnsi="宋体" w:cs="宋体"/>
                <w:bCs/>
                <w:color w:val="auto"/>
                <w:szCs w:val="21"/>
                <w:highlight w:val="none"/>
              </w:rPr>
            </w:pPr>
          </w:p>
        </w:tc>
      </w:tr>
      <w:tr w14:paraId="69C3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14:paraId="424D0976">
            <w:pPr>
              <w:pStyle w:val="7"/>
              <w:spacing w:line="360" w:lineRule="auto"/>
              <w:jc w:val="center"/>
              <w:rPr>
                <w:rFonts w:hAnsi="宋体" w:cs="宋体"/>
                <w:b/>
                <w:color w:val="auto"/>
                <w:szCs w:val="21"/>
                <w:highlight w:val="none"/>
              </w:rPr>
            </w:pPr>
            <w:r>
              <w:rPr>
                <w:rFonts w:hint="eastAsia" w:hAnsi="宋体" w:cs="宋体"/>
                <w:b/>
                <w:color w:val="auto"/>
                <w:szCs w:val="21"/>
                <w:highlight w:val="none"/>
              </w:rPr>
              <w:t>2</w:t>
            </w:r>
          </w:p>
        </w:tc>
        <w:tc>
          <w:tcPr>
            <w:tcW w:w="1315" w:type="dxa"/>
            <w:vAlign w:val="center"/>
          </w:tcPr>
          <w:p w14:paraId="54D3FD1D">
            <w:pPr>
              <w:pStyle w:val="7"/>
              <w:spacing w:line="360" w:lineRule="auto"/>
              <w:jc w:val="center"/>
              <w:rPr>
                <w:rFonts w:hAnsi="宋体" w:cs="宋体"/>
                <w:b/>
                <w:color w:val="auto"/>
                <w:szCs w:val="21"/>
                <w:highlight w:val="none"/>
              </w:rPr>
            </w:pPr>
            <w:r>
              <w:rPr>
                <w:rFonts w:hint="eastAsia" w:hAnsi="宋体" w:cs="宋体"/>
                <w:b/>
                <w:color w:val="auto"/>
                <w:szCs w:val="21"/>
                <w:highlight w:val="none"/>
              </w:rPr>
              <w:t>技术分</w:t>
            </w:r>
          </w:p>
        </w:tc>
        <w:tc>
          <w:tcPr>
            <w:tcW w:w="5282" w:type="dxa"/>
          </w:tcPr>
          <w:p w14:paraId="13288F4A">
            <w:pPr>
              <w:pStyle w:val="7"/>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评审因素具体内容</w:t>
            </w:r>
          </w:p>
        </w:tc>
        <w:tc>
          <w:tcPr>
            <w:tcW w:w="1171" w:type="dxa"/>
            <w:vAlign w:val="center"/>
          </w:tcPr>
          <w:p w14:paraId="61BBFA2E">
            <w:pPr>
              <w:pStyle w:val="7"/>
              <w:spacing w:line="360" w:lineRule="auto"/>
              <w:jc w:val="center"/>
              <w:rPr>
                <w:rFonts w:hAnsi="宋体" w:cs="宋体"/>
                <w:b/>
                <w:color w:val="auto"/>
                <w:szCs w:val="21"/>
                <w:highlight w:val="none"/>
              </w:rPr>
            </w:pPr>
            <w:r>
              <w:rPr>
                <w:rFonts w:hint="eastAsia" w:hAnsi="宋体" w:cs="宋体"/>
                <w:b/>
                <w:color w:val="auto"/>
                <w:szCs w:val="21"/>
                <w:highlight w:val="none"/>
              </w:rPr>
              <w:t>分值</w:t>
            </w:r>
          </w:p>
        </w:tc>
        <w:tc>
          <w:tcPr>
            <w:tcW w:w="1180" w:type="dxa"/>
            <w:vAlign w:val="center"/>
          </w:tcPr>
          <w:p w14:paraId="03A04AFD">
            <w:pPr>
              <w:pStyle w:val="7"/>
              <w:spacing w:line="360" w:lineRule="auto"/>
              <w:jc w:val="center"/>
              <w:rPr>
                <w:rFonts w:hAnsi="宋体" w:cs="宋体"/>
                <w:b/>
                <w:color w:val="auto"/>
                <w:szCs w:val="21"/>
                <w:highlight w:val="none"/>
              </w:rPr>
            </w:pPr>
            <w:r>
              <w:rPr>
                <w:rFonts w:hint="eastAsia" w:hAnsi="宋体" w:cs="宋体"/>
                <w:b/>
                <w:color w:val="auto"/>
                <w:szCs w:val="21"/>
                <w:highlight w:val="none"/>
              </w:rPr>
              <w:t>备注</w:t>
            </w:r>
          </w:p>
        </w:tc>
      </w:tr>
      <w:tr w14:paraId="7964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14:paraId="36A72A6B">
            <w:pPr>
              <w:pStyle w:val="7"/>
              <w:spacing w:line="360" w:lineRule="auto"/>
              <w:jc w:val="center"/>
              <w:rPr>
                <w:rFonts w:hint="default" w:hAnsi="宋体" w:eastAsia="宋体" w:cs="宋体"/>
                <w:b/>
                <w:color w:val="auto"/>
                <w:szCs w:val="21"/>
                <w:highlight w:val="none"/>
                <w:lang w:val="en-US" w:eastAsia="zh-CN"/>
              </w:rPr>
            </w:pPr>
            <w:r>
              <w:rPr>
                <w:rFonts w:hint="eastAsia" w:hAnsi="宋体" w:cs="宋体"/>
                <w:b w:val="0"/>
                <w:bCs/>
                <w:color w:val="auto"/>
                <w:szCs w:val="21"/>
                <w:highlight w:val="none"/>
                <w:lang w:val="en-US" w:eastAsia="zh-CN"/>
              </w:rPr>
              <w:t>2.1</w:t>
            </w:r>
          </w:p>
        </w:tc>
        <w:tc>
          <w:tcPr>
            <w:tcW w:w="1315" w:type="dxa"/>
            <w:vAlign w:val="center"/>
          </w:tcPr>
          <w:p w14:paraId="794BCCE4">
            <w:pPr>
              <w:pStyle w:val="7"/>
              <w:spacing w:line="360" w:lineRule="auto"/>
              <w:jc w:val="center"/>
              <w:rPr>
                <w:rFonts w:hint="eastAsia" w:hAnsi="宋体" w:cs="宋体"/>
                <w:b/>
                <w:color w:val="auto"/>
                <w:szCs w:val="21"/>
                <w:highlight w:val="none"/>
              </w:rPr>
            </w:pPr>
            <w:r>
              <w:rPr>
                <w:rFonts w:hint="eastAsia" w:hAnsi="宋体" w:cs="宋体"/>
                <w:b w:val="0"/>
                <w:bCs/>
                <w:color w:val="auto"/>
                <w:szCs w:val="21"/>
                <w:highlight w:val="none"/>
              </w:rPr>
              <w:t>组织服务方案</w:t>
            </w:r>
          </w:p>
        </w:tc>
        <w:tc>
          <w:tcPr>
            <w:tcW w:w="5282" w:type="dxa"/>
          </w:tcPr>
          <w:p w14:paraId="6553F2FD">
            <w:pPr>
              <w:pStyle w:val="17"/>
              <w:spacing w:line="360" w:lineRule="auto"/>
              <w:jc w:val="both"/>
              <w:rPr>
                <w:rFonts w:ascii="Times New Roman" w:hAnsi="Times New Roman"/>
                <w:bCs/>
                <w:color w:val="auto"/>
                <w:kern w:val="2"/>
                <w:sz w:val="21"/>
                <w:szCs w:val="24"/>
              </w:rPr>
            </w:pPr>
            <w:r>
              <w:rPr>
                <w:rFonts w:hint="eastAsia" w:ascii="Times New Roman" w:hAnsi="Times New Roman"/>
                <w:bCs/>
                <w:color w:val="auto"/>
                <w:kern w:val="2"/>
                <w:sz w:val="21"/>
                <w:szCs w:val="24"/>
              </w:rPr>
              <w:t>一档（</w:t>
            </w:r>
            <w:r>
              <w:rPr>
                <w:rFonts w:hint="eastAsia" w:ascii="Times New Roman" w:hAnsi="Times New Roman"/>
                <w:bCs/>
                <w:color w:val="auto"/>
                <w:kern w:val="2"/>
                <w:sz w:val="21"/>
                <w:szCs w:val="24"/>
                <w:lang w:val="en-US" w:eastAsia="zh-CN"/>
              </w:rPr>
              <w:t>0</w:t>
            </w:r>
            <w:r>
              <w:rPr>
                <w:rFonts w:hint="eastAsia" w:ascii="Times New Roman" w:hAnsi="Times New Roman"/>
                <w:bCs/>
                <w:color w:val="auto"/>
                <w:kern w:val="2"/>
                <w:sz w:val="21"/>
                <w:szCs w:val="24"/>
              </w:rPr>
              <w:t>分）：对上述内容有具体描述，但内容不完整或有缺项或内容单一、简单；</w:t>
            </w:r>
          </w:p>
          <w:p w14:paraId="7996C93F">
            <w:pPr>
              <w:pStyle w:val="17"/>
              <w:spacing w:line="360" w:lineRule="auto"/>
              <w:jc w:val="both"/>
              <w:rPr>
                <w:rFonts w:hint="eastAsia" w:ascii="Times New Roman" w:hAnsi="Times New Roman"/>
                <w:bCs/>
                <w:color w:val="auto"/>
                <w:kern w:val="2"/>
                <w:sz w:val="21"/>
                <w:szCs w:val="24"/>
              </w:rPr>
            </w:pPr>
            <w:r>
              <w:rPr>
                <w:rFonts w:hint="eastAsia" w:ascii="Times New Roman" w:hAnsi="Times New Roman"/>
                <w:bCs/>
                <w:color w:val="auto"/>
                <w:kern w:val="2"/>
                <w:sz w:val="21"/>
                <w:szCs w:val="24"/>
              </w:rPr>
              <w:t>二档（</w:t>
            </w:r>
            <w:r>
              <w:rPr>
                <w:rFonts w:hint="eastAsia" w:ascii="Times New Roman" w:hAnsi="Times New Roman"/>
                <w:bCs/>
                <w:color w:val="auto"/>
                <w:kern w:val="2"/>
                <w:sz w:val="21"/>
                <w:szCs w:val="24"/>
                <w:lang w:val="en-US" w:eastAsia="zh-CN"/>
              </w:rPr>
              <w:t>5</w:t>
            </w:r>
            <w:r>
              <w:rPr>
                <w:rFonts w:hint="eastAsia" w:ascii="Times New Roman" w:hAnsi="Times New Roman"/>
                <w:bCs/>
                <w:color w:val="auto"/>
                <w:kern w:val="2"/>
                <w:sz w:val="21"/>
                <w:szCs w:val="24"/>
              </w:rPr>
              <w:t>分）：组织服务方案</w:t>
            </w:r>
            <w:r>
              <w:rPr>
                <w:rFonts w:hint="eastAsia" w:ascii="Times New Roman" w:hAnsi="Times New Roman"/>
                <w:bCs/>
                <w:color w:val="auto"/>
                <w:kern w:val="2"/>
                <w:sz w:val="21"/>
                <w:szCs w:val="24"/>
                <w:lang w:val="en-US" w:eastAsia="zh-CN"/>
              </w:rPr>
              <w:t>包含</w:t>
            </w:r>
            <w:r>
              <w:rPr>
                <w:rFonts w:hint="eastAsia" w:ascii="Times New Roman" w:hAnsi="Times New Roman"/>
                <w:bCs/>
                <w:color w:val="auto"/>
                <w:kern w:val="2"/>
                <w:sz w:val="21"/>
                <w:szCs w:val="24"/>
              </w:rPr>
              <w:t>项目前期准备；</w:t>
            </w:r>
          </w:p>
          <w:p w14:paraId="2562AB81">
            <w:pPr>
              <w:pStyle w:val="17"/>
              <w:spacing w:line="360" w:lineRule="auto"/>
              <w:jc w:val="both"/>
              <w:rPr>
                <w:rFonts w:hint="eastAsia" w:ascii="Times New Roman" w:hAnsi="Times New Roman"/>
                <w:bCs/>
                <w:color w:val="auto"/>
                <w:kern w:val="2"/>
                <w:sz w:val="21"/>
                <w:szCs w:val="24"/>
              </w:rPr>
            </w:pPr>
            <w:r>
              <w:rPr>
                <w:rFonts w:hint="eastAsia" w:ascii="Times New Roman" w:hAnsi="Times New Roman"/>
                <w:bCs/>
                <w:color w:val="auto"/>
                <w:kern w:val="2"/>
                <w:sz w:val="21"/>
                <w:szCs w:val="24"/>
                <w:lang w:val="en-US" w:eastAsia="zh-CN"/>
              </w:rPr>
              <w:t>三</w:t>
            </w:r>
            <w:r>
              <w:rPr>
                <w:rFonts w:hint="eastAsia" w:ascii="Times New Roman" w:hAnsi="Times New Roman"/>
                <w:bCs/>
                <w:color w:val="auto"/>
                <w:kern w:val="2"/>
                <w:sz w:val="21"/>
                <w:szCs w:val="24"/>
              </w:rPr>
              <w:t>档（</w:t>
            </w:r>
            <w:r>
              <w:rPr>
                <w:rFonts w:hint="eastAsia" w:ascii="Times New Roman" w:hAnsi="Times New Roman"/>
                <w:bCs/>
                <w:color w:val="auto"/>
                <w:kern w:val="2"/>
                <w:sz w:val="21"/>
                <w:szCs w:val="24"/>
                <w:lang w:val="en-US" w:eastAsia="zh-CN"/>
              </w:rPr>
              <w:t>10</w:t>
            </w:r>
            <w:r>
              <w:rPr>
                <w:rFonts w:hint="eastAsia" w:ascii="Times New Roman" w:hAnsi="Times New Roman"/>
                <w:bCs/>
                <w:color w:val="auto"/>
                <w:kern w:val="2"/>
                <w:sz w:val="21"/>
                <w:szCs w:val="24"/>
              </w:rPr>
              <w:t>分）：组织服务方案</w:t>
            </w:r>
            <w:r>
              <w:rPr>
                <w:rFonts w:hint="eastAsia" w:ascii="Times New Roman" w:hAnsi="Times New Roman"/>
                <w:bCs/>
                <w:color w:val="auto"/>
                <w:kern w:val="2"/>
                <w:sz w:val="21"/>
                <w:szCs w:val="24"/>
                <w:lang w:val="en-US" w:eastAsia="zh-CN"/>
              </w:rPr>
              <w:t>包含</w:t>
            </w:r>
            <w:r>
              <w:rPr>
                <w:rFonts w:hint="eastAsia" w:ascii="Times New Roman" w:hAnsi="Times New Roman"/>
                <w:bCs/>
                <w:color w:val="auto"/>
                <w:kern w:val="2"/>
                <w:sz w:val="21"/>
                <w:szCs w:val="24"/>
              </w:rPr>
              <w:t>项目前期准备、项目实施计划；</w:t>
            </w:r>
          </w:p>
          <w:p w14:paraId="3B51C78E">
            <w:pPr>
              <w:pStyle w:val="7"/>
              <w:spacing w:line="360" w:lineRule="auto"/>
              <w:jc w:val="both"/>
              <w:rPr>
                <w:rFonts w:hint="eastAsia" w:ascii="Times New Roman" w:hAnsi="Times New Roman"/>
                <w:bCs/>
                <w:color w:val="auto"/>
                <w:kern w:val="2"/>
                <w:sz w:val="21"/>
                <w:szCs w:val="24"/>
                <w:lang w:eastAsia="zh-CN"/>
              </w:rPr>
            </w:pPr>
            <w:r>
              <w:rPr>
                <w:rFonts w:hint="eastAsia" w:ascii="Times New Roman" w:hAnsi="Times New Roman"/>
                <w:bCs/>
                <w:color w:val="auto"/>
                <w:kern w:val="2"/>
                <w:sz w:val="21"/>
                <w:szCs w:val="24"/>
                <w:lang w:val="en-US" w:eastAsia="zh-CN"/>
              </w:rPr>
              <w:t>四</w:t>
            </w:r>
            <w:r>
              <w:rPr>
                <w:rFonts w:hint="eastAsia" w:ascii="Times New Roman" w:hAnsi="Times New Roman"/>
                <w:bCs/>
                <w:color w:val="auto"/>
                <w:kern w:val="2"/>
                <w:sz w:val="21"/>
                <w:szCs w:val="24"/>
              </w:rPr>
              <w:t>档（</w:t>
            </w:r>
            <w:r>
              <w:rPr>
                <w:rFonts w:hint="eastAsia" w:ascii="Times New Roman" w:hAnsi="Times New Roman"/>
                <w:bCs/>
                <w:color w:val="auto"/>
                <w:kern w:val="2"/>
                <w:sz w:val="21"/>
                <w:szCs w:val="24"/>
                <w:lang w:val="en-US" w:eastAsia="zh-CN"/>
              </w:rPr>
              <w:t>15</w:t>
            </w:r>
            <w:r>
              <w:rPr>
                <w:rFonts w:hint="eastAsia" w:ascii="Times New Roman" w:hAnsi="Times New Roman"/>
                <w:bCs/>
                <w:color w:val="auto"/>
                <w:kern w:val="2"/>
                <w:sz w:val="21"/>
                <w:szCs w:val="24"/>
              </w:rPr>
              <w:t>分）：组织服务方案</w:t>
            </w:r>
            <w:r>
              <w:rPr>
                <w:rFonts w:hint="eastAsia" w:ascii="Times New Roman" w:hAnsi="Times New Roman"/>
                <w:bCs/>
                <w:color w:val="auto"/>
                <w:kern w:val="2"/>
                <w:sz w:val="21"/>
                <w:szCs w:val="24"/>
                <w:lang w:val="en-US" w:eastAsia="zh-CN"/>
              </w:rPr>
              <w:t>包含</w:t>
            </w:r>
            <w:r>
              <w:rPr>
                <w:rFonts w:hint="eastAsia" w:ascii="Times New Roman" w:hAnsi="Times New Roman"/>
                <w:bCs/>
                <w:color w:val="auto"/>
                <w:kern w:val="2"/>
                <w:sz w:val="21"/>
                <w:szCs w:val="24"/>
              </w:rPr>
              <w:t>项目前期准备、项目实施计划</w:t>
            </w:r>
            <w:r>
              <w:rPr>
                <w:rFonts w:hint="eastAsia" w:ascii="Times New Roman" w:hAnsi="Times New Roman"/>
                <w:bCs/>
                <w:color w:val="auto"/>
                <w:kern w:val="2"/>
                <w:sz w:val="21"/>
                <w:szCs w:val="24"/>
                <w:lang w:eastAsia="zh-CN"/>
              </w:rPr>
              <w:t>、技术服务、技术培训内容和措施。</w:t>
            </w:r>
          </w:p>
          <w:p w14:paraId="424AE4CD">
            <w:pPr>
              <w:pStyle w:val="7"/>
              <w:spacing w:line="360" w:lineRule="auto"/>
              <w:jc w:val="both"/>
              <w:rPr>
                <w:rFonts w:hint="eastAsia" w:ascii="Times New Roman" w:hAnsi="Times New Roman" w:eastAsia="宋体"/>
                <w:bCs/>
                <w:color w:val="auto"/>
                <w:kern w:val="2"/>
                <w:sz w:val="21"/>
                <w:szCs w:val="24"/>
                <w:lang w:eastAsia="zh-CN"/>
              </w:rPr>
            </w:pPr>
            <w:r>
              <w:rPr>
                <w:rFonts w:hint="eastAsia" w:ascii="Times New Roman" w:hAnsi="Times New Roman"/>
                <w:bCs/>
                <w:color w:val="auto"/>
                <w:kern w:val="2"/>
                <w:sz w:val="21"/>
                <w:szCs w:val="24"/>
                <w:lang w:val="en-US" w:eastAsia="zh-CN"/>
              </w:rPr>
              <w:t>五</w:t>
            </w:r>
            <w:r>
              <w:rPr>
                <w:rFonts w:hint="eastAsia" w:ascii="Times New Roman" w:hAnsi="Times New Roman"/>
                <w:bCs/>
                <w:color w:val="auto"/>
                <w:kern w:val="2"/>
                <w:sz w:val="21"/>
                <w:szCs w:val="24"/>
              </w:rPr>
              <w:t>档（</w:t>
            </w:r>
            <w:r>
              <w:rPr>
                <w:rFonts w:hint="eastAsia" w:ascii="Times New Roman" w:hAnsi="Times New Roman"/>
                <w:bCs/>
                <w:color w:val="auto"/>
                <w:kern w:val="2"/>
                <w:sz w:val="21"/>
                <w:szCs w:val="24"/>
                <w:lang w:val="en-US" w:eastAsia="zh-CN"/>
              </w:rPr>
              <w:t>20</w:t>
            </w:r>
            <w:r>
              <w:rPr>
                <w:rFonts w:hint="eastAsia" w:ascii="Times New Roman" w:hAnsi="Times New Roman"/>
                <w:bCs/>
                <w:color w:val="auto"/>
                <w:kern w:val="2"/>
                <w:sz w:val="21"/>
                <w:szCs w:val="24"/>
              </w:rPr>
              <w:t>分）：</w:t>
            </w:r>
            <w:r>
              <w:rPr>
                <w:rFonts w:hint="eastAsia" w:ascii="Times New Roman" w:hAnsi="Times New Roman"/>
                <w:bCs/>
                <w:color w:val="auto"/>
                <w:kern w:val="2"/>
                <w:sz w:val="21"/>
                <w:szCs w:val="24"/>
                <w:lang w:val="en-US" w:eastAsia="zh-CN"/>
              </w:rPr>
              <w:t>结合现行政策</w:t>
            </w:r>
            <w:r>
              <w:rPr>
                <w:rFonts w:hint="eastAsia" w:ascii="Times New Roman" w:hAnsi="Times New Roman"/>
                <w:bCs/>
                <w:color w:val="auto"/>
                <w:kern w:val="2"/>
                <w:sz w:val="21"/>
                <w:szCs w:val="24"/>
              </w:rPr>
              <w:t>、</w:t>
            </w:r>
            <w:r>
              <w:rPr>
                <w:rFonts w:hint="eastAsia" w:ascii="Times New Roman" w:hAnsi="Times New Roman"/>
                <w:bCs/>
                <w:color w:val="auto"/>
                <w:kern w:val="2"/>
                <w:sz w:val="21"/>
                <w:szCs w:val="24"/>
                <w:lang w:eastAsia="zh-CN"/>
              </w:rPr>
              <w:t>总体框架方案大纲编写，</w:t>
            </w:r>
            <w:r>
              <w:rPr>
                <w:rFonts w:hint="eastAsia" w:ascii="Times New Roman" w:hAnsi="Times New Roman"/>
                <w:bCs/>
                <w:color w:val="auto"/>
                <w:kern w:val="2"/>
                <w:sz w:val="21"/>
                <w:szCs w:val="24"/>
                <w:lang w:val="en-US" w:eastAsia="zh-CN"/>
              </w:rPr>
              <w:t>在满足三档的基础上，包含</w:t>
            </w:r>
            <w:r>
              <w:rPr>
                <w:rFonts w:hint="eastAsia" w:ascii="Times New Roman" w:hAnsi="Times New Roman"/>
                <w:bCs/>
                <w:color w:val="auto"/>
                <w:kern w:val="2"/>
                <w:sz w:val="21"/>
                <w:szCs w:val="24"/>
                <w:lang w:eastAsia="zh-CN"/>
              </w:rPr>
              <w:t>管理制度、应急保障方案、保密承诺及廉洁承诺等，</w:t>
            </w:r>
            <w:r>
              <w:rPr>
                <w:rFonts w:hint="eastAsia" w:ascii="Times New Roman" w:hAnsi="Times New Roman"/>
                <w:bCs/>
                <w:color w:val="auto"/>
                <w:kern w:val="2"/>
                <w:sz w:val="21"/>
                <w:szCs w:val="24"/>
              </w:rPr>
              <w:t>思路清晰，有针对性、操作性和可行性强，优于本项目需求</w:t>
            </w:r>
            <w:r>
              <w:rPr>
                <w:rFonts w:hint="eastAsia" w:ascii="Times New Roman" w:hAnsi="Times New Roman"/>
                <w:bCs/>
                <w:color w:val="auto"/>
                <w:kern w:val="2"/>
                <w:sz w:val="21"/>
                <w:szCs w:val="24"/>
                <w:lang w:eastAsia="zh-CN"/>
              </w:rPr>
              <w:t>。</w:t>
            </w:r>
          </w:p>
        </w:tc>
        <w:tc>
          <w:tcPr>
            <w:tcW w:w="1171" w:type="dxa"/>
            <w:vAlign w:val="center"/>
          </w:tcPr>
          <w:p w14:paraId="768A893F">
            <w:pPr>
              <w:pStyle w:val="7"/>
              <w:spacing w:line="360" w:lineRule="auto"/>
              <w:jc w:val="center"/>
              <w:rPr>
                <w:rFonts w:hint="default" w:hAnsi="宋体" w:eastAsia="宋体" w:cs="宋体"/>
                <w:b/>
                <w:color w:val="auto"/>
                <w:szCs w:val="21"/>
                <w:highlight w:val="none"/>
                <w:lang w:val="en-US" w:eastAsia="zh-CN"/>
              </w:rPr>
            </w:pPr>
            <w:r>
              <w:rPr>
                <w:rFonts w:hint="eastAsia" w:hAnsi="宋体" w:cs="宋体"/>
                <w:bCs/>
                <w:color w:val="auto"/>
                <w:kern w:val="0"/>
                <w:szCs w:val="21"/>
                <w:highlight w:val="none"/>
                <w:lang w:val="en-US" w:eastAsia="zh-CN"/>
              </w:rPr>
              <w:t>20</w:t>
            </w:r>
            <w:r>
              <w:rPr>
                <w:rFonts w:hint="eastAsia" w:hAnsi="宋体" w:cs="宋体"/>
                <w:bCs/>
                <w:color w:val="auto"/>
                <w:kern w:val="0"/>
                <w:szCs w:val="21"/>
                <w:highlight w:val="none"/>
              </w:rPr>
              <w:t>分</w:t>
            </w:r>
          </w:p>
        </w:tc>
        <w:tc>
          <w:tcPr>
            <w:tcW w:w="1180" w:type="dxa"/>
            <w:vAlign w:val="center"/>
          </w:tcPr>
          <w:p w14:paraId="1D2506FD">
            <w:pPr>
              <w:pStyle w:val="7"/>
              <w:spacing w:line="360" w:lineRule="auto"/>
              <w:jc w:val="center"/>
              <w:rPr>
                <w:rFonts w:hint="eastAsia" w:hAnsi="宋体" w:cs="宋体"/>
                <w:b/>
                <w:color w:val="auto"/>
                <w:szCs w:val="21"/>
                <w:highlight w:val="none"/>
              </w:rPr>
            </w:pPr>
            <w:r>
              <w:rPr>
                <w:rFonts w:hint="eastAsia" w:hAnsi="宋体" w:cs="宋体"/>
                <w:bCs/>
                <w:color w:val="auto"/>
                <w:szCs w:val="21"/>
                <w:highlight w:val="none"/>
              </w:rPr>
              <w:t>主观分</w:t>
            </w:r>
          </w:p>
        </w:tc>
      </w:tr>
      <w:tr w14:paraId="4936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14:paraId="5A82AD6F">
            <w:pPr>
              <w:pStyle w:val="7"/>
              <w:spacing w:line="360" w:lineRule="auto"/>
              <w:jc w:val="center"/>
              <w:rPr>
                <w:rFonts w:hint="eastAsia" w:hAnsi="宋体" w:eastAsia="宋体" w:cs="宋体"/>
                <w:bCs/>
                <w:color w:val="auto"/>
                <w:szCs w:val="21"/>
                <w:highlight w:val="none"/>
                <w:lang w:eastAsia="zh-CN"/>
              </w:rPr>
            </w:pPr>
            <w:r>
              <w:rPr>
                <w:rFonts w:hint="eastAsia" w:hAnsi="宋体" w:cs="宋体"/>
                <w:bCs/>
                <w:color w:val="auto"/>
                <w:szCs w:val="21"/>
                <w:highlight w:val="none"/>
              </w:rPr>
              <w:t>2.</w:t>
            </w:r>
            <w:r>
              <w:rPr>
                <w:rFonts w:hint="eastAsia" w:hAnsi="宋体" w:cs="宋体"/>
                <w:bCs/>
                <w:color w:val="auto"/>
                <w:szCs w:val="21"/>
                <w:highlight w:val="none"/>
                <w:lang w:val="en-US" w:eastAsia="zh-CN"/>
              </w:rPr>
              <w:t>2</w:t>
            </w:r>
          </w:p>
        </w:tc>
        <w:tc>
          <w:tcPr>
            <w:tcW w:w="1315" w:type="dxa"/>
            <w:vAlign w:val="center"/>
          </w:tcPr>
          <w:p w14:paraId="1327010C">
            <w:pPr>
              <w:pStyle w:val="7"/>
              <w:spacing w:line="360" w:lineRule="auto"/>
              <w:jc w:val="center"/>
              <w:rPr>
                <w:rFonts w:hAnsi="宋体" w:cs="宋体"/>
                <w:bCs/>
                <w:color w:val="auto"/>
                <w:szCs w:val="21"/>
                <w:highlight w:val="none"/>
              </w:rPr>
            </w:pPr>
            <w:r>
              <w:rPr>
                <w:rFonts w:hint="eastAsia" w:hAnsi="宋体" w:cs="宋体"/>
                <w:bCs/>
                <w:color w:val="auto"/>
                <w:szCs w:val="21"/>
                <w:highlight w:val="none"/>
                <w:lang w:val="en-US" w:eastAsia="zh-CN"/>
              </w:rPr>
              <w:t>运营及维护服务方案</w:t>
            </w:r>
          </w:p>
        </w:tc>
        <w:tc>
          <w:tcPr>
            <w:tcW w:w="5282" w:type="dxa"/>
          </w:tcPr>
          <w:p w14:paraId="33C6A408">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分）：方案不提供或与本项目无关；</w:t>
            </w:r>
          </w:p>
          <w:p w14:paraId="3C224306">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二档（5分）：</w:t>
            </w:r>
            <w:r>
              <w:rPr>
                <w:rFonts w:hint="eastAsia" w:ascii="宋体" w:hAnsi="宋体" w:eastAsia="宋体" w:cs="宋体"/>
                <w:color w:val="auto"/>
                <w:sz w:val="21"/>
                <w:szCs w:val="21"/>
                <w:lang w:val="en-US" w:eastAsia="zh-CN"/>
              </w:rPr>
              <w:t>制定的方案</w:t>
            </w:r>
            <w:r>
              <w:rPr>
                <w:rFonts w:hint="eastAsia" w:ascii="宋体" w:hAnsi="宋体" w:cs="宋体"/>
                <w:color w:val="auto"/>
                <w:sz w:val="21"/>
                <w:szCs w:val="21"/>
                <w:lang w:val="en-US" w:eastAsia="zh-CN"/>
              </w:rPr>
              <w:t>包含</w:t>
            </w:r>
            <w:r>
              <w:rPr>
                <w:rFonts w:hint="eastAsia" w:ascii="宋体" w:hAnsi="宋体" w:eastAsia="宋体" w:cs="宋体"/>
                <w:color w:val="auto"/>
                <w:sz w:val="21"/>
                <w:szCs w:val="21"/>
                <w:lang w:val="en-US" w:eastAsia="zh-CN"/>
              </w:rPr>
              <w:t>运营及维保服务方案</w:t>
            </w:r>
            <w:r>
              <w:rPr>
                <w:rFonts w:hint="eastAsia" w:ascii="宋体" w:hAnsi="宋体" w:cs="宋体"/>
                <w:color w:val="auto"/>
                <w:sz w:val="21"/>
                <w:szCs w:val="21"/>
                <w:lang w:val="en-US" w:eastAsia="zh-CN"/>
              </w:rPr>
              <w:t>、运维管理体系建设</w:t>
            </w:r>
            <w:r>
              <w:rPr>
                <w:rFonts w:hint="eastAsia" w:ascii="宋体" w:hAnsi="宋体" w:eastAsia="宋体" w:cs="宋体"/>
                <w:color w:val="auto"/>
                <w:sz w:val="21"/>
                <w:szCs w:val="21"/>
              </w:rPr>
              <w:t xml:space="preserve">； </w:t>
            </w:r>
          </w:p>
          <w:p w14:paraId="121282C8">
            <w:pPr>
              <w:keepNext w:val="0"/>
              <w:keepLines w:val="0"/>
              <w:pageBreakBefore w:val="0"/>
              <w:widowControl/>
              <w:kinsoku/>
              <w:wordWrap/>
              <w:overflowPunct/>
              <w:topLinePunct w:val="0"/>
              <w:bidi w:val="0"/>
              <w:snapToGrid/>
              <w:spacing w:before="100" w:beforeAutospacing="1" w:after="100" w:afterAutospacing="1" w:line="360" w:lineRule="auto"/>
              <w:contextualSpacing/>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制定的方案包含运营及维保服务方案、运维管理体系建设</w:t>
            </w:r>
            <w:r>
              <w:rPr>
                <w:rFonts w:hint="eastAsia" w:ascii="宋体" w:hAnsi="宋体" w:cs="宋体"/>
                <w:color w:val="auto"/>
                <w:sz w:val="21"/>
                <w:szCs w:val="21"/>
                <w:lang w:val="en-US" w:eastAsia="zh-CN"/>
              </w:rPr>
              <w:t>、明确运维团队的组织架构，设立项目管理、技术支持、现场运维等岗位，确保各环节衔接顺畅，持续优化运维流程，实现运维工作的标准化、流程化。</w:t>
            </w:r>
          </w:p>
          <w:p w14:paraId="58852039">
            <w:pPr>
              <w:keepNext w:val="0"/>
              <w:keepLines w:val="0"/>
              <w:pageBreakBefore w:val="0"/>
              <w:widowControl/>
              <w:kinsoku/>
              <w:wordWrap/>
              <w:overflowPunct/>
              <w:topLinePunct w:val="0"/>
              <w:bidi w:val="0"/>
              <w:snapToGrid/>
              <w:spacing w:before="100" w:beforeAutospacing="1" w:after="100" w:afterAutospacing="1" w:line="360" w:lineRule="auto"/>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制定的方案包含运营及维保服务方案、运维管理体系建设、明确运维团队的组织架构，设立项目管理、技术支持、现场运维等岗位，确保各环节衔接顺畅，持续优化运维流程</w:t>
            </w:r>
            <w:r>
              <w:rPr>
                <w:rFonts w:hint="eastAsia" w:ascii="宋体" w:hAnsi="宋体" w:eastAsia="宋体" w:cs="宋体"/>
                <w:color w:val="auto"/>
                <w:sz w:val="21"/>
                <w:szCs w:val="21"/>
              </w:rPr>
              <w:t>。</w:t>
            </w:r>
          </w:p>
          <w:p w14:paraId="051106B9">
            <w:pPr>
              <w:keepNext w:val="0"/>
              <w:keepLines w:val="0"/>
              <w:pageBreakBefore w:val="0"/>
              <w:widowControl/>
              <w:kinsoku/>
              <w:wordWrap/>
              <w:overflowPunct/>
              <w:topLinePunct w:val="0"/>
              <w:bidi w:val="0"/>
              <w:snapToGrid/>
              <w:spacing w:before="100" w:beforeAutospacing="1" w:after="100" w:afterAutospacing="1" w:line="360" w:lineRule="auto"/>
              <w:contextualSpacing/>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制定的方案包含运营及维保服务方案、运维管理体系建设、明确运维团队的组织架构，设立项目管理、技术支持、现场运维等岗位，确保各环节衔接顺畅，持续优化运维流程，实现运维工作的标准化、流程化，对日常巡检、设备定期保养、隐患排查有相应的计划与措施。</w:t>
            </w:r>
          </w:p>
        </w:tc>
        <w:tc>
          <w:tcPr>
            <w:tcW w:w="1171" w:type="dxa"/>
            <w:vAlign w:val="center"/>
          </w:tcPr>
          <w:p w14:paraId="655262CF">
            <w:pPr>
              <w:pStyle w:val="7"/>
              <w:spacing w:line="360" w:lineRule="auto"/>
              <w:jc w:val="center"/>
              <w:rPr>
                <w:rFonts w:hAnsi="宋体" w:cs="宋体"/>
                <w:bCs/>
                <w:color w:val="auto"/>
                <w:kern w:val="0"/>
                <w:szCs w:val="21"/>
                <w:highlight w:val="none"/>
              </w:rPr>
            </w:pPr>
            <w:r>
              <w:rPr>
                <w:rFonts w:hint="eastAsia" w:hAnsi="宋体" w:cs="宋体"/>
                <w:bCs/>
                <w:color w:val="auto"/>
                <w:kern w:val="0"/>
                <w:szCs w:val="21"/>
                <w:highlight w:val="none"/>
                <w:lang w:val="en-US" w:eastAsia="zh-CN"/>
              </w:rPr>
              <w:t>20</w:t>
            </w:r>
            <w:r>
              <w:rPr>
                <w:rFonts w:hint="eastAsia" w:hAnsi="宋体" w:cs="宋体"/>
                <w:bCs/>
                <w:color w:val="auto"/>
                <w:kern w:val="0"/>
                <w:szCs w:val="21"/>
                <w:highlight w:val="none"/>
              </w:rPr>
              <w:t>分</w:t>
            </w:r>
          </w:p>
        </w:tc>
        <w:tc>
          <w:tcPr>
            <w:tcW w:w="1180" w:type="dxa"/>
            <w:vAlign w:val="center"/>
          </w:tcPr>
          <w:p w14:paraId="664D88C1">
            <w:pPr>
              <w:pStyle w:val="7"/>
              <w:spacing w:line="360" w:lineRule="auto"/>
              <w:jc w:val="center"/>
              <w:rPr>
                <w:rFonts w:hAnsi="宋体" w:cs="宋体"/>
                <w:bCs/>
                <w:color w:val="auto"/>
                <w:szCs w:val="21"/>
                <w:highlight w:val="none"/>
              </w:rPr>
            </w:pPr>
            <w:r>
              <w:rPr>
                <w:rFonts w:hint="eastAsia" w:hAnsi="宋体" w:cs="宋体"/>
                <w:bCs/>
                <w:color w:val="auto"/>
                <w:szCs w:val="21"/>
                <w:highlight w:val="none"/>
              </w:rPr>
              <w:t>主观分</w:t>
            </w:r>
          </w:p>
        </w:tc>
      </w:tr>
      <w:tr w14:paraId="509D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14:paraId="129BFD1C">
            <w:pPr>
              <w:pStyle w:val="7"/>
              <w:spacing w:line="360" w:lineRule="auto"/>
              <w:jc w:val="center"/>
              <w:rPr>
                <w:rFonts w:hint="eastAsia" w:hAnsi="宋体" w:eastAsia="宋体" w:cs="宋体"/>
                <w:bCs/>
                <w:color w:val="auto"/>
                <w:szCs w:val="21"/>
                <w:highlight w:val="none"/>
                <w:lang w:eastAsia="zh-CN"/>
              </w:rPr>
            </w:pPr>
            <w:r>
              <w:rPr>
                <w:rFonts w:hint="eastAsia" w:hAnsi="宋体" w:cs="宋体"/>
                <w:bCs/>
                <w:color w:val="auto"/>
                <w:szCs w:val="21"/>
                <w:highlight w:val="none"/>
              </w:rPr>
              <w:t>2.</w:t>
            </w:r>
            <w:r>
              <w:rPr>
                <w:rFonts w:hint="eastAsia" w:hAnsi="宋体" w:cs="宋体"/>
                <w:bCs/>
                <w:color w:val="auto"/>
                <w:szCs w:val="21"/>
                <w:highlight w:val="none"/>
                <w:lang w:val="en-US" w:eastAsia="zh-CN"/>
              </w:rPr>
              <w:t>3</w:t>
            </w:r>
          </w:p>
        </w:tc>
        <w:tc>
          <w:tcPr>
            <w:tcW w:w="1315" w:type="dxa"/>
            <w:vAlign w:val="center"/>
          </w:tcPr>
          <w:p w14:paraId="3A6EC4A5">
            <w:pPr>
              <w:pStyle w:val="7"/>
              <w:spacing w:line="360" w:lineRule="auto"/>
              <w:jc w:val="center"/>
              <w:rPr>
                <w:rFonts w:hAnsi="宋体" w:cs="宋体"/>
                <w:bCs/>
                <w:color w:val="auto"/>
                <w:szCs w:val="21"/>
                <w:highlight w:val="none"/>
              </w:rPr>
            </w:pPr>
            <w:r>
              <w:rPr>
                <w:rFonts w:hint="eastAsia" w:hAnsi="宋体" w:cs="宋体"/>
                <w:bCs/>
                <w:color w:val="auto"/>
                <w:szCs w:val="21"/>
                <w:highlight w:val="none"/>
                <w:lang w:val="en-US" w:eastAsia="zh-CN"/>
              </w:rPr>
              <w:t>环境保护措施方案</w:t>
            </w:r>
          </w:p>
        </w:tc>
        <w:tc>
          <w:tcPr>
            <w:tcW w:w="5282" w:type="dxa"/>
            <w:vAlign w:val="top"/>
          </w:tcPr>
          <w:p w14:paraId="01CD0F2E">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根据投标人提供的的“环境保护措施”内容（环境保护措施至少要包含：根据设备对污泥、废渣的控制等因素的处理等方面内容）</w:t>
            </w:r>
            <w:r>
              <w:rPr>
                <w:rFonts w:hint="eastAsia" w:hAnsi="宋体" w:cs="宋体"/>
                <w:color w:val="auto"/>
                <w:highlight w:val="none"/>
              </w:rPr>
              <w:t>进行评审</w:t>
            </w:r>
            <w:r>
              <w:rPr>
                <w:rFonts w:hint="eastAsia" w:hAnsi="宋体" w:cs="宋体"/>
                <w:color w:val="auto"/>
                <w:highlight w:val="none"/>
                <w:lang w:eastAsia="zh-CN"/>
              </w:rPr>
              <w:t>并打分</w:t>
            </w:r>
            <w:r>
              <w:rPr>
                <w:rFonts w:hint="eastAsia" w:hAnsi="宋体" w:cs="宋体"/>
                <w:color w:val="auto"/>
                <w:highlight w:val="none"/>
                <w:lang w:val="en-US" w:eastAsia="zh-CN"/>
              </w:rPr>
              <w:t>。</w:t>
            </w:r>
          </w:p>
          <w:p w14:paraId="48A42343">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rPr>
              <w:t>一档（</w:t>
            </w:r>
            <w:r>
              <w:rPr>
                <w:rFonts w:hint="eastAsia" w:hAnsi="宋体" w:cs="宋体"/>
                <w:color w:val="auto"/>
                <w:highlight w:val="none"/>
                <w:lang w:val="en-US" w:eastAsia="zh-CN"/>
              </w:rPr>
              <w:t>0</w:t>
            </w:r>
            <w:r>
              <w:rPr>
                <w:rFonts w:hint="eastAsia" w:hAnsi="宋体" w:cs="宋体"/>
                <w:color w:val="auto"/>
                <w:highlight w:val="none"/>
              </w:rPr>
              <w:t>分）：方案不提供或与本项目无关；</w:t>
            </w:r>
          </w:p>
          <w:p w14:paraId="3089923D">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二</w:t>
            </w:r>
            <w:r>
              <w:rPr>
                <w:rFonts w:hint="eastAsia" w:hAnsi="宋体" w:cs="宋体"/>
                <w:color w:val="auto"/>
                <w:highlight w:val="none"/>
              </w:rPr>
              <w:t>档（</w:t>
            </w:r>
            <w:r>
              <w:rPr>
                <w:rFonts w:hint="eastAsia" w:hAnsi="宋体" w:cs="宋体"/>
                <w:color w:val="auto"/>
                <w:highlight w:val="none"/>
                <w:lang w:val="en-US" w:eastAsia="zh-CN"/>
              </w:rPr>
              <w:t>5</w:t>
            </w:r>
            <w:r>
              <w:rPr>
                <w:rFonts w:hint="eastAsia" w:hAnsi="宋体" w:cs="宋体"/>
                <w:color w:val="auto"/>
                <w:highlight w:val="none"/>
              </w:rPr>
              <w:t>分）：</w:t>
            </w:r>
            <w:r>
              <w:rPr>
                <w:rFonts w:hint="eastAsia" w:hAnsi="宋体" w:cs="宋体"/>
                <w:color w:val="auto"/>
                <w:highlight w:val="none"/>
                <w:lang w:val="en-US" w:eastAsia="zh-CN"/>
              </w:rPr>
              <w:t>环境保护措施至少要包含:处理设备对污泥、废渣的控制等因素的处理等内容，内容简单且有 1 项及以上的缺项，内容基本符合本项目情况的</w:t>
            </w:r>
            <w:r>
              <w:rPr>
                <w:rFonts w:hint="eastAsia" w:hAnsi="宋体" w:cs="宋体"/>
                <w:color w:val="auto"/>
                <w:highlight w:val="none"/>
              </w:rPr>
              <w:t>；</w:t>
            </w:r>
          </w:p>
          <w:p w14:paraId="518875B6">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三</w:t>
            </w:r>
            <w:r>
              <w:rPr>
                <w:rFonts w:hint="eastAsia" w:hAnsi="宋体" w:cs="宋体"/>
                <w:color w:val="auto"/>
                <w:highlight w:val="none"/>
              </w:rPr>
              <w:t>档（</w:t>
            </w:r>
            <w:r>
              <w:rPr>
                <w:rFonts w:hint="eastAsia" w:hAnsi="宋体" w:cs="宋体"/>
                <w:color w:val="auto"/>
                <w:highlight w:val="none"/>
                <w:lang w:val="en-US" w:eastAsia="zh-CN"/>
              </w:rPr>
              <w:t>10</w:t>
            </w:r>
            <w:r>
              <w:rPr>
                <w:rFonts w:hint="eastAsia" w:hAnsi="宋体" w:cs="宋体"/>
                <w:color w:val="auto"/>
                <w:highlight w:val="none"/>
              </w:rPr>
              <w:t>分）：</w:t>
            </w:r>
            <w:r>
              <w:rPr>
                <w:rFonts w:hint="eastAsia" w:hAnsi="宋体" w:cs="宋体"/>
                <w:color w:val="auto"/>
                <w:highlight w:val="none"/>
                <w:lang w:val="en-US" w:eastAsia="zh-CN"/>
              </w:rPr>
              <w:t>环境保护措施至少要包含处理设备对污泥、废渣的控制等因素的处理等内容，内容比较完整，只有 1 项缺项，符合项目的基本情况的</w:t>
            </w:r>
            <w:r>
              <w:rPr>
                <w:rFonts w:hint="eastAsia" w:hAnsi="宋体" w:cs="宋体"/>
                <w:color w:val="auto"/>
                <w:highlight w:val="none"/>
              </w:rPr>
              <w:t xml:space="preserve">； </w:t>
            </w:r>
          </w:p>
          <w:p w14:paraId="0916ED5A">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四</w:t>
            </w:r>
            <w:r>
              <w:rPr>
                <w:rFonts w:hint="eastAsia" w:hAnsi="宋体" w:cs="宋体"/>
                <w:color w:val="auto"/>
                <w:highlight w:val="none"/>
              </w:rPr>
              <w:t>档（</w:t>
            </w:r>
            <w:r>
              <w:rPr>
                <w:rFonts w:hint="eastAsia" w:hAnsi="宋体" w:cs="宋体"/>
                <w:color w:val="auto"/>
                <w:highlight w:val="none"/>
                <w:lang w:val="en-US" w:eastAsia="zh-CN"/>
              </w:rPr>
              <w:t>15</w:t>
            </w:r>
            <w:r>
              <w:rPr>
                <w:rFonts w:hint="eastAsia" w:hAnsi="宋体" w:cs="宋体"/>
                <w:color w:val="auto"/>
                <w:highlight w:val="none"/>
              </w:rPr>
              <w:t>分）：</w:t>
            </w:r>
            <w:r>
              <w:rPr>
                <w:rFonts w:hint="eastAsia" w:hAnsi="宋体" w:cs="宋体"/>
                <w:color w:val="auto"/>
                <w:highlight w:val="none"/>
                <w:lang w:val="en-US" w:eastAsia="zh-CN"/>
              </w:rPr>
              <w:t>环境保护措施至少要包含处理设备对污泥、废渣的控制等因素的处理等内容，内容完整，没有缺项，具有针对性的</w:t>
            </w:r>
            <w:r>
              <w:rPr>
                <w:rFonts w:hint="eastAsia" w:hAnsi="宋体" w:cs="宋体"/>
                <w:color w:val="auto"/>
                <w:highlight w:val="none"/>
              </w:rPr>
              <w:t>。</w:t>
            </w:r>
          </w:p>
          <w:p w14:paraId="4F4205FB">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Ansi="宋体" w:cs="宋体"/>
                <w:color w:val="auto"/>
                <w:highlight w:val="none"/>
              </w:rPr>
            </w:pPr>
            <w:r>
              <w:rPr>
                <w:rFonts w:hint="eastAsia" w:hAnsi="宋体" w:cs="宋体"/>
                <w:color w:val="auto"/>
                <w:highlight w:val="none"/>
                <w:lang w:val="en-US" w:eastAsia="zh-CN"/>
              </w:rPr>
              <w:t>五档（20分）：环境保护措施至少要包含处理设备对污泥、废渣的控制等因素的处理等内容，内容完整全面，重点突出，可操作性及针对性强的</w:t>
            </w:r>
          </w:p>
        </w:tc>
        <w:tc>
          <w:tcPr>
            <w:tcW w:w="1171" w:type="dxa"/>
            <w:vAlign w:val="center"/>
          </w:tcPr>
          <w:p w14:paraId="27B3C474">
            <w:pPr>
              <w:pStyle w:val="7"/>
              <w:spacing w:line="360" w:lineRule="auto"/>
              <w:jc w:val="center"/>
              <w:rPr>
                <w:rFonts w:hAnsi="宋体" w:cs="宋体"/>
                <w:bCs/>
                <w:color w:val="auto"/>
                <w:kern w:val="0"/>
                <w:szCs w:val="21"/>
                <w:highlight w:val="none"/>
              </w:rPr>
            </w:pPr>
            <w:r>
              <w:rPr>
                <w:rFonts w:hint="eastAsia" w:hAnsi="宋体" w:cs="宋体"/>
                <w:bCs/>
                <w:color w:val="auto"/>
                <w:kern w:val="0"/>
                <w:szCs w:val="21"/>
                <w:highlight w:val="none"/>
                <w:lang w:val="en-US" w:eastAsia="zh-CN"/>
              </w:rPr>
              <w:t>20</w:t>
            </w:r>
            <w:r>
              <w:rPr>
                <w:rFonts w:hint="eastAsia" w:hAnsi="宋体" w:cs="宋体"/>
                <w:bCs/>
                <w:color w:val="auto"/>
                <w:kern w:val="0"/>
                <w:szCs w:val="21"/>
                <w:highlight w:val="none"/>
              </w:rPr>
              <w:t>分</w:t>
            </w:r>
          </w:p>
        </w:tc>
        <w:tc>
          <w:tcPr>
            <w:tcW w:w="1180" w:type="dxa"/>
            <w:vAlign w:val="center"/>
          </w:tcPr>
          <w:p w14:paraId="28D86BDE">
            <w:pPr>
              <w:pStyle w:val="7"/>
              <w:spacing w:line="360" w:lineRule="auto"/>
              <w:jc w:val="center"/>
              <w:rPr>
                <w:rFonts w:hAnsi="宋体" w:cs="宋体"/>
                <w:bCs/>
                <w:color w:val="auto"/>
                <w:szCs w:val="21"/>
                <w:highlight w:val="none"/>
              </w:rPr>
            </w:pPr>
            <w:r>
              <w:rPr>
                <w:rFonts w:hint="eastAsia" w:hAnsi="宋体" w:cs="宋体"/>
                <w:bCs/>
                <w:color w:val="auto"/>
                <w:szCs w:val="21"/>
                <w:highlight w:val="none"/>
              </w:rPr>
              <w:t>主观分</w:t>
            </w:r>
          </w:p>
        </w:tc>
      </w:tr>
      <w:tr w14:paraId="23831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61" w:type="dxa"/>
            <w:vAlign w:val="center"/>
          </w:tcPr>
          <w:p w14:paraId="33FD8E3E">
            <w:pPr>
              <w:spacing w:line="360" w:lineRule="auto"/>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315" w:type="dxa"/>
            <w:vAlign w:val="center"/>
          </w:tcPr>
          <w:p w14:paraId="3CCAB3F4">
            <w:pPr>
              <w:pStyle w:val="7"/>
              <w:spacing w:line="360" w:lineRule="auto"/>
              <w:jc w:val="center"/>
              <w:rPr>
                <w:rFonts w:ascii="宋体" w:hAnsi="宋体" w:cs="宋体"/>
                <w:bCs/>
                <w:color w:val="auto"/>
                <w:szCs w:val="21"/>
                <w:highlight w:val="none"/>
              </w:rPr>
            </w:pPr>
            <w:r>
              <w:rPr>
                <w:rFonts w:hint="eastAsia" w:ascii="宋体" w:hAnsi="宋体" w:eastAsia="宋体" w:cs="宋体"/>
                <w:bCs/>
                <w:color w:val="auto"/>
                <w:szCs w:val="21"/>
                <w:highlight w:val="none"/>
                <w:lang w:val="en-US" w:eastAsia="zh-CN"/>
              </w:rPr>
              <w:t>人员应急预案保障措施及承诺分</w:t>
            </w:r>
          </w:p>
        </w:tc>
        <w:tc>
          <w:tcPr>
            <w:tcW w:w="5282" w:type="dxa"/>
            <w:vAlign w:val="center"/>
          </w:tcPr>
          <w:p w14:paraId="16882740">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根据投标人所提供的应急预案和紧急事件处置措施，以及各类突发事件的保障措施进行打分。</w:t>
            </w:r>
          </w:p>
          <w:p w14:paraId="613AC6A2">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迎检、会务、节日庆典布置方案、劳务派遣人员流失应急预案；安全、保洁应急预案、应急服务保障措施、应急服务响应时间、应急设备保障、重大或突发事件的人员配合、控制失误方案及其他相关服务方案等进行评审。供应商必须承诺拟投入本项目的劳务派遣人员在服务期间能满足本项目最低人员要求，并能确保实施本项目所需派遣人员的充足性，无承诺的，此项不得分。</w:t>
            </w:r>
          </w:p>
          <w:p w14:paraId="0685C45D">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w:t>
            </w:r>
            <w:r>
              <w:rPr>
                <w:rFonts w:hint="eastAsia" w:hAnsi="宋体" w:cs="宋体"/>
                <w:color w:val="auto"/>
                <w:highlight w:val="none"/>
                <w:lang w:val="en-US" w:eastAsia="zh-CN"/>
              </w:rPr>
              <w:t>0</w:t>
            </w:r>
            <w:r>
              <w:rPr>
                <w:rFonts w:hint="eastAsia" w:ascii="宋体" w:hAnsi="宋体" w:eastAsia="宋体" w:cs="宋体"/>
                <w:color w:val="auto"/>
                <w:highlight w:val="none"/>
                <w:lang w:val="en-US" w:eastAsia="zh-CN"/>
              </w:rPr>
              <w:t>分）：所提供的方案内容不符合项目需求或未提供。</w:t>
            </w:r>
          </w:p>
          <w:p w14:paraId="720CA8B8">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w:t>
            </w:r>
            <w:r>
              <w:rPr>
                <w:rFonts w:hint="eastAsia" w:hAnsi="宋体" w:cs="宋体"/>
                <w:color w:val="auto"/>
                <w:highlight w:val="none"/>
                <w:lang w:val="en-US" w:eastAsia="zh-CN"/>
              </w:rPr>
              <w:t>5</w:t>
            </w:r>
            <w:r>
              <w:rPr>
                <w:rFonts w:hint="eastAsia" w:ascii="宋体" w:hAnsi="宋体" w:eastAsia="宋体" w:cs="宋体"/>
                <w:color w:val="auto"/>
                <w:highlight w:val="none"/>
                <w:lang w:val="en-US" w:eastAsia="zh-CN"/>
              </w:rPr>
              <w:t>分）：提供的方案内容陈述不够具体、较简单或内容不齐全、不完整，缺失较多，无针对性。承诺应急服务响应时间30分钟内人员及设备能按采购人通知要求到达事故现场，并能按采购人指定的时间内完成事故处理的。</w:t>
            </w:r>
          </w:p>
          <w:p w14:paraId="10F55758">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三档（</w:t>
            </w:r>
            <w:r>
              <w:rPr>
                <w:rFonts w:hint="eastAsia" w:hAnsi="宋体" w:cs="宋体"/>
                <w:color w:val="auto"/>
                <w:highlight w:val="none"/>
                <w:lang w:val="en-US" w:eastAsia="zh-CN"/>
              </w:rPr>
              <w:t>10</w:t>
            </w:r>
            <w:r>
              <w:rPr>
                <w:rFonts w:hint="eastAsia" w:ascii="宋体" w:hAnsi="宋体" w:eastAsia="宋体" w:cs="宋体"/>
                <w:color w:val="auto"/>
                <w:highlight w:val="none"/>
                <w:lang w:val="en-US" w:eastAsia="zh-CN"/>
              </w:rPr>
              <w:t>分）：所提供的方案含有所有内容，内容陈述基本清晰、完整，但不够详细、具体，有针对性，操作和可行性一般。承诺应急服务响应时间25分钟内人员及设备能按采购人通知要求到达事故现场，并能按采购人指定的时间内完成事故处理的。</w:t>
            </w:r>
          </w:p>
          <w:p w14:paraId="37403015">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四档（</w:t>
            </w:r>
            <w:r>
              <w:rPr>
                <w:rFonts w:hint="eastAsia" w:hAnsi="宋体" w:cs="宋体"/>
                <w:color w:val="auto"/>
                <w:highlight w:val="none"/>
                <w:lang w:val="en-US" w:eastAsia="zh-CN"/>
              </w:rPr>
              <w:t>15</w:t>
            </w:r>
            <w:r>
              <w:rPr>
                <w:rFonts w:hint="eastAsia" w:ascii="宋体" w:hAnsi="宋体" w:eastAsia="宋体" w:cs="宋体"/>
                <w:color w:val="auto"/>
                <w:highlight w:val="none"/>
                <w:lang w:val="en-US" w:eastAsia="zh-CN"/>
              </w:rPr>
              <w:t>分）：所提供的方案含有所有内容，内容较清晰、完整、详细，有针对性，操作和可行性可行。承诺应急服务响应时间20分钟内人员及设备能按采购人通知要求到达事故现场，并能按采购人指定的时间内完成事故处理的。</w:t>
            </w:r>
          </w:p>
          <w:p w14:paraId="59BC12D5">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Ansi="宋体" w:cs="宋体"/>
                <w:color w:val="auto"/>
                <w:szCs w:val="21"/>
                <w:highlight w:val="none"/>
              </w:rPr>
            </w:pPr>
            <w:r>
              <w:rPr>
                <w:rFonts w:hint="eastAsia" w:ascii="宋体" w:hAnsi="宋体" w:eastAsia="宋体" w:cs="宋体"/>
                <w:color w:val="auto"/>
                <w:highlight w:val="none"/>
                <w:lang w:val="en-US" w:eastAsia="zh-CN"/>
              </w:rPr>
              <w:t>五档（</w:t>
            </w:r>
            <w:r>
              <w:rPr>
                <w:rFonts w:hint="eastAsia" w:hAnsi="宋体" w:cs="宋体"/>
                <w:color w:val="auto"/>
                <w:highlight w:val="none"/>
                <w:lang w:val="en-US" w:eastAsia="zh-CN"/>
              </w:rPr>
              <w:t>20</w:t>
            </w:r>
            <w:r>
              <w:rPr>
                <w:rFonts w:hint="eastAsia" w:ascii="宋体" w:hAnsi="宋体" w:eastAsia="宋体" w:cs="宋体"/>
                <w:color w:val="auto"/>
                <w:highlight w:val="none"/>
                <w:lang w:val="en-US" w:eastAsia="zh-CN"/>
              </w:rPr>
              <w:t>分）：所提供的方案含有所有内容，内容陈述清晰、完整、详细、具体，针对性强，操作和可行性强。承诺应急服务响应时间10分钟内人员及设备能按采购人通知要求到达事故现场，并能按采购人指定的时间内完成事故处理的。</w:t>
            </w:r>
          </w:p>
        </w:tc>
        <w:tc>
          <w:tcPr>
            <w:tcW w:w="1171" w:type="dxa"/>
            <w:vAlign w:val="center"/>
          </w:tcPr>
          <w:p w14:paraId="33447088">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c>
          <w:tcPr>
            <w:tcW w:w="1180" w:type="dxa"/>
            <w:vAlign w:val="center"/>
          </w:tcPr>
          <w:p w14:paraId="6F36759A">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主观分</w:t>
            </w:r>
          </w:p>
        </w:tc>
      </w:tr>
      <w:tr w14:paraId="55FB3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1" w:type="dxa"/>
            <w:vAlign w:val="center"/>
          </w:tcPr>
          <w:p w14:paraId="761EA3CF">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315" w:type="dxa"/>
            <w:vAlign w:val="center"/>
          </w:tcPr>
          <w:p w14:paraId="06E04E28">
            <w:pPr>
              <w:widowControl/>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5282" w:type="dxa"/>
          </w:tcPr>
          <w:p w14:paraId="1BC40BF9">
            <w:pPr>
              <w:pStyle w:val="7"/>
              <w:spacing w:line="360" w:lineRule="auto"/>
              <w:jc w:val="center"/>
              <w:rPr>
                <w:rFonts w:hAnsi="宋体" w:cs="宋体"/>
                <w:b/>
                <w:color w:val="auto"/>
                <w:kern w:val="0"/>
                <w:szCs w:val="21"/>
                <w:highlight w:val="none"/>
              </w:rPr>
            </w:pPr>
            <w:r>
              <w:rPr>
                <w:rFonts w:hint="eastAsia" w:hAnsi="宋体" w:cs="宋体"/>
                <w:b/>
                <w:color w:val="auto"/>
                <w:kern w:val="0"/>
                <w:szCs w:val="21"/>
                <w:highlight w:val="none"/>
              </w:rPr>
              <w:t>评审因素具体内容</w:t>
            </w:r>
          </w:p>
        </w:tc>
        <w:tc>
          <w:tcPr>
            <w:tcW w:w="1171" w:type="dxa"/>
            <w:vAlign w:val="center"/>
          </w:tcPr>
          <w:p w14:paraId="51B87B16">
            <w:pPr>
              <w:pStyle w:val="7"/>
              <w:spacing w:line="360" w:lineRule="auto"/>
              <w:jc w:val="center"/>
              <w:rPr>
                <w:rFonts w:hAnsi="宋体" w:cs="宋体"/>
                <w:b/>
                <w:color w:val="auto"/>
                <w:szCs w:val="21"/>
                <w:highlight w:val="none"/>
              </w:rPr>
            </w:pPr>
            <w:r>
              <w:rPr>
                <w:rFonts w:hint="eastAsia" w:hAnsi="宋体" w:cs="宋体"/>
                <w:b/>
                <w:color w:val="auto"/>
                <w:szCs w:val="21"/>
                <w:highlight w:val="none"/>
              </w:rPr>
              <w:t>分值</w:t>
            </w:r>
          </w:p>
        </w:tc>
        <w:tc>
          <w:tcPr>
            <w:tcW w:w="1180" w:type="dxa"/>
            <w:vAlign w:val="center"/>
          </w:tcPr>
          <w:p w14:paraId="58F8AD56">
            <w:pPr>
              <w:pStyle w:val="7"/>
              <w:spacing w:line="360" w:lineRule="auto"/>
              <w:jc w:val="center"/>
              <w:rPr>
                <w:rFonts w:hAnsi="宋体" w:cs="宋体"/>
                <w:b/>
                <w:color w:val="auto"/>
                <w:szCs w:val="21"/>
                <w:highlight w:val="none"/>
              </w:rPr>
            </w:pPr>
            <w:r>
              <w:rPr>
                <w:rFonts w:hint="eastAsia" w:hAnsi="宋体" w:cs="宋体"/>
                <w:b/>
                <w:color w:val="auto"/>
                <w:szCs w:val="21"/>
                <w:highlight w:val="none"/>
              </w:rPr>
              <w:t>备注</w:t>
            </w:r>
          </w:p>
        </w:tc>
      </w:tr>
      <w:tr w14:paraId="7BAD2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9" w:hRule="atLeast"/>
          <w:jc w:val="center"/>
        </w:trPr>
        <w:tc>
          <w:tcPr>
            <w:tcW w:w="661" w:type="dxa"/>
            <w:vAlign w:val="center"/>
          </w:tcPr>
          <w:p w14:paraId="13FBFA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1315" w:type="dxa"/>
            <w:vAlign w:val="center"/>
          </w:tcPr>
          <w:p w14:paraId="5E2F7ED8">
            <w:pPr>
              <w:spacing w:line="360" w:lineRule="auto"/>
              <w:jc w:val="center"/>
              <w:rPr>
                <w:rFonts w:ascii="宋体" w:hAnsi="宋体" w:cs="宋体"/>
                <w:color w:val="auto"/>
                <w:szCs w:val="21"/>
                <w:highlight w:val="none"/>
              </w:rPr>
            </w:pPr>
            <w:r>
              <w:rPr>
                <w:rFonts w:hint="default" w:ascii="宋体" w:hAnsi="宋体" w:eastAsia="宋体" w:cs="宋体"/>
                <w:color w:val="auto"/>
                <w:kern w:val="0"/>
                <w:sz w:val="21"/>
                <w:szCs w:val="21"/>
                <w:highlight w:val="none"/>
                <w:lang w:val="en-US" w:eastAsia="zh-CN" w:bidi="ar-SA"/>
              </w:rPr>
              <w:t>项目业绩</w:t>
            </w:r>
          </w:p>
        </w:tc>
        <w:tc>
          <w:tcPr>
            <w:tcW w:w="5282" w:type="dxa"/>
            <w:vAlign w:val="center"/>
          </w:tcPr>
          <w:p w14:paraId="1B3FCC2C">
            <w:pPr>
              <w:pStyle w:val="18"/>
              <w:tabs>
                <w:tab w:val="clear" w:pos="4153"/>
                <w:tab w:val="clear" w:pos="8306"/>
              </w:tabs>
              <w:spacing w:line="312" w:lineRule="auto"/>
              <w:rPr>
                <w:rFonts w:ascii="宋体" w:hAnsi="宋体" w:cs="宋体"/>
                <w:color w:val="auto"/>
                <w:sz w:val="21"/>
                <w:szCs w:val="21"/>
                <w:highlight w:val="none"/>
              </w:rPr>
            </w:pPr>
            <w:r>
              <w:rPr>
                <w:rFonts w:hint="default" w:ascii="宋体" w:hAnsi="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20</w:t>
            </w:r>
            <w:r>
              <w:rPr>
                <w:rFonts w:hint="default" w:ascii="宋体" w:hAnsi="宋体" w:cs="宋体"/>
                <w:color w:val="auto"/>
                <w:sz w:val="21"/>
                <w:szCs w:val="21"/>
                <w:highlight w:val="none"/>
                <w:lang w:val="en-US" w:eastAsia="zh-CN"/>
              </w:rPr>
              <w:t>年1月1日以来投标人承接类似项目业绩</w:t>
            </w:r>
            <w:r>
              <w:rPr>
                <w:rFonts w:hint="eastAsia" w:ascii="宋体" w:hAnsi="宋体" w:cs="宋体"/>
                <w:color w:val="auto"/>
                <w:sz w:val="21"/>
                <w:szCs w:val="21"/>
                <w:highlight w:val="none"/>
                <w:lang w:val="en-US" w:eastAsia="zh-CN"/>
              </w:rPr>
              <w:t>（污水处理业绩），</w:t>
            </w:r>
            <w:r>
              <w:rPr>
                <w:rFonts w:hint="default" w:ascii="宋体" w:hAnsi="宋体" w:cs="宋体"/>
                <w:color w:val="auto"/>
                <w:sz w:val="21"/>
                <w:szCs w:val="21"/>
                <w:highlight w:val="none"/>
                <w:lang w:val="en-US" w:eastAsia="zh-CN"/>
              </w:rPr>
              <w:t>以中标/成交通知书或项目合同关键页为准，包含以联合体方式中标或签订合同的项目，合同关键页并能清晰反映所服务名称、类型、金额，否则将不得分，</w:t>
            </w:r>
            <w:r>
              <w:rPr>
                <w:rFonts w:hint="eastAsia" w:ascii="宋体" w:hAnsi="宋体" w:cs="宋体"/>
                <w:color w:val="auto"/>
                <w:sz w:val="21"/>
                <w:szCs w:val="21"/>
                <w:highlight w:val="none"/>
                <w:lang w:val="en-US" w:eastAsia="zh-CN"/>
              </w:rPr>
              <w:t>提供一项业绩</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分，满分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r>
              <w:rPr>
                <w:rFonts w:hint="default" w:ascii="宋体" w:hAnsi="宋体" w:cs="宋体"/>
                <w:color w:val="auto"/>
                <w:sz w:val="21"/>
                <w:szCs w:val="21"/>
                <w:highlight w:val="none"/>
                <w:lang w:val="en-US" w:eastAsia="zh-CN"/>
              </w:rPr>
              <w:t>（提供中标/成交通知书或项目合同复印件并加盖公章）</w:t>
            </w:r>
          </w:p>
        </w:tc>
        <w:tc>
          <w:tcPr>
            <w:tcW w:w="1171" w:type="dxa"/>
            <w:vAlign w:val="center"/>
          </w:tcPr>
          <w:p w14:paraId="180552CE">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c>
          <w:tcPr>
            <w:tcW w:w="1180" w:type="dxa"/>
            <w:vAlign w:val="center"/>
          </w:tcPr>
          <w:p w14:paraId="2C380EEE">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客观分</w:t>
            </w:r>
          </w:p>
        </w:tc>
      </w:tr>
      <w:tr w14:paraId="32B0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661" w:type="dxa"/>
            <w:vAlign w:val="center"/>
          </w:tcPr>
          <w:p w14:paraId="12257077">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315" w:type="dxa"/>
            <w:vAlign w:val="center"/>
          </w:tcPr>
          <w:p w14:paraId="115A4882">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诚信分</w:t>
            </w:r>
          </w:p>
        </w:tc>
        <w:tc>
          <w:tcPr>
            <w:tcW w:w="7633" w:type="dxa"/>
            <w:gridSpan w:val="3"/>
            <w:vAlign w:val="center"/>
          </w:tcPr>
          <w:p w14:paraId="736C2862">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投标人在截标日前1年内在政府采购活动中存在违约违规情形的（以财政部门出具的书面材料为评分依据），每次扣除3分，最高扣分6分。</w:t>
            </w:r>
          </w:p>
        </w:tc>
      </w:tr>
      <w:tr w14:paraId="146A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7258" w:type="dxa"/>
            <w:gridSpan w:val="3"/>
            <w:vAlign w:val="center"/>
          </w:tcPr>
          <w:p w14:paraId="581253B5">
            <w:pPr>
              <w:pStyle w:val="7"/>
              <w:spacing w:line="360" w:lineRule="auto"/>
              <w:rPr>
                <w:rFonts w:hAnsi="宋体" w:cs="宋体"/>
                <w:bCs/>
                <w:color w:val="auto"/>
                <w:szCs w:val="21"/>
                <w:highlight w:val="none"/>
              </w:rPr>
            </w:pPr>
            <w:r>
              <w:rPr>
                <w:rFonts w:hint="eastAsia" w:hAnsi="宋体" w:cs="宋体"/>
                <w:bCs/>
                <w:color w:val="auto"/>
                <w:szCs w:val="21"/>
                <w:highlight w:val="none"/>
              </w:rPr>
              <w:t>总得分＝1＋2＋3</w:t>
            </w:r>
          </w:p>
        </w:tc>
        <w:tc>
          <w:tcPr>
            <w:tcW w:w="2351" w:type="dxa"/>
            <w:gridSpan w:val="2"/>
            <w:vAlign w:val="center"/>
          </w:tcPr>
          <w:p w14:paraId="5483E7FF">
            <w:pPr>
              <w:pStyle w:val="7"/>
              <w:spacing w:line="360" w:lineRule="auto"/>
              <w:jc w:val="center"/>
              <w:rPr>
                <w:rFonts w:hAnsi="宋体" w:cs="宋体"/>
                <w:bCs/>
                <w:color w:val="auto"/>
                <w:szCs w:val="21"/>
                <w:highlight w:val="none"/>
              </w:rPr>
            </w:pPr>
            <w:r>
              <w:rPr>
                <w:rFonts w:hint="eastAsia" w:hAnsi="宋体" w:cs="宋体"/>
                <w:bCs/>
                <w:color w:val="auto"/>
                <w:szCs w:val="21"/>
                <w:highlight w:val="none"/>
              </w:rPr>
              <w:t>100</w:t>
            </w:r>
          </w:p>
        </w:tc>
      </w:tr>
      <w:bookmarkEnd w:id="136"/>
    </w:tbl>
    <w:p w14:paraId="14D414B9">
      <w:pPr>
        <w:pStyle w:val="7"/>
        <w:spacing w:line="360" w:lineRule="auto"/>
        <w:ind w:firstLine="420"/>
        <w:rPr>
          <w:rFonts w:hAnsi="宋体" w:cs="宋体"/>
          <w:bCs/>
          <w:color w:val="auto"/>
          <w:highlight w:val="none"/>
        </w:rPr>
      </w:pPr>
      <w:r>
        <w:rPr>
          <w:rFonts w:hint="eastAsia" w:hAnsi="宋体" w:cs="宋体"/>
          <w:bCs/>
          <w:color w:val="auto"/>
          <w:highlight w:val="none"/>
        </w:rPr>
        <w:t xml:space="preserve"> </w:t>
      </w:r>
    </w:p>
    <w:p w14:paraId="0AA9EA7C">
      <w:pPr>
        <w:pStyle w:val="7"/>
        <w:spacing w:line="360" w:lineRule="auto"/>
        <w:ind w:firstLine="420"/>
        <w:rPr>
          <w:rFonts w:hAnsi="宋体" w:cs="宋体"/>
          <w:bCs/>
          <w:color w:val="auto"/>
          <w:highlight w:val="none"/>
        </w:rPr>
      </w:pPr>
      <w:r>
        <w:rPr>
          <w:rFonts w:hint="eastAsia" w:hAnsi="宋体" w:cs="宋体"/>
          <w:bCs/>
          <w:color w:val="auto"/>
          <w:highlight w:val="none"/>
        </w:rPr>
        <w:t>注：计分方法按四舍五入取至百分位。</w:t>
      </w:r>
    </w:p>
    <w:p w14:paraId="087655D8">
      <w:pPr>
        <w:pStyle w:val="7"/>
        <w:spacing w:line="460" w:lineRule="exact"/>
        <w:ind w:firstLine="420" w:firstLineChars="200"/>
        <w:rPr>
          <w:rFonts w:hAnsi="宋体" w:cs="宋体"/>
          <w:color w:val="auto"/>
          <w:highlight w:val="none"/>
        </w:rPr>
      </w:pPr>
    </w:p>
    <w:p w14:paraId="7438AE85">
      <w:pPr>
        <w:pStyle w:val="19"/>
        <w:jc w:val="center"/>
        <w:rPr>
          <w:rFonts w:ascii="宋体" w:hAnsi="宋体" w:eastAsia="宋体" w:cs="宋体"/>
          <w:b w:val="0"/>
          <w:color w:val="auto"/>
          <w:sz w:val="30"/>
          <w:szCs w:val="30"/>
          <w:highlight w:val="none"/>
        </w:rPr>
      </w:pPr>
      <w:bookmarkStart w:id="137" w:name="_Toc80093007"/>
      <w:bookmarkEnd w:id="137"/>
      <w:r>
        <w:rPr>
          <w:rFonts w:hint="eastAsia" w:ascii="宋体" w:hAnsi="宋体" w:eastAsia="宋体" w:cs="宋体"/>
          <w:b w:val="0"/>
          <w:color w:val="auto"/>
          <w:sz w:val="30"/>
          <w:szCs w:val="30"/>
          <w:highlight w:val="none"/>
        </w:rPr>
        <w:t>第四节 中标候选人推荐原则</w:t>
      </w:r>
    </w:p>
    <w:p w14:paraId="6FD54702">
      <w:pPr>
        <w:pStyle w:val="7"/>
        <w:numPr>
          <w:ilvl w:val="0"/>
          <w:numId w:val="2"/>
        </w:numPr>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综合评分法</w:t>
      </w:r>
    </w:p>
    <w:p w14:paraId="27567E13">
      <w:pPr>
        <w:pStyle w:val="7"/>
        <w:spacing w:line="360" w:lineRule="auto"/>
        <w:ind w:firstLine="420" w:firstLineChars="200"/>
        <w:contextualSpacing/>
        <w:rPr>
          <w:rFonts w:hAnsi="宋体" w:cs="宋体"/>
          <w:color w:val="auto"/>
          <w:highlight w:val="none"/>
        </w:rPr>
      </w:pPr>
      <w:r>
        <w:rPr>
          <w:rFonts w:hint="eastAsia" w:hAnsi="宋体" w:cs="宋体"/>
          <w:color w:val="auto"/>
          <w:highlight w:val="none"/>
        </w:rPr>
        <w:t>评委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6CCD8AE">
      <w:pPr>
        <w:pStyle w:val="7"/>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（二）最低评标报价法</w:t>
      </w:r>
    </w:p>
    <w:p w14:paraId="29854EED">
      <w:pPr>
        <w:pStyle w:val="7"/>
        <w:tabs>
          <w:tab w:val="left" w:pos="2472"/>
        </w:tabs>
        <w:spacing w:line="480" w:lineRule="exact"/>
        <w:ind w:firstLine="420" w:firstLineChars="200"/>
        <w:rPr>
          <w:rFonts w:hAnsi="宋体" w:cs="宋体"/>
          <w:color w:val="auto"/>
          <w:highlight w:val="none"/>
        </w:rPr>
      </w:pPr>
      <w:r>
        <w:rPr>
          <w:rFonts w:hint="eastAsia" w:hAnsi="宋体" w:cs="宋体"/>
          <w:color w:val="auto"/>
          <w:highlight w:val="none"/>
        </w:rPr>
        <w:t>评委将按照有效报价从低到高排序并推荐中标候选人。投标报价相同的并列，投标文件满足招标文件全部实质性要求且投标报价最低的投标人为排名第一的中标候选人；评标价相同且前述指标均相同时，由评委各成员对评标价相同的供应商，当场投票表决，得票多者优先，并依照次序确定1家</w:t>
      </w:r>
      <w:r>
        <w:rPr>
          <w:rFonts w:hint="eastAsia" w:hAnsi="宋体" w:cs="宋体"/>
          <w:color w:val="auto"/>
          <w:highlight w:val="none"/>
          <w:lang w:eastAsia="zh-CN"/>
        </w:rPr>
        <w:t>中标人</w:t>
      </w:r>
      <w:r>
        <w:rPr>
          <w:rFonts w:hint="eastAsia" w:hAnsi="宋体" w:cs="宋体"/>
          <w:color w:val="auto"/>
          <w:highlight w:val="none"/>
        </w:rPr>
        <w:t>。</w:t>
      </w:r>
    </w:p>
    <w:p w14:paraId="639F46E5">
      <w:pPr>
        <w:pStyle w:val="19"/>
        <w:spacing w:before="0" w:after="0" w:line="360" w:lineRule="auto"/>
        <w:ind w:firstLine="600" w:firstLineChars="200"/>
        <w:jc w:val="center"/>
        <w:rPr>
          <w:rFonts w:ascii="宋体" w:hAnsi="宋体" w:eastAsia="宋体" w:cs="宋体"/>
          <w:b w:val="0"/>
          <w:color w:val="auto"/>
          <w:sz w:val="30"/>
          <w:szCs w:val="30"/>
          <w:highlight w:val="none"/>
        </w:rPr>
      </w:pPr>
      <w:bookmarkStart w:id="138" w:name="_Toc80093008"/>
      <w:bookmarkEnd w:id="138"/>
      <w:r>
        <w:rPr>
          <w:rFonts w:hint="eastAsia" w:ascii="宋体" w:hAnsi="宋体" w:eastAsia="宋体" w:cs="宋体"/>
          <w:b w:val="0"/>
          <w:color w:val="auto"/>
          <w:sz w:val="30"/>
          <w:szCs w:val="30"/>
          <w:highlight w:val="none"/>
        </w:rPr>
        <w:t>第五节 评标报告</w:t>
      </w:r>
    </w:p>
    <w:p w14:paraId="7E26DEDF">
      <w:pPr>
        <w:pStyle w:val="20"/>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1D2786F2">
      <w:pPr>
        <w:pStyle w:val="7"/>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评委根据原始评标记录和评标结果编写评标报告，并通过电子交易平台向采购人、采购代理机构提交。</w:t>
      </w:r>
    </w:p>
    <w:p w14:paraId="690C2E71">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41EF0545">
      <w:pPr>
        <w:pStyle w:val="7"/>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评委成员对需要共同认定的事项存在争议的，应当按照少数服从多数的原则作出结论。持不同意见的评委成员应当在评标报告上签署不同意见及理由，否则视为同意评标报告。</w:t>
      </w:r>
    </w:p>
    <w:p w14:paraId="23B15B0A">
      <w:pPr>
        <w:pStyle w:val="7"/>
        <w:tabs>
          <w:tab w:val="left" w:pos="2472"/>
        </w:tabs>
        <w:spacing w:line="460" w:lineRule="exact"/>
        <w:rPr>
          <w:rFonts w:hAnsi="宋体" w:cs="宋体"/>
          <w:b/>
          <w:color w:val="auto"/>
          <w:sz w:val="36"/>
          <w:highlight w:val="none"/>
        </w:rPr>
        <w:sectPr>
          <w:footerReference r:id="rId8" w:type="default"/>
          <w:pgSz w:w="11906" w:h="16838"/>
          <w:pgMar w:top="1440" w:right="1080" w:bottom="1440" w:left="1080" w:header="720" w:footer="720" w:gutter="0"/>
          <w:pgNumType w:fmt="decimal"/>
          <w:cols w:space="720" w:num="1"/>
          <w:docGrid w:type="lines" w:linePitch="331" w:charSpace="0"/>
        </w:sectPr>
      </w:pPr>
    </w:p>
    <w:p w14:paraId="0E5A448A">
      <w:pPr>
        <w:pStyle w:val="7"/>
        <w:tabs>
          <w:tab w:val="left" w:pos="2472"/>
        </w:tabs>
        <w:spacing w:line="460" w:lineRule="exact"/>
        <w:jc w:val="center"/>
        <w:rPr>
          <w:rFonts w:hAnsi="宋体" w:cs="宋体"/>
          <w:b/>
          <w:color w:val="auto"/>
          <w:sz w:val="36"/>
          <w:highlight w:val="none"/>
        </w:rPr>
      </w:pPr>
    </w:p>
    <w:p w14:paraId="24D0C43E">
      <w:pPr>
        <w:pStyle w:val="7"/>
        <w:tabs>
          <w:tab w:val="left" w:pos="2472"/>
        </w:tabs>
        <w:spacing w:line="460" w:lineRule="exact"/>
        <w:jc w:val="center"/>
        <w:rPr>
          <w:rFonts w:hAnsi="宋体" w:cs="宋体"/>
          <w:b/>
          <w:color w:val="auto"/>
          <w:sz w:val="36"/>
          <w:highlight w:val="none"/>
        </w:rPr>
      </w:pPr>
    </w:p>
    <w:p w14:paraId="2258D0C8">
      <w:pPr>
        <w:pStyle w:val="7"/>
        <w:tabs>
          <w:tab w:val="left" w:pos="2472"/>
        </w:tabs>
        <w:spacing w:line="460" w:lineRule="exact"/>
        <w:jc w:val="center"/>
        <w:rPr>
          <w:rFonts w:hAnsi="宋体" w:cs="宋体"/>
          <w:b/>
          <w:color w:val="auto"/>
          <w:sz w:val="36"/>
          <w:highlight w:val="none"/>
        </w:rPr>
      </w:pPr>
    </w:p>
    <w:p w14:paraId="2B9DC274">
      <w:pPr>
        <w:pStyle w:val="7"/>
        <w:tabs>
          <w:tab w:val="left" w:pos="2472"/>
        </w:tabs>
        <w:spacing w:line="460" w:lineRule="exact"/>
        <w:jc w:val="center"/>
        <w:rPr>
          <w:rFonts w:hAnsi="宋体" w:cs="宋体"/>
          <w:b/>
          <w:color w:val="auto"/>
          <w:sz w:val="36"/>
          <w:highlight w:val="none"/>
        </w:rPr>
      </w:pPr>
    </w:p>
    <w:p w14:paraId="3C9D11A3">
      <w:pPr>
        <w:pStyle w:val="7"/>
        <w:tabs>
          <w:tab w:val="left" w:pos="2472"/>
        </w:tabs>
        <w:spacing w:line="460" w:lineRule="exact"/>
        <w:jc w:val="center"/>
        <w:rPr>
          <w:rFonts w:hAnsi="宋体" w:cs="宋体"/>
          <w:b/>
          <w:color w:val="auto"/>
          <w:sz w:val="36"/>
          <w:highlight w:val="none"/>
        </w:rPr>
      </w:pPr>
    </w:p>
    <w:p w14:paraId="3BAB6026">
      <w:pPr>
        <w:pStyle w:val="7"/>
        <w:tabs>
          <w:tab w:val="left" w:pos="2472"/>
        </w:tabs>
        <w:spacing w:line="460" w:lineRule="exact"/>
        <w:jc w:val="center"/>
        <w:rPr>
          <w:rFonts w:hAnsi="宋体" w:cs="宋体"/>
          <w:b/>
          <w:color w:val="auto"/>
          <w:sz w:val="36"/>
          <w:highlight w:val="none"/>
        </w:rPr>
      </w:pPr>
    </w:p>
    <w:p w14:paraId="2F3A36D1">
      <w:pPr>
        <w:pStyle w:val="7"/>
        <w:tabs>
          <w:tab w:val="left" w:pos="2472"/>
        </w:tabs>
        <w:spacing w:line="460" w:lineRule="exact"/>
        <w:jc w:val="center"/>
        <w:rPr>
          <w:rFonts w:hAnsi="宋体" w:cs="宋体"/>
          <w:b/>
          <w:color w:val="auto"/>
          <w:sz w:val="36"/>
          <w:highlight w:val="none"/>
        </w:rPr>
      </w:pPr>
    </w:p>
    <w:p w14:paraId="6D357367">
      <w:pPr>
        <w:pStyle w:val="7"/>
        <w:tabs>
          <w:tab w:val="left" w:pos="2472"/>
        </w:tabs>
        <w:spacing w:line="460" w:lineRule="exact"/>
        <w:jc w:val="center"/>
        <w:rPr>
          <w:rFonts w:hAnsi="宋体" w:cs="宋体"/>
          <w:b/>
          <w:color w:val="auto"/>
          <w:sz w:val="36"/>
          <w:highlight w:val="none"/>
        </w:rPr>
      </w:pPr>
    </w:p>
    <w:p w14:paraId="27BB036A">
      <w:pPr>
        <w:pStyle w:val="7"/>
        <w:tabs>
          <w:tab w:val="left" w:pos="2472"/>
        </w:tabs>
        <w:spacing w:line="460" w:lineRule="exact"/>
        <w:jc w:val="center"/>
        <w:rPr>
          <w:rFonts w:hAnsi="宋体" w:cs="宋体"/>
          <w:b/>
          <w:color w:val="auto"/>
          <w:sz w:val="36"/>
          <w:highlight w:val="none"/>
        </w:rPr>
      </w:pPr>
    </w:p>
    <w:p w14:paraId="1DD1B5E6">
      <w:pPr>
        <w:pStyle w:val="7"/>
        <w:tabs>
          <w:tab w:val="left" w:pos="2472"/>
        </w:tabs>
        <w:spacing w:line="460" w:lineRule="exact"/>
        <w:jc w:val="center"/>
        <w:rPr>
          <w:rFonts w:hAnsi="宋体" w:cs="宋体"/>
          <w:b/>
          <w:color w:val="auto"/>
          <w:sz w:val="36"/>
          <w:highlight w:val="none"/>
        </w:rPr>
      </w:pPr>
    </w:p>
    <w:p w14:paraId="503E2580">
      <w:pPr>
        <w:pStyle w:val="7"/>
        <w:tabs>
          <w:tab w:val="left" w:pos="2472"/>
        </w:tabs>
        <w:spacing w:line="460" w:lineRule="exact"/>
        <w:jc w:val="center"/>
        <w:rPr>
          <w:rFonts w:hAnsi="宋体" w:cs="宋体"/>
          <w:b/>
          <w:color w:val="auto"/>
          <w:sz w:val="36"/>
          <w:highlight w:val="none"/>
        </w:rPr>
      </w:pPr>
    </w:p>
    <w:p w14:paraId="5E283B5D">
      <w:pPr>
        <w:pStyle w:val="7"/>
        <w:tabs>
          <w:tab w:val="left" w:pos="2472"/>
        </w:tabs>
        <w:spacing w:line="460" w:lineRule="exact"/>
        <w:jc w:val="center"/>
        <w:rPr>
          <w:rFonts w:hAnsi="宋体" w:cs="宋体"/>
          <w:b/>
          <w:color w:val="auto"/>
          <w:sz w:val="36"/>
          <w:highlight w:val="none"/>
        </w:rPr>
      </w:pPr>
    </w:p>
    <w:p w14:paraId="70950BCE">
      <w:pPr>
        <w:pStyle w:val="7"/>
        <w:tabs>
          <w:tab w:val="left" w:pos="2472"/>
        </w:tabs>
        <w:spacing w:line="460" w:lineRule="exact"/>
        <w:jc w:val="center"/>
        <w:rPr>
          <w:rFonts w:hAnsi="宋体" w:cs="宋体"/>
          <w:b/>
          <w:color w:val="auto"/>
          <w:sz w:val="36"/>
          <w:highlight w:val="none"/>
        </w:rPr>
      </w:pPr>
    </w:p>
    <w:p w14:paraId="74ED8BD6">
      <w:pPr>
        <w:pStyle w:val="7"/>
        <w:tabs>
          <w:tab w:val="left" w:pos="2472"/>
        </w:tabs>
        <w:spacing w:line="460" w:lineRule="exact"/>
        <w:jc w:val="center"/>
        <w:outlineLvl w:val="0"/>
        <w:rPr>
          <w:rFonts w:hAnsi="宋体" w:cs="宋体"/>
          <w:b/>
          <w:color w:val="auto"/>
          <w:sz w:val="36"/>
          <w:highlight w:val="none"/>
        </w:rPr>
      </w:pPr>
      <w:bookmarkStart w:id="139" w:name="_Toc80093009"/>
      <w:bookmarkEnd w:id="139"/>
      <w:r>
        <w:rPr>
          <w:rFonts w:hint="eastAsia" w:hAnsi="宋体" w:cs="宋体"/>
          <w:b/>
          <w:color w:val="auto"/>
          <w:sz w:val="36"/>
          <w:highlight w:val="none"/>
        </w:rPr>
        <w:t>第五章 拟签订的合同文本</w:t>
      </w:r>
    </w:p>
    <w:p w14:paraId="050C99A0">
      <w:pPr>
        <w:pStyle w:val="7"/>
        <w:tabs>
          <w:tab w:val="left" w:pos="720"/>
        </w:tabs>
        <w:spacing w:line="460" w:lineRule="exact"/>
        <w:rPr>
          <w:rFonts w:hAnsi="宋体" w:cs="宋体"/>
          <w:bCs/>
          <w:color w:val="auto"/>
          <w:highlight w:val="none"/>
        </w:rPr>
        <w:sectPr>
          <w:pgSz w:w="11906" w:h="16838"/>
          <w:pgMar w:top="1440" w:right="1080" w:bottom="1440" w:left="1080" w:header="720" w:footer="720" w:gutter="0"/>
          <w:pgNumType w:fmt="decimal"/>
          <w:cols w:space="720" w:num="1"/>
          <w:docGrid w:type="lines" w:linePitch="331" w:charSpace="0"/>
        </w:sectPr>
      </w:pPr>
    </w:p>
    <w:p w14:paraId="2B21E0BC">
      <w:pPr>
        <w:spacing w:line="360" w:lineRule="auto"/>
        <w:rPr>
          <w:rFonts w:ascii="宋体" w:hAnsi="宋体"/>
          <w:color w:val="auto"/>
          <w:sz w:val="24"/>
          <w:highlight w:val="none"/>
        </w:rPr>
      </w:pPr>
      <w:r>
        <w:rPr>
          <w:rFonts w:hint="eastAsia" w:ascii="宋体" w:hAnsi="宋体"/>
          <w:color w:val="auto"/>
          <w:sz w:val="24"/>
          <w:highlight w:val="none"/>
        </w:rPr>
        <w:t>“政采云”平台合同编号：</w:t>
      </w:r>
      <w:r>
        <w:rPr>
          <w:rFonts w:hint="eastAsia" w:ascii="宋体" w:hAnsi="宋体"/>
          <w:color w:val="auto"/>
          <w:sz w:val="24"/>
          <w:highlight w:val="none"/>
          <w:u w:val="single"/>
        </w:rPr>
        <w:t xml:space="preserve">           </w:t>
      </w:r>
    </w:p>
    <w:p w14:paraId="4FB78984">
      <w:pPr>
        <w:spacing w:line="360" w:lineRule="auto"/>
        <w:jc w:val="center"/>
        <w:rPr>
          <w:rFonts w:ascii="宋体" w:hAnsi="宋体"/>
          <w:b/>
          <w:bCs/>
          <w:color w:val="auto"/>
          <w:sz w:val="52"/>
          <w:highlight w:val="none"/>
        </w:rPr>
      </w:pPr>
      <w:r>
        <w:rPr>
          <w:rFonts w:hint="eastAsia" w:ascii="宋体" w:hAnsi="宋体"/>
          <w:b/>
          <w:bCs/>
          <w:color w:val="auto"/>
          <w:sz w:val="52"/>
          <w:highlight w:val="none"/>
        </w:rPr>
        <w:t>南 宁 市 青 秀 区 政 府 采 购</w:t>
      </w:r>
    </w:p>
    <w:p w14:paraId="584E0557">
      <w:pPr>
        <w:spacing w:line="360" w:lineRule="auto"/>
        <w:ind w:firstLine="420" w:firstLineChars="200"/>
        <w:rPr>
          <w:rFonts w:ascii="宋体" w:hAnsi="宋体"/>
          <w:color w:val="auto"/>
          <w:highlight w:val="none"/>
        </w:rPr>
      </w:pPr>
    </w:p>
    <w:p w14:paraId="3426D1B5">
      <w:pPr>
        <w:spacing w:line="360" w:lineRule="auto"/>
        <w:ind w:firstLine="420" w:firstLineChars="200"/>
        <w:rPr>
          <w:rFonts w:ascii="宋体" w:hAnsi="宋体"/>
          <w:color w:val="auto"/>
          <w:highlight w:val="none"/>
        </w:rPr>
      </w:pPr>
      <w:r>
        <w:rPr>
          <w:rFonts w:hint="eastAsia" w:ascii="宋体" w:hAnsi="宋体"/>
          <w:color w:val="auto"/>
          <w:highlight w:val="none"/>
        </w:rPr>
        <w:t xml:space="preserve">                                                 </w:t>
      </w:r>
    </w:p>
    <w:p w14:paraId="4AA08935">
      <w:pPr>
        <w:spacing w:line="360" w:lineRule="auto"/>
        <w:jc w:val="center"/>
        <w:rPr>
          <w:rFonts w:ascii="宋体" w:hAnsi="宋体"/>
          <w:b/>
          <w:bCs/>
          <w:color w:val="auto"/>
          <w:sz w:val="44"/>
          <w:highlight w:val="none"/>
          <w:u w:val="single"/>
        </w:rPr>
      </w:pPr>
      <w:r>
        <w:rPr>
          <w:rFonts w:hint="eastAsia" w:ascii="宋体" w:hAnsi="宋体"/>
          <w:b/>
          <w:bCs/>
          <w:color w:val="auto"/>
          <w:sz w:val="44"/>
          <w:highlight w:val="none"/>
          <w:u w:val="single"/>
          <w:lang w:eastAsia="zh-CN"/>
        </w:rPr>
        <w:t>青秀区农村生活污水处理项目运维服务</w:t>
      </w:r>
      <w:r>
        <w:rPr>
          <w:rFonts w:hint="eastAsia" w:ascii="宋体" w:hAnsi="宋体"/>
          <w:b/>
          <w:bCs/>
          <w:color w:val="auto"/>
          <w:sz w:val="44"/>
          <w:highlight w:val="none"/>
        </w:rPr>
        <w:t>合同</w:t>
      </w:r>
    </w:p>
    <w:p w14:paraId="7B912F3C">
      <w:pPr>
        <w:spacing w:line="360" w:lineRule="auto"/>
        <w:jc w:val="center"/>
        <w:rPr>
          <w:rFonts w:ascii="宋体" w:hAnsi="宋体"/>
          <w:b/>
          <w:bCs/>
          <w:color w:val="auto"/>
          <w:sz w:val="44"/>
          <w:highlight w:val="none"/>
        </w:rPr>
      </w:pPr>
    </w:p>
    <w:p w14:paraId="6F0C0901">
      <w:pPr>
        <w:spacing w:line="360" w:lineRule="auto"/>
        <w:jc w:val="center"/>
        <w:rPr>
          <w:rFonts w:ascii="宋体" w:hAnsi="宋体"/>
          <w:b/>
          <w:bCs/>
          <w:color w:val="auto"/>
          <w:sz w:val="44"/>
          <w:highlight w:val="none"/>
        </w:rPr>
      </w:pPr>
    </w:p>
    <w:p w14:paraId="51ABFDFB">
      <w:pPr>
        <w:spacing w:line="360" w:lineRule="auto"/>
        <w:ind w:firstLine="3507" w:firstLineChars="794"/>
        <w:rPr>
          <w:rFonts w:ascii="宋体" w:hAnsi="宋体"/>
          <w:b/>
          <w:bCs/>
          <w:color w:val="auto"/>
          <w:sz w:val="44"/>
          <w:highlight w:val="none"/>
        </w:rPr>
      </w:pPr>
    </w:p>
    <w:p w14:paraId="60B14E7C">
      <w:pPr>
        <w:spacing w:line="360" w:lineRule="auto"/>
        <w:ind w:firstLine="3507" w:firstLineChars="794"/>
        <w:rPr>
          <w:rFonts w:ascii="宋体" w:hAnsi="宋体"/>
          <w:b/>
          <w:bCs/>
          <w:color w:val="auto"/>
          <w:sz w:val="44"/>
          <w:highlight w:val="none"/>
        </w:rPr>
      </w:pPr>
    </w:p>
    <w:p w14:paraId="4E6C8C09">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3049D8F0">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采购计划文号：</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1AC0D39B">
      <w:pPr>
        <w:ind w:firstLine="1970" w:firstLineChars="545"/>
        <w:rPr>
          <w:rFonts w:ascii="宋体" w:hAnsi="宋体"/>
          <w:b/>
          <w:color w:val="auto"/>
          <w:sz w:val="36"/>
          <w:szCs w:val="36"/>
          <w:highlight w:val="none"/>
          <w:u w:val="single"/>
        </w:rPr>
      </w:pPr>
    </w:p>
    <w:p w14:paraId="634BD2A2">
      <w:pPr>
        <w:ind w:firstLine="1995" w:firstLineChars="552"/>
        <w:rPr>
          <w:rFonts w:ascii="宋体" w:hAnsi="宋体"/>
          <w:b/>
          <w:color w:val="auto"/>
          <w:sz w:val="36"/>
          <w:szCs w:val="36"/>
          <w:highlight w:val="none"/>
          <w:u w:val="single"/>
        </w:rPr>
      </w:pPr>
    </w:p>
    <w:p w14:paraId="19F7D438">
      <w:pPr>
        <w:ind w:firstLine="1995" w:firstLineChars="552"/>
        <w:rPr>
          <w:rFonts w:ascii="宋体" w:hAnsi="宋体"/>
          <w:b/>
          <w:color w:val="auto"/>
          <w:sz w:val="36"/>
          <w:szCs w:val="36"/>
          <w:highlight w:val="none"/>
          <w:u w:val="single"/>
        </w:rPr>
      </w:pPr>
    </w:p>
    <w:p w14:paraId="664F9ED8">
      <w:pPr>
        <w:tabs>
          <w:tab w:val="left" w:pos="7200"/>
        </w:tabs>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7B3D27FE">
      <w:pPr>
        <w:tabs>
          <w:tab w:val="left" w:pos="7380"/>
        </w:tabs>
        <w:spacing w:line="360" w:lineRule="auto"/>
        <w:ind w:firstLine="1995" w:firstLineChars="552"/>
        <w:rPr>
          <w:rFonts w:ascii="宋体" w:hAnsi="宋体"/>
          <w:b/>
          <w:color w:val="auto"/>
          <w:sz w:val="36"/>
          <w:szCs w:val="36"/>
          <w:highlight w:val="none"/>
        </w:rPr>
      </w:pPr>
      <w:r>
        <w:rPr>
          <w:rFonts w:hint="eastAsia" w:ascii="宋体" w:hAnsi="宋体"/>
          <w:b/>
          <w:color w:val="auto"/>
          <w:sz w:val="36"/>
          <w:szCs w:val="36"/>
          <w:highlight w:val="none"/>
          <w:lang w:eastAsia="zh-CN"/>
        </w:rPr>
        <w:t>中标人</w:t>
      </w:r>
      <w:r>
        <w:rPr>
          <w:rFonts w:hint="eastAsia" w:ascii="宋体" w:hAnsi="宋体"/>
          <w:b/>
          <w:color w:val="auto"/>
          <w:sz w:val="36"/>
          <w:szCs w:val="36"/>
          <w:highlight w:val="none"/>
        </w:rPr>
        <w:t>：</w:t>
      </w:r>
      <w:r>
        <w:rPr>
          <w:rFonts w:hint="eastAsia" w:ascii="宋体" w:hAnsi="宋体"/>
          <w:b/>
          <w:color w:val="auto"/>
          <w:sz w:val="36"/>
          <w:szCs w:val="36"/>
          <w:highlight w:val="none"/>
          <w:u w:val="single"/>
        </w:rPr>
        <w:t xml:space="preserve">                   </w:t>
      </w:r>
    </w:p>
    <w:p w14:paraId="0CDDE92C">
      <w:pPr>
        <w:tabs>
          <w:tab w:val="left" w:pos="7380"/>
        </w:tabs>
        <w:spacing w:line="360" w:lineRule="auto"/>
        <w:rPr>
          <w:rFonts w:ascii="宋体" w:hAnsi="宋体"/>
          <w:b/>
          <w:bCs/>
          <w:color w:val="auto"/>
          <w:sz w:val="44"/>
          <w:highlight w:val="none"/>
        </w:rPr>
      </w:pPr>
    </w:p>
    <w:p w14:paraId="0FDE9DF1">
      <w:pPr>
        <w:spacing w:before="120" w:line="360" w:lineRule="auto"/>
        <w:ind w:firstLine="960" w:firstLineChars="400"/>
        <w:rPr>
          <w:rFonts w:ascii="宋体" w:hAnsi="宋体"/>
          <w:color w:val="auto"/>
          <w:sz w:val="24"/>
          <w:highlight w:val="none"/>
        </w:rPr>
      </w:pPr>
    </w:p>
    <w:p w14:paraId="6FF25546">
      <w:pPr>
        <w:spacing w:before="120" w:line="360" w:lineRule="auto"/>
        <w:ind w:firstLine="960" w:firstLineChars="400"/>
        <w:rPr>
          <w:rFonts w:ascii="宋体" w:hAnsi="宋体"/>
          <w:color w:val="auto"/>
          <w:sz w:val="24"/>
          <w:highlight w:val="none"/>
        </w:rPr>
      </w:pPr>
    </w:p>
    <w:p w14:paraId="41DF20B2">
      <w:pPr>
        <w:spacing w:before="120" w:line="360" w:lineRule="auto"/>
        <w:ind w:firstLine="2280" w:firstLineChars="950"/>
        <w:rPr>
          <w:rFonts w:ascii="宋体" w:hAnsi="宋体"/>
          <w:color w:val="auto"/>
          <w:sz w:val="24"/>
          <w:highlight w:val="non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68DE9F8">
      <w:pPr>
        <w:snapToGrid w:val="0"/>
        <w:spacing w:line="360" w:lineRule="auto"/>
        <w:jc w:val="center"/>
        <w:rPr>
          <w:rFonts w:ascii="宋体" w:hAnsi="宋体"/>
          <w:b/>
          <w:bCs/>
          <w:color w:val="auto"/>
          <w:sz w:val="44"/>
          <w:highlight w:val="none"/>
        </w:rPr>
      </w:pPr>
      <w:r>
        <w:rPr>
          <w:rFonts w:hint="eastAsia" w:ascii="宋体" w:hAnsi="宋体"/>
          <w:b/>
          <w:bCs/>
          <w:color w:val="auto"/>
          <w:sz w:val="44"/>
          <w:highlight w:val="none"/>
        </w:rPr>
        <w:br w:type="page"/>
      </w:r>
      <w:r>
        <w:rPr>
          <w:rFonts w:hint="eastAsia" w:ascii="宋体" w:hAnsi="宋体"/>
          <w:b/>
          <w:color w:val="auto"/>
          <w:sz w:val="24"/>
          <w:highlight w:val="none"/>
        </w:rPr>
        <w:t>合同目录</w:t>
      </w:r>
    </w:p>
    <w:p w14:paraId="7ADA3586">
      <w:pPr>
        <w:snapToGrid w:val="0"/>
        <w:spacing w:line="360" w:lineRule="auto"/>
        <w:jc w:val="center"/>
        <w:rPr>
          <w:rFonts w:ascii="宋体" w:hAnsi="宋体"/>
          <w:b/>
          <w:bCs/>
          <w:color w:val="auto"/>
          <w:sz w:val="44"/>
          <w:highlight w:val="none"/>
        </w:rPr>
      </w:pPr>
    </w:p>
    <w:p w14:paraId="7AB90728">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一、</w:t>
      </w:r>
      <w:r>
        <w:rPr>
          <w:rFonts w:hint="eastAsia" w:ascii="宋体" w:hAnsi="宋体"/>
          <w:color w:val="auto"/>
          <w:sz w:val="24"/>
          <w:highlight w:val="none"/>
        </w:rPr>
        <w:t>第一部分 合同书</w:t>
      </w:r>
      <w:r>
        <w:rPr>
          <w:rFonts w:hint="eastAsia" w:ascii="宋体" w:hAnsi="宋体"/>
          <w:color w:val="auto"/>
          <w:kern w:val="0"/>
          <w:sz w:val="24"/>
          <w:highlight w:val="none"/>
        </w:rPr>
        <w:t>……………………………………………………………（页码）</w:t>
      </w:r>
    </w:p>
    <w:p w14:paraId="45104258">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二、第二部分 合同一般条款……………………………………………………（页码）</w:t>
      </w:r>
    </w:p>
    <w:p w14:paraId="42538BFE">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三、第三部分 合同专用条款……………………………………………………（页码）</w:t>
      </w:r>
    </w:p>
    <w:p w14:paraId="01D26526">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四、</w:t>
      </w:r>
      <w:r>
        <w:rPr>
          <w:rFonts w:hint="eastAsia" w:ascii="宋体" w:hAnsi="宋体"/>
          <w:color w:val="auto"/>
          <w:sz w:val="24"/>
          <w:highlight w:val="none"/>
        </w:rPr>
        <w:t>第四部分 合同附件</w:t>
      </w:r>
      <w:r>
        <w:rPr>
          <w:rFonts w:hint="eastAsia" w:ascii="宋体" w:hAnsi="宋体"/>
          <w:color w:val="auto"/>
          <w:kern w:val="0"/>
          <w:sz w:val="24"/>
          <w:highlight w:val="none"/>
        </w:rPr>
        <w:t>…………………………………………………………（页码）</w:t>
      </w:r>
    </w:p>
    <w:p w14:paraId="4CBBCBAB">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4.1中标通知书 …………………………………………………………………（页码）</w:t>
      </w:r>
    </w:p>
    <w:p w14:paraId="55426661">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4.2招标文件服务需求一览表 …………………………………………………（页码）</w:t>
      </w:r>
    </w:p>
    <w:p w14:paraId="79019303">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4.3招标文件的更改通知（如有） ……………………………………………（页码）</w:t>
      </w:r>
    </w:p>
    <w:p w14:paraId="6DEBD2DA">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4.4投标函 ………………………………………………………………………（页码）</w:t>
      </w:r>
    </w:p>
    <w:p w14:paraId="40E30D93">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4.5开标一览表 …………………………………………………………………（页码）</w:t>
      </w:r>
    </w:p>
    <w:p w14:paraId="7FEEFECA">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4.6投标服务技术偏离表 ………………………………………………………（页码）</w:t>
      </w:r>
    </w:p>
    <w:p w14:paraId="39AEEB3B">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4.7商务条款偏离表 ……………………………………………………………（页码）</w:t>
      </w:r>
    </w:p>
    <w:p w14:paraId="46300D91">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4.8</w:t>
      </w:r>
      <w:r>
        <w:rPr>
          <w:rFonts w:hint="eastAsia" w:ascii="宋体" w:hAnsi="宋体"/>
          <w:color w:val="auto"/>
          <w:kern w:val="0"/>
          <w:sz w:val="24"/>
          <w:highlight w:val="none"/>
          <w:lang w:eastAsia="zh-CN"/>
        </w:rPr>
        <w:t>中标人</w:t>
      </w:r>
      <w:r>
        <w:rPr>
          <w:rFonts w:hint="eastAsia" w:ascii="宋体" w:hAnsi="宋体"/>
          <w:color w:val="auto"/>
          <w:kern w:val="0"/>
          <w:sz w:val="24"/>
          <w:highlight w:val="none"/>
        </w:rPr>
        <w:t>澄清函（如有请提供） ………………………………………（页码）</w:t>
      </w:r>
    </w:p>
    <w:p w14:paraId="19C964A0">
      <w:pPr>
        <w:snapToGrid w:val="0"/>
        <w:spacing w:line="360" w:lineRule="auto"/>
        <w:rPr>
          <w:rFonts w:ascii="宋体" w:hAnsi="宋体"/>
          <w:color w:val="auto"/>
          <w:kern w:val="0"/>
          <w:sz w:val="24"/>
          <w:highlight w:val="none"/>
        </w:rPr>
      </w:pPr>
      <w:r>
        <w:rPr>
          <w:rFonts w:hint="eastAsia" w:ascii="宋体" w:hAnsi="宋体"/>
          <w:color w:val="auto"/>
          <w:kern w:val="0"/>
          <w:sz w:val="24"/>
          <w:highlight w:val="none"/>
        </w:rPr>
        <w:t>4.9其他与本合同相关的资料（如有请提供） ………………………………（页码）</w:t>
      </w:r>
    </w:p>
    <w:p w14:paraId="6973F8AC">
      <w:pPr>
        <w:snapToGrid w:val="0"/>
        <w:spacing w:line="360" w:lineRule="auto"/>
        <w:rPr>
          <w:rFonts w:ascii="宋体" w:hAnsi="宋体"/>
          <w:color w:val="auto"/>
          <w:kern w:val="0"/>
          <w:sz w:val="24"/>
          <w:highlight w:val="none"/>
        </w:rPr>
      </w:pPr>
    </w:p>
    <w:p w14:paraId="209DE5E1">
      <w:pPr>
        <w:pStyle w:val="21"/>
        <w:rPr>
          <w:rFonts w:hAnsi="宋体"/>
          <w:color w:val="auto"/>
          <w:spacing w:val="0"/>
          <w:highlight w:val="none"/>
        </w:rPr>
        <w:sectPr>
          <w:pgSz w:w="11906" w:h="16838"/>
          <w:pgMar w:top="1440" w:right="1080" w:bottom="1440" w:left="1080" w:header="720" w:footer="720" w:gutter="0"/>
          <w:pgNumType w:fmt="decimal"/>
          <w:cols w:space="720" w:num="1"/>
          <w:docGrid w:type="lines" w:linePitch="331" w:charSpace="0"/>
        </w:sectPr>
      </w:pPr>
    </w:p>
    <w:p w14:paraId="082EB5A4">
      <w:pPr>
        <w:pStyle w:val="22"/>
        <w:ind w:firstLine="562"/>
        <w:jc w:val="center"/>
        <w:rPr>
          <w:rFonts w:ascii="宋体" w:hAnsi="宋体"/>
          <w:b/>
          <w:color w:val="auto"/>
          <w:sz w:val="28"/>
          <w:szCs w:val="28"/>
          <w:highlight w:val="none"/>
        </w:rPr>
      </w:pPr>
      <w:r>
        <w:rPr>
          <w:rFonts w:hint="eastAsia" w:ascii="宋体" w:hAnsi="宋体"/>
          <w:b/>
          <w:color w:val="auto"/>
          <w:sz w:val="28"/>
          <w:szCs w:val="28"/>
          <w:highlight w:val="none"/>
        </w:rPr>
        <w:t>第一部分 合同书</w:t>
      </w:r>
    </w:p>
    <w:p w14:paraId="6D2C9C47">
      <w:pPr>
        <w:spacing w:line="360" w:lineRule="auto"/>
        <w:ind w:firstLine="480" w:firstLineChars="200"/>
        <w:rPr>
          <w:rFonts w:ascii="宋体" w:hAnsi="宋体"/>
          <w:color w:val="auto"/>
          <w:sz w:val="24"/>
          <w:highlight w:val="none"/>
          <w:u w:val="single"/>
          <w:lang w:val="zh-CN"/>
        </w:rPr>
      </w:pP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lang w:eastAsia="zh-CN"/>
        </w:rPr>
        <w:t>南宁市青秀区住房和城乡建设局</w:t>
      </w:r>
      <w:r>
        <w:rPr>
          <w:rFonts w:hint="eastAsia" w:ascii="宋体" w:hAnsi="宋体"/>
          <w:color w:val="auto"/>
          <w:sz w:val="24"/>
          <w:highlight w:val="none"/>
        </w:rPr>
        <w:t>以</w:t>
      </w:r>
      <w:r>
        <w:rPr>
          <w:rFonts w:hint="eastAsia" w:ascii="宋体" w:hAnsi="宋体"/>
          <w:color w:val="auto"/>
          <w:sz w:val="24"/>
          <w:highlight w:val="none"/>
          <w:u w:val="single"/>
        </w:rPr>
        <w:t xml:space="preserve">   公开招标方式  </w:t>
      </w:r>
      <w:r>
        <w:rPr>
          <w:rFonts w:hint="eastAsia" w:ascii="宋体" w:hAnsi="宋体"/>
          <w:color w:val="auto"/>
          <w:sz w:val="24"/>
          <w:highlight w:val="none"/>
        </w:rPr>
        <w:t>对</w:t>
      </w:r>
      <w:r>
        <w:rPr>
          <w:rFonts w:hint="eastAsia" w:ascii="宋体" w:hAnsi="宋体"/>
          <w:color w:val="auto"/>
          <w:sz w:val="24"/>
          <w:highlight w:val="none"/>
          <w:u w:val="single"/>
        </w:rPr>
        <w:t xml:space="preserve">        </w:t>
      </w:r>
      <w:r>
        <w:rPr>
          <w:rFonts w:hint="eastAsia" w:ascii="宋体" w:hAnsi="宋体"/>
          <w:color w:val="auto"/>
          <w:sz w:val="24"/>
          <w:highlight w:val="none"/>
        </w:rPr>
        <w:t>项目进行了采购。经</w:t>
      </w:r>
      <w:r>
        <w:rPr>
          <w:rFonts w:hint="eastAsia" w:ascii="宋体" w:hAnsi="宋体"/>
          <w:color w:val="auto"/>
          <w:sz w:val="24"/>
          <w:highlight w:val="none"/>
          <w:u w:val="single"/>
        </w:rPr>
        <w:t xml:space="preserve"> 评标委员会 </w:t>
      </w:r>
      <w:r>
        <w:rPr>
          <w:rFonts w:hint="eastAsia" w:ascii="宋体" w:hAnsi="宋体"/>
          <w:color w:val="auto"/>
          <w:sz w:val="24"/>
          <w:highlight w:val="none"/>
        </w:rPr>
        <w:t>评定，</w:t>
      </w:r>
      <w:r>
        <w:rPr>
          <w:rFonts w:hint="eastAsia" w:ascii="宋体" w:hAnsi="宋体"/>
          <w:color w:val="auto"/>
          <w:sz w:val="24"/>
          <w:highlight w:val="none"/>
          <w:u w:val="single"/>
        </w:rPr>
        <w:t xml:space="preserve">   （中标人名称）</w:t>
      </w:r>
      <w:r>
        <w:rPr>
          <w:rFonts w:hint="eastAsia" w:ascii="宋体" w:hAnsi="宋体"/>
          <w:color w:val="auto"/>
          <w:sz w:val="24"/>
          <w:highlight w:val="none"/>
        </w:rPr>
        <w:t>为该项目中标人。现于中标通知书发出之日起</w:t>
      </w:r>
      <w:r>
        <w:rPr>
          <w:rFonts w:hint="eastAsia" w:ascii="宋体" w:hAnsi="宋体"/>
          <w:color w:val="auto"/>
          <w:sz w:val="24"/>
          <w:highlight w:val="none"/>
          <w:u w:val="single"/>
        </w:rPr>
        <w:t xml:space="preserve"> 25 </w:t>
      </w:r>
      <w:r>
        <w:rPr>
          <w:rFonts w:hint="eastAsia" w:ascii="宋体" w:hAnsi="宋体"/>
          <w:color w:val="auto"/>
          <w:sz w:val="24"/>
          <w:highlight w:val="none"/>
        </w:rPr>
        <w:t>日内，按照采购文件确定的事项签订本合同。</w:t>
      </w:r>
    </w:p>
    <w:p w14:paraId="71E04E7D">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根据《中华人民共和国民法典》、《中华人民共和国政府采购法》等相关法律法规规定，按照平等、自愿、公平和诚实信用的原则，经</w:t>
      </w:r>
      <w:r>
        <w:rPr>
          <w:rFonts w:hint="eastAsia" w:ascii="宋体" w:hAnsi="宋体"/>
          <w:color w:val="auto"/>
          <w:sz w:val="24"/>
          <w:highlight w:val="none"/>
          <w:u w:val="single"/>
          <w:lang w:eastAsia="zh-CN"/>
        </w:rPr>
        <w:t>南宁市青秀区住房和城乡建设局</w:t>
      </w:r>
      <w:r>
        <w:rPr>
          <w:rFonts w:hint="eastAsia" w:ascii="宋体" w:hAnsi="宋体"/>
          <w:color w:val="auto"/>
          <w:sz w:val="24"/>
          <w:highlight w:val="none"/>
          <w:lang w:val="zh-CN"/>
        </w:rPr>
        <w:t>（以下简称：甲方）和</w:t>
      </w:r>
      <w:r>
        <w:rPr>
          <w:rFonts w:hint="eastAsia" w:ascii="宋体" w:hAnsi="宋体"/>
          <w:color w:val="auto"/>
          <w:sz w:val="24"/>
          <w:highlight w:val="none"/>
          <w:u w:val="single"/>
        </w:rPr>
        <w:t xml:space="preserve">   （中标人名称）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9652A75">
      <w:pPr>
        <w:spacing w:line="360" w:lineRule="auto"/>
        <w:ind w:firstLine="482" w:firstLineChars="200"/>
        <w:rPr>
          <w:rFonts w:ascii="宋体" w:hAnsi="宋体"/>
          <w:b/>
          <w:color w:val="auto"/>
          <w:sz w:val="24"/>
          <w:highlight w:val="none"/>
        </w:rPr>
      </w:pPr>
      <w:bookmarkStart w:id="140" w:name="_Toc24059"/>
      <w:bookmarkEnd w:id="140"/>
      <w:bookmarkStart w:id="141" w:name="_Toc3029"/>
      <w:bookmarkEnd w:id="141"/>
      <w:bookmarkStart w:id="142" w:name="_Toc2232"/>
      <w:bookmarkEnd w:id="142"/>
      <w:r>
        <w:rPr>
          <w:rFonts w:hint="eastAsia" w:ascii="宋体" w:hAnsi="宋体"/>
          <w:b/>
          <w:color w:val="auto"/>
          <w:sz w:val="24"/>
          <w:highlight w:val="none"/>
        </w:rPr>
        <w:t>1.1 合同组成部分</w:t>
      </w:r>
    </w:p>
    <w:p w14:paraId="420483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EEF13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本合同及其补充合同、变更协议；</w:t>
      </w:r>
    </w:p>
    <w:p w14:paraId="59F183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 中标通知书；</w:t>
      </w:r>
    </w:p>
    <w:p w14:paraId="657B690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 投标文件及“投标报价”（含澄清或者说明文件）；</w:t>
      </w:r>
    </w:p>
    <w:p w14:paraId="6B95E49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1.1.4 招标文件（含澄清或者修改文件）；</w:t>
      </w:r>
    </w:p>
    <w:p w14:paraId="467AB7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1.1.5 其他相关采购文件。</w:t>
      </w:r>
    </w:p>
    <w:p w14:paraId="414CEB30">
      <w:pPr>
        <w:spacing w:line="360" w:lineRule="auto"/>
        <w:ind w:firstLine="482" w:firstLineChars="200"/>
        <w:rPr>
          <w:rFonts w:ascii="宋体" w:hAnsi="宋体"/>
          <w:b/>
          <w:color w:val="auto"/>
          <w:sz w:val="24"/>
          <w:highlight w:val="none"/>
        </w:rPr>
      </w:pPr>
      <w:bookmarkStart w:id="143" w:name="_Toc21295"/>
      <w:bookmarkEnd w:id="143"/>
      <w:bookmarkStart w:id="144" w:name="_Toc24300"/>
      <w:bookmarkEnd w:id="144"/>
      <w:bookmarkStart w:id="145" w:name="_Toc27126"/>
      <w:bookmarkEnd w:id="145"/>
      <w:r>
        <w:rPr>
          <w:rFonts w:hint="eastAsia" w:ascii="宋体" w:hAnsi="宋体"/>
          <w:b/>
          <w:color w:val="auto"/>
          <w:sz w:val="24"/>
          <w:highlight w:val="none"/>
        </w:rPr>
        <w:t>1.2 标的物</w:t>
      </w:r>
    </w:p>
    <w:p w14:paraId="4F269A4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 标的物1信息</w:t>
      </w:r>
    </w:p>
    <w:p w14:paraId="26DBC8E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1.2.1.1名称：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97776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1.2.1.2数量：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37215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1.2.1.3质量：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FD31A99">
      <w:pPr>
        <w:spacing w:line="360" w:lineRule="auto"/>
        <w:ind w:firstLine="482" w:firstLineChars="200"/>
        <w:rPr>
          <w:rFonts w:ascii="宋体" w:hAnsi="宋体"/>
          <w:b/>
          <w:color w:val="auto"/>
          <w:sz w:val="24"/>
          <w:highlight w:val="none"/>
        </w:rPr>
      </w:pPr>
      <w:bookmarkStart w:id="146" w:name="_Toc23292"/>
      <w:bookmarkEnd w:id="146"/>
      <w:bookmarkStart w:id="147" w:name="_Toc21551"/>
      <w:bookmarkEnd w:id="147"/>
      <w:bookmarkStart w:id="148" w:name="_Toc21631"/>
      <w:bookmarkEnd w:id="148"/>
      <w:r>
        <w:rPr>
          <w:rFonts w:hint="eastAsia" w:ascii="宋体" w:hAnsi="宋体"/>
          <w:b/>
          <w:color w:val="auto"/>
          <w:sz w:val="24"/>
          <w:highlight w:val="none"/>
        </w:rPr>
        <w:t>1.3 价款</w:t>
      </w:r>
    </w:p>
    <w:p w14:paraId="08658ADA">
      <w:pPr>
        <w:spacing w:line="360" w:lineRule="auto"/>
        <w:ind w:firstLine="480" w:firstLineChars="200"/>
        <w:rPr>
          <w:rFonts w:ascii="宋体" w:hAnsi="宋体"/>
          <w:color w:val="auto"/>
          <w:sz w:val="24"/>
          <w:highlight w:val="none"/>
        </w:rPr>
      </w:pPr>
      <w:bookmarkStart w:id="149" w:name="_Toc22618"/>
      <w:bookmarkStart w:id="150" w:name="_Toc1814"/>
      <w:bookmarkStart w:id="151" w:name="_Toc10340"/>
      <w:r>
        <w:rPr>
          <w:rFonts w:hint="eastAsia" w:ascii="宋体" w:hAnsi="宋体"/>
          <w:color w:val="auto"/>
          <w:sz w:val="24"/>
          <w:highlight w:val="none"/>
        </w:rPr>
        <w:t>本合同总价为：人民币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元人民币，含税）。</w:t>
      </w:r>
    </w:p>
    <w:bookmarkEnd w:id="149"/>
    <w:bookmarkEnd w:id="150"/>
    <w:bookmarkEnd w:id="151"/>
    <w:p w14:paraId="389A4957">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1.4 付款方式和发票开具方式</w:t>
      </w:r>
    </w:p>
    <w:p w14:paraId="75771C94">
      <w:pPr>
        <w:spacing w:line="360" w:lineRule="auto"/>
        <w:ind w:firstLine="1200" w:firstLineChars="500"/>
        <w:rPr>
          <w:rFonts w:hint="eastAsia" w:ascii="宋体" w:hAnsi="宋体"/>
          <w:color w:val="auto"/>
          <w:sz w:val="24"/>
          <w:highlight w:val="none"/>
          <w:lang w:eastAsia="zh-CN"/>
        </w:rPr>
      </w:pPr>
      <w:r>
        <w:rPr>
          <w:rFonts w:hint="eastAsia" w:ascii="宋体" w:hAnsi="宋体"/>
          <w:color w:val="auto"/>
          <w:sz w:val="24"/>
          <w:highlight w:val="none"/>
        </w:rPr>
        <w:t>1.4.1 付款方式：无预付款，按合同每年的运维费分四期付款，第一期支付25%，第二期支付25%，第三期支付25%，第四期支付25%（一期为9个月）</w:t>
      </w:r>
      <w:r>
        <w:rPr>
          <w:rFonts w:hint="eastAsia" w:ascii="宋体" w:hAnsi="宋体"/>
          <w:color w:val="auto"/>
          <w:sz w:val="24"/>
          <w:highlight w:val="none"/>
          <w:lang w:val="en-US" w:eastAsia="zh-CN"/>
        </w:rPr>
        <w:t>。通过银行转账方式支付至</w:t>
      </w:r>
      <w:r>
        <w:rPr>
          <w:rFonts w:hint="eastAsia" w:ascii="宋体" w:hAnsi="宋体"/>
          <w:color w:val="auto"/>
          <w:sz w:val="24"/>
          <w:highlight w:val="none"/>
        </w:rPr>
        <w:t>乙方指定收款账户</w:t>
      </w:r>
      <w:r>
        <w:rPr>
          <w:rFonts w:hint="eastAsia" w:ascii="宋体" w:hAnsi="宋体"/>
          <w:color w:val="auto"/>
          <w:sz w:val="24"/>
          <w:highlight w:val="none"/>
          <w:lang w:eastAsia="zh-CN"/>
        </w:rPr>
        <w:t>：</w:t>
      </w:r>
    </w:p>
    <w:p w14:paraId="1E3929EF">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户名：</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A442880">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552D071">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账号：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19C96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发票开具方式：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C2DE552">
      <w:pPr>
        <w:spacing w:line="360" w:lineRule="auto"/>
        <w:ind w:firstLine="482" w:firstLineChars="200"/>
        <w:rPr>
          <w:rFonts w:hint="eastAsia" w:ascii="宋体" w:hAnsi="宋体" w:eastAsia="宋体"/>
          <w:b/>
          <w:color w:val="auto"/>
          <w:sz w:val="24"/>
          <w:highlight w:val="none"/>
          <w:lang w:eastAsia="zh-CN"/>
        </w:rPr>
      </w:pPr>
      <w:bookmarkStart w:id="152" w:name="_Toc2846"/>
      <w:bookmarkEnd w:id="152"/>
      <w:bookmarkStart w:id="153" w:name="_Toc32071"/>
      <w:bookmarkEnd w:id="153"/>
      <w:bookmarkStart w:id="154" w:name="_Toc19304"/>
      <w:bookmarkEnd w:id="154"/>
      <w:r>
        <w:rPr>
          <w:rFonts w:hint="eastAsia" w:ascii="宋体" w:hAnsi="宋体"/>
          <w:b/>
          <w:color w:val="auto"/>
          <w:sz w:val="24"/>
          <w:highlight w:val="none"/>
        </w:rPr>
        <w:t>1.5 标的物交付期限、地点、方式和</w:t>
      </w:r>
      <w:r>
        <w:rPr>
          <w:rFonts w:hint="eastAsia" w:ascii="宋体" w:hAnsi="宋体"/>
          <w:b/>
          <w:color w:val="auto"/>
          <w:sz w:val="24"/>
          <w:highlight w:val="none"/>
          <w:lang w:val="en-US" w:eastAsia="zh-CN"/>
        </w:rPr>
        <w:t>服务</w:t>
      </w:r>
      <w:r>
        <w:rPr>
          <w:rFonts w:hint="eastAsia" w:ascii="宋体" w:hAnsi="宋体"/>
          <w:b/>
          <w:color w:val="auto"/>
          <w:sz w:val="24"/>
          <w:highlight w:val="none"/>
          <w:lang w:eastAsia="zh-CN"/>
        </w:rPr>
        <w:t>期限</w:t>
      </w:r>
    </w:p>
    <w:p w14:paraId="202C59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1.5.1 </w:t>
      </w:r>
      <w:r>
        <w:rPr>
          <w:rFonts w:hint="eastAsia" w:ascii="宋体" w:hAnsi="宋体"/>
          <w:color w:val="auto"/>
          <w:sz w:val="24"/>
          <w:highlight w:val="none"/>
          <w:lang w:val="en-US" w:eastAsia="zh-CN"/>
        </w:rPr>
        <w:t>服务</w:t>
      </w:r>
      <w:r>
        <w:rPr>
          <w:rFonts w:hint="eastAsia" w:ascii="宋体" w:hAnsi="宋体"/>
          <w:color w:val="auto"/>
          <w:sz w:val="24"/>
          <w:highlight w:val="none"/>
        </w:rPr>
        <w:t>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5AC4A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1.5.2 </w:t>
      </w:r>
      <w:r>
        <w:rPr>
          <w:rFonts w:hint="eastAsia" w:ascii="宋体" w:hAnsi="宋体"/>
          <w:color w:val="auto"/>
          <w:sz w:val="24"/>
          <w:highlight w:val="none"/>
          <w:lang w:val="en-US" w:eastAsia="zh-CN"/>
        </w:rPr>
        <w:t>服务</w:t>
      </w:r>
      <w:r>
        <w:rPr>
          <w:rFonts w:hint="eastAsia" w:ascii="宋体" w:hAnsi="宋体"/>
          <w:color w:val="auto"/>
          <w:sz w:val="24"/>
          <w:highlight w:val="none"/>
        </w:rPr>
        <w:t>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15580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 服务方式：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C762F5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1.5.4 售后服务要求：</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37AE3B5">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1.5.5乙方履约联系方式：联系人：    通讯地址：     联系电话：    微信：  </w:t>
      </w:r>
    </w:p>
    <w:p w14:paraId="0265BD8C">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特别说明：如甲方按照以上联系方式向乙方送达相应通知时，如因乙方原因导致邮件无人签收、拒签或微信未回复等情形的产生，自甲方邮件发出之日起或微信发送之日起三日内视为已送达乙方，乙方认可甲方已履行通知义务。</w:t>
      </w:r>
    </w:p>
    <w:p w14:paraId="00D26BC7">
      <w:pPr>
        <w:spacing w:line="360" w:lineRule="auto"/>
        <w:ind w:firstLine="482" w:firstLineChars="200"/>
        <w:rPr>
          <w:rFonts w:ascii="宋体" w:hAnsi="宋体"/>
          <w:b/>
          <w:color w:val="auto"/>
          <w:sz w:val="24"/>
          <w:highlight w:val="none"/>
        </w:rPr>
      </w:pPr>
      <w:bookmarkStart w:id="155" w:name="_Toc21423"/>
      <w:bookmarkEnd w:id="155"/>
      <w:bookmarkStart w:id="156" w:name="_Toc27250"/>
      <w:bookmarkEnd w:id="156"/>
      <w:bookmarkStart w:id="157" w:name="_Toc19554"/>
      <w:bookmarkEnd w:id="157"/>
      <w:r>
        <w:rPr>
          <w:rFonts w:hint="eastAsia" w:ascii="宋体" w:hAnsi="宋体"/>
          <w:b/>
          <w:color w:val="auto"/>
          <w:sz w:val="24"/>
          <w:highlight w:val="none"/>
        </w:rPr>
        <w:t>1.6 违约责任</w:t>
      </w:r>
    </w:p>
    <w:p w14:paraId="7416EC3D">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1.6.1 除不可抗力外，如果乙方没有按照本合同约定的期限、地点和方式交付标的物，甲方可要求乙方支付违约金，违约金按每迟延交付标的物一日的应交付而未交付标的物价格的万分之五（根据项目实际填写，一般为万分之五）计算，最高限额为本合同总价的     %（根据项目实际填写，一般为20%）；迟延超过【  】日的，甲方有权在要求乙方支付违约金的同时，书面通知乙方解除本合同，乙方应退回全部已收取的合同价款并按合同总金额的     %（根据项目实际填写，一般为20%）向甲方支付违约金；</w:t>
      </w:r>
    </w:p>
    <w:p w14:paraId="568621CF">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1.6.2 除不可抗力外，如果甲方没有按照本合同约定的付款方式付款，乙方可要求甲方支付违约金，违约金按每迟延付款一日的应付而未付款的万分之五（根据项目实际填写，一般为万分之五）计算，最高限额为欠付金额的      %（根据项目实际填写，一般为20%）；迟延付款的违约金计算数额达到前述最高限额之日起，乙方有权在要求甲方支付违约金的同时，书面通知甲方解除本合同；</w:t>
      </w:r>
    </w:p>
    <w:p w14:paraId="091A0608">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4EC997">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1.6.4乙方在质保期内未按承诺提供售后等服务的，每发生一次向甲方支付  元（根据项目实际填写，一般为2000元）的违约金。</w:t>
      </w:r>
    </w:p>
    <w:p w14:paraId="30AF2F99">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AFE7FB1">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7873F8">
      <w:pPr>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1.6.7 如果出现政府采购监督管理部门在处理投诉事项期间，书面通知甲方暂停采购活动的情形，或者询问或质疑事项可能影响成交结果的，导致甲方中止履行合同的情形，均不视为甲方违约。</w:t>
      </w:r>
    </w:p>
    <w:p w14:paraId="6E0D218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1.7 合同争议的解决</w:t>
      </w:r>
    </w:p>
    <w:p w14:paraId="3F77F3E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olor w:val="auto"/>
          <w:sz w:val="24"/>
          <w:highlight w:val="none"/>
          <w:u w:val="single"/>
        </w:rPr>
        <w:t xml:space="preserve">   1.7.2  </w:t>
      </w:r>
      <w:r>
        <w:rPr>
          <w:rFonts w:hint="eastAsia" w:ascii="宋体" w:hAnsi="宋体"/>
          <w:color w:val="auto"/>
          <w:sz w:val="24"/>
          <w:highlight w:val="none"/>
        </w:rPr>
        <w:t>种方式解决：</w:t>
      </w:r>
    </w:p>
    <w:p w14:paraId="4DAA52C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 将争议提交</w:t>
      </w:r>
      <w:r>
        <w:rPr>
          <w:rFonts w:hint="eastAsia" w:ascii="宋体" w:hAnsi="宋体"/>
          <w:color w:val="auto"/>
          <w:sz w:val="24"/>
          <w:highlight w:val="none"/>
          <w:u w:val="single"/>
        </w:rPr>
        <w:t>/</w:t>
      </w:r>
      <w:r>
        <w:rPr>
          <w:rFonts w:hint="eastAsia" w:ascii="宋体" w:hAnsi="宋体"/>
          <w:color w:val="auto"/>
          <w:sz w:val="24"/>
          <w:highlight w:val="none"/>
        </w:rPr>
        <w:t>仲裁委员会依申请仲裁时其现行有效的仲裁规则裁决；</w:t>
      </w:r>
    </w:p>
    <w:p w14:paraId="6C6218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 向</w:t>
      </w:r>
      <w:r>
        <w:rPr>
          <w:rFonts w:hint="eastAsia" w:ascii="宋体" w:hAnsi="宋体"/>
          <w:color w:val="auto"/>
          <w:sz w:val="24"/>
          <w:highlight w:val="none"/>
          <w:u w:val="single"/>
        </w:rPr>
        <w:t xml:space="preserve">   甲方所在地  </w:t>
      </w:r>
      <w:r>
        <w:rPr>
          <w:rFonts w:hint="eastAsia" w:ascii="宋体" w:hAnsi="宋体"/>
          <w:color w:val="auto"/>
          <w:sz w:val="24"/>
          <w:highlight w:val="none"/>
        </w:rPr>
        <w:t>有管辖权的人民法院起诉。</w:t>
      </w:r>
    </w:p>
    <w:p w14:paraId="5FA5D891">
      <w:pPr>
        <w:spacing w:line="360" w:lineRule="auto"/>
        <w:ind w:firstLine="482" w:firstLineChars="200"/>
        <w:rPr>
          <w:rFonts w:ascii="宋体" w:hAnsi="宋体"/>
          <w:b/>
          <w:color w:val="auto"/>
          <w:sz w:val="24"/>
          <w:highlight w:val="none"/>
        </w:rPr>
      </w:pPr>
      <w:bookmarkStart w:id="158" w:name="_Toc7245"/>
      <w:bookmarkEnd w:id="158"/>
      <w:bookmarkStart w:id="159" w:name="_Toc15322"/>
      <w:bookmarkEnd w:id="159"/>
      <w:bookmarkStart w:id="160" w:name="_Toc11173"/>
      <w:bookmarkEnd w:id="160"/>
      <w:r>
        <w:rPr>
          <w:rFonts w:hint="eastAsia" w:ascii="宋体" w:hAnsi="宋体"/>
          <w:b/>
          <w:color w:val="auto"/>
          <w:sz w:val="24"/>
          <w:highlight w:val="none"/>
        </w:rPr>
        <w:t>1.8 合同生效</w:t>
      </w:r>
    </w:p>
    <w:p w14:paraId="56BE66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本合同自双方当事人加盖有效电子公章时生效。</w:t>
      </w:r>
    </w:p>
    <w:p w14:paraId="69C67993">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甲方：                                   乙方：</w:t>
      </w:r>
    </w:p>
    <w:p w14:paraId="03A977AF">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613FC382">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住所：                                   住所：</w:t>
      </w:r>
    </w:p>
    <w:p w14:paraId="0D7954F9">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法定代表人或                             法定代表人</w:t>
      </w:r>
    </w:p>
    <w:p w14:paraId="63FBE378">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 xml:space="preserve">授权代表（签字或盖章）：                  或授权代表（签字或盖章）： </w:t>
      </w:r>
    </w:p>
    <w:p w14:paraId="7048E127">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联系人：                                 联系人：</w:t>
      </w:r>
    </w:p>
    <w:p w14:paraId="48292132">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4D5461E4">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20448869">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 xml:space="preserve">电话：                                    电话： </w:t>
      </w:r>
    </w:p>
    <w:p w14:paraId="7E74AF10">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传真：                                    传真：</w:t>
      </w:r>
    </w:p>
    <w:p w14:paraId="3EE6CD2F">
      <w:pPr>
        <w:spacing w:line="360" w:lineRule="auto"/>
        <w:ind w:firstLine="200"/>
        <w:rPr>
          <w:rFonts w:ascii="宋体" w:hAnsi="宋体"/>
          <w:color w:val="auto"/>
          <w:sz w:val="24"/>
          <w:highlight w:val="none"/>
          <w:lang w:val="zh-CN"/>
        </w:rPr>
      </w:pPr>
      <w:r>
        <w:rPr>
          <w:rFonts w:hint="eastAsia" w:ascii="宋体" w:hAnsi="宋体"/>
          <w:color w:val="auto"/>
          <w:sz w:val="24"/>
          <w:highlight w:val="none"/>
          <w:lang w:val="zh-CN"/>
        </w:rPr>
        <w:t>电子邮箱：                               电子邮箱：</w:t>
      </w:r>
    </w:p>
    <w:p w14:paraId="34759F90">
      <w:pPr>
        <w:spacing w:line="360" w:lineRule="auto"/>
        <w:ind w:firstLine="200"/>
        <w:rPr>
          <w:rFonts w:ascii="宋体" w:hAnsi="宋体"/>
          <w:color w:val="auto"/>
          <w:sz w:val="24"/>
          <w:highlight w:val="none"/>
        </w:rPr>
      </w:pPr>
      <w:r>
        <w:rPr>
          <w:rFonts w:hint="eastAsia" w:ascii="宋体" w:hAnsi="宋体"/>
          <w:color w:val="auto"/>
          <w:sz w:val="24"/>
          <w:highlight w:val="none"/>
        </w:rPr>
        <w:t xml:space="preserve">开户银行：                               开户银行： </w:t>
      </w:r>
    </w:p>
    <w:p w14:paraId="4BFC15DF">
      <w:pPr>
        <w:spacing w:line="360" w:lineRule="auto"/>
        <w:ind w:firstLine="200"/>
        <w:rPr>
          <w:rFonts w:ascii="宋体" w:hAnsi="宋体"/>
          <w:color w:val="auto"/>
          <w:sz w:val="24"/>
          <w:highlight w:val="none"/>
        </w:rPr>
      </w:pPr>
      <w:r>
        <w:rPr>
          <w:rFonts w:hint="eastAsia" w:ascii="宋体" w:hAnsi="宋体"/>
          <w:color w:val="auto"/>
          <w:sz w:val="24"/>
          <w:highlight w:val="none"/>
        </w:rPr>
        <w:t xml:space="preserve">开户名称：                               开户名称： </w:t>
      </w:r>
    </w:p>
    <w:p w14:paraId="52CB575D">
      <w:pPr>
        <w:spacing w:line="360" w:lineRule="auto"/>
        <w:ind w:firstLine="200"/>
        <w:rPr>
          <w:rFonts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14:paraId="40A0C301">
      <w:pPr>
        <w:spacing w:line="360" w:lineRule="auto"/>
        <w:ind w:firstLine="200"/>
        <w:jc w:val="center"/>
        <w:rPr>
          <w:rFonts w:ascii="宋体" w:hAnsi="宋体"/>
          <w:b/>
          <w:color w:val="auto"/>
          <w:highlight w:val="none"/>
        </w:rPr>
      </w:pPr>
      <w:bookmarkStart w:id="161" w:name="_Toc331685783"/>
      <w:bookmarkEnd w:id="161"/>
      <w:r>
        <w:rPr>
          <w:rFonts w:hint="eastAsia" w:ascii="宋体" w:hAnsi="宋体"/>
          <w:b/>
          <w:color w:val="auto"/>
          <w:highlight w:val="none"/>
        </w:rPr>
        <w:br w:type="page"/>
      </w:r>
      <w:r>
        <w:rPr>
          <w:rFonts w:hint="eastAsia" w:ascii="宋体" w:hAnsi="宋体"/>
          <w:b/>
          <w:color w:val="auto"/>
          <w:sz w:val="28"/>
          <w:szCs w:val="28"/>
          <w:highlight w:val="none"/>
        </w:rPr>
        <w:t>第二部分 合同一般条款</w:t>
      </w:r>
    </w:p>
    <w:p w14:paraId="74E5B762">
      <w:pPr>
        <w:spacing w:line="360" w:lineRule="auto"/>
        <w:ind w:firstLine="482" w:firstLineChars="200"/>
        <w:rPr>
          <w:rFonts w:ascii="宋体" w:hAnsi="宋体"/>
          <w:b/>
          <w:color w:val="auto"/>
          <w:sz w:val="24"/>
          <w:highlight w:val="none"/>
        </w:rPr>
      </w:pPr>
      <w:bookmarkStart w:id="162" w:name="_Ref467379205"/>
      <w:bookmarkEnd w:id="162"/>
      <w:bookmarkStart w:id="163" w:name="_Ref467378404"/>
      <w:bookmarkEnd w:id="163"/>
      <w:bookmarkStart w:id="164" w:name="_Ref467379109"/>
      <w:bookmarkEnd w:id="164"/>
      <w:bookmarkStart w:id="165" w:name="_Ref467379094"/>
      <w:bookmarkEnd w:id="165"/>
      <w:bookmarkStart w:id="166" w:name="_Ref467378499"/>
      <w:bookmarkEnd w:id="166"/>
      <w:bookmarkStart w:id="167" w:name="_Ref467379214"/>
      <w:bookmarkEnd w:id="167"/>
      <w:bookmarkStart w:id="168" w:name="_Toc16917"/>
      <w:bookmarkEnd w:id="168"/>
      <w:bookmarkStart w:id="169" w:name="_Ref467378463"/>
      <w:bookmarkEnd w:id="169"/>
      <w:bookmarkStart w:id="170" w:name="_Toc28763"/>
      <w:bookmarkEnd w:id="170"/>
      <w:bookmarkStart w:id="171" w:name="_Toc19614"/>
      <w:bookmarkEnd w:id="171"/>
      <w:bookmarkStart w:id="172" w:name="_Toc279701240"/>
      <w:bookmarkEnd w:id="172"/>
      <w:bookmarkStart w:id="173" w:name="_Ref467379101"/>
      <w:bookmarkEnd w:id="173"/>
      <w:bookmarkStart w:id="174" w:name="_Toc487900349"/>
      <w:bookmarkEnd w:id="174"/>
      <w:bookmarkStart w:id="175" w:name="_Toc259093669"/>
      <w:bookmarkEnd w:id="175"/>
      <w:bookmarkStart w:id="176" w:name="_Ref467379225"/>
      <w:bookmarkEnd w:id="176"/>
      <w:bookmarkStart w:id="177" w:name="_Ref467379195"/>
      <w:bookmarkEnd w:id="177"/>
      <w:r>
        <w:rPr>
          <w:rFonts w:hint="eastAsia" w:ascii="宋体" w:hAnsi="宋体"/>
          <w:b/>
          <w:color w:val="auto"/>
          <w:sz w:val="24"/>
          <w:highlight w:val="none"/>
        </w:rPr>
        <w:t>2.1 定义</w:t>
      </w:r>
    </w:p>
    <w:p w14:paraId="00DFAE0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本合同中的下列词语应按以下内容进行解释：</w:t>
      </w:r>
    </w:p>
    <w:p w14:paraId="15792D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“合同”系指采购人和中标人签订的载明双方当事人所达成的协议，并包括所有的附件、附录和构成合同的其他文件。</w:t>
      </w:r>
    </w:p>
    <w:p w14:paraId="47A63D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 “合同价”系指根据合同约定，中标人在完全履行合同义务后，采购人应支付给中标人的价格。</w:t>
      </w:r>
    </w:p>
    <w:p w14:paraId="68372B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0B8DB296">
      <w:pPr>
        <w:spacing w:line="360" w:lineRule="auto"/>
        <w:ind w:firstLine="480" w:firstLineChars="200"/>
        <w:rPr>
          <w:rFonts w:ascii="宋体" w:hAnsi="宋体"/>
          <w:color w:val="auto"/>
          <w:sz w:val="24"/>
          <w:highlight w:val="none"/>
        </w:rPr>
      </w:pPr>
      <w:bookmarkStart w:id="178" w:name="_Ref467378840"/>
      <w:bookmarkEnd w:id="178"/>
      <w:r>
        <w:rPr>
          <w:rFonts w:hint="eastAsia" w:ascii="宋体" w:hAnsi="宋体"/>
          <w:color w:val="auto"/>
          <w:sz w:val="24"/>
          <w:highlight w:val="none"/>
        </w:rPr>
        <w:t>2.1.4 “甲方”系指与中标人签署合同的采购人；采购人委托采购机构代表其与乙方签订合同的，采购人的授权委托书作为合同附件。</w:t>
      </w:r>
    </w:p>
    <w:p w14:paraId="72BAE7B0">
      <w:pPr>
        <w:spacing w:line="360" w:lineRule="auto"/>
        <w:ind w:firstLine="480" w:firstLineChars="200"/>
        <w:rPr>
          <w:rFonts w:ascii="宋体" w:hAnsi="宋体"/>
          <w:color w:val="auto"/>
          <w:sz w:val="24"/>
          <w:highlight w:val="none"/>
        </w:rPr>
      </w:pPr>
      <w:bookmarkStart w:id="179" w:name="_Ref467379400"/>
      <w:bookmarkEnd w:id="179"/>
      <w:r>
        <w:rPr>
          <w:rFonts w:hint="eastAsia" w:ascii="宋体" w:hAnsi="宋体"/>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3A8D8BA">
      <w:pPr>
        <w:spacing w:line="360" w:lineRule="auto"/>
        <w:ind w:firstLine="480" w:firstLineChars="200"/>
        <w:rPr>
          <w:rFonts w:ascii="宋体" w:hAnsi="宋体"/>
          <w:color w:val="auto"/>
          <w:sz w:val="24"/>
          <w:highlight w:val="none"/>
        </w:rPr>
      </w:pPr>
      <w:bookmarkStart w:id="180" w:name="_Ref467379436"/>
      <w:bookmarkEnd w:id="180"/>
      <w:r>
        <w:rPr>
          <w:rFonts w:hint="eastAsia" w:ascii="宋体" w:hAnsi="宋体"/>
          <w:color w:val="auto"/>
          <w:sz w:val="24"/>
          <w:highlight w:val="none"/>
        </w:rPr>
        <w:t>2.1.6 “现场”系指合同约定标的物将要运至或者实施或者安装的地点。</w:t>
      </w:r>
    </w:p>
    <w:p w14:paraId="185AC49D">
      <w:pPr>
        <w:spacing w:line="360" w:lineRule="auto"/>
        <w:ind w:firstLine="482" w:firstLineChars="200"/>
        <w:rPr>
          <w:rFonts w:ascii="宋体" w:hAnsi="宋体"/>
          <w:b/>
          <w:color w:val="auto"/>
          <w:sz w:val="24"/>
          <w:highlight w:val="none"/>
        </w:rPr>
      </w:pPr>
      <w:bookmarkStart w:id="181" w:name="_Toc259093670"/>
      <w:bookmarkEnd w:id="181"/>
      <w:bookmarkStart w:id="182" w:name="_Toc487900350"/>
      <w:bookmarkEnd w:id="182"/>
      <w:bookmarkStart w:id="183" w:name="_Toc13336"/>
      <w:bookmarkEnd w:id="183"/>
      <w:bookmarkStart w:id="184" w:name="_Toc279701241"/>
      <w:bookmarkEnd w:id="184"/>
      <w:bookmarkStart w:id="185" w:name="_Toc27635"/>
      <w:bookmarkEnd w:id="185"/>
      <w:bookmarkStart w:id="186" w:name="_Toc32504"/>
      <w:bookmarkEnd w:id="186"/>
      <w:r>
        <w:rPr>
          <w:rFonts w:hint="eastAsia" w:ascii="宋体" w:hAnsi="宋体"/>
          <w:b/>
          <w:color w:val="auto"/>
          <w:sz w:val="24"/>
          <w:highlight w:val="none"/>
        </w:rPr>
        <w:t>2.2 技术规范</w:t>
      </w:r>
    </w:p>
    <w:p w14:paraId="686E17A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83D0CEC">
      <w:pPr>
        <w:spacing w:line="360" w:lineRule="auto"/>
        <w:ind w:firstLine="482" w:firstLineChars="200"/>
        <w:rPr>
          <w:rFonts w:ascii="宋体" w:hAnsi="宋体"/>
          <w:b/>
          <w:color w:val="auto"/>
          <w:sz w:val="24"/>
          <w:highlight w:val="none"/>
        </w:rPr>
      </w:pPr>
      <w:bookmarkStart w:id="187" w:name="_Toc487900351"/>
      <w:bookmarkEnd w:id="187"/>
      <w:bookmarkStart w:id="188" w:name="_Toc31634"/>
      <w:bookmarkEnd w:id="188"/>
      <w:bookmarkStart w:id="189" w:name="_Toc279701242"/>
      <w:bookmarkEnd w:id="189"/>
      <w:bookmarkStart w:id="190" w:name="_Toc9829"/>
      <w:bookmarkEnd w:id="190"/>
      <w:bookmarkStart w:id="191" w:name="_Toc259093671"/>
      <w:bookmarkEnd w:id="191"/>
      <w:bookmarkStart w:id="192" w:name="_Toc27853"/>
      <w:bookmarkEnd w:id="192"/>
      <w:r>
        <w:rPr>
          <w:rFonts w:hint="eastAsia" w:ascii="宋体" w:hAnsi="宋体"/>
          <w:b/>
          <w:color w:val="auto"/>
          <w:sz w:val="24"/>
          <w:highlight w:val="none"/>
        </w:rPr>
        <w:t>2.3 知识产权</w:t>
      </w:r>
    </w:p>
    <w:p w14:paraId="702C04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ED160A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2.3.2具有知识产权的计算机软件等标的物的知识产权归属，详见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D3728DE">
      <w:pPr>
        <w:spacing w:line="360" w:lineRule="auto"/>
        <w:ind w:firstLine="482" w:firstLineChars="200"/>
        <w:rPr>
          <w:rFonts w:ascii="宋体" w:hAnsi="宋体"/>
          <w:b/>
          <w:color w:val="auto"/>
          <w:sz w:val="24"/>
          <w:highlight w:val="none"/>
        </w:rPr>
      </w:pPr>
      <w:bookmarkStart w:id="193" w:name="_Toc4194"/>
      <w:bookmarkEnd w:id="193"/>
      <w:bookmarkStart w:id="194" w:name="_Toc11932"/>
      <w:bookmarkEnd w:id="194"/>
      <w:bookmarkStart w:id="195" w:name="_Toc29149"/>
      <w:bookmarkEnd w:id="195"/>
      <w:r>
        <w:rPr>
          <w:rFonts w:hint="eastAsia" w:ascii="宋体" w:hAnsi="宋体"/>
          <w:b/>
          <w:color w:val="auto"/>
          <w:sz w:val="24"/>
          <w:highlight w:val="none"/>
        </w:rPr>
        <w:t>2.4 包装和装运</w:t>
      </w:r>
    </w:p>
    <w:p w14:paraId="4631C7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07A980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 装运标的物的要求和通知，详见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99531D1">
      <w:pPr>
        <w:spacing w:line="360" w:lineRule="auto"/>
        <w:ind w:firstLine="482" w:firstLineChars="200"/>
        <w:rPr>
          <w:rFonts w:ascii="宋体" w:hAnsi="宋体"/>
          <w:b/>
          <w:color w:val="auto"/>
          <w:sz w:val="24"/>
          <w:highlight w:val="none"/>
        </w:rPr>
      </w:pPr>
      <w:bookmarkStart w:id="196" w:name="_Toc19074"/>
      <w:bookmarkEnd w:id="196"/>
      <w:bookmarkStart w:id="197" w:name="_Toc26182"/>
      <w:bookmarkEnd w:id="197"/>
      <w:bookmarkStart w:id="198" w:name="_Toc279701245"/>
      <w:bookmarkEnd w:id="198"/>
      <w:bookmarkStart w:id="199" w:name="_Ref467378591"/>
      <w:bookmarkEnd w:id="199"/>
      <w:bookmarkStart w:id="200" w:name="_Ref467379527"/>
      <w:bookmarkEnd w:id="200"/>
      <w:bookmarkStart w:id="201" w:name="_Toc487900354"/>
      <w:bookmarkEnd w:id="201"/>
      <w:bookmarkStart w:id="202" w:name="_Ref467378541"/>
      <w:bookmarkEnd w:id="202"/>
      <w:bookmarkStart w:id="203" w:name="_Toc259093674"/>
      <w:bookmarkEnd w:id="203"/>
      <w:bookmarkStart w:id="204" w:name="_Toc30272"/>
      <w:bookmarkEnd w:id="204"/>
      <w:bookmarkStart w:id="205" w:name="_Ref467379542"/>
      <w:bookmarkEnd w:id="205"/>
      <w:bookmarkStart w:id="206" w:name="_Ref467379536"/>
      <w:bookmarkEnd w:id="206"/>
      <w:r>
        <w:rPr>
          <w:rFonts w:hint="eastAsia" w:ascii="宋体" w:hAnsi="宋体"/>
          <w:b/>
          <w:color w:val="auto"/>
          <w:sz w:val="24"/>
          <w:highlight w:val="none"/>
        </w:rPr>
        <w:t>2.5 履约检查和问题反馈</w:t>
      </w:r>
    </w:p>
    <w:p w14:paraId="758FE06C">
      <w:pPr>
        <w:spacing w:line="360" w:lineRule="auto"/>
        <w:ind w:firstLine="480" w:firstLineChars="200"/>
        <w:rPr>
          <w:rFonts w:ascii="宋体" w:hAnsi="宋体"/>
          <w:color w:val="auto"/>
          <w:sz w:val="24"/>
          <w:highlight w:val="none"/>
        </w:rPr>
      </w:pPr>
      <w:bookmarkStart w:id="207" w:name="_Ref467379657"/>
      <w:bookmarkEnd w:id="207"/>
      <w:bookmarkStart w:id="208" w:name="_Toc186431854"/>
      <w:bookmarkStart w:id="209" w:name="_Ref467379807"/>
      <w:bookmarkStart w:id="210" w:name="_Toc259093676"/>
      <w:bookmarkStart w:id="211" w:name="_Ref467379793"/>
      <w:bookmarkStart w:id="212" w:name="_Toc279701247"/>
      <w:bookmarkStart w:id="213" w:name="_Toc487900357"/>
      <w:r>
        <w:rPr>
          <w:rFonts w:hint="eastAsia" w:ascii="宋体" w:hAnsi="宋体"/>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bookmarkEnd w:id="208"/>
    <w:p w14:paraId="6A6969F6">
      <w:pPr>
        <w:spacing w:line="360" w:lineRule="auto"/>
        <w:ind w:firstLine="480" w:firstLineChars="200"/>
        <w:rPr>
          <w:rFonts w:ascii="宋体" w:hAnsi="宋体"/>
          <w:color w:val="auto"/>
          <w:sz w:val="24"/>
          <w:highlight w:val="none"/>
        </w:rPr>
      </w:pPr>
      <w:bookmarkStart w:id="214" w:name="_Toc186431855"/>
      <w:r>
        <w:rPr>
          <w:rFonts w:hint="eastAsia" w:ascii="宋体" w:hAnsi="宋体"/>
          <w:color w:val="auto"/>
          <w:sz w:val="24"/>
          <w:highlight w:val="none"/>
        </w:rPr>
        <w:t>2.5.2 合同履行期间，甲方有权将履行过程中出现的问题反馈给乙方，双方当事人应以书面形式约定需要完善和改进的内容。</w:t>
      </w:r>
    </w:p>
    <w:bookmarkEnd w:id="209"/>
    <w:bookmarkEnd w:id="210"/>
    <w:bookmarkEnd w:id="211"/>
    <w:bookmarkEnd w:id="212"/>
    <w:bookmarkEnd w:id="213"/>
    <w:bookmarkEnd w:id="214"/>
    <w:p w14:paraId="6849BBD4">
      <w:pPr>
        <w:spacing w:line="360" w:lineRule="auto"/>
        <w:ind w:firstLine="482" w:firstLineChars="200"/>
        <w:rPr>
          <w:rFonts w:ascii="宋体" w:hAnsi="宋体"/>
          <w:b/>
          <w:color w:val="auto"/>
          <w:sz w:val="24"/>
          <w:highlight w:val="none"/>
        </w:rPr>
      </w:pPr>
      <w:bookmarkStart w:id="215" w:name="_Toc19219"/>
      <w:bookmarkEnd w:id="215"/>
      <w:bookmarkStart w:id="216" w:name="_Toc28451"/>
      <w:bookmarkEnd w:id="216"/>
      <w:bookmarkStart w:id="217" w:name="_Toc7836"/>
      <w:bookmarkEnd w:id="217"/>
      <w:r>
        <w:rPr>
          <w:rFonts w:hint="eastAsia" w:ascii="宋体" w:hAnsi="宋体"/>
          <w:b/>
          <w:color w:val="auto"/>
          <w:sz w:val="24"/>
          <w:highlight w:val="none"/>
        </w:rPr>
        <w:t>2.6 结算方式和付款条件</w:t>
      </w:r>
    </w:p>
    <w:p w14:paraId="06DAA1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75E3B7E">
      <w:pPr>
        <w:spacing w:line="360" w:lineRule="auto"/>
        <w:ind w:firstLine="482" w:firstLineChars="200"/>
        <w:rPr>
          <w:rFonts w:ascii="宋体" w:hAnsi="宋体"/>
          <w:b/>
          <w:color w:val="auto"/>
          <w:sz w:val="24"/>
          <w:highlight w:val="none"/>
        </w:rPr>
      </w:pPr>
      <w:bookmarkStart w:id="218" w:name="_Toc259093677"/>
      <w:bookmarkEnd w:id="218"/>
      <w:bookmarkStart w:id="219" w:name="_Toc774"/>
      <w:bookmarkEnd w:id="219"/>
      <w:bookmarkStart w:id="220" w:name="_Ref467379863"/>
      <w:bookmarkEnd w:id="220"/>
      <w:bookmarkStart w:id="221" w:name="_Toc16110"/>
      <w:bookmarkEnd w:id="221"/>
      <w:bookmarkStart w:id="222" w:name="_Ref467379923"/>
      <w:bookmarkEnd w:id="222"/>
      <w:bookmarkStart w:id="223" w:name="_Toc3225"/>
      <w:bookmarkEnd w:id="223"/>
      <w:bookmarkStart w:id="224" w:name="_Ref467379852"/>
      <w:bookmarkEnd w:id="224"/>
      <w:bookmarkStart w:id="225" w:name="_Toc487900358"/>
      <w:bookmarkEnd w:id="225"/>
      <w:bookmarkStart w:id="226" w:name="_Toc279701248"/>
      <w:bookmarkEnd w:id="226"/>
      <w:r>
        <w:rPr>
          <w:rFonts w:hint="eastAsia" w:ascii="宋体" w:hAnsi="宋体"/>
          <w:b/>
          <w:color w:val="auto"/>
          <w:sz w:val="24"/>
          <w:highlight w:val="none"/>
        </w:rPr>
        <w:t>2.7 技术资料和保密义务</w:t>
      </w:r>
    </w:p>
    <w:p w14:paraId="48158B4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14:paraId="1B92C94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14:paraId="41C0C4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DA03E0D">
      <w:pPr>
        <w:spacing w:line="360" w:lineRule="auto"/>
        <w:ind w:firstLine="482" w:firstLineChars="200"/>
        <w:rPr>
          <w:rFonts w:ascii="宋体" w:hAnsi="宋体"/>
          <w:b/>
          <w:color w:val="auto"/>
          <w:sz w:val="24"/>
          <w:highlight w:val="none"/>
        </w:rPr>
      </w:pPr>
      <w:bookmarkStart w:id="227" w:name="_Toc7860"/>
      <w:bookmarkEnd w:id="227"/>
      <w:r>
        <w:rPr>
          <w:rFonts w:hint="eastAsia" w:ascii="宋体" w:hAnsi="宋体"/>
          <w:b/>
          <w:color w:val="auto"/>
          <w:sz w:val="24"/>
          <w:highlight w:val="none"/>
        </w:rPr>
        <w:t>2.8 质量保证</w:t>
      </w:r>
    </w:p>
    <w:p w14:paraId="5CB41F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14:paraId="0E9E65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14:paraId="342B43E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2.8.3乙方应确保项目技术人员的数量和水平与投标文件一致。未经甲方书面同意，乙方不得擅自更换投标文件中注明的项目负责人。否则</w:t>
      </w:r>
      <w:r>
        <w:rPr>
          <w:rFonts w:hint="eastAsia" w:ascii="宋体" w:hAnsi="宋体"/>
          <w:color w:val="auto"/>
          <w:kern w:val="0"/>
          <w:sz w:val="24"/>
          <w:highlight w:val="none"/>
        </w:rPr>
        <w:t>甲方有权放弃或终止合同，并没收履约保证金。</w:t>
      </w:r>
    </w:p>
    <w:p w14:paraId="5155E7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宋体" w:hAnsi="宋体"/>
          <w:color w:val="auto"/>
          <w:sz w:val="24"/>
          <w:highlight w:val="none"/>
        </w:rPr>
        <w:t>。</w:t>
      </w:r>
    </w:p>
    <w:p w14:paraId="0DE81E53">
      <w:pPr>
        <w:spacing w:line="360" w:lineRule="auto"/>
        <w:ind w:firstLine="482" w:firstLineChars="200"/>
        <w:rPr>
          <w:rFonts w:ascii="宋体" w:hAnsi="宋体"/>
          <w:b/>
          <w:color w:val="auto"/>
          <w:sz w:val="24"/>
          <w:highlight w:val="none"/>
        </w:rPr>
      </w:pPr>
      <w:bookmarkStart w:id="228" w:name="_Toc17244"/>
      <w:bookmarkEnd w:id="228"/>
      <w:bookmarkStart w:id="229" w:name="_Toc487900362"/>
      <w:bookmarkStart w:id="230" w:name="_Toc279701252"/>
      <w:bookmarkStart w:id="231" w:name="_Toc259093681"/>
      <w:r>
        <w:rPr>
          <w:rFonts w:hint="eastAsia" w:ascii="宋体" w:hAnsi="宋体"/>
          <w:b/>
          <w:color w:val="auto"/>
          <w:sz w:val="24"/>
          <w:highlight w:val="none"/>
        </w:rPr>
        <w:t>2.9 标的物的风险负担</w:t>
      </w:r>
    </w:p>
    <w:p w14:paraId="07B404A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标的物或者在途标的物或者交付给第一承运人后的标的物毁损、灭失的风险负担详见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bookmarkEnd w:id="229"/>
    <w:bookmarkEnd w:id="230"/>
    <w:bookmarkEnd w:id="231"/>
    <w:p w14:paraId="721D6299">
      <w:pPr>
        <w:spacing w:line="360" w:lineRule="auto"/>
        <w:ind w:firstLine="482" w:firstLineChars="200"/>
        <w:rPr>
          <w:rFonts w:ascii="宋体" w:hAnsi="宋体"/>
          <w:b/>
          <w:color w:val="auto"/>
          <w:sz w:val="24"/>
          <w:highlight w:val="none"/>
        </w:rPr>
      </w:pPr>
      <w:bookmarkStart w:id="232" w:name="_Toc14055"/>
      <w:bookmarkEnd w:id="232"/>
      <w:r>
        <w:rPr>
          <w:rFonts w:hint="eastAsia" w:ascii="宋体" w:hAnsi="宋体"/>
          <w:b/>
          <w:color w:val="auto"/>
          <w:sz w:val="24"/>
          <w:highlight w:val="none"/>
        </w:rPr>
        <w:t>2.10 延迟交货/交付</w:t>
      </w:r>
    </w:p>
    <w:p w14:paraId="6302AD3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F390A8B">
      <w:pPr>
        <w:spacing w:line="360" w:lineRule="auto"/>
        <w:ind w:firstLine="482" w:firstLineChars="200"/>
        <w:rPr>
          <w:rFonts w:ascii="宋体" w:hAnsi="宋体"/>
          <w:b/>
          <w:color w:val="auto"/>
          <w:sz w:val="24"/>
          <w:highlight w:val="none"/>
        </w:rPr>
      </w:pPr>
      <w:bookmarkStart w:id="233" w:name="_Toc7502"/>
      <w:bookmarkEnd w:id="233"/>
      <w:bookmarkStart w:id="234" w:name="_Toc279701254"/>
      <w:bookmarkStart w:id="235" w:name="_Toc259093683"/>
      <w:bookmarkStart w:id="236" w:name="_Ref467378121"/>
      <w:bookmarkStart w:id="237" w:name="_Toc487900364"/>
      <w:r>
        <w:rPr>
          <w:rFonts w:hint="eastAsia" w:ascii="宋体" w:hAnsi="宋体"/>
          <w:b/>
          <w:color w:val="auto"/>
          <w:sz w:val="24"/>
          <w:highlight w:val="none"/>
        </w:rPr>
        <w:t>2.11 合同变更</w:t>
      </w:r>
    </w:p>
    <w:p w14:paraId="56350E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9FBC823">
      <w:pPr>
        <w:spacing w:line="360" w:lineRule="auto"/>
        <w:ind w:firstLine="480" w:firstLineChars="200"/>
        <w:rPr>
          <w:rFonts w:ascii="宋体" w:hAnsi="宋体"/>
          <w:color w:val="auto"/>
          <w:sz w:val="24"/>
          <w:highlight w:val="none"/>
        </w:rPr>
      </w:pPr>
      <w:bookmarkStart w:id="238" w:name="_Toc259093688"/>
      <w:bookmarkStart w:id="239" w:name="_Toc279701259"/>
      <w:bookmarkStart w:id="240" w:name="_Toc487900369"/>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bookmarkEnd w:id="238"/>
    <w:bookmarkEnd w:id="239"/>
    <w:bookmarkEnd w:id="240"/>
    <w:p w14:paraId="1D7D5C33">
      <w:pPr>
        <w:spacing w:line="360" w:lineRule="auto"/>
        <w:ind w:firstLine="482" w:firstLineChars="200"/>
        <w:rPr>
          <w:rFonts w:ascii="宋体" w:hAnsi="宋体"/>
          <w:b/>
          <w:color w:val="auto"/>
          <w:sz w:val="24"/>
          <w:highlight w:val="none"/>
        </w:rPr>
      </w:pPr>
      <w:bookmarkStart w:id="241" w:name="_Toc22955"/>
      <w:bookmarkEnd w:id="241"/>
      <w:bookmarkStart w:id="242" w:name="_Toc15237"/>
      <w:bookmarkEnd w:id="242"/>
      <w:bookmarkStart w:id="243" w:name="_Toc10366"/>
      <w:bookmarkEnd w:id="243"/>
      <w:r>
        <w:rPr>
          <w:rFonts w:hint="eastAsia" w:ascii="宋体" w:hAnsi="宋体"/>
          <w:b/>
          <w:color w:val="auto"/>
          <w:sz w:val="24"/>
          <w:highlight w:val="none"/>
        </w:rPr>
        <w:t>2.12 合同转让和分包</w:t>
      </w:r>
    </w:p>
    <w:p w14:paraId="7274F7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本合同不允许转让和分包。</w:t>
      </w:r>
    </w:p>
    <w:p w14:paraId="168A1357">
      <w:pPr>
        <w:spacing w:line="360" w:lineRule="auto"/>
        <w:ind w:firstLine="482" w:firstLineChars="200"/>
        <w:rPr>
          <w:rFonts w:ascii="宋体" w:hAnsi="宋体"/>
          <w:b/>
          <w:color w:val="auto"/>
          <w:sz w:val="24"/>
          <w:highlight w:val="none"/>
        </w:rPr>
      </w:pPr>
      <w:bookmarkStart w:id="244" w:name="_Toc14066"/>
      <w:bookmarkEnd w:id="244"/>
      <w:bookmarkStart w:id="245" w:name="_Toc16508"/>
      <w:bookmarkEnd w:id="245"/>
      <w:bookmarkStart w:id="246" w:name="_Toc13566"/>
      <w:bookmarkEnd w:id="246"/>
      <w:r>
        <w:rPr>
          <w:rFonts w:hint="eastAsia" w:ascii="宋体" w:hAnsi="宋体"/>
          <w:b/>
          <w:color w:val="auto"/>
          <w:sz w:val="24"/>
          <w:highlight w:val="none"/>
        </w:rPr>
        <w:t>2.13 不可抗力</w:t>
      </w:r>
    </w:p>
    <w:p w14:paraId="4401D3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14:paraId="25F380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2.13.2受不可抗力影响的一方在不可抗力发生后，应在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47A945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2.13.3 因不可抗力致使不能实现合同目的的，当事人可以解除合同；</w:t>
      </w:r>
    </w:p>
    <w:p w14:paraId="3FC901C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2.13.4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2970720F">
      <w:pPr>
        <w:spacing w:line="360" w:lineRule="auto"/>
        <w:ind w:firstLine="482" w:firstLineChars="200"/>
        <w:rPr>
          <w:rFonts w:ascii="宋体" w:hAnsi="宋体"/>
          <w:b/>
          <w:color w:val="auto"/>
          <w:sz w:val="24"/>
          <w:highlight w:val="none"/>
        </w:rPr>
      </w:pPr>
      <w:bookmarkStart w:id="247" w:name="_Toc689"/>
      <w:bookmarkEnd w:id="247"/>
      <w:bookmarkStart w:id="248" w:name="_Toc6969"/>
      <w:bookmarkEnd w:id="248"/>
      <w:bookmarkStart w:id="249" w:name="_Toc30676"/>
      <w:bookmarkEnd w:id="249"/>
      <w:bookmarkStart w:id="250" w:name="_Toc279701255"/>
      <w:bookmarkEnd w:id="250"/>
      <w:bookmarkStart w:id="251" w:name="_Toc259093684"/>
      <w:bookmarkEnd w:id="251"/>
      <w:bookmarkStart w:id="252" w:name="_Toc487900365"/>
      <w:bookmarkEnd w:id="252"/>
      <w:r>
        <w:rPr>
          <w:rFonts w:hint="eastAsia" w:ascii="宋体" w:hAnsi="宋体"/>
          <w:b/>
          <w:color w:val="auto"/>
          <w:sz w:val="24"/>
          <w:highlight w:val="none"/>
        </w:rPr>
        <w:t>2.14 税费</w:t>
      </w:r>
    </w:p>
    <w:p w14:paraId="71A2F7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与合同有关的一切税费，均按照中华人民共和国法律的相关规定执行。</w:t>
      </w:r>
    </w:p>
    <w:p w14:paraId="51ED137E">
      <w:pPr>
        <w:spacing w:line="360" w:lineRule="auto"/>
        <w:ind w:firstLine="482" w:firstLineChars="200"/>
        <w:rPr>
          <w:rFonts w:ascii="宋体" w:hAnsi="宋体"/>
          <w:b/>
          <w:color w:val="auto"/>
          <w:sz w:val="24"/>
          <w:highlight w:val="none"/>
        </w:rPr>
      </w:pPr>
      <w:bookmarkStart w:id="253" w:name="_Toc279701258"/>
      <w:bookmarkEnd w:id="253"/>
      <w:bookmarkStart w:id="254" w:name="_Toc487900368"/>
      <w:bookmarkEnd w:id="254"/>
      <w:bookmarkStart w:id="255" w:name="_Toc8298"/>
      <w:bookmarkEnd w:id="255"/>
      <w:bookmarkStart w:id="256" w:name="_Toc259093687"/>
      <w:bookmarkEnd w:id="256"/>
      <w:bookmarkStart w:id="257" w:name="_Toc7102"/>
      <w:bookmarkEnd w:id="257"/>
      <w:bookmarkStart w:id="258" w:name="_Toc16959"/>
      <w:bookmarkEnd w:id="258"/>
      <w:r>
        <w:rPr>
          <w:rFonts w:hint="eastAsia" w:ascii="宋体" w:hAnsi="宋体"/>
          <w:b/>
          <w:color w:val="auto"/>
          <w:sz w:val="24"/>
          <w:highlight w:val="none"/>
        </w:rPr>
        <w:t>2.15 乙方破产</w:t>
      </w:r>
    </w:p>
    <w:p w14:paraId="56216F5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7EEAA4">
      <w:pPr>
        <w:spacing w:line="360" w:lineRule="auto"/>
        <w:ind w:firstLine="482" w:firstLineChars="200"/>
        <w:rPr>
          <w:rFonts w:ascii="宋体" w:hAnsi="宋体"/>
          <w:b/>
          <w:color w:val="auto"/>
          <w:sz w:val="24"/>
          <w:highlight w:val="none"/>
        </w:rPr>
      </w:pPr>
      <w:bookmarkStart w:id="259" w:name="_Toc15387"/>
      <w:bookmarkEnd w:id="259"/>
      <w:bookmarkStart w:id="260" w:name="_Toc29333"/>
      <w:bookmarkEnd w:id="260"/>
      <w:bookmarkStart w:id="261" w:name="_Toc6134"/>
      <w:bookmarkEnd w:id="261"/>
      <w:r>
        <w:rPr>
          <w:rFonts w:hint="eastAsia" w:ascii="宋体" w:hAnsi="宋体"/>
          <w:b/>
          <w:color w:val="auto"/>
          <w:sz w:val="24"/>
          <w:highlight w:val="none"/>
        </w:rPr>
        <w:t>2.16 合同中止、终止</w:t>
      </w:r>
    </w:p>
    <w:p w14:paraId="467DEF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2.16.1 双方当事人不得擅自中止或者终止合同；</w:t>
      </w:r>
    </w:p>
    <w:p w14:paraId="6FA611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7607072">
      <w:pPr>
        <w:spacing w:line="360" w:lineRule="auto"/>
        <w:ind w:firstLine="482" w:firstLineChars="200"/>
        <w:rPr>
          <w:rFonts w:ascii="宋体" w:hAnsi="宋体"/>
          <w:b/>
          <w:color w:val="auto"/>
          <w:sz w:val="24"/>
          <w:highlight w:val="none"/>
        </w:rPr>
      </w:pPr>
      <w:bookmarkStart w:id="262" w:name="_Toc1125"/>
      <w:bookmarkEnd w:id="262"/>
      <w:bookmarkStart w:id="263" w:name="_Toc14563"/>
      <w:bookmarkEnd w:id="263"/>
      <w:bookmarkStart w:id="264" w:name="_Toc6596"/>
      <w:bookmarkEnd w:id="264"/>
      <w:r>
        <w:rPr>
          <w:rFonts w:hint="eastAsia" w:ascii="宋体" w:hAnsi="宋体"/>
          <w:b/>
          <w:color w:val="auto"/>
          <w:sz w:val="24"/>
          <w:highlight w:val="none"/>
        </w:rPr>
        <w:t>2.17 检验和验收</w:t>
      </w:r>
    </w:p>
    <w:p w14:paraId="621457E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0EC7D5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2BB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234"/>
    <w:bookmarkEnd w:id="235"/>
    <w:bookmarkEnd w:id="236"/>
    <w:bookmarkEnd w:id="237"/>
    <w:p w14:paraId="722CECB6">
      <w:pPr>
        <w:spacing w:line="360" w:lineRule="auto"/>
        <w:ind w:firstLine="482" w:firstLineChars="200"/>
        <w:rPr>
          <w:rFonts w:ascii="宋体" w:hAnsi="宋体"/>
          <w:b/>
          <w:color w:val="auto"/>
          <w:sz w:val="24"/>
          <w:highlight w:val="none"/>
        </w:rPr>
      </w:pPr>
      <w:bookmarkStart w:id="265" w:name="_Toc11284"/>
      <w:bookmarkEnd w:id="265"/>
      <w:bookmarkStart w:id="266" w:name="_Toc259093690"/>
      <w:bookmarkEnd w:id="266"/>
      <w:bookmarkStart w:id="267" w:name="_Toc279701261"/>
      <w:bookmarkEnd w:id="267"/>
      <w:bookmarkStart w:id="268" w:name="_Toc25182"/>
      <w:bookmarkEnd w:id="268"/>
      <w:bookmarkStart w:id="269" w:name="_Toc19604"/>
      <w:bookmarkEnd w:id="269"/>
      <w:bookmarkStart w:id="270" w:name="_Toc487900371"/>
      <w:bookmarkEnd w:id="270"/>
      <w:r>
        <w:rPr>
          <w:rFonts w:hint="eastAsia" w:ascii="宋体" w:hAnsi="宋体"/>
          <w:b/>
          <w:color w:val="auto"/>
          <w:sz w:val="24"/>
          <w:highlight w:val="none"/>
        </w:rPr>
        <w:t>2.18 通知和送达</w:t>
      </w:r>
    </w:p>
    <w:p w14:paraId="0651D8DE">
      <w:pPr>
        <w:spacing w:line="360" w:lineRule="auto"/>
        <w:ind w:firstLine="480" w:firstLineChars="200"/>
        <w:rPr>
          <w:rFonts w:ascii="宋体" w:hAnsi="宋体"/>
          <w:color w:val="auto"/>
          <w:sz w:val="24"/>
          <w:highlight w:val="none"/>
        </w:rPr>
      </w:pPr>
      <w:bookmarkStart w:id="271" w:name="_Toc6698"/>
      <w:bookmarkEnd w:id="271"/>
      <w:bookmarkStart w:id="272" w:name="_Toc3135"/>
      <w:bookmarkEnd w:id="272"/>
      <w:bookmarkStart w:id="273" w:name="_Toc259093691"/>
      <w:bookmarkStart w:id="274" w:name="_Toc279701262"/>
      <w:bookmarkStart w:id="275" w:name="_Toc487900372"/>
      <w:r>
        <w:rPr>
          <w:rFonts w:hint="eastAsia" w:ascii="宋体" w:hAnsi="宋体"/>
          <w:color w:val="auto"/>
          <w:sz w:val="24"/>
          <w:highlight w:val="none"/>
        </w:rPr>
        <w:t>2.18.1 任何一方因履行合同而以合同第一部分尾部所列明的</w:t>
      </w:r>
      <w:r>
        <w:rPr>
          <w:rFonts w:hint="eastAsia" w:ascii="宋体" w:hAnsi="宋体"/>
          <w:color w:val="auto"/>
          <w:sz w:val="24"/>
          <w:highlight w:val="none"/>
          <w:u w:val="single"/>
        </w:rPr>
        <w:t>“约定送达地址”</w:t>
      </w:r>
      <w:r>
        <w:rPr>
          <w:rFonts w:hint="eastAsia" w:ascii="宋体" w:hAnsi="宋体"/>
          <w:color w:val="auto"/>
          <w:sz w:val="24"/>
          <w:highlight w:val="none"/>
        </w:rPr>
        <w:t>为收件地址的所有通知、文件、材料，均视为已向对方当事人送达；任何一方变更上述送达方式或者地址的，应于</w:t>
      </w:r>
      <w:r>
        <w:rPr>
          <w:rFonts w:hint="eastAsia" w:ascii="宋体" w:hAnsi="宋体"/>
          <w:color w:val="auto"/>
          <w:sz w:val="24"/>
          <w:highlight w:val="none"/>
          <w:u w:val="single"/>
        </w:rPr>
        <w:t>5</w:t>
      </w:r>
      <w:r>
        <w:rPr>
          <w:rFonts w:hint="eastAsia" w:ascii="宋体" w:hAnsi="宋体"/>
          <w:color w:val="auto"/>
          <w:sz w:val="24"/>
          <w:highlight w:val="none"/>
        </w:rPr>
        <w:t>工作日内（根据项目实际情况填写）书面通知对方当事人，在对方当事人收到有关变更通知之前，变更前的约定送达方式或者地址仍视为有效。</w:t>
      </w:r>
    </w:p>
    <w:p w14:paraId="5AD7CFE3">
      <w:pPr>
        <w:spacing w:line="360" w:lineRule="auto"/>
        <w:ind w:firstLine="480" w:firstLineChars="200"/>
        <w:rPr>
          <w:rFonts w:ascii="宋体" w:hAnsi="宋体"/>
          <w:color w:val="auto"/>
          <w:sz w:val="24"/>
          <w:highlight w:val="none"/>
        </w:rPr>
      </w:pPr>
      <w:bookmarkStart w:id="276" w:name="_Toc23128"/>
      <w:bookmarkEnd w:id="276"/>
      <w:bookmarkStart w:id="277" w:name="_Toc23294"/>
      <w:bookmarkEnd w:id="277"/>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bookmarkEnd w:id="273"/>
    <w:bookmarkEnd w:id="274"/>
    <w:bookmarkEnd w:id="275"/>
    <w:p w14:paraId="3D4E1FDD">
      <w:pPr>
        <w:spacing w:line="360" w:lineRule="auto"/>
        <w:ind w:firstLine="482" w:firstLineChars="200"/>
        <w:rPr>
          <w:rFonts w:ascii="宋体" w:hAnsi="宋体"/>
          <w:b/>
          <w:color w:val="auto"/>
          <w:sz w:val="24"/>
          <w:highlight w:val="none"/>
        </w:rPr>
      </w:pPr>
      <w:bookmarkStart w:id="278" w:name="_Toc4355"/>
      <w:bookmarkEnd w:id="278"/>
      <w:bookmarkStart w:id="279" w:name="_Toc18540"/>
      <w:bookmarkEnd w:id="279"/>
      <w:bookmarkStart w:id="280" w:name="_Toc30599"/>
      <w:bookmarkEnd w:id="280"/>
      <w:r>
        <w:rPr>
          <w:rFonts w:hint="eastAsia" w:ascii="宋体" w:hAnsi="宋体"/>
          <w:b/>
          <w:color w:val="auto"/>
          <w:sz w:val="24"/>
          <w:highlight w:val="none"/>
        </w:rPr>
        <w:t>2.19 计量单位</w:t>
      </w:r>
    </w:p>
    <w:p w14:paraId="1427B9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2EA9BC0A">
      <w:pPr>
        <w:spacing w:line="360" w:lineRule="auto"/>
        <w:ind w:firstLine="482" w:firstLineChars="200"/>
        <w:rPr>
          <w:rFonts w:ascii="宋体" w:hAnsi="宋体"/>
          <w:b/>
          <w:color w:val="auto"/>
          <w:sz w:val="24"/>
          <w:highlight w:val="none"/>
        </w:rPr>
      </w:pPr>
      <w:bookmarkStart w:id="281" w:name="_Toc12773"/>
      <w:bookmarkEnd w:id="281"/>
      <w:bookmarkStart w:id="282" w:name="_Toc10330"/>
      <w:bookmarkEnd w:id="282"/>
      <w:bookmarkStart w:id="283" w:name="_Toc18567"/>
      <w:bookmarkEnd w:id="283"/>
      <w:bookmarkStart w:id="284" w:name="_Toc487900373"/>
      <w:bookmarkEnd w:id="284"/>
      <w:bookmarkStart w:id="285" w:name="_Toc279701263"/>
      <w:bookmarkEnd w:id="285"/>
      <w:bookmarkStart w:id="286" w:name="_Toc259093692"/>
      <w:bookmarkEnd w:id="286"/>
      <w:r>
        <w:rPr>
          <w:rFonts w:hint="eastAsia" w:ascii="宋体" w:hAnsi="宋体"/>
          <w:b/>
          <w:color w:val="auto"/>
          <w:sz w:val="24"/>
          <w:highlight w:val="none"/>
        </w:rPr>
        <w:t>2.20 合同使用的文字和适用的法律</w:t>
      </w:r>
    </w:p>
    <w:p w14:paraId="102AAD9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2.20.1 合同使用汉语书就、变更和解释；</w:t>
      </w:r>
    </w:p>
    <w:p w14:paraId="67247FD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2.20.2 合同适用中华人民共和国法律。</w:t>
      </w:r>
    </w:p>
    <w:p w14:paraId="2F07B3F8">
      <w:pPr>
        <w:spacing w:line="360" w:lineRule="auto"/>
        <w:ind w:firstLine="482" w:firstLineChars="200"/>
        <w:rPr>
          <w:rFonts w:ascii="宋体" w:hAnsi="宋体"/>
          <w:b/>
          <w:color w:val="auto"/>
          <w:sz w:val="24"/>
          <w:highlight w:val="none"/>
        </w:rPr>
      </w:pPr>
      <w:bookmarkStart w:id="287" w:name="_Toc16673"/>
      <w:bookmarkEnd w:id="287"/>
      <w:bookmarkStart w:id="288" w:name="_Toc3148"/>
      <w:bookmarkEnd w:id="288"/>
      <w:bookmarkStart w:id="289" w:name="_Toc279701264"/>
      <w:bookmarkEnd w:id="289"/>
      <w:bookmarkStart w:id="290" w:name="_Toc12004"/>
      <w:bookmarkEnd w:id="290"/>
      <w:bookmarkStart w:id="291" w:name="_Toc259093693"/>
      <w:bookmarkEnd w:id="291"/>
      <w:bookmarkStart w:id="292" w:name="_Toc487900374"/>
      <w:r>
        <w:rPr>
          <w:rFonts w:hint="eastAsia" w:ascii="宋体" w:hAnsi="宋体"/>
          <w:b/>
          <w:color w:val="auto"/>
          <w:sz w:val="24"/>
          <w:highlight w:val="none"/>
        </w:rPr>
        <w:t>2.21 履约保证金</w:t>
      </w:r>
    </w:p>
    <w:p w14:paraId="4BCB38D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本项目不收取履约保证金</w:t>
      </w:r>
    </w:p>
    <w:p w14:paraId="254F4DF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2.22 中小企业政策</w:t>
      </w:r>
    </w:p>
    <w:p w14:paraId="1CDFFBBF">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2.22.1本合同（□是  □否）为可融资合同，关于中小企业信用融资事项见采购文件“投标人须知正文”。</w:t>
      </w:r>
    </w:p>
    <w:p w14:paraId="7D8B2399">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2.22.2本合同（□是  □否）为小微企业预留合同。</w:t>
      </w:r>
    </w:p>
    <w:bookmarkEnd w:id="292"/>
    <w:p w14:paraId="536EF16F">
      <w:pPr>
        <w:spacing w:line="360" w:lineRule="auto"/>
        <w:ind w:firstLine="482" w:firstLineChars="200"/>
        <w:rPr>
          <w:rFonts w:ascii="宋体" w:hAnsi="宋体"/>
          <w:b/>
          <w:color w:val="auto"/>
          <w:sz w:val="24"/>
          <w:highlight w:val="none"/>
        </w:rPr>
      </w:pPr>
      <w:bookmarkStart w:id="293" w:name="_Toc14001"/>
      <w:bookmarkEnd w:id="293"/>
      <w:bookmarkStart w:id="294" w:name="_Toc19890"/>
      <w:bookmarkEnd w:id="294"/>
      <w:bookmarkStart w:id="295" w:name="_Toc6885"/>
      <w:bookmarkEnd w:id="295"/>
      <w:r>
        <w:rPr>
          <w:rFonts w:hint="eastAsia" w:ascii="宋体" w:hAnsi="宋体"/>
          <w:b/>
          <w:color w:val="auto"/>
          <w:sz w:val="24"/>
          <w:highlight w:val="none"/>
        </w:rPr>
        <w:t>2.23 合同份数</w:t>
      </w:r>
    </w:p>
    <w:p w14:paraId="69FD03D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份，采购代理机构执</w:t>
      </w:r>
      <w:r>
        <w:rPr>
          <w:rFonts w:hint="eastAsia" w:ascii="宋体" w:hAnsi="宋体"/>
          <w:color w:val="auto"/>
          <w:sz w:val="24"/>
          <w:highlight w:val="none"/>
          <w:u w:val="single"/>
        </w:rPr>
        <w:t xml:space="preserve">   </w:t>
      </w:r>
      <w:r>
        <w:rPr>
          <w:rFonts w:hint="eastAsia" w:ascii="宋体" w:hAnsi="宋体"/>
          <w:color w:val="auto"/>
          <w:sz w:val="24"/>
          <w:highlight w:val="none"/>
        </w:rPr>
        <w:t>份。每份均具有同等法律效力。</w:t>
      </w:r>
    </w:p>
    <w:p w14:paraId="473DB9B0">
      <w:pPr>
        <w:spacing w:line="360" w:lineRule="auto"/>
        <w:jc w:val="center"/>
        <w:rPr>
          <w:rFonts w:ascii="宋体" w:hAnsi="宋体"/>
          <w:color w:val="auto"/>
          <w:highlight w:val="none"/>
        </w:rPr>
      </w:pPr>
      <w:bookmarkStart w:id="296" w:name="_Toc331685784"/>
      <w:bookmarkEnd w:id="296"/>
      <w:r>
        <w:rPr>
          <w:rFonts w:hint="eastAsia" w:ascii="宋体" w:hAnsi="宋体"/>
          <w:color w:val="auto"/>
          <w:highlight w:val="none"/>
        </w:rPr>
        <w:br w:type="page"/>
      </w:r>
      <w:r>
        <w:rPr>
          <w:rFonts w:hint="eastAsia" w:ascii="宋体" w:hAnsi="宋体"/>
          <w:b/>
          <w:color w:val="auto"/>
          <w:sz w:val="28"/>
          <w:szCs w:val="28"/>
          <w:highlight w:val="none"/>
        </w:rPr>
        <w:t>第三部分  合同专用条款</w:t>
      </w:r>
    </w:p>
    <w:p w14:paraId="2A9A05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BEFBE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2.3.2具有知识产权的标的物知识产权归属：</w:t>
      </w:r>
    </w:p>
    <w:p w14:paraId="458F16C8">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495A6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2.4.1包装和装运专用条款（如果有）：</w:t>
      </w:r>
    </w:p>
    <w:p w14:paraId="6A27D6B6">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14:paraId="4CB17B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2.4.2装运标的物的要求和通知：</w:t>
      </w:r>
    </w:p>
    <w:p w14:paraId="38988DD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14:paraId="00FEBE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hint="eastAsia" w:ascii="宋体" w:hAnsi="宋体"/>
          <w:b/>
          <w:color w:val="auto"/>
          <w:sz w:val="24"/>
          <w:highlight w:val="none"/>
        </w:rPr>
        <w:t>结算方式和付款条件</w:t>
      </w:r>
    </w:p>
    <w:p w14:paraId="50EF5B28">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本次项目合同总价为大写人民币</w:t>
      </w:r>
      <w:r>
        <w:rPr>
          <w:rFonts w:hint="eastAsia" w:ascii="宋体" w:hAnsi="宋体"/>
          <w:color w:val="auto"/>
          <w:kern w:val="0"/>
          <w:sz w:val="24"/>
          <w:highlight w:val="none"/>
          <w:u w:val="single"/>
          <w:lang w:val="zh-CN"/>
        </w:rPr>
        <w:t xml:space="preserve">            （</w:t>
      </w:r>
      <w:r>
        <w:rPr>
          <w:rFonts w:hint="eastAsia" w:ascii="宋体" w:hAnsi="宋体"/>
          <w:color w:val="auto"/>
          <w:kern w:val="0"/>
          <w:sz w:val="24"/>
          <w:highlight w:val="none"/>
        </w:rPr>
        <w:t>¥</w:t>
      </w:r>
      <w:r>
        <w:rPr>
          <w:rFonts w:hint="eastAsia" w:ascii="宋体" w:hAnsi="宋体"/>
          <w:color w:val="auto"/>
          <w:kern w:val="0"/>
          <w:sz w:val="24"/>
          <w:highlight w:val="none"/>
          <w:lang w:val="zh-CN"/>
        </w:rPr>
        <w:t xml:space="preserve">   </w:t>
      </w:r>
      <w:r>
        <w:rPr>
          <w:rFonts w:hint="eastAsia" w:ascii="宋体" w:hAnsi="宋体"/>
          <w:color w:val="auto"/>
          <w:kern w:val="0"/>
          <w:sz w:val="24"/>
          <w:highlight w:val="none"/>
        </w:rPr>
        <w:t xml:space="preserve">   </w:t>
      </w:r>
      <w:r>
        <w:rPr>
          <w:rFonts w:hint="eastAsia" w:ascii="宋体" w:hAnsi="宋体"/>
          <w:color w:val="auto"/>
          <w:kern w:val="0"/>
          <w:sz w:val="24"/>
          <w:highlight w:val="none"/>
          <w:lang w:val="zh-CN"/>
        </w:rPr>
        <w:t xml:space="preserve"> 元）。本项目采用以下勾选结算方式进行支付：</w:t>
      </w:r>
    </w:p>
    <w:p w14:paraId="19527A2E">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□采用一次性支付方式，付款条件为：</w:t>
      </w:r>
      <w:r>
        <w:rPr>
          <w:rFonts w:hint="eastAsia" w:ascii="宋体" w:hAnsi="宋体"/>
          <w:color w:val="auto"/>
          <w:kern w:val="0"/>
          <w:sz w:val="24"/>
          <w:highlight w:val="none"/>
          <w:u w:val="single"/>
        </w:rPr>
        <w:t xml:space="preserve">           </w:t>
      </w:r>
    </w:p>
    <w:p w14:paraId="6B99AE8F">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□采用分期付款方式，付款条件为</w:t>
      </w:r>
      <w:r>
        <w:rPr>
          <w:rFonts w:hint="eastAsia" w:ascii="宋体" w:hAnsi="宋体"/>
          <w:color w:val="auto"/>
          <w:kern w:val="0"/>
          <w:sz w:val="24"/>
          <w:highlight w:val="none"/>
        </w:rPr>
        <w:t>：</w:t>
      </w:r>
    </w:p>
    <w:p w14:paraId="54432D2D">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第一期付款</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14:paraId="36A7C647">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第</w:t>
      </w:r>
      <w:r>
        <w:rPr>
          <w:rFonts w:hint="eastAsia" w:ascii="宋体" w:hAnsi="宋体"/>
          <w:color w:val="auto"/>
          <w:kern w:val="0"/>
          <w:sz w:val="24"/>
          <w:highlight w:val="none"/>
        </w:rPr>
        <w:t>二</w:t>
      </w:r>
      <w:r>
        <w:rPr>
          <w:rFonts w:hint="eastAsia" w:ascii="宋体" w:hAnsi="宋体"/>
          <w:color w:val="auto"/>
          <w:kern w:val="0"/>
          <w:sz w:val="24"/>
          <w:highlight w:val="none"/>
          <w:lang w:val="zh-CN"/>
        </w:rPr>
        <w:t>期付款</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14:paraId="657ABB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甲方无故逾期支付服务费用的，按照每逾期一日支付欠付服务费额度的</w:t>
      </w:r>
      <w:r>
        <w:rPr>
          <w:rFonts w:hint="eastAsia" w:ascii="宋体" w:hAnsi="宋体"/>
          <w:color w:val="auto"/>
          <w:sz w:val="24"/>
          <w:highlight w:val="none"/>
          <w:u w:val="single"/>
        </w:rPr>
        <w:t>万分之五</w:t>
      </w:r>
      <w:r>
        <w:rPr>
          <w:rFonts w:hint="eastAsia" w:ascii="宋体" w:hAnsi="宋体"/>
          <w:color w:val="auto"/>
          <w:sz w:val="24"/>
          <w:highlight w:val="none"/>
        </w:rPr>
        <w:t>承担违约责任，违约金上限按照《合同书》约定执行。</w:t>
      </w:r>
    </w:p>
    <w:p w14:paraId="79FE8650">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FCFCDD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w:t>
      </w:r>
      <w:r>
        <w:rPr>
          <w:rFonts w:hint="eastAsia" w:ascii="宋体" w:hAnsi="宋体"/>
          <w:b/>
          <w:color w:val="auto"/>
          <w:sz w:val="24"/>
          <w:highlight w:val="none"/>
        </w:rPr>
        <w:t>标的物的风险负担</w:t>
      </w:r>
    </w:p>
    <w:p w14:paraId="55390F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标的物或者在途标的物或者交付给第一承运人后的标的物毁损、灭失的风险负担：</w:t>
      </w:r>
    </w:p>
    <w:p w14:paraId="55A1FE4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乙方</w:t>
      </w:r>
    </w:p>
    <w:p w14:paraId="5EF573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2.13.2受不可抗力影响的一方在不可抗力发生后，应在</w:t>
      </w:r>
      <w:r>
        <w:rPr>
          <w:rFonts w:hint="eastAsia" w:ascii="宋体" w:hAnsi="宋体"/>
          <w:color w:val="auto"/>
          <w:sz w:val="24"/>
          <w:highlight w:val="none"/>
          <w:u w:val="single"/>
        </w:rPr>
        <w:t>7</w:t>
      </w:r>
      <w:r>
        <w:rPr>
          <w:rFonts w:hint="eastAsia" w:ascii="宋体" w:hAnsi="宋体"/>
          <w:color w:val="auto"/>
          <w:sz w:val="24"/>
          <w:highlight w:val="none"/>
        </w:rPr>
        <w:t>日内以书面形式通知对方当事人，并在</w:t>
      </w:r>
      <w:r>
        <w:rPr>
          <w:rFonts w:hint="eastAsia" w:ascii="宋体" w:hAnsi="宋体"/>
          <w:color w:val="auto"/>
          <w:sz w:val="24"/>
          <w:highlight w:val="none"/>
          <w:u w:val="single"/>
        </w:rPr>
        <w:t>10</w:t>
      </w:r>
      <w:r>
        <w:rPr>
          <w:rFonts w:hint="eastAsia" w:ascii="宋体" w:hAnsi="宋体"/>
          <w:color w:val="auto"/>
          <w:sz w:val="24"/>
          <w:highlight w:val="none"/>
        </w:rPr>
        <w:t>日内，将有关部门出具的证明文件送达对方当事人。</w:t>
      </w:r>
    </w:p>
    <w:p w14:paraId="72A49D5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2.13.4因不可抗力致使合同有变更必要的，双方当事人应在</w:t>
      </w:r>
      <w:r>
        <w:rPr>
          <w:rFonts w:hint="eastAsia" w:ascii="宋体" w:hAnsi="宋体"/>
          <w:color w:val="auto"/>
          <w:sz w:val="24"/>
          <w:highlight w:val="none"/>
          <w:u w:val="single"/>
        </w:rPr>
        <w:t>30</w:t>
      </w:r>
      <w:r>
        <w:rPr>
          <w:rFonts w:hint="eastAsia" w:ascii="宋体" w:hAnsi="宋体"/>
          <w:color w:val="auto"/>
          <w:sz w:val="24"/>
          <w:highlight w:val="none"/>
        </w:rPr>
        <w:t>日内以书面形式变更合同；</w:t>
      </w:r>
    </w:p>
    <w:p w14:paraId="0468DC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olor w:val="auto"/>
          <w:sz w:val="24"/>
          <w:highlight w:val="none"/>
          <w:u w:val="single"/>
        </w:rPr>
        <w:t>30</w:t>
      </w:r>
      <w:r>
        <w:rPr>
          <w:rFonts w:hint="eastAsia" w:ascii="宋体" w:hAnsi="宋体"/>
          <w:color w:val="auto"/>
          <w:sz w:val="24"/>
          <w:highlight w:val="none"/>
        </w:rPr>
        <w:t>日内发起验收，并可依法邀请相关方参加，验收应出具验收书。</w:t>
      </w:r>
    </w:p>
    <w:p w14:paraId="3A0D189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2.17.3 检验和验收标准、程序等具体内容以及前述验收书的效力：</w:t>
      </w:r>
    </w:p>
    <w:p w14:paraId="733CEFE3">
      <w:pPr>
        <w:spacing w:line="360" w:lineRule="auto"/>
        <w:ind w:firstLine="480" w:firstLineChars="200"/>
        <w:rPr>
          <w:rFonts w:hint="eastAsia" w:ascii="宋体" w:hAnsi="宋体"/>
          <w:color w:val="auto"/>
          <w:sz w:val="24"/>
          <w:highlight w:val="none"/>
        </w:rPr>
      </w:pPr>
      <w:r>
        <w:rPr>
          <w:rFonts w:hint="eastAsia" w:ascii="仿宋_GB2312" w:hAnsi="楷体" w:eastAsia="仿宋_GB2312"/>
          <w:sz w:val="24"/>
          <w:highlight w:val="none"/>
          <w:u w:val="single"/>
        </w:rPr>
        <w:t xml:space="preserve">                                                                       </w:t>
      </w:r>
    </w:p>
    <w:p w14:paraId="0A235A4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3.1 </w:t>
      </w:r>
      <w:r>
        <w:rPr>
          <w:rFonts w:hint="eastAsia" w:ascii="仿宋" w:hAnsi="仿宋" w:eastAsia="仿宋"/>
          <w:b/>
          <w:color w:val="auto"/>
          <w:sz w:val="24"/>
          <w:highlight w:val="none"/>
        </w:rPr>
        <w:t>项目</w:t>
      </w:r>
      <w:r>
        <w:rPr>
          <w:rFonts w:hint="eastAsia" w:ascii="宋体" w:hAnsi="宋体"/>
          <w:color w:val="auto"/>
          <w:sz w:val="24"/>
          <w:highlight w:val="none"/>
        </w:rPr>
        <w:t>验收：</w:t>
      </w:r>
    </w:p>
    <w:p w14:paraId="3F5E09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D3C33C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7631B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CDFAE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3.1.4验收产生的费用首次验收费用由甲方承担，如首次验收不合格，后续验收费用由乙方支付。</w:t>
      </w:r>
    </w:p>
    <w:p w14:paraId="034E54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3.1.5验收内容及资料要求：</w:t>
      </w:r>
    </w:p>
    <w:p w14:paraId="43869E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178C1BA7">
      <w:pPr>
        <w:tabs>
          <w:tab w:val="left" w:pos="904"/>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3.1.6验收内容</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914"/>
        <w:gridCol w:w="5930"/>
      </w:tblGrid>
      <w:tr w14:paraId="695FF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673" w:type="dxa"/>
            <w:vAlign w:val="center"/>
          </w:tcPr>
          <w:p w14:paraId="393869E0">
            <w:pPr>
              <w:widowControl/>
              <w:spacing w:line="360" w:lineRule="auto"/>
              <w:rPr>
                <w:rFonts w:ascii="宋体" w:hAnsi="宋体"/>
                <w:bCs/>
                <w:color w:val="auto"/>
                <w:kern w:val="0"/>
                <w:sz w:val="24"/>
                <w:highlight w:val="none"/>
              </w:rPr>
            </w:pPr>
            <w:r>
              <w:rPr>
                <w:rFonts w:hint="eastAsia" w:ascii="宋体" w:hAnsi="宋体"/>
                <w:bCs/>
                <w:color w:val="auto"/>
                <w:kern w:val="0"/>
                <w:sz w:val="24"/>
                <w:highlight w:val="none"/>
              </w:rPr>
              <w:t>序号</w:t>
            </w:r>
          </w:p>
        </w:tc>
        <w:tc>
          <w:tcPr>
            <w:tcW w:w="1914" w:type="dxa"/>
            <w:vAlign w:val="center"/>
          </w:tcPr>
          <w:p w14:paraId="5A1319BF">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验收内容</w:t>
            </w:r>
          </w:p>
        </w:tc>
        <w:tc>
          <w:tcPr>
            <w:tcW w:w="5930" w:type="dxa"/>
            <w:vAlign w:val="center"/>
          </w:tcPr>
          <w:p w14:paraId="19F65C1F">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 xml:space="preserve"> 验收标准</w:t>
            </w:r>
          </w:p>
        </w:tc>
      </w:tr>
      <w:tr w14:paraId="2B8E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73" w:type="dxa"/>
            <w:vAlign w:val="center"/>
          </w:tcPr>
          <w:p w14:paraId="11B3C59E">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1</w:t>
            </w:r>
          </w:p>
        </w:tc>
        <w:tc>
          <w:tcPr>
            <w:tcW w:w="1914" w:type="dxa"/>
            <w:vAlign w:val="center"/>
          </w:tcPr>
          <w:p w14:paraId="798A78AD">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交付标的物数量</w:t>
            </w:r>
          </w:p>
        </w:tc>
        <w:tc>
          <w:tcPr>
            <w:tcW w:w="5930" w:type="dxa"/>
            <w:vAlign w:val="center"/>
          </w:tcPr>
          <w:p w14:paraId="5B180DB2">
            <w:pPr>
              <w:widowControl/>
              <w:spacing w:line="360" w:lineRule="auto"/>
              <w:jc w:val="center"/>
              <w:rPr>
                <w:rFonts w:ascii="宋体" w:hAnsi="宋体"/>
                <w:color w:val="auto"/>
                <w:kern w:val="0"/>
                <w:sz w:val="24"/>
                <w:highlight w:val="none"/>
              </w:rPr>
            </w:pPr>
          </w:p>
        </w:tc>
      </w:tr>
      <w:tr w14:paraId="37044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673" w:type="dxa"/>
            <w:vAlign w:val="center"/>
          </w:tcPr>
          <w:p w14:paraId="57C01E70">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2</w:t>
            </w:r>
          </w:p>
        </w:tc>
        <w:tc>
          <w:tcPr>
            <w:tcW w:w="1914" w:type="dxa"/>
            <w:vAlign w:val="center"/>
          </w:tcPr>
          <w:p w14:paraId="5A867097">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交付标的物质量文件</w:t>
            </w:r>
          </w:p>
        </w:tc>
        <w:tc>
          <w:tcPr>
            <w:tcW w:w="5930" w:type="dxa"/>
            <w:vAlign w:val="center"/>
          </w:tcPr>
          <w:p w14:paraId="54944D5C">
            <w:pPr>
              <w:widowControl/>
              <w:spacing w:line="360" w:lineRule="auto"/>
              <w:jc w:val="center"/>
              <w:rPr>
                <w:rFonts w:ascii="宋体" w:hAnsi="宋体"/>
                <w:color w:val="auto"/>
                <w:kern w:val="0"/>
                <w:sz w:val="24"/>
                <w:highlight w:val="none"/>
              </w:rPr>
            </w:pPr>
          </w:p>
        </w:tc>
      </w:tr>
      <w:tr w14:paraId="52D1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673" w:type="dxa"/>
            <w:vAlign w:val="center"/>
          </w:tcPr>
          <w:p w14:paraId="4EDB8C96">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4</w:t>
            </w:r>
          </w:p>
        </w:tc>
        <w:tc>
          <w:tcPr>
            <w:tcW w:w="1914" w:type="dxa"/>
            <w:vAlign w:val="center"/>
          </w:tcPr>
          <w:p w14:paraId="328E134F">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 xml:space="preserve">交付标的物技术、性能指标 </w:t>
            </w:r>
          </w:p>
        </w:tc>
        <w:tc>
          <w:tcPr>
            <w:tcW w:w="5930" w:type="dxa"/>
            <w:vAlign w:val="center"/>
          </w:tcPr>
          <w:p w14:paraId="6A29177C">
            <w:pPr>
              <w:pStyle w:val="15"/>
              <w:spacing w:after="0" w:line="360" w:lineRule="auto"/>
              <w:jc w:val="center"/>
              <w:rPr>
                <w:rFonts w:ascii="宋体" w:hAnsi="宋体"/>
                <w:color w:val="auto"/>
                <w:highlight w:val="none"/>
              </w:rPr>
            </w:pPr>
          </w:p>
        </w:tc>
      </w:tr>
      <w:tr w14:paraId="08AB1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673" w:type="dxa"/>
            <w:vAlign w:val="center"/>
          </w:tcPr>
          <w:p w14:paraId="7D57E827">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5</w:t>
            </w:r>
          </w:p>
        </w:tc>
        <w:tc>
          <w:tcPr>
            <w:tcW w:w="1914" w:type="dxa"/>
            <w:vAlign w:val="center"/>
          </w:tcPr>
          <w:p w14:paraId="41B9EC3A">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售后服务承诺</w:t>
            </w:r>
          </w:p>
        </w:tc>
        <w:tc>
          <w:tcPr>
            <w:tcW w:w="5930" w:type="dxa"/>
            <w:vAlign w:val="center"/>
          </w:tcPr>
          <w:p w14:paraId="5E6363BD">
            <w:pPr>
              <w:widowControl/>
              <w:spacing w:line="360" w:lineRule="auto"/>
              <w:jc w:val="center"/>
              <w:rPr>
                <w:rFonts w:ascii="宋体" w:hAnsi="宋体"/>
                <w:color w:val="auto"/>
                <w:kern w:val="0"/>
                <w:sz w:val="24"/>
                <w:highlight w:val="none"/>
              </w:rPr>
            </w:pPr>
          </w:p>
        </w:tc>
      </w:tr>
      <w:tr w14:paraId="1EB1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673" w:type="dxa"/>
            <w:vAlign w:val="center"/>
          </w:tcPr>
          <w:p w14:paraId="276D1C59">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6</w:t>
            </w:r>
          </w:p>
        </w:tc>
        <w:tc>
          <w:tcPr>
            <w:tcW w:w="1914" w:type="dxa"/>
            <w:vAlign w:val="center"/>
          </w:tcPr>
          <w:p w14:paraId="15F496E9">
            <w:pPr>
              <w:widowControl/>
              <w:spacing w:line="360" w:lineRule="auto"/>
              <w:ind w:firstLine="200"/>
              <w:jc w:val="center"/>
              <w:rPr>
                <w:rFonts w:ascii="宋体" w:hAnsi="宋体"/>
                <w:bCs/>
                <w:color w:val="auto"/>
                <w:kern w:val="0"/>
                <w:sz w:val="24"/>
                <w:highlight w:val="none"/>
              </w:rPr>
            </w:pPr>
            <w:r>
              <w:rPr>
                <w:rFonts w:hint="eastAsia" w:ascii="宋体" w:hAnsi="宋体"/>
                <w:bCs/>
                <w:color w:val="auto"/>
                <w:kern w:val="0"/>
                <w:sz w:val="24"/>
                <w:highlight w:val="none"/>
              </w:rPr>
              <w:t>其他工作</w:t>
            </w:r>
          </w:p>
        </w:tc>
        <w:tc>
          <w:tcPr>
            <w:tcW w:w="5930" w:type="dxa"/>
            <w:vAlign w:val="center"/>
          </w:tcPr>
          <w:p w14:paraId="0B98F1B3">
            <w:pPr>
              <w:widowControl/>
              <w:spacing w:line="360" w:lineRule="auto"/>
              <w:jc w:val="center"/>
              <w:rPr>
                <w:rFonts w:ascii="宋体" w:hAnsi="宋体"/>
                <w:color w:val="auto"/>
                <w:kern w:val="0"/>
                <w:sz w:val="24"/>
                <w:highlight w:val="none"/>
              </w:rPr>
            </w:pPr>
          </w:p>
        </w:tc>
      </w:tr>
    </w:tbl>
    <w:p w14:paraId="35EF0D67">
      <w:pPr>
        <w:tabs>
          <w:tab w:val="left" w:pos="904"/>
        </w:tabs>
        <w:snapToGrid w:val="0"/>
        <w:spacing w:line="360" w:lineRule="auto"/>
        <w:ind w:firstLine="480" w:firstLineChars="200"/>
        <w:jc w:val="left"/>
        <w:rPr>
          <w:rFonts w:ascii="宋体" w:hAnsi="宋体"/>
          <w:color w:val="auto"/>
          <w:sz w:val="24"/>
          <w:highlight w:val="none"/>
        </w:rPr>
      </w:pPr>
    </w:p>
    <w:p w14:paraId="4D790A79">
      <w:pPr>
        <w:tabs>
          <w:tab w:val="left" w:pos="904"/>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3.1.7验收资料要求</w:t>
      </w:r>
    </w:p>
    <w:p w14:paraId="6C2BD35A">
      <w:pPr>
        <w:tabs>
          <w:tab w:val="left" w:pos="904"/>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验收资料要求包括（不限于）以下内容：</w:t>
      </w:r>
    </w:p>
    <w:p w14:paraId="2AABB9E5">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（1）采购文件；</w:t>
      </w:r>
    </w:p>
    <w:p w14:paraId="46008E7E">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（2）投标文件；</w:t>
      </w:r>
    </w:p>
    <w:p w14:paraId="6BD74970">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（3）采购合同；</w:t>
      </w:r>
    </w:p>
    <w:p w14:paraId="4D26150C">
      <w:pPr>
        <w:tabs>
          <w:tab w:val="left" w:pos="904"/>
        </w:tabs>
        <w:snapToGrid w:val="0"/>
        <w:spacing w:line="360" w:lineRule="auto"/>
        <w:ind w:firstLine="240" w:firstLineChars="100"/>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）其他需提供的相关材料。</w:t>
      </w:r>
    </w:p>
    <w:p w14:paraId="0AF23F6E">
      <w:pPr>
        <w:pStyle w:val="14"/>
        <w:ind w:firstLine="241"/>
        <w:rPr>
          <w:rFonts w:ascii="仿宋" w:hAnsi="仿宋" w:eastAsia="仿宋"/>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D43D622">
      <w:pPr>
        <w:spacing w:line="360" w:lineRule="auto"/>
        <w:ind w:firstLine="480" w:firstLineChars="200"/>
        <w:rPr>
          <w:rFonts w:hint="eastAsia" w:ascii="仿宋_GB2312" w:hAnsi="仿宋_GB2312" w:eastAsia="仿宋_GB2312" w:cs="仿宋_GB2312"/>
          <w:b/>
          <w:bCs/>
        </w:rPr>
      </w:pPr>
      <w:bookmarkStart w:id="297" w:name="_Toc7303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2</w:t>
      </w:r>
      <w:r>
        <w:rPr>
          <w:rFonts w:hint="eastAsia" w:ascii="宋体" w:hAnsi="宋体" w:eastAsia="宋体" w:cs="Times New Roman"/>
          <w:b w:val="0"/>
          <w:bCs w:val="0"/>
          <w:color w:val="auto"/>
          <w:sz w:val="24"/>
          <w:highlight w:val="none"/>
        </w:rPr>
        <w:t xml:space="preserve"> </w:t>
      </w:r>
      <w:r>
        <w:rPr>
          <w:rFonts w:hint="eastAsia" w:ascii="宋体" w:hAnsi="宋体" w:eastAsia="宋体" w:cs="Times New Roman"/>
          <w:b/>
          <w:bCs w:val="0"/>
          <w:color w:val="auto"/>
          <w:sz w:val="24"/>
          <w:highlight w:val="none"/>
        </w:rPr>
        <w:t>质量标准、要求</w:t>
      </w:r>
      <w:bookmarkEnd w:id="297"/>
    </w:p>
    <w:p w14:paraId="106EE967">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2</w:t>
      </w:r>
      <w:r>
        <w:rPr>
          <w:rFonts w:hint="eastAsia" w:ascii="宋体" w:hAnsi="宋体" w:eastAsia="宋体" w:cs="Times New Roman"/>
          <w:color w:val="auto"/>
          <w:kern w:val="2"/>
          <w:sz w:val="24"/>
          <w:highlight w:val="none"/>
        </w:rPr>
        <w:t>.1 乙方提供服务的质量严格按照招标文件与本合同要求执行。</w:t>
      </w:r>
    </w:p>
    <w:p w14:paraId="4E5E6A7A">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2</w:t>
      </w:r>
      <w:r>
        <w:rPr>
          <w:rFonts w:hint="eastAsia" w:ascii="宋体" w:hAnsi="宋体" w:eastAsia="宋体" w:cs="Times New Roman"/>
          <w:color w:val="auto"/>
          <w:kern w:val="2"/>
          <w:sz w:val="24"/>
          <w:highlight w:val="none"/>
        </w:rPr>
        <w:t>.2乙方应按要求配置相应管理人员和操作人员，按规范化、专业化管理要求，保证污水处理设施正常稳定运行。</w:t>
      </w:r>
    </w:p>
    <w:p w14:paraId="1FBE4AB3">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2</w:t>
      </w:r>
      <w:r>
        <w:rPr>
          <w:rFonts w:hint="eastAsia" w:ascii="宋体" w:hAnsi="宋体" w:eastAsia="宋体" w:cs="Times New Roman"/>
          <w:color w:val="auto"/>
          <w:kern w:val="2"/>
          <w:sz w:val="24"/>
          <w:highlight w:val="none"/>
        </w:rPr>
        <w:t>.3 乙方应自行建立或修改完善运行管理制度、设备维修保养制度、设备操作规程、安全生产制度（体系）、应急预案等相关制度，保证运行质量，并随时备甲方查验。</w:t>
      </w:r>
    </w:p>
    <w:p w14:paraId="51632CF3">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2</w:t>
      </w:r>
      <w:r>
        <w:rPr>
          <w:rFonts w:hint="eastAsia" w:ascii="宋体" w:hAnsi="宋体" w:eastAsia="宋体" w:cs="Times New Roman"/>
          <w:color w:val="auto"/>
          <w:kern w:val="2"/>
          <w:sz w:val="24"/>
          <w:highlight w:val="none"/>
        </w:rPr>
        <w:t>.4出水水质要求：出水水质达到招标文件、承诺书排放标准（即：按照</w:t>
      </w:r>
      <w:r>
        <w:rPr>
          <w:rFonts w:hint="eastAsia" w:ascii="宋体" w:hAnsi="宋体"/>
          <w:color w:val="auto"/>
          <w:sz w:val="24"/>
          <w:highlight w:val="none"/>
        </w:rPr>
        <w:t>执行</w:t>
      </w:r>
      <w:r>
        <w:rPr>
          <w:rFonts w:hint="eastAsia" w:ascii="宋体" w:hAnsi="宋体"/>
          <w:color w:val="auto"/>
          <w:sz w:val="24"/>
          <w:highlight w:val="none"/>
          <w:lang w:eastAsia="zh-CN"/>
        </w:rPr>
        <w:t>（</w:t>
      </w:r>
      <w:r>
        <w:rPr>
          <w:rFonts w:hint="eastAsia" w:ascii="宋体" w:hAnsi="宋体"/>
          <w:color w:val="auto"/>
          <w:sz w:val="24"/>
          <w:highlight w:val="none"/>
        </w:rPr>
        <w:t>DB45/2413—2021</w:t>
      </w:r>
      <w:r>
        <w:rPr>
          <w:rFonts w:hint="eastAsia" w:ascii="宋体" w:hAnsi="宋体"/>
          <w:color w:val="auto"/>
          <w:sz w:val="24"/>
          <w:highlight w:val="none"/>
          <w:lang w:eastAsia="zh-CN"/>
        </w:rPr>
        <w:t>）</w:t>
      </w:r>
      <w:r>
        <w:rPr>
          <w:rFonts w:hint="eastAsia" w:ascii="宋体" w:hAnsi="宋体"/>
          <w:color w:val="auto"/>
          <w:sz w:val="24"/>
          <w:highlight w:val="none"/>
        </w:rPr>
        <w:t>《农村生活污水处理设施水污染物排放标准》</w:t>
      </w:r>
      <w:r>
        <w:rPr>
          <w:rFonts w:hint="eastAsia" w:ascii="宋体" w:hAnsi="宋体" w:eastAsia="宋体" w:cs="Times New Roman"/>
          <w:color w:val="auto"/>
          <w:kern w:val="2"/>
          <w:sz w:val="24"/>
          <w:highlight w:val="none"/>
        </w:rPr>
        <w:t>要求的一级B标准），及本合同约定的其他要求。</w:t>
      </w:r>
    </w:p>
    <w:p w14:paraId="1C6BB2ED">
      <w:pPr>
        <w:spacing w:line="360" w:lineRule="auto"/>
        <w:ind w:firstLine="480" w:firstLineChars="200"/>
        <w:rPr>
          <w:rFonts w:hint="eastAsia" w:ascii="仿宋_GB2312" w:hAnsi="仿宋_GB2312" w:eastAsia="仿宋_GB2312" w:cs="仿宋_GB2312"/>
          <w:b/>
          <w:bCs/>
          <w:sz w:val="24"/>
        </w:rPr>
      </w:pPr>
      <w:bookmarkStart w:id="298" w:name="_Toc3290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3</w:t>
      </w:r>
      <w:r>
        <w:rPr>
          <w:rFonts w:hint="eastAsia" w:ascii="仿宋_GB2312" w:hAnsi="仿宋_GB2312" w:eastAsia="仿宋_GB2312" w:cs="仿宋_GB2312"/>
          <w:b/>
          <w:bCs/>
          <w:sz w:val="24"/>
        </w:rPr>
        <w:t xml:space="preserve"> </w:t>
      </w:r>
      <w:r>
        <w:rPr>
          <w:rFonts w:hint="eastAsia" w:ascii="宋体" w:hAnsi="宋体" w:eastAsia="宋体" w:cs="Times New Roman"/>
          <w:b/>
          <w:bCs w:val="0"/>
          <w:color w:val="auto"/>
          <w:sz w:val="24"/>
          <w:highlight w:val="none"/>
        </w:rPr>
        <w:t>支付方式</w:t>
      </w:r>
      <w:bookmarkEnd w:id="298"/>
    </w:p>
    <w:p w14:paraId="1D35E541">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3</w:t>
      </w:r>
      <w:r>
        <w:rPr>
          <w:rFonts w:hint="eastAsia" w:ascii="宋体" w:hAnsi="宋体" w:eastAsia="宋体" w:cs="Times New Roman"/>
          <w:color w:val="auto"/>
          <w:kern w:val="2"/>
          <w:sz w:val="24"/>
          <w:highlight w:val="none"/>
        </w:rPr>
        <w:t>.1本合同不支付任何预付款。</w:t>
      </w:r>
    </w:p>
    <w:p w14:paraId="3A7E12B5">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3</w:t>
      </w:r>
      <w:r>
        <w:rPr>
          <w:rFonts w:hint="eastAsia" w:ascii="宋体" w:hAnsi="宋体" w:eastAsia="宋体" w:cs="Times New Roman"/>
          <w:color w:val="auto"/>
          <w:kern w:val="2"/>
          <w:sz w:val="24"/>
          <w:highlight w:val="none"/>
        </w:rPr>
        <w:t>.2遵循先付费后提供服务的原则，每季度第一个月月初（10号前）进行当期服务费的支付，前提是：</w:t>
      </w:r>
    </w:p>
    <w:p w14:paraId="627038BD">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bookmarkStart w:id="299" w:name="_Toc19488_WPSOffice_Level1"/>
      <w:r>
        <w:rPr>
          <w:rFonts w:hint="eastAsia" w:ascii="宋体" w:hAnsi="宋体" w:eastAsia="宋体" w:cs="Times New Roman"/>
          <w:color w:val="auto"/>
          <w:kern w:val="2"/>
          <w:sz w:val="24"/>
          <w:highlight w:val="none"/>
        </w:rPr>
        <w:t>（1）</w:t>
      </w:r>
      <w:bookmarkEnd w:id="299"/>
      <w:bookmarkStart w:id="300" w:name="_Toc3089_WPSOffice_Level1"/>
      <w:r>
        <w:rPr>
          <w:rFonts w:hint="eastAsia" w:ascii="宋体" w:hAnsi="宋体" w:eastAsia="宋体" w:cs="Times New Roman"/>
          <w:color w:val="auto"/>
          <w:kern w:val="2"/>
          <w:sz w:val="24"/>
          <w:highlight w:val="none"/>
        </w:rPr>
        <w:t>乙方提供正式含税增值税普通发票；</w:t>
      </w:r>
      <w:bookmarkEnd w:id="300"/>
    </w:p>
    <w:p w14:paraId="4FD6D7D5">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bookmarkStart w:id="301" w:name="_Toc11554_WPSOffice_Level1"/>
      <w:r>
        <w:rPr>
          <w:rFonts w:hint="eastAsia" w:ascii="宋体" w:hAnsi="宋体" w:eastAsia="宋体" w:cs="Times New Roman"/>
          <w:color w:val="auto"/>
          <w:kern w:val="2"/>
          <w:sz w:val="24"/>
          <w:highlight w:val="none"/>
        </w:rPr>
        <w:t>（2）满足本合同其他要求。</w:t>
      </w:r>
      <w:bookmarkEnd w:id="301"/>
    </w:p>
    <w:p w14:paraId="464F7727">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3</w:t>
      </w:r>
      <w:r>
        <w:rPr>
          <w:rFonts w:hint="eastAsia" w:ascii="宋体" w:hAnsi="宋体" w:eastAsia="宋体" w:cs="Times New Roman"/>
          <w:color w:val="auto"/>
          <w:kern w:val="2"/>
          <w:sz w:val="24"/>
          <w:highlight w:val="none"/>
        </w:rPr>
        <w:t>.3乙方当期服务款在甲方审批后10个工作日内采取银行转账方式支付给乙方。</w:t>
      </w:r>
    </w:p>
    <w:p w14:paraId="6AD4F63A">
      <w:pPr>
        <w:tabs>
          <w:tab w:val="left" w:pos="904"/>
        </w:tabs>
        <w:snapToGrid w:val="0"/>
        <w:spacing w:line="360" w:lineRule="auto"/>
        <w:ind w:firstLine="240" w:firstLineChars="100"/>
        <w:jc w:val="left"/>
        <w:rPr>
          <w:rFonts w:hint="eastAsia" w:ascii="宋体" w:hAnsi="宋体" w:eastAsia="宋体" w:cs="Times New Roman"/>
          <w:b w:val="0"/>
          <w:bCs w:val="0"/>
          <w:color w:val="auto"/>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3</w:t>
      </w:r>
      <w:r>
        <w:rPr>
          <w:rFonts w:hint="eastAsia" w:ascii="宋体" w:hAnsi="宋体" w:eastAsia="宋体" w:cs="Times New Roman"/>
          <w:color w:val="auto"/>
          <w:kern w:val="2"/>
          <w:sz w:val="24"/>
          <w:highlight w:val="none"/>
        </w:rPr>
        <w:t>.4乙方应切实执行国务院不拖欠民工工资的相关规定，及时支付民工工资，甲方有权对乙方的支付过程进行不定期检查。</w:t>
      </w:r>
    </w:p>
    <w:p w14:paraId="7C861FBD">
      <w:pPr>
        <w:snapToGrid w:val="0"/>
        <w:spacing w:line="360" w:lineRule="auto"/>
        <w:ind w:firstLine="480" w:firstLineChars="200"/>
        <w:rPr>
          <w:rFonts w:ascii="仿宋_GB2312" w:hAnsi="仿宋_GB2312" w:eastAsia="仿宋_GB2312" w:cs="仿宋_GB2312"/>
          <w:b/>
          <w:bCs/>
          <w:sz w:val="24"/>
        </w:rPr>
      </w:pPr>
      <w:bookmarkStart w:id="302" w:name="_Toc31008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4</w:t>
      </w:r>
      <w:r>
        <w:rPr>
          <w:rFonts w:hint="eastAsia" w:ascii="仿宋_GB2312" w:hAnsi="仿宋_GB2312" w:eastAsia="仿宋_GB2312" w:cs="仿宋_GB2312"/>
          <w:b/>
          <w:bCs/>
          <w:sz w:val="24"/>
        </w:rPr>
        <w:t xml:space="preserve"> </w:t>
      </w:r>
      <w:r>
        <w:rPr>
          <w:rFonts w:hint="eastAsia" w:ascii="宋体" w:hAnsi="宋体" w:eastAsia="宋体" w:cs="Times New Roman"/>
          <w:b/>
          <w:bCs w:val="0"/>
          <w:color w:val="auto"/>
          <w:sz w:val="24"/>
          <w:highlight w:val="none"/>
        </w:rPr>
        <w:t>双方的权利和义</w:t>
      </w:r>
      <w:bookmarkEnd w:id="302"/>
      <w:r>
        <w:rPr>
          <w:rFonts w:hint="eastAsia" w:ascii="宋体" w:hAnsi="宋体" w:eastAsia="宋体" w:cs="Times New Roman"/>
          <w:b/>
          <w:bCs w:val="0"/>
          <w:color w:val="auto"/>
          <w:sz w:val="24"/>
          <w:highlight w:val="none"/>
        </w:rPr>
        <w:t>务</w:t>
      </w:r>
    </w:p>
    <w:p w14:paraId="746D13BB">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.1甲方的权利：</w:t>
      </w:r>
    </w:p>
    <w:p w14:paraId="6A53DF89">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.2甲方监督、指导乙方管理好污水处理</w:t>
      </w:r>
      <w:r>
        <w:rPr>
          <w:rFonts w:hint="eastAsia" w:ascii="宋体" w:hAnsi="宋体" w:cs="Times New Roman"/>
          <w:color w:val="auto"/>
          <w:kern w:val="2"/>
          <w:sz w:val="24"/>
          <w:highlight w:val="none"/>
          <w:lang w:val="en-US" w:eastAsia="zh-CN"/>
        </w:rPr>
        <w:t>站</w:t>
      </w:r>
      <w:r>
        <w:rPr>
          <w:rFonts w:hint="eastAsia" w:ascii="宋体" w:hAnsi="宋体" w:eastAsia="宋体" w:cs="Times New Roman"/>
          <w:color w:val="auto"/>
          <w:kern w:val="2"/>
          <w:sz w:val="24"/>
          <w:highlight w:val="none"/>
        </w:rPr>
        <w:t>设施、设备及其他资产，监督乙方依法经营、履行合同。</w:t>
      </w:r>
    </w:p>
    <w:p w14:paraId="0F21D435">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.3甲方有权每月对乙方的运营情况进行考核，考核标准不仅限于本合同约定内容，还包括现行国家和地方政策、法律法规，部门规章制度等要求。</w:t>
      </w:r>
    </w:p>
    <w:p w14:paraId="2A14BA8C">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.4甲方的义务：</w:t>
      </w:r>
    </w:p>
    <w:p w14:paraId="2824B901">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.5甲方委托给乙方运营维护的资产条件完整，并按合同约定支付服务费用。</w:t>
      </w:r>
    </w:p>
    <w:p w14:paraId="7E531BE0">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.6甲方一次性向乙方提供本项目运营所必备的适合运营的硬件设施、图纸资料、软件资料。</w:t>
      </w:r>
    </w:p>
    <w:p w14:paraId="6C8D052A">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.7严格执行本合同所有约定。</w:t>
      </w:r>
    </w:p>
    <w:p w14:paraId="1346BA1C">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.8乙方的权利：</w:t>
      </w:r>
    </w:p>
    <w:p w14:paraId="2B94ED39">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.9在国家法律、政策范围内，正确行使生产经营权和经营管理自主权，并自行承担经营风险。</w:t>
      </w:r>
    </w:p>
    <w:p w14:paraId="4E2EF3D1">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.10承接污水处理</w:t>
      </w:r>
      <w:r>
        <w:rPr>
          <w:rFonts w:hint="eastAsia" w:ascii="宋体" w:hAnsi="宋体" w:cs="Times New Roman"/>
          <w:color w:val="auto"/>
          <w:kern w:val="2"/>
          <w:sz w:val="24"/>
          <w:highlight w:val="none"/>
          <w:lang w:val="en-US" w:eastAsia="zh-CN"/>
        </w:rPr>
        <w:t>站</w:t>
      </w:r>
      <w:r>
        <w:rPr>
          <w:rFonts w:hint="eastAsia" w:ascii="宋体" w:hAnsi="宋体" w:eastAsia="宋体" w:cs="Times New Roman"/>
          <w:color w:val="auto"/>
          <w:kern w:val="2"/>
          <w:sz w:val="24"/>
          <w:highlight w:val="none"/>
        </w:rPr>
        <w:t>运营管理任务，按时向甲方足额申请支付服务费。</w:t>
      </w:r>
    </w:p>
    <w:p w14:paraId="04ED68FA">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.11在保证正常运行质量的前提下，优化本项目的运行工艺及决定内部行政事务。</w:t>
      </w:r>
    </w:p>
    <w:p w14:paraId="6FB3079C">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.12乙方的义务：</w:t>
      </w:r>
    </w:p>
    <w:p w14:paraId="53BA3F95">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.13组建高素质的运营管理团队和技术团队，并制定务实、高效的管理制度。</w:t>
      </w:r>
    </w:p>
    <w:p w14:paraId="7A77015E">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.14运营期内，乙方应确保安全生产与质量品质，如发生安全与质量事故，由乙方自行负责。</w:t>
      </w:r>
    </w:p>
    <w:p w14:paraId="0FDCC146">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.15乙方设备大修需要停运，须提前7个工作日以书面形式(加盖公章)报甲方和主管部门同意后实施。因突发事件非正常停运时应立即用电话向甲方报告，并及时以书面形式(加盖公章)上报甲方。</w:t>
      </w:r>
    </w:p>
    <w:p w14:paraId="5F8279A2">
      <w:pPr>
        <w:tabs>
          <w:tab w:val="left" w:pos="904"/>
        </w:tabs>
        <w:snapToGrid w:val="0"/>
        <w:spacing w:line="360" w:lineRule="auto"/>
        <w:ind w:firstLine="240" w:firstLineChars="100"/>
        <w:jc w:val="left"/>
        <w:rPr>
          <w:rFonts w:hint="eastAsia" w:ascii="宋体" w:hAnsi="宋体" w:eastAsia="宋体" w:cs="Times New Roman"/>
          <w:b w:val="0"/>
          <w:bCs w:val="0"/>
          <w:color w:val="auto"/>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.16乙方须按相关法规要求对污泥进行合规处理和处置，在受托期内不得出现偷排污水等违法行为。</w:t>
      </w:r>
    </w:p>
    <w:p w14:paraId="47F23044">
      <w:pPr>
        <w:snapToGrid w:val="0"/>
        <w:spacing w:line="360" w:lineRule="auto"/>
        <w:ind w:firstLine="480" w:firstLineChars="200"/>
        <w:rPr>
          <w:rFonts w:hint="eastAsia" w:ascii="仿宋_GB2312" w:hAnsi="仿宋_GB2312" w:eastAsia="仿宋_GB2312" w:cs="仿宋_GB2312"/>
          <w:b/>
          <w:bCs/>
          <w:sz w:val="24"/>
        </w:rPr>
      </w:pPr>
      <w:bookmarkStart w:id="303" w:name="_Toc1790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5</w:t>
      </w:r>
      <w:r>
        <w:rPr>
          <w:rFonts w:hint="eastAsia" w:ascii="仿宋_GB2312" w:hAnsi="仿宋_GB2312" w:eastAsia="仿宋_GB2312" w:cs="仿宋_GB2312"/>
          <w:b/>
          <w:bCs/>
          <w:sz w:val="24"/>
        </w:rPr>
        <w:t xml:space="preserve"> </w:t>
      </w:r>
      <w:r>
        <w:rPr>
          <w:rFonts w:hint="eastAsia" w:ascii="宋体" w:hAnsi="宋体" w:eastAsia="宋体" w:cs="Times New Roman"/>
          <w:b/>
          <w:bCs w:val="0"/>
          <w:color w:val="auto"/>
          <w:sz w:val="24"/>
          <w:highlight w:val="none"/>
        </w:rPr>
        <w:t>服务期限和地点</w:t>
      </w:r>
      <w:bookmarkEnd w:id="303"/>
    </w:p>
    <w:p w14:paraId="1B6730C7">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5</w:t>
      </w:r>
      <w:r>
        <w:rPr>
          <w:rFonts w:hint="eastAsia" w:ascii="宋体" w:hAnsi="宋体" w:eastAsia="宋体" w:cs="Times New Roman"/>
          <w:color w:val="auto"/>
          <w:kern w:val="2"/>
          <w:sz w:val="24"/>
          <w:highlight w:val="none"/>
        </w:rPr>
        <w:t>.1服务期限：委托运营期</w:t>
      </w:r>
      <w:r>
        <w:rPr>
          <w:rFonts w:hint="eastAsia" w:ascii="宋体" w:hAnsi="宋体" w:cs="Times New Roman"/>
          <w:color w:val="auto"/>
          <w:kern w:val="2"/>
          <w:sz w:val="24"/>
          <w:highlight w:val="none"/>
          <w:lang w:val="en-US" w:eastAsia="zh-CN"/>
        </w:rPr>
        <w:t>3</w:t>
      </w:r>
      <w:r>
        <w:rPr>
          <w:rFonts w:hint="eastAsia" w:ascii="宋体" w:hAnsi="宋体" w:eastAsia="宋体" w:cs="Times New Roman"/>
          <w:color w:val="auto"/>
          <w:kern w:val="2"/>
          <w:sz w:val="24"/>
          <w:highlight w:val="none"/>
        </w:rPr>
        <w:t>年，自乙方接手运营之日起计，即从</w:t>
      </w:r>
      <w:r>
        <w:rPr>
          <w:rFonts w:hint="eastAsia" w:ascii="宋体" w:hAnsi="宋体" w:cs="Times New Roman"/>
          <w:color w:val="auto"/>
          <w:kern w:val="2"/>
          <w:sz w:val="24"/>
          <w:highlight w:val="none"/>
          <w:lang w:val="en-US" w:eastAsia="zh-CN"/>
        </w:rPr>
        <w:t xml:space="preserve"> </w:t>
      </w:r>
      <w:r>
        <w:rPr>
          <w:rFonts w:hint="eastAsia" w:ascii="宋体" w:hAnsi="宋体" w:eastAsia="宋体" w:cs="Times New Roman"/>
          <w:color w:val="auto"/>
          <w:kern w:val="2"/>
          <w:sz w:val="24"/>
          <w:highlight w:val="none"/>
        </w:rPr>
        <w:t>年</w:t>
      </w:r>
      <w:r>
        <w:rPr>
          <w:rFonts w:hint="eastAsia" w:ascii="宋体" w:hAnsi="宋体" w:cs="Times New Roman"/>
          <w:color w:val="auto"/>
          <w:kern w:val="2"/>
          <w:sz w:val="24"/>
          <w:highlight w:val="none"/>
          <w:lang w:val="en-US" w:eastAsia="zh-CN"/>
        </w:rPr>
        <w:t xml:space="preserve"> </w:t>
      </w:r>
      <w:r>
        <w:rPr>
          <w:rFonts w:hint="eastAsia" w:ascii="宋体" w:hAnsi="宋体" w:eastAsia="宋体" w:cs="Times New Roman"/>
          <w:color w:val="auto"/>
          <w:kern w:val="2"/>
          <w:sz w:val="24"/>
          <w:highlight w:val="none"/>
        </w:rPr>
        <w:t>月</w:t>
      </w:r>
      <w:r>
        <w:rPr>
          <w:rFonts w:hint="eastAsia" w:ascii="宋体" w:hAnsi="宋体" w:cs="Times New Roman"/>
          <w:color w:val="auto"/>
          <w:kern w:val="2"/>
          <w:sz w:val="24"/>
          <w:highlight w:val="none"/>
          <w:lang w:val="en-US" w:eastAsia="zh-CN"/>
        </w:rPr>
        <w:t xml:space="preserve"> </w:t>
      </w:r>
      <w:r>
        <w:rPr>
          <w:rFonts w:hint="eastAsia" w:ascii="宋体" w:hAnsi="宋体" w:eastAsia="宋体" w:cs="Times New Roman"/>
          <w:color w:val="auto"/>
          <w:kern w:val="2"/>
          <w:sz w:val="24"/>
          <w:highlight w:val="none"/>
        </w:rPr>
        <w:t>日-</w:t>
      </w:r>
      <w:r>
        <w:rPr>
          <w:rFonts w:hint="eastAsia" w:ascii="宋体" w:hAnsi="宋体" w:cs="Times New Roman"/>
          <w:color w:val="auto"/>
          <w:kern w:val="2"/>
          <w:sz w:val="24"/>
          <w:highlight w:val="none"/>
          <w:lang w:val="en-US" w:eastAsia="zh-CN"/>
        </w:rPr>
        <w:t xml:space="preserve"> </w:t>
      </w:r>
      <w:r>
        <w:rPr>
          <w:rFonts w:hint="eastAsia" w:ascii="宋体" w:hAnsi="宋体" w:eastAsia="宋体" w:cs="Times New Roman"/>
          <w:color w:val="auto"/>
          <w:kern w:val="2"/>
          <w:sz w:val="24"/>
          <w:highlight w:val="none"/>
        </w:rPr>
        <w:t>年</w:t>
      </w:r>
      <w:r>
        <w:rPr>
          <w:rFonts w:hint="eastAsia" w:ascii="宋体" w:hAnsi="宋体" w:cs="Times New Roman"/>
          <w:color w:val="auto"/>
          <w:kern w:val="2"/>
          <w:sz w:val="24"/>
          <w:highlight w:val="none"/>
          <w:lang w:val="en-US" w:eastAsia="zh-CN"/>
        </w:rPr>
        <w:t xml:space="preserve"> </w:t>
      </w:r>
      <w:r>
        <w:rPr>
          <w:rFonts w:hint="eastAsia" w:ascii="宋体" w:hAnsi="宋体" w:eastAsia="宋体" w:cs="Times New Roman"/>
          <w:color w:val="auto"/>
          <w:kern w:val="2"/>
          <w:sz w:val="24"/>
          <w:highlight w:val="none"/>
        </w:rPr>
        <w:t>月</w:t>
      </w:r>
      <w:r>
        <w:rPr>
          <w:rFonts w:hint="eastAsia" w:ascii="宋体" w:hAnsi="宋体" w:cs="Times New Roman"/>
          <w:color w:val="auto"/>
          <w:kern w:val="2"/>
          <w:sz w:val="24"/>
          <w:highlight w:val="none"/>
          <w:lang w:val="en-US" w:eastAsia="zh-CN"/>
        </w:rPr>
        <w:t xml:space="preserve"> </w:t>
      </w:r>
      <w:r>
        <w:rPr>
          <w:rFonts w:hint="eastAsia" w:ascii="宋体" w:hAnsi="宋体" w:eastAsia="宋体" w:cs="Times New Roman"/>
          <w:color w:val="auto"/>
          <w:kern w:val="2"/>
          <w:sz w:val="24"/>
          <w:highlight w:val="none"/>
        </w:rPr>
        <w:t>日止；出现符合合同约定期限终止的情形时，按合同约定执行。</w:t>
      </w:r>
    </w:p>
    <w:p w14:paraId="1CEF1820">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lang w:val="en-US" w:eastAsia="zh-CN"/>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5</w:t>
      </w:r>
      <w:r>
        <w:rPr>
          <w:rFonts w:hint="eastAsia" w:ascii="宋体" w:hAnsi="宋体" w:eastAsia="宋体" w:cs="Times New Roman"/>
          <w:color w:val="auto"/>
          <w:kern w:val="2"/>
          <w:sz w:val="24"/>
          <w:highlight w:val="none"/>
        </w:rPr>
        <w:t>.2服务地点：</w:t>
      </w:r>
      <w:r>
        <w:rPr>
          <w:rFonts w:hint="eastAsia" w:ascii="宋体" w:hAnsi="宋体"/>
          <w:sz w:val="24"/>
          <w:highlight w:val="none"/>
        </w:rPr>
        <w:t>青秀区四个镇区96个坡屯建设</w:t>
      </w:r>
      <w:r>
        <w:rPr>
          <w:rFonts w:hint="eastAsia" w:ascii="宋体" w:hAnsi="宋体"/>
          <w:sz w:val="24"/>
          <w:highlight w:val="none"/>
          <w:lang w:val="en-US" w:eastAsia="zh-CN"/>
        </w:rPr>
        <w:t>145</w:t>
      </w:r>
      <w:r>
        <w:rPr>
          <w:rFonts w:hint="eastAsia" w:ascii="宋体" w:hAnsi="宋体"/>
          <w:sz w:val="24"/>
          <w:highlight w:val="none"/>
        </w:rPr>
        <w:t>座农村生活污水处理</w:t>
      </w:r>
      <w:r>
        <w:rPr>
          <w:rFonts w:hint="eastAsia" w:ascii="宋体" w:hAnsi="宋体"/>
          <w:sz w:val="24"/>
          <w:highlight w:val="none"/>
          <w:lang w:val="en-US" w:eastAsia="zh-CN"/>
        </w:rPr>
        <w:t>站</w:t>
      </w:r>
    </w:p>
    <w:p w14:paraId="446F88B4">
      <w:pPr>
        <w:snapToGrid w:val="0"/>
        <w:spacing w:line="360" w:lineRule="auto"/>
        <w:ind w:firstLine="480" w:firstLineChars="200"/>
        <w:rPr>
          <w:rFonts w:hint="eastAsia" w:ascii="仿宋_GB2312" w:hAnsi="仿宋_GB2312" w:eastAsia="仿宋_GB2312" w:cs="仿宋_GB2312"/>
          <w:b/>
          <w:bCs/>
          <w:sz w:val="24"/>
        </w:rPr>
      </w:pPr>
      <w:bookmarkStart w:id="304" w:name="_Toc1539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6</w:t>
      </w:r>
      <w:r>
        <w:rPr>
          <w:rFonts w:hint="eastAsia" w:ascii="仿宋_GB2312" w:hAnsi="仿宋_GB2312" w:eastAsia="仿宋_GB2312" w:cs="仿宋_GB2312"/>
          <w:b/>
          <w:bCs/>
          <w:sz w:val="24"/>
        </w:rPr>
        <w:t xml:space="preserve"> </w:t>
      </w:r>
      <w:r>
        <w:rPr>
          <w:rFonts w:hint="eastAsia" w:ascii="宋体" w:hAnsi="宋体" w:eastAsia="宋体" w:cs="Times New Roman"/>
          <w:b/>
          <w:bCs w:val="0"/>
          <w:color w:val="auto"/>
          <w:sz w:val="24"/>
          <w:highlight w:val="none"/>
        </w:rPr>
        <w:t>技术资料</w:t>
      </w:r>
      <w:bookmarkEnd w:id="304"/>
    </w:p>
    <w:p w14:paraId="2B3BFD01">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6</w:t>
      </w:r>
      <w:r>
        <w:rPr>
          <w:rFonts w:hint="eastAsia" w:ascii="宋体" w:hAnsi="宋体" w:eastAsia="宋体" w:cs="Times New Roman"/>
          <w:color w:val="auto"/>
          <w:kern w:val="2"/>
          <w:sz w:val="24"/>
          <w:highlight w:val="none"/>
        </w:rPr>
        <w:t>.1 甲方应向乙方提供提交服务成果所必需的有关数据、资料等，如国家和地方法律法规、政策，及部门要求已明确的，由乙方自行收集并执行。</w:t>
      </w:r>
    </w:p>
    <w:p w14:paraId="46FE7768">
      <w:pPr>
        <w:tabs>
          <w:tab w:val="left" w:pos="904"/>
        </w:tabs>
        <w:snapToGrid w:val="0"/>
        <w:spacing w:line="360" w:lineRule="auto"/>
        <w:ind w:firstLine="240" w:firstLineChars="100"/>
        <w:jc w:val="left"/>
        <w:rPr>
          <w:rFonts w:hint="eastAsia" w:ascii="宋体" w:hAnsi="宋体" w:eastAsia="宋体" w:cs="Times New Roman"/>
          <w:b w:val="0"/>
          <w:bCs w:val="0"/>
          <w:color w:val="auto"/>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6</w:t>
      </w:r>
      <w:r>
        <w:rPr>
          <w:rFonts w:hint="eastAsia" w:ascii="宋体" w:hAnsi="宋体" w:eastAsia="宋体" w:cs="Times New Roman"/>
          <w:color w:val="auto"/>
          <w:kern w:val="2"/>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EF63EC">
      <w:pPr>
        <w:snapToGrid w:val="0"/>
        <w:spacing w:line="360" w:lineRule="auto"/>
        <w:ind w:firstLine="480" w:firstLineChars="200"/>
        <w:rPr>
          <w:rFonts w:ascii="仿宋_GB2312" w:hAnsi="仿宋_GB2312" w:eastAsia="仿宋_GB2312" w:cs="仿宋_GB2312"/>
          <w:b/>
          <w:bCs/>
          <w:sz w:val="24"/>
        </w:rPr>
      </w:pPr>
      <w:bookmarkStart w:id="305" w:name="_Toc27911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b/>
          <w:bCs w:val="0"/>
          <w:color w:val="auto"/>
          <w:sz w:val="24"/>
          <w:highlight w:val="none"/>
        </w:rPr>
        <w:t>日常运营</w:t>
      </w:r>
      <w:bookmarkEnd w:id="305"/>
    </w:p>
    <w:p w14:paraId="48D1D334">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.1运营期间，乙方负责保证污水处理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的正常运行，达到国家现行的相关标准、要求，符合广西区、南宁市住建部门对污水处理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的相关运营标准、要求，符合招标文件和合同约定，并能通过环保部门的各项验收。</w:t>
      </w:r>
    </w:p>
    <w:p w14:paraId="1377DEDA">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 xml:space="preserve">.2运营期间，乙方必须严格按设备操作规程、安全操作规程进行操作，保证入场人员人身和财产安全，杜绝安全生产事故的发生。 </w:t>
      </w:r>
    </w:p>
    <w:p w14:paraId="16BE9A5F">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.3污水处理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 xml:space="preserve">的设备的运行记录、维修记录等由乙方详实纪录并妥善保存，当合同期满或按约定终止后，完整移交给甲方。 </w:t>
      </w:r>
    </w:p>
    <w:p w14:paraId="152CAE29">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4运营期间，乙方须完成甲方临时安排的其他紧急或特殊事项，及协助负责处理污水管网存在问题等。如存在污水处理量超标、污水指标不合格等情况，导致乙方考核不合格的，甲方不予追究乙方的责任；如因污水检验不合格导致行政部门处罚的，相关损失由甲方自行承担。</w:t>
      </w:r>
    </w:p>
    <w:p w14:paraId="21CCD54B">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.5乙方无条件服从甲方及甲方代表的检查和监督、考核，不得出现偷排等违法行为。</w:t>
      </w:r>
    </w:p>
    <w:p w14:paraId="7A5E09D1">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6运营管理期间，乙方按照污水处理设施、设备的规范操作，正确使用，避免因操作不当对污水处理设施、设备的损坏。除不可抗力的条件外，不得任意损坏、丢失、遗弃相关设备及设施、不得改变其相关构筑物建筑结构等，保证资产的不流失和非正常损耗。</w:t>
      </w:r>
    </w:p>
    <w:p w14:paraId="1AE16826">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.7运营管理期间，乙方定期对污水处理设施、设备进行维修、保养、以提高设施、设备的正常使用率，确保运营结束后完好交还甲方。</w:t>
      </w:r>
    </w:p>
    <w:p w14:paraId="6D91521D">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.8运营管理期间，乙方保持污水处理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的整洁、卫生，及时对绿化进行修剪与养护；保证厂区内的清洁，及时清运垃圾。</w:t>
      </w:r>
    </w:p>
    <w:p w14:paraId="782E2097">
      <w:pPr>
        <w:tabs>
          <w:tab w:val="left" w:pos="904"/>
        </w:tabs>
        <w:snapToGrid w:val="0"/>
        <w:spacing w:line="360" w:lineRule="auto"/>
        <w:ind w:firstLine="240" w:firstLineChars="100"/>
        <w:jc w:val="left"/>
        <w:rPr>
          <w:rFonts w:hint="eastAsia" w:ascii="宋体" w:hAnsi="宋体" w:eastAsia="宋体" w:cs="Times New Roman"/>
          <w:b w:val="0"/>
          <w:bCs w:val="0"/>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color w:val="auto"/>
          <w:sz w:val="24"/>
          <w:highlight w:val="none"/>
        </w:rPr>
        <w:t>.9运营管理期间，本项目所有设备以及建筑物、构筑物的安全及完整性由乙方负责，未经甲方书面许可，乙方不得在管理范围内建造建筑物或构筑物，不得更改其使用性质。</w:t>
      </w:r>
    </w:p>
    <w:p w14:paraId="1EB3E8A4">
      <w:pPr>
        <w:snapToGrid w:val="0"/>
        <w:spacing w:line="360" w:lineRule="auto"/>
        <w:ind w:firstLine="480" w:firstLineChars="200"/>
        <w:rPr>
          <w:rFonts w:hint="eastAsia" w:ascii="仿宋_GB2312" w:hAnsi="仿宋_GB2312" w:eastAsia="仿宋_GB2312" w:cs="仿宋_GB2312"/>
          <w:b/>
          <w:bCs/>
          <w:sz w:val="24"/>
        </w:rPr>
      </w:pPr>
      <w:bookmarkStart w:id="306" w:name="_Toc12785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8</w:t>
      </w:r>
      <w:r>
        <w:rPr>
          <w:rFonts w:hint="eastAsia" w:ascii="仿宋_GB2312" w:hAnsi="仿宋_GB2312" w:eastAsia="仿宋_GB2312" w:cs="仿宋_GB2312"/>
          <w:b/>
          <w:bCs/>
          <w:sz w:val="24"/>
        </w:rPr>
        <w:t xml:space="preserve"> </w:t>
      </w:r>
      <w:r>
        <w:rPr>
          <w:rFonts w:hint="eastAsia" w:ascii="宋体" w:hAnsi="宋体" w:eastAsia="宋体" w:cs="Times New Roman"/>
          <w:b/>
          <w:bCs w:val="0"/>
          <w:color w:val="auto"/>
          <w:sz w:val="24"/>
          <w:highlight w:val="none"/>
        </w:rPr>
        <w:t>移交</w:t>
      </w:r>
      <w:bookmarkEnd w:id="306"/>
    </w:p>
    <w:p w14:paraId="7528ED87">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b w:val="0"/>
          <w:bCs w:val="0"/>
          <w:color w:val="auto"/>
          <w:sz w:val="24"/>
          <w:highlight w:val="none"/>
          <w:lang w:val="en-US" w:eastAsia="zh-CN"/>
        </w:rPr>
        <w:t>8</w:t>
      </w:r>
      <w:r>
        <w:rPr>
          <w:rFonts w:hint="eastAsia" w:ascii="宋体" w:hAnsi="宋体" w:eastAsia="宋体" w:cs="Times New Roman"/>
          <w:color w:val="auto"/>
          <w:sz w:val="24"/>
          <w:highlight w:val="none"/>
        </w:rPr>
        <w:t>.1委托运营期开始时的移交</w:t>
      </w:r>
    </w:p>
    <w:p w14:paraId="18AFB9BF">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移交乙方运营前，由甲方和乙方各自指定负责人具体负责和办理移交工作，组织必要的会议、会谈并商定设施移交的详尽程序，确定移交仪式。</w:t>
      </w:r>
    </w:p>
    <w:p w14:paraId="736F6C87">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2、委托经营期开始时移交范围及内容</w:t>
      </w:r>
    </w:p>
    <w:p w14:paraId="7BF89616">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在委托开始运营日移交，甲方应向乙方无偿移交以下设施及资料：</w:t>
      </w:r>
    </w:p>
    <w:p w14:paraId="0CBFA421">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a、甲方对污水处理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的所有权利和利益，包括：(1)污水处理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的建筑和构筑物;(2)与污水处理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使用相关的所有机械和设备;(3)经营和维护项目设施所要求的所有技术和技术诀窍、知识产权等无形资产(包括以许可方式取得的)。</w:t>
      </w:r>
    </w:p>
    <w:p w14:paraId="339D9AB0">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b、在用的各类管理制度和经营手册包括专有技术、生产档案、技术档案、文秘档案、图书资料、设计图纸、文件和其他资料，以使污水处理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能平稳地继续经营。</w:t>
      </w:r>
    </w:p>
    <w:p w14:paraId="46B6817F">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c、相关设备设施的使用权。</w:t>
      </w:r>
    </w:p>
    <w:p w14:paraId="5875820A">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d、安全生产设备及设施。</w:t>
      </w:r>
    </w:p>
    <w:p w14:paraId="13E9B773">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移交质量要求</w:t>
      </w:r>
    </w:p>
    <w:p w14:paraId="067A95BB">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(1)设备设施安装符合要求，运转正常;</w:t>
      </w:r>
    </w:p>
    <w:p w14:paraId="76ECA56B">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(2)出水水质达到招标文件及承诺书要求的一级B标准;</w:t>
      </w:r>
    </w:p>
    <w:p w14:paraId="4A3C3F1C">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通过竣工验收，满足运营条件;</w:t>
      </w:r>
    </w:p>
    <w:p w14:paraId="7C9921B1">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(4)项目设施及场地不存在任何环境问题和环境遗留问题;</w:t>
      </w:r>
    </w:p>
    <w:p w14:paraId="473AA889">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设施、设备、建筑物、绿化完好；</w:t>
      </w:r>
    </w:p>
    <w:p w14:paraId="3E09BBEE">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(6)如有需要，双方可以就移交质量的具体要求进行协商，乙方接收项目后即视为对移交质量无异议。</w:t>
      </w:r>
    </w:p>
    <w:p w14:paraId="0CB6556A">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4、移交文件的签订：甲乙双方共同检查确认满足运营条件及移交条件，双方代表在交接确认书及清单上签字确认并加盖公章，完成交接手续。</w:t>
      </w:r>
    </w:p>
    <w:p w14:paraId="432FF1C0">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val="en-US" w:eastAsia="zh-CN"/>
        </w:rPr>
        <w:t>8</w:t>
      </w:r>
      <w:r>
        <w:rPr>
          <w:rFonts w:hint="eastAsia" w:ascii="宋体" w:hAnsi="宋体" w:eastAsia="宋体" w:cs="Times New Roman"/>
          <w:color w:val="auto"/>
          <w:sz w:val="24"/>
          <w:highlight w:val="none"/>
        </w:rPr>
        <w:t>.2委托经营期结束时的移交</w:t>
      </w:r>
    </w:p>
    <w:p w14:paraId="4527760C">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1、委托经营期结束3个月前，由甲方和乙方各自指定负责人具体负责和办理移交工作，组织必要的会议会谈并商定设施移交的详尽程序，确定移交仪式。</w:t>
      </w:r>
    </w:p>
    <w:p w14:paraId="00F5D511">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2、委托经营期结束时移交范围及内容</w:t>
      </w:r>
    </w:p>
    <w:p w14:paraId="3499DACC">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在委托结束运营日移交，乙方应向甲方无偿移交以下设施及资料：</w:t>
      </w:r>
    </w:p>
    <w:p w14:paraId="078B0BA1">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a、甲方对污水处理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的所有权利和利益，包括：(1)污水处理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的建筑和构筑物;(2)与污水处理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使用相关的所有机械和设备;(3)经营和维护项目设施所要求的所有技术和技术诀窍、知识产权等无形资产(包括以许可方式取得的)。</w:t>
      </w:r>
    </w:p>
    <w:p w14:paraId="6D935EB4">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b、在用的各类管理制度和经营手册包括专有技术、生产档案、技术档案、文秘档案、图书资料、设计图纸、文件和其他资料，以使污水处理</w:t>
      </w:r>
      <w:r>
        <w:rPr>
          <w:rFonts w:hint="eastAsia" w:ascii="宋体" w:hAnsi="宋体" w:cs="Times New Roman"/>
          <w:color w:val="auto"/>
          <w:sz w:val="24"/>
          <w:highlight w:val="none"/>
          <w:lang w:val="en-US" w:eastAsia="zh-CN"/>
        </w:rPr>
        <w:t>站</w:t>
      </w:r>
      <w:r>
        <w:rPr>
          <w:rFonts w:hint="eastAsia" w:ascii="宋体" w:hAnsi="宋体" w:eastAsia="宋体" w:cs="Times New Roman"/>
          <w:color w:val="auto"/>
          <w:sz w:val="24"/>
          <w:highlight w:val="none"/>
        </w:rPr>
        <w:t>能平稳地继续经营。</w:t>
      </w:r>
    </w:p>
    <w:p w14:paraId="4EB60DCE">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c、相关设备设施的使用权。</w:t>
      </w:r>
    </w:p>
    <w:p w14:paraId="0B04D869">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d、安全生产设备及设施。</w:t>
      </w:r>
    </w:p>
    <w:p w14:paraId="4724B555">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3、上述资产在向甲方移交时应不存在任何留置权、债权、抵押、担保物权或任何种类的其它请求权，且相关设施设备完好率100%，均为可正常使用状态。</w:t>
      </w:r>
    </w:p>
    <w:p w14:paraId="779F91E9">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4、移交文件的签订：甲乙双方共同检查确认满足运营条件及移交条件，双方代表在交接确认书及清单上签字确认并加盖公章，完成交接手续。</w:t>
      </w:r>
    </w:p>
    <w:p w14:paraId="45FB8D9F">
      <w:pPr>
        <w:tabs>
          <w:tab w:val="left" w:pos="904"/>
        </w:tabs>
        <w:snapToGrid w:val="0"/>
        <w:spacing w:line="360" w:lineRule="auto"/>
        <w:ind w:firstLine="240" w:firstLineChars="1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5、甲方按合同约定情形将解除合同关系、终止服务期限的通知送达乙方后，乙方必须无条件接受并在指定期限内向甲方移交经营权（管理权），移交质量要求参照合同约定的其他条款执行。</w:t>
      </w:r>
    </w:p>
    <w:p w14:paraId="3CFD517D">
      <w:pPr>
        <w:snapToGrid w:val="0"/>
        <w:spacing w:line="360" w:lineRule="auto"/>
        <w:ind w:firstLine="480" w:firstLineChars="200"/>
        <w:rPr>
          <w:rFonts w:hint="eastAsia" w:ascii="仿宋_GB2312" w:hAnsi="仿宋_GB2312" w:eastAsia="仿宋_GB2312" w:cs="仿宋_GB2312"/>
          <w:b/>
          <w:bCs/>
          <w:sz w:val="24"/>
        </w:rPr>
      </w:pPr>
      <w:bookmarkStart w:id="307" w:name="_Toc17092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9</w:t>
      </w:r>
      <w:r>
        <w:rPr>
          <w:rFonts w:hint="eastAsia" w:ascii="仿宋_GB2312" w:hAnsi="仿宋_GB2312" w:eastAsia="仿宋_GB2312" w:cs="仿宋_GB2312"/>
          <w:b/>
          <w:bCs/>
          <w:sz w:val="24"/>
        </w:rPr>
        <w:t xml:space="preserve"> </w:t>
      </w:r>
      <w:r>
        <w:rPr>
          <w:rFonts w:hint="eastAsia" w:ascii="宋体" w:hAnsi="宋体" w:eastAsia="宋体" w:cs="Times New Roman"/>
          <w:b/>
          <w:bCs w:val="0"/>
          <w:color w:val="auto"/>
          <w:sz w:val="24"/>
          <w:highlight w:val="none"/>
        </w:rPr>
        <w:t>违约责任</w:t>
      </w:r>
      <w:bookmarkEnd w:id="307"/>
    </w:p>
    <w:p w14:paraId="0C5A0847">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bookmarkStart w:id="308" w:name="_Toc757_WPSOffice_Level1"/>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9</w:t>
      </w:r>
      <w:r>
        <w:rPr>
          <w:rFonts w:hint="eastAsia" w:ascii="宋体" w:hAnsi="宋体" w:eastAsia="宋体" w:cs="Times New Roman"/>
          <w:color w:val="auto"/>
          <w:kern w:val="2"/>
          <w:sz w:val="24"/>
          <w:highlight w:val="none"/>
        </w:rPr>
        <w:t>.1甲方违约责任</w:t>
      </w:r>
      <w:bookmarkEnd w:id="308"/>
    </w:p>
    <w:p w14:paraId="069576D6">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（1）合同执行期间，甲方无正当理由拒收服务的，甲方向乙方偿付拒收服务费总值的百分之五违约金。</w:t>
      </w:r>
    </w:p>
    <w:p w14:paraId="5BA04C62">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（2）甲方无故逾期验收或支付服务费的，甲方应按逾期付款总额每日万分之五向乙方支付违约金。</w:t>
      </w:r>
    </w:p>
    <w:p w14:paraId="4C31BA0E">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（3）甲方未按合同约定时间支付服务费超过</w:t>
      </w:r>
      <w:r>
        <w:rPr>
          <w:rFonts w:hint="eastAsia" w:ascii="宋体" w:hAnsi="宋体" w:eastAsia="宋体" w:cs="Times New Roman"/>
          <w:color w:val="auto"/>
          <w:kern w:val="2"/>
          <w:sz w:val="24"/>
          <w:highlight w:val="none"/>
          <w:lang w:val="en-US" w:eastAsia="zh-CN"/>
        </w:rPr>
        <w:t>10</w:t>
      </w:r>
      <w:r>
        <w:rPr>
          <w:rFonts w:hint="eastAsia" w:ascii="宋体" w:hAnsi="宋体" w:eastAsia="宋体" w:cs="Times New Roman"/>
          <w:color w:val="auto"/>
          <w:kern w:val="2"/>
          <w:sz w:val="24"/>
          <w:highlight w:val="none"/>
        </w:rPr>
        <w:t>0日的，乙方有权单方解除本合同，且不承担任何违约与赔偿责任。</w:t>
      </w:r>
    </w:p>
    <w:p w14:paraId="7FF4B963">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bookmarkStart w:id="309" w:name="_Toc857_WPSOffice_Level1"/>
      <w:r>
        <w:rPr>
          <w:rFonts w:hint="eastAsia" w:ascii="宋体" w:hAnsi="宋体" w:eastAsia="宋体" w:cs="Times New Roman"/>
          <w:color w:val="auto"/>
          <w:kern w:val="2"/>
          <w:sz w:val="24"/>
          <w:highlight w:val="none"/>
        </w:rPr>
        <w:t>3.</w:t>
      </w:r>
      <w:r>
        <w:rPr>
          <w:rFonts w:hint="eastAsia" w:ascii="宋体" w:hAnsi="宋体" w:cs="Times New Roman"/>
          <w:b w:val="0"/>
          <w:bCs w:val="0"/>
          <w:color w:val="auto"/>
          <w:sz w:val="24"/>
          <w:highlight w:val="none"/>
          <w:lang w:val="en-US" w:eastAsia="zh-CN"/>
        </w:rPr>
        <w:t>9</w:t>
      </w:r>
      <w:r>
        <w:rPr>
          <w:rFonts w:hint="eastAsia" w:ascii="宋体" w:hAnsi="宋体" w:eastAsia="宋体" w:cs="Times New Roman"/>
          <w:color w:val="auto"/>
          <w:kern w:val="2"/>
          <w:sz w:val="24"/>
          <w:highlight w:val="none"/>
        </w:rPr>
        <w:t>.2乙方违约责任</w:t>
      </w:r>
      <w:bookmarkEnd w:id="309"/>
    </w:p>
    <w:p w14:paraId="01A36AA2">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（1）乙方若不能履行本合同或运营服务质量、进度达不到要求时，甲方有权要求乙方限期整改并暂时停止一切支付；如乙方能够按要求及时改正方可恢复正常支付。</w:t>
      </w:r>
    </w:p>
    <w:p w14:paraId="192FB439">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2）乙方逾期（或擅自中断（终止）、退场，下同）提供服务的，乙方应按逾期提供服务总额每日百分之五向甲方支付违约金，由甲方从待付服务费中扣除。逾期超过5工作日不能提供服务或提供的服务不满足合同约定的，除乙方支付违约金外，甲方可单方解除本合同。乙方因逾期提供服务或因其他违约行为导致甲方解除合同的，乙方应向甲方支付合同总值百分之五的违约金，如造成甲方损失超过违约金的，超出部分由乙方继续承担赔偿责任。</w:t>
      </w:r>
    </w:p>
    <w:p w14:paraId="22F8003A">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Style w:val="6"/>
          <w:rFonts w:hint="eastAsia" w:ascii="宋体" w:hAnsi="宋体" w:eastAsia="宋体" w:cs="Times New Roman"/>
          <w:color w:val="auto"/>
          <w:kern w:val="2"/>
          <w:sz w:val="24"/>
          <w:highlight w:val="none"/>
        </w:rPr>
        <w:t>（3）运营期间，甲方将不定期组织对乙方的服务质量进行检查，对未按合同要求执行和现场存在隐患、问题等下达整改通知单，乙方未在指定期限内完成整改的，视为乙方违约，甲方有权视情况按500</w:t>
      </w:r>
      <w:r>
        <w:rPr>
          <w:rFonts w:hint="eastAsia" w:ascii="宋体" w:hAnsi="宋体" w:eastAsia="宋体" w:cs="Times New Roman"/>
          <w:color w:val="auto"/>
          <w:kern w:val="2"/>
          <w:sz w:val="24"/>
          <w:highlight w:val="none"/>
        </w:rPr>
        <w:t>-</w:t>
      </w:r>
      <w:r>
        <w:rPr>
          <w:rStyle w:val="6"/>
          <w:rFonts w:hint="eastAsia" w:ascii="宋体" w:hAnsi="宋体" w:eastAsia="宋体" w:cs="Times New Roman"/>
          <w:color w:val="auto"/>
          <w:kern w:val="2"/>
          <w:sz w:val="24"/>
          <w:highlight w:val="none"/>
        </w:rPr>
        <w:t>5000元/次处罚。</w:t>
      </w:r>
    </w:p>
    <w:p w14:paraId="45982AC9">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9</w:t>
      </w:r>
      <w:r>
        <w:rPr>
          <w:rFonts w:hint="eastAsia" w:ascii="宋体" w:hAnsi="宋体" w:eastAsia="宋体" w:cs="Times New Roman"/>
          <w:color w:val="auto"/>
          <w:kern w:val="2"/>
          <w:sz w:val="24"/>
          <w:highlight w:val="none"/>
        </w:rPr>
        <w:t>.</w:t>
      </w:r>
      <w:r>
        <w:rPr>
          <w:rFonts w:hint="eastAsia" w:ascii="宋体" w:hAnsi="宋体" w:cs="Times New Roman"/>
          <w:color w:val="auto"/>
          <w:kern w:val="2"/>
          <w:sz w:val="24"/>
          <w:highlight w:val="none"/>
          <w:lang w:val="en-US" w:eastAsia="zh-CN"/>
        </w:rPr>
        <w:t>3</w:t>
      </w:r>
      <w:r>
        <w:rPr>
          <w:rFonts w:hint="eastAsia" w:ascii="宋体" w:hAnsi="宋体" w:eastAsia="宋体" w:cs="Times New Roman"/>
          <w:color w:val="auto"/>
          <w:kern w:val="2"/>
          <w:sz w:val="24"/>
          <w:highlight w:val="none"/>
        </w:rPr>
        <w:t>乙方违约后，如甲方要求乙方继续履行合同时，乙方承担上述违约责任后仍应继续履行合同。</w:t>
      </w:r>
    </w:p>
    <w:p w14:paraId="1320493E">
      <w:pPr>
        <w:tabs>
          <w:tab w:val="left" w:pos="904"/>
        </w:tabs>
        <w:snapToGrid w:val="0"/>
        <w:spacing w:line="360" w:lineRule="auto"/>
        <w:ind w:firstLine="240" w:firstLineChars="100"/>
        <w:jc w:val="left"/>
        <w:rPr>
          <w:rFonts w:hint="eastAsia" w:ascii="宋体" w:hAnsi="宋体" w:eastAsia="宋体" w:cs="Times New Roman"/>
          <w:b w:val="0"/>
          <w:bCs w:val="0"/>
          <w:color w:val="auto"/>
          <w:sz w:val="24"/>
          <w:highlight w:val="none"/>
        </w:rPr>
      </w:pPr>
      <w:r>
        <w:rPr>
          <w:rFonts w:hint="eastAsia" w:ascii="宋体" w:hAnsi="宋体" w:eastAsia="宋体" w:cs="Times New Roman"/>
          <w:color w:val="auto"/>
          <w:kern w:val="2"/>
          <w:sz w:val="24"/>
          <w:highlight w:val="none"/>
        </w:rPr>
        <w:t>3.</w:t>
      </w:r>
      <w:r>
        <w:rPr>
          <w:rFonts w:hint="eastAsia" w:ascii="宋体" w:hAnsi="宋体" w:cs="Times New Roman"/>
          <w:color w:val="auto"/>
          <w:kern w:val="2"/>
          <w:sz w:val="24"/>
          <w:highlight w:val="none"/>
          <w:lang w:val="en-US" w:eastAsia="zh-CN"/>
        </w:rPr>
        <w:t>9</w:t>
      </w:r>
      <w:r>
        <w:rPr>
          <w:rFonts w:hint="eastAsia" w:ascii="宋体" w:hAnsi="宋体" w:eastAsia="宋体" w:cs="Times New Roman"/>
          <w:color w:val="auto"/>
          <w:kern w:val="2"/>
          <w:sz w:val="24"/>
          <w:highlight w:val="none"/>
        </w:rPr>
        <w:t>.</w:t>
      </w:r>
      <w:r>
        <w:rPr>
          <w:rFonts w:hint="eastAsia" w:ascii="宋体" w:hAnsi="宋体" w:cs="Times New Roman"/>
          <w:color w:val="auto"/>
          <w:kern w:val="2"/>
          <w:sz w:val="24"/>
          <w:highlight w:val="none"/>
          <w:lang w:val="en-US" w:eastAsia="zh-CN"/>
        </w:rPr>
        <w:t>4</w:t>
      </w:r>
      <w:r>
        <w:rPr>
          <w:rFonts w:hint="eastAsia" w:ascii="宋体" w:hAnsi="宋体" w:eastAsia="宋体" w:cs="Times New Roman"/>
          <w:color w:val="auto"/>
          <w:kern w:val="2"/>
          <w:sz w:val="24"/>
          <w:highlight w:val="none"/>
        </w:rPr>
        <w:t>各方在合同执行期间单方违反合同约定的，一方应承担相应责任并赔偿由此造成的对方经济损失（不仅限于行政处罚、鉴定检测费、律师费、诉讼费等）。</w:t>
      </w:r>
    </w:p>
    <w:p w14:paraId="41DE59DF">
      <w:pPr>
        <w:snapToGrid w:val="0"/>
        <w:spacing w:line="360" w:lineRule="auto"/>
        <w:ind w:firstLine="480" w:firstLineChars="200"/>
        <w:rPr>
          <w:rFonts w:ascii="仿宋_GB2312" w:hAnsi="仿宋_GB2312" w:eastAsia="仿宋_GB2312" w:cs="仿宋_GB2312"/>
          <w:b/>
          <w:bCs/>
          <w:sz w:val="24"/>
        </w:rPr>
      </w:pPr>
      <w:bookmarkStart w:id="310" w:name="_Toc18758_WPSOffice_Level2"/>
      <w:r>
        <w:rPr>
          <w:rFonts w:hint="eastAsia" w:ascii="宋体" w:hAnsi="宋体" w:eastAsia="宋体" w:cs="Times New Roman"/>
          <w:b w:val="0"/>
          <w:bCs w:val="0"/>
          <w:color w:val="auto"/>
          <w:sz w:val="24"/>
          <w:highlight w:val="none"/>
        </w:rPr>
        <w:t>3.</w:t>
      </w:r>
      <w:r>
        <w:rPr>
          <w:rFonts w:hint="eastAsia" w:ascii="宋体" w:hAnsi="宋体" w:cs="Times New Roman"/>
          <w:b w:val="0"/>
          <w:bCs w:val="0"/>
          <w:color w:val="auto"/>
          <w:sz w:val="24"/>
          <w:highlight w:val="none"/>
          <w:lang w:val="en-US" w:eastAsia="zh-CN"/>
        </w:rPr>
        <w:t>11</w:t>
      </w:r>
      <w:r>
        <w:rPr>
          <w:rFonts w:hint="eastAsia" w:ascii="仿宋_GB2312" w:hAnsi="仿宋_GB2312" w:eastAsia="仿宋_GB2312" w:cs="仿宋_GB2312"/>
          <w:b/>
          <w:bCs/>
          <w:sz w:val="24"/>
        </w:rPr>
        <w:t xml:space="preserve"> </w:t>
      </w:r>
      <w:r>
        <w:rPr>
          <w:rFonts w:hint="eastAsia" w:ascii="宋体" w:hAnsi="宋体" w:eastAsia="宋体" w:cs="Times New Roman"/>
          <w:b/>
          <w:bCs w:val="0"/>
          <w:color w:val="auto"/>
          <w:sz w:val="24"/>
          <w:highlight w:val="none"/>
        </w:rPr>
        <w:t>不可抗力事件处理</w:t>
      </w:r>
      <w:bookmarkEnd w:id="310"/>
    </w:p>
    <w:p w14:paraId="28881216">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3.1</w:t>
      </w:r>
      <w:r>
        <w:rPr>
          <w:rFonts w:hint="eastAsia" w:ascii="宋体" w:hAnsi="宋体" w:cs="Times New Roman"/>
          <w:color w:val="auto"/>
          <w:kern w:val="2"/>
          <w:sz w:val="24"/>
          <w:highlight w:val="none"/>
          <w:lang w:val="en-US" w:eastAsia="zh-CN"/>
        </w:rPr>
        <w:t>1</w:t>
      </w:r>
      <w:r>
        <w:rPr>
          <w:rFonts w:hint="eastAsia" w:ascii="宋体" w:hAnsi="宋体" w:eastAsia="宋体" w:cs="Times New Roman"/>
          <w:color w:val="auto"/>
          <w:kern w:val="2"/>
          <w:sz w:val="24"/>
          <w:highlight w:val="none"/>
        </w:rPr>
        <w:t>.1 在合同有效期内，任何一方因不可抗力事件导致不能履行合同，则合同履行期可延长，其延长期与不可抗力影响期相同。</w:t>
      </w:r>
    </w:p>
    <w:p w14:paraId="21426794">
      <w:pPr>
        <w:tabs>
          <w:tab w:val="left" w:pos="904"/>
        </w:tabs>
        <w:snapToGrid w:val="0"/>
        <w:spacing w:line="360" w:lineRule="auto"/>
        <w:ind w:firstLine="240" w:firstLineChars="1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3.1</w:t>
      </w:r>
      <w:r>
        <w:rPr>
          <w:rFonts w:hint="eastAsia" w:ascii="宋体" w:hAnsi="宋体" w:cs="Times New Roman"/>
          <w:color w:val="auto"/>
          <w:kern w:val="2"/>
          <w:sz w:val="24"/>
          <w:highlight w:val="none"/>
          <w:lang w:val="en-US" w:eastAsia="zh-CN"/>
        </w:rPr>
        <w:t>1</w:t>
      </w:r>
      <w:r>
        <w:rPr>
          <w:rFonts w:hint="eastAsia" w:ascii="宋体" w:hAnsi="宋体" w:eastAsia="宋体" w:cs="Times New Roman"/>
          <w:color w:val="auto"/>
          <w:kern w:val="2"/>
          <w:sz w:val="24"/>
          <w:highlight w:val="none"/>
        </w:rPr>
        <w:t>.2不可抗力事件发生后，应立即通知对方，并寄送有关权威机构出具的证明。</w:t>
      </w:r>
    </w:p>
    <w:p w14:paraId="2F30818E">
      <w:pPr>
        <w:tabs>
          <w:tab w:val="left" w:pos="904"/>
        </w:tabs>
        <w:snapToGrid w:val="0"/>
        <w:spacing w:line="360" w:lineRule="auto"/>
        <w:ind w:firstLine="240" w:firstLineChars="100"/>
        <w:jc w:val="left"/>
        <w:rPr>
          <w:rFonts w:hint="eastAsia" w:ascii="宋体" w:hAnsi="宋体"/>
          <w:color w:val="auto"/>
          <w:sz w:val="24"/>
          <w:highlight w:val="none"/>
        </w:rPr>
      </w:pPr>
      <w:r>
        <w:rPr>
          <w:rFonts w:hint="eastAsia" w:ascii="宋体" w:hAnsi="宋体" w:eastAsia="宋体" w:cs="Times New Roman"/>
          <w:color w:val="auto"/>
          <w:kern w:val="2"/>
          <w:sz w:val="24"/>
          <w:highlight w:val="none"/>
        </w:rPr>
        <w:t>3.1</w:t>
      </w:r>
      <w:r>
        <w:rPr>
          <w:rFonts w:hint="eastAsia" w:ascii="宋体" w:hAnsi="宋体" w:cs="Times New Roman"/>
          <w:color w:val="auto"/>
          <w:kern w:val="2"/>
          <w:sz w:val="24"/>
          <w:highlight w:val="none"/>
          <w:lang w:val="en-US" w:eastAsia="zh-CN"/>
        </w:rPr>
        <w:t>1</w:t>
      </w:r>
      <w:r>
        <w:rPr>
          <w:rFonts w:hint="eastAsia" w:ascii="宋体" w:hAnsi="宋体" w:eastAsia="宋体" w:cs="Times New Roman"/>
          <w:color w:val="auto"/>
          <w:kern w:val="2"/>
          <w:sz w:val="24"/>
          <w:highlight w:val="none"/>
        </w:rPr>
        <w:t>.3不可抗力事件延续120天以上，双方应通过友好协商，确定是否继续履行合同。</w:t>
      </w:r>
    </w:p>
    <w:p w14:paraId="4E311C29">
      <w:pPr>
        <w:pStyle w:val="7"/>
        <w:spacing w:line="360" w:lineRule="auto"/>
        <w:ind w:left="178" w:leftChars="85"/>
        <w:rPr>
          <w:rFonts w:hAnsi="宋体" w:cs="宋体"/>
          <w:color w:val="auto"/>
          <w:highlight w:val="none"/>
        </w:rPr>
      </w:pPr>
    </w:p>
    <w:p w14:paraId="595AF4A9">
      <w:pPr>
        <w:pStyle w:val="7"/>
        <w:tabs>
          <w:tab w:val="left" w:pos="2472"/>
        </w:tabs>
        <w:spacing w:line="460" w:lineRule="exact"/>
        <w:jc w:val="center"/>
        <w:rPr>
          <w:rFonts w:hAnsi="宋体" w:cs="宋体"/>
          <w:b/>
          <w:color w:val="auto"/>
          <w:sz w:val="36"/>
          <w:highlight w:val="none"/>
        </w:rPr>
      </w:pPr>
    </w:p>
    <w:p w14:paraId="3412E2E6">
      <w:pPr>
        <w:pStyle w:val="7"/>
        <w:tabs>
          <w:tab w:val="left" w:pos="2472"/>
        </w:tabs>
        <w:spacing w:line="460" w:lineRule="exact"/>
        <w:jc w:val="center"/>
        <w:rPr>
          <w:rFonts w:hAnsi="宋体" w:cs="宋体"/>
          <w:b/>
          <w:color w:val="auto"/>
          <w:sz w:val="36"/>
          <w:highlight w:val="none"/>
        </w:rPr>
      </w:pPr>
    </w:p>
    <w:p w14:paraId="5CD80AE1">
      <w:pPr>
        <w:pStyle w:val="7"/>
        <w:tabs>
          <w:tab w:val="left" w:pos="2472"/>
        </w:tabs>
        <w:spacing w:line="460" w:lineRule="exact"/>
        <w:jc w:val="center"/>
        <w:rPr>
          <w:rFonts w:hAnsi="宋体" w:cs="宋体"/>
          <w:b/>
          <w:color w:val="auto"/>
          <w:sz w:val="36"/>
          <w:highlight w:val="none"/>
        </w:rPr>
      </w:pPr>
    </w:p>
    <w:p w14:paraId="1E1A633E">
      <w:pPr>
        <w:pStyle w:val="7"/>
        <w:tabs>
          <w:tab w:val="left" w:pos="2472"/>
        </w:tabs>
        <w:spacing w:line="460" w:lineRule="exact"/>
        <w:jc w:val="center"/>
        <w:rPr>
          <w:rFonts w:hAnsi="宋体" w:cs="宋体"/>
          <w:b/>
          <w:color w:val="auto"/>
          <w:sz w:val="36"/>
          <w:highlight w:val="none"/>
        </w:rPr>
      </w:pPr>
    </w:p>
    <w:p w14:paraId="5494EE7E">
      <w:pPr>
        <w:pStyle w:val="7"/>
        <w:tabs>
          <w:tab w:val="left" w:pos="2472"/>
        </w:tabs>
        <w:spacing w:line="460" w:lineRule="exact"/>
        <w:jc w:val="center"/>
        <w:rPr>
          <w:rFonts w:hAnsi="宋体" w:cs="宋体"/>
          <w:b/>
          <w:color w:val="auto"/>
          <w:sz w:val="36"/>
          <w:highlight w:val="none"/>
        </w:rPr>
      </w:pPr>
    </w:p>
    <w:p w14:paraId="3D3A2DAD">
      <w:pPr>
        <w:pStyle w:val="7"/>
        <w:tabs>
          <w:tab w:val="left" w:pos="2472"/>
        </w:tabs>
        <w:spacing w:line="460" w:lineRule="exact"/>
        <w:jc w:val="center"/>
        <w:rPr>
          <w:rFonts w:hAnsi="宋体" w:cs="宋体"/>
          <w:b/>
          <w:color w:val="auto"/>
          <w:sz w:val="36"/>
          <w:highlight w:val="none"/>
        </w:rPr>
      </w:pPr>
    </w:p>
    <w:p w14:paraId="43559526">
      <w:pPr>
        <w:pStyle w:val="7"/>
        <w:tabs>
          <w:tab w:val="left" w:pos="2472"/>
        </w:tabs>
        <w:spacing w:line="460" w:lineRule="exact"/>
        <w:jc w:val="center"/>
        <w:rPr>
          <w:rFonts w:hAnsi="宋体" w:cs="宋体"/>
          <w:b/>
          <w:color w:val="auto"/>
          <w:sz w:val="36"/>
          <w:highlight w:val="none"/>
        </w:rPr>
      </w:pPr>
    </w:p>
    <w:p w14:paraId="15388CB0">
      <w:pPr>
        <w:pStyle w:val="7"/>
        <w:tabs>
          <w:tab w:val="left" w:pos="2472"/>
        </w:tabs>
        <w:spacing w:line="460" w:lineRule="exact"/>
        <w:jc w:val="center"/>
        <w:rPr>
          <w:rFonts w:hAnsi="宋体" w:cs="宋体"/>
          <w:b/>
          <w:color w:val="auto"/>
          <w:sz w:val="36"/>
          <w:highlight w:val="none"/>
        </w:rPr>
      </w:pPr>
    </w:p>
    <w:p w14:paraId="7EB01C76">
      <w:pPr>
        <w:pStyle w:val="7"/>
        <w:tabs>
          <w:tab w:val="left" w:pos="2472"/>
        </w:tabs>
        <w:spacing w:line="460" w:lineRule="exact"/>
        <w:jc w:val="center"/>
        <w:rPr>
          <w:rFonts w:hAnsi="宋体" w:cs="宋体"/>
          <w:b/>
          <w:color w:val="auto"/>
          <w:sz w:val="36"/>
          <w:highlight w:val="none"/>
        </w:rPr>
      </w:pPr>
    </w:p>
    <w:p w14:paraId="5421B2A9">
      <w:pPr>
        <w:pStyle w:val="7"/>
        <w:tabs>
          <w:tab w:val="left" w:pos="2472"/>
        </w:tabs>
        <w:spacing w:line="460" w:lineRule="exact"/>
        <w:jc w:val="center"/>
        <w:outlineLvl w:val="0"/>
        <w:rPr>
          <w:rFonts w:hAnsi="宋体" w:cs="宋体"/>
          <w:b/>
          <w:color w:val="auto"/>
          <w:sz w:val="36"/>
          <w:highlight w:val="none"/>
        </w:rPr>
      </w:pPr>
      <w:bookmarkStart w:id="311" w:name="_Toc80093010"/>
      <w:bookmarkEnd w:id="311"/>
      <w:r>
        <w:rPr>
          <w:rFonts w:hint="eastAsia" w:hAnsi="宋体" w:cs="宋体"/>
          <w:b/>
          <w:color w:val="auto"/>
          <w:sz w:val="36"/>
          <w:highlight w:val="none"/>
        </w:rPr>
        <w:t>第六章 投标文件格式</w:t>
      </w:r>
    </w:p>
    <w:p w14:paraId="5F5FD371">
      <w:pPr>
        <w:pStyle w:val="7"/>
        <w:spacing w:line="360" w:lineRule="auto"/>
        <w:rPr>
          <w:rFonts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46B1E3E6">
      <w:pPr>
        <w:pStyle w:val="7"/>
        <w:ind w:firstLine="551" w:firstLineChars="196"/>
        <w:jc w:val="center"/>
        <w:outlineLvl w:val="1"/>
        <w:rPr>
          <w:rFonts w:hAnsi="宋体" w:cs="宋体"/>
          <w:b/>
          <w:bCs/>
          <w:color w:val="auto"/>
          <w:sz w:val="28"/>
          <w:szCs w:val="28"/>
          <w:highlight w:val="none"/>
        </w:rPr>
      </w:pPr>
      <w:bookmarkStart w:id="312" w:name="_Toc80093011"/>
      <w:bookmarkEnd w:id="312"/>
      <w:r>
        <w:rPr>
          <w:rFonts w:hint="eastAsia" w:hAnsi="宋体" w:cs="宋体"/>
          <w:b/>
          <w:bCs/>
          <w:color w:val="auto"/>
          <w:sz w:val="28"/>
          <w:szCs w:val="28"/>
          <w:highlight w:val="none"/>
        </w:rPr>
        <w:t>第一节 投标文件外层包装封面格式</w:t>
      </w:r>
    </w:p>
    <w:p w14:paraId="0B915ADA">
      <w:pPr>
        <w:pStyle w:val="7"/>
        <w:ind w:firstLine="551" w:firstLineChars="196"/>
        <w:jc w:val="center"/>
        <w:rPr>
          <w:rFonts w:hAnsi="宋体" w:cs="宋体"/>
          <w:b/>
          <w:bCs/>
          <w:color w:val="auto"/>
          <w:sz w:val="28"/>
          <w:szCs w:val="28"/>
          <w:highlight w:val="none"/>
        </w:rPr>
      </w:pPr>
      <w:r>
        <w:rPr>
          <w:rFonts w:hint="eastAsia" w:hAnsi="宋体" w:cs="宋体"/>
          <w:b/>
          <w:bCs/>
          <w:color w:val="auto"/>
          <w:sz w:val="28"/>
          <w:szCs w:val="28"/>
          <w:highlight w:val="none"/>
        </w:rPr>
        <w:t>（</w:t>
      </w:r>
      <w:r>
        <w:rPr>
          <w:rFonts w:hint="eastAsia" w:hAnsi="宋体" w:cs="宋体"/>
          <w:color w:val="auto"/>
          <w:sz w:val="28"/>
          <w:szCs w:val="28"/>
          <w:highlight w:val="none"/>
        </w:rPr>
        <w:t>公开、邀请招标服务类投标文件格式范本</w:t>
      </w:r>
      <w:r>
        <w:rPr>
          <w:rFonts w:hint="eastAsia" w:hAnsi="宋体" w:cs="宋体"/>
          <w:b/>
          <w:bCs/>
          <w:color w:val="auto"/>
          <w:sz w:val="28"/>
          <w:szCs w:val="28"/>
          <w:highlight w:val="none"/>
        </w:rPr>
        <w:t>）</w:t>
      </w:r>
    </w:p>
    <w:p w14:paraId="10745305">
      <w:pPr>
        <w:spacing w:before="120" w:after="120"/>
        <w:jc w:val="center"/>
        <w:rPr>
          <w:rFonts w:ascii="宋体" w:hAnsi="宋体" w:cs="宋体"/>
          <w:color w:val="auto"/>
          <w:sz w:val="44"/>
          <w:szCs w:val="44"/>
          <w:highlight w:val="none"/>
        </w:rPr>
      </w:pPr>
    </w:p>
    <w:p w14:paraId="6D282BDE">
      <w:pPr>
        <w:spacing w:before="120" w:after="120"/>
        <w:jc w:val="center"/>
        <w:rPr>
          <w:rFonts w:ascii="宋体" w:hAnsi="宋体" w:cs="宋体"/>
          <w:color w:val="auto"/>
          <w:sz w:val="44"/>
          <w:szCs w:val="44"/>
          <w:highlight w:val="none"/>
        </w:rPr>
      </w:pPr>
    </w:p>
    <w:p w14:paraId="0BC96642">
      <w:pPr>
        <w:spacing w:before="120" w:after="120"/>
        <w:jc w:val="center"/>
        <w:rPr>
          <w:rFonts w:ascii="宋体" w:hAnsi="宋体" w:cs="宋体"/>
          <w:color w:val="auto"/>
          <w:sz w:val="44"/>
          <w:szCs w:val="44"/>
          <w:highlight w:val="none"/>
        </w:rPr>
      </w:pPr>
    </w:p>
    <w:p w14:paraId="012B1BB3">
      <w:pPr>
        <w:spacing w:before="120" w:after="120"/>
        <w:jc w:val="center"/>
        <w:rPr>
          <w:rFonts w:ascii="宋体" w:hAnsi="宋体" w:cs="宋体"/>
          <w:color w:val="auto"/>
          <w:sz w:val="44"/>
          <w:szCs w:val="44"/>
          <w:highlight w:val="none"/>
        </w:rPr>
      </w:pPr>
    </w:p>
    <w:p w14:paraId="74111FE5">
      <w:pPr>
        <w:spacing w:before="120" w:after="120"/>
        <w:jc w:val="center"/>
        <w:rPr>
          <w:rFonts w:ascii="宋体" w:hAnsi="宋体" w:cs="宋体"/>
          <w:color w:val="auto"/>
          <w:sz w:val="44"/>
          <w:szCs w:val="44"/>
          <w:highlight w:val="none"/>
        </w:rPr>
      </w:pPr>
      <w:r>
        <w:rPr>
          <w:rFonts w:hint="eastAsia" w:ascii="宋体" w:hAnsi="宋体" w:cs="宋体"/>
          <w:color w:val="auto"/>
          <w:sz w:val="44"/>
          <w:szCs w:val="44"/>
          <w:highlight w:val="none"/>
        </w:rPr>
        <w:t>XXXXX（项目名称）</w:t>
      </w:r>
    </w:p>
    <w:p w14:paraId="0FCEEC6E">
      <w:pPr>
        <w:spacing w:before="120" w:after="120"/>
        <w:jc w:val="center"/>
        <w:rPr>
          <w:rFonts w:ascii="宋体" w:hAnsi="宋体" w:cs="宋体"/>
          <w:color w:val="auto"/>
          <w:sz w:val="44"/>
          <w:szCs w:val="44"/>
          <w:highlight w:val="none"/>
        </w:rPr>
      </w:pPr>
      <w:r>
        <w:rPr>
          <w:rFonts w:hint="eastAsia" w:ascii="宋体" w:hAnsi="宋体" w:cs="宋体"/>
          <w:color w:val="auto"/>
          <w:sz w:val="44"/>
          <w:szCs w:val="44"/>
          <w:highlight w:val="none"/>
        </w:rPr>
        <w:t>投标文件</w:t>
      </w:r>
    </w:p>
    <w:p w14:paraId="527007E2">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5"/>
        <w:tblW w:w="0" w:type="auto"/>
        <w:jc w:val="center"/>
        <w:tblLayout w:type="fixed"/>
        <w:tblCellMar>
          <w:top w:w="0" w:type="dxa"/>
          <w:left w:w="108" w:type="dxa"/>
          <w:bottom w:w="0" w:type="dxa"/>
          <w:right w:w="108" w:type="dxa"/>
        </w:tblCellMar>
      </w:tblPr>
      <w:tblGrid>
        <w:gridCol w:w="1601"/>
        <w:gridCol w:w="6172"/>
      </w:tblGrid>
      <w:tr w14:paraId="6C648591">
        <w:tblPrEx>
          <w:tblCellMar>
            <w:top w:w="0" w:type="dxa"/>
            <w:left w:w="108" w:type="dxa"/>
            <w:bottom w:w="0" w:type="dxa"/>
            <w:right w:w="108" w:type="dxa"/>
          </w:tblCellMar>
        </w:tblPrEx>
        <w:trPr>
          <w:jc w:val="center"/>
        </w:trPr>
        <w:tc>
          <w:tcPr>
            <w:tcW w:w="1601" w:type="dxa"/>
            <w:vAlign w:val="bottom"/>
          </w:tcPr>
          <w:p w14:paraId="71C278A1">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vAlign w:val="bottom"/>
          </w:tcPr>
          <w:p w14:paraId="460C6BD5">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青秀区农村生活污水处理项目运维服务</w:t>
            </w:r>
          </w:p>
        </w:tc>
      </w:tr>
      <w:tr w14:paraId="22A14832">
        <w:tblPrEx>
          <w:tblCellMar>
            <w:top w:w="0" w:type="dxa"/>
            <w:left w:w="108" w:type="dxa"/>
            <w:bottom w:w="0" w:type="dxa"/>
            <w:right w:w="108" w:type="dxa"/>
          </w:tblCellMar>
        </w:tblPrEx>
        <w:trPr>
          <w:jc w:val="center"/>
        </w:trPr>
        <w:tc>
          <w:tcPr>
            <w:tcW w:w="1601" w:type="dxa"/>
            <w:vAlign w:val="bottom"/>
          </w:tcPr>
          <w:p w14:paraId="0488F6C6">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vAlign w:val="bottom"/>
          </w:tcPr>
          <w:p w14:paraId="0A0914A2">
            <w:pPr>
              <w:jc w:val="left"/>
              <w:rPr>
                <w:rFonts w:ascii="宋体" w:hAnsi="宋体" w:cs="宋体"/>
                <w:color w:val="auto"/>
                <w:sz w:val="24"/>
                <w:highlight w:val="none"/>
              </w:rPr>
            </w:pPr>
          </w:p>
        </w:tc>
      </w:tr>
      <w:tr w14:paraId="27704A49">
        <w:tblPrEx>
          <w:tblCellMar>
            <w:top w:w="0" w:type="dxa"/>
            <w:left w:w="108" w:type="dxa"/>
            <w:bottom w:w="0" w:type="dxa"/>
            <w:right w:w="108" w:type="dxa"/>
          </w:tblCellMar>
        </w:tblPrEx>
        <w:trPr>
          <w:jc w:val="center"/>
        </w:trPr>
        <w:tc>
          <w:tcPr>
            <w:tcW w:w="1601" w:type="dxa"/>
            <w:vAlign w:val="bottom"/>
          </w:tcPr>
          <w:p w14:paraId="0FEA3817">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vAlign w:val="bottom"/>
          </w:tcPr>
          <w:p w14:paraId="1829DACB">
            <w:pPr>
              <w:jc w:val="left"/>
              <w:rPr>
                <w:rFonts w:ascii="宋体" w:hAnsi="宋体" w:cs="宋体"/>
                <w:color w:val="auto"/>
                <w:sz w:val="24"/>
                <w:highlight w:val="none"/>
              </w:rPr>
            </w:pPr>
          </w:p>
        </w:tc>
      </w:tr>
      <w:tr w14:paraId="4D0E51A4">
        <w:tblPrEx>
          <w:tblCellMar>
            <w:top w:w="0" w:type="dxa"/>
            <w:left w:w="108" w:type="dxa"/>
            <w:bottom w:w="0" w:type="dxa"/>
            <w:right w:w="108" w:type="dxa"/>
          </w:tblCellMar>
        </w:tblPrEx>
        <w:trPr>
          <w:jc w:val="center"/>
        </w:trPr>
        <w:tc>
          <w:tcPr>
            <w:tcW w:w="1601" w:type="dxa"/>
            <w:vAlign w:val="bottom"/>
          </w:tcPr>
          <w:p w14:paraId="4369E983">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vAlign w:val="bottom"/>
          </w:tcPr>
          <w:p w14:paraId="7EAC1B9E">
            <w:pPr>
              <w:jc w:val="left"/>
              <w:rPr>
                <w:rFonts w:ascii="宋体" w:hAnsi="宋体" w:cs="宋体"/>
                <w:color w:val="auto"/>
                <w:sz w:val="24"/>
                <w:highlight w:val="none"/>
              </w:rPr>
            </w:pPr>
          </w:p>
        </w:tc>
      </w:tr>
      <w:tr w14:paraId="3FE84DD8">
        <w:tblPrEx>
          <w:tblCellMar>
            <w:top w:w="0" w:type="dxa"/>
            <w:left w:w="108" w:type="dxa"/>
            <w:bottom w:w="0" w:type="dxa"/>
            <w:right w:w="108" w:type="dxa"/>
          </w:tblCellMar>
        </w:tblPrEx>
        <w:trPr>
          <w:jc w:val="center"/>
        </w:trPr>
        <w:tc>
          <w:tcPr>
            <w:tcW w:w="1601" w:type="dxa"/>
            <w:vAlign w:val="bottom"/>
          </w:tcPr>
          <w:p w14:paraId="03AB8749">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vAlign w:val="bottom"/>
          </w:tcPr>
          <w:p w14:paraId="7E7D86CB">
            <w:pPr>
              <w:jc w:val="left"/>
              <w:rPr>
                <w:rFonts w:ascii="宋体" w:hAnsi="宋体" w:cs="宋体"/>
                <w:color w:val="auto"/>
                <w:sz w:val="24"/>
                <w:highlight w:val="none"/>
              </w:rPr>
            </w:pPr>
          </w:p>
        </w:tc>
      </w:tr>
      <w:tr w14:paraId="4CD7E43C">
        <w:tblPrEx>
          <w:tblCellMar>
            <w:top w:w="0" w:type="dxa"/>
            <w:left w:w="108" w:type="dxa"/>
            <w:bottom w:w="0" w:type="dxa"/>
            <w:right w:w="108" w:type="dxa"/>
          </w:tblCellMar>
        </w:tblPrEx>
        <w:trPr>
          <w:jc w:val="center"/>
        </w:trPr>
        <w:tc>
          <w:tcPr>
            <w:tcW w:w="1601" w:type="dxa"/>
            <w:vAlign w:val="bottom"/>
          </w:tcPr>
          <w:p w14:paraId="528519E4">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vAlign w:val="bottom"/>
          </w:tcPr>
          <w:p w14:paraId="732A47F3">
            <w:pPr>
              <w:jc w:val="left"/>
              <w:rPr>
                <w:rFonts w:ascii="宋体" w:hAnsi="宋体" w:cs="宋体"/>
                <w:color w:val="auto"/>
                <w:sz w:val="24"/>
                <w:highlight w:val="none"/>
              </w:rPr>
            </w:pPr>
          </w:p>
        </w:tc>
      </w:tr>
    </w:tbl>
    <w:p w14:paraId="4BAD43F0">
      <w:pPr>
        <w:ind w:firstLine="4200" w:firstLineChars="1750"/>
        <w:rPr>
          <w:rFonts w:ascii="宋体" w:hAnsi="宋体" w:cs="宋体"/>
          <w:color w:val="auto"/>
          <w:sz w:val="24"/>
          <w:highlight w:val="none"/>
        </w:rPr>
      </w:pPr>
    </w:p>
    <w:p w14:paraId="24924530">
      <w:pPr>
        <w:ind w:firstLine="4200" w:firstLineChars="1750"/>
        <w:rPr>
          <w:rFonts w:ascii="宋体" w:hAnsi="宋体" w:cs="宋体"/>
          <w:color w:val="auto"/>
          <w:sz w:val="24"/>
          <w:highlight w:val="none"/>
        </w:rPr>
      </w:pPr>
    </w:p>
    <w:p w14:paraId="35836070">
      <w:pPr>
        <w:ind w:firstLine="4200" w:firstLineChars="1750"/>
        <w:rPr>
          <w:rFonts w:ascii="宋体" w:hAnsi="宋体" w:cs="宋体"/>
          <w:color w:val="auto"/>
          <w:sz w:val="24"/>
          <w:highlight w:val="none"/>
        </w:rPr>
      </w:pPr>
    </w:p>
    <w:p w14:paraId="0F18C345">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6324FD34">
      <w:pPr>
        <w:ind w:firstLine="6480" w:firstLineChars="2700"/>
        <w:rPr>
          <w:rFonts w:ascii="宋体" w:hAnsi="宋体" w:cs="宋体"/>
          <w:color w:val="auto"/>
          <w:sz w:val="24"/>
          <w:highlight w:val="none"/>
        </w:rPr>
        <w:sectPr>
          <w:footerReference r:id="rId9" w:type="default"/>
          <w:pgSz w:w="11907" w:h="16840"/>
          <w:pgMar w:top="1440" w:right="1080" w:bottom="1440" w:left="1080" w:header="720" w:footer="720" w:gutter="0"/>
          <w:pgNumType w:fmt="decimal"/>
          <w:cols w:space="720" w:num="1"/>
          <w:docGrid w:linePitch="285" w:charSpace="0"/>
        </w:sectPr>
      </w:pPr>
      <w:r>
        <w:rPr>
          <w:rFonts w:hint="eastAsia" w:ascii="宋体" w:hAnsi="宋体" w:cs="宋体"/>
          <w:color w:val="auto"/>
          <w:sz w:val="24"/>
          <w:highlight w:val="none"/>
        </w:rPr>
        <w:t>年   月   日</w:t>
      </w:r>
    </w:p>
    <w:p w14:paraId="37995BC5">
      <w:pPr>
        <w:pStyle w:val="7"/>
        <w:jc w:val="center"/>
        <w:outlineLvl w:val="1"/>
        <w:rPr>
          <w:rFonts w:hAnsi="宋体" w:cs="宋体"/>
          <w:b/>
          <w:bCs/>
          <w:color w:val="auto"/>
          <w:sz w:val="28"/>
          <w:szCs w:val="28"/>
          <w:highlight w:val="none"/>
        </w:rPr>
      </w:pPr>
      <w:bookmarkStart w:id="313" w:name="_Toc80093012"/>
      <w:bookmarkEnd w:id="313"/>
      <w:r>
        <w:rPr>
          <w:rFonts w:hint="eastAsia" w:hAnsi="宋体" w:cs="宋体"/>
          <w:b/>
          <w:bCs/>
          <w:color w:val="auto"/>
          <w:sz w:val="28"/>
          <w:szCs w:val="28"/>
          <w:highlight w:val="none"/>
        </w:rPr>
        <w:t>第二节 资格证明文件格式</w:t>
      </w:r>
    </w:p>
    <w:p w14:paraId="68B08FF2">
      <w:pPr>
        <w:pStyle w:val="7"/>
        <w:spacing w:line="360" w:lineRule="auto"/>
        <w:ind w:firstLine="420"/>
        <w:rPr>
          <w:rFonts w:hAnsi="宋体" w:cs="宋体"/>
          <w:color w:val="auto"/>
          <w:sz w:val="30"/>
          <w:highlight w:val="none"/>
        </w:rPr>
      </w:pPr>
    </w:p>
    <w:p w14:paraId="148F896C">
      <w:pPr>
        <w:snapToGrid w:val="0"/>
        <w:spacing w:before="165" w:after="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29A87578">
      <w:pPr>
        <w:snapToGrid w:val="0"/>
        <w:spacing w:before="165" w:after="50"/>
        <w:rPr>
          <w:rFonts w:ascii="宋体" w:hAnsi="宋体" w:cs="宋体"/>
          <w:color w:val="auto"/>
          <w:sz w:val="24"/>
          <w:szCs w:val="20"/>
          <w:highlight w:val="none"/>
        </w:rPr>
      </w:pPr>
    </w:p>
    <w:p w14:paraId="1489FAEA">
      <w:pPr>
        <w:snapToGrid w:val="0"/>
        <w:spacing w:before="165"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资格证明文件（封面）</w:t>
      </w:r>
    </w:p>
    <w:p w14:paraId="07088722">
      <w:pPr>
        <w:snapToGrid w:val="0"/>
        <w:spacing w:before="165" w:after="50"/>
        <w:rPr>
          <w:rFonts w:ascii="宋体" w:hAnsi="宋体" w:cs="宋体"/>
          <w:bCs/>
          <w:color w:val="auto"/>
          <w:sz w:val="24"/>
          <w:szCs w:val="20"/>
          <w:highlight w:val="none"/>
        </w:rPr>
      </w:pPr>
    </w:p>
    <w:p w14:paraId="30711C91">
      <w:pPr>
        <w:snapToGrid w:val="0"/>
        <w:spacing w:before="165" w:after="50"/>
        <w:rPr>
          <w:rFonts w:ascii="宋体" w:hAnsi="宋体" w:cs="宋体"/>
          <w:bCs/>
          <w:color w:val="auto"/>
          <w:sz w:val="24"/>
          <w:szCs w:val="20"/>
          <w:highlight w:val="none"/>
        </w:rPr>
      </w:pPr>
    </w:p>
    <w:p w14:paraId="19DB1D96">
      <w:pPr>
        <w:snapToGrid w:val="0"/>
        <w:spacing w:before="165" w:after="50"/>
        <w:rPr>
          <w:rFonts w:ascii="宋体" w:hAnsi="宋体" w:cs="宋体"/>
          <w:bCs/>
          <w:color w:val="auto"/>
          <w:sz w:val="24"/>
          <w:szCs w:val="20"/>
          <w:highlight w:val="none"/>
        </w:rPr>
      </w:pPr>
    </w:p>
    <w:p w14:paraId="504007B2">
      <w:pPr>
        <w:snapToGrid w:val="0"/>
        <w:spacing w:before="165" w:after="50"/>
        <w:rPr>
          <w:rFonts w:ascii="宋体" w:hAnsi="宋体" w:cs="宋体"/>
          <w:bCs/>
          <w:color w:val="auto"/>
          <w:sz w:val="24"/>
          <w:szCs w:val="20"/>
          <w:highlight w:val="none"/>
        </w:rPr>
      </w:pPr>
    </w:p>
    <w:p w14:paraId="2B01599E">
      <w:pPr>
        <w:snapToGrid w:val="0"/>
        <w:spacing w:before="165" w:after="50"/>
        <w:rPr>
          <w:rFonts w:ascii="宋体" w:hAnsi="宋体" w:cs="宋体"/>
          <w:bCs/>
          <w:color w:val="auto"/>
          <w:sz w:val="24"/>
          <w:szCs w:val="20"/>
          <w:highlight w:val="none"/>
        </w:rPr>
      </w:pPr>
    </w:p>
    <w:p w14:paraId="631BCFAF">
      <w:pPr>
        <w:snapToGrid w:val="0"/>
        <w:spacing w:before="165" w:after="50"/>
        <w:rPr>
          <w:rFonts w:ascii="宋体" w:hAnsi="宋体" w:cs="宋体"/>
          <w:bCs/>
          <w:color w:val="auto"/>
          <w:sz w:val="24"/>
          <w:szCs w:val="20"/>
          <w:highlight w:val="none"/>
        </w:rPr>
      </w:pPr>
    </w:p>
    <w:p w14:paraId="0258183B">
      <w:pPr>
        <w:snapToGrid w:val="0"/>
        <w:spacing w:before="165" w:after="50"/>
        <w:rPr>
          <w:rFonts w:ascii="宋体" w:hAnsi="宋体" w:cs="宋体"/>
          <w:bCs/>
          <w:color w:val="auto"/>
          <w:sz w:val="24"/>
          <w:szCs w:val="20"/>
          <w:highlight w:val="none"/>
        </w:rPr>
      </w:pPr>
    </w:p>
    <w:p w14:paraId="7DD1943E">
      <w:pPr>
        <w:snapToGrid w:val="0"/>
        <w:spacing w:before="165" w:after="50"/>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青秀区农村生活污水处理项目运维服务</w:t>
      </w:r>
    </w:p>
    <w:p w14:paraId="7BCF6024">
      <w:pPr>
        <w:snapToGrid w:val="0"/>
        <w:spacing w:before="165" w:after="50"/>
        <w:ind w:firstLine="540" w:firstLineChars="225"/>
        <w:rPr>
          <w:rFonts w:ascii="宋体" w:hAnsi="宋体" w:cs="宋体"/>
          <w:bCs/>
          <w:color w:val="auto"/>
          <w:sz w:val="24"/>
          <w:szCs w:val="20"/>
          <w:highlight w:val="none"/>
        </w:rPr>
      </w:pPr>
    </w:p>
    <w:p w14:paraId="2160CFA2">
      <w:pPr>
        <w:snapToGrid w:val="0"/>
        <w:spacing w:before="165" w:after="50"/>
        <w:ind w:firstLine="540" w:firstLineChars="225"/>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461AF761">
      <w:pPr>
        <w:pStyle w:val="23"/>
      </w:pPr>
    </w:p>
    <w:p w14:paraId="7E0A0398">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3AB8FC7B">
      <w:pPr>
        <w:pStyle w:val="24"/>
        <w:snapToGrid w:val="0"/>
        <w:spacing w:before="50" w:after="50"/>
        <w:ind w:firstLine="540" w:firstLineChars="225"/>
        <w:rPr>
          <w:rFonts w:ascii="宋体" w:hAnsi="宋体" w:cs="宋体"/>
          <w:bCs/>
          <w:color w:val="auto"/>
          <w:sz w:val="24"/>
          <w:szCs w:val="24"/>
          <w:highlight w:val="none"/>
        </w:rPr>
      </w:pPr>
    </w:p>
    <w:p w14:paraId="689B1B92">
      <w:pPr>
        <w:pStyle w:val="24"/>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1EA0D79">
      <w:pPr>
        <w:pStyle w:val="24"/>
        <w:snapToGrid w:val="0"/>
        <w:spacing w:before="50" w:after="50"/>
        <w:ind w:firstLine="540" w:firstLineChars="225"/>
        <w:rPr>
          <w:rFonts w:ascii="宋体" w:hAnsi="宋体" w:cs="宋体"/>
          <w:bCs/>
          <w:color w:val="auto"/>
          <w:sz w:val="24"/>
          <w:szCs w:val="24"/>
          <w:highlight w:val="none"/>
        </w:rPr>
      </w:pPr>
    </w:p>
    <w:p w14:paraId="4870253F">
      <w:pPr>
        <w:pStyle w:val="24"/>
        <w:snapToGrid w:val="0"/>
        <w:spacing w:before="50" w:after="50"/>
        <w:ind w:firstLine="960" w:firstLineChars="400"/>
        <w:rPr>
          <w:rFonts w:ascii="宋体" w:hAnsi="宋体" w:cs="宋体"/>
          <w:bCs/>
          <w:color w:val="auto"/>
          <w:sz w:val="24"/>
          <w:szCs w:val="24"/>
          <w:highlight w:val="none"/>
        </w:rPr>
      </w:pPr>
    </w:p>
    <w:p w14:paraId="25FD9167">
      <w:pPr>
        <w:snapToGrid w:val="0"/>
        <w:spacing w:before="165"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188BDCCE">
      <w:pPr>
        <w:pStyle w:val="7"/>
        <w:spacing w:line="360" w:lineRule="auto"/>
        <w:ind w:firstLine="420"/>
        <w:rPr>
          <w:rFonts w:hAnsi="宋体" w:cs="宋体"/>
          <w:color w:val="auto"/>
          <w:sz w:val="30"/>
          <w:highlight w:val="none"/>
        </w:rPr>
        <w:sectPr>
          <w:pgSz w:w="11906" w:h="16838"/>
          <w:pgMar w:top="1440" w:right="1080" w:bottom="1440" w:left="1080" w:header="720" w:footer="720" w:gutter="0"/>
          <w:pgNumType w:fmt="decimal"/>
          <w:cols w:space="720" w:num="1"/>
          <w:docGrid w:type="lines" w:linePitch="331" w:charSpace="0"/>
        </w:sectPr>
      </w:pPr>
    </w:p>
    <w:p w14:paraId="2F9AEE12">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0FAFDADF">
      <w:pPr>
        <w:snapToGrid w:val="0"/>
        <w:spacing w:line="360" w:lineRule="auto"/>
        <w:rPr>
          <w:rFonts w:ascii="宋体" w:hAnsi="宋体" w:cs="宋体"/>
          <w:color w:val="auto"/>
          <w:kern w:val="0"/>
          <w:sz w:val="24"/>
          <w:highlight w:val="none"/>
        </w:rPr>
      </w:pPr>
    </w:p>
    <w:p w14:paraId="3F980E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55D70C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7CD0E8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2A6DDB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kern w:val="0"/>
          <w:sz w:val="24"/>
          <w:highlight w:val="none"/>
        </w:rPr>
        <w:t>…………………………………………………………（页码）</w:t>
      </w:r>
    </w:p>
    <w:p w14:paraId="03171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五、投标人直接</w:t>
      </w:r>
      <w:r>
        <w:rPr>
          <w:rFonts w:hint="eastAsia" w:ascii="宋体" w:hAnsi="宋体" w:cs="宋体"/>
          <w:color w:val="auto"/>
          <w:sz w:val="24"/>
          <w:highlight w:val="none"/>
          <w:lang w:val="en-US" w:eastAsia="zh-CN"/>
        </w:rPr>
        <w:t>管理</w:t>
      </w:r>
      <w:r>
        <w:rPr>
          <w:rFonts w:hint="eastAsia" w:ascii="宋体" w:hAnsi="宋体" w:cs="宋体"/>
          <w:color w:val="auto"/>
          <w:sz w:val="24"/>
          <w:highlight w:val="none"/>
        </w:rPr>
        <w:t>关系信息表</w:t>
      </w:r>
      <w:r>
        <w:rPr>
          <w:rFonts w:hint="eastAsia" w:ascii="宋体" w:hAnsi="宋体" w:cs="宋体"/>
          <w:color w:val="auto"/>
          <w:kern w:val="0"/>
          <w:sz w:val="24"/>
          <w:highlight w:val="none"/>
        </w:rPr>
        <w:t>………………………………………………………（页码）</w:t>
      </w:r>
    </w:p>
    <w:p w14:paraId="5183D6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4412C2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七、</w:t>
      </w:r>
      <w:r>
        <w:rPr>
          <w:rFonts w:hint="eastAsia" w:ascii="宋体" w:hAnsi="宋体" w:cs="宋体"/>
          <w:color w:val="auto"/>
          <w:kern w:val="0"/>
          <w:sz w:val="24"/>
          <w:highlight w:val="none"/>
        </w:rPr>
        <w:t>中小企业声明函或残疾人福利性单位声明函或监狱企业证明…………………（页码）</w:t>
      </w:r>
    </w:p>
    <w:p w14:paraId="4FF602D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E462EEC">
      <w:pPr>
        <w:pStyle w:val="7"/>
        <w:spacing w:line="360" w:lineRule="auto"/>
        <w:ind w:firstLine="420"/>
        <w:rPr>
          <w:rFonts w:hAnsi="宋体" w:cs="宋体"/>
          <w:color w:val="auto"/>
          <w:sz w:val="30"/>
          <w:highlight w:val="none"/>
        </w:rPr>
        <w:sectPr>
          <w:pgSz w:w="11906" w:h="16838"/>
          <w:pgMar w:top="1440" w:right="1080" w:bottom="1440" w:left="1080" w:header="720" w:footer="720" w:gutter="0"/>
          <w:pgNumType w:fmt="decimal"/>
          <w:cols w:space="720" w:num="1"/>
          <w:docGrid w:type="lines" w:linePitch="331" w:charSpace="0"/>
        </w:sectPr>
      </w:pPr>
    </w:p>
    <w:p w14:paraId="7F2E0D08">
      <w:pPr>
        <w:snapToGrid w:val="0"/>
        <w:spacing w:line="360" w:lineRule="auto"/>
        <w:rPr>
          <w:rFonts w:ascii="宋体" w:hAnsi="宋体" w:cs="宋体"/>
          <w:b/>
          <w:color w:val="auto"/>
          <w:kern w:val="0"/>
          <w:sz w:val="32"/>
          <w:szCs w:val="32"/>
          <w:highlight w:val="none"/>
          <w:lang w:val="zh-CN"/>
        </w:rPr>
      </w:pPr>
    </w:p>
    <w:p w14:paraId="2C0B1C47">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678B99B0">
      <w:pPr>
        <w:spacing w:line="360" w:lineRule="auto"/>
        <w:rPr>
          <w:rFonts w:ascii="宋体" w:hAnsi="宋体" w:cs="宋体"/>
          <w:b/>
          <w:color w:val="auto"/>
          <w:sz w:val="30"/>
          <w:szCs w:val="30"/>
          <w:highlight w:val="none"/>
        </w:rPr>
      </w:pPr>
    </w:p>
    <w:p w14:paraId="35FC49D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1A19A3F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0FD6B5">
      <w:pPr>
        <w:spacing w:line="360" w:lineRule="auto"/>
        <w:jc w:val="center"/>
        <w:rPr>
          <w:rFonts w:ascii="宋体" w:hAnsi="宋体" w:cs="宋体"/>
          <w:b/>
          <w:color w:val="auto"/>
          <w:sz w:val="30"/>
          <w:szCs w:val="30"/>
          <w:highlight w:val="none"/>
        </w:rPr>
      </w:pPr>
    </w:p>
    <w:p w14:paraId="5D1BEBD9">
      <w:pPr>
        <w:snapToGrid w:val="0"/>
        <w:spacing w:line="360" w:lineRule="auto"/>
        <w:ind w:right="480"/>
        <w:jc w:val="center"/>
        <w:rPr>
          <w:rFonts w:ascii="宋体" w:hAnsi="宋体" w:cs="宋体"/>
          <w:b/>
          <w:color w:val="auto"/>
          <w:sz w:val="30"/>
          <w:szCs w:val="30"/>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1CD7E164">
      <w:pPr>
        <w:snapToGrid w:val="0"/>
        <w:spacing w:line="360" w:lineRule="auto"/>
        <w:ind w:firstLine="480" w:firstLineChars="200"/>
        <w:rPr>
          <w:rFonts w:ascii="宋体" w:hAnsi="宋体" w:cs="宋体"/>
          <w:color w:val="auto"/>
          <w:sz w:val="24"/>
          <w:highlight w:val="none"/>
        </w:rPr>
      </w:pPr>
    </w:p>
    <w:p w14:paraId="3FD0ED6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79AAF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w:t>
      </w:r>
    </w:p>
    <w:p w14:paraId="36E996C7">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03738E7">
      <w:pPr>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78B5CA30">
      <w:pPr>
        <w:snapToGrid w:val="0"/>
        <w:spacing w:line="360" w:lineRule="auto"/>
        <w:ind w:firstLine="480" w:firstLineChars="200"/>
        <w:rPr>
          <w:rFonts w:ascii="宋体" w:hAnsi="宋体" w:cs="宋体"/>
          <w:color w:val="auto"/>
          <w:sz w:val="24"/>
          <w:highlight w:val="none"/>
        </w:rPr>
      </w:pPr>
    </w:p>
    <w:p w14:paraId="66F0720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B67EE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w:t>
      </w:r>
    </w:p>
    <w:p w14:paraId="235FB083">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5C7920">
      <w:pPr>
        <w:snapToGrid w:val="0"/>
        <w:spacing w:line="360" w:lineRule="auto"/>
        <w:ind w:firstLine="5160" w:firstLineChars="2150"/>
        <w:rPr>
          <w:rFonts w:ascii="宋体" w:hAnsi="宋体" w:cs="宋体"/>
          <w:color w:val="auto"/>
          <w:kern w:val="0"/>
          <w:sz w:val="24"/>
          <w:highlight w:val="none"/>
          <w:lang w:val="zh-CN"/>
        </w:rPr>
      </w:pPr>
    </w:p>
    <w:p w14:paraId="29B16913">
      <w:pPr>
        <w:snapToGrid w:val="0"/>
        <w:spacing w:line="360" w:lineRule="auto"/>
        <w:ind w:right="480"/>
        <w:jc w:val="center"/>
        <w:rPr>
          <w:rFonts w:ascii="宋体" w:hAnsi="宋体" w:cs="宋体"/>
          <w:b/>
          <w:color w:val="auto"/>
          <w:kern w:val="0"/>
          <w:sz w:val="32"/>
          <w:szCs w:val="32"/>
          <w:highlight w:val="none"/>
          <w:lang w:val="zh-CN"/>
        </w:rPr>
      </w:pPr>
    </w:p>
    <w:p w14:paraId="07FD73B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5543449">
      <w:pPr>
        <w:snapToGrid w:val="0"/>
        <w:spacing w:before="50" w:after="165"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5"/>
        <w:tblW w:w="0" w:type="auto"/>
        <w:tblInd w:w="-120" w:type="dxa"/>
        <w:shd w:val="clear" w:color="auto" w:fill="FBFBFB"/>
        <w:tblLayout w:type="fixed"/>
        <w:tblCellMar>
          <w:top w:w="120" w:type="dxa"/>
          <w:left w:w="120" w:type="dxa"/>
          <w:bottom w:w="120" w:type="dxa"/>
          <w:right w:w="120" w:type="dxa"/>
        </w:tblCellMar>
      </w:tblPr>
      <w:tblGrid>
        <w:gridCol w:w="828"/>
        <w:gridCol w:w="2269"/>
        <w:gridCol w:w="1239"/>
        <w:gridCol w:w="3722"/>
        <w:gridCol w:w="1418"/>
      </w:tblGrid>
      <w:tr w14:paraId="313EE43F">
        <w:tblPrEx>
          <w:shd w:val="clear" w:color="auto" w:fill="FBFBFB"/>
          <w:tblCellMar>
            <w:top w:w="120" w:type="dxa"/>
            <w:left w:w="120" w:type="dxa"/>
            <w:bottom w:w="120" w:type="dxa"/>
            <w:right w:w="12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0A6CBA5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17EDF2E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6294DD6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1032DE3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3E189E5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43526FF">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E8D61F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512FB89">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C9A122C">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81CD2E7">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12BF648">
            <w:pPr>
              <w:spacing w:line="360" w:lineRule="auto"/>
              <w:jc w:val="center"/>
              <w:rPr>
                <w:rFonts w:ascii="宋体" w:hAnsi="宋体" w:cs="宋体"/>
                <w:color w:val="auto"/>
                <w:kern w:val="0"/>
                <w:sz w:val="24"/>
                <w:highlight w:val="none"/>
              </w:rPr>
            </w:pPr>
          </w:p>
        </w:tc>
      </w:tr>
      <w:tr w14:paraId="6A1F8CB9">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4EDB2C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D3DCC41">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0CD5BA5">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A24226A">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8A21F85">
            <w:pPr>
              <w:spacing w:line="360" w:lineRule="auto"/>
              <w:jc w:val="center"/>
              <w:rPr>
                <w:rFonts w:ascii="宋体" w:hAnsi="宋体" w:cs="宋体"/>
                <w:color w:val="auto"/>
                <w:kern w:val="0"/>
                <w:sz w:val="24"/>
                <w:highlight w:val="none"/>
              </w:rPr>
            </w:pPr>
          </w:p>
        </w:tc>
      </w:tr>
      <w:tr w14:paraId="1A516430">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E1A7AA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83939B8">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C77171D">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911C9D4">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524CF85">
            <w:pPr>
              <w:spacing w:line="360" w:lineRule="auto"/>
              <w:jc w:val="center"/>
              <w:rPr>
                <w:rFonts w:ascii="宋体" w:hAnsi="宋体" w:cs="宋体"/>
                <w:color w:val="auto"/>
                <w:kern w:val="0"/>
                <w:sz w:val="24"/>
                <w:highlight w:val="none"/>
              </w:rPr>
            </w:pPr>
          </w:p>
        </w:tc>
      </w:tr>
      <w:tr w14:paraId="210244A9">
        <w:tblPrEx>
          <w:shd w:val="clear" w:color="auto" w:fill="FBFBFB"/>
          <w:tblCellMar>
            <w:top w:w="120" w:type="dxa"/>
            <w:left w:w="120" w:type="dxa"/>
            <w:bottom w:w="120" w:type="dxa"/>
            <w:right w:w="12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39F11C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C120825">
            <w:pPr>
              <w:spacing w:line="360" w:lineRule="auto"/>
              <w:jc w:val="center"/>
              <w:rPr>
                <w:rFonts w:ascii="宋体" w:hAnsi="宋体" w:cs="宋体"/>
                <w:color w:val="auto"/>
                <w:kern w:val="0"/>
                <w:sz w:val="24"/>
                <w:highlight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43C4C91">
            <w:pPr>
              <w:spacing w:line="360" w:lineRule="auto"/>
              <w:jc w:val="center"/>
              <w:rPr>
                <w:rFonts w:ascii="宋体" w:hAnsi="宋体" w:cs="宋体"/>
                <w:color w:val="auto"/>
                <w:kern w:val="0"/>
                <w:sz w:val="24"/>
                <w:highlight w:val="none"/>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33BD951">
            <w:pPr>
              <w:spacing w:line="360" w:lineRule="auto"/>
              <w:jc w:val="center"/>
              <w:rPr>
                <w:rFonts w:ascii="宋体" w:hAnsi="宋体" w:cs="宋体"/>
                <w:color w:val="auto"/>
                <w:kern w:val="0"/>
                <w:sz w:val="24"/>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F563AA7">
            <w:pPr>
              <w:spacing w:line="360" w:lineRule="auto"/>
              <w:jc w:val="center"/>
              <w:rPr>
                <w:rFonts w:ascii="宋体" w:hAnsi="宋体" w:cs="宋体"/>
                <w:color w:val="auto"/>
                <w:kern w:val="0"/>
                <w:sz w:val="24"/>
                <w:highlight w:val="none"/>
              </w:rPr>
            </w:pPr>
          </w:p>
        </w:tc>
      </w:tr>
    </w:tbl>
    <w:p w14:paraId="2234BA0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501CA3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2D4239">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C86B3F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21EF9994">
      <w:pPr>
        <w:snapToGrid w:val="0"/>
        <w:spacing w:line="360" w:lineRule="auto"/>
        <w:jc w:val="left"/>
        <w:rPr>
          <w:rFonts w:ascii="宋体" w:hAnsi="宋体" w:cs="宋体"/>
          <w:color w:val="auto"/>
          <w:sz w:val="24"/>
          <w:highlight w:val="none"/>
        </w:rPr>
      </w:pPr>
    </w:p>
    <w:p w14:paraId="2CBEC501">
      <w:pPr>
        <w:snapToGrid w:val="0"/>
        <w:spacing w:line="360" w:lineRule="auto"/>
        <w:jc w:val="left"/>
        <w:rPr>
          <w:rFonts w:ascii="宋体" w:hAnsi="宋体" w:cs="宋体"/>
          <w:color w:val="auto"/>
          <w:sz w:val="24"/>
          <w:highlight w:val="none"/>
        </w:rPr>
      </w:pPr>
    </w:p>
    <w:p w14:paraId="1FBFA741">
      <w:pPr>
        <w:snapToGrid w:val="0"/>
        <w:spacing w:line="360" w:lineRule="auto"/>
        <w:jc w:val="left"/>
        <w:rPr>
          <w:rFonts w:ascii="宋体" w:hAnsi="宋体" w:cs="宋体"/>
          <w:color w:val="auto"/>
          <w:sz w:val="24"/>
          <w:highlight w:val="none"/>
        </w:rPr>
      </w:pPr>
    </w:p>
    <w:p w14:paraId="7C0E1DEB">
      <w:pPr>
        <w:snapToGrid w:val="0"/>
        <w:spacing w:line="360" w:lineRule="auto"/>
        <w:jc w:val="left"/>
        <w:rPr>
          <w:rFonts w:ascii="宋体" w:hAnsi="宋体" w:cs="宋体"/>
          <w:color w:val="auto"/>
          <w:sz w:val="24"/>
          <w:highlight w:val="none"/>
        </w:rPr>
      </w:pPr>
    </w:p>
    <w:p w14:paraId="5224CD63">
      <w:pPr>
        <w:snapToGrid w:val="0"/>
        <w:spacing w:line="360" w:lineRule="auto"/>
        <w:jc w:val="left"/>
        <w:rPr>
          <w:rFonts w:ascii="宋体" w:hAnsi="宋体" w:cs="宋体"/>
          <w:color w:val="auto"/>
          <w:sz w:val="24"/>
          <w:highlight w:val="none"/>
        </w:rPr>
      </w:pPr>
    </w:p>
    <w:p w14:paraId="21CA25F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33CD833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B130A3">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FD331EA">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5"/>
        <w:tblW w:w="0" w:type="auto"/>
        <w:tblInd w:w="-120" w:type="dxa"/>
        <w:shd w:val="clear" w:color="auto" w:fill="FBFBFB"/>
        <w:tblLayout w:type="fixed"/>
        <w:tblCellMar>
          <w:top w:w="120" w:type="dxa"/>
          <w:left w:w="120" w:type="dxa"/>
          <w:bottom w:w="120" w:type="dxa"/>
          <w:right w:w="120" w:type="dxa"/>
        </w:tblCellMar>
      </w:tblPr>
      <w:tblGrid>
        <w:gridCol w:w="1005"/>
        <w:gridCol w:w="2659"/>
        <w:gridCol w:w="3924"/>
        <w:gridCol w:w="2064"/>
      </w:tblGrid>
      <w:tr w14:paraId="42738E47">
        <w:tblPrEx>
          <w:shd w:val="clear" w:color="auto" w:fill="FBFBFB"/>
          <w:tblCellMar>
            <w:top w:w="120" w:type="dxa"/>
            <w:left w:w="120" w:type="dxa"/>
            <w:bottom w:w="120" w:type="dxa"/>
            <w:right w:w="12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151FF43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6E33907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7E432CC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34A4C9D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4A3D41C">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F2E0D3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837D67E">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4C979B3">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09A4347">
            <w:pPr>
              <w:spacing w:line="360" w:lineRule="auto"/>
              <w:jc w:val="center"/>
              <w:rPr>
                <w:rFonts w:ascii="宋体" w:hAnsi="宋体" w:cs="宋体"/>
                <w:color w:val="auto"/>
                <w:kern w:val="0"/>
                <w:sz w:val="24"/>
                <w:highlight w:val="none"/>
              </w:rPr>
            </w:pPr>
          </w:p>
        </w:tc>
      </w:tr>
      <w:tr w14:paraId="20308274">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E036E8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8E9E8EB">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8D3BFE0">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3831330">
            <w:pPr>
              <w:spacing w:line="360" w:lineRule="auto"/>
              <w:jc w:val="center"/>
              <w:rPr>
                <w:rFonts w:ascii="宋体" w:hAnsi="宋体" w:cs="宋体"/>
                <w:color w:val="auto"/>
                <w:kern w:val="0"/>
                <w:sz w:val="24"/>
                <w:highlight w:val="none"/>
              </w:rPr>
            </w:pPr>
          </w:p>
        </w:tc>
      </w:tr>
      <w:tr w14:paraId="2655811C">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429BB7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EDAF971">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D5A6EC9">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8081D96">
            <w:pPr>
              <w:spacing w:line="360" w:lineRule="auto"/>
              <w:jc w:val="center"/>
              <w:rPr>
                <w:rFonts w:ascii="宋体" w:hAnsi="宋体" w:cs="宋体"/>
                <w:color w:val="auto"/>
                <w:kern w:val="0"/>
                <w:sz w:val="24"/>
                <w:highlight w:val="none"/>
              </w:rPr>
            </w:pPr>
          </w:p>
        </w:tc>
      </w:tr>
      <w:tr w14:paraId="589D90C2">
        <w:tblPrEx>
          <w:tblCellMar>
            <w:top w:w="120" w:type="dxa"/>
            <w:left w:w="120" w:type="dxa"/>
            <w:bottom w:w="120" w:type="dxa"/>
            <w:right w:w="12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A10484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FDCD9D9">
            <w:pPr>
              <w:spacing w:line="360" w:lineRule="auto"/>
              <w:jc w:val="center"/>
              <w:rPr>
                <w:rFonts w:ascii="宋体" w:hAnsi="宋体" w:cs="宋体"/>
                <w:color w:val="auto"/>
                <w:kern w:val="0"/>
                <w:sz w:val="24"/>
                <w:highlight w:val="none"/>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2DC00FB">
            <w:pPr>
              <w:spacing w:line="360" w:lineRule="auto"/>
              <w:jc w:val="center"/>
              <w:rPr>
                <w:rFonts w:ascii="宋体" w:hAnsi="宋体" w:cs="宋体"/>
                <w:color w:val="auto"/>
                <w:kern w:val="0"/>
                <w:sz w:val="24"/>
                <w:highlight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7F2587D">
            <w:pPr>
              <w:spacing w:line="360" w:lineRule="auto"/>
              <w:jc w:val="center"/>
              <w:rPr>
                <w:rFonts w:ascii="宋体" w:hAnsi="宋体" w:cs="宋体"/>
                <w:color w:val="auto"/>
                <w:kern w:val="0"/>
                <w:sz w:val="24"/>
                <w:highlight w:val="none"/>
              </w:rPr>
            </w:pPr>
          </w:p>
        </w:tc>
      </w:tr>
    </w:tbl>
    <w:p w14:paraId="2181A6F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EE75EF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0DB6EC1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2.本表所指的管理关系仅限于直接管理关系，不包括间接的管理关系。</w:t>
      </w:r>
    </w:p>
    <w:p w14:paraId="2B6A2DD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2BC7DDCF">
      <w:pPr>
        <w:snapToGrid w:val="0"/>
        <w:spacing w:line="360" w:lineRule="auto"/>
        <w:jc w:val="left"/>
        <w:rPr>
          <w:rFonts w:ascii="宋体" w:hAnsi="宋体" w:cs="宋体"/>
          <w:color w:val="auto"/>
          <w:sz w:val="24"/>
          <w:highlight w:val="none"/>
        </w:rPr>
      </w:pPr>
    </w:p>
    <w:p w14:paraId="46FBA5AE">
      <w:pPr>
        <w:snapToGrid w:val="0"/>
        <w:spacing w:line="360" w:lineRule="auto"/>
        <w:jc w:val="left"/>
        <w:rPr>
          <w:rFonts w:ascii="宋体" w:hAnsi="宋体" w:cs="宋体"/>
          <w:color w:val="auto"/>
          <w:sz w:val="24"/>
          <w:highlight w:val="none"/>
        </w:rPr>
      </w:pPr>
    </w:p>
    <w:p w14:paraId="5D7348C8">
      <w:pPr>
        <w:snapToGrid w:val="0"/>
        <w:spacing w:line="360" w:lineRule="auto"/>
        <w:jc w:val="left"/>
        <w:rPr>
          <w:rFonts w:ascii="宋体" w:hAnsi="宋体" w:cs="宋体"/>
          <w:color w:val="auto"/>
          <w:sz w:val="24"/>
          <w:highlight w:val="none"/>
        </w:rPr>
      </w:pPr>
    </w:p>
    <w:p w14:paraId="7B8CFCCD">
      <w:pPr>
        <w:snapToGrid w:val="0"/>
        <w:spacing w:line="360" w:lineRule="auto"/>
        <w:jc w:val="left"/>
        <w:rPr>
          <w:rFonts w:ascii="宋体" w:hAnsi="宋体" w:cs="宋体"/>
          <w:color w:val="auto"/>
          <w:sz w:val="24"/>
          <w:highlight w:val="none"/>
        </w:rPr>
      </w:pPr>
    </w:p>
    <w:p w14:paraId="4655BBAB">
      <w:pPr>
        <w:snapToGrid w:val="0"/>
        <w:spacing w:line="360" w:lineRule="auto"/>
        <w:jc w:val="left"/>
        <w:rPr>
          <w:rFonts w:ascii="宋体" w:hAnsi="宋体" w:cs="宋体"/>
          <w:color w:val="auto"/>
          <w:sz w:val="24"/>
          <w:highlight w:val="none"/>
        </w:rPr>
      </w:pPr>
    </w:p>
    <w:p w14:paraId="02210C0B">
      <w:pPr>
        <w:snapToGrid w:val="0"/>
        <w:spacing w:line="360" w:lineRule="auto"/>
        <w:jc w:val="left"/>
        <w:rPr>
          <w:rFonts w:ascii="宋体" w:hAnsi="宋体" w:cs="宋体"/>
          <w:color w:val="auto"/>
          <w:sz w:val="24"/>
          <w:highlight w:val="none"/>
        </w:rPr>
      </w:pPr>
    </w:p>
    <w:p w14:paraId="43097E66">
      <w:pPr>
        <w:snapToGrid w:val="0"/>
        <w:spacing w:line="360" w:lineRule="auto"/>
        <w:jc w:val="left"/>
        <w:rPr>
          <w:rFonts w:ascii="宋体" w:hAnsi="宋体" w:cs="宋体"/>
          <w:color w:val="auto"/>
          <w:sz w:val="24"/>
          <w:highlight w:val="none"/>
        </w:rPr>
      </w:pPr>
    </w:p>
    <w:p w14:paraId="24916261">
      <w:pPr>
        <w:snapToGrid w:val="0"/>
        <w:spacing w:line="360" w:lineRule="auto"/>
        <w:jc w:val="left"/>
        <w:rPr>
          <w:rFonts w:ascii="宋体" w:hAnsi="宋体" w:cs="宋体"/>
          <w:color w:val="auto"/>
          <w:sz w:val="24"/>
          <w:highlight w:val="none"/>
        </w:rPr>
      </w:pPr>
    </w:p>
    <w:p w14:paraId="120EC35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085A5F42">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DD6AC7D">
      <w:pPr>
        <w:snapToGrid w:val="0"/>
        <w:spacing w:before="50" w:after="165"/>
        <w:jc w:val="left"/>
        <w:rPr>
          <w:rFonts w:ascii="宋体" w:hAnsi="宋体" w:cs="宋体"/>
          <w:color w:val="auto"/>
          <w:szCs w:val="21"/>
          <w:highlight w:val="none"/>
        </w:rPr>
      </w:pPr>
    </w:p>
    <w:p w14:paraId="2F943AAA">
      <w:pPr>
        <w:snapToGrid w:val="0"/>
        <w:spacing w:before="165" w:after="50"/>
        <w:jc w:val="left"/>
        <w:rPr>
          <w:rFonts w:ascii="宋体" w:hAnsi="宋体" w:cs="宋体"/>
          <w:b/>
          <w:color w:val="auto"/>
          <w:sz w:val="24"/>
          <w:szCs w:val="20"/>
          <w:highlight w:val="none"/>
        </w:rPr>
      </w:pPr>
    </w:p>
    <w:p w14:paraId="0F815FCF">
      <w:pPr>
        <w:snapToGrid w:val="0"/>
        <w:spacing w:before="165" w:after="50"/>
        <w:jc w:val="left"/>
        <w:rPr>
          <w:rFonts w:ascii="宋体" w:hAnsi="宋体" w:cs="宋体"/>
          <w:b/>
          <w:color w:val="auto"/>
          <w:sz w:val="24"/>
          <w:highlight w:val="none"/>
        </w:rPr>
      </w:pPr>
    </w:p>
    <w:p w14:paraId="20E546BE">
      <w:pPr>
        <w:snapToGrid w:val="0"/>
        <w:spacing w:before="165" w:after="50"/>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7C9B1421">
      <w:pPr>
        <w:snapToGrid w:val="0"/>
        <w:spacing w:before="50" w:after="165"/>
        <w:jc w:val="left"/>
        <w:rPr>
          <w:rFonts w:ascii="宋体" w:hAnsi="宋体" w:cs="宋体"/>
          <w:color w:val="auto"/>
          <w:highlight w:val="none"/>
        </w:rPr>
      </w:pPr>
    </w:p>
    <w:p w14:paraId="23205EE8">
      <w:pPr>
        <w:snapToGrid w:val="0"/>
        <w:spacing w:before="50" w:after="165"/>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12AB984A">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2D7084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）项目的投标，为便于贵方公正、择优地确定中标人，我方就本次投标有关事项郑重声明如下：</w:t>
      </w:r>
    </w:p>
    <w:p w14:paraId="0095C78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050DB22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D32591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1AC36F6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799A60B5">
      <w:pPr>
        <w:tabs>
          <w:tab w:val="left" w:pos="7200"/>
        </w:tabs>
        <w:spacing w:line="360" w:lineRule="auto"/>
        <w:ind w:firstLine="420" w:firstLineChars="200"/>
        <w:rPr>
          <w:rFonts w:ascii="宋体" w:hAnsi="宋体" w:cs="宋体"/>
          <w:color w:val="auto"/>
          <w:szCs w:val="21"/>
          <w:highlight w:val="none"/>
        </w:rPr>
      </w:pPr>
    </w:p>
    <w:p w14:paraId="5A4D6821">
      <w:pPr>
        <w:tabs>
          <w:tab w:val="left" w:pos="720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2CDB771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066B32D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E33E7E">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3.如为联合体投标，盖章处须加盖联合体各方公章并由联合体各方法定代表人分别签署，否则投标无效。</w:t>
      </w:r>
    </w:p>
    <w:p w14:paraId="7FA88909">
      <w:pPr>
        <w:snapToGrid w:val="0"/>
        <w:spacing w:before="50" w:after="165"/>
        <w:jc w:val="left"/>
        <w:rPr>
          <w:rFonts w:ascii="宋体" w:hAnsi="宋体" w:cs="宋体"/>
          <w:color w:val="auto"/>
          <w:sz w:val="18"/>
          <w:szCs w:val="18"/>
          <w:highlight w:val="none"/>
        </w:rPr>
      </w:pPr>
    </w:p>
    <w:p w14:paraId="65F78FF5">
      <w:pPr>
        <w:snapToGrid w:val="0"/>
        <w:spacing w:before="50" w:after="331"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283F55F6">
      <w:pPr>
        <w:snapToGrid w:val="0"/>
        <w:spacing w:before="50" w:after="331" w:line="360" w:lineRule="auto"/>
        <w:ind w:left="7428" w:leftChars="2223" w:hanging="2760" w:hangingChars="1150"/>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747617FA">
      <w:pPr>
        <w:rPr>
          <w:rFonts w:hint="eastAsia" w:hAnsi="宋体" w:cs="宋体"/>
          <w:b/>
          <w:color w:val="auto"/>
          <w:sz w:val="30"/>
          <w:szCs w:val="30"/>
          <w:highlight w:val="none"/>
          <w:lang w:val="zh-CN"/>
        </w:rPr>
      </w:pPr>
      <w:r>
        <w:rPr>
          <w:rFonts w:hint="eastAsia" w:hAnsi="宋体" w:cs="宋体"/>
          <w:b/>
          <w:color w:val="auto"/>
          <w:sz w:val="30"/>
          <w:szCs w:val="30"/>
          <w:highlight w:val="none"/>
          <w:lang w:val="zh-CN"/>
        </w:rPr>
        <w:br w:type="page"/>
      </w:r>
    </w:p>
    <w:p w14:paraId="24C15A3D">
      <w:pPr>
        <w:pStyle w:val="7"/>
        <w:spacing w:line="500" w:lineRule="exact"/>
        <w:ind w:firstLine="602" w:firstLineChars="200"/>
        <w:rPr>
          <w:rFonts w:hAnsi="宋体" w:cs="宋体"/>
          <w:b/>
          <w:color w:val="auto"/>
          <w:sz w:val="30"/>
          <w:szCs w:val="30"/>
          <w:highlight w:val="none"/>
          <w:lang w:val="zh-CN"/>
        </w:rPr>
      </w:pPr>
      <w:r>
        <w:rPr>
          <w:rFonts w:hint="eastAsia" w:hAnsi="宋体" w:cs="宋体"/>
          <w:b/>
          <w:color w:val="auto"/>
          <w:sz w:val="30"/>
          <w:szCs w:val="30"/>
          <w:highlight w:val="none"/>
          <w:lang w:val="en-US" w:eastAsia="zh-CN"/>
        </w:rPr>
        <w:t>七</w:t>
      </w:r>
      <w:r>
        <w:rPr>
          <w:rFonts w:hint="eastAsia" w:hAnsi="宋体" w:cs="宋体"/>
          <w:b/>
          <w:color w:val="auto"/>
          <w:sz w:val="30"/>
          <w:szCs w:val="30"/>
          <w:highlight w:val="none"/>
          <w:lang w:val="zh-CN"/>
        </w:rPr>
        <w:t>、中小企业声明函或残疾人福利性单位声明函或监狱企业证明</w:t>
      </w:r>
    </w:p>
    <w:p w14:paraId="5495E18C">
      <w:pPr>
        <w:spacing w:line="300" w:lineRule="auto"/>
        <w:ind w:firstLine="1506" w:firstLineChars="500"/>
        <w:rPr>
          <w:rFonts w:ascii="宋体" w:hAnsi="宋体" w:cs="宋体"/>
          <w:b/>
          <w:color w:val="auto"/>
          <w:sz w:val="30"/>
          <w:szCs w:val="30"/>
          <w:highlight w:val="none"/>
        </w:rPr>
      </w:pPr>
    </w:p>
    <w:p w14:paraId="71DBFEC5">
      <w:pPr>
        <w:spacing w:line="30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中小企业声明函</w:t>
      </w:r>
    </w:p>
    <w:p w14:paraId="6B68CEE4">
      <w:pPr>
        <w:pStyle w:val="21"/>
        <w:spacing w:line="240" w:lineRule="auto"/>
        <w:ind w:firstLine="0"/>
        <w:rPr>
          <w:rFonts w:hAnsi="宋体" w:cs="宋体"/>
          <w:color w:val="auto"/>
          <w:spacing w:val="0"/>
          <w:sz w:val="21"/>
          <w:szCs w:val="21"/>
          <w:highlight w:val="none"/>
        </w:rPr>
      </w:pPr>
    </w:p>
    <w:p w14:paraId="2E105962">
      <w:pPr>
        <w:pStyle w:val="21"/>
        <w:spacing w:line="240" w:lineRule="auto"/>
        <w:ind w:firstLine="0"/>
        <w:rPr>
          <w:rFonts w:hAnsi="宋体" w:cs="宋体"/>
          <w:color w:val="auto"/>
          <w:spacing w:val="0"/>
          <w:sz w:val="21"/>
          <w:szCs w:val="21"/>
          <w:highlight w:val="none"/>
        </w:rPr>
      </w:pPr>
      <w:r>
        <w:rPr>
          <w:rFonts w:hint="eastAsia" w:hAnsi="宋体" w:cs="宋体"/>
          <w:color w:val="auto"/>
          <w:spacing w:val="0"/>
          <w:sz w:val="21"/>
          <w:szCs w:val="21"/>
          <w:highlight w:val="none"/>
        </w:rPr>
        <w:t>说明：</w:t>
      </w:r>
    </w:p>
    <w:p w14:paraId="2289FDBC">
      <w:pPr>
        <w:pStyle w:val="21"/>
        <w:spacing w:line="240" w:lineRule="auto"/>
        <w:ind w:firstLine="420" w:firstLineChars="200"/>
        <w:rPr>
          <w:rFonts w:hAnsi="宋体" w:cs="宋体"/>
          <w:color w:val="auto"/>
          <w:spacing w:val="0"/>
          <w:sz w:val="21"/>
          <w:szCs w:val="21"/>
          <w:highlight w:val="none"/>
        </w:rPr>
      </w:pPr>
      <w:r>
        <w:rPr>
          <w:rFonts w:hint="eastAsia" w:hAnsi="宋体" w:cs="宋体"/>
          <w:color w:val="auto"/>
          <w:spacing w:val="0"/>
          <w:sz w:val="21"/>
          <w:szCs w:val="21"/>
          <w:highlight w:val="none"/>
        </w:rPr>
        <w:t>1、本声明函主要供参加政府采购活动的中小企业填写，非中小企业无需填写。</w:t>
      </w:r>
    </w:p>
    <w:p w14:paraId="22D4ADC6">
      <w:pPr>
        <w:pStyle w:val="21"/>
        <w:spacing w:line="240" w:lineRule="auto"/>
        <w:ind w:firstLine="420" w:firstLineChars="200"/>
        <w:rPr>
          <w:rFonts w:hAnsi="宋体" w:cs="宋体"/>
          <w:color w:val="auto"/>
          <w:spacing w:val="0"/>
          <w:sz w:val="21"/>
          <w:szCs w:val="21"/>
          <w:highlight w:val="none"/>
        </w:rPr>
      </w:pPr>
      <w:r>
        <w:rPr>
          <w:rFonts w:hint="eastAsia" w:hAnsi="宋体" w:cs="宋体"/>
          <w:color w:val="auto"/>
          <w:spacing w:val="0"/>
          <w:sz w:val="21"/>
          <w:szCs w:val="21"/>
          <w:highlight w:val="none"/>
        </w:rPr>
        <w:t>2、小型、微型企业提供中型企业提供的服务的，视同为中型企业。</w:t>
      </w:r>
    </w:p>
    <w:p w14:paraId="48645A9F">
      <w:pPr>
        <w:pStyle w:val="21"/>
        <w:spacing w:line="240" w:lineRule="auto"/>
        <w:ind w:firstLine="420" w:firstLineChars="200"/>
        <w:rPr>
          <w:rFonts w:hAnsi="宋体" w:cs="宋体"/>
          <w:color w:val="auto"/>
          <w:spacing w:val="0"/>
          <w:sz w:val="21"/>
          <w:szCs w:val="21"/>
          <w:highlight w:val="none"/>
        </w:rPr>
      </w:pPr>
    </w:p>
    <w:p w14:paraId="5ADFEFE3">
      <w:pPr>
        <w:pStyle w:val="15"/>
        <w:spacing w:line="500" w:lineRule="exact"/>
        <w:ind w:right="142" w:firstLine="420" w:firstLineChars="200"/>
        <w:rPr>
          <w:rFonts w:ascii="宋体" w:hAnsi="宋体" w:cs="宋体"/>
          <w:color w:val="auto"/>
          <w:highlight w:val="none"/>
        </w:rPr>
      </w:pPr>
      <w:r>
        <w:rPr>
          <w:rFonts w:hint="eastAsia" w:ascii="宋体" w:hAnsi="宋体" w:cs="宋体"/>
          <w:color w:val="auto"/>
          <w:highlight w:val="none"/>
        </w:rPr>
        <w:t>本公司郑重声明，根据《政府采购促进中小企业发展管理办法》（财库﹝2020﹞46号）的规定，本公司参加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采购活动，服务全部由符合政策要求的中小企业承接。相关企业的具体情况如下：</w:t>
      </w:r>
    </w:p>
    <w:p w14:paraId="5F955049">
      <w:pPr>
        <w:tabs>
          <w:tab w:val="left" w:pos="1384"/>
          <w:tab w:val="left" w:pos="4562"/>
          <w:tab w:val="left" w:pos="6803"/>
        </w:tabs>
        <w:spacing w:before="13" w:line="500" w:lineRule="exact"/>
        <w:ind w:right="142" w:firstLine="600" w:firstLineChars="286"/>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8F42291">
      <w:pPr>
        <w:tabs>
          <w:tab w:val="left" w:pos="1065"/>
          <w:tab w:val="left" w:pos="4262"/>
          <w:tab w:val="left" w:pos="6477"/>
        </w:tabs>
        <w:spacing w:before="20" w:line="500" w:lineRule="exact"/>
        <w:ind w:right="84" w:firstLine="600" w:firstLineChars="286"/>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7141472">
      <w:pPr>
        <w:pStyle w:val="15"/>
        <w:spacing w:before="34" w:line="500" w:lineRule="exact"/>
        <w:ind w:left="765" w:right="142" w:hanging="5"/>
        <w:rPr>
          <w:rFonts w:ascii="宋体" w:hAnsi="宋体" w:cs="宋体"/>
          <w:color w:val="auto"/>
          <w:highlight w:val="none"/>
        </w:rPr>
      </w:pPr>
      <w:r>
        <w:rPr>
          <w:rFonts w:hint="eastAsia" w:ascii="宋体" w:hAnsi="宋体" w:cs="宋体"/>
          <w:color w:val="auto"/>
          <w:highlight w:val="none"/>
        </w:rPr>
        <w:t xml:space="preserve">…… </w:t>
      </w:r>
    </w:p>
    <w:p w14:paraId="0619C397">
      <w:pPr>
        <w:pStyle w:val="15"/>
        <w:spacing w:before="34" w:line="500" w:lineRule="exact"/>
        <w:ind w:right="142" w:firstLine="643" w:firstLineChars="200"/>
        <w:rPr>
          <w:rFonts w:ascii="宋体" w:hAnsi="宋体" w:cs="宋体"/>
          <w:b/>
          <w:bCs/>
          <w:color w:val="auto"/>
          <w:sz w:val="32"/>
          <w:szCs w:val="40"/>
          <w:highlight w:val="none"/>
        </w:rPr>
      </w:pPr>
      <w:r>
        <w:rPr>
          <w:rFonts w:hint="eastAsia" w:ascii="宋体" w:hAnsi="宋体" w:cs="宋体"/>
          <w:b/>
          <w:bCs/>
          <w:color w:val="auto"/>
          <w:sz w:val="32"/>
          <w:szCs w:val="40"/>
          <w:highlight w:val="none"/>
        </w:rPr>
        <w:t>以上企业，不属于大企业的分支机构，不存在控股股东为大企业的情形，也不存在与大企业的负责人为同一人的情形。</w:t>
      </w:r>
    </w:p>
    <w:p w14:paraId="068223C3">
      <w:pPr>
        <w:pStyle w:val="15"/>
        <w:spacing w:before="34" w:line="500" w:lineRule="exact"/>
        <w:ind w:right="142" w:firstLine="42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6F09B5BE">
      <w:pPr>
        <w:pStyle w:val="7"/>
        <w:spacing w:line="360" w:lineRule="auto"/>
        <w:ind w:firstLine="420" w:firstLineChars="200"/>
        <w:rPr>
          <w:rFonts w:hAnsi="宋体" w:cs="宋体"/>
          <w:color w:val="auto"/>
          <w:szCs w:val="21"/>
          <w:highlight w:val="none"/>
        </w:rPr>
      </w:pPr>
    </w:p>
    <w:p w14:paraId="00F6476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0C1764F2">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BA797A">
      <w:pPr>
        <w:snapToGrid w:val="0"/>
        <w:spacing w:before="50" w:after="165"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3BF7DEBD">
      <w:pPr>
        <w:numPr>
          <w:ilvl w:val="0"/>
          <w:numId w:val="3"/>
        </w:numPr>
        <w:snapToGrid w:val="0"/>
        <w:spacing w:before="50" w:after="165" w:line="360" w:lineRule="auto"/>
        <w:jc w:val="left"/>
        <w:rPr>
          <w:rFonts w:ascii="宋体" w:hAnsi="宋体" w:cs="宋体"/>
          <w:color w:val="auto"/>
          <w:sz w:val="20"/>
          <w:highlight w:val="none"/>
        </w:rPr>
      </w:pPr>
      <w:r>
        <w:rPr>
          <w:rFonts w:hint="eastAsia" w:ascii="宋体" w:hAnsi="宋体" w:cs="宋体"/>
          <w:color w:val="auto"/>
          <w:sz w:val="20"/>
          <w:highlight w:val="none"/>
        </w:rPr>
        <w:t>从业人员、营业收入、资产总额填报上一年度数据，无上一年度数据的新成立企业可不填报。</w:t>
      </w:r>
    </w:p>
    <w:p w14:paraId="6AFC0BE6">
      <w:pPr>
        <w:numPr>
          <w:ilvl w:val="0"/>
          <w:numId w:val="3"/>
        </w:numPr>
        <w:snapToGrid w:val="0"/>
        <w:spacing w:before="50" w:after="165" w:line="360" w:lineRule="auto"/>
        <w:jc w:val="left"/>
        <w:rPr>
          <w:rFonts w:ascii="宋体" w:hAnsi="宋体" w:cs="宋体"/>
          <w:color w:val="auto"/>
          <w:sz w:val="20"/>
          <w:highlight w:val="none"/>
        </w:rPr>
      </w:pPr>
      <w:r>
        <w:rPr>
          <w:rFonts w:hint="eastAsia" w:ascii="宋体" w:hAnsi="宋体" w:cs="宋体"/>
          <w:color w:val="auto"/>
          <w:sz w:val="20"/>
          <w:highlight w:val="none"/>
        </w:rPr>
        <w:t>请根据自己的真实情况出具《中小企业声明函》。依法享受中小企业优惠政策的，采购人或者采购代理机构在公告中标结果时，同时公告其《中小企业声明函》，接受社会监督。</w:t>
      </w:r>
    </w:p>
    <w:p w14:paraId="7A778688">
      <w:pPr>
        <w:snapToGrid w:val="0"/>
        <w:spacing w:before="50" w:after="165" w:line="360" w:lineRule="auto"/>
        <w:ind w:left="300"/>
        <w:jc w:val="cente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残疾人福利性单位声明函</w:t>
      </w:r>
    </w:p>
    <w:p w14:paraId="341190A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2329BC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E61B84D">
      <w:pPr>
        <w:spacing w:line="360" w:lineRule="auto"/>
        <w:contextualSpacing/>
        <w:rPr>
          <w:rFonts w:ascii="宋体" w:hAnsi="宋体" w:cs="宋体"/>
          <w:color w:val="auto"/>
          <w:sz w:val="24"/>
          <w:highlight w:val="none"/>
        </w:rPr>
      </w:pPr>
    </w:p>
    <w:p w14:paraId="23359268">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607A57F9">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5C09B514">
      <w:pPr>
        <w:spacing w:line="360" w:lineRule="auto"/>
        <w:contextualSpacing/>
        <w:rPr>
          <w:rFonts w:ascii="宋体" w:hAnsi="宋体" w:cs="宋体"/>
          <w:color w:val="auto"/>
          <w:sz w:val="24"/>
          <w:highlight w:val="none"/>
        </w:rPr>
      </w:pPr>
    </w:p>
    <w:p w14:paraId="2C6D9E3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990FED5">
      <w:pPr>
        <w:spacing w:line="520" w:lineRule="exact"/>
        <w:jc w:val="center"/>
        <w:rPr>
          <w:rFonts w:ascii="宋体" w:hAnsi="宋体" w:cs="宋体"/>
          <w:color w:val="auto"/>
          <w:sz w:val="24"/>
          <w:highlight w:val="none"/>
        </w:rPr>
      </w:pPr>
    </w:p>
    <w:p w14:paraId="0C2341A5">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备注：根据《关于促进残疾人就业政府采购政策的通知》（财库〔2017〕141号）规定，享受政府采购支持政策的残疾人福利性单位</w:t>
      </w:r>
      <w:r>
        <w:rPr>
          <w:rFonts w:hint="eastAsia" w:ascii="宋体" w:hAnsi="宋体" w:cs="宋体"/>
          <w:b/>
          <w:bCs/>
          <w:color w:val="auto"/>
          <w:sz w:val="28"/>
          <w:szCs w:val="28"/>
          <w:highlight w:val="none"/>
          <w:u w:val="single"/>
        </w:rPr>
        <w:t>应当同时</w:t>
      </w:r>
      <w:r>
        <w:rPr>
          <w:rFonts w:hint="eastAsia" w:ascii="宋体" w:hAnsi="宋体" w:cs="宋体"/>
          <w:color w:val="auto"/>
          <w:highlight w:val="none"/>
        </w:rPr>
        <w:t>满足以下条件：</w:t>
      </w:r>
    </w:p>
    <w:p w14:paraId="4B877368">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（一）安置的残疾人占本单位在职职工人数的比例不低于25%（含25%），并且安置的残疾人人数不少于10人（含10人）；</w:t>
      </w:r>
    </w:p>
    <w:p w14:paraId="61CE01E8">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（二）依法与安置的每位残疾人签订了一年以上（含一年）的劳动合同或服务协议；</w:t>
      </w:r>
    </w:p>
    <w:p w14:paraId="3C5BBE5B">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（三）为安置的每位残疾人按月足额缴纳了基本养老保险、基本医疗保险、失业保险、工伤保险和生育保险等社会保险费；</w:t>
      </w:r>
    </w:p>
    <w:p w14:paraId="15175ED7">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（四）通过银行等金融机构向安置的每位残疾人，按月支付了不低于单位所在区县适用的经省级人民政府批准的月最低工资标准的工资；</w:t>
      </w:r>
    </w:p>
    <w:p w14:paraId="4CD58766">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（五）提供本单位制造的货物、承担的工程或者服务（以下简称产品），或者提供其他残疾人福利性单位制造的货物（不包括使用非残疾人福利性单位注册商标的货物）。</w:t>
      </w:r>
    </w:p>
    <w:p w14:paraId="7EDE5BDD">
      <w:pPr>
        <w:wordWrap w:val="0"/>
        <w:topLinePunct/>
        <w:spacing w:line="460" w:lineRule="exact"/>
        <w:ind w:firstLine="420" w:firstLineChars="200"/>
        <w:rPr>
          <w:rFonts w:ascii="宋体" w:hAnsi="宋体" w:cs="宋体"/>
          <w:color w:val="auto"/>
          <w:highlight w:val="none"/>
        </w:rPr>
      </w:pPr>
      <w:r>
        <w:rPr>
          <w:rFonts w:hint="eastAsia" w:ascii="宋体" w:hAnsi="宋体" w:cs="宋体"/>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2771F7">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监狱企业证明</w:t>
      </w:r>
    </w:p>
    <w:p w14:paraId="4A1AD677">
      <w:pPr>
        <w:spacing w:line="520" w:lineRule="exact"/>
        <w:ind w:firstLine="480" w:firstLineChars="200"/>
        <w:jc w:val="left"/>
        <w:rPr>
          <w:rFonts w:ascii="宋体" w:hAnsi="宋体" w:cs="宋体"/>
          <w:color w:val="auto"/>
          <w:sz w:val="24"/>
          <w:highlight w:val="none"/>
        </w:rPr>
      </w:pPr>
    </w:p>
    <w:p w14:paraId="755FC003">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提供由省级以上监狱管理局、戒毒管理局（含新疆生产建设兵团）出具的属于监狱企业的证明文件。</w:t>
      </w:r>
    </w:p>
    <w:p w14:paraId="42DDD972">
      <w:pPr>
        <w:spacing w:line="520" w:lineRule="exact"/>
        <w:jc w:val="center"/>
        <w:rPr>
          <w:rFonts w:ascii="宋体" w:hAnsi="宋体" w:cs="宋体"/>
          <w:color w:val="auto"/>
          <w:sz w:val="24"/>
          <w:highlight w:val="none"/>
        </w:rPr>
      </w:pPr>
    </w:p>
    <w:p w14:paraId="1E5FB3DA">
      <w:pPr>
        <w:spacing w:line="360" w:lineRule="auto"/>
        <w:jc w:val="center"/>
        <w:rPr>
          <w:rFonts w:ascii="宋体" w:hAnsi="宋体" w:cs="宋体"/>
          <w:b/>
          <w:bCs/>
          <w:color w:val="auto"/>
          <w:sz w:val="44"/>
          <w:szCs w:val="44"/>
          <w:highlight w:val="none"/>
        </w:rPr>
      </w:pPr>
    </w:p>
    <w:p w14:paraId="0BBC0958">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76274CA">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4AED1F39">
      <w:pPr>
        <w:snapToGrid w:val="0"/>
        <w:spacing w:before="50" w:after="165" w:line="360" w:lineRule="auto"/>
        <w:ind w:firstLine="300" w:firstLineChars="150"/>
        <w:jc w:val="left"/>
        <w:rPr>
          <w:rFonts w:ascii="宋体" w:hAnsi="宋体" w:cs="宋体"/>
          <w:color w:val="auto"/>
          <w:sz w:val="20"/>
          <w:highlight w:val="none"/>
        </w:rPr>
      </w:pPr>
    </w:p>
    <w:p w14:paraId="6D8F1286"/>
    <w:p w14:paraId="1D999686">
      <w:pPr>
        <w:rPr>
          <w:rFonts w:ascii="宋体" w:hAnsi="宋体" w:cs="宋体"/>
          <w:color w:val="auto"/>
          <w:sz w:val="20"/>
          <w:highlight w:val="none"/>
        </w:rPr>
      </w:pPr>
    </w:p>
    <w:p w14:paraId="007EF5CC">
      <w:pPr>
        <w:pStyle w:val="25"/>
        <w:tabs>
          <w:tab w:val="clear" w:pos="2155"/>
        </w:tabs>
        <w:rPr>
          <w:rFonts w:ascii="宋体" w:hAnsi="宋体" w:eastAsia="宋体" w:cs="宋体"/>
          <w:color w:val="auto"/>
          <w:sz w:val="20"/>
          <w:highlight w:val="none"/>
        </w:rPr>
      </w:pPr>
    </w:p>
    <w:p w14:paraId="5D90A4DE">
      <w:pPr>
        <w:rPr>
          <w:rFonts w:ascii="宋体" w:hAnsi="宋体" w:cs="宋体"/>
          <w:color w:val="auto"/>
          <w:sz w:val="20"/>
          <w:highlight w:val="none"/>
        </w:rPr>
      </w:pPr>
    </w:p>
    <w:p w14:paraId="12B3216E">
      <w:pPr>
        <w:pStyle w:val="25"/>
        <w:tabs>
          <w:tab w:val="clear" w:pos="2155"/>
        </w:tabs>
        <w:rPr>
          <w:rFonts w:ascii="宋体" w:hAnsi="宋体" w:eastAsia="宋体" w:cs="宋体"/>
          <w:color w:val="auto"/>
          <w:sz w:val="20"/>
          <w:highlight w:val="none"/>
        </w:rPr>
      </w:pPr>
    </w:p>
    <w:p w14:paraId="5B77D0B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注：请根据自己的真实情况出具《监狱企业证明》。依法享受中小企业优惠政策的，采购人或者采购代理机构在公告中标结果时，同时公告其《监狱企业证明》，接受社会监督。</w:t>
      </w:r>
    </w:p>
    <w:p w14:paraId="5A4F0975">
      <w:pPr>
        <w:pStyle w:val="25"/>
        <w:tabs>
          <w:tab w:val="clear" w:pos="2155"/>
        </w:tabs>
        <w:rPr>
          <w:rFonts w:ascii="宋体" w:hAnsi="宋体" w:eastAsia="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1BB176CE">
      <w:pPr>
        <w:pStyle w:val="7"/>
        <w:jc w:val="center"/>
        <w:outlineLvl w:val="1"/>
        <w:rPr>
          <w:rFonts w:hAnsi="宋体" w:cs="宋体"/>
          <w:color w:val="auto"/>
          <w:szCs w:val="21"/>
          <w:highlight w:val="none"/>
        </w:rPr>
      </w:pPr>
    </w:p>
    <w:p w14:paraId="4E0ABF23">
      <w:pPr>
        <w:pStyle w:val="7"/>
        <w:jc w:val="center"/>
        <w:outlineLvl w:val="1"/>
        <w:rPr>
          <w:rFonts w:hAnsi="宋体" w:cs="宋体"/>
          <w:b/>
          <w:bCs/>
          <w:color w:val="auto"/>
          <w:sz w:val="28"/>
          <w:szCs w:val="28"/>
          <w:highlight w:val="none"/>
        </w:rPr>
      </w:pPr>
      <w:bookmarkStart w:id="314" w:name="_Toc19686838"/>
      <w:bookmarkEnd w:id="314"/>
      <w:bookmarkStart w:id="315" w:name="_Toc80093013"/>
      <w:bookmarkEnd w:id="315"/>
      <w:r>
        <w:rPr>
          <w:rFonts w:hint="eastAsia" w:hAnsi="宋体" w:cs="宋体"/>
          <w:b/>
          <w:bCs/>
          <w:color w:val="auto"/>
          <w:sz w:val="28"/>
          <w:szCs w:val="28"/>
          <w:highlight w:val="none"/>
        </w:rPr>
        <w:t>第三节 商务文件格式</w:t>
      </w:r>
    </w:p>
    <w:p w14:paraId="42547067">
      <w:pPr>
        <w:snapToGrid w:val="0"/>
        <w:spacing w:before="165" w:after="50"/>
        <w:rPr>
          <w:rFonts w:ascii="宋体" w:hAnsi="宋体" w:cs="宋体"/>
          <w:color w:val="auto"/>
          <w:sz w:val="30"/>
          <w:szCs w:val="20"/>
          <w:highlight w:val="none"/>
        </w:rPr>
      </w:pPr>
    </w:p>
    <w:p w14:paraId="35AE16BA">
      <w:pPr>
        <w:snapToGrid w:val="0"/>
        <w:spacing w:before="165" w:after="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236B0AD1">
      <w:pPr>
        <w:snapToGrid w:val="0"/>
        <w:spacing w:before="165" w:after="50"/>
        <w:rPr>
          <w:rFonts w:ascii="宋体" w:hAnsi="宋体" w:cs="宋体"/>
          <w:color w:val="auto"/>
          <w:sz w:val="24"/>
          <w:szCs w:val="20"/>
          <w:highlight w:val="none"/>
        </w:rPr>
      </w:pPr>
    </w:p>
    <w:p w14:paraId="393474EE">
      <w:pPr>
        <w:snapToGrid w:val="0"/>
        <w:spacing w:before="165"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商务文件（封面）</w:t>
      </w:r>
    </w:p>
    <w:p w14:paraId="37AE6499">
      <w:pPr>
        <w:snapToGrid w:val="0"/>
        <w:spacing w:before="165" w:after="50"/>
        <w:rPr>
          <w:rFonts w:ascii="宋体" w:hAnsi="宋体" w:cs="宋体"/>
          <w:bCs/>
          <w:color w:val="auto"/>
          <w:sz w:val="24"/>
          <w:szCs w:val="20"/>
          <w:highlight w:val="none"/>
        </w:rPr>
      </w:pPr>
    </w:p>
    <w:p w14:paraId="12638B00">
      <w:pPr>
        <w:snapToGrid w:val="0"/>
        <w:spacing w:before="165" w:after="50"/>
        <w:ind w:firstLine="540" w:firstLineChars="225"/>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青秀区农村生活污水处理项目运维服务</w:t>
      </w:r>
    </w:p>
    <w:p w14:paraId="479C38E3">
      <w:pPr>
        <w:snapToGrid w:val="0"/>
        <w:spacing w:before="165" w:after="50"/>
        <w:ind w:firstLine="540" w:firstLineChars="225"/>
        <w:rPr>
          <w:rFonts w:ascii="宋体" w:hAnsi="宋体" w:cs="宋体"/>
          <w:bCs/>
          <w:color w:val="auto"/>
          <w:sz w:val="24"/>
          <w:szCs w:val="20"/>
          <w:highlight w:val="none"/>
        </w:rPr>
      </w:pPr>
    </w:p>
    <w:p w14:paraId="07BF4004">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C5A5B08">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 </w:t>
      </w:r>
    </w:p>
    <w:p w14:paraId="445FE3DA">
      <w:pPr>
        <w:snapToGrid w:val="0"/>
        <w:spacing w:before="165"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2F9D899D">
      <w:pPr>
        <w:snapToGrid w:val="0"/>
        <w:spacing w:before="165" w:after="50"/>
        <w:ind w:firstLine="540" w:firstLineChars="225"/>
        <w:rPr>
          <w:rFonts w:ascii="宋体" w:hAnsi="宋体" w:cs="宋体"/>
          <w:bCs/>
          <w:color w:val="auto"/>
          <w:sz w:val="24"/>
          <w:szCs w:val="20"/>
          <w:highlight w:val="none"/>
        </w:rPr>
      </w:pPr>
    </w:p>
    <w:p w14:paraId="43F1338D">
      <w:pPr>
        <w:pStyle w:val="24"/>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17704CA">
      <w:pPr>
        <w:pStyle w:val="24"/>
        <w:snapToGrid w:val="0"/>
        <w:spacing w:before="50" w:after="50"/>
        <w:ind w:firstLine="540" w:firstLineChars="225"/>
        <w:rPr>
          <w:rFonts w:ascii="宋体" w:hAnsi="宋体" w:cs="宋体"/>
          <w:bCs/>
          <w:color w:val="auto"/>
          <w:sz w:val="24"/>
          <w:szCs w:val="24"/>
          <w:highlight w:val="none"/>
        </w:rPr>
      </w:pPr>
    </w:p>
    <w:p w14:paraId="33023C09">
      <w:pPr>
        <w:pStyle w:val="24"/>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5875408F">
      <w:pPr>
        <w:pStyle w:val="24"/>
        <w:snapToGrid w:val="0"/>
        <w:spacing w:before="50" w:after="50"/>
        <w:ind w:firstLine="960" w:firstLineChars="400"/>
        <w:rPr>
          <w:rFonts w:ascii="宋体" w:hAnsi="宋体" w:cs="宋体"/>
          <w:bCs/>
          <w:color w:val="auto"/>
          <w:sz w:val="24"/>
          <w:szCs w:val="24"/>
          <w:highlight w:val="none"/>
        </w:rPr>
      </w:pPr>
    </w:p>
    <w:p w14:paraId="7FF135B1">
      <w:pPr>
        <w:snapToGrid w:val="0"/>
        <w:spacing w:before="165"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5CFF3865">
      <w:pPr>
        <w:snapToGrid w:val="0"/>
        <w:spacing w:before="165"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46A4F54">
      <w:pPr>
        <w:spacing w:line="360" w:lineRule="auto"/>
        <w:ind w:right="420"/>
        <w:rPr>
          <w:rFonts w:ascii="宋体" w:hAnsi="宋体" w:cs="宋体"/>
          <w:color w:val="auto"/>
          <w:sz w:val="24"/>
          <w:szCs w:val="20"/>
          <w:highlight w:val="none"/>
        </w:rPr>
      </w:pPr>
    </w:p>
    <w:p w14:paraId="078B8547">
      <w:pPr>
        <w:spacing w:line="360" w:lineRule="auto"/>
        <w:ind w:right="420"/>
        <w:rPr>
          <w:rFonts w:ascii="宋体" w:hAnsi="宋体" w:cs="宋体"/>
          <w:color w:val="auto"/>
          <w:sz w:val="24"/>
          <w:szCs w:val="20"/>
          <w:highlight w:val="none"/>
        </w:rPr>
      </w:pPr>
    </w:p>
    <w:p w14:paraId="7F656256">
      <w:pPr>
        <w:spacing w:line="360" w:lineRule="auto"/>
        <w:ind w:right="420"/>
        <w:rPr>
          <w:rFonts w:ascii="宋体" w:hAnsi="宋体" w:cs="宋体"/>
          <w:color w:val="auto"/>
          <w:sz w:val="24"/>
          <w:szCs w:val="20"/>
          <w:highlight w:val="none"/>
        </w:rPr>
      </w:pPr>
    </w:p>
    <w:p w14:paraId="694B50BE">
      <w:pPr>
        <w:spacing w:line="360" w:lineRule="auto"/>
        <w:ind w:right="420"/>
        <w:rPr>
          <w:rFonts w:ascii="宋体" w:hAnsi="宋体" w:cs="宋体"/>
          <w:color w:val="auto"/>
          <w:sz w:val="24"/>
          <w:szCs w:val="20"/>
          <w:highlight w:val="none"/>
        </w:rPr>
      </w:pPr>
    </w:p>
    <w:p w14:paraId="116ACC10">
      <w:pPr>
        <w:spacing w:line="360" w:lineRule="auto"/>
        <w:ind w:right="420"/>
        <w:rPr>
          <w:rFonts w:ascii="宋体" w:hAnsi="宋体" w:cs="宋体"/>
          <w:color w:val="auto"/>
          <w:sz w:val="24"/>
          <w:szCs w:val="20"/>
          <w:highlight w:val="none"/>
        </w:rPr>
      </w:pPr>
    </w:p>
    <w:p w14:paraId="7AA65D48">
      <w:pPr>
        <w:spacing w:line="360" w:lineRule="auto"/>
        <w:ind w:right="420"/>
        <w:rPr>
          <w:rFonts w:ascii="宋体" w:hAnsi="宋体" w:cs="宋体"/>
          <w:color w:val="auto"/>
          <w:sz w:val="24"/>
          <w:szCs w:val="20"/>
          <w:highlight w:val="none"/>
        </w:rPr>
      </w:pPr>
    </w:p>
    <w:p w14:paraId="2077D57B">
      <w:pPr>
        <w:spacing w:line="360" w:lineRule="auto"/>
        <w:ind w:right="420"/>
        <w:rPr>
          <w:rFonts w:ascii="宋体" w:hAnsi="宋体" w:cs="宋体"/>
          <w:color w:val="auto"/>
          <w:sz w:val="24"/>
          <w:szCs w:val="20"/>
          <w:highlight w:val="none"/>
        </w:rPr>
      </w:pPr>
    </w:p>
    <w:p w14:paraId="0B99964F">
      <w:pPr>
        <w:spacing w:line="360" w:lineRule="auto"/>
        <w:ind w:right="420"/>
        <w:rPr>
          <w:rFonts w:ascii="宋体" w:hAnsi="宋体" w:cs="宋体"/>
          <w:color w:val="auto"/>
          <w:sz w:val="24"/>
          <w:szCs w:val="20"/>
          <w:highlight w:val="none"/>
        </w:rPr>
      </w:pPr>
    </w:p>
    <w:p w14:paraId="0DD4E672">
      <w:pPr>
        <w:spacing w:line="360" w:lineRule="auto"/>
        <w:ind w:right="420"/>
        <w:rPr>
          <w:rFonts w:ascii="宋体" w:hAnsi="宋体" w:cs="宋体"/>
          <w:color w:val="auto"/>
          <w:sz w:val="24"/>
          <w:szCs w:val="20"/>
          <w:highlight w:val="none"/>
        </w:rPr>
      </w:pPr>
    </w:p>
    <w:p w14:paraId="01A20B7E">
      <w:pPr>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6953F04D">
      <w:pPr>
        <w:rPr>
          <w:rFonts w:ascii="宋体" w:hAnsi="宋体" w:cs="宋体"/>
          <w:b/>
          <w:color w:val="auto"/>
          <w:kern w:val="0"/>
          <w:sz w:val="24"/>
          <w:highlight w:val="none"/>
        </w:rPr>
      </w:pPr>
    </w:p>
    <w:p w14:paraId="16E6A9AE">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41F12FCD">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1126D851">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393F20CF">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483C41E2">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3FD605CA">
      <w:pPr>
        <w:pStyle w:val="26"/>
        <w:spacing w:line="360" w:lineRule="auto"/>
        <w:rPr>
          <w:rFonts w:ascii="宋体" w:hAnsi="宋体" w:eastAsia="宋体" w:cs="宋体"/>
          <w:color w:val="auto"/>
          <w:highlight w:val="none"/>
        </w:rPr>
      </w:pPr>
      <w:bookmarkStart w:id="316" w:name="OLE_LINK6"/>
      <w:bookmarkStart w:id="317" w:name="OLE_LINK7"/>
      <w:bookmarkStart w:id="318"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16"/>
    <w:bookmarkEnd w:id="317"/>
    <w:p w14:paraId="06E09F2B">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、投标人类似</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业绩证明文件（如有要求）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AA58DC3">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18"/>
    <w:p w14:paraId="097F8D6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A11DC5E">
      <w:pPr>
        <w:snapToGrid w:val="0"/>
        <w:spacing w:line="360" w:lineRule="auto"/>
        <w:ind w:firstLine="420" w:firstLineChars="200"/>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422CCB0B">
      <w:pPr>
        <w:snapToGrid w:val="0"/>
        <w:spacing w:before="120" w:after="50"/>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一、无串标行为承诺函</w:t>
      </w:r>
    </w:p>
    <w:p w14:paraId="4F999CC7">
      <w:pPr>
        <w:snapToGrid w:val="0"/>
        <w:spacing w:before="12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122579AA">
      <w:pPr>
        <w:snapToGrid w:val="0"/>
        <w:spacing w:before="120" w:after="50"/>
        <w:rPr>
          <w:rFonts w:ascii="宋体" w:hAnsi="宋体" w:cs="宋体"/>
          <w:b/>
          <w:color w:val="auto"/>
          <w:szCs w:val="21"/>
          <w:highlight w:val="none"/>
        </w:rPr>
      </w:pPr>
    </w:p>
    <w:p w14:paraId="5BCF0F75">
      <w:pPr>
        <w:snapToGrid w:val="0"/>
        <w:spacing w:before="12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396A005E">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20733936">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E185B04">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7739F8C7">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EF6972C">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5EACE325">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22991FBD">
      <w:pPr>
        <w:snapToGrid w:val="0"/>
        <w:spacing w:before="12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二、我方承诺无下列恶意串通的情形：</w:t>
      </w:r>
    </w:p>
    <w:p w14:paraId="37D7EEEE">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4C40E361">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6D43980B">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71FD80AC">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16A63362">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F3EAA97">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76AAB441">
      <w:pPr>
        <w:snapToGrid w:val="0"/>
        <w:spacing w:before="12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68E780C7">
      <w:pPr>
        <w:snapToGrid w:val="0"/>
        <w:spacing w:before="120" w:after="5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77E323D3">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27CB09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532E79">
      <w:pPr>
        <w:pStyle w:val="7"/>
        <w:snapToGrid w:val="0"/>
        <w:spacing w:before="295" w:after="295"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w:t>
      </w:r>
    </w:p>
    <w:p w14:paraId="57075174">
      <w:pPr>
        <w:spacing w:before="240" w:after="120"/>
        <w:ind w:left="540"/>
        <w:jc w:val="center"/>
        <w:rPr>
          <w:rFonts w:ascii="宋体" w:hAnsi="宋体" w:cs="宋体"/>
          <w:b/>
          <w:color w:val="auto"/>
          <w:sz w:val="32"/>
          <w:szCs w:val="32"/>
          <w:highlight w:val="none"/>
        </w:rPr>
      </w:pPr>
    </w:p>
    <w:p w14:paraId="3D46742B">
      <w:pPr>
        <w:spacing w:before="240" w:after="120"/>
        <w:ind w:left="54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0BA36A46">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57FB157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02C42FED">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5D09745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5DA6671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C6D1BC3">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3692FFA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EAF80F3">
      <w:pPr>
        <w:spacing w:line="500" w:lineRule="exact"/>
        <w:ind w:left="540"/>
        <w:rPr>
          <w:rFonts w:ascii="宋体" w:hAnsi="宋体" w:cs="宋体"/>
          <w:color w:val="auto"/>
          <w:sz w:val="24"/>
          <w:highlight w:val="none"/>
        </w:rPr>
      </w:pPr>
    </w:p>
    <w:p w14:paraId="24509B66">
      <w:pPr>
        <w:spacing w:line="500" w:lineRule="exact"/>
        <w:ind w:left="540"/>
        <w:rPr>
          <w:rFonts w:ascii="宋体" w:hAnsi="宋体" w:cs="宋体"/>
          <w:color w:val="auto"/>
          <w:sz w:val="24"/>
          <w:highlight w:val="none"/>
        </w:rPr>
      </w:pPr>
    </w:p>
    <w:p w14:paraId="30911D5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58A6B17">
      <w:pPr>
        <w:spacing w:line="500" w:lineRule="exact"/>
        <w:ind w:left="540"/>
        <w:rPr>
          <w:rFonts w:ascii="宋体" w:hAnsi="宋体" w:cs="宋体"/>
          <w:color w:val="auto"/>
          <w:sz w:val="24"/>
          <w:highlight w:val="none"/>
        </w:rPr>
      </w:pPr>
    </w:p>
    <w:p w14:paraId="0F7B0BC5">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E3B934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8DBEB5">
      <w:pPr>
        <w:snapToGrid w:val="0"/>
        <w:spacing w:before="120" w:after="50"/>
        <w:jc w:val="center"/>
        <w:rPr>
          <w:rFonts w:ascii="宋体" w:hAnsi="宋体" w:cs="宋体"/>
          <w:b/>
          <w:color w:val="auto"/>
          <w:sz w:val="24"/>
          <w:highlight w:val="none"/>
        </w:rPr>
      </w:pPr>
    </w:p>
    <w:p w14:paraId="1F79100C">
      <w:pPr>
        <w:snapToGrid w:val="0"/>
        <w:spacing w:before="12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9D0A392">
      <w:pPr>
        <w:snapToGrid w:val="0"/>
        <w:spacing w:before="120" w:after="50"/>
        <w:ind w:firstLine="600" w:firstLineChars="250"/>
        <w:jc w:val="left"/>
        <w:rPr>
          <w:rFonts w:ascii="宋体" w:hAnsi="宋体" w:cs="宋体"/>
          <w:color w:val="auto"/>
          <w:sz w:val="24"/>
          <w:highlight w:val="none"/>
        </w:rPr>
      </w:pPr>
    </w:p>
    <w:p w14:paraId="5BF30A39">
      <w:pPr>
        <w:snapToGrid w:val="0"/>
        <w:spacing w:before="120" w:after="50"/>
        <w:ind w:firstLine="602" w:firstLineChars="250"/>
        <w:jc w:val="left"/>
        <w:rPr>
          <w:rFonts w:ascii="宋体" w:hAnsi="宋体" w:cs="宋体"/>
          <w:b/>
          <w:color w:val="auto"/>
          <w:sz w:val="24"/>
          <w:szCs w:val="20"/>
          <w:highlight w:val="none"/>
        </w:rPr>
      </w:pPr>
    </w:p>
    <w:tbl>
      <w:tblPr>
        <w:tblStyle w:val="5"/>
        <w:tblpPr w:leftFromText="180" w:rightFromText="180" w:vertAnchor="text" w:horzAnchor="margin" w:tblpXSpec="center" w:tblpY="116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1"/>
      </w:tblGrid>
      <w:tr w14:paraId="5962C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5" w:hRule="atLeast"/>
          <w:jc w:val="center"/>
        </w:trPr>
        <w:tc>
          <w:tcPr>
            <w:tcW w:w="8461" w:type="dxa"/>
          </w:tcPr>
          <w:p w14:paraId="4AE797E6">
            <w:pPr>
              <w:spacing w:line="360" w:lineRule="auto"/>
              <w:rPr>
                <w:rFonts w:ascii="宋体" w:hAnsi="宋体" w:cs="宋体"/>
                <w:b/>
                <w:color w:val="auto"/>
                <w:sz w:val="24"/>
                <w:highlight w:val="none"/>
              </w:rPr>
            </w:pPr>
          </w:p>
          <w:p w14:paraId="4C78F308">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B7457C1">
      <w:pPr>
        <w:pStyle w:val="7"/>
        <w:snapToGrid w:val="0"/>
        <w:spacing w:before="295" w:after="295"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三、法定代表人授权委托书（如有委托时）</w:t>
      </w:r>
    </w:p>
    <w:p w14:paraId="61BB32CB">
      <w:pPr>
        <w:snapToGrid w:val="0"/>
        <w:spacing w:before="12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3ACF66D">
      <w:pPr>
        <w:snapToGrid w:val="0"/>
        <w:spacing w:before="120" w:after="50"/>
        <w:jc w:val="center"/>
        <w:rPr>
          <w:rFonts w:ascii="宋体" w:hAnsi="宋体" w:cs="宋体"/>
          <w:b/>
          <w:color w:val="auto"/>
          <w:sz w:val="24"/>
          <w:highlight w:val="none"/>
        </w:rPr>
      </w:pPr>
    </w:p>
    <w:p w14:paraId="10764406">
      <w:pPr>
        <w:pStyle w:val="7"/>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1CE3664A">
      <w:pPr>
        <w:pStyle w:val="7"/>
        <w:spacing w:line="440" w:lineRule="exact"/>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4C9951F">
      <w:pPr>
        <w:pStyle w:val="7"/>
        <w:spacing w:line="440" w:lineRule="exact"/>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z w:val="24"/>
          <w:highlight w:val="none"/>
          <w:u w:val="single"/>
        </w:rPr>
        <w:t xml:space="preserve">    </w:t>
      </w:r>
      <w:r>
        <w:rPr>
          <w:rFonts w:hint="eastAsia" w:hAnsi="宋体" w:cs="宋体"/>
          <w:color w:val="auto"/>
          <w:highlight w:val="none"/>
        </w:rPr>
        <w:t>年</w:t>
      </w:r>
      <w:r>
        <w:rPr>
          <w:rFonts w:hint="eastAsia" w:hAnsi="宋体" w:cs="宋体"/>
          <w:color w:val="auto"/>
          <w:sz w:val="24"/>
          <w:highlight w:val="none"/>
          <w:u w:val="single"/>
        </w:rPr>
        <w:t xml:space="preserve">    </w:t>
      </w:r>
      <w:r>
        <w:rPr>
          <w:rFonts w:hint="eastAsia" w:hAnsi="宋体" w:cs="宋体"/>
          <w:color w:val="auto"/>
          <w:highlight w:val="none"/>
        </w:rPr>
        <w:t>月</w:t>
      </w:r>
      <w:r>
        <w:rPr>
          <w:rFonts w:hint="eastAsia" w:hAnsi="宋体" w:cs="宋体"/>
          <w:color w:val="auto"/>
          <w:sz w:val="24"/>
          <w:highlight w:val="none"/>
          <w:u w:val="single"/>
        </w:rPr>
        <w:t xml:space="preserve">    </w:t>
      </w:r>
      <w:r>
        <w:rPr>
          <w:rFonts w:hint="eastAsia" w:hAnsi="宋体" w:cs="宋体"/>
          <w:color w:val="auto"/>
          <w:highlight w:val="none"/>
        </w:rPr>
        <w:t>日签字生效，委托期限：</w:t>
      </w:r>
      <w:r>
        <w:rPr>
          <w:rFonts w:hint="eastAsia" w:hAnsi="宋体" w:cs="宋体"/>
          <w:color w:val="auto"/>
          <w:sz w:val="24"/>
          <w:highlight w:val="none"/>
          <w:u w:val="single"/>
        </w:rPr>
        <w:t xml:space="preserve">    </w:t>
      </w:r>
      <w:r>
        <w:rPr>
          <w:rFonts w:hint="eastAsia" w:hAnsi="宋体" w:cs="宋体"/>
          <w:color w:val="auto"/>
          <w:highlight w:val="none"/>
        </w:rPr>
        <w:t>。</w:t>
      </w:r>
    </w:p>
    <w:p w14:paraId="23AB7C7B">
      <w:pPr>
        <w:pStyle w:val="7"/>
        <w:spacing w:line="360" w:lineRule="auto"/>
        <w:ind w:firstLine="420"/>
        <w:rPr>
          <w:rFonts w:hAnsi="宋体" w:cs="宋体"/>
          <w:color w:val="auto"/>
          <w:highlight w:val="none"/>
        </w:rPr>
      </w:pPr>
      <w:r>
        <w:rPr>
          <w:rFonts w:hint="eastAsia" w:hAnsi="宋体" w:cs="宋体"/>
          <w:color w:val="auto"/>
          <w:highlight w:val="none"/>
        </w:rPr>
        <w:t>代理人无转委托权。</w:t>
      </w:r>
    </w:p>
    <w:p w14:paraId="3C5D0EE5">
      <w:pPr>
        <w:pStyle w:val="7"/>
        <w:spacing w:line="360" w:lineRule="auto"/>
        <w:ind w:firstLine="420"/>
        <w:rPr>
          <w:rFonts w:hAnsi="宋体" w:cs="宋体"/>
          <w:color w:val="auto"/>
          <w:highlight w:val="none"/>
        </w:rPr>
      </w:pPr>
    </w:p>
    <w:p w14:paraId="1269C4D6">
      <w:pPr>
        <w:pStyle w:val="7"/>
        <w:spacing w:line="360" w:lineRule="auto"/>
        <w:ind w:firstLine="420"/>
        <w:rPr>
          <w:rFonts w:hAnsi="宋体" w:cs="宋体"/>
          <w:color w:val="auto"/>
          <w:highlight w:val="non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45ADEEC1">
      <w:pPr>
        <w:pStyle w:val="7"/>
        <w:spacing w:line="360" w:lineRule="auto"/>
        <w:ind w:firstLine="420"/>
        <w:rPr>
          <w:rFonts w:hAnsi="宋体" w:cs="宋体"/>
          <w:color w:val="auto"/>
          <w:highlight w:val="non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3861F134">
      <w:pPr>
        <w:pStyle w:val="7"/>
        <w:spacing w:line="360" w:lineRule="auto"/>
        <w:ind w:firstLine="420"/>
        <w:rPr>
          <w:rFonts w:hAnsi="宋体" w:cs="宋体"/>
          <w:color w:val="auto"/>
          <w:highlight w:val="non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48E380BE">
      <w:pPr>
        <w:pStyle w:val="7"/>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0E7ED7F8">
      <w:pPr>
        <w:pStyle w:val="7"/>
        <w:spacing w:line="360" w:lineRule="auto"/>
        <w:ind w:firstLine="420"/>
        <w:rPr>
          <w:rFonts w:hAnsi="宋体" w:cs="宋体"/>
          <w:color w:val="auto"/>
          <w:highlight w:val="non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27338420">
      <w:pPr>
        <w:pStyle w:val="7"/>
        <w:spacing w:line="360" w:lineRule="auto"/>
        <w:ind w:firstLine="420"/>
        <w:rPr>
          <w:rFonts w:hAnsi="宋体" w:cs="宋体"/>
          <w:color w:val="auto"/>
          <w:highlight w:val="none"/>
          <w:u w:val="single"/>
        </w:rPr>
      </w:pPr>
    </w:p>
    <w:p w14:paraId="4610517F">
      <w:pPr>
        <w:pStyle w:val="7"/>
        <w:spacing w:line="360" w:lineRule="auto"/>
        <w:ind w:firstLine="420"/>
        <w:rPr>
          <w:rFonts w:hAnsi="宋体" w:cs="宋体"/>
          <w:color w:val="auto"/>
          <w:kern w:val="0"/>
          <w:szCs w:val="21"/>
          <w:highlight w:val="non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613B48F0">
      <w:pPr>
        <w:pStyle w:val="7"/>
        <w:spacing w:line="360" w:lineRule="auto"/>
        <w:ind w:firstLine="420"/>
        <w:rPr>
          <w:rFonts w:hAnsi="宋体" w:cs="宋体"/>
          <w:color w:val="auto"/>
          <w:highlight w:val="non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792753F4">
      <w:pPr>
        <w:pStyle w:val="7"/>
        <w:spacing w:line="360" w:lineRule="auto"/>
        <w:ind w:firstLine="420"/>
        <w:rPr>
          <w:rFonts w:hAnsi="宋体" w:cs="宋体"/>
          <w:color w:val="auto"/>
          <w:highlight w:val="none"/>
          <w:u w:val="single"/>
        </w:rPr>
      </w:pPr>
    </w:p>
    <w:p w14:paraId="27B75E7A">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03F088CA">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A9855F0">
      <w:pPr>
        <w:pStyle w:val="7"/>
        <w:ind w:firstLine="420" w:firstLineChars="200"/>
        <w:rPr>
          <w:rFonts w:hAnsi="宋体" w:cs="宋体"/>
          <w:color w:val="auto"/>
          <w:highlight w:val="none"/>
        </w:rPr>
      </w:pPr>
      <w:r>
        <w:rPr>
          <w:rFonts w:hint="eastAsia" w:hAnsi="宋体" w:cs="宋体"/>
          <w:color w:val="auto"/>
          <w:highlight w:val="none"/>
        </w:rPr>
        <w:t>......</w:t>
      </w:r>
    </w:p>
    <w:p w14:paraId="0088E9E5">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260DF263">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1.法定代表人授权委托书必须由法定代表人及委托代理人签字，并加盖投标人公章，否则作无效投标处理。</w:t>
      </w:r>
    </w:p>
    <w:p w14:paraId="6809F80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29EA82B0">
      <w:pPr>
        <w:snapToGrid w:val="0"/>
        <w:spacing w:before="50" w:after="120"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5D87F6F">
      <w:pPr>
        <w:snapToGrid w:val="0"/>
        <w:spacing w:before="50" w:after="120"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040A4FB6">
      <w:pPr>
        <w:spacing w:line="360" w:lineRule="auto"/>
        <w:rPr>
          <w:rFonts w:ascii="宋体" w:hAnsi="宋体" w:cs="宋体"/>
          <w:b/>
          <w:color w:val="auto"/>
          <w:sz w:val="24"/>
          <w:highlight w:val="none"/>
        </w:rPr>
      </w:pPr>
    </w:p>
    <w:p w14:paraId="17B35F7B">
      <w:pPr>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5"/>
        <w:tblpPr w:leftFromText="180" w:rightFromText="180" w:vertAnchor="text" w:horzAnchor="margin" w:tblpXSpec="center" w:tblpY="26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5"/>
      </w:tblGrid>
      <w:tr w14:paraId="3BA5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0" w:hRule="atLeast"/>
          <w:jc w:val="center"/>
        </w:trPr>
        <w:tc>
          <w:tcPr>
            <w:tcW w:w="7985" w:type="dxa"/>
          </w:tcPr>
          <w:p w14:paraId="66276EF1">
            <w:pPr>
              <w:spacing w:line="360" w:lineRule="auto"/>
              <w:rPr>
                <w:rFonts w:ascii="宋体" w:hAnsi="宋体" w:cs="宋体"/>
                <w:b/>
                <w:color w:val="auto"/>
                <w:sz w:val="24"/>
                <w:highlight w:val="none"/>
              </w:rPr>
            </w:pPr>
          </w:p>
          <w:p w14:paraId="363AEBEF">
            <w:pPr>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D0A53F4">
      <w:pPr>
        <w:snapToGrid w:val="0"/>
        <w:spacing w:before="50" w:after="120" w:line="360" w:lineRule="auto"/>
        <w:jc w:val="left"/>
        <w:rPr>
          <w:rFonts w:ascii="宋体" w:hAnsi="宋体" w:cs="宋体"/>
          <w:color w:val="auto"/>
          <w:szCs w:val="21"/>
          <w:highlight w:val="none"/>
        </w:rPr>
      </w:pPr>
    </w:p>
    <w:p w14:paraId="073034CE">
      <w:pPr>
        <w:snapToGrid w:val="0"/>
        <w:spacing w:before="120" w:after="50"/>
        <w:ind w:firstLine="566" w:firstLineChars="236"/>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319DD684">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7E8AA46B">
      <w:pPr>
        <w:snapToGrid w:val="0"/>
        <w:spacing w:before="50"/>
        <w:jc w:val="left"/>
        <w:rPr>
          <w:rFonts w:ascii="宋体" w:hAnsi="宋体" w:cs="宋体"/>
          <w:color w:val="auto"/>
          <w:sz w:val="24"/>
          <w:highlight w:val="none"/>
        </w:rPr>
      </w:pPr>
    </w:p>
    <w:p w14:paraId="11299139">
      <w:pPr>
        <w:pStyle w:val="7"/>
        <w:spacing w:line="360" w:lineRule="auto"/>
        <w:ind w:left="-424" w:leftChars="-202" w:firstLine="846"/>
        <w:rPr>
          <w:rFonts w:hAnsi="宋体" w:cs="宋体"/>
          <w:color w:val="auto"/>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5"/>
        <w:tblpPr w:leftFromText="180" w:rightFromText="180" w:vertAnchor="text" w:horzAnchor="margin" w:tblpXSpec="center" w:tblpY="9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3926"/>
        <w:gridCol w:w="3589"/>
        <w:gridCol w:w="1274"/>
      </w:tblGrid>
      <w:tr w14:paraId="5A64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691" w:type="dxa"/>
            <w:vAlign w:val="center"/>
          </w:tcPr>
          <w:p w14:paraId="3E2C6EEF">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vAlign w:val="center"/>
          </w:tcPr>
          <w:p w14:paraId="4A729EC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3589" w:type="dxa"/>
            <w:vAlign w:val="center"/>
          </w:tcPr>
          <w:p w14:paraId="2D7A71C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1274" w:type="dxa"/>
            <w:vAlign w:val="center"/>
          </w:tcPr>
          <w:p w14:paraId="2F24863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C14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691" w:type="dxa"/>
          </w:tcPr>
          <w:p w14:paraId="66FE8EA8">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Pr>
          <w:p w14:paraId="185F63C9">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22A27539">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57F6E02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C8B432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Pr>
          <w:p w14:paraId="454C20D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48D44B6">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D3ED42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DE7456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Pr>
          <w:p w14:paraId="216C4D9A">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0657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691" w:type="dxa"/>
          </w:tcPr>
          <w:p w14:paraId="473C6610">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Pr>
          <w:p w14:paraId="3DBBA49B">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6B2E0B76">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506364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735BDA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Pr>
          <w:p w14:paraId="1E4B6F36">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2E5606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74C173A">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D2C71A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Pr>
          <w:p w14:paraId="2D836585">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11C6C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trPr>
        <w:tc>
          <w:tcPr>
            <w:tcW w:w="691" w:type="dxa"/>
          </w:tcPr>
          <w:p w14:paraId="224D36B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Pr>
          <w:p w14:paraId="52B19C6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002A13F8">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D0105EC">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4025575">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Pr>
          <w:p w14:paraId="7D2CEE9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7670A0AA">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E498F3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FB82266">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Pr>
          <w:p w14:paraId="2EA5F33C">
            <w:pPr>
              <w:spacing w:line="300" w:lineRule="exact"/>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4E9D5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9480" w:type="dxa"/>
            <w:gridSpan w:val="4"/>
          </w:tcPr>
          <w:p w14:paraId="3EB9B306">
            <w:pPr>
              <w:spacing w:line="340" w:lineRule="exact"/>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4D79A135">
      <w:pPr>
        <w:pStyle w:val="7"/>
        <w:spacing w:line="360" w:lineRule="auto"/>
        <w:ind w:left="-708" w:leftChars="-337"/>
        <w:rPr>
          <w:rFonts w:hAnsi="宋体" w:cs="宋体"/>
          <w:color w:val="auto"/>
          <w:highlight w:val="none"/>
        </w:rPr>
      </w:pPr>
    </w:p>
    <w:p w14:paraId="77144348">
      <w:pPr>
        <w:pStyle w:val="7"/>
        <w:spacing w:line="360" w:lineRule="auto"/>
        <w:ind w:left="-708" w:leftChars="-337"/>
        <w:rPr>
          <w:rFonts w:hAnsi="宋体" w:cs="宋体"/>
          <w:color w:val="auto"/>
          <w:highlight w:val="none"/>
        </w:rPr>
      </w:pPr>
      <w:r>
        <w:rPr>
          <w:rFonts w:hint="eastAsia" w:hAnsi="宋体" w:cs="宋体"/>
          <w:color w:val="auto"/>
          <w:highlight w:val="none"/>
        </w:rPr>
        <w:t>注：</w:t>
      </w:r>
    </w:p>
    <w:p w14:paraId="61D2E9E3">
      <w:pPr>
        <w:pStyle w:val="7"/>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3BC10833">
      <w:pPr>
        <w:pStyle w:val="7"/>
        <w:spacing w:line="360" w:lineRule="auto"/>
        <w:ind w:left="-603" w:leftChars="-287" w:firstLine="315" w:firstLineChars="150"/>
        <w:rPr>
          <w:rFonts w:hAnsi="宋体" w:cs="宋体"/>
          <w:color w:val="auto"/>
          <w:highlight w:val="none"/>
        </w:rPr>
      </w:pPr>
      <w:r>
        <w:rPr>
          <w:rFonts w:hint="eastAsia" w:hAnsi="宋体" w:cs="宋体"/>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p>
    <w:p w14:paraId="33C5819B">
      <w:pPr>
        <w:pStyle w:val="7"/>
        <w:spacing w:line="360" w:lineRule="auto"/>
        <w:ind w:left="-708" w:leftChars="-337" w:firstLine="420" w:firstLineChars="20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40049EC5">
      <w:pPr>
        <w:pStyle w:val="7"/>
        <w:spacing w:line="360" w:lineRule="auto"/>
        <w:ind w:left="-708" w:leftChars="-337" w:firstLine="420" w:firstLineChars="200"/>
        <w:rPr>
          <w:rFonts w:hAnsi="宋体" w:cs="宋体"/>
          <w:color w:val="auto"/>
          <w:szCs w:val="21"/>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3FFB051C">
      <w:pPr>
        <w:snapToGrid w:val="0"/>
        <w:spacing w:before="50" w:after="50"/>
        <w:rPr>
          <w:rFonts w:ascii="宋体" w:hAnsi="宋体" w:cs="宋体"/>
          <w:color w:val="auto"/>
          <w:sz w:val="24"/>
          <w:highlight w:val="none"/>
        </w:rPr>
      </w:pPr>
    </w:p>
    <w:p w14:paraId="48ADC27C">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922C3C3">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621178A">
      <w:pPr>
        <w:snapToGrid w:val="0"/>
        <w:spacing w:before="120" w:after="50"/>
        <w:ind w:firstLine="3150" w:firstLineChars="1500"/>
        <w:jc w:val="left"/>
        <w:rPr>
          <w:rFonts w:ascii="宋体" w:hAnsi="宋体" w:cs="宋体"/>
          <w:color w:val="auto"/>
          <w:szCs w:val="21"/>
          <w:highlight w:val="none"/>
        </w:rPr>
        <w:sectPr>
          <w:footerReference r:id="rId13" w:type="first"/>
          <w:headerReference r:id="rId10" w:type="default"/>
          <w:footerReference r:id="rId11" w:type="default"/>
          <w:footerReference r:id="rId12" w:type="even"/>
          <w:pgSz w:w="11906" w:h="16838"/>
          <w:pgMar w:top="1440" w:right="1080" w:bottom="1440" w:left="1080" w:header="851" w:footer="992" w:gutter="0"/>
          <w:pgNumType w:fmt="decimal"/>
          <w:cols w:space="720" w:num="1"/>
          <w:docGrid w:linePitch="312" w:charSpace="0"/>
        </w:sectPr>
      </w:pPr>
    </w:p>
    <w:p w14:paraId="13FB21A4">
      <w:pPr>
        <w:snapToGrid w:val="0"/>
        <w:spacing w:before="165" w:after="50"/>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5374B50E">
      <w:pPr>
        <w:spacing w:line="360" w:lineRule="auto"/>
        <w:ind w:firstLine="4048" w:firstLineChars="1687"/>
        <w:rPr>
          <w:rFonts w:ascii="宋体" w:hAnsi="宋体" w:cs="宋体"/>
          <w:color w:val="auto"/>
          <w:sz w:val="24"/>
          <w:highlight w:val="none"/>
        </w:rPr>
      </w:pPr>
    </w:p>
    <w:p w14:paraId="57BF57D1">
      <w:pPr>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05C4BD03">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F9542A6">
      <w:pPr>
        <w:snapToGrid w:val="0"/>
        <w:spacing w:line="360" w:lineRule="auto"/>
        <w:ind w:firstLine="4935" w:firstLineChars="2350"/>
        <w:rPr>
          <w:rFonts w:ascii="宋体" w:hAnsi="宋体" w:cs="宋体"/>
          <w:color w:val="auto"/>
          <w:szCs w:val="21"/>
          <w:highlight w:val="none"/>
        </w:rPr>
      </w:pPr>
    </w:p>
    <w:p w14:paraId="09D98E0A">
      <w:pPr>
        <w:snapToGrid w:val="0"/>
        <w:spacing w:line="360" w:lineRule="auto"/>
        <w:ind w:firstLine="4935" w:firstLineChars="2350"/>
        <w:rPr>
          <w:rFonts w:ascii="宋体" w:hAnsi="宋体" w:cs="宋体"/>
          <w:color w:val="auto"/>
          <w:szCs w:val="21"/>
          <w:highlight w:val="none"/>
        </w:rPr>
      </w:pPr>
    </w:p>
    <w:p w14:paraId="58E556B5">
      <w:pPr>
        <w:snapToGrid w:val="0"/>
        <w:spacing w:line="360" w:lineRule="auto"/>
        <w:ind w:firstLine="4935" w:firstLineChars="2350"/>
        <w:rPr>
          <w:rFonts w:ascii="宋体" w:hAnsi="宋体" w:cs="宋体"/>
          <w:color w:val="auto"/>
          <w:szCs w:val="21"/>
          <w:highlight w:val="none"/>
        </w:rPr>
      </w:pPr>
    </w:p>
    <w:p w14:paraId="3AE8146F">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D12FD84">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6F2A7B">
      <w:pPr>
        <w:snapToGrid w:val="0"/>
        <w:spacing w:before="165" w:after="50"/>
        <w:ind w:left="142"/>
        <w:jc w:val="center"/>
        <w:rPr>
          <w:rFonts w:ascii="宋体" w:hAnsi="宋体" w:cs="宋体"/>
          <w:b/>
          <w:color w:val="auto"/>
          <w:sz w:val="32"/>
          <w:szCs w:val="32"/>
          <w:highlight w:val="none"/>
        </w:rPr>
      </w:pPr>
    </w:p>
    <w:p w14:paraId="6F3EC764">
      <w:pPr>
        <w:snapToGrid w:val="0"/>
        <w:spacing w:before="165" w:line="360" w:lineRule="auto"/>
        <w:ind w:right="480" w:firstLine="3967" w:firstLineChars="1653"/>
        <w:rPr>
          <w:rFonts w:ascii="宋体" w:hAnsi="宋体" w:cs="宋体"/>
          <w:color w:val="auto"/>
          <w:sz w:val="24"/>
          <w:highlight w:val="none"/>
        </w:rPr>
      </w:pPr>
    </w:p>
    <w:p w14:paraId="6972FE50">
      <w:pPr>
        <w:snapToGrid w:val="0"/>
        <w:spacing w:line="360" w:lineRule="auto"/>
        <w:ind w:firstLine="5160" w:firstLineChars="2150"/>
        <w:rPr>
          <w:rFonts w:ascii="宋体" w:hAnsi="宋体" w:cs="宋体"/>
          <w:color w:val="auto"/>
          <w:kern w:val="0"/>
          <w:sz w:val="24"/>
          <w:highlight w:val="none"/>
          <w:lang w:val="zh-CN"/>
        </w:rPr>
      </w:pPr>
    </w:p>
    <w:p w14:paraId="4567E918">
      <w:pPr>
        <w:spacing w:line="360" w:lineRule="auto"/>
        <w:ind w:firstLine="4048" w:firstLineChars="1687"/>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3C23F356">
      <w:pPr>
        <w:snapToGrid w:val="0"/>
        <w:spacing w:before="165" w:after="50"/>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rPr>
        <w:t>、投标人类似的业绩证明文件（如有要求）</w:t>
      </w:r>
    </w:p>
    <w:p w14:paraId="3930048C">
      <w:pPr>
        <w:pStyle w:val="27"/>
        <w:snapToGrid w:val="0"/>
        <w:ind w:left="480" w:hanging="480"/>
        <w:rPr>
          <w:rFonts w:ascii="宋体" w:hAnsi="宋体" w:cs="宋体"/>
          <w:color w:val="auto"/>
          <w:sz w:val="24"/>
          <w:highlight w:val="none"/>
        </w:rPr>
      </w:pPr>
    </w:p>
    <w:p w14:paraId="58674CBA">
      <w:pPr>
        <w:pStyle w:val="27"/>
        <w:snapToGrid w:val="0"/>
        <w:ind w:left="480" w:hanging="480"/>
        <w:rPr>
          <w:rFonts w:ascii="宋体" w:hAnsi="宋体" w:cs="宋体"/>
          <w:color w:val="auto"/>
          <w:sz w:val="24"/>
          <w:highlight w:val="none"/>
        </w:rPr>
      </w:pPr>
    </w:p>
    <w:p w14:paraId="6394871B">
      <w:pPr>
        <w:pStyle w:val="27"/>
        <w:snapToGrid w:val="0"/>
        <w:ind w:left="480" w:hanging="480"/>
        <w:rPr>
          <w:rFonts w:ascii="宋体" w:hAnsi="宋体" w:cs="宋体"/>
          <w:color w:val="auto"/>
          <w:sz w:val="24"/>
          <w:highlight w:val="none"/>
        </w:rPr>
      </w:pPr>
    </w:p>
    <w:p w14:paraId="3A5E72AA">
      <w:pPr>
        <w:autoSpaceDE w:val="0"/>
        <w:autoSpaceDN w:val="0"/>
        <w:spacing w:line="360" w:lineRule="auto"/>
        <w:ind w:firstLine="120"/>
        <w:rPr>
          <w:rFonts w:ascii="宋体" w:hAnsi="宋体" w:cs="宋体"/>
          <w:b/>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F6D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2628" w:type="dxa"/>
            <w:vMerge w:val="restart"/>
            <w:vAlign w:val="center"/>
          </w:tcPr>
          <w:p w14:paraId="351DC13C">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vAlign w:val="center"/>
          </w:tcPr>
          <w:p w14:paraId="2317858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vAlign w:val="center"/>
          </w:tcPr>
          <w:p w14:paraId="2EBEDE2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1205A40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515A5F4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vAlign w:val="center"/>
          </w:tcPr>
          <w:p w14:paraId="1F001E8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vAlign w:val="center"/>
          </w:tcPr>
          <w:p w14:paraId="581449A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57E7851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866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628" w:type="dxa"/>
            <w:vMerge w:val="continue"/>
            <w:vAlign w:val="center"/>
          </w:tcPr>
          <w:p w14:paraId="698EF06E">
            <w:pPr>
              <w:jc w:val="left"/>
              <w:rPr>
                <w:rFonts w:ascii="宋体" w:hAnsi="宋体" w:cs="宋体"/>
                <w:color w:val="auto"/>
                <w:sz w:val="24"/>
                <w:highlight w:val="none"/>
              </w:rPr>
            </w:pPr>
          </w:p>
        </w:tc>
        <w:tc>
          <w:tcPr>
            <w:tcW w:w="3420" w:type="dxa"/>
            <w:vMerge w:val="continue"/>
            <w:vAlign w:val="center"/>
          </w:tcPr>
          <w:p w14:paraId="20D7019C">
            <w:pPr>
              <w:jc w:val="left"/>
              <w:rPr>
                <w:rFonts w:ascii="宋体" w:hAnsi="宋体" w:cs="宋体"/>
                <w:color w:val="auto"/>
                <w:sz w:val="24"/>
                <w:highlight w:val="none"/>
              </w:rPr>
            </w:pPr>
          </w:p>
        </w:tc>
        <w:tc>
          <w:tcPr>
            <w:tcW w:w="1715" w:type="dxa"/>
            <w:vMerge w:val="continue"/>
            <w:vAlign w:val="center"/>
          </w:tcPr>
          <w:p w14:paraId="2E1A8D72">
            <w:pPr>
              <w:jc w:val="left"/>
              <w:rPr>
                <w:rFonts w:ascii="宋体" w:hAnsi="宋体" w:cs="宋体"/>
                <w:color w:val="auto"/>
                <w:sz w:val="24"/>
                <w:highlight w:val="none"/>
              </w:rPr>
            </w:pPr>
          </w:p>
        </w:tc>
        <w:tc>
          <w:tcPr>
            <w:tcW w:w="1559" w:type="dxa"/>
            <w:vAlign w:val="center"/>
          </w:tcPr>
          <w:p w14:paraId="1DB9F87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vAlign w:val="center"/>
          </w:tcPr>
          <w:p w14:paraId="70FF4D5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vAlign w:val="center"/>
          </w:tcPr>
          <w:p w14:paraId="534F159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vAlign w:val="center"/>
          </w:tcPr>
          <w:p w14:paraId="5597B9A8">
            <w:pPr>
              <w:jc w:val="left"/>
              <w:rPr>
                <w:rFonts w:ascii="宋体" w:hAnsi="宋体" w:cs="宋体"/>
                <w:color w:val="auto"/>
                <w:sz w:val="24"/>
                <w:highlight w:val="none"/>
              </w:rPr>
            </w:pPr>
          </w:p>
        </w:tc>
      </w:tr>
      <w:tr w14:paraId="7A3B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628" w:type="dxa"/>
          </w:tcPr>
          <w:p w14:paraId="13AF6B18">
            <w:pPr>
              <w:snapToGrid w:val="0"/>
              <w:spacing w:line="240" w:lineRule="exact"/>
              <w:jc w:val="left"/>
              <w:rPr>
                <w:rFonts w:ascii="宋体" w:hAnsi="宋体" w:cs="宋体"/>
                <w:color w:val="auto"/>
                <w:sz w:val="24"/>
                <w:highlight w:val="none"/>
              </w:rPr>
            </w:pPr>
          </w:p>
        </w:tc>
        <w:tc>
          <w:tcPr>
            <w:tcW w:w="3420" w:type="dxa"/>
          </w:tcPr>
          <w:p w14:paraId="71FE6FFF">
            <w:pPr>
              <w:snapToGrid w:val="0"/>
              <w:spacing w:line="240" w:lineRule="exact"/>
              <w:jc w:val="left"/>
              <w:rPr>
                <w:rFonts w:ascii="宋体" w:hAnsi="宋体" w:cs="宋体"/>
                <w:color w:val="auto"/>
                <w:sz w:val="24"/>
                <w:highlight w:val="none"/>
              </w:rPr>
            </w:pPr>
          </w:p>
        </w:tc>
        <w:tc>
          <w:tcPr>
            <w:tcW w:w="1715" w:type="dxa"/>
          </w:tcPr>
          <w:p w14:paraId="7B68E255">
            <w:pPr>
              <w:snapToGrid w:val="0"/>
              <w:spacing w:line="240" w:lineRule="exact"/>
              <w:jc w:val="left"/>
              <w:rPr>
                <w:rFonts w:ascii="宋体" w:hAnsi="宋体" w:cs="宋体"/>
                <w:color w:val="auto"/>
                <w:sz w:val="24"/>
                <w:highlight w:val="none"/>
              </w:rPr>
            </w:pPr>
          </w:p>
        </w:tc>
        <w:tc>
          <w:tcPr>
            <w:tcW w:w="1559" w:type="dxa"/>
          </w:tcPr>
          <w:p w14:paraId="4F89F0B4">
            <w:pPr>
              <w:snapToGrid w:val="0"/>
              <w:spacing w:line="240" w:lineRule="exact"/>
              <w:jc w:val="left"/>
              <w:rPr>
                <w:rFonts w:ascii="宋体" w:hAnsi="宋体" w:cs="宋体"/>
                <w:color w:val="auto"/>
                <w:sz w:val="24"/>
                <w:highlight w:val="none"/>
              </w:rPr>
            </w:pPr>
          </w:p>
        </w:tc>
        <w:tc>
          <w:tcPr>
            <w:tcW w:w="1559" w:type="dxa"/>
          </w:tcPr>
          <w:p w14:paraId="223278D1">
            <w:pPr>
              <w:snapToGrid w:val="0"/>
              <w:spacing w:line="240" w:lineRule="exact"/>
              <w:jc w:val="left"/>
              <w:rPr>
                <w:rFonts w:ascii="宋体" w:hAnsi="宋体" w:cs="宋体"/>
                <w:color w:val="auto"/>
                <w:sz w:val="24"/>
                <w:highlight w:val="none"/>
              </w:rPr>
            </w:pPr>
          </w:p>
        </w:tc>
        <w:tc>
          <w:tcPr>
            <w:tcW w:w="1418" w:type="dxa"/>
          </w:tcPr>
          <w:p w14:paraId="39B72CB6">
            <w:pPr>
              <w:snapToGrid w:val="0"/>
              <w:spacing w:line="240" w:lineRule="exact"/>
              <w:jc w:val="left"/>
              <w:rPr>
                <w:rFonts w:ascii="宋体" w:hAnsi="宋体" w:cs="宋体"/>
                <w:color w:val="auto"/>
                <w:sz w:val="24"/>
                <w:highlight w:val="none"/>
              </w:rPr>
            </w:pPr>
          </w:p>
        </w:tc>
        <w:tc>
          <w:tcPr>
            <w:tcW w:w="2268" w:type="dxa"/>
          </w:tcPr>
          <w:p w14:paraId="31DE1108">
            <w:pPr>
              <w:snapToGrid w:val="0"/>
              <w:spacing w:line="240" w:lineRule="exact"/>
              <w:jc w:val="left"/>
              <w:rPr>
                <w:rFonts w:ascii="宋体" w:hAnsi="宋体" w:cs="宋体"/>
                <w:color w:val="auto"/>
                <w:sz w:val="24"/>
                <w:highlight w:val="none"/>
              </w:rPr>
            </w:pPr>
          </w:p>
        </w:tc>
      </w:tr>
      <w:tr w14:paraId="2E30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6482E7F1">
            <w:pPr>
              <w:snapToGrid w:val="0"/>
              <w:spacing w:before="50" w:after="165" w:line="400" w:lineRule="exact"/>
              <w:jc w:val="left"/>
              <w:rPr>
                <w:rFonts w:ascii="宋体" w:hAnsi="宋体" w:cs="宋体"/>
                <w:color w:val="auto"/>
                <w:sz w:val="24"/>
                <w:highlight w:val="none"/>
              </w:rPr>
            </w:pPr>
          </w:p>
        </w:tc>
        <w:tc>
          <w:tcPr>
            <w:tcW w:w="3420" w:type="dxa"/>
          </w:tcPr>
          <w:p w14:paraId="493EA901">
            <w:pPr>
              <w:snapToGrid w:val="0"/>
              <w:spacing w:before="50" w:after="165" w:line="400" w:lineRule="exact"/>
              <w:jc w:val="left"/>
              <w:rPr>
                <w:rFonts w:ascii="宋体" w:hAnsi="宋体" w:cs="宋体"/>
                <w:color w:val="auto"/>
                <w:sz w:val="24"/>
                <w:highlight w:val="none"/>
              </w:rPr>
            </w:pPr>
          </w:p>
        </w:tc>
        <w:tc>
          <w:tcPr>
            <w:tcW w:w="1715" w:type="dxa"/>
          </w:tcPr>
          <w:p w14:paraId="344AF925">
            <w:pPr>
              <w:snapToGrid w:val="0"/>
              <w:spacing w:before="50" w:after="165" w:line="400" w:lineRule="exact"/>
              <w:jc w:val="left"/>
              <w:rPr>
                <w:rFonts w:ascii="宋体" w:hAnsi="宋体" w:cs="宋体"/>
                <w:color w:val="auto"/>
                <w:sz w:val="24"/>
                <w:highlight w:val="none"/>
              </w:rPr>
            </w:pPr>
          </w:p>
        </w:tc>
        <w:tc>
          <w:tcPr>
            <w:tcW w:w="1559" w:type="dxa"/>
          </w:tcPr>
          <w:p w14:paraId="67A2D3BE">
            <w:pPr>
              <w:snapToGrid w:val="0"/>
              <w:spacing w:before="50" w:after="165" w:line="400" w:lineRule="exact"/>
              <w:jc w:val="left"/>
              <w:rPr>
                <w:rFonts w:ascii="宋体" w:hAnsi="宋体" w:cs="宋体"/>
                <w:color w:val="auto"/>
                <w:sz w:val="24"/>
                <w:highlight w:val="none"/>
              </w:rPr>
            </w:pPr>
          </w:p>
        </w:tc>
        <w:tc>
          <w:tcPr>
            <w:tcW w:w="1559" w:type="dxa"/>
          </w:tcPr>
          <w:p w14:paraId="247736CE">
            <w:pPr>
              <w:snapToGrid w:val="0"/>
              <w:spacing w:before="50" w:after="165" w:line="400" w:lineRule="exact"/>
              <w:jc w:val="left"/>
              <w:rPr>
                <w:rFonts w:ascii="宋体" w:hAnsi="宋体" w:cs="宋体"/>
                <w:color w:val="auto"/>
                <w:sz w:val="24"/>
                <w:highlight w:val="none"/>
              </w:rPr>
            </w:pPr>
          </w:p>
        </w:tc>
        <w:tc>
          <w:tcPr>
            <w:tcW w:w="1418" w:type="dxa"/>
          </w:tcPr>
          <w:p w14:paraId="358C5543">
            <w:pPr>
              <w:snapToGrid w:val="0"/>
              <w:spacing w:before="50" w:after="165" w:line="400" w:lineRule="exact"/>
              <w:jc w:val="left"/>
              <w:rPr>
                <w:rFonts w:ascii="宋体" w:hAnsi="宋体" w:cs="宋体"/>
                <w:color w:val="auto"/>
                <w:sz w:val="24"/>
                <w:highlight w:val="none"/>
              </w:rPr>
            </w:pPr>
          </w:p>
        </w:tc>
        <w:tc>
          <w:tcPr>
            <w:tcW w:w="2268" w:type="dxa"/>
          </w:tcPr>
          <w:p w14:paraId="2F0C0EFE">
            <w:pPr>
              <w:snapToGrid w:val="0"/>
              <w:spacing w:before="50" w:after="165" w:line="400" w:lineRule="exact"/>
              <w:jc w:val="left"/>
              <w:rPr>
                <w:rFonts w:ascii="宋体" w:hAnsi="宋体" w:cs="宋体"/>
                <w:color w:val="auto"/>
                <w:sz w:val="24"/>
                <w:highlight w:val="none"/>
              </w:rPr>
            </w:pPr>
          </w:p>
        </w:tc>
      </w:tr>
      <w:tr w14:paraId="054D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14:paraId="2B6505C7">
            <w:pPr>
              <w:snapToGrid w:val="0"/>
              <w:spacing w:before="50" w:after="165" w:line="400" w:lineRule="exact"/>
              <w:jc w:val="left"/>
              <w:rPr>
                <w:rFonts w:ascii="宋体" w:hAnsi="宋体" w:cs="宋体"/>
                <w:color w:val="auto"/>
                <w:sz w:val="24"/>
                <w:highlight w:val="none"/>
              </w:rPr>
            </w:pPr>
          </w:p>
        </w:tc>
        <w:tc>
          <w:tcPr>
            <w:tcW w:w="3420" w:type="dxa"/>
          </w:tcPr>
          <w:p w14:paraId="40B321DA">
            <w:pPr>
              <w:snapToGrid w:val="0"/>
              <w:spacing w:before="50" w:after="165" w:line="400" w:lineRule="exact"/>
              <w:jc w:val="left"/>
              <w:rPr>
                <w:rFonts w:ascii="宋体" w:hAnsi="宋体" w:cs="宋体"/>
                <w:color w:val="auto"/>
                <w:sz w:val="24"/>
                <w:highlight w:val="none"/>
              </w:rPr>
            </w:pPr>
          </w:p>
        </w:tc>
        <w:tc>
          <w:tcPr>
            <w:tcW w:w="1715" w:type="dxa"/>
          </w:tcPr>
          <w:p w14:paraId="4D8BAE61">
            <w:pPr>
              <w:snapToGrid w:val="0"/>
              <w:spacing w:before="50" w:after="165" w:line="400" w:lineRule="exact"/>
              <w:jc w:val="left"/>
              <w:rPr>
                <w:rFonts w:ascii="宋体" w:hAnsi="宋体" w:cs="宋体"/>
                <w:color w:val="auto"/>
                <w:sz w:val="24"/>
                <w:highlight w:val="none"/>
              </w:rPr>
            </w:pPr>
          </w:p>
        </w:tc>
        <w:tc>
          <w:tcPr>
            <w:tcW w:w="1559" w:type="dxa"/>
          </w:tcPr>
          <w:p w14:paraId="47C0FFBD">
            <w:pPr>
              <w:snapToGrid w:val="0"/>
              <w:spacing w:before="50" w:after="165" w:line="400" w:lineRule="exact"/>
              <w:jc w:val="left"/>
              <w:rPr>
                <w:rFonts w:ascii="宋体" w:hAnsi="宋体" w:cs="宋体"/>
                <w:color w:val="auto"/>
                <w:sz w:val="24"/>
                <w:highlight w:val="none"/>
              </w:rPr>
            </w:pPr>
          </w:p>
        </w:tc>
        <w:tc>
          <w:tcPr>
            <w:tcW w:w="1559" w:type="dxa"/>
          </w:tcPr>
          <w:p w14:paraId="3713FC8B">
            <w:pPr>
              <w:snapToGrid w:val="0"/>
              <w:spacing w:before="50" w:after="165" w:line="400" w:lineRule="exact"/>
              <w:jc w:val="left"/>
              <w:rPr>
                <w:rFonts w:ascii="宋体" w:hAnsi="宋体" w:cs="宋体"/>
                <w:color w:val="auto"/>
                <w:sz w:val="24"/>
                <w:highlight w:val="none"/>
              </w:rPr>
            </w:pPr>
          </w:p>
        </w:tc>
        <w:tc>
          <w:tcPr>
            <w:tcW w:w="1418" w:type="dxa"/>
          </w:tcPr>
          <w:p w14:paraId="713B0CF0">
            <w:pPr>
              <w:snapToGrid w:val="0"/>
              <w:spacing w:before="50" w:after="165" w:line="400" w:lineRule="exact"/>
              <w:jc w:val="left"/>
              <w:rPr>
                <w:rFonts w:ascii="宋体" w:hAnsi="宋体" w:cs="宋体"/>
                <w:color w:val="auto"/>
                <w:sz w:val="24"/>
                <w:highlight w:val="none"/>
              </w:rPr>
            </w:pPr>
          </w:p>
        </w:tc>
        <w:tc>
          <w:tcPr>
            <w:tcW w:w="2268" w:type="dxa"/>
          </w:tcPr>
          <w:p w14:paraId="66E7B003">
            <w:pPr>
              <w:snapToGrid w:val="0"/>
              <w:spacing w:before="50" w:after="165" w:line="400" w:lineRule="exact"/>
              <w:jc w:val="left"/>
              <w:rPr>
                <w:rFonts w:ascii="宋体" w:hAnsi="宋体" w:cs="宋体"/>
                <w:color w:val="auto"/>
                <w:sz w:val="24"/>
                <w:highlight w:val="none"/>
              </w:rPr>
            </w:pPr>
          </w:p>
        </w:tc>
      </w:tr>
      <w:tr w14:paraId="7447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3C05886F">
            <w:pPr>
              <w:snapToGrid w:val="0"/>
              <w:spacing w:before="50" w:after="165" w:line="400" w:lineRule="exact"/>
              <w:jc w:val="left"/>
              <w:rPr>
                <w:rFonts w:ascii="宋体" w:hAnsi="宋体" w:cs="宋体"/>
                <w:color w:val="auto"/>
                <w:sz w:val="24"/>
                <w:highlight w:val="none"/>
              </w:rPr>
            </w:pPr>
          </w:p>
        </w:tc>
        <w:tc>
          <w:tcPr>
            <w:tcW w:w="3420" w:type="dxa"/>
          </w:tcPr>
          <w:p w14:paraId="12814442">
            <w:pPr>
              <w:snapToGrid w:val="0"/>
              <w:spacing w:before="50" w:after="165" w:line="400" w:lineRule="exact"/>
              <w:jc w:val="left"/>
              <w:rPr>
                <w:rFonts w:ascii="宋体" w:hAnsi="宋体" w:cs="宋体"/>
                <w:color w:val="auto"/>
                <w:sz w:val="24"/>
                <w:highlight w:val="none"/>
              </w:rPr>
            </w:pPr>
          </w:p>
        </w:tc>
        <w:tc>
          <w:tcPr>
            <w:tcW w:w="1715" w:type="dxa"/>
          </w:tcPr>
          <w:p w14:paraId="346F667B">
            <w:pPr>
              <w:snapToGrid w:val="0"/>
              <w:spacing w:before="50" w:after="165" w:line="400" w:lineRule="exact"/>
              <w:jc w:val="left"/>
              <w:rPr>
                <w:rFonts w:ascii="宋体" w:hAnsi="宋体" w:cs="宋体"/>
                <w:color w:val="auto"/>
                <w:sz w:val="24"/>
                <w:highlight w:val="none"/>
              </w:rPr>
            </w:pPr>
          </w:p>
        </w:tc>
        <w:tc>
          <w:tcPr>
            <w:tcW w:w="1559" w:type="dxa"/>
          </w:tcPr>
          <w:p w14:paraId="4C85A0A6">
            <w:pPr>
              <w:snapToGrid w:val="0"/>
              <w:spacing w:before="50" w:after="165" w:line="400" w:lineRule="exact"/>
              <w:jc w:val="left"/>
              <w:rPr>
                <w:rFonts w:ascii="宋体" w:hAnsi="宋体" w:cs="宋体"/>
                <w:color w:val="auto"/>
                <w:sz w:val="24"/>
                <w:highlight w:val="none"/>
              </w:rPr>
            </w:pPr>
          </w:p>
        </w:tc>
        <w:tc>
          <w:tcPr>
            <w:tcW w:w="1559" w:type="dxa"/>
          </w:tcPr>
          <w:p w14:paraId="112F429E">
            <w:pPr>
              <w:snapToGrid w:val="0"/>
              <w:spacing w:before="50" w:after="165" w:line="400" w:lineRule="exact"/>
              <w:jc w:val="left"/>
              <w:rPr>
                <w:rFonts w:ascii="宋体" w:hAnsi="宋体" w:cs="宋体"/>
                <w:color w:val="auto"/>
                <w:sz w:val="24"/>
                <w:highlight w:val="none"/>
              </w:rPr>
            </w:pPr>
          </w:p>
        </w:tc>
        <w:tc>
          <w:tcPr>
            <w:tcW w:w="1418" w:type="dxa"/>
          </w:tcPr>
          <w:p w14:paraId="47FF10BC">
            <w:pPr>
              <w:snapToGrid w:val="0"/>
              <w:spacing w:before="50" w:after="165" w:line="400" w:lineRule="exact"/>
              <w:jc w:val="left"/>
              <w:rPr>
                <w:rFonts w:ascii="宋体" w:hAnsi="宋体" w:cs="宋体"/>
                <w:color w:val="auto"/>
                <w:sz w:val="24"/>
                <w:highlight w:val="none"/>
              </w:rPr>
            </w:pPr>
          </w:p>
        </w:tc>
        <w:tc>
          <w:tcPr>
            <w:tcW w:w="2268" w:type="dxa"/>
          </w:tcPr>
          <w:p w14:paraId="7095E0CE">
            <w:pPr>
              <w:snapToGrid w:val="0"/>
              <w:spacing w:before="50" w:after="165" w:line="400" w:lineRule="exact"/>
              <w:jc w:val="left"/>
              <w:rPr>
                <w:rFonts w:ascii="宋体" w:hAnsi="宋体" w:cs="宋体"/>
                <w:color w:val="auto"/>
                <w:sz w:val="24"/>
                <w:highlight w:val="none"/>
              </w:rPr>
            </w:pPr>
          </w:p>
        </w:tc>
      </w:tr>
      <w:tr w14:paraId="6B3A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2FE1F51">
            <w:pPr>
              <w:snapToGrid w:val="0"/>
              <w:spacing w:before="50" w:after="165" w:line="400" w:lineRule="exact"/>
              <w:jc w:val="left"/>
              <w:rPr>
                <w:rFonts w:ascii="宋体" w:hAnsi="宋体" w:cs="宋体"/>
                <w:color w:val="auto"/>
                <w:sz w:val="24"/>
                <w:highlight w:val="none"/>
              </w:rPr>
            </w:pPr>
          </w:p>
        </w:tc>
        <w:tc>
          <w:tcPr>
            <w:tcW w:w="3420" w:type="dxa"/>
          </w:tcPr>
          <w:p w14:paraId="6FE6040C">
            <w:pPr>
              <w:snapToGrid w:val="0"/>
              <w:spacing w:before="50" w:after="165" w:line="400" w:lineRule="exact"/>
              <w:jc w:val="left"/>
              <w:rPr>
                <w:rFonts w:ascii="宋体" w:hAnsi="宋体" w:cs="宋体"/>
                <w:color w:val="auto"/>
                <w:sz w:val="24"/>
                <w:highlight w:val="none"/>
              </w:rPr>
            </w:pPr>
          </w:p>
        </w:tc>
        <w:tc>
          <w:tcPr>
            <w:tcW w:w="1715" w:type="dxa"/>
          </w:tcPr>
          <w:p w14:paraId="25A1D31F">
            <w:pPr>
              <w:snapToGrid w:val="0"/>
              <w:spacing w:before="50" w:after="165" w:line="400" w:lineRule="exact"/>
              <w:jc w:val="left"/>
              <w:rPr>
                <w:rFonts w:ascii="宋体" w:hAnsi="宋体" w:cs="宋体"/>
                <w:color w:val="auto"/>
                <w:sz w:val="24"/>
                <w:highlight w:val="none"/>
              </w:rPr>
            </w:pPr>
          </w:p>
        </w:tc>
        <w:tc>
          <w:tcPr>
            <w:tcW w:w="1559" w:type="dxa"/>
          </w:tcPr>
          <w:p w14:paraId="6858CD98">
            <w:pPr>
              <w:snapToGrid w:val="0"/>
              <w:spacing w:before="50" w:after="165" w:line="400" w:lineRule="exact"/>
              <w:jc w:val="left"/>
              <w:rPr>
                <w:rFonts w:ascii="宋体" w:hAnsi="宋体" w:cs="宋体"/>
                <w:color w:val="auto"/>
                <w:sz w:val="24"/>
                <w:highlight w:val="none"/>
              </w:rPr>
            </w:pPr>
          </w:p>
        </w:tc>
        <w:tc>
          <w:tcPr>
            <w:tcW w:w="1559" w:type="dxa"/>
          </w:tcPr>
          <w:p w14:paraId="2921DC52">
            <w:pPr>
              <w:snapToGrid w:val="0"/>
              <w:spacing w:before="50" w:after="165" w:line="400" w:lineRule="exact"/>
              <w:jc w:val="left"/>
              <w:rPr>
                <w:rFonts w:ascii="宋体" w:hAnsi="宋体" w:cs="宋体"/>
                <w:color w:val="auto"/>
                <w:sz w:val="24"/>
                <w:highlight w:val="none"/>
              </w:rPr>
            </w:pPr>
          </w:p>
        </w:tc>
        <w:tc>
          <w:tcPr>
            <w:tcW w:w="1418" w:type="dxa"/>
          </w:tcPr>
          <w:p w14:paraId="48E37190">
            <w:pPr>
              <w:snapToGrid w:val="0"/>
              <w:spacing w:before="50" w:after="165" w:line="400" w:lineRule="exact"/>
              <w:jc w:val="left"/>
              <w:rPr>
                <w:rFonts w:ascii="宋体" w:hAnsi="宋体" w:cs="宋体"/>
                <w:color w:val="auto"/>
                <w:sz w:val="24"/>
                <w:highlight w:val="none"/>
              </w:rPr>
            </w:pPr>
          </w:p>
        </w:tc>
        <w:tc>
          <w:tcPr>
            <w:tcW w:w="2268" w:type="dxa"/>
          </w:tcPr>
          <w:p w14:paraId="70C2A0A5">
            <w:pPr>
              <w:snapToGrid w:val="0"/>
              <w:spacing w:before="50" w:after="165" w:line="400" w:lineRule="exact"/>
              <w:jc w:val="left"/>
              <w:rPr>
                <w:rFonts w:ascii="宋体" w:hAnsi="宋体" w:cs="宋体"/>
                <w:color w:val="auto"/>
                <w:sz w:val="24"/>
                <w:highlight w:val="none"/>
              </w:rPr>
            </w:pPr>
          </w:p>
        </w:tc>
      </w:tr>
    </w:tbl>
    <w:p w14:paraId="0AAFDB7E">
      <w:pPr>
        <w:pStyle w:val="7"/>
        <w:spacing w:line="360" w:lineRule="auto"/>
        <w:ind w:left="72"/>
        <w:rPr>
          <w:rFonts w:hAnsi="宋体" w:cs="宋体"/>
          <w:color w:val="auto"/>
          <w:highlight w:val="none"/>
        </w:rPr>
      </w:pPr>
      <w:r>
        <w:rPr>
          <w:rFonts w:hint="eastAsia" w:hAnsi="宋体" w:cs="宋体"/>
          <w:color w:val="auto"/>
          <w:highlight w:val="none"/>
        </w:rPr>
        <w:t>注：投标人可按上述的格式自行编制，可随表提交相应的合同复印件</w:t>
      </w:r>
      <w:r>
        <w:rPr>
          <w:rFonts w:hint="eastAsia" w:hAnsi="宋体" w:cs="宋体"/>
          <w:color w:val="auto"/>
          <w:highlight w:val="none"/>
          <w:lang w:val="en-US" w:eastAsia="zh-CN"/>
        </w:rPr>
        <w:t>或</w:t>
      </w:r>
      <w:r>
        <w:rPr>
          <w:rFonts w:hint="eastAsia" w:hAnsi="宋体" w:cs="宋体"/>
          <w:color w:val="auto"/>
          <w:highlight w:val="none"/>
        </w:rPr>
        <w:t>用户单位验收证明。</w:t>
      </w:r>
    </w:p>
    <w:p w14:paraId="63D6635E">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9EF7D39">
      <w:pPr>
        <w:snapToGrid w:val="0"/>
        <w:spacing w:line="360" w:lineRule="auto"/>
        <w:ind w:firstLine="4935" w:firstLineChars="2350"/>
        <w:rPr>
          <w:rFonts w:ascii="宋体" w:hAnsi="宋体" w:cs="宋体"/>
          <w:color w:val="auto"/>
          <w:szCs w:val="21"/>
          <w:highlight w:val="none"/>
        </w:rPr>
      </w:pPr>
    </w:p>
    <w:p w14:paraId="526E1716">
      <w:pPr>
        <w:snapToGrid w:val="0"/>
        <w:spacing w:line="360" w:lineRule="auto"/>
        <w:ind w:firstLine="10080" w:firstLineChars="48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CACB336">
      <w:pPr>
        <w:snapToGrid w:val="0"/>
        <w:spacing w:line="360" w:lineRule="auto"/>
        <w:ind w:firstLine="10080" w:firstLineChars="4200"/>
        <w:rPr>
          <w:rFonts w:ascii="宋体" w:hAnsi="宋体" w:cs="宋体"/>
          <w:color w:val="auto"/>
          <w:kern w:val="0"/>
          <w:sz w:val="24"/>
          <w:highlight w:val="none"/>
          <w:lang w:val="zh-CN"/>
        </w:rPr>
        <w:sectPr>
          <w:headerReference r:id="rId14" w:type="default"/>
          <w:footerReference r:id="rId15" w:type="default"/>
          <w:pgSz w:w="16838" w:h="11906" w:orient="landscape"/>
          <w:pgMar w:top="1440" w:right="1080" w:bottom="1440" w:left="1080" w:header="720" w:footer="720" w:gutter="0"/>
          <w:pgNumType w:fmt="decimal"/>
          <w:cols w:space="720" w:num="1"/>
          <w:docGrid w:type="lines" w:linePitch="331"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A79698">
      <w:pPr>
        <w:snapToGrid w:val="0"/>
        <w:spacing w:before="165" w:after="50"/>
        <w:ind w:firstLine="602" w:firstLineChars="200"/>
        <w:jc w:val="center"/>
        <w:rPr>
          <w:rFonts w:ascii="宋体" w:hAnsi="宋体" w:cs="宋体"/>
          <w:b/>
          <w:bCs/>
          <w:color w:val="auto"/>
          <w:sz w:val="30"/>
          <w:szCs w:val="30"/>
          <w:highlight w:val="none"/>
          <w:lang w:val="zh-CN"/>
        </w:rPr>
      </w:pP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lang w:val="zh-CN"/>
        </w:rPr>
        <w:t>、其他商务文件或说明</w:t>
      </w:r>
    </w:p>
    <w:p w14:paraId="279BB02D">
      <w:pPr>
        <w:snapToGrid w:val="0"/>
        <w:spacing w:before="165" w:after="50"/>
        <w:ind w:firstLine="420" w:firstLineChars="200"/>
        <w:jc w:val="center"/>
        <w:rPr>
          <w:rFonts w:ascii="宋体" w:hAnsi="宋体" w:cs="宋体"/>
          <w:color w:val="auto"/>
          <w:highlight w:val="none"/>
          <w:lang w:val="zh-CN"/>
        </w:rPr>
      </w:pPr>
    </w:p>
    <w:p w14:paraId="5DB2CEB6">
      <w:pPr>
        <w:pStyle w:val="25"/>
        <w:tabs>
          <w:tab w:val="clear" w:pos="2155"/>
        </w:tabs>
        <w:rPr>
          <w:rFonts w:ascii="宋体" w:hAnsi="宋体" w:eastAsia="宋体" w:cs="宋体"/>
          <w:color w:val="auto"/>
          <w:highlight w:val="none"/>
          <w:lang w:val="zh-CN"/>
        </w:rPr>
      </w:pPr>
    </w:p>
    <w:p w14:paraId="076AE6AB">
      <w:pPr>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523DDC52">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34146D26">
      <w:pPr>
        <w:snapToGrid w:val="0"/>
        <w:spacing w:line="360" w:lineRule="auto"/>
        <w:ind w:firstLine="4935" w:firstLineChars="2350"/>
        <w:rPr>
          <w:rFonts w:ascii="宋体" w:hAnsi="宋体" w:cs="宋体"/>
          <w:color w:val="auto"/>
          <w:szCs w:val="21"/>
          <w:highlight w:val="none"/>
        </w:rPr>
      </w:pPr>
    </w:p>
    <w:p w14:paraId="39CD3DCA">
      <w:pPr>
        <w:snapToGrid w:val="0"/>
        <w:spacing w:line="360" w:lineRule="auto"/>
        <w:ind w:firstLine="4935" w:firstLineChars="2350"/>
        <w:rPr>
          <w:rFonts w:ascii="宋体" w:hAnsi="宋体" w:cs="宋体"/>
          <w:color w:val="auto"/>
          <w:szCs w:val="21"/>
          <w:highlight w:val="none"/>
        </w:rPr>
      </w:pPr>
    </w:p>
    <w:p w14:paraId="78734854">
      <w:pPr>
        <w:snapToGrid w:val="0"/>
        <w:spacing w:line="360" w:lineRule="auto"/>
        <w:ind w:firstLine="4935" w:firstLineChars="2350"/>
        <w:rPr>
          <w:rFonts w:ascii="宋体" w:hAnsi="宋体" w:cs="宋体"/>
          <w:color w:val="auto"/>
          <w:szCs w:val="21"/>
          <w:highlight w:val="none"/>
        </w:rPr>
      </w:pPr>
    </w:p>
    <w:p w14:paraId="1860AA9E">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18692D7">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677E2">
      <w:pPr>
        <w:rPr>
          <w:rFonts w:ascii="宋体" w:hAnsi="宋体" w:cs="宋体"/>
          <w:color w:val="auto"/>
          <w:highlight w:val="none"/>
          <w:lang w:val="zh-CN"/>
        </w:rPr>
        <w:sectPr>
          <w:pgSz w:w="11906" w:h="16838"/>
          <w:pgMar w:top="1440" w:right="1080" w:bottom="1440" w:left="1080" w:header="720" w:footer="720" w:gutter="0"/>
          <w:pgNumType w:fmt="decimal"/>
          <w:cols w:space="720" w:num="1"/>
          <w:docGrid w:type="lines" w:linePitch="331" w:charSpace="0"/>
        </w:sectPr>
      </w:pPr>
    </w:p>
    <w:p w14:paraId="28B81687">
      <w:pPr>
        <w:pStyle w:val="7"/>
        <w:jc w:val="center"/>
        <w:outlineLvl w:val="1"/>
        <w:rPr>
          <w:rFonts w:hAnsi="宋体" w:cs="宋体"/>
          <w:b/>
          <w:bCs/>
          <w:color w:val="auto"/>
          <w:sz w:val="28"/>
          <w:szCs w:val="28"/>
          <w:highlight w:val="none"/>
        </w:rPr>
      </w:pPr>
      <w:bookmarkStart w:id="319" w:name="_Toc80093014"/>
      <w:bookmarkEnd w:id="319"/>
      <w:bookmarkStart w:id="320" w:name="_Toc19686839"/>
      <w:bookmarkEnd w:id="320"/>
      <w:r>
        <w:rPr>
          <w:rFonts w:hint="eastAsia" w:hAnsi="宋体" w:cs="宋体"/>
          <w:b/>
          <w:bCs/>
          <w:color w:val="auto"/>
          <w:sz w:val="28"/>
          <w:szCs w:val="28"/>
          <w:highlight w:val="none"/>
        </w:rPr>
        <w:t>第四节 技术文件格式</w:t>
      </w:r>
    </w:p>
    <w:p w14:paraId="15FB5DF6">
      <w:pPr>
        <w:snapToGrid w:val="0"/>
        <w:spacing w:before="165" w:after="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34EAFA92">
      <w:pPr>
        <w:snapToGrid w:val="0"/>
        <w:spacing w:before="165" w:after="50"/>
        <w:rPr>
          <w:rFonts w:ascii="宋体" w:hAnsi="宋体" w:cs="宋体"/>
          <w:color w:val="auto"/>
          <w:sz w:val="24"/>
          <w:szCs w:val="20"/>
          <w:highlight w:val="none"/>
        </w:rPr>
      </w:pPr>
    </w:p>
    <w:p w14:paraId="1B900D22">
      <w:pPr>
        <w:snapToGrid w:val="0"/>
        <w:spacing w:before="165" w:after="50"/>
        <w:jc w:val="center"/>
        <w:rPr>
          <w:rFonts w:ascii="宋体" w:hAnsi="宋体" w:cs="宋体"/>
          <w:b/>
          <w:bCs/>
          <w:color w:val="auto"/>
          <w:sz w:val="32"/>
          <w:szCs w:val="32"/>
          <w:highlight w:val="none"/>
        </w:rPr>
      </w:pPr>
    </w:p>
    <w:p w14:paraId="33874602">
      <w:pPr>
        <w:snapToGrid w:val="0"/>
        <w:spacing w:before="165" w:after="50"/>
        <w:jc w:val="center"/>
        <w:rPr>
          <w:rFonts w:ascii="宋体" w:hAnsi="宋体" w:cs="宋体"/>
          <w:b/>
          <w:bCs/>
          <w:color w:val="auto"/>
          <w:sz w:val="32"/>
          <w:szCs w:val="32"/>
          <w:highlight w:val="none"/>
        </w:rPr>
      </w:pPr>
    </w:p>
    <w:p w14:paraId="1AE29C8D">
      <w:pPr>
        <w:snapToGrid w:val="0"/>
        <w:spacing w:before="165" w:after="50"/>
        <w:jc w:val="center"/>
        <w:rPr>
          <w:rFonts w:ascii="宋体" w:hAnsi="宋体" w:cs="宋体"/>
          <w:b/>
          <w:bCs/>
          <w:color w:val="auto"/>
          <w:sz w:val="32"/>
          <w:szCs w:val="32"/>
          <w:highlight w:val="none"/>
        </w:rPr>
      </w:pPr>
    </w:p>
    <w:p w14:paraId="0FFC828A">
      <w:pPr>
        <w:snapToGrid w:val="0"/>
        <w:spacing w:before="165"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27719C6B">
      <w:pPr>
        <w:snapToGrid w:val="0"/>
        <w:spacing w:before="165" w:after="50"/>
        <w:rPr>
          <w:rFonts w:ascii="宋体" w:hAnsi="宋体" w:cs="宋体"/>
          <w:bCs/>
          <w:color w:val="auto"/>
          <w:sz w:val="24"/>
          <w:szCs w:val="20"/>
          <w:highlight w:val="none"/>
        </w:rPr>
      </w:pPr>
    </w:p>
    <w:p w14:paraId="707AFA11">
      <w:pPr>
        <w:snapToGrid w:val="0"/>
        <w:spacing w:before="165" w:after="50" w:line="400" w:lineRule="exact"/>
        <w:ind w:firstLine="360" w:firstLineChars="15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项目名称： </w:t>
      </w:r>
      <w:r>
        <w:rPr>
          <w:rFonts w:hint="eastAsia" w:ascii="宋体" w:hAnsi="宋体" w:cs="宋体"/>
          <w:bCs/>
          <w:color w:val="auto"/>
          <w:sz w:val="24"/>
          <w:highlight w:val="none"/>
          <w:lang w:eastAsia="zh-CN"/>
        </w:rPr>
        <w:t>青秀区农村生活污水处理项目运维服务</w:t>
      </w:r>
    </w:p>
    <w:p w14:paraId="6369E64E">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项目编号：</w:t>
      </w:r>
    </w:p>
    <w:p w14:paraId="3E9DAFC3">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D15315F">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8B00ACB">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77BBE80A">
      <w:pPr>
        <w:snapToGrid w:val="0"/>
        <w:spacing w:before="165"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6F89553">
      <w:pPr>
        <w:snapToGrid w:val="0"/>
        <w:spacing w:before="165" w:after="50"/>
        <w:ind w:firstLine="645"/>
        <w:jc w:val="center"/>
        <w:rPr>
          <w:rFonts w:ascii="宋体" w:hAnsi="宋体" w:cs="宋体"/>
          <w:color w:val="auto"/>
          <w:sz w:val="24"/>
          <w:szCs w:val="20"/>
          <w:highlight w:val="none"/>
        </w:rPr>
      </w:pPr>
    </w:p>
    <w:p w14:paraId="78C942DD">
      <w:pPr>
        <w:jc w:val="center"/>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74B591EF">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一、投标服务技术需求偏离表……………………………………</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30E959EE">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二、对本项目的常见问题分析及对应合理化措施方案…………………………（页码）</w:t>
      </w:r>
    </w:p>
    <w:p w14:paraId="560A5615">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rPr>
        <w:t>三、组织实施方案…………………………………………………………………（页码）</w:t>
      </w:r>
    </w:p>
    <w:p w14:paraId="2884219E">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四、拟投入人员配备</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……………………………（页码）</w:t>
      </w:r>
    </w:p>
    <w:p w14:paraId="34006909">
      <w:pPr>
        <w:pStyle w:val="26"/>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服务承诺方案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75201EC">
      <w:pPr>
        <w:pStyle w:val="26"/>
        <w:spacing w:line="360" w:lineRule="auto"/>
        <w:rPr>
          <w:rFonts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、除招标文件规定必须提供以外，投标人需要说明的其他文件和说明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3649AA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51D13DC3">
      <w:pPr>
        <w:snapToGrid w:val="0"/>
        <w:spacing w:before="165" w:after="50"/>
        <w:ind w:left="143" w:leftChars="68" w:firstLine="472" w:firstLineChars="196"/>
        <w:jc w:val="left"/>
        <w:rPr>
          <w:rFonts w:ascii="宋体" w:hAnsi="宋体" w:cs="宋体"/>
          <w:b/>
          <w:color w:val="auto"/>
          <w:sz w:val="24"/>
          <w:highlight w:val="none"/>
        </w:rPr>
      </w:pPr>
    </w:p>
    <w:p w14:paraId="5BA1AD31">
      <w:pPr>
        <w:snapToGrid w:val="0"/>
        <w:spacing w:before="165" w:after="50"/>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3839AB68">
      <w:pPr>
        <w:pStyle w:val="7"/>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一、投标服务技术需求偏离表</w:t>
      </w:r>
    </w:p>
    <w:p w14:paraId="337BFF72">
      <w:pPr>
        <w:pStyle w:val="7"/>
        <w:spacing w:line="440" w:lineRule="exact"/>
        <w:ind w:firstLine="420" w:firstLineChars="200"/>
        <w:rPr>
          <w:rFonts w:hAnsi="宋体" w:cs="宋体"/>
          <w:color w:val="auto"/>
          <w:highlight w:val="none"/>
        </w:rPr>
      </w:pPr>
    </w:p>
    <w:p w14:paraId="6AA14E19">
      <w:pPr>
        <w:pStyle w:val="7"/>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774"/>
        <w:gridCol w:w="1276"/>
        <w:gridCol w:w="1520"/>
        <w:gridCol w:w="1516"/>
        <w:gridCol w:w="3297"/>
        <w:gridCol w:w="1168"/>
      </w:tblGrid>
      <w:tr w14:paraId="6C1D5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14:paraId="58456AFB">
            <w:pPr>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3"/>
            <w:vAlign w:val="center"/>
          </w:tcPr>
          <w:p w14:paraId="2E9EF9FA">
            <w:pPr>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vAlign w:val="center"/>
          </w:tcPr>
          <w:p w14:paraId="7D8A12E4">
            <w:pPr>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vAlign w:val="center"/>
          </w:tcPr>
          <w:p w14:paraId="5D70CE0B">
            <w:pPr>
              <w:rPr>
                <w:rFonts w:ascii="宋体" w:hAnsi="宋体" w:cs="宋体"/>
                <w:color w:val="auto"/>
                <w:szCs w:val="21"/>
                <w:highlight w:val="none"/>
              </w:rPr>
            </w:pPr>
            <w:r>
              <w:rPr>
                <w:rFonts w:hint="eastAsia" w:ascii="宋体" w:hAnsi="宋体" w:cs="宋体"/>
                <w:color w:val="auto"/>
                <w:szCs w:val="21"/>
                <w:highlight w:val="none"/>
              </w:rPr>
              <w:t>偏离说明</w:t>
            </w:r>
          </w:p>
        </w:tc>
      </w:tr>
      <w:tr w14:paraId="05B3F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14:paraId="16104EC0">
            <w:pPr>
              <w:widowControl/>
              <w:jc w:val="left"/>
              <w:rPr>
                <w:rFonts w:ascii="宋体" w:hAnsi="宋体" w:cs="宋体"/>
                <w:color w:val="auto"/>
                <w:szCs w:val="21"/>
                <w:highlight w:val="none"/>
              </w:rPr>
            </w:pPr>
          </w:p>
        </w:tc>
        <w:tc>
          <w:tcPr>
            <w:tcW w:w="774" w:type="dxa"/>
            <w:vAlign w:val="center"/>
          </w:tcPr>
          <w:p w14:paraId="5B3D28AB">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276" w:type="dxa"/>
            <w:vAlign w:val="center"/>
          </w:tcPr>
          <w:p w14:paraId="699D3708">
            <w:pPr>
              <w:jc w:val="center"/>
              <w:rPr>
                <w:rFonts w:ascii="宋体" w:hAnsi="宋体" w:cs="宋体"/>
                <w:color w:val="auto"/>
                <w:szCs w:val="21"/>
                <w:highlight w:val="none"/>
              </w:rPr>
            </w:pPr>
            <w:r>
              <w:rPr>
                <w:rFonts w:hint="eastAsia" w:ascii="宋体" w:hAnsi="宋体" w:cs="宋体"/>
                <w:color w:val="auto"/>
                <w:szCs w:val="21"/>
                <w:highlight w:val="none"/>
              </w:rPr>
              <w:t>分项内容</w:t>
            </w:r>
          </w:p>
        </w:tc>
        <w:tc>
          <w:tcPr>
            <w:tcW w:w="1520" w:type="dxa"/>
            <w:vAlign w:val="center"/>
          </w:tcPr>
          <w:p w14:paraId="74279C39">
            <w:pPr>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vAlign w:val="center"/>
          </w:tcPr>
          <w:p w14:paraId="5765C314">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vAlign w:val="center"/>
          </w:tcPr>
          <w:p w14:paraId="45591C2A">
            <w:pPr>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vAlign w:val="center"/>
          </w:tcPr>
          <w:p w14:paraId="6A143885">
            <w:pPr>
              <w:widowControl/>
              <w:jc w:val="left"/>
              <w:rPr>
                <w:rFonts w:ascii="宋体" w:hAnsi="宋体" w:cs="宋体"/>
                <w:color w:val="auto"/>
                <w:szCs w:val="21"/>
                <w:highlight w:val="none"/>
              </w:rPr>
            </w:pPr>
          </w:p>
        </w:tc>
      </w:tr>
      <w:tr w14:paraId="5891F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vMerge w:val="restart"/>
            <w:vAlign w:val="center"/>
          </w:tcPr>
          <w:p w14:paraId="5654ED8A">
            <w:pPr>
              <w:rPr>
                <w:rFonts w:ascii="宋体" w:hAnsi="宋体" w:cs="宋体"/>
                <w:color w:val="auto"/>
                <w:szCs w:val="22"/>
                <w:highlight w:val="none"/>
              </w:rPr>
            </w:pPr>
            <w:r>
              <w:rPr>
                <w:rFonts w:hint="eastAsia" w:ascii="宋体" w:hAnsi="宋体" w:cs="宋体"/>
                <w:color w:val="auto"/>
                <w:szCs w:val="22"/>
                <w:highlight w:val="none"/>
              </w:rPr>
              <w:t>1</w:t>
            </w:r>
          </w:p>
        </w:tc>
        <w:tc>
          <w:tcPr>
            <w:tcW w:w="774" w:type="dxa"/>
            <w:vMerge w:val="restart"/>
            <w:vAlign w:val="center"/>
          </w:tcPr>
          <w:p w14:paraId="7ECFC24B">
            <w:pPr>
              <w:snapToGrid w:val="0"/>
              <w:spacing w:line="360" w:lineRule="auto"/>
              <w:rPr>
                <w:rFonts w:ascii="宋体" w:hAnsi="宋体" w:cs="宋体"/>
                <w:color w:val="auto"/>
                <w:szCs w:val="21"/>
                <w:highlight w:val="none"/>
              </w:rPr>
            </w:pPr>
          </w:p>
        </w:tc>
        <w:tc>
          <w:tcPr>
            <w:tcW w:w="1276" w:type="dxa"/>
            <w:vAlign w:val="center"/>
          </w:tcPr>
          <w:p w14:paraId="76D3861E">
            <w:pPr>
              <w:pStyle w:val="7"/>
              <w:snapToGrid w:val="0"/>
              <w:spacing w:line="360" w:lineRule="exact"/>
              <w:jc w:val="center"/>
              <w:rPr>
                <w:rFonts w:hAnsi="宋体" w:cs="宋体"/>
                <w:b/>
                <w:color w:val="auto"/>
                <w:szCs w:val="21"/>
                <w:highlight w:val="none"/>
              </w:rPr>
            </w:pPr>
          </w:p>
        </w:tc>
        <w:tc>
          <w:tcPr>
            <w:tcW w:w="1520" w:type="dxa"/>
            <w:vAlign w:val="center"/>
          </w:tcPr>
          <w:p w14:paraId="36E176B0">
            <w:pPr>
              <w:rPr>
                <w:rFonts w:ascii="宋体" w:hAnsi="宋体" w:cs="宋体"/>
                <w:color w:val="auto"/>
                <w:szCs w:val="21"/>
                <w:highlight w:val="none"/>
              </w:rPr>
            </w:pPr>
            <w:r>
              <w:rPr>
                <w:rFonts w:hint="eastAsia" w:ascii="宋体" w:hAnsi="宋体" w:cs="宋体"/>
                <w:color w:val="auto"/>
                <w:szCs w:val="21"/>
                <w:highlight w:val="none"/>
              </w:rPr>
              <w:t>1  ……</w:t>
            </w:r>
          </w:p>
          <w:p w14:paraId="09E484E6">
            <w:pPr>
              <w:rPr>
                <w:rFonts w:ascii="宋体" w:hAnsi="宋体" w:cs="宋体"/>
                <w:color w:val="auto"/>
                <w:szCs w:val="21"/>
                <w:highlight w:val="none"/>
              </w:rPr>
            </w:pPr>
            <w:r>
              <w:rPr>
                <w:rFonts w:hint="eastAsia" w:ascii="宋体" w:hAnsi="宋体" w:cs="宋体"/>
                <w:color w:val="auto"/>
                <w:szCs w:val="21"/>
                <w:highlight w:val="none"/>
              </w:rPr>
              <w:t>2  ……</w:t>
            </w:r>
          </w:p>
          <w:p w14:paraId="5019F60C">
            <w:pPr>
              <w:rPr>
                <w:rFonts w:ascii="宋体" w:hAnsi="宋体" w:cs="宋体"/>
                <w:color w:val="auto"/>
                <w:szCs w:val="21"/>
                <w:highlight w:val="none"/>
              </w:rPr>
            </w:pPr>
            <w:r>
              <w:rPr>
                <w:rFonts w:hint="eastAsia" w:ascii="宋体" w:hAnsi="宋体" w:cs="宋体"/>
                <w:color w:val="auto"/>
                <w:szCs w:val="21"/>
                <w:highlight w:val="none"/>
              </w:rPr>
              <w:t>3  ……</w:t>
            </w:r>
          </w:p>
          <w:p w14:paraId="7B1E217F">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vAlign w:val="center"/>
          </w:tcPr>
          <w:p w14:paraId="4490B483">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vAlign w:val="center"/>
          </w:tcPr>
          <w:p w14:paraId="2E59ED1F">
            <w:pPr>
              <w:rPr>
                <w:rFonts w:ascii="宋体" w:hAnsi="宋体" w:cs="宋体"/>
                <w:color w:val="auto"/>
                <w:szCs w:val="21"/>
                <w:highlight w:val="none"/>
              </w:rPr>
            </w:pPr>
            <w:r>
              <w:rPr>
                <w:rFonts w:hint="eastAsia" w:ascii="宋体" w:hAnsi="宋体" w:cs="宋体"/>
                <w:color w:val="auto"/>
                <w:szCs w:val="21"/>
                <w:highlight w:val="none"/>
              </w:rPr>
              <w:t>1  ……</w:t>
            </w:r>
          </w:p>
          <w:p w14:paraId="13404C67">
            <w:pPr>
              <w:rPr>
                <w:rFonts w:ascii="宋体" w:hAnsi="宋体" w:cs="宋体"/>
                <w:color w:val="auto"/>
                <w:szCs w:val="21"/>
                <w:highlight w:val="none"/>
              </w:rPr>
            </w:pPr>
            <w:r>
              <w:rPr>
                <w:rFonts w:hint="eastAsia" w:ascii="宋体" w:hAnsi="宋体" w:cs="宋体"/>
                <w:color w:val="auto"/>
                <w:szCs w:val="21"/>
                <w:highlight w:val="none"/>
              </w:rPr>
              <w:t>2  ……</w:t>
            </w:r>
          </w:p>
          <w:p w14:paraId="4E95D87C">
            <w:pPr>
              <w:rPr>
                <w:rFonts w:ascii="宋体" w:hAnsi="宋体" w:cs="宋体"/>
                <w:color w:val="auto"/>
                <w:szCs w:val="21"/>
                <w:highlight w:val="none"/>
              </w:rPr>
            </w:pPr>
            <w:r>
              <w:rPr>
                <w:rFonts w:hint="eastAsia" w:ascii="宋体" w:hAnsi="宋体" w:cs="宋体"/>
                <w:color w:val="auto"/>
                <w:szCs w:val="21"/>
                <w:highlight w:val="none"/>
              </w:rPr>
              <w:t>3  ……</w:t>
            </w:r>
          </w:p>
          <w:p w14:paraId="63DA5AAB">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vAlign w:val="center"/>
          </w:tcPr>
          <w:p w14:paraId="796F5A99">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5F4F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vMerge w:val="continue"/>
            <w:vAlign w:val="center"/>
          </w:tcPr>
          <w:p w14:paraId="122CCF57">
            <w:pPr>
              <w:rPr>
                <w:rFonts w:ascii="宋体" w:hAnsi="宋体" w:cs="宋体"/>
                <w:color w:val="auto"/>
                <w:szCs w:val="21"/>
                <w:highlight w:val="none"/>
              </w:rPr>
            </w:pPr>
          </w:p>
        </w:tc>
        <w:tc>
          <w:tcPr>
            <w:tcW w:w="774" w:type="dxa"/>
            <w:vMerge w:val="continue"/>
            <w:vAlign w:val="center"/>
          </w:tcPr>
          <w:p w14:paraId="32CA2BE0">
            <w:pPr>
              <w:rPr>
                <w:rFonts w:ascii="宋体" w:hAnsi="宋体" w:cs="宋体"/>
                <w:color w:val="auto"/>
                <w:szCs w:val="21"/>
                <w:highlight w:val="none"/>
              </w:rPr>
            </w:pPr>
          </w:p>
        </w:tc>
        <w:tc>
          <w:tcPr>
            <w:tcW w:w="1276" w:type="dxa"/>
            <w:vAlign w:val="center"/>
          </w:tcPr>
          <w:p w14:paraId="209049AF">
            <w:pPr>
              <w:pStyle w:val="7"/>
              <w:snapToGrid w:val="0"/>
              <w:spacing w:line="360" w:lineRule="exact"/>
              <w:jc w:val="center"/>
              <w:rPr>
                <w:rFonts w:hAnsi="宋体" w:cs="宋体"/>
                <w:b/>
                <w:color w:val="auto"/>
                <w:szCs w:val="21"/>
                <w:highlight w:val="none"/>
              </w:rPr>
            </w:pPr>
          </w:p>
        </w:tc>
        <w:tc>
          <w:tcPr>
            <w:tcW w:w="1520" w:type="dxa"/>
            <w:vAlign w:val="center"/>
          </w:tcPr>
          <w:p w14:paraId="4D470E06">
            <w:pPr>
              <w:rPr>
                <w:rFonts w:ascii="宋体" w:hAnsi="宋体" w:cs="宋体"/>
                <w:color w:val="auto"/>
                <w:szCs w:val="21"/>
                <w:highlight w:val="none"/>
              </w:rPr>
            </w:pPr>
            <w:r>
              <w:rPr>
                <w:rFonts w:hint="eastAsia" w:ascii="宋体" w:hAnsi="宋体" w:cs="宋体"/>
                <w:color w:val="auto"/>
                <w:szCs w:val="21"/>
                <w:highlight w:val="none"/>
              </w:rPr>
              <w:t>1  ……</w:t>
            </w:r>
          </w:p>
          <w:p w14:paraId="5FC85A47">
            <w:pPr>
              <w:rPr>
                <w:rFonts w:ascii="宋体" w:hAnsi="宋体" w:cs="宋体"/>
                <w:color w:val="auto"/>
                <w:szCs w:val="21"/>
                <w:highlight w:val="none"/>
              </w:rPr>
            </w:pPr>
            <w:r>
              <w:rPr>
                <w:rFonts w:hint="eastAsia" w:ascii="宋体" w:hAnsi="宋体" w:cs="宋体"/>
                <w:color w:val="auto"/>
                <w:szCs w:val="21"/>
                <w:highlight w:val="none"/>
              </w:rPr>
              <w:t>2  ……</w:t>
            </w:r>
          </w:p>
          <w:p w14:paraId="3C402CD7">
            <w:pPr>
              <w:rPr>
                <w:rFonts w:ascii="宋体" w:hAnsi="宋体" w:cs="宋体"/>
                <w:color w:val="auto"/>
                <w:szCs w:val="21"/>
                <w:highlight w:val="none"/>
              </w:rPr>
            </w:pPr>
            <w:r>
              <w:rPr>
                <w:rFonts w:hint="eastAsia" w:ascii="宋体" w:hAnsi="宋体" w:cs="宋体"/>
                <w:color w:val="auto"/>
                <w:szCs w:val="21"/>
                <w:highlight w:val="none"/>
              </w:rPr>
              <w:t>3  ……</w:t>
            </w:r>
          </w:p>
          <w:p w14:paraId="12065985">
            <w:pPr>
              <w:rPr>
                <w:rFonts w:ascii="宋体" w:hAnsi="宋体" w:cs="宋体"/>
                <w:color w:val="auto"/>
                <w:szCs w:val="21"/>
                <w:highlight w:val="none"/>
              </w:rPr>
            </w:pPr>
            <w:r>
              <w:rPr>
                <w:rFonts w:hint="eastAsia" w:ascii="宋体" w:hAnsi="宋体" w:cs="宋体"/>
                <w:color w:val="auto"/>
                <w:szCs w:val="21"/>
                <w:highlight w:val="none"/>
              </w:rPr>
              <w:t>……</w:t>
            </w:r>
          </w:p>
        </w:tc>
        <w:tc>
          <w:tcPr>
            <w:tcW w:w="1516" w:type="dxa"/>
            <w:vAlign w:val="center"/>
          </w:tcPr>
          <w:p w14:paraId="71F1DC67">
            <w:pPr>
              <w:rPr>
                <w:rFonts w:ascii="宋体" w:hAnsi="宋体" w:cs="宋体"/>
                <w:color w:val="auto"/>
                <w:szCs w:val="21"/>
                <w:highlight w:val="none"/>
              </w:rPr>
            </w:pPr>
            <w:r>
              <w:rPr>
                <w:rFonts w:hint="eastAsia" w:ascii="宋体" w:hAnsi="宋体" w:cs="宋体"/>
                <w:color w:val="auto"/>
                <w:szCs w:val="21"/>
                <w:highlight w:val="none"/>
              </w:rPr>
              <w:t>……</w:t>
            </w:r>
          </w:p>
        </w:tc>
        <w:tc>
          <w:tcPr>
            <w:tcW w:w="3297" w:type="dxa"/>
            <w:vAlign w:val="center"/>
          </w:tcPr>
          <w:p w14:paraId="6BC971A8">
            <w:pPr>
              <w:rPr>
                <w:rFonts w:ascii="宋体" w:hAnsi="宋体" w:cs="宋体"/>
                <w:color w:val="auto"/>
                <w:szCs w:val="21"/>
                <w:highlight w:val="none"/>
              </w:rPr>
            </w:pPr>
            <w:r>
              <w:rPr>
                <w:rFonts w:hint="eastAsia" w:ascii="宋体" w:hAnsi="宋体" w:cs="宋体"/>
                <w:color w:val="auto"/>
                <w:szCs w:val="21"/>
                <w:highlight w:val="none"/>
              </w:rPr>
              <w:t>1  ……</w:t>
            </w:r>
          </w:p>
          <w:p w14:paraId="6E3DF261">
            <w:pPr>
              <w:rPr>
                <w:rFonts w:ascii="宋体" w:hAnsi="宋体" w:cs="宋体"/>
                <w:color w:val="auto"/>
                <w:szCs w:val="21"/>
                <w:highlight w:val="none"/>
              </w:rPr>
            </w:pPr>
            <w:r>
              <w:rPr>
                <w:rFonts w:hint="eastAsia" w:ascii="宋体" w:hAnsi="宋体" w:cs="宋体"/>
                <w:color w:val="auto"/>
                <w:szCs w:val="21"/>
                <w:highlight w:val="none"/>
              </w:rPr>
              <w:t>2  ……</w:t>
            </w:r>
          </w:p>
          <w:p w14:paraId="2698F0CB">
            <w:pPr>
              <w:rPr>
                <w:rFonts w:ascii="宋体" w:hAnsi="宋体" w:cs="宋体"/>
                <w:color w:val="auto"/>
                <w:szCs w:val="21"/>
                <w:highlight w:val="none"/>
              </w:rPr>
            </w:pPr>
            <w:r>
              <w:rPr>
                <w:rFonts w:hint="eastAsia" w:ascii="宋体" w:hAnsi="宋体" w:cs="宋体"/>
                <w:color w:val="auto"/>
                <w:szCs w:val="21"/>
                <w:highlight w:val="none"/>
              </w:rPr>
              <w:t>3  ……</w:t>
            </w:r>
          </w:p>
          <w:p w14:paraId="4DC62049">
            <w:pPr>
              <w:rPr>
                <w:rFonts w:ascii="宋体" w:hAnsi="宋体" w:cs="宋体"/>
                <w:color w:val="auto"/>
                <w:szCs w:val="21"/>
                <w:highlight w:val="none"/>
              </w:rPr>
            </w:pPr>
            <w:r>
              <w:rPr>
                <w:rFonts w:hint="eastAsia" w:ascii="宋体" w:hAnsi="宋体" w:cs="宋体"/>
                <w:color w:val="auto"/>
                <w:szCs w:val="21"/>
                <w:highlight w:val="none"/>
              </w:rPr>
              <w:t>……</w:t>
            </w:r>
          </w:p>
        </w:tc>
        <w:tc>
          <w:tcPr>
            <w:tcW w:w="1168" w:type="dxa"/>
            <w:vAlign w:val="center"/>
          </w:tcPr>
          <w:p w14:paraId="345A16E4">
            <w:pP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76F0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4" w:type="dxa"/>
            <w:vAlign w:val="center"/>
          </w:tcPr>
          <w:p w14:paraId="7AEBE1CC">
            <w:pPr>
              <w:rPr>
                <w:rFonts w:ascii="宋体" w:hAnsi="宋体" w:cs="宋体"/>
                <w:color w:val="auto"/>
                <w:szCs w:val="21"/>
                <w:highlight w:val="none"/>
              </w:rPr>
            </w:pPr>
            <w:r>
              <w:rPr>
                <w:rFonts w:hint="eastAsia" w:ascii="宋体" w:hAnsi="宋体" w:cs="宋体"/>
                <w:color w:val="auto"/>
                <w:szCs w:val="21"/>
                <w:highlight w:val="none"/>
              </w:rPr>
              <w:t>...</w:t>
            </w:r>
          </w:p>
        </w:tc>
        <w:tc>
          <w:tcPr>
            <w:tcW w:w="2050" w:type="dxa"/>
            <w:gridSpan w:val="2"/>
            <w:vAlign w:val="center"/>
          </w:tcPr>
          <w:p w14:paraId="3351B8A0">
            <w:pPr>
              <w:rPr>
                <w:rFonts w:ascii="宋体" w:hAnsi="宋体" w:cs="宋体"/>
                <w:color w:val="auto"/>
                <w:szCs w:val="21"/>
                <w:highlight w:val="none"/>
              </w:rPr>
            </w:pPr>
          </w:p>
        </w:tc>
        <w:tc>
          <w:tcPr>
            <w:tcW w:w="1520" w:type="dxa"/>
            <w:vAlign w:val="center"/>
          </w:tcPr>
          <w:p w14:paraId="19AD467A">
            <w:pPr>
              <w:rPr>
                <w:rFonts w:ascii="宋体" w:hAnsi="宋体" w:cs="宋体"/>
                <w:color w:val="auto"/>
                <w:szCs w:val="21"/>
                <w:highlight w:val="none"/>
              </w:rPr>
            </w:pPr>
          </w:p>
        </w:tc>
        <w:tc>
          <w:tcPr>
            <w:tcW w:w="1516" w:type="dxa"/>
            <w:vAlign w:val="center"/>
          </w:tcPr>
          <w:p w14:paraId="25877EC0">
            <w:pPr>
              <w:rPr>
                <w:rFonts w:ascii="宋体" w:hAnsi="宋体" w:cs="宋体"/>
                <w:color w:val="auto"/>
                <w:szCs w:val="21"/>
                <w:highlight w:val="none"/>
              </w:rPr>
            </w:pPr>
          </w:p>
        </w:tc>
        <w:tc>
          <w:tcPr>
            <w:tcW w:w="3297" w:type="dxa"/>
            <w:vAlign w:val="center"/>
          </w:tcPr>
          <w:p w14:paraId="00CA3B73">
            <w:pPr>
              <w:rPr>
                <w:rFonts w:ascii="宋体" w:hAnsi="宋体" w:cs="宋体"/>
                <w:color w:val="auto"/>
                <w:szCs w:val="21"/>
                <w:highlight w:val="none"/>
              </w:rPr>
            </w:pPr>
          </w:p>
        </w:tc>
        <w:tc>
          <w:tcPr>
            <w:tcW w:w="1168" w:type="dxa"/>
            <w:vAlign w:val="center"/>
          </w:tcPr>
          <w:p w14:paraId="18AC081A">
            <w:pPr>
              <w:rPr>
                <w:rFonts w:ascii="宋体" w:hAnsi="宋体" w:cs="宋体"/>
                <w:color w:val="auto"/>
                <w:szCs w:val="21"/>
                <w:highlight w:val="none"/>
              </w:rPr>
            </w:pPr>
          </w:p>
        </w:tc>
      </w:tr>
      <w:tr w14:paraId="30DD4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0185" w:type="dxa"/>
            <w:gridSpan w:val="7"/>
            <w:vAlign w:val="center"/>
          </w:tcPr>
          <w:p w14:paraId="70FC8977">
            <w:pPr>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72B87508">
      <w:pPr>
        <w:pStyle w:val="7"/>
        <w:spacing w:line="360" w:lineRule="auto"/>
        <w:rPr>
          <w:rFonts w:hAnsi="宋体" w:cs="宋体"/>
          <w:color w:val="auto"/>
          <w:szCs w:val="21"/>
          <w:highlight w:val="none"/>
        </w:rPr>
      </w:pPr>
      <w:r>
        <w:rPr>
          <w:rFonts w:hint="eastAsia" w:hAnsi="宋体" w:cs="宋体"/>
          <w:color w:val="auto"/>
          <w:szCs w:val="21"/>
          <w:highlight w:val="none"/>
        </w:rPr>
        <w:t>注：</w:t>
      </w:r>
    </w:p>
    <w:p w14:paraId="2E6054B2">
      <w:pPr>
        <w:pStyle w:val="7"/>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6D2FD5A1">
      <w:pPr>
        <w:pStyle w:val="7"/>
        <w:spacing w:line="360" w:lineRule="auto"/>
        <w:rPr>
          <w:rFonts w:hAnsi="宋体" w:cs="宋体"/>
          <w:bCs/>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458A21A5">
      <w:pPr>
        <w:pStyle w:val="7"/>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55AEA6D8">
      <w:pPr>
        <w:snapToGrid w:val="0"/>
        <w:spacing w:line="360" w:lineRule="auto"/>
        <w:ind w:firstLine="5640" w:firstLineChars="2350"/>
        <w:rPr>
          <w:rFonts w:ascii="宋体" w:hAnsi="宋体" w:cs="宋体"/>
          <w:color w:val="auto"/>
          <w:kern w:val="0"/>
          <w:sz w:val="24"/>
          <w:highlight w:val="none"/>
          <w:lang w:val="zh-CN"/>
        </w:rPr>
      </w:pPr>
    </w:p>
    <w:p w14:paraId="7B5B215B">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74D0CBBA">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1EDC821">
      <w:pPr>
        <w:snapToGrid w:val="0"/>
        <w:spacing w:before="165" w:after="50"/>
        <w:ind w:left="143" w:leftChars="68" w:firstLine="600" w:firstLineChars="200"/>
        <w:jc w:val="left"/>
        <w:rPr>
          <w:rFonts w:ascii="宋体" w:hAnsi="宋体" w:cs="宋体"/>
          <w:color w:val="auto"/>
          <w:sz w:val="30"/>
          <w:szCs w:val="20"/>
          <w:highlight w:val="none"/>
        </w:rPr>
        <w:sectPr>
          <w:footerReference r:id="rId19" w:type="first"/>
          <w:headerReference r:id="rId16" w:type="default"/>
          <w:footerReference r:id="rId17" w:type="default"/>
          <w:footerReference r:id="rId18" w:type="even"/>
          <w:pgSz w:w="11906" w:h="16838"/>
          <w:pgMar w:top="1440" w:right="1080" w:bottom="1440" w:left="1080" w:header="720" w:footer="720" w:gutter="0"/>
          <w:pgNumType w:fmt="decimal"/>
          <w:cols w:space="720" w:num="1"/>
          <w:docGrid w:type="lines" w:linePitch="331" w:charSpace="0"/>
        </w:sectPr>
      </w:pPr>
    </w:p>
    <w:p w14:paraId="2FCC9593">
      <w:pPr>
        <w:numPr>
          <w:ilvl w:val="0"/>
          <w:numId w:val="4"/>
        </w:numPr>
        <w:snapToGrid w:val="0"/>
        <w:spacing w:before="165"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对本项目的常见问题分析及对应合理化措施方案</w:t>
      </w:r>
    </w:p>
    <w:p w14:paraId="522F621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A0C3D6B">
      <w:pPr>
        <w:autoSpaceDE w:val="0"/>
        <w:autoSpaceDN w:val="0"/>
        <w:spacing w:line="360" w:lineRule="auto"/>
        <w:ind w:firstLine="4440" w:firstLineChars="1850"/>
        <w:rPr>
          <w:rFonts w:ascii="宋体" w:hAnsi="宋体" w:cs="宋体"/>
          <w:color w:val="auto"/>
          <w:kern w:val="0"/>
          <w:sz w:val="24"/>
          <w:highlight w:val="none"/>
        </w:rPr>
      </w:pPr>
    </w:p>
    <w:p w14:paraId="42025297">
      <w:pPr>
        <w:autoSpaceDE w:val="0"/>
        <w:autoSpaceDN w:val="0"/>
        <w:spacing w:line="360" w:lineRule="auto"/>
        <w:ind w:firstLine="4440" w:firstLineChars="1850"/>
        <w:rPr>
          <w:rFonts w:ascii="宋体" w:hAnsi="宋体" w:cs="宋体"/>
          <w:color w:val="auto"/>
          <w:kern w:val="0"/>
          <w:sz w:val="24"/>
          <w:highlight w:val="none"/>
        </w:rPr>
      </w:pPr>
    </w:p>
    <w:p w14:paraId="1F2FFAE8">
      <w:pPr>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73B2EF4C">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B7C7F56">
      <w:pPr>
        <w:snapToGrid w:val="0"/>
        <w:spacing w:before="165" w:after="5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bCs/>
          <w:color w:val="auto"/>
          <w:sz w:val="30"/>
          <w:szCs w:val="30"/>
          <w:highlight w:val="none"/>
        </w:rPr>
        <w:t>三、组织实施方案</w:t>
      </w:r>
    </w:p>
    <w:p w14:paraId="558454D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191AC016">
      <w:pPr>
        <w:rPr>
          <w:rFonts w:ascii="宋体" w:hAnsi="宋体" w:cs="宋体"/>
          <w:b/>
          <w:bCs/>
          <w:color w:val="auto"/>
          <w:kern w:val="0"/>
          <w:sz w:val="24"/>
          <w:highlight w:val="none"/>
          <w:lang w:val="zh-CN"/>
        </w:rPr>
      </w:pPr>
    </w:p>
    <w:p w14:paraId="1DF8EA7D">
      <w:pPr>
        <w:autoSpaceDE w:val="0"/>
        <w:autoSpaceDN w:val="0"/>
        <w:spacing w:line="360" w:lineRule="auto"/>
        <w:rPr>
          <w:rFonts w:ascii="宋体" w:hAnsi="宋体" w:cs="宋体"/>
          <w:color w:val="auto"/>
          <w:kern w:val="0"/>
          <w:sz w:val="24"/>
          <w:highlight w:val="none"/>
        </w:rPr>
      </w:pPr>
    </w:p>
    <w:p w14:paraId="5B0B26FC">
      <w:pPr>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4A6F2575">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5DD046B">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327791C4">
      <w:pPr>
        <w:snapToGrid w:val="0"/>
        <w:spacing w:before="165" w:after="50"/>
        <w:jc w:val="center"/>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D0DB2B6">
      <w:pPr>
        <w:snapToGrid w:val="0"/>
        <w:spacing w:before="165"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四、拟投入人员配备</w:t>
      </w:r>
    </w:p>
    <w:p w14:paraId="49F2EA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w:t>
      </w:r>
      <w:r>
        <w:rPr>
          <w:rFonts w:hint="eastAsia" w:ascii="宋体" w:hAnsi="宋体" w:cs="宋体"/>
          <w:color w:val="auto"/>
          <w:sz w:val="24"/>
          <w:highlight w:val="none"/>
          <w:lang w:val="en-US" w:eastAsia="zh-CN"/>
        </w:rPr>
        <w:t>自行</w:t>
      </w:r>
      <w:r>
        <w:rPr>
          <w:rFonts w:hint="eastAsia" w:ascii="宋体" w:hAnsi="宋体" w:cs="宋体"/>
          <w:color w:val="auto"/>
          <w:sz w:val="24"/>
          <w:highlight w:val="none"/>
        </w:rPr>
        <w:t>编制）</w:t>
      </w:r>
    </w:p>
    <w:p w14:paraId="6EBA16C9">
      <w:pPr>
        <w:pStyle w:val="7"/>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49740FD8">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5"/>
        <w:tblW w:w="0" w:type="auto"/>
        <w:jc w:val="center"/>
        <w:tblLayout w:type="fixed"/>
        <w:tblCellMar>
          <w:top w:w="0" w:type="dxa"/>
          <w:left w:w="108" w:type="dxa"/>
          <w:bottom w:w="0" w:type="dxa"/>
          <w:right w:w="108" w:type="dxa"/>
        </w:tblCellMar>
      </w:tblPr>
      <w:tblGrid>
        <w:gridCol w:w="2061"/>
        <w:gridCol w:w="1916"/>
        <w:gridCol w:w="4704"/>
      </w:tblGrid>
      <w:tr w14:paraId="0988412D">
        <w:tblPrEx>
          <w:tblCellMar>
            <w:top w:w="0" w:type="dxa"/>
            <w:left w:w="108" w:type="dxa"/>
            <w:bottom w:w="0" w:type="dxa"/>
            <w:right w:w="108" w:type="dxa"/>
          </w:tblCellMar>
        </w:tblPrEx>
        <w:trPr>
          <w:trHeight w:val="604"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035D463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916" w:type="dxa"/>
            <w:tcBorders>
              <w:top w:val="single" w:color="000000" w:sz="6" w:space="0"/>
              <w:left w:val="single" w:color="000000" w:sz="6" w:space="0"/>
              <w:bottom w:val="single" w:color="000000" w:sz="6" w:space="0"/>
              <w:right w:val="single" w:color="000000" w:sz="4" w:space="0"/>
            </w:tcBorders>
            <w:shd w:val="clear" w:color="auto" w:fill="B3B3B3"/>
            <w:vAlign w:val="center"/>
          </w:tcPr>
          <w:p w14:paraId="7904EE39">
            <w:pPr>
              <w:autoSpaceDE w:val="0"/>
              <w:autoSpaceDN w:val="0"/>
              <w:spacing w:line="360" w:lineRule="auto"/>
              <w:jc w:val="center"/>
              <w:rPr>
                <w:rFonts w:ascii="宋体" w:hAnsi="宋体" w:cs="宋体"/>
                <w:color w:val="auto"/>
                <w:sz w:val="24"/>
                <w:highlight w:val="none"/>
              </w:rPr>
            </w:pPr>
          </w:p>
        </w:tc>
        <w:tc>
          <w:tcPr>
            <w:tcW w:w="4704" w:type="dxa"/>
            <w:tcBorders>
              <w:top w:val="single" w:color="000000" w:sz="6" w:space="0"/>
              <w:left w:val="single" w:color="000000" w:sz="6" w:space="0"/>
              <w:bottom w:val="single" w:color="000000" w:sz="6" w:space="0"/>
              <w:right w:val="single" w:color="000000" w:sz="6" w:space="0"/>
            </w:tcBorders>
            <w:vAlign w:val="center"/>
          </w:tcPr>
          <w:p w14:paraId="4DB4D62C">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252806C3">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0CDF400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916" w:type="dxa"/>
            <w:tcBorders>
              <w:top w:val="single" w:color="000000" w:sz="6" w:space="0"/>
              <w:left w:val="single" w:color="000000" w:sz="6" w:space="0"/>
              <w:bottom w:val="single" w:color="000000" w:sz="6" w:space="0"/>
              <w:right w:val="single" w:color="000000" w:sz="4" w:space="0"/>
            </w:tcBorders>
            <w:vAlign w:val="center"/>
          </w:tcPr>
          <w:p w14:paraId="0ABCC982">
            <w:pPr>
              <w:autoSpaceDE w:val="0"/>
              <w:autoSpaceDN w:val="0"/>
              <w:spacing w:line="360" w:lineRule="auto"/>
              <w:jc w:val="center"/>
              <w:rPr>
                <w:rFonts w:ascii="宋体" w:hAnsi="宋体" w:cs="宋体"/>
                <w:color w:val="auto"/>
                <w:sz w:val="24"/>
                <w:highlight w:val="none"/>
              </w:rPr>
            </w:pPr>
          </w:p>
        </w:tc>
        <w:tc>
          <w:tcPr>
            <w:tcW w:w="4704" w:type="dxa"/>
            <w:vMerge w:val="restart"/>
            <w:tcBorders>
              <w:top w:val="single" w:color="000000" w:sz="6" w:space="0"/>
              <w:left w:val="single" w:color="000000" w:sz="6" w:space="0"/>
              <w:bottom w:val="single" w:color="000000" w:sz="6" w:space="0"/>
              <w:right w:val="single" w:color="000000" w:sz="6" w:space="0"/>
            </w:tcBorders>
            <w:vAlign w:val="center"/>
          </w:tcPr>
          <w:p w14:paraId="7389FA55">
            <w:pPr>
              <w:autoSpaceDE w:val="0"/>
              <w:autoSpaceDN w:val="0"/>
              <w:spacing w:line="360" w:lineRule="auto"/>
              <w:jc w:val="center"/>
              <w:rPr>
                <w:rFonts w:ascii="宋体" w:hAnsi="宋体" w:cs="宋体"/>
                <w:color w:val="auto"/>
                <w:sz w:val="24"/>
                <w:highlight w:val="none"/>
              </w:rPr>
            </w:pPr>
          </w:p>
        </w:tc>
      </w:tr>
      <w:tr w14:paraId="2A8D78E9">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right w:val="single" w:color="000000" w:sz="6" w:space="0"/>
            </w:tcBorders>
            <w:vAlign w:val="center"/>
          </w:tcPr>
          <w:p w14:paraId="1E3007E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916" w:type="dxa"/>
            <w:tcBorders>
              <w:top w:val="single" w:color="000000" w:sz="6" w:space="0"/>
              <w:left w:val="single" w:color="000000" w:sz="6" w:space="0"/>
              <w:right w:val="single" w:color="000000" w:sz="4" w:space="0"/>
            </w:tcBorders>
            <w:vAlign w:val="center"/>
          </w:tcPr>
          <w:p w14:paraId="1D09681E">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14:paraId="4D9BC8B3">
            <w:pPr>
              <w:autoSpaceDE w:val="0"/>
              <w:autoSpaceDN w:val="0"/>
              <w:spacing w:line="360" w:lineRule="auto"/>
              <w:jc w:val="center"/>
              <w:rPr>
                <w:rFonts w:ascii="宋体" w:hAnsi="宋体" w:cs="宋体"/>
                <w:color w:val="auto"/>
                <w:sz w:val="24"/>
                <w:highlight w:val="none"/>
              </w:rPr>
            </w:pPr>
          </w:p>
        </w:tc>
      </w:tr>
      <w:tr w14:paraId="3F21B148">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0F6680E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916" w:type="dxa"/>
            <w:tcBorders>
              <w:top w:val="single" w:color="000000" w:sz="6" w:space="0"/>
              <w:left w:val="single" w:color="000000" w:sz="6" w:space="0"/>
              <w:bottom w:val="single" w:color="000000" w:sz="6" w:space="0"/>
              <w:right w:val="single" w:color="000000" w:sz="4" w:space="0"/>
            </w:tcBorders>
            <w:vAlign w:val="center"/>
          </w:tcPr>
          <w:p w14:paraId="60EB194F">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14:paraId="27EEEAD0">
            <w:pPr>
              <w:autoSpaceDE w:val="0"/>
              <w:autoSpaceDN w:val="0"/>
              <w:spacing w:line="360" w:lineRule="auto"/>
              <w:jc w:val="center"/>
              <w:rPr>
                <w:rFonts w:ascii="宋体" w:hAnsi="宋体" w:cs="宋体"/>
                <w:color w:val="auto"/>
                <w:sz w:val="24"/>
                <w:highlight w:val="none"/>
              </w:rPr>
            </w:pPr>
          </w:p>
        </w:tc>
      </w:tr>
      <w:tr w14:paraId="45FFB24E">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53FBC3A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916" w:type="dxa"/>
            <w:tcBorders>
              <w:top w:val="single" w:color="000000" w:sz="6" w:space="0"/>
              <w:left w:val="single" w:color="000000" w:sz="6" w:space="0"/>
              <w:bottom w:val="single" w:color="000000" w:sz="6" w:space="0"/>
              <w:right w:val="single" w:color="000000" w:sz="4" w:space="0"/>
            </w:tcBorders>
            <w:vAlign w:val="center"/>
          </w:tcPr>
          <w:p w14:paraId="7748E1FD">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14:paraId="5B10FD34">
            <w:pPr>
              <w:autoSpaceDE w:val="0"/>
              <w:autoSpaceDN w:val="0"/>
              <w:spacing w:line="360" w:lineRule="auto"/>
              <w:jc w:val="center"/>
              <w:rPr>
                <w:rFonts w:ascii="宋体" w:hAnsi="宋体" w:cs="宋体"/>
                <w:color w:val="auto"/>
                <w:sz w:val="24"/>
                <w:highlight w:val="none"/>
              </w:rPr>
            </w:pPr>
          </w:p>
        </w:tc>
      </w:tr>
      <w:tr w14:paraId="617CD66F">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33ED651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916" w:type="dxa"/>
            <w:tcBorders>
              <w:top w:val="single" w:color="000000" w:sz="6" w:space="0"/>
              <w:left w:val="single" w:color="000000" w:sz="6" w:space="0"/>
              <w:bottom w:val="single" w:color="000000" w:sz="6" w:space="0"/>
              <w:right w:val="single" w:color="000000" w:sz="4" w:space="0"/>
            </w:tcBorders>
            <w:vAlign w:val="center"/>
          </w:tcPr>
          <w:p w14:paraId="050458E2">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14:paraId="1051D4C2">
            <w:pPr>
              <w:autoSpaceDE w:val="0"/>
              <w:autoSpaceDN w:val="0"/>
              <w:spacing w:line="360" w:lineRule="auto"/>
              <w:jc w:val="center"/>
              <w:rPr>
                <w:rFonts w:ascii="宋体" w:hAnsi="宋体" w:cs="宋体"/>
                <w:color w:val="auto"/>
                <w:sz w:val="24"/>
                <w:highlight w:val="none"/>
              </w:rPr>
            </w:pPr>
          </w:p>
        </w:tc>
      </w:tr>
      <w:tr w14:paraId="7BD50393">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144FBBEE">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916" w:type="dxa"/>
            <w:tcBorders>
              <w:top w:val="single" w:color="000000" w:sz="6" w:space="0"/>
              <w:left w:val="single" w:color="000000" w:sz="6" w:space="0"/>
              <w:bottom w:val="single" w:color="000000" w:sz="6" w:space="0"/>
              <w:right w:val="single" w:color="000000" w:sz="4" w:space="0"/>
            </w:tcBorders>
            <w:vAlign w:val="center"/>
          </w:tcPr>
          <w:p w14:paraId="1BC71F12">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14:paraId="1CA4F720">
            <w:pPr>
              <w:autoSpaceDE w:val="0"/>
              <w:autoSpaceDN w:val="0"/>
              <w:spacing w:line="360" w:lineRule="auto"/>
              <w:jc w:val="center"/>
              <w:rPr>
                <w:rFonts w:ascii="宋体" w:hAnsi="宋体" w:cs="宋体"/>
                <w:color w:val="auto"/>
                <w:sz w:val="24"/>
                <w:highlight w:val="none"/>
              </w:rPr>
            </w:pPr>
          </w:p>
        </w:tc>
      </w:tr>
      <w:tr w14:paraId="5FC74971">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70DA01B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916" w:type="dxa"/>
            <w:tcBorders>
              <w:top w:val="single" w:color="000000" w:sz="6" w:space="0"/>
              <w:left w:val="single" w:color="000000" w:sz="6" w:space="0"/>
              <w:bottom w:val="single" w:color="000000" w:sz="6" w:space="0"/>
              <w:right w:val="single" w:color="000000" w:sz="4" w:space="0"/>
            </w:tcBorders>
            <w:vAlign w:val="center"/>
          </w:tcPr>
          <w:p w14:paraId="32BCA7E5">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14:paraId="7C8169FE">
            <w:pPr>
              <w:autoSpaceDE w:val="0"/>
              <w:autoSpaceDN w:val="0"/>
              <w:spacing w:line="360" w:lineRule="auto"/>
              <w:jc w:val="center"/>
              <w:rPr>
                <w:rFonts w:ascii="宋体" w:hAnsi="宋体" w:cs="宋体"/>
                <w:color w:val="auto"/>
                <w:sz w:val="24"/>
                <w:highlight w:val="none"/>
              </w:rPr>
            </w:pPr>
          </w:p>
        </w:tc>
      </w:tr>
      <w:tr w14:paraId="5F196064">
        <w:tblPrEx>
          <w:tblCellMar>
            <w:top w:w="0" w:type="dxa"/>
            <w:left w:w="108" w:type="dxa"/>
            <w:bottom w:w="0" w:type="dxa"/>
            <w:right w:w="108" w:type="dxa"/>
          </w:tblCellMar>
        </w:tblPrEx>
        <w:trPr>
          <w:cantSplit/>
          <w:trHeight w:val="340" w:hRule="atLeast"/>
          <w:jc w:val="center"/>
        </w:trPr>
        <w:tc>
          <w:tcPr>
            <w:tcW w:w="2061" w:type="dxa"/>
            <w:tcBorders>
              <w:top w:val="single" w:color="000000" w:sz="6" w:space="0"/>
              <w:left w:val="single" w:color="000000" w:sz="6" w:space="0"/>
              <w:bottom w:val="single" w:color="000000" w:sz="6" w:space="0"/>
              <w:right w:val="single" w:color="000000" w:sz="6" w:space="0"/>
            </w:tcBorders>
            <w:vAlign w:val="center"/>
          </w:tcPr>
          <w:p w14:paraId="1599344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916" w:type="dxa"/>
            <w:tcBorders>
              <w:top w:val="single" w:color="000000" w:sz="6" w:space="0"/>
              <w:left w:val="single" w:color="000000" w:sz="6" w:space="0"/>
              <w:bottom w:val="single" w:color="000000" w:sz="6" w:space="0"/>
              <w:right w:val="single" w:color="000000" w:sz="4" w:space="0"/>
            </w:tcBorders>
            <w:vAlign w:val="center"/>
          </w:tcPr>
          <w:p w14:paraId="07FC2A3F">
            <w:pPr>
              <w:autoSpaceDE w:val="0"/>
              <w:autoSpaceDN w:val="0"/>
              <w:spacing w:line="360" w:lineRule="auto"/>
              <w:jc w:val="center"/>
              <w:rPr>
                <w:rFonts w:ascii="宋体" w:hAnsi="宋体" w:cs="宋体"/>
                <w:color w:val="auto"/>
                <w:sz w:val="24"/>
                <w:highlight w:val="none"/>
              </w:rPr>
            </w:pPr>
          </w:p>
        </w:tc>
        <w:tc>
          <w:tcPr>
            <w:tcW w:w="4704" w:type="dxa"/>
            <w:vMerge w:val="continue"/>
            <w:tcBorders>
              <w:top w:val="single" w:color="000000" w:sz="6" w:space="0"/>
              <w:left w:val="single" w:color="000000" w:sz="6" w:space="0"/>
              <w:bottom w:val="single" w:color="000000" w:sz="6" w:space="0"/>
              <w:right w:val="single" w:color="000000" w:sz="6" w:space="0"/>
            </w:tcBorders>
            <w:vAlign w:val="center"/>
          </w:tcPr>
          <w:p w14:paraId="0C7D2983">
            <w:pPr>
              <w:autoSpaceDE w:val="0"/>
              <w:autoSpaceDN w:val="0"/>
              <w:spacing w:line="360" w:lineRule="auto"/>
              <w:jc w:val="center"/>
              <w:rPr>
                <w:rFonts w:ascii="宋体" w:hAnsi="宋体" w:cs="宋体"/>
                <w:color w:val="auto"/>
                <w:sz w:val="24"/>
                <w:highlight w:val="none"/>
              </w:rPr>
            </w:pPr>
          </w:p>
        </w:tc>
      </w:tr>
    </w:tbl>
    <w:p w14:paraId="79C3043E">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可</w:t>
      </w:r>
      <w:r>
        <w:rPr>
          <w:rFonts w:hint="eastAsia" w:ascii="宋体" w:hAnsi="宋体" w:cs="宋体"/>
          <w:b/>
          <w:color w:val="auto"/>
          <w:sz w:val="24"/>
          <w:highlight w:val="none"/>
        </w:rPr>
        <w:t>随表提交相应的证书复印件。</w:t>
      </w:r>
    </w:p>
    <w:p w14:paraId="7434585D">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w:t>
      </w:r>
      <w:r>
        <w:rPr>
          <w:rFonts w:hint="eastAsia" w:ascii="宋体" w:hAnsi="宋体" w:cs="宋体"/>
          <w:b/>
          <w:color w:val="auto"/>
          <w:sz w:val="24"/>
          <w:highlight w:val="none"/>
          <w:lang w:val="en-US" w:eastAsia="zh-CN"/>
        </w:rPr>
        <w:t>主要</w:t>
      </w:r>
      <w:r>
        <w:rPr>
          <w:rFonts w:hint="eastAsia" w:ascii="宋体" w:hAnsi="宋体" w:cs="宋体"/>
          <w:b/>
          <w:color w:val="auto"/>
          <w:sz w:val="24"/>
          <w:highlight w:val="none"/>
        </w:rPr>
        <w:t>人员情况表</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格式自拟</w:t>
      </w:r>
      <w:r>
        <w:rPr>
          <w:rFonts w:hint="eastAsia" w:ascii="宋体" w:hAnsi="宋体" w:cs="宋体"/>
          <w:color w:val="auto"/>
          <w:sz w:val="24"/>
          <w:highlight w:val="none"/>
        </w:rPr>
        <w:t>）</w:t>
      </w:r>
    </w:p>
    <w:p w14:paraId="51FB6A7C">
      <w:pPr>
        <w:tabs>
          <w:tab w:val="left" w:pos="4210"/>
        </w:tabs>
        <w:snapToGrid w:val="0"/>
        <w:spacing w:line="360" w:lineRule="auto"/>
        <w:ind w:firstLine="4320" w:firstLineChars="1800"/>
        <w:rPr>
          <w:rFonts w:hint="eastAsia" w:ascii="宋体" w:hAnsi="宋体" w:cs="宋体"/>
          <w:color w:val="auto"/>
          <w:kern w:val="0"/>
          <w:sz w:val="24"/>
          <w:highlight w:val="none"/>
          <w:lang w:val="zh-CN"/>
        </w:rPr>
      </w:pPr>
    </w:p>
    <w:p w14:paraId="2060F8BE">
      <w:pPr>
        <w:tabs>
          <w:tab w:val="left" w:pos="4210"/>
        </w:tabs>
        <w:snapToGrid w:val="0"/>
        <w:spacing w:line="360" w:lineRule="auto"/>
        <w:ind w:firstLine="4320" w:firstLineChars="1800"/>
        <w:rPr>
          <w:rFonts w:hint="eastAsia" w:ascii="宋体" w:hAnsi="宋体" w:cs="宋体"/>
          <w:color w:val="auto"/>
          <w:kern w:val="0"/>
          <w:sz w:val="24"/>
          <w:highlight w:val="none"/>
          <w:lang w:val="zh-CN"/>
        </w:rPr>
      </w:pPr>
    </w:p>
    <w:p w14:paraId="04E99E32">
      <w:pPr>
        <w:tabs>
          <w:tab w:val="left" w:pos="4210"/>
        </w:tabs>
        <w:snapToGrid w:val="0"/>
        <w:spacing w:line="360" w:lineRule="auto"/>
        <w:ind w:firstLine="4320" w:firstLineChars="1800"/>
        <w:rPr>
          <w:rFonts w:hint="eastAsia" w:ascii="宋体" w:hAnsi="宋体" w:cs="宋体"/>
          <w:color w:val="auto"/>
          <w:kern w:val="0"/>
          <w:sz w:val="24"/>
          <w:highlight w:val="none"/>
          <w:lang w:val="zh-CN"/>
        </w:rPr>
      </w:pPr>
    </w:p>
    <w:p w14:paraId="020248C3">
      <w:pPr>
        <w:tabs>
          <w:tab w:val="left" w:pos="4210"/>
        </w:tabs>
        <w:snapToGrid w:val="0"/>
        <w:spacing w:line="360" w:lineRule="auto"/>
        <w:ind w:firstLine="4320" w:firstLineChars="1800"/>
        <w:rPr>
          <w:rFonts w:hint="eastAsia" w:ascii="宋体" w:hAnsi="宋体" w:cs="宋体"/>
          <w:color w:val="auto"/>
          <w:kern w:val="0"/>
          <w:sz w:val="24"/>
          <w:highlight w:val="none"/>
          <w:lang w:val="zh-CN"/>
        </w:rPr>
      </w:pPr>
    </w:p>
    <w:p w14:paraId="722D7360">
      <w:pPr>
        <w:tabs>
          <w:tab w:val="left" w:pos="4210"/>
        </w:tabs>
        <w:snapToGrid w:val="0"/>
        <w:spacing w:line="360" w:lineRule="auto"/>
        <w:ind w:firstLine="4320" w:firstLineChars="1800"/>
        <w:rPr>
          <w:rFonts w:hint="eastAsia" w:ascii="宋体" w:hAnsi="宋体" w:cs="宋体"/>
          <w:color w:val="auto"/>
          <w:kern w:val="0"/>
          <w:sz w:val="24"/>
          <w:highlight w:val="none"/>
          <w:lang w:val="zh-CN"/>
        </w:rPr>
      </w:pPr>
    </w:p>
    <w:p w14:paraId="7A6FDBF0">
      <w:pPr>
        <w:tabs>
          <w:tab w:val="left" w:pos="4210"/>
        </w:tabs>
        <w:snapToGrid w:val="0"/>
        <w:spacing w:line="360" w:lineRule="auto"/>
        <w:ind w:firstLine="4320" w:firstLineChars="1800"/>
        <w:rPr>
          <w:rFonts w:hint="eastAsia" w:ascii="宋体" w:hAnsi="宋体" w:cs="宋体"/>
          <w:color w:val="auto"/>
          <w:kern w:val="0"/>
          <w:sz w:val="24"/>
          <w:highlight w:val="none"/>
          <w:lang w:val="zh-CN"/>
        </w:rPr>
      </w:pPr>
    </w:p>
    <w:p w14:paraId="3F2E877E">
      <w:pPr>
        <w:tabs>
          <w:tab w:val="left" w:pos="4210"/>
        </w:tabs>
        <w:snapToGrid w:val="0"/>
        <w:spacing w:line="360" w:lineRule="auto"/>
        <w:ind w:firstLine="4320" w:firstLineChars="18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01F52E63">
      <w:pPr>
        <w:autoSpaceDE w:val="0"/>
        <w:autoSpaceDN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日期：  年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月   日</w:t>
      </w:r>
    </w:p>
    <w:p w14:paraId="14231C51">
      <w:pPr>
        <w:snapToGrid w:val="0"/>
        <w:spacing w:before="165" w:after="50"/>
        <w:jc w:val="center"/>
        <w:rPr>
          <w:rFonts w:hint="eastAsia" w:ascii="宋体" w:hAnsi="宋体" w:cs="宋体"/>
          <w:color w:val="auto"/>
          <w:sz w:val="24"/>
          <w:highlight w:val="none"/>
        </w:rPr>
      </w:pPr>
    </w:p>
    <w:p w14:paraId="57F377E8">
      <w:pPr>
        <w:snapToGrid w:val="0"/>
        <w:spacing w:before="165" w:after="50"/>
        <w:jc w:val="center"/>
        <w:rPr>
          <w:rFonts w:hint="eastAsia" w:ascii="宋体" w:hAnsi="宋体" w:cs="宋体"/>
          <w:color w:val="auto"/>
          <w:sz w:val="24"/>
          <w:highlight w:val="none"/>
        </w:rPr>
      </w:pPr>
    </w:p>
    <w:p w14:paraId="57270E1C">
      <w:pPr>
        <w:snapToGrid w:val="0"/>
        <w:spacing w:before="165" w:after="50"/>
        <w:jc w:val="center"/>
        <w:rPr>
          <w:rFonts w:hint="eastAsia" w:ascii="宋体" w:hAnsi="宋体" w:cs="宋体"/>
          <w:color w:val="auto"/>
          <w:sz w:val="24"/>
          <w:highlight w:val="none"/>
        </w:rPr>
      </w:pPr>
    </w:p>
    <w:p w14:paraId="7A139ECB">
      <w:pPr>
        <w:snapToGrid w:val="0"/>
        <w:spacing w:before="165" w:after="50"/>
        <w:jc w:val="center"/>
        <w:rPr>
          <w:rFonts w:hint="eastAsia" w:ascii="宋体" w:hAnsi="宋体" w:cs="宋体"/>
          <w:color w:val="auto"/>
          <w:sz w:val="24"/>
          <w:highlight w:val="none"/>
        </w:rPr>
      </w:pPr>
    </w:p>
    <w:p w14:paraId="58968065">
      <w:pPr>
        <w:snapToGrid w:val="0"/>
        <w:spacing w:before="165" w:after="50"/>
        <w:jc w:val="center"/>
        <w:rPr>
          <w:rFonts w:ascii="宋体" w:hAnsi="宋体" w:cs="宋体"/>
          <w:b/>
          <w:bCs/>
          <w:color w:val="auto"/>
          <w:sz w:val="30"/>
          <w:szCs w:val="30"/>
          <w:highlight w:val="none"/>
        </w:rPr>
      </w:pPr>
      <w:r>
        <w:rPr>
          <w:rFonts w:hint="eastAsia" w:ascii="宋体" w:hAnsi="宋体" w:cs="宋体"/>
          <w:color w:val="auto"/>
          <w:sz w:val="24"/>
          <w:highlight w:val="none"/>
        </w:rPr>
        <w:t xml:space="preserve"> </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、服务承诺方案</w:t>
      </w:r>
    </w:p>
    <w:p w14:paraId="5D7D4A4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1110C1C2">
      <w:pPr>
        <w:snapToGrid w:val="0"/>
        <w:spacing w:before="165" w:after="50"/>
        <w:ind w:left="142"/>
        <w:jc w:val="center"/>
        <w:rPr>
          <w:rFonts w:ascii="宋体" w:hAnsi="宋体" w:cs="宋体"/>
          <w:b/>
          <w:color w:val="auto"/>
          <w:sz w:val="32"/>
          <w:szCs w:val="32"/>
          <w:highlight w:val="none"/>
        </w:rPr>
      </w:pPr>
    </w:p>
    <w:p w14:paraId="52CE52C4">
      <w:pPr>
        <w:snapToGrid w:val="0"/>
        <w:spacing w:before="165" w:line="360" w:lineRule="auto"/>
        <w:ind w:right="480" w:firstLine="3967" w:firstLineChars="1653"/>
        <w:rPr>
          <w:rFonts w:ascii="宋体" w:hAnsi="宋体" w:cs="宋体"/>
          <w:color w:val="auto"/>
          <w:sz w:val="24"/>
          <w:highlight w:val="none"/>
        </w:rPr>
      </w:pPr>
    </w:p>
    <w:p w14:paraId="4E572049">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3DBAE900">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6F66DB5">
      <w:pPr>
        <w:snapToGrid w:val="0"/>
        <w:spacing w:before="165" w:after="50"/>
        <w:jc w:val="left"/>
        <w:rPr>
          <w:rFonts w:ascii="宋体" w:hAnsi="宋体" w:cs="宋体"/>
          <w:color w:val="auto"/>
          <w:sz w:val="24"/>
          <w:highlight w:val="none"/>
        </w:rPr>
      </w:pPr>
    </w:p>
    <w:p w14:paraId="1328417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、除招标文件规定必须提供以外，投标人需要说明的其他文件和说明</w:t>
      </w:r>
    </w:p>
    <w:p w14:paraId="6188ABD1">
      <w:pPr>
        <w:spacing w:line="360" w:lineRule="auto"/>
        <w:jc w:val="center"/>
        <w:rPr>
          <w:rFonts w:ascii="宋体" w:hAnsi="宋体" w:cs="宋体"/>
          <w:color w:val="auto"/>
          <w:sz w:val="24"/>
          <w:highlight w:val="none"/>
        </w:rPr>
      </w:pPr>
    </w:p>
    <w:p w14:paraId="3DFB96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6B2CCB9A">
      <w:pPr>
        <w:spacing w:line="360" w:lineRule="auto"/>
        <w:jc w:val="center"/>
        <w:rPr>
          <w:rFonts w:ascii="宋体" w:hAnsi="宋体" w:cs="宋体"/>
          <w:color w:val="auto"/>
          <w:sz w:val="24"/>
          <w:highlight w:val="none"/>
        </w:rPr>
      </w:pPr>
    </w:p>
    <w:p w14:paraId="7E2F8189">
      <w:pPr>
        <w:autoSpaceDE w:val="0"/>
        <w:autoSpaceDN w:val="0"/>
        <w:spacing w:line="360" w:lineRule="auto"/>
        <w:ind w:firstLine="4800" w:firstLineChars="2000"/>
        <w:rPr>
          <w:rFonts w:ascii="宋体" w:hAnsi="宋体" w:cs="宋体"/>
          <w:color w:val="auto"/>
          <w:kern w:val="0"/>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0165AF7F">
      <w:pPr>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9502D15">
      <w:pPr>
        <w:snapToGrid w:val="0"/>
        <w:spacing w:before="165" w:after="50"/>
        <w:jc w:val="center"/>
        <w:outlineLvl w:val="1"/>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5A427EB6">
      <w:pPr>
        <w:pStyle w:val="7"/>
        <w:jc w:val="center"/>
        <w:outlineLvl w:val="1"/>
        <w:rPr>
          <w:rFonts w:hAnsi="宋体" w:cs="宋体"/>
          <w:b/>
          <w:bCs/>
          <w:color w:val="auto"/>
          <w:sz w:val="28"/>
          <w:szCs w:val="28"/>
          <w:highlight w:val="none"/>
        </w:rPr>
      </w:pPr>
      <w:bookmarkStart w:id="321" w:name="_Toc80093015"/>
      <w:bookmarkEnd w:id="321"/>
      <w:r>
        <w:rPr>
          <w:rFonts w:hint="eastAsia" w:hAnsi="宋体" w:cs="宋体"/>
          <w:b/>
          <w:bCs/>
          <w:color w:val="auto"/>
          <w:sz w:val="28"/>
          <w:szCs w:val="28"/>
          <w:highlight w:val="none"/>
        </w:rPr>
        <w:t>第五节 报价文件格式</w:t>
      </w:r>
    </w:p>
    <w:p w14:paraId="74FC3FB7">
      <w:pPr>
        <w:snapToGrid w:val="0"/>
        <w:spacing w:before="165" w:after="50" w:line="4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7F6C26CF">
      <w:pPr>
        <w:snapToGrid w:val="0"/>
        <w:spacing w:before="165" w:after="50" w:line="400" w:lineRule="exact"/>
        <w:jc w:val="center"/>
        <w:rPr>
          <w:rFonts w:ascii="宋体" w:hAnsi="宋体" w:cs="宋体"/>
          <w:bCs/>
          <w:color w:val="auto"/>
          <w:sz w:val="24"/>
          <w:szCs w:val="20"/>
          <w:highlight w:val="none"/>
        </w:rPr>
      </w:pPr>
    </w:p>
    <w:p w14:paraId="7B5A7DAC">
      <w:pPr>
        <w:snapToGrid w:val="0"/>
        <w:spacing w:before="165"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70B98710">
      <w:pPr>
        <w:snapToGrid w:val="0"/>
        <w:spacing w:before="165" w:after="50" w:line="400" w:lineRule="exact"/>
        <w:rPr>
          <w:rFonts w:ascii="宋体" w:hAnsi="宋体" w:cs="宋体"/>
          <w:bCs/>
          <w:color w:val="auto"/>
          <w:sz w:val="24"/>
          <w:szCs w:val="20"/>
          <w:highlight w:val="none"/>
        </w:rPr>
      </w:pPr>
    </w:p>
    <w:p w14:paraId="38938620">
      <w:pPr>
        <w:snapToGrid w:val="0"/>
        <w:spacing w:before="165" w:after="50" w:line="400" w:lineRule="exact"/>
        <w:rPr>
          <w:rFonts w:ascii="宋体" w:hAnsi="宋体" w:cs="宋体"/>
          <w:bCs/>
          <w:color w:val="auto"/>
          <w:sz w:val="24"/>
          <w:szCs w:val="20"/>
          <w:highlight w:val="none"/>
        </w:rPr>
      </w:pPr>
    </w:p>
    <w:p w14:paraId="53AC3184">
      <w:pPr>
        <w:snapToGrid w:val="0"/>
        <w:spacing w:before="165" w:after="50" w:line="400" w:lineRule="exact"/>
        <w:rPr>
          <w:rFonts w:ascii="宋体" w:hAnsi="宋体" w:cs="宋体"/>
          <w:bCs/>
          <w:color w:val="auto"/>
          <w:sz w:val="24"/>
          <w:szCs w:val="20"/>
          <w:highlight w:val="none"/>
        </w:rPr>
      </w:pPr>
    </w:p>
    <w:p w14:paraId="48EED864">
      <w:pPr>
        <w:snapToGrid w:val="0"/>
        <w:spacing w:before="165" w:after="50" w:line="400" w:lineRule="exact"/>
        <w:rPr>
          <w:rFonts w:ascii="宋体" w:hAnsi="宋体" w:cs="宋体"/>
          <w:bCs/>
          <w:color w:val="auto"/>
          <w:sz w:val="24"/>
          <w:szCs w:val="20"/>
          <w:highlight w:val="none"/>
        </w:rPr>
      </w:pPr>
    </w:p>
    <w:p w14:paraId="10CCCB2B">
      <w:pPr>
        <w:snapToGrid w:val="0"/>
        <w:spacing w:before="165" w:after="50" w:line="400" w:lineRule="exact"/>
        <w:ind w:firstLine="360" w:firstLineChars="15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 xml:space="preserve">项目名称： </w:t>
      </w:r>
      <w:r>
        <w:rPr>
          <w:rFonts w:hint="eastAsia" w:ascii="宋体" w:hAnsi="宋体" w:cs="宋体"/>
          <w:bCs/>
          <w:color w:val="auto"/>
          <w:sz w:val="24"/>
          <w:highlight w:val="none"/>
          <w:lang w:eastAsia="zh-CN"/>
        </w:rPr>
        <w:t>青秀区农村生活污水处理项目运维服务</w:t>
      </w:r>
    </w:p>
    <w:p w14:paraId="05D5B273">
      <w:pPr>
        <w:snapToGrid w:val="0"/>
        <w:spacing w:before="165" w:after="50" w:line="400" w:lineRule="exact"/>
        <w:ind w:firstLine="360" w:firstLineChars="150"/>
        <w:rPr>
          <w:rFonts w:ascii="宋体" w:hAnsi="宋体" w:cs="宋体"/>
          <w:bCs/>
          <w:color w:val="auto"/>
          <w:sz w:val="24"/>
          <w:highlight w:val="none"/>
        </w:rPr>
      </w:pPr>
    </w:p>
    <w:p w14:paraId="6D7981D8">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9F57171">
      <w:pPr>
        <w:snapToGrid w:val="0"/>
        <w:spacing w:before="165" w:after="50" w:line="400" w:lineRule="exact"/>
        <w:ind w:firstLine="360" w:firstLineChars="150"/>
        <w:rPr>
          <w:rFonts w:ascii="宋体" w:hAnsi="宋体" w:cs="宋体"/>
          <w:bCs/>
          <w:color w:val="auto"/>
          <w:sz w:val="24"/>
          <w:highlight w:val="none"/>
        </w:rPr>
      </w:pPr>
    </w:p>
    <w:p w14:paraId="422EDD34">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243392A2">
      <w:pPr>
        <w:snapToGrid w:val="0"/>
        <w:spacing w:before="165" w:after="50" w:line="400" w:lineRule="exact"/>
        <w:ind w:firstLine="360" w:firstLineChars="150"/>
        <w:rPr>
          <w:rFonts w:ascii="宋体" w:hAnsi="宋体" w:cs="宋体"/>
          <w:bCs/>
          <w:color w:val="auto"/>
          <w:sz w:val="24"/>
          <w:highlight w:val="none"/>
        </w:rPr>
      </w:pPr>
    </w:p>
    <w:p w14:paraId="766524DF">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4611AA1D">
      <w:pPr>
        <w:snapToGrid w:val="0"/>
        <w:spacing w:before="165" w:after="50" w:line="400" w:lineRule="exact"/>
        <w:ind w:firstLine="360" w:firstLineChars="150"/>
        <w:rPr>
          <w:rFonts w:ascii="宋体" w:hAnsi="宋体" w:cs="宋体"/>
          <w:bCs/>
          <w:color w:val="auto"/>
          <w:sz w:val="24"/>
          <w:highlight w:val="none"/>
        </w:rPr>
      </w:pPr>
    </w:p>
    <w:p w14:paraId="1DED5E92">
      <w:pPr>
        <w:snapToGrid w:val="0"/>
        <w:spacing w:before="165"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78A0AD1">
      <w:pPr>
        <w:pStyle w:val="24"/>
        <w:snapToGrid w:val="0"/>
        <w:spacing w:before="50" w:after="50" w:line="400" w:lineRule="exact"/>
        <w:ind w:firstLine="960" w:firstLineChars="400"/>
        <w:rPr>
          <w:rFonts w:ascii="宋体" w:hAnsi="宋体" w:cs="宋体"/>
          <w:bCs/>
          <w:color w:val="auto"/>
          <w:sz w:val="24"/>
          <w:szCs w:val="24"/>
          <w:highlight w:val="none"/>
        </w:rPr>
      </w:pPr>
    </w:p>
    <w:p w14:paraId="4CE2DEF4">
      <w:pPr>
        <w:snapToGrid w:val="0"/>
        <w:spacing w:before="165" w:after="50" w:line="400" w:lineRule="exac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r>
        <w:rPr>
          <w:rFonts w:hint="eastAsia" w:ascii="宋体" w:hAnsi="宋体" w:cs="宋体"/>
          <w:color w:val="auto"/>
          <w:sz w:val="24"/>
          <w:highlight w:val="none"/>
        </w:rPr>
        <w:t xml:space="preserve">                                                       年  月  日</w:t>
      </w:r>
    </w:p>
    <w:p w14:paraId="09C74CED">
      <w:pPr>
        <w:rPr>
          <w:rFonts w:ascii="宋体" w:hAnsi="宋体" w:cs="宋体"/>
          <w:color w:val="auto"/>
          <w:highlight w:val="none"/>
        </w:rPr>
      </w:pPr>
    </w:p>
    <w:p w14:paraId="0E8C49FF">
      <w:pPr>
        <w:snapToGrid w:val="0"/>
        <w:spacing w:before="165"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08B6EF28">
      <w:pPr>
        <w:rPr>
          <w:rFonts w:ascii="宋体" w:hAnsi="宋体" w:cs="宋体"/>
          <w:color w:val="auto"/>
          <w:highlight w:val="none"/>
        </w:rPr>
      </w:pPr>
    </w:p>
    <w:p w14:paraId="5B1D56B3">
      <w:pPr>
        <w:rPr>
          <w:rFonts w:ascii="宋体" w:hAnsi="宋体" w:cs="宋体"/>
          <w:color w:val="auto"/>
          <w:kern w:val="0"/>
          <w:sz w:val="24"/>
          <w:highlight w:val="none"/>
        </w:rPr>
      </w:pPr>
      <w:r>
        <w:rPr>
          <w:rFonts w:hint="eastAsia" w:ascii="宋体" w:hAnsi="宋体" w:cs="宋体"/>
          <w:color w:val="auto"/>
          <w:kern w:val="0"/>
          <w:sz w:val="24"/>
          <w:highlight w:val="none"/>
        </w:rPr>
        <w:t>一、投标函………………………………………………</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………（页码）</w:t>
      </w:r>
    </w:p>
    <w:p w14:paraId="6C2980EB">
      <w:pPr>
        <w:rPr>
          <w:rFonts w:ascii="宋体" w:hAnsi="宋体" w:cs="宋体"/>
          <w:color w:val="auto"/>
          <w:kern w:val="0"/>
          <w:sz w:val="24"/>
          <w:highlight w:val="none"/>
        </w:rPr>
      </w:pPr>
      <w:r>
        <w:rPr>
          <w:rFonts w:hint="eastAsia" w:ascii="宋体" w:hAnsi="宋体" w:cs="宋体"/>
          <w:color w:val="auto"/>
          <w:kern w:val="0"/>
          <w:sz w:val="24"/>
          <w:highlight w:val="none"/>
        </w:rPr>
        <w:t>二、开标一览表（单位均为人民币元）…………………………………………………（页码）</w:t>
      </w:r>
    </w:p>
    <w:p w14:paraId="6AAE19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三、投标人针对报价需要说明的其他文件和说明……</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………（页码）</w:t>
      </w:r>
    </w:p>
    <w:p w14:paraId="761BA074">
      <w:pPr>
        <w:snapToGrid w:val="0"/>
        <w:spacing w:before="165" w:after="50" w:line="400" w:lineRule="exact"/>
        <w:ind w:firstLine="300" w:firstLineChars="100"/>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4BE625C6">
      <w:pPr>
        <w:pStyle w:val="7"/>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FE3E897">
      <w:pPr>
        <w:pStyle w:val="7"/>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0DEB927B">
      <w:pPr>
        <w:pStyle w:val="7"/>
        <w:spacing w:line="440" w:lineRule="exact"/>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 xml:space="preserve"> ）的招标文件的全部内容，授权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531CF9D1">
      <w:pPr>
        <w:pStyle w:val="7"/>
        <w:spacing w:line="440" w:lineRule="exact"/>
        <w:ind w:firstLine="482"/>
        <w:rPr>
          <w:rFonts w:hAnsi="宋体" w:cs="宋体"/>
          <w:color w:val="auto"/>
          <w:highlight w:val="none"/>
        </w:rPr>
      </w:pPr>
      <w:r>
        <w:rPr>
          <w:rFonts w:hint="eastAsia" w:hAnsi="宋体" w:cs="宋体"/>
          <w:color w:val="auto"/>
          <w:highlight w:val="none"/>
        </w:rPr>
        <w:t>一、资格文件电子版一份（包含按投标人须知前附表要求提交的全部文件）；</w:t>
      </w:r>
    </w:p>
    <w:p w14:paraId="16D61611">
      <w:pPr>
        <w:pStyle w:val="7"/>
        <w:spacing w:line="440" w:lineRule="exact"/>
        <w:ind w:firstLine="482"/>
        <w:rPr>
          <w:rFonts w:hAnsi="宋体" w:cs="宋体"/>
          <w:color w:val="auto"/>
          <w:highlight w:val="none"/>
        </w:rPr>
      </w:pPr>
      <w:r>
        <w:rPr>
          <w:rFonts w:hint="eastAsia" w:hAnsi="宋体" w:cs="宋体"/>
          <w:color w:val="auto"/>
          <w:highlight w:val="none"/>
        </w:rPr>
        <w:t>二、商务文件电子版一份（包含按投标人须知前附表要求提交的全部文件）；</w:t>
      </w:r>
    </w:p>
    <w:p w14:paraId="53437625">
      <w:pPr>
        <w:pStyle w:val="7"/>
        <w:spacing w:line="440" w:lineRule="exact"/>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3E357EB2">
      <w:pPr>
        <w:pStyle w:val="7"/>
        <w:spacing w:line="440" w:lineRule="exact"/>
        <w:ind w:firstLine="482"/>
        <w:rPr>
          <w:rFonts w:hAnsi="宋体" w:cs="宋体"/>
          <w:color w:val="auto"/>
          <w:highlight w:val="none"/>
        </w:rPr>
      </w:pPr>
      <w:r>
        <w:rPr>
          <w:rFonts w:hint="eastAsia" w:hAnsi="宋体" w:cs="宋体"/>
          <w:color w:val="auto"/>
          <w:highlight w:val="none"/>
        </w:rPr>
        <w:t>四、报价文件电子版一份（包含按投标人须知前附表要求提交的全部文件）；</w:t>
      </w:r>
    </w:p>
    <w:p w14:paraId="34FF6BA2">
      <w:pPr>
        <w:pStyle w:val="7"/>
        <w:spacing w:line="440" w:lineRule="exact"/>
        <w:ind w:firstLine="482"/>
        <w:rPr>
          <w:rFonts w:hAnsi="宋体" w:cs="宋体"/>
          <w:color w:val="auto"/>
          <w:highlight w:val="none"/>
        </w:rPr>
      </w:pPr>
      <w:r>
        <w:rPr>
          <w:rFonts w:hint="eastAsia" w:hAnsi="宋体" w:cs="宋体"/>
          <w:color w:val="auto"/>
          <w:highlight w:val="none"/>
        </w:rPr>
        <w:t>据此函，签字人兹宣布：</w:t>
      </w:r>
    </w:p>
    <w:p w14:paraId="2A09F407">
      <w:pPr>
        <w:pStyle w:val="7"/>
        <w:spacing w:line="440" w:lineRule="exact"/>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w:t>
      </w:r>
      <w:r>
        <w:rPr>
          <w:rFonts w:hint="eastAsia" w:hAnsi="宋体" w:cs="宋体"/>
          <w:color w:val="auto"/>
          <w:highlight w:val="none"/>
          <w:lang w:val="en-US" w:eastAsia="zh-CN"/>
        </w:rPr>
        <w:t>服务</w:t>
      </w:r>
      <w:r>
        <w:rPr>
          <w:rFonts w:hint="eastAsia" w:hAnsi="宋体" w:cs="宋体"/>
          <w:color w:val="auto"/>
          <w:highlight w:val="none"/>
          <w:lang w:eastAsia="zh-CN"/>
        </w:rPr>
        <w:t>期限</w:t>
      </w:r>
      <w:r>
        <w:rPr>
          <w:rFonts w:hint="eastAsia" w:hAnsi="宋体" w:cs="宋体"/>
          <w:color w:val="auto"/>
          <w:highlight w:val="none"/>
        </w:rPr>
        <w:t>（无分标时填写）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1E4012AB">
      <w:pPr>
        <w:pStyle w:val="7"/>
        <w:spacing w:line="440" w:lineRule="exact"/>
        <w:ind w:firstLine="420" w:firstLineChars="200"/>
        <w:rPr>
          <w:rFonts w:hAnsi="宋体" w:cs="宋体"/>
          <w:color w:val="auto"/>
          <w:highlight w:val="none"/>
        </w:rPr>
      </w:pPr>
      <w:r>
        <w:rPr>
          <w:rFonts w:hint="eastAsia" w:hAnsi="宋体" w:cs="宋体"/>
          <w:color w:val="auto"/>
          <w:highlight w:val="none"/>
        </w:rPr>
        <w:t>其中（有分标时填写）：</w:t>
      </w:r>
    </w:p>
    <w:p w14:paraId="49C02D71">
      <w:pPr>
        <w:pStyle w:val="7"/>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highlight w:val="none"/>
          <w:lang w:eastAsia="zh-CN"/>
        </w:rPr>
        <w:t>服务期限</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14:paraId="38BA4BD5">
      <w:pPr>
        <w:pStyle w:val="7"/>
        <w:spacing w:line="360" w:lineRule="exact"/>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highlight w:val="none"/>
          <w:lang w:eastAsia="zh-CN"/>
        </w:rPr>
        <w:t>服务期限</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14:paraId="4F08A7BB">
      <w:pPr>
        <w:pStyle w:val="7"/>
        <w:spacing w:line="360" w:lineRule="exact"/>
        <w:ind w:firstLine="420" w:firstLineChars="200"/>
        <w:rPr>
          <w:rFonts w:hAnsi="宋体" w:cs="宋体"/>
          <w:color w:val="auto"/>
          <w:highlight w:val="none"/>
        </w:rPr>
      </w:pPr>
      <w:r>
        <w:rPr>
          <w:rFonts w:hint="eastAsia" w:hAnsi="宋体" w:cs="宋体"/>
          <w:color w:val="auto"/>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275529AD">
      <w:pPr>
        <w:pStyle w:val="7"/>
        <w:spacing w:line="360" w:lineRule="exact"/>
        <w:ind w:firstLine="420" w:firstLineChars="200"/>
        <w:rPr>
          <w:rFonts w:hAnsi="宋体" w:cs="宋体"/>
          <w:color w:val="auto"/>
          <w:highlight w:val="none"/>
        </w:rPr>
      </w:pPr>
      <w:r>
        <w:rPr>
          <w:rFonts w:hint="eastAsia" w:hAnsi="宋体" w:cs="宋体"/>
          <w:color w:val="auto"/>
          <w:highlight w:val="none"/>
        </w:rPr>
        <w:t>3、我方所递交的投标文件及有关资料都是内容完整、真实和准确的。</w:t>
      </w:r>
    </w:p>
    <w:p w14:paraId="58795BD3">
      <w:pPr>
        <w:pStyle w:val="7"/>
        <w:spacing w:line="440" w:lineRule="exact"/>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2FDD4AF6">
      <w:pPr>
        <w:pStyle w:val="7"/>
        <w:spacing w:line="440" w:lineRule="exact"/>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7124B2F">
      <w:pPr>
        <w:pStyle w:val="7"/>
        <w:spacing w:line="440" w:lineRule="exact"/>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DF197FA">
      <w:pPr>
        <w:pStyle w:val="7"/>
        <w:spacing w:line="440" w:lineRule="exact"/>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6C5BBC25">
      <w:pPr>
        <w:pStyle w:val="7"/>
        <w:spacing w:line="440" w:lineRule="exact"/>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w:t>
      </w:r>
      <w:r>
        <w:rPr>
          <w:rFonts w:hint="eastAsia" w:hAnsi="宋体" w:cs="宋体"/>
          <w:color w:val="auto"/>
          <w:highlight w:val="none"/>
          <w:lang w:eastAsia="zh-CN"/>
        </w:rPr>
        <w:t>中标人</w:t>
      </w:r>
      <w:r>
        <w:rPr>
          <w:rFonts w:hint="eastAsia" w:hAnsi="宋体" w:cs="宋体"/>
          <w:color w:val="auto"/>
          <w:highlight w:val="none"/>
        </w:rPr>
        <w:t>的行为。</w:t>
      </w:r>
    </w:p>
    <w:p w14:paraId="4EAC96AC">
      <w:pPr>
        <w:pStyle w:val="7"/>
        <w:spacing w:line="440" w:lineRule="exact"/>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731D76D">
      <w:pPr>
        <w:pStyle w:val="7"/>
        <w:numPr>
          <w:ilvl w:val="0"/>
          <w:numId w:val="5"/>
        </w:numPr>
        <w:tabs>
          <w:tab w:val="clear" w:pos="1140"/>
        </w:tabs>
        <w:spacing w:line="440" w:lineRule="exact"/>
        <w:rPr>
          <w:rFonts w:hAnsi="宋体" w:cs="宋体"/>
          <w:color w:val="auto"/>
          <w:highlight w:val="none"/>
        </w:rPr>
      </w:pPr>
      <w:r>
        <w:rPr>
          <w:rFonts w:hint="eastAsia" w:hAnsi="宋体" w:cs="宋体"/>
          <w:color w:val="auto"/>
          <w:highlight w:val="none"/>
        </w:rPr>
        <w:t>提供虚假材料谋取中标、成交的；</w:t>
      </w:r>
    </w:p>
    <w:p w14:paraId="60ECEA3A">
      <w:pPr>
        <w:pStyle w:val="7"/>
        <w:numPr>
          <w:ilvl w:val="0"/>
          <w:numId w:val="5"/>
        </w:numPr>
        <w:tabs>
          <w:tab w:val="clear" w:pos="1140"/>
        </w:tabs>
        <w:spacing w:line="440" w:lineRule="exact"/>
        <w:rPr>
          <w:rFonts w:hAnsi="宋体" w:cs="宋体"/>
          <w:color w:val="auto"/>
          <w:highlight w:val="none"/>
        </w:rPr>
      </w:pPr>
      <w:r>
        <w:rPr>
          <w:rFonts w:hint="eastAsia" w:hAnsi="宋体" w:cs="宋体"/>
          <w:color w:val="auto"/>
          <w:highlight w:val="none"/>
        </w:rPr>
        <w:t>采取不正当手段诋毁、排挤其他供应商的；</w:t>
      </w:r>
    </w:p>
    <w:p w14:paraId="6F323604">
      <w:pPr>
        <w:pStyle w:val="7"/>
        <w:numPr>
          <w:ilvl w:val="0"/>
          <w:numId w:val="5"/>
        </w:numPr>
        <w:tabs>
          <w:tab w:val="clear" w:pos="1140"/>
        </w:tabs>
        <w:spacing w:line="440" w:lineRule="exact"/>
        <w:rPr>
          <w:rFonts w:hAnsi="宋体" w:cs="宋体"/>
          <w:color w:val="auto"/>
          <w:highlight w:val="none"/>
        </w:rPr>
      </w:pPr>
      <w:r>
        <w:rPr>
          <w:rFonts w:hint="eastAsia" w:hAnsi="宋体" w:cs="宋体"/>
          <w:color w:val="auto"/>
          <w:highlight w:val="none"/>
        </w:rPr>
        <w:t>与采购人、其他供应商或者采购代理机构恶意串通的；</w:t>
      </w:r>
    </w:p>
    <w:p w14:paraId="2F0FF52B">
      <w:pPr>
        <w:pStyle w:val="7"/>
        <w:numPr>
          <w:ilvl w:val="0"/>
          <w:numId w:val="5"/>
        </w:numPr>
        <w:tabs>
          <w:tab w:val="clear" w:pos="1140"/>
        </w:tabs>
        <w:spacing w:line="440" w:lineRule="exact"/>
        <w:rPr>
          <w:rFonts w:hAnsi="宋体" w:cs="宋体"/>
          <w:color w:val="auto"/>
          <w:highlight w:val="none"/>
        </w:rPr>
      </w:pPr>
      <w:r>
        <w:rPr>
          <w:rFonts w:hint="eastAsia" w:hAnsi="宋体" w:cs="宋体"/>
          <w:color w:val="auto"/>
          <w:highlight w:val="none"/>
        </w:rPr>
        <w:t>向采购人、采购代理机构行贿或者提供其他不正当利益的；</w:t>
      </w:r>
    </w:p>
    <w:p w14:paraId="46DE4FB6">
      <w:pPr>
        <w:pStyle w:val="7"/>
        <w:numPr>
          <w:ilvl w:val="0"/>
          <w:numId w:val="5"/>
        </w:numPr>
        <w:tabs>
          <w:tab w:val="clear" w:pos="1140"/>
        </w:tabs>
        <w:spacing w:line="440" w:lineRule="exact"/>
        <w:rPr>
          <w:rFonts w:hAnsi="宋体" w:cs="宋体"/>
          <w:color w:val="auto"/>
          <w:highlight w:val="none"/>
        </w:rPr>
      </w:pPr>
      <w:r>
        <w:rPr>
          <w:rFonts w:hint="eastAsia" w:hAnsi="宋体" w:cs="宋体"/>
          <w:color w:val="auto"/>
          <w:highlight w:val="none"/>
        </w:rPr>
        <w:t>在招标采购过程中与采购人进行协商谈判的；</w:t>
      </w:r>
    </w:p>
    <w:p w14:paraId="1AF55206">
      <w:pPr>
        <w:pStyle w:val="7"/>
        <w:numPr>
          <w:ilvl w:val="0"/>
          <w:numId w:val="5"/>
        </w:numPr>
        <w:tabs>
          <w:tab w:val="clear" w:pos="1140"/>
        </w:tabs>
        <w:spacing w:line="440" w:lineRule="exact"/>
        <w:rPr>
          <w:rFonts w:hAnsi="宋体" w:cs="宋体"/>
          <w:color w:val="auto"/>
          <w:highlight w:val="none"/>
        </w:rPr>
      </w:pPr>
      <w:r>
        <w:rPr>
          <w:rFonts w:hint="eastAsia" w:hAnsi="宋体" w:cs="宋体"/>
          <w:color w:val="auto"/>
          <w:highlight w:val="none"/>
        </w:rPr>
        <w:t>拒绝有关部门监督检查或提供虚假情况的。</w:t>
      </w:r>
    </w:p>
    <w:p w14:paraId="76866820">
      <w:pPr>
        <w:pStyle w:val="7"/>
        <w:spacing w:line="440" w:lineRule="exact"/>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5B3070AE">
      <w:pPr>
        <w:pStyle w:val="7"/>
        <w:spacing w:line="440" w:lineRule="exact"/>
        <w:ind w:left="420"/>
        <w:rPr>
          <w:rFonts w:hAnsi="宋体" w:cs="宋体"/>
          <w:color w:val="auto"/>
          <w:highlight w:val="none"/>
          <w:u w:val="single"/>
        </w:rPr>
      </w:pPr>
      <w:r>
        <w:rPr>
          <w:rFonts w:hint="eastAsia" w:hAnsi="宋体" w:cs="宋体"/>
          <w:color w:val="auto"/>
          <w:highlight w:val="none"/>
          <w:u w:val="single"/>
        </w:rPr>
        <w:t xml:space="preserve">                                                                                                                        </w:t>
      </w:r>
    </w:p>
    <w:p w14:paraId="40568D18">
      <w:pPr>
        <w:pStyle w:val="7"/>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15A50C1F">
      <w:pPr>
        <w:pStyle w:val="7"/>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p>
    <w:p w14:paraId="19E6F544">
      <w:pPr>
        <w:pStyle w:val="7"/>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3FDB10AC">
      <w:pPr>
        <w:pStyle w:val="7"/>
        <w:spacing w:line="360" w:lineRule="auto"/>
        <w:ind w:firstLine="420"/>
        <w:rPr>
          <w:rFonts w:hAnsi="宋体" w:cs="宋体"/>
          <w:color w:val="auto"/>
          <w:highlight w:val="none"/>
        </w:rPr>
      </w:pPr>
      <w:r>
        <w:rPr>
          <w:rFonts w:hint="eastAsia" w:hAnsi="宋体" w:cs="宋体"/>
          <w:color w:val="auto"/>
          <w:highlight w:val="none"/>
        </w:rPr>
        <w:t>电话：</w:t>
      </w:r>
      <w:r>
        <w:rPr>
          <w:rFonts w:hint="eastAsia" w:hAnsi="宋体" w:cs="宋体"/>
          <w:color w:val="auto"/>
          <w:highlight w:val="none"/>
          <w:u w:val="single"/>
        </w:rPr>
        <w:t xml:space="preserve">                                      　　　　　　　　　</w:t>
      </w:r>
    </w:p>
    <w:p w14:paraId="6526951D">
      <w:pPr>
        <w:pStyle w:val="7"/>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2C808E3E">
      <w:pPr>
        <w:pStyle w:val="7"/>
        <w:spacing w:line="360" w:lineRule="auto"/>
        <w:ind w:firstLine="420"/>
        <w:rPr>
          <w:rFonts w:hAnsi="宋体" w:cs="宋体"/>
          <w:color w:val="auto"/>
          <w:highlight w:val="none"/>
        </w:rPr>
      </w:pPr>
      <w:r>
        <w:rPr>
          <w:rFonts w:hint="eastAsia" w:hAnsi="宋体" w:cs="宋体"/>
          <w:color w:val="auto"/>
          <w:highlight w:val="none"/>
        </w:rPr>
        <w:t>邮政编码：</w:t>
      </w:r>
      <w:r>
        <w:rPr>
          <w:rFonts w:hint="eastAsia" w:hAnsi="宋体" w:cs="宋体"/>
          <w:color w:val="auto"/>
          <w:highlight w:val="none"/>
          <w:u w:val="single"/>
        </w:rPr>
        <w:t xml:space="preserve">                                                    </w:t>
      </w:r>
    </w:p>
    <w:p w14:paraId="6CBBB58B">
      <w:pPr>
        <w:pStyle w:val="7"/>
        <w:spacing w:line="360" w:lineRule="auto"/>
        <w:ind w:firstLine="420"/>
        <w:rPr>
          <w:rFonts w:hAnsi="宋体" w:cs="宋体"/>
          <w:color w:val="auto"/>
          <w:highlight w:val="none"/>
        </w:rPr>
      </w:pPr>
      <w:r>
        <w:rPr>
          <w:rFonts w:hint="eastAsia" w:hAnsi="宋体" w:cs="宋体"/>
          <w:color w:val="auto"/>
          <w:highlight w:val="none"/>
        </w:rPr>
        <w:t>开户名称：</w:t>
      </w:r>
      <w:r>
        <w:rPr>
          <w:rFonts w:hint="eastAsia" w:hAnsi="宋体" w:cs="宋体"/>
          <w:color w:val="auto"/>
          <w:highlight w:val="none"/>
          <w:u w:val="single"/>
        </w:rPr>
        <w:t xml:space="preserve">                                                    </w:t>
      </w:r>
    </w:p>
    <w:p w14:paraId="3E581A9B">
      <w:pPr>
        <w:pStyle w:val="7"/>
        <w:spacing w:line="360" w:lineRule="auto"/>
        <w:ind w:firstLine="420"/>
        <w:rPr>
          <w:rFonts w:hAnsi="宋体" w:cs="宋体"/>
          <w:color w:val="auto"/>
          <w:highlight w:val="none"/>
        </w:rPr>
      </w:pPr>
      <w:r>
        <w:rPr>
          <w:rFonts w:hint="eastAsia" w:hAnsi="宋体" w:cs="宋体"/>
          <w:color w:val="auto"/>
          <w:highlight w:val="none"/>
        </w:rPr>
        <w:t>开户银行：</w:t>
      </w:r>
      <w:r>
        <w:rPr>
          <w:rFonts w:hint="eastAsia" w:hAnsi="宋体" w:cs="宋体"/>
          <w:color w:val="auto"/>
          <w:highlight w:val="none"/>
          <w:u w:val="single"/>
        </w:rPr>
        <w:t xml:space="preserve">                                                    </w:t>
      </w:r>
    </w:p>
    <w:p w14:paraId="49FE1A5F">
      <w:pPr>
        <w:pStyle w:val="7"/>
        <w:spacing w:line="360" w:lineRule="auto"/>
        <w:ind w:firstLine="420"/>
        <w:rPr>
          <w:rFonts w:hAnsi="宋体" w:cs="宋体"/>
          <w:color w:val="auto"/>
          <w:highlight w:val="none"/>
        </w:rPr>
      </w:pPr>
      <w:r>
        <w:rPr>
          <w:rFonts w:hint="eastAsia" w:hAnsi="宋体" w:cs="宋体"/>
          <w:color w:val="auto"/>
          <w:highlight w:val="none"/>
        </w:rPr>
        <w:t>银行账号：</w:t>
      </w:r>
      <w:r>
        <w:rPr>
          <w:rFonts w:hint="eastAsia" w:hAnsi="宋体" w:cs="宋体"/>
          <w:color w:val="auto"/>
          <w:highlight w:val="none"/>
          <w:u w:val="single"/>
        </w:rPr>
        <w:t xml:space="preserve">                                                    </w:t>
      </w:r>
    </w:p>
    <w:p w14:paraId="5195B7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111380BA">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13D1F5">
      <w:pPr>
        <w:snapToGrid w:val="0"/>
        <w:spacing w:line="360" w:lineRule="auto"/>
        <w:ind w:firstLine="5160" w:firstLineChars="2150"/>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43F60073">
      <w:pPr>
        <w:pStyle w:val="7"/>
        <w:spacing w:line="360" w:lineRule="auto"/>
        <w:jc w:val="center"/>
        <w:rPr>
          <w:rFonts w:hAnsi="宋体" w:cs="宋体"/>
          <w:color w:val="auto"/>
          <w:sz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536725F3">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青秀区农村生活污水处理项目运维服务</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lang w:eastAsia="zh-CN"/>
        </w:rPr>
        <w:t>NNZC2024-G3-030263-GXHJ</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3CC99AD5">
      <w:pPr>
        <w:pStyle w:val="7"/>
        <w:spacing w:line="360" w:lineRule="auto"/>
        <w:rPr>
          <w:rFonts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5"/>
        <w:tblW w:w="10461"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382"/>
        <w:gridCol w:w="2100"/>
        <w:gridCol w:w="1213"/>
        <w:gridCol w:w="1305"/>
        <w:gridCol w:w="1252"/>
        <w:gridCol w:w="1252"/>
        <w:gridCol w:w="1383"/>
      </w:tblGrid>
      <w:tr w14:paraId="1245C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3" w:hRule="atLeast"/>
        </w:trPr>
        <w:tc>
          <w:tcPr>
            <w:tcW w:w="574" w:type="dxa"/>
            <w:vAlign w:val="center"/>
          </w:tcPr>
          <w:p w14:paraId="1E431345">
            <w:pPr>
              <w:rPr>
                <w:rFonts w:ascii="宋体" w:hAnsi="宋体" w:cs="宋体"/>
                <w:color w:val="auto"/>
                <w:szCs w:val="22"/>
                <w:highlight w:val="none"/>
              </w:rPr>
            </w:pPr>
            <w:r>
              <w:rPr>
                <w:rFonts w:hint="eastAsia" w:ascii="宋体" w:hAnsi="宋体" w:cs="宋体"/>
                <w:color w:val="auto"/>
                <w:szCs w:val="22"/>
                <w:highlight w:val="none"/>
              </w:rPr>
              <w:t>序号</w:t>
            </w:r>
          </w:p>
        </w:tc>
        <w:tc>
          <w:tcPr>
            <w:tcW w:w="1382" w:type="dxa"/>
            <w:vAlign w:val="center"/>
          </w:tcPr>
          <w:p w14:paraId="609A0DC9">
            <w:pPr>
              <w:rPr>
                <w:rFonts w:ascii="宋体" w:hAnsi="宋体" w:cs="宋体"/>
                <w:color w:val="auto"/>
                <w:szCs w:val="22"/>
                <w:highlight w:val="none"/>
              </w:rPr>
            </w:pPr>
            <w:r>
              <w:rPr>
                <w:rFonts w:hint="eastAsia" w:ascii="宋体" w:hAnsi="宋体" w:cs="宋体"/>
                <w:color w:val="auto"/>
                <w:szCs w:val="22"/>
                <w:highlight w:val="none"/>
              </w:rPr>
              <w:t>服务名称</w:t>
            </w:r>
          </w:p>
        </w:tc>
        <w:tc>
          <w:tcPr>
            <w:tcW w:w="2100" w:type="dxa"/>
            <w:vAlign w:val="center"/>
          </w:tcPr>
          <w:p w14:paraId="705BB05D">
            <w:pPr>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具体服务内容（含具体服务范围、服务标准等内容）</w:t>
            </w:r>
          </w:p>
        </w:tc>
        <w:tc>
          <w:tcPr>
            <w:tcW w:w="1213" w:type="dxa"/>
            <w:vAlign w:val="center"/>
          </w:tcPr>
          <w:p w14:paraId="3B167411">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305" w:type="dxa"/>
            <w:vAlign w:val="center"/>
          </w:tcPr>
          <w:p w14:paraId="55FC5349">
            <w:pPr>
              <w:rPr>
                <w:rFonts w:ascii="宋体" w:hAnsi="宋体" w:cs="宋体"/>
                <w:color w:val="auto"/>
                <w:szCs w:val="22"/>
                <w:highlight w:val="none"/>
              </w:rPr>
            </w:pPr>
            <w:r>
              <w:rPr>
                <w:rFonts w:hint="eastAsia" w:ascii="宋体" w:hAnsi="宋体" w:cs="宋体"/>
                <w:color w:val="auto"/>
                <w:szCs w:val="22"/>
                <w:highlight w:val="none"/>
              </w:rPr>
              <w:t>单价(元)②</w:t>
            </w:r>
          </w:p>
        </w:tc>
        <w:tc>
          <w:tcPr>
            <w:tcW w:w="1252" w:type="dxa"/>
            <w:vAlign w:val="center"/>
          </w:tcPr>
          <w:p w14:paraId="596C4D99">
            <w:pPr>
              <w:rPr>
                <w:rFonts w:ascii="宋体" w:hAnsi="宋体" w:cs="宋体"/>
                <w:color w:val="auto"/>
                <w:szCs w:val="22"/>
                <w:highlight w:val="none"/>
              </w:rPr>
            </w:pPr>
            <w:r>
              <w:rPr>
                <w:rFonts w:hint="eastAsia" w:ascii="宋体" w:hAnsi="宋体" w:cs="宋体"/>
                <w:color w:val="auto"/>
                <w:szCs w:val="22"/>
                <w:highlight w:val="none"/>
              </w:rPr>
              <w:t>单项合价（元）③</w:t>
            </w:r>
            <w:bookmarkStart w:id="327" w:name="_GoBack"/>
            <w:bookmarkEnd w:id="327"/>
          </w:p>
          <w:p w14:paraId="2819DB97">
            <w:pPr>
              <w:rPr>
                <w:rFonts w:ascii="宋体" w:hAnsi="宋体" w:cs="宋体"/>
                <w:color w:val="auto"/>
                <w:szCs w:val="22"/>
                <w:highlight w:val="none"/>
              </w:rPr>
            </w:pPr>
            <w:r>
              <w:rPr>
                <w:rFonts w:hint="eastAsia" w:ascii="宋体" w:hAnsi="宋体" w:cs="宋体"/>
                <w:color w:val="auto"/>
                <w:szCs w:val="22"/>
                <w:highlight w:val="none"/>
              </w:rPr>
              <w:t>③＝①×②</w:t>
            </w:r>
          </w:p>
        </w:tc>
        <w:tc>
          <w:tcPr>
            <w:tcW w:w="1252" w:type="dxa"/>
            <w:vAlign w:val="center"/>
          </w:tcPr>
          <w:p w14:paraId="1AEDC386">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2"/>
                <w:highlight w:val="none"/>
                <w:lang w:eastAsia="zh-CN"/>
              </w:rPr>
              <w:t>服务期限</w:t>
            </w:r>
          </w:p>
        </w:tc>
        <w:tc>
          <w:tcPr>
            <w:tcW w:w="1383" w:type="dxa"/>
            <w:vAlign w:val="center"/>
          </w:tcPr>
          <w:p w14:paraId="122DBCC9">
            <w:pPr>
              <w:jc w:val="center"/>
              <w:rPr>
                <w:rFonts w:ascii="宋体" w:hAnsi="宋体" w:cs="宋体"/>
                <w:color w:val="auto"/>
                <w:szCs w:val="22"/>
                <w:highlight w:val="none"/>
              </w:rPr>
            </w:pPr>
            <w:r>
              <w:rPr>
                <w:rFonts w:hint="eastAsia" w:ascii="宋体" w:hAnsi="宋体" w:cs="宋体"/>
                <w:color w:val="auto"/>
                <w:szCs w:val="22"/>
                <w:highlight w:val="none"/>
              </w:rPr>
              <w:t>备注</w:t>
            </w:r>
          </w:p>
        </w:tc>
      </w:tr>
      <w:tr w14:paraId="08AE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5" w:hRule="atLeast"/>
        </w:trPr>
        <w:tc>
          <w:tcPr>
            <w:tcW w:w="574" w:type="dxa"/>
            <w:vAlign w:val="center"/>
          </w:tcPr>
          <w:p w14:paraId="2DD3DB10">
            <w:pPr>
              <w:jc w:val="center"/>
              <w:rPr>
                <w:rFonts w:ascii="宋体" w:hAnsi="宋体" w:cs="宋体"/>
                <w:color w:val="auto"/>
                <w:szCs w:val="22"/>
                <w:highlight w:val="none"/>
              </w:rPr>
            </w:pPr>
            <w:r>
              <w:rPr>
                <w:rFonts w:hint="eastAsia" w:ascii="宋体" w:hAnsi="宋体" w:cs="宋体"/>
                <w:color w:val="auto"/>
                <w:szCs w:val="22"/>
                <w:highlight w:val="none"/>
              </w:rPr>
              <w:t>1</w:t>
            </w:r>
          </w:p>
        </w:tc>
        <w:tc>
          <w:tcPr>
            <w:tcW w:w="1382" w:type="dxa"/>
            <w:vAlign w:val="center"/>
          </w:tcPr>
          <w:p w14:paraId="6DF7ABC9">
            <w:pPr>
              <w:rPr>
                <w:rFonts w:ascii="宋体" w:hAnsi="宋体" w:cs="宋体"/>
                <w:color w:val="auto"/>
                <w:szCs w:val="22"/>
                <w:highlight w:val="none"/>
              </w:rPr>
            </w:pPr>
          </w:p>
        </w:tc>
        <w:tc>
          <w:tcPr>
            <w:tcW w:w="2100" w:type="dxa"/>
            <w:vAlign w:val="center"/>
          </w:tcPr>
          <w:p w14:paraId="64937584">
            <w:pPr>
              <w:rPr>
                <w:rFonts w:ascii="宋体" w:hAnsi="宋体" w:cs="宋体"/>
                <w:color w:val="auto"/>
                <w:szCs w:val="22"/>
                <w:highlight w:val="none"/>
              </w:rPr>
            </w:pPr>
          </w:p>
        </w:tc>
        <w:tc>
          <w:tcPr>
            <w:tcW w:w="1213" w:type="dxa"/>
            <w:vAlign w:val="center"/>
          </w:tcPr>
          <w:p w14:paraId="77880B42">
            <w:pPr>
              <w:rPr>
                <w:rFonts w:ascii="宋体" w:hAnsi="宋体" w:cs="宋体"/>
                <w:color w:val="auto"/>
                <w:szCs w:val="22"/>
                <w:highlight w:val="none"/>
              </w:rPr>
            </w:pPr>
          </w:p>
        </w:tc>
        <w:tc>
          <w:tcPr>
            <w:tcW w:w="1305" w:type="dxa"/>
            <w:vAlign w:val="center"/>
          </w:tcPr>
          <w:p w14:paraId="7923F469">
            <w:pPr>
              <w:rPr>
                <w:rFonts w:ascii="宋体" w:hAnsi="宋体" w:cs="宋体"/>
                <w:color w:val="auto"/>
                <w:szCs w:val="22"/>
                <w:highlight w:val="none"/>
              </w:rPr>
            </w:pPr>
          </w:p>
        </w:tc>
        <w:tc>
          <w:tcPr>
            <w:tcW w:w="1252" w:type="dxa"/>
            <w:vAlign w:val="center"/>
          </w:tcPr>
          <w:p w14:paraId="6FFE1B88">
            <w:pPr>
              <w:rPr>
                <w:rFonts w:ascii="宋体" w:hAnsi="宋体" w:cs="宋体"/>
                <w:color w:val="auto"/>
                <w:szCs w:val="22"/>
                <w:highlight w:val="none"/>
              </w:rPr>
            </w:pPr>
          </w:p>
        </w:tc>
        <w:tc>
          <w:tcPr>
            <w:tcW w:w="1252" w:type="dxa"/>
          </w:tcPr>
          <w:p w14:paraId="3CB56F55">
            <w:pPr>
              <w:rPr>
                <w:rFonts w:ascii="宋体" w:hAnsi="宋体" w:cs="宋体"/>
                <w:color w:val="auto"/>
                <w:szCs w:val="22"/>
                <w:highlight w:val="none"/>
              </w:rPr>
            </w:pPr>
          </w:p>
        </w:tc>
        <w:tc>
          <w:tcPr>
            <w:tcW w:w="1383" w:type="dxa"/>
            <w:vAlign w:val="center"/>
          </w:tcPr>
          <w:p w14:paraId="4669594B">
            <w:pPr>
              <w:jc w:val="left"/>
              <w:rPr>
                <w:rFonts w:ascii="宋体" w:hAnsi="宋体" w:cs="宋体"/>
                <w:color w:val="auto"/>
                <w:szCs w:val="22"/>
                <w:highlight w:val="none"/>
              </w:rPr>
            </w:pPr>
            <w:r>
              <w:rPr>
                <w:rFonts w:hint="eastAsia" w:ascii="宋体" w:hAnsi="宋体" w:cs="宋体"/>
                <w:color w:val="auto"/>
                <w:szCs w:val="22"/>
                <w:highlight w:val="none"/>
                <w:lang w:val="en-US" w:eastAsia="zh-CN"/>
              </w:rPr>
              <w:t>青秀区农村生活污水处理项目运维服务预算不超过600万元/年，1800万元/三年。</w:t>
            </w:r>
          </w:p>
        </w:tc>
      </w:tr>
      <w:tr w14:paraId="7D6F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0461" w:type="dxa"/>
            <w:gridSpan w:val="8"/>
          </w:tcPr>
          <w:p w14:paraId="3654CC74">
            <w:pPr>
              <w:jc w:val="left"/>
              <w:rPr>
                <w:rFonts w:ascii="宋体" w:hAnsi="宋体" w:cs="宋体"/>
                <w:color w:val="auto"/>
                <w:szCs w:val="21"/>
                <w:highlight w:val="none"/>
              </w:rPr>
            </w:pPr>
            <w:r>
              <w:rPr>
                <w:rFonts w:hint="eastAsia" w:ascii="宋体" w:hAnsi="宋体" w:cs="宋体"/>
                <w:color w:val="auto"/>
                <w:szCs w:val="21"/>
                <w:highlight w:val="none"/>
              </w:rPr>
              <w:t>报价合计（包含税费等所有费用）：（大写）人民币  （￥  元）</w:t>
            </w:r>
          </w:p>
        </w:tc>
      </w:tr>
      <w:tr w14:paraId="2F05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0461" w:type="dxa"/>
            <w:gridSpan w:val="8"/>
          </w:tcPr>
          <w:p w14:paraId="0D96F2FF">
            <w:pPr>
              <w:rPr>
                <w:rFonts w:ascii="宋体" w:hAnsi="宋体" w:cs="宋体"/>
                <w:color w:val="auto"/>
                <w:szCs w:val="21"/>
                <w:highlight w:val="none"/>
                <w:u w:val="singl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3036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trPr>
        <w:tc>
          <w:tcPr>
            <w:tcW w:w="10461" w:type="dxa"/>
            <w:gridSpan w:val="8"/>
          </w:tcPr>
          <w:p w14:paraId="06A99A78">
            <w:pPr>
              <w:rPr>
                <w:rFonts w:ascii="宋体" w:hAnsi="宋体" w:cs="宋体"/>
                <w:color w:val="auto"/>
                <w:szCs w:val="22"/>
                <w:highlight w:val="none"/>
              </w:rPr>
            </w:pPr>
            <w:r>
              <w:rPr>
                <w:rFonts w:hint="eastAsia" w:ascii="宋体" w:hAnsi="宋体" w:cs="宋体"/>
                <w:color w:val="auto"/>
                <w:szCs w:val="22"/>
                <w:highlight w:val="none"/>
              </w:rPr>
              <w:t>验收标准：</w:t>
            </w:r>
          </w:p>
        </w:tc>
      </w:tr>
      <w:tr w14:paraId="586C6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9" w:hRule="atLeast"/>
        </w:trPr>
        <w:tc>
          <w:tcPr>
            <w:tcW w:w="10461" w:type="dxa"/>
            <w:gridSpan w:val="8"/>
          </w:tcPr>
          <w:p w14:paraId="02939D5E">
            <w:pPr>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3D43C90E">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2A8312DD">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0437D877">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6B4819C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610C611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、特别提示：采购机构将对项目名称和项目编号，中标人名称、地址和中标金额，主要中标标的的名称、服务范围、服务要求、服务时间、服务标准等予以公示。</w:t>
      </w:r>
    </w:p>
    <w:p w14:paraId="655FFB6E">
      <w:pPr>
        <w:snapToGrid w:val="0"/>
        <w:spacing w:line="360" w:lineRule="auto"/>
        <w:ind w:firstLine="480" w:firstLineChars="200"/>
        <w:jc w:val="left"/>
        <w:rPr>
          <w:rFonts w:ascii="宋体" w:hAnsi="宋体" w:cs="宋体"/>
          <w:color w:val="auto"/>
          <w:kern w:val="0"/>
          <w:sz w:val="24"/>
          <w:szCs w:val="22"/>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91BC0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67A43538">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957C065">
      <w:pPr>
        <w:widowControl/>
        <w:jc w:val="left"/>
        <w:rPr>
          <w:rFonts w:ascii="宋体" w:hAnsi="宋体" w:cs="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5F357DEE">
      <w:pPr>
        <w:pStyle w:val="7"/>
        <w:spacing w:line="500" w:lineRule="exact"/>
        <w:ind w:firstLine="602" w:firstLineChars="200"/>
        <w:rPr>
          <w:rFonts w:hAnsi="宋体" w:cs="宋体"/>
          <w:b/>
          <w:color w:val="auto"/>
          <w:sz w:val="30"/>
          <w:szCs w:val="30"/>
          <w:highlight w:val="none"/>
        </w:rPr>
      </w:pPr>
      <w:r>
        <w:rPr>
          <w:rFonts w:hint="eastAsia" w:hAnsi="宋体" w:cs="宋体"/>
          <w:b/>
          <w:color w:val="auto"/>
          <w:sz w:val="30"/>
          <w:szCs w:val="30"/>
          <w:highlight w:val="none"/>
        </w:rPr>
        <w:t>三、投标人针对报价需要说明的其他文件和说明</w:t>
      </w:r>
    </w:p>
    <w:p w14:paraId="551F6F27">
      <w:pPr>
        <w:spacing w:line="300" w:lineRule="auto"/>
        <w:ind w:firstLine="1506" w:firstLineChars="500"/>
        <w:rPr>
          <w:rFonts w:ascii="宋体" w:hAnsi="宋体" w:cs="宋体"/>
          <w:b/>
          <w:color w:val="auto"/>
          <w:sz w:val="30"/>
          <w:szCs w:val="30"/>
          <w:highlight w:val="none"/>
        </w:rPr>
      </w:pPr>
    </w:p>
    <w:p w14:paraId="113B3400">
      <w:pPr>
        <w:snapToGrid w:val="0"/>
        <w:spacing w:line="360" w:lineRule="auto"/>
        <w:ind w:firstLine="5040" w:firstLineChars="2100"/>
        <w:rPr>
          <w:rFonts w:ascii="宋体" w:hAnsi="宋体" w:cs="宋体"/>
          <w:color w:val="auto"/>
          <w:kern w:val="0"/>
          <w:sz w:val="24"/>
          <w:highlight w:val="none"/>
          <w:lang w:val="zh-CN"/>
        </w:rPr>
      </w:pPr>
      <w:bookmarkStart w:id="322" w:name="_Toc19686840"/>
      <w:bookmarkStart w:id="323" w:name="_Toc80093016"/>
    </w:p>
    <w:p w14:paraId="6BE3D4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投标人名称（电子签章）：</w:t>
      </w:r>
    </w:p>
    <w:p w14:paraId="29D5EC69">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F97141">
      <w:pPr>
        <w:snapToGrid w:val="0"/>
        <w:spacing w:before="165" w:after="50"/>
        <w:jc w:val="center"/>
        <w:outlineLvl w:val="1"/>
        <w:rPr>
          <w:rFonts w:ascii="宋体" w:hAnsi="宋体" w:cs="宋体"/>
          <w:b/>
          <w:bCs/>
          <w:color w:val="auto"/>
          <w:sz w:val="28"/>
          <w:szCs w:val="28"/>
          <w:highlight w:val="none"/>
        </w:rPr>
        <w:sectPr>
          <w:pgSz w:w="11906" w:h="16838"/>
          <w:pgMar w:top="1440" w:right="1080" w:bottom="1440" w:left="1080" w:header="720" w:footer="720" w:gutter="0"/>
          <w:pgNumType w:fmt="decimal"/>
          <w:cols w:space="720" w:num="1"/>
          <w:docGrid w:type="lines" w:linePitch="331" w:charSpace="0"/>
        </w:sectPr>
      </w:pPr>
    </w:p>
    <w:bookmarkEnd w:id="322"/>
    <w:bookmarkEnd w:id="323"/>
    <w:p w14:paraId="0F7FF418">
      <w:pPr>
        <w:snapToGrid w:val="0"/>
        <w:spacing w:before="165" w:after="50"/>
        <w:jc w:val="center"/>
        <w:outlineLvl w:val="1"/>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p>
    <w:p w14:paraId="1CC11206">
      <w:pPr>
        <w:jc w:val="center"/>
        <w:rPr>
          <w:rFonts w:ascii="宋体" w:hAnsi="宋体" w:cs="宋体"/>
          <w:b/>
          <w:color w:val="auto"/>
          <w:sz w:val="32"/>
          <w:szCs w:val="32"/>
          <w:highlight w:val="none"/>
        </w:rPr>
      </w:pPr>
    </w:p>
    <w:p w14:paraId="786AF84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知识产权合规性声明</w:t>
      </w:r>
    </w:p>
    <w:p w14:paraId="14286FB0">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231615B6">
      <w:pPr>
        <w:rPr>
          <w:rFonts w:ascii="宋体" w:hAnsi="宋体" w:cs="宋体"/>
          <w:color w:val="auto"/>
          <w:sz w:val="30"/>
          <w:szCs w:val="30"/>
          <w:highlight w:val="none"/>
        </w:rPr>
      </w:pPr>
      <w:r>
        <w:rPr>
          <w:rFonts w:hint="eastAsia" w:ascii="宋体" w:hAnsi="宋体" w:cs="宋体"/>
          <w:color w:val="auto"/>
          <w:sz w:val="30"/>
          <w:szCs w:val="30"/>
          <w:highlight w:val="none"/>
        </w:rPr>
        <w:t xml:space="preserve">    本企业自愿参与政府投资政府采购的</w:t>
      </w:r>
      <w:r>
        <w:rPr>
          <w:rFonts w:hint="eastAsia" w:ascii="宋体" w:hAnsi="宋体" w:cs="宋体"/>
          <w:color w:val="auto"/>
          <w:sz w:val="30"/>
          <w:szCs w:val="30"/>
          <w:highlight w:val="none"/>
          <w:u w:val="single"/>
        </w:rPr>
        <w:t xml:space="preserve">    项目名称    </w:t>
      </w:r>
      <w:r>
        <w:rPr>
          <w:rFonts w:hint="eastAsia" w:ascii="宋体" w:hAnsi="宋体" w:cs="宋体"/>
          <w:color w:val="auto"/>
          <w:sz w:val="30"/>
          <w:szCs w:val="30"/>
          <w:highlight w:val="none"/>
        </w:rPr>
        <w:t>项目，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03859353">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925ED2B">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1AE545F4">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5B539725">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39859941">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128FF6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2452F1F">
      <w:pPr>
        <w:spacing w:line="360" w:lineRule="auto"/>
        <w:ind w:right="420" w:firstLine="480" w:firstLineChars="200"/>
        <w:rPr>
          <w:rFonts w:ascii="宋体" w:hAnsi="宋体" w:cs="宋体"/>
          <w:color w:val="auto"/>
          <w:sz w:val="24"/>
          <w:highlight w:val="none"/>
        </w:rPr>
      </w:pPr>
    </w:p>
    <w:p w14:paraId="46DF11D0">
      <w:pPr>
        <w:snapToGrid w:val="0"/>
        <w:spacing w:before="50" w:after="165"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1944E958">
      <w:pPr>
        <w:snapToGrid w:val="0"/>
        <w:spacing w:before="50" w:after="165" w:line="360" w:lineRule="auto"/>
        <w:jc w:val="left"/>
        <w:rPr>
          <w:rFonts w:ascii="宋体" w:hAnsi="宋体" w:cs="宋体"/>
          <w:color w:val="auto"/>
          <w:sz w:val="20"/>
          <w:highlight w:val="none"/>
        </w:rPr>
      </w:pPr>
    </w:p>
    <w:p w14:paraId="63E2379E">
      <w:pPr>
        <w:pStyle w:val="7"/>
        <w:tabs>
          <w:tab w:val="left" w:pos="2472"/>
        </w:tabs>
        <w:spacing w:line="460" w:lineRule="exact"/>
        <w:jc w:val="center"/>
        <w:rPr>
          <w:rFonts w:hAnsi="宋体" w:cs="宋体"/>
          <w:b/>
          <w:color w:val="auto"/>
          <w:sz w:val="36"/>
          <w:highlight w:val="none"/>
        </w:rPr>
      </w:pPr>
    </w:p>
    <w:p w14:paraId="1F347F85">
      <w:pPr>
        <w:pStyle w:val="7"/>
        <w:tabs>
          <w:tab w:val="left" w:pos="2472"/>
        </w:tabs>
        <w:spacing w:line="460" w:lineRule="exact"/>
        <w:jc w:val="center"/>
        <w:rPr>
          <w:rFonts w:hAnsi="宋体" w:cs="宋体"/>
          <w:b/>
          <w:color w:val="auto"/>
          <w:sz w:val="36"/>
          <w:highlight w:val="none"/>
        </w:rPr>
      </w:pPr>
    </w:p>
    <w:p w14:paraId="1BD7492A">
      <w:pPr>
        <w:pStyle w:val="7"/>
        <w:tabs>
          <w:tab w:val="left" w:pos="2472"/>
        </w:tabs>
        <w:spacing w:line="460" w:lineRule="exact"/>
        <w:jc w:val="center"/>
        <w:rPr>
          <w:rFonts w:hAnsi="宋体" w:cs="宋体"/>
          <w:b/>
          <w:color w:val="auto"/>
          <w:sz w:val="36"/>
          <w:highlight w:val="none"/>
        </w:rPr>
      </w:pPr>
    </w:p>
    <w:p w14:paraId="042B7D35">
      <w:pPr>
        <w:pStyle w:val="7"/>
        <w:tabs>
          <w:tab w:val="left" w:pos="2472"/>
        </w:tabs>
        <w:spacing w:line="460" w:lineRule="exact"/>
        <w:jc w:val="center"/>
        <w:rPr>
          <w:rFonts w:hAnsi="宋体" w:cs="宋体"/>
          <w:b/>
          <w:color w:val="auto"/>
          <w:sz w:val="36"/>
          <w:highlight w:val="none"/>
        </w:rPr>
      </w:pPr>
    </w:p>
    <w:p w14:paraId="4DD49124">
      <w:pPr>
        <w:pStyle w:val="7"/>
        <w:tabs>
          <w:tab w:val="left" w:pos="2472"/>
        </w:tabs>
        <w:spacing w:line="460" w:lineRule="exact"/>
        <w:jc w:val="center"/>
        <w:rPr>
          <w:rFonts w:hAnsi="宋体" w:cs="宋体"/>
          <w:b/>
          <w:color w:val="auto"/>
          <w:sz w:val="36"/>
          <w:highlight w:val="none"/>
        </w:rPr>
      </w:pPr>
    </w:p>
    <w:p w14:paraId="546B720E">
      <w:pPr>
        <w:pStyle w:val="7"/>
        <w:tabs>
          <w:tab w:val="left" w:pos="2472"/>
        </w:tabs>
        <w:spacing w:line="460" w:lineRule="exact"/>
        <w:jc w:val="center"/>
        <w:rPr>
          <w:rFonts w:hAnsi="宋体" w:cs="宋体"/>
          <w:b/>
          <w:color w:val="auto"/>
          <w:sz w:val="36"/>
          <w:highlight w:val="none"/>
        </w:rPr>
      </w:pPr>
    </w:p>
    <w:p w14:paraId="75A6E48C">
      <w:pPr>
        <w:pStyle w:val="7"/>
        <w:tabs>
          <w:tab w:val="left" w:pos="2472"/>
        </w:tabs>
        <w:spacing w:line="460" w:lineRule="exact"/>
        <w:jc w:val="center"/>
        <w:rPr>
          <w:rFonts w:hAnsi="宋体" w:cs="宋体"/>
          <w:b/>
          <w:color w:val="auto"/>
          <w:sz w:val="36"/>
          <w:highlight w:val="none"/>
        </w:rPr>
      </w:pPr>
    </w:p>
    <w:p w14:paraId="5CC99367">
      <w:pPr>
        <w:pStyle w:val="7"/>
        <w:tabs>
          <w:tab w:val="left" w:pos="2472"/>
        </w:tabs>
        <w:spacing w:line="460" w:lineRule="exact"/>
        <w:jc w:val="center"/>
        <w:rPr>
          <w:rFonts w:hAnsi="宋体" w:cs="宋体"/>
          <w:b/>
          <w:color w:val="auto"/>
          <w:sz w:val="36"/>
          <w:highlight w:val="none"/>
        </w:rPr>
      </w:pPr>
    </w:p>
    <w:p w14:paraId="387F3E50">
      <w:pPr>
        <w:pStyle w:val="7"/>
        <w:tabs>
          <w:tab w:val="left" w:pos="2472"/>
        </w:tabs>
        <w:spacing w:line="460" w:lineRule="exact"/>
        <w:jc w:val="center"/>
        <w:rPr>
          <w:rFonts w:hAnsi="宋体" w:cs="宋体"/>
          <w:b/>
          <w:color w:val="auto"/>
          <w:sz w:val="36"/>
          <w:highlight w:val="none"/>
        </w:rPr>
      </w:pPr>
    </w:p>
    <w:p w14:paraId="431802D9">
      <w:pPr>
        <w:pStyle w:val="7"/>
        <w:tabs>
          <w:tab w:val="left" w:pos="2472"/>
        </w:tabs>
        <w:spacing w:line="460" w:lineRule="exact"/>
        <w:jc w:val="center"/>
        <w:rPr>
          <w:rFonts w:hAnsi="宋体" w:cs="宋体"/>
          <w:b/>
          <w:color w:val="auto"/>
          <w:sz w:val="36"/>
          <w:highlight w:val="none"/>
        </w:rPr>
      </w:pPr>
    </w:p>
    <w:p w14:paraId="2788A792">
      <w:pPr>
        <w:pStyle w:val="7"/>
        <w:tabs>
          <w:tab w:val="left" w:pos="2472"/>
        </w:tabs>
        <w:spacing w:line="460" w:lineRule="exact"/>
        <w:jc w:val="center"/>
        <w:rPr>
          <w:rFonts w:hAnsi="宋体" w:cs="宋体"/>
          <w:b/>
          <w:color w:val="auto"/>
          <w:sz w:val="36"/>
          <w:highlight w:val="none"/>
        </w:rPr>
      </w:pPr>
    </w:p>
    <w:p w14:paraId="6FC93CBF">
      <w:pPr>
        <w:pStyle w:val="7"/>
        <w:tabs>
          <w:tab w:val="left" w:pos="2472"/>
        </w:tabs>
        <w:spacing w:line="460" w:lineRule="exact"/>
        <w:jc w:val="center"/>
        <w:outlineLvl w:val="0"/>
        <w:rPr>
          <w:rFonts w:hAnsi="宋体" w:cs="宋体"/>
          <w:b/>
          <w:color w:val="auto"/>
          <w:sz w:val="36"/>
          <w:highlight w:val="none"/>
        </w:rPr>
      </w:pPr>
      <w:bookmarkStart w:id="324" w:name="_Toc80093017"/>
      <w:bookmarkEnd w:id="324"/>
      <w:r>
        <w:rPr>
          <w:rFonts w:hint="eastAsia" w:hAnsi="宋体" w:cs="宋体"/>
          <w:b/>
          <w:color w:val="auto"/>
          <w:sz w:val="36"/>
          <w:highlight w:val="none"/>
        </w:rPr>
        <w:t>第七章 质疑、投诉证明材料格式</w:t>
      </w:r>
    </w:p>
    <w:p w14:paraId="31161669">
      <w:pPr>
        <w:snapToGrid w:val="0"/>
        <w:spacing w:before="50" w:after="165" w:line="360" w:lineRule="auto"/>
        <w:ind w:firstLine="300" w:firstLineChars="150"/>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509BE21D">
      <w:pPr>
        <w:widowControl/>
        <w:shd w:val="clear" w:color="auto" w:fill="FFFFFF"/>
        <w:spacing w:line="260" w:lineRule="exact"/>
        <w:jc w:val="left"/>
        <w:rPr>
          <w:rFonts w:ascii="宋体" w:hAnsi="宋体" w:cs="宋体"/>
          <w:b/>
          <w:bCs/>
          <w:color w:val="auto"/>
          <w:sz w:val="28"/>
          <w:szCs w:val="28"/>
          <w:highlight w:val="none"/>
        </w:rPr>
      </w:pPr>
    </w:p>
    <w:p w14:paraId="532D8264">
      <w:pPr>
        <w:pStyle w:val="19"/>
        <w:jc w:val="center"/>
        <w:rPr>
          <w:rFonts w:ascii="宋体" w:hAnsi="宋体" w:eastAsia="宋体" w:cs="宋体"/>
          <w:b w:val="0"/>
          <w:bCs w:val="0"/>
          <w:color w:val="auto"/>
          <w:highlight w:val="none"/>
        </w:rPr>
      </w:pPr>
      <w:bookmarkStart w:id="325" w:name="_Toc80093018"/>
      <w:bookmarkEnd w:id="325"/>
      <w:r>
        <w:rPr>
          <w:rFonts w:hint="eastAsia" w:ascii="宋体" w:hAnsi="宋体" w:eastAsia="宋体" w:cs="宋体"/>
          <w:b w:val="0"/>
          <w:bCs w:val="0"/>
          <w:color w:val="auto"/>
          <w:highlight w:val="none"/>
        </w:rPr>
        <w:t>第一节 质疑函（格式）</w:t>
      </w:r>
    </w:p>
    <w:p w14:paraId="24D61B66">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1DE9D004">
      <w:pPr>
        <w:snapToGrid w:val="0"/>
        <w:spacing w:before="331"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05451EB9">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72EB9659">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4E9E9DBC">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6C4B021">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6CEF44FC">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14FD397">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307DE59E">
      <w:pPr>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53574CA9">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3AFD5E1E">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180A5102">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64513D52">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282C52AB">
      <w:pPr>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3DCF5680">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34E64553">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604AE979">
      <w:pPr>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02F14A9A">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4096F029">
      <w:pPr>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188190E7">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质疑事项2</w:t>
      </w:r>
    </w:p>
    <w:p w14:paraId="0E1BDEE0">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6C5C47FA">
      <w:pPr>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602AA08">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52A96ABC">
      <w:pP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14EFC79C">
      <w:pPr>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0A39D736">
      <w:pPr>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754A73FF">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7532229B">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22C999AE">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34477DEB">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09CC1848">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1AC19B40">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360FD7B2">
      <w:pPr>
        <w:widowControl/>
        <w:ind w:firstLine="600" w:firstLineChars="200"/>
        <w:jc w:val="left"/>
        <w:rPr>
          <w:rFonts w:ascii="宋体" w:hAnsi="宋体" w:cs="宋体"/>
          <w:color w:val="auto"/>
          <w:sz w:val="30"/>
          <w:szCs w:val="30"/>
          <w:highlight w:val="none"/>
        </w:rPr>
      </w:pPr>
    </w:p>
    <w:p w14:paraId="3EEE5B0F">
      <w:pPr>
        <w:snapToGrid w:val="0"/>
        <w:spacing w:before="50" w:after="165" w:line="360" w:lineRule="auto"/>
        <w:ind w:firstLine="480" w:firstLineChars="200"/>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00C76D04">
      <w:pPr>
        <w:pStyle w:val="19"/>
        <w:jc w:val="center"/>
        <w:rPr>
          <w:rFonts w:ascii="宋体" w:hAnsi="宋体" w:eastAsia="宋体" w:cs="宋体"/>
          <w:b w:val="0"/>
          <w:bCs w:val="0"/>
          <w:color w:val="auto"/>
          <w:highlight w:val="none"/>
        </w:rPr>
      </w:pPr>
      <w:bookmarkStart w:id="326" w:name="_Toc80093019"/>
      <w:bookmarkEnd w:id="326"/>
      <w:r>
        <w:rPr>
          <w:rFonts w:hint="eastAsia" w:ascii="宋体" w:hAnsi="宋体" w:eastAsia="宋体" w:cs="宋体"/>
          <w:b w:val="0"/>
          <w:bCs w:val="0"/>
          <w:color w:val="auto"/>
          <w:highlight w:val="none"/>
        </w:rPr>
        <w:t>第二节 投诉书（格式）</w:t>
      </w:r>
    </w:p>
    <w:p w14:paraId="07801834">
      <w:pPr>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528B74DA">
      <w:pPr>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6CD9CA7">
      <w:pPr>
        <w:rPr>
          <w:rFonts w:ascii="宋体" w:hAnsi="宋体" w:cs="宋体"/>
          <w:color w:val="auto"/>
          <w:sz w:val="32"/>
          <w:szCs w:val="32"/>
          <w:highlight w:val="none"/>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3B448D12">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DF740D7">
      <w:pPr>
        <w:tabs>
          <w:tab w:val="left" w:pos="6510"/>
        </w:tabs>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F7FA192">
      <w:pPr>
        <w:tabs>
          <w:tab w:val="left" w:pos="6510"/>
        </w:tabs>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677AF695">
      <w:pPr>
        <w:rPr>
          <w:rFonts w:ascii="宋体" w:hAnsi="宋体" w:cs="宋体"/>
          <w:color w:val="auto"/>
          <w:sz w:val="32"/>
          <w:szCs w:val="32"/>
          <w:highlight w:val="none"/>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6200A55">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700E7BE5">
      <w:pPr>
        <w:rPr>
          <w:rFonts w:ascii="宋体" w:hAnsi="宋体" w:cs="宋体"/>
          <w:color w:val="auto"/>
          <w:sz w:val="32"/>
          <w:szCs w:val="32"/>
          <w:highlight w:val="non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5F3502B">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4C255DB">
      <w:pPr>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994F7C5">
      <w:pPr>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68C375B3">
      <w:pPr>
        <w:rPr>
          <w:rFonts w:ascii="宋体" w:hAnsi="宋体" w:cs="宋体"/>
          <w:color w:val="auto"/>
          <w:sz w:val="32"/>
          <w:szCs w:val="32"/>
          <w:highlight w:val="none"/>
        </w:rPr>
      </w:pPr>
      <w:r>
        <w:rPr>
          <w:rFonts w:hint="eastAsia" w:ascii="宋体" w:hAnsi="宋体" w:cs="宋体"/>
          <w:color w:val="auto"/>
          <w:sz w:val="32"/>
          <w:szCs w:val="32"/>
          <w:highlight w:val="none"/>
        </w:rPr>
        <w:t>……</w:t>
      </w:r>
    </w:p>
    <w:p w14:paraId="58E7FC3C">
      <w:pPr>
        <w:rPr>
          <w:rFonts w:ascii="宋体" w:hAnsi="宋体" w:cs="宋体"/>
          <w:color w:val="auto"/>
          <w:sz w:val="32"/>
          <w:szCs w:val="32"/>
          <w:highlight w:val="non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E1F99A0">
      <w:pPr>
        <w:rPr>
          <w:rFonts w:ascii="宋体" w:hAnsi="宋体" w:cs="宋体"/>
          <w:color w:val="auto"/>
          <w:sz w:val="32"/>
          <w:szCs w:val="32"/>
          <w:highlight w:val="non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23A70AA">
      <w:pPr>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7358A0D">
      <w:pPr>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5EA0DE3B">
      <w:pPr>
        <w:rPr>
          <w:rFonts w:ascii="宋体" w:hAnsi="宋体" w:cs="宋体"/>
          <w:color w:val="auto"/>
          <w:sz w:val="32"/>
          <w:szCs w:val="32"/>
          <w:highlight w:val="none"/>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0F6D710B">
      <w:pPr>
        <w:rPr>
          <w:rFonts w:ascii="宋体" w:hAnsi="宋体" w:cs="宋体"/>
          <w:color w:val="auto"/>
          <w:sz w:val="32"/>
          <w:szCs w:val="32"/>
          <w:highlight w:val="non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024FF5CA">
      <w:pPr>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AFF6882">
      <w:pPr>
        <w:rPr>
          <w:rFonts w:ascii="宋体" w:hAnsi="宋体" w:cs="宋体"/>
          <w:color w:val="auto"/>
          <w:sz w:val="32"/>
          <w:szCs w:val="32"/>
          <w:highlight w:val="non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43980161">
      <w:pPr>
        <w:rPr>
          <w:rFonts w:ascii="宋体" w:hAnsi="宋体" w:cs="宋体"/>
          <w:color w:val="auto"/>
          <w:sz w:val="32"/>
          <w:szCs w:val="32"/>
          <w:highlight w:val="none"/>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77B1F730">
      <w:pPr>
        <w:rPr>
          <w:rFonts w:ascii="宋体" w:hAnsi="宋体" w:cs="宋体"/>
          <w:color w:val="auto"/>
          <w:sz w:val="32"/>
          <w:szCs w:val="32"/>
          <w:highlight w:val="non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7C574B5F">
      <w:pPr>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78837AC8">
      <w:pP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08B99041">
      <w:pPr>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26A10B7">
      <w:pPr>
        <w:ind w:firstLine="480" w:firstLineChars="150"/>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01E004B2">
      <w:pPr>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37B7E84">
      <w:pPr>
        <w:rPr>
          <w:rFonts w:ascii="宋体" w:hAnsi="宋体" w:cs="宋体"/>
          <w:color w:val="auto"/>
          <w:sz w:val="32"/>
          <w:szCs w:val="32"/>
          <w:highlight w:val="non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6D3F9E04">
      <w:pPr>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14E52FAC">
      <w:pPr>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619BD82C">
      <w:pPr>
        <w:rPr>
          <w:rFonts w:ascii="宋体" w:hAnsi="宋体" w:cs="宋体"/>
          <w:color w:val="auto"/>
          <w:sz w:val="32"/>
          <w:szCs w:val="32"/>
          <w:highlight w:val="non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41D570E2">
      <w:pPr>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1081C16">
      <w:pPr>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12DA38D7">
      <w:pPr>
        <w:rPr>
          <w:rFonts w:ascii="宋体" w:hAnsi="宋体" w:cs="宋体"/>
          <w:color w:val="auto"/>
          <w:sz w:val="32"/>
          <w:szCs w:val="32"/>
          <w:highlight w:val="none"/>
        </w:rPr>
      </w:pPr>
      <w:r>
        <w:rPr>
          <w:rFonts w:hint="eastAsia" w:ascii="宋体" w:hAnsi="宋体" w:cs="宋体"/>
          <w:color w:val="auto"/>
          <w:sz w:val="32"/>
          <w:szCs w:val="32"/>
          <w:highlight w:val="none"/>
        </w:rPr>
        <w:t>……</w:t>
      </w:r>
    </w:p>
    <w:p w14:paraId="19939546">
      <w:pPr>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28B89DD1">
      <w:pPr>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3396799">
      <w:pPr>
        <w:rPr>
          <w:rFonts w:ascii="宋体" w:hAnsi="宋体" w:cs="宋体"/>
          <w:color w:val="auto"/>
          <w:sz w:val="32"/>
          <w:szCs w:val="32"/>
          <w:highlight w:val="none"/>
        </w:rPr>
      </w:pPr>
      <w:r>
        <w:rPr>
          <w:rFonts w:hint="eastAsia" w:ascii="宋体" w:hAnsi="宋体" w:cs="宋体"/>
          <w:color w:val="auto"/>
          <w:sz w:val="32"/>
          <w:szCs w:val="32"/>
          <w:highlight w:val="none"/>
        </w:rPr>
        <w:t xml:space="preserve">                                                                                                    </w:t>
      </w:r>
    </w:p>
    <w:p w14:paraId="377C5AC0">
      <w:pPr>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13B85001">
      <w:pPr>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70DF05A8">
      <w:pPr>
        <w:rPr>
          <w:rFonts w:ascii="宋体" w:hAnsi="宋体" w:cs="宋体"/>
          <w:b/>
          <w:color w:val="auto"/>
          <w:sz w:val="32"/>
          <w:szCs w:val="32"/>
          <w:highlight w:val="none"/>
        </w:rPr>
      </w:pPr>
    </w:p>
    <w:p w14:paraId="4A1F37B2">
      <w:pPr>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1523DFC4">
      <w:pPr>
        <w:widowControl/>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5255FBD7">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8F5ED1A">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4F375603">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50E22493">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23040E4">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5F1F4B94">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1CED7896">
      <w:pPr>
        <w:snapToGrid w:val="0"/>
        <w:spacing w:before="50" w:after="165" w:line="360" w:lineRule="auto"/>
        <w:ind w:firstLine="480" w:firstLineChars="200"/>
        <w:jc w:val="left"/>
        <w:rPr>
          <w:rFonts w:ascii="宋体" w:hAnsi="宋体" w:cs="宋体"/>
          <w:color w:val="auto"/>
          <w:sz w:val="24"/>
          <w:highlight w:val="none"/>
        </w:rPr>
      </w:pPr>
    </w:p>
    <w:p w14:paraId="5BCBBAAD"/>
    <w:sectPr>
      <w:footerReference r:id="rId23" w:type="first"/>
      <w:headerReference r:id="rId20" w:type="default"/>
      <w:footerReference r:id="rId21" w:type="default"/>
      <w:footerReference r:id="rId22"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F7367">
    <w:pPr>
      <w:pStyle w:val="18"/>
      <w:tabs>
        <w:tab w:val="clear" w:pos="4153"/>
        <w:tab w:val="clear" w:pos="8306"/>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13D65">
    <w:pPr>
      <w:pStyle w:val="18"/>
      <w:tabs>
        <w:tab w:val="clear" w:pos="4153"/>
        <w:tab w:val="clear" w:pos="8306"/>
      </w:tabs>
      <w:rPr>
        <w:rFonts w:hint="default"/>
        <w:lang w:val="en-US"/>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51FF65E">
                          <w:pPr>
                            <w:pStyle w:val="18"/>
                            <w:tabs>
                              <w:tab w:val="clear" w:pos="4153"/>
                              <w:tab w:val="clear" w:pos="8306"/>
                            </w:tabs>
                            <w:ind w:firstLine="1260" w:firstLineChars="700"/>
                          </w:pPr>
                          <w:r>
                            <w:fldChar w:fldCharType="begin"/>
                          </w:r>
                          <w:r>
                            <w:instrText xml:space="preserve"> PAGE  \* MERGEFORMAT </w:instrText>
                          </w:r>
                          <w:r>
                            <w:fldChar w:fldCharType="separate"/>
                          </w:r>
                          <w:r>
                            <w:t>99</w:t>
                          </w:r>
                          <w:r>
                            <w:fldChar w:fldCharType="end"/>
                          </w:r>
                        </w:p>
                        <w:p w14:paraId="0E779A7D"/>
                      </w:txbxContent>
                    </wps:txbx>
                    <wps:bodyPr rot="0" vert="horz" wrap="square" lIns="0" tIns="0" rIns="0" bIns="0" anchor="t" anchorCtr="0"/>
                  </wps:wsp>
                </a:graphicData>
              </a:graphic>
            </wp:anchor>
          </w:drawing>
        </mc:Choice>
        <mc:Fallback>
          <w:pict>
            <v:rect id="_x0000_s2054" o:spid="_x0000_s1026" o:spt="1"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KzFDF&#10;sAEAAHYDAAAOAAAAAAAAAAEAIAAAACIBAABkcnMvZTJvRG9jLnhtbFBLBQYAAAAABgAGAFkBAABE&#10;BQAAAAA=&#10;">
              <v:fill on="f" focussize="0,0"/>
              <v:stroke on="f"/>
              <v:imagedata o:title=""/>
              <o:lock v:ext="edit" aspectratio="f"/>
              <v:textbox inset="0mm,0mm,0mm,0mm">
                <w:txbxContent>
                  <w:p w14:paraId="451FF65E">
                    <w:pPr>
                      <w:pStyle w:val="18"/>
                      <w:tabs>
                        <w:tab w:val="clear" w:pos="4153"/>
                        <w:tab w:val="clear" w:pos="8306"/>
                      </w:tabs>
                      <w:ind w:firstLine="1260" w:firstLineChars="700"/>
                    </w:pPr>
                    <w:r>
                      <w:fldChar w:fldCharType="begin"/>
                    </w:r>
                    <w:r>
                      <w:instrText xml:space="preserve"> PAGE  \* MERGEFORMAT </w:instrText>
                    </w:r>
                    <w:r>
                      <w:fldChar w:fldCharType="separate"/>
                    </w:r>
                    <w:r>
                      <w:t>99</w:t>
                    </w:r>
                    <w:r>
                      <w:fldChar w:fldCharType="end"/>
                    </w:r>
                  </w:p>
                  <w:p w14:paraId="0E779A7D"/>
                </w:txbxContent>
              </v:textbox>
            </v:rect>
          </w:pict>
        </mc:Fallback>
      </mc:AlternateContent>
    </w:r>
    <w:r>
      <w:rPr>
        <w:rFonts w:hint="eastAsia"/>
        <w:lang w:val="en-US"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CDA2">
    <w:pPr>
      <w:pStyle w:val="18"/>
      <w:framePr w:wrap="around" w:vAnchor="text" w:hAnchor="margin" w:xAlign="center" w:y="1"/>
      <w:tabs>
        <w:tab w:val="clear" w:pos="4153"/>
        <w:tab w:val="clear" w:pos="8306"/>
      </w:tabs>
    </w:pPr>
    <w:r>
      <w:fldChar w:fldCharType="begin"/>
    </w:r>
    <w:r>
      <w:rPr>
        <w:rStyle w:val="29"/>
      </w:rPr>
      <w:instrText xml:space="preserve">PAGE  </w:instrText>
    </w:r>
    <w:r>
      <w:fldChar w:fldCharType="end"/>
    </w:r>
  </w:p>
  <w:p w14:paraId="483495EC">
    <w:pPr>
      <w:pStyle w:val="18"/>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7208">
    <w:pPr>
      <w:pStyle w:val="18"/>
      <w:framePr w:wrap="around" w:vAnchor="text" w:hAnchor="margin" w:xAlign="right" w:y="1"/>
      <w:tabs>
        <w:tab w:val="clear" w:pos="4153"/>
        <w:tab w:val="clear" w:pos="8306"/>
      </w:tabs>
    </w:pPr>
    <w:r>
      <w:fldChar w:fldCharType="begin"/>
    </w:r>
    <w:r>
      <w:rPr>
        <w:rStyle w:val="29"/>
      </w:rPr>
      <w:instrText xml:space="preserve">PAGE  </w:instrText>
    </w:r>
    <w:r>
      <w:fldChar w:fldCharType="separate"/>
    </w:r>
    <w:r>
      <w:rPr>
        <w:rStyle w:val="29"/>
      </w:rPr>
      <w:t>122</w:t>
    </w:r>
    <w:r>
      <w:fldChar w:fldCharType="end"/>
    </w:r>
  </w:p>
  <w:p w14:paraId="7F11AE83">
    <w:pPr>
      <w:pStyle w:val="18"/>
      <w:tabs>
        <w:tab w:val="clear" w:pos="4153"/>
        <w:tab w:val="clear" w:pos="8306"/>
      </w:tabs>
      <w:ind w:right="360"/>
      <w:jc w:val="both"/>
    </w:pPr>
    <w:r>
      <w:rPr>
        <w:rFonts w:hint="eastAsia"/>
      </w:rPr>
      <w:t>121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8ADF">
    <w:pPr>
      <w:pStyle w:val="18"/>
      <w:tabs>
        <w:tab w:val="clear" w:pos="4153"/>
        <w:tab w:val="clear" w:pos="8306"/>
      </w:tabs>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A1F98">
                          <w:pPr>
                            <w:pStyle w:val="18"/>
                            <w:tabs>
                              <w:tab w:val="clear" w:pos="4153"/>
                              <w:tab w:val="clear" w:pos="8306"/>
                            </w:tabs>
                            <w:jc w:val="center"/>
                          </w:pPr>
                          <w:r>
                            <w:fldChar w:fldCharType="begin"/>
                          </w:r>
                          <w:r>
                            <w:instrText xml:space="preserve"> PAGE   \* MERGEFORMAT </w:instrText>
                          </w:r>
                          <w:r>
                            <w:fldChar w:fldCharType="separate"/>
                          </w:r>
                          <w:r>
                            <w:rPr>
                              <w:lang w:val="zh-CN"/>
                            </w:rP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6A1F98">
                    <w:pPr>
                      <w:pStyle w:val="18"/>
                      <w:tabs>
                        <w:tab w:val="clear" w:pos="4153"/>
                        <w:tab w:val="clear" w:pos="8306"/>
                      </w:tabs>
                      <w:jc w:val="center"/>
                    </w:pPr>
                    <w:r>
                      <w:fldChar w:fldCharType="begin"/>
                    </w:r>
                    <w:r>
                      <w:instrText xml:space="preserve"> PAGE   \* MERGEFORMAT </w:instrText>
                    </w:r>
                    <w:r>
                      <w:fldChar w:fldCharType="separate"/>
                    </w:r>
                    <w:r>
                      <w:rPr>
                        <w:lang w:val="zh-CN"/>
                      </w:rPr>
                      <w:t>102</w:t>
                    </w:r>
                    <w:r>
                      <w:fldChar w:fldCharType="end"/>
                    </w:r>
                  </w:p>
                </w:txbxContent>
              </v:textbox>
            </v:shape>
          </w:pict>
        </mc:Fallback>
      </mc:AlternateContent>
    </w:r>
  </w:p>
  <w:p w14:paraId="3CE56FF5">
    <w:pPr>
      <w:pStyle w:val="18"/>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A732">
    <w:pPr>
      <w:pStyle w:val="18"/>
      <w:framePr w:wrap="around" w:vAnchor="text" w:hAnchor="margin" w:xAlign="center" w:y="1"/>
      <w:tabs>
        <w:tab w:val="clear" w:pos="4153"/>
        <w:tab w:val="clear" w:pos="8306"/>
      </w:tabs>
    </w:pPr>
    <w:r>
      <w:fldChar w:fldCharType="begin"/>
    </w:r>
    <w:r>
      <w:rPr>
        <w:rStyle w:val="29"/>
      </w:rPr>
      <w:instrText xml:space="preserve">PAGE  </w:instrText>
    </w:r>
    <w:r>
      <w:fldChar w:fldCharType="end"/>
    </w:r>
  </w:p>
  <w:p w14:paraId="291C0F6A">
    <w:pPr>
      <w:pStyle w:val="18"/>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246D">
    <w:pPr>
      <w:pStyle w:val="18"/>
      <w:framePr w:wrap="around" w:vAnchor="text" w:hAnchor="margin" w:xAlign="right" w:y="1"/>
      <w:tabs>
        <w:tab w:val="clear" w:pos="4153"/>
        <w:tab w:val="clear" w:pos="8306"/>
      </w:tabs>
    </w:pPr>
    <w:r>
      <w:fldChar w:fldCharType="begin"/>
    </w:r>
    <w:r>
      <w:rPr>
        <w:rStyle w:val="29"/>
      </w:rPr>
      <w:instrText xml:space="preserve">PAGE  </w:instrText>
    </w:r>
    <w:r>
      <w:fldChar w:fldCharType="separate"/>
    </w:r>
    <w:r>
      <w:rPr>
        <w:rStyle w:val="29"/>
      </w:rPr>
      <w:t>122</w:t>
    </w:r>
    <w:r>
      <w:fldChar w:fldCharType="end"/>
    </w:r>
  </w:p>
  <w:p w14:paraId="2E70FDC2">
    <w:pPr>
      <w:pStyle w:val="18"/>
      <w:tabs>
        <w:tab w:val="clear" w:pos="4153"/>
        <w:tab w:val="clear" w:pos="8306"/>
      </w:tabs>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BF76">
    <w:pPr>
      <w:pStyle w:val="18"/>
      <w:framePr w:wrap="around" w:vAnchor="text" w:hAnchor="margin" w:xAlign="center" w:y="1"/>
      <w:tabs>
        <w:tab w:val="clear" w:pos="4153"/>
        <w:tab w:val="clear" w:pos="8306"/>
      </w:tabs>
      <w:rPr>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1F1A0EAD">
    <w:pPr>
      <w:pStyle w:val="18"/>
      <w:tabs>
        <w:tab w:val="clear" w:pos="4153"/>
        <w:tab w:val="clear" w:pos="8306"/>
      </w:tabs>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6210">
    <w:pPr>
      <w:pStyle w:val="18"/>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posOffset>3084830</wp:posOffset>
              </wp:positionH>
              <wp:positionV relativeFrom="paragraph">
                <wp:posOffset>-57150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AFD271A">
                          <w:pPr>
                            <w:pStyle w:val="18"/>
                            <w:tabs>
                              <w:tab w:val="clear" w:pos="4153"/>
                              <w:tab w:val="clear" w:pos="8306"/>
                            </w:tabs>
                          </w:pPr>
                          <w:r>
                            <w:fldChar w:fldCharType="begin"/>
                          </w:r>
                          <w:r>
                            <w:instrText xml:space="preserve"> PAGE  \* MERGEFORMAT </w:instrText>
                          </w:r>
                          <w:r>
                            <w:fldChar w:fldCharType="separate"/>
                          </w:r>
                          <w:r>
                            <w:t>4</w:t>
                          </w:r>
                          <w:r>
                            <w:fldChar w:fldCharType="end"/>
                          </w:r>
                        </w:p>
                        <w:p w14:paraId="0E84A097"/>
                      </w:txbxContent>
                    </wps:txbx>
                    <wps:bodyPr rot="0" vert="horz" wrap="square" lIns="0" tIns="0" rIns="0" bIns="0" anchor="t" anchorCtr="0"/>
                  </wps:wsp>
                </a:graphicData>
              </a:graphic>
            </wp:anchor>
          </w:drawing>
        </mc:Choice>
        <mc:Fallback>
          <w:pict>
            <v:rect id="_x0000_s2049" o:spid="_x0000_s1026" o:spt="1" style="position:absolute;left:0pt;margin-left:242.9pt;margin-top:-4.5pt;height:144pt;width:144pt;mso-position-horizontal-relative:margin;z-index:251659264;mso-width-relative:page;mso-height-relative:page;" filled="f" stroked="f" coordsize="21600,21600" o:gfxdata="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c&#10;bp5F2gAAAAoBAAAPAAAAAAAAAAEAIAAAACIAAABkcnMvZG93bnJldi54bWxQSwECFAAUAAAACACH&#10;TuJA20QBQrABAAB2AwAADgAAAAAAAAABACAAAAApAQAAZHJzL2Uyb0RvYy54bWxQSwUGAAAAAAYA&#10;BgBZAQAASwUAAAAA&#10;">
              <v:fill on="f" focussize="0,0"/>
              <v:stroke on="f"/>
              <v:imagedata o:title=""/>
              <o:lock v:ext="edit" aspectratio="f"/>
              <v:textbox inset="0mm,0mm,0mm,0mm">
                <w:txbxContent>
                  <w:p w14:paraId="0AFD271A">
                    <w:pPr>
                      <w:pStyle w:val="18"/>
                      <w:tabs>
                        <w:tab w:val="clear" w:pos="4153"/>
                        <w:tab w:val="clear" w:pos="8306"/>
                      </w:tabs>
                    </w:pPr>
                    <w:r>
                      <w:fldChar w:fldCharType="begin"/>
                    </w:r>
                    <w:r>
                      <w:instrText xml:space="preserve"> PAGE  \* MERGEFORMAT </w:instrText>
                    </w:r>
                    <w:r>
                      <w:fldChar w:fldCharType="separate"/>
                    </w:r>
                    <w:r>
                      <w:t>4</w:t>
                    </w:r>
                    <w:r>
                      <w:fldChar w:fldCharType="end"/>
                    </w:r>
                  </w:p>
                  <w:p w14:paraId="0E84A097"/>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9EDAB">
    <w:pPr>
      <w:pStyle w:val="18"/>
      <w:tabs>
        <w:tab w:val="clear" w:pos="4153"/>
        <w:tab w:val="clear" w:pos="8306"/>
      </w:tabs>
      <w:jc w:val="center"/>
    </w:pPr>
    <w:r>
      <mc:AlternateContent>
        <mc:Choice Requires="wps">
          <w:drawing>
            <wp:anchor distT="0" distB="0" distL="0" distR="0" simplePos="0" relativeHeight="251660288" behindDoc="0" locked="0" layoutInCell="1" allowOverlap="1">
              <wp:simplePos x="0" y="0"/>
              <wp:positionH relativeFrom="margin">
                <wp:posOffset>2932430</wp:posOffset>
              </wp:positionH>
              <wp:positionV relativeFrom="paragraph">
                <wp:posOffset>0</wp:posOffset>
              </wp:positionV>
              <wp:extent cx="1828800" cy="1828800"/>
              <wp:effectExtent l="0" t="0" r="0" b="0"/>
              <wp:wrapNone/>
              <wp:docPr id="2"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D85B949">
                          <w:pPr>
                            <w:pStyle w:val="18"/>
                            <w:tabs>
                              <w:tab w:val="clear" w:pos="4153"/>
                              <w:tab w:val="clear" w:pos="8306"/>
                            </w:tabs>
                          </w:pPr>
                          <w:r>
                            <w:fldChar w:fldCharType="begin"/>
                          </w:r>
                          <w:r>
                            <w:instrText xml:space="preserve"> PAGE  \* MERGEFORMAT </w:instrText>
                          </w:r>
                          <w:r>
                            <w:fldChar w:fldCharType="separate"/>
                          </w:r>
                          <w:r>
                            <w:t>9</w:t>
                          </w:r>
                          <w:r>
                            <w:fldChar w:fldCharType="end"/>
                          </w:r>
                        </w:p>
                        <w:p w14:paraId="72F1FB4E"/>
                      </w:txbxContent>
                    </wps:txbx>
                    <wps:bodyPr rot="0" vert="horz" wrap="square" lIns="0" tIns="0" rIns="0" bIns="0" anchor="t" anchorCtr="0"/>
                  </wps:wsp>
                </a:graphicData>
              </a:graphic>
            </wp:anchor>
          </w:drawing>
        </mc:Choice>
        <mc:Fallback>
          <w:pict>
            <v:rect id="_x0000_s2050" o:spid="_x0000_s1026" o:spt="1" style="position:absolute;left:0pt;margin-left:230.9pt;margin-top:0pt;height:144pt;width:144pt;mso-position-horizontal-relative:margin;z-index:251660288;mso-width-relative:page;mso-height-relative:page;" filled="f" stroked="f" coordsize="21600,21600" o:gfxdata="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mUFVPY&#10;AAAACAEAAA8AAAAAAAAAAQAgAAAAIgAAAGRycy9kb3ducmV2LnhtbFBLAQIUABQAAAAIAIdO4kAk&#10;+mUlrgEAAHYDAAAOAAAAAAAAAAEAIAAAACcBAABkcnMvZTJvRG9jLnhtbFBLBQYAAAAABgAGAFkB&#10;AABHBQAAAAA=&#10;">
              <v:fill on="f" focussize="0,0"/>
              <v:stroke on="f"/>
              <v:imagedata o:title=""/>
              <o:lock v:ext="edit" aspectratio="f"/>
              <v:textbox inset="0mm,0mm,0mm,0mm">
                <w:txbxContent>
                  <w:p w14:paraId="1D85B949">
                    <w:pPr>
                      <w:pStyle w:val="18"/>
                      <w:tabs>
                        <w:tab w:val="clear" w:pos="4153"/>
                        <w:tab w:val="clear" w:pos="8306"/>
                      </w:tabs>
                    </w:pPr>
                    <w:r>
                      <w:fldChar w:fldCharType="begin"/>
                    </w:r>
                    <w:r>
                      <w:instrText xml:space="preserve"> PAGE  \* MERGEFORMAT </w:instrText>
                    </w:r>
                    <w:r>
                      <w:fldChar w:fldCharType="separate"/>
                    </w:r>
                    <w:r>
                      <w:t>9</w:t>
                    </w:r>
                    <w:r>
                      <w:fldChar w:fldCharType="end"/>
                    </w:r>
                  </w:p>
                  <w:p w14:paraId="72F1FB4E"/>
                </w:txbxContent>
              </v:textbox>
            </v:rect>
          </w:pict>
        </mc:Fallback>
      </mc:AlternateContent>
    </w:r>
  </w:p>
  <w:p w14:paraId="40DBD8D2">
    <w:pPr>
      <w:pStyle w:val="18"/>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64D6">
    <w:pPr>
      <w:pStyle w:val="18"/>
      <w:tabs>
        <w:tab w:val="clear" w:pos="4153"/>
        <w:tab w:val="clear" w:pos="8306"/>
      </w:tabs>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7B1D7E4">
                          <w:pPr>
                            <w:pStyle w:val="18"/>
                            <w:tabs>
                              <w:tab w:val="clear" w:pos="4153"/>
                              <w:tab w:val="clear" w:pos="8306"/>
                            </w:tabs>
                            <w:ind w:firstLine="1260" w:firstLineChars="700"/>
                          </w:pPr>
                          <w:r>
                            <w:fldChar w:fldCharType="begin"/>
                          </w:r>
                          <w:r>
                            <w:instrText xml:space="preserve"> PAGE  \* MERGEFORMAT </w:instrText>
                          </w:r>
                          <w:r>
                            <w:fldChar w:fldCharType="separate"/>
                          </w:r>
                          <w:r>
                            <w:t>73</w:t>
                          </w:r>
                          <w:r>
                            <w:fldChar w:fldCharType="end"/>
                          </w:r>
                        </w:p>
                        <w:p w14:paraId="198A3B6D"/>
                      </w:txbxContent>
                    </wps:txbx>
                    <wps:bodyPr rot="0" vert="horz" wrap="square" lIns="0" tIns="0" rIns="0" bIns="0" anchor="t" anchorCtr="0"/>
                  </wps:wsp>
                </a:graphicData>
              </a:graphic>
            </wp:anchor>
          </w:drawing>
        </mc:Choice>
        <mc:Fallback>
          <w:pict>
            <v:rect id="_x0000_s2051"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NNDw&#10;sAEAAHYDAAAOAAAAAAAAAAEAIAAAACIBAABkcnMvZTJvRG9jLnhtbFBLBQYAAAAABgAGAFkBAABE&#10;BQAAAAA=&#10;">
              <v:fill on="f" focussize="0,0"/>
              <v:stroke on="f"/>
              <v:imagedata o:title=""/>
              <o:lock v:ext="edit" aspectratio="f"/>
              <v:textbox inset="0mm,0mm,0mm,0mm">
                <w:txbxContent>
                  <w:p w14:paraId="17B1D7E4">
                    <w:pPr>
                      <w:pStyle w:val="18"/>
                      <w:tabs>
                        <w:tab w:val="clear" w:pos="4153"/>
                        <w:tab w:val="clear" w:pos="8306"/>
                      </w:tabs>
                      <w:ind w:firstLine="1260" w:firstLineChars="700"/>
                    </w:pPr>
                    <w:r>
                      <w:fldChar w:fldCharType="begin"/>
                    </w:r>
                    <w:r>
                      <w:instrText xml:space="preserve"> PAGE  \* MERGEFORMAT </w:instrText>
                    </w:r>
                    <w:r>
                      <w:fldChar w:fldCharType="separate"/>
                    </w:r>
                    <w:r>
                      <w:t>73</w:t>
                    </w:r>
                    <w:r>
                      <w:fldChar w:fldCharType="end"/>
                    </w:r>
                  </w:p>
                  <w:p w14:paraId="198A3B6D"/>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8DB0">
    <w:pPr>
      <w:pStyle w:val="18"/>
      <w:tabs>
        <w:tab w:val="clear" w:pos="4153"/>
        <w:tab w:val="clear" w:pos="8306"/>
      </w:tabs>
    </w:pPr>
    <w:r>
      <mc:AlternateContent>
        <mc:Choice Requires="wps">
          <w:drawing>
            <wp:anchor distT="0" distB="0" distL="0" distR="0" simplePos="0" relativeHeight="251662336" behindDoc="0" locked="0" layoutInCell="1" allowOverlap="1">
              <wp:simplePos x="0" y="0"/>
              <wp:positionH relativeFrom="margin">
                <wp:posOffset>2854960</wp:posOffset>
              </wp:positionH>
              <wp:positionV relativeFrom="paragraph">
                <wp:posOffset>17145</wp:posOffset>
              </wp:positionV>
              <wp:extent cx="1153795" cy="1811655"/>
              <wp:effectExtent l="0" t="0" r="0" b="0"/>
              <wp:wrapNone/>
              <wp:docPr id="4" name="_x0000_s2052"/>
              <wp:cNvGraphicFramePr/>
              <a:graphic xmlns:a="http://schemas.openxmlformats.org/drawingml/2006/main">
                <a:graphicData uri="http://schemas.microsoft.com/office/word/2010/wordprocessingShape">
                  <wps:wsp>
                    <wps:cNvSpPr/>
                    <wps:spPr>
                      <a:xfrm>
                        <a:off x="0" y="0"/>
                        <a:ext cx="1153795" cy="1811655"/>
                      </a:xfrm>
                      <a:prstGeom prst="rect">
                        <a:avLst/>
                      </a:prstGeom>
                    </wps:spPr>
                    <wps:txbx>
                      <w:txbxContent>
                        <w:p w14:paraId="1D94C0E7">
                          <w:pPr>
                            <w:pStyle w:val="18"/>
                            <w:tabs>
                              <w:tab w:val="clear" w:pos="4153"/>
                              <w:tab w:val="clear" w:pos="8306"/>
                            </w:tabs>
                          </w:pPr>
                          <w:r>
                            <w:fldChar w:fldCharType="begin"/>
                          </w:r>
                          <w:r>
                            <w:instrText xml:space="preserve"> PAGE  \* MERGEFORMAT </w:instrText>
                          </w:r>
                          <w:r>
                            <w:fldChar w:fldCharType="separate"/>
                          </w:r>
                          <w:r>
                            <w:t>80</w:t>
                          </w:r>
                          <w:r>
                            <w:fldChar w:fldCharType="end"/>
                          </w:r>
                        </w:p>
                        <w:p w14:paraId="7BB13466"/>
                      </w:txbxContent>
                    </wps:txbx>
                    <wps:bodyPr rot="0" vert="horz" wrap="square" lIns="0" tIns="0" rIns="0" bIns="0" anchor="t" anchorCtr="0"/>
                  </wps:wsp>
                </a:graphicData>
              </a:graphic>
            </wp:anchor>
          </w:drawing>
        </mc:Choice>
        <mc:Fallback>
          <w:pict>
            <v:rect id="_x0000_s2052" o:spid="_x0000_s1026" o:spt="1" style="position:absolute;left:0pt;margin-left:224.8pt;margin-top:1.35pt;height:142.65pt;width:90.85pt;mso-position-horizontal-relative:margin;z-index:251662336;mso-width-relative:page;mso-height-relative:page;" filled="f" stroked="f" coordsize="21600,21600" o:gfxdata="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LehSjZAAAACQEAAA8AAAAAAAAAAQAgAAAAIgAAAGRycy9kb3ducmV2LnhtbFBLAQIUABQA&#10;AAAIAIdO4kBuaZbEtgEAAHYDAAAOAAAAAAAAAAEAIAAAACgBAABkcnMvZTJvRG9jLnhtbFBLBQYA&#10;AAAABgAGAFkBAABQBQAAAAA=&#10;">
              <v:fill on="f" focussize="0,0"/>
              <v:stroke on="f"/>
              <v:imagedata o:title=""/>
              <o:lock v:ext="edit" aspectratio="f"/>
              <v:textbox inset="0mm,0mm,0mm,0mm">
                <w:txbxContent>
                  <w:p w14:paraId="1D94C0E7">
                    <w:pPr>
                      <w:pStyle w:val="18"/>
                      <w:tabs>
                        <w:tab w:val="clear" w:pos="4153"/>
                        <w:tab w:val="clear" w:pos="8306"/>
                      </w:tabs>
                    </w:pPr>
                    <w:r>
                      <w:fldChar w:fldCharType="begin"/>
                    </w:r>
                    <w:r>
                      <w:instrText xml:space="preserve"> PAGE  \* MERGEFORMAT </w:instrText>
                    </w:r>
                    <w:r>
                      <w:fldChar w:fldCharType="separate"/>
                    </w:r>
                    <w:r>
                      <w:t>80</w:t>
                    </w:r>
                    <w:r>
                      <w:fldChar w:fldCharType="end"/>
                    </w:r>
                  </w:p>
                  <w:p w14:paraId="7BB13466"/>
                </w:txbxContent>
              </v:textbox>
            </v:rect>
          </w:pict>
        </mc:Fallback>
      </mc:AlternateContent>
    </w:r>
    <w:r>
      <w:rPr>
        <w:rFonts w:hint="eastAsia"/>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8D4C">
    <w:pPr>
      <w:pStyle w:val="18"/>
      <w:framePr w:wrap="around" w:vAnchor="text" w:hAnchor="margin" w:xAlign="center" w:y="1"/>
      <w:tabs>
        <w:tab w:val="clear" w:pos="4153"/>
        <w:tab w:val="clear" w:pos="8306"/>
      </w:tabs>
    </w:pPr>
    <w:r>
      <w:fldChar w:fldCharType="begin"/>
    </w:r>
    <w:r>
      <w:rPr>
        <w:rStyle w:val="29"/>
      </w:rPr>
      <w:instrText xml:space="preserve">PAGE  </w:instrText>
    </w:r>
    <w:r>
      <w:fldChar w:fldCharType="end"/>
    </w:r>
  </w:p>
  <w:p w14:paraId="657C21A7">
    <w:pPr>
      <w:pStyle w:val="18"/>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50F4">
    <w:pPr>
      <w:pStyle w:val="18"/>
      <w:framePr w:wrap="around" w:vAnchor="text" w:hAnchor="margin" w:xAlign="right" w:y="1"/>
      <w:tabs>
        <w:tab w:val="clear" w:pos="4153"/>
        <w:tab w:val="clear" w:pos="8306"/>
      </w:tabs>
    </w:pPr>
    <w:r>
      <w:fldChar w:fldCharType="begin"/>
    </w:r>
    <w:r>
      <w:rPr>
        <w:rStyle w:val="29"/>
      </w:rPr>
      <w:instrText xml:space="preserve">PAGE  </w:instrText>
    </w:r>
    <w:r>
      <w:fldChar w:fldCharType="separate"/>
    </w:r>
    <w:r>
      <w:rPr>
        <w:rStyle w:val="29"/>
      </w:rPr>
      <w:t>122</w:t>
    </w:r>
    <w:r>
      <w:fldChar w:fldCharType="end"/>
    </w:r>
  </w:p>
  <w:p w14:paraId="338B2CBE">
    <w:pPr>
      <w:pStyle w:val="18"/>
      <w:tabs>
        <w:tab w:val="clear" w:pos="4153"/>
        <w:tab w:val="clear" w:pos="8306"/>
      </w:tabs>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0389">
    <w:pPr>
      <w:pStyle w:val="18"/>
      <w:tabs>
        <w:tab w:val="clear" w:pos="4153"/>
        <w:tab w:val="clear" w:pos="8306"/>
      </w:tabs>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FDEC01">
                          <w:pPr>
                            <w:pStyle w:val="18"/>
                            <w:tabs>
                              <w:tab w:val="clear" w:pos="4153"/>
                              <w:tab w:val="clear" w:pos="8306"/>
                            </w:tabs>
                            <w:ind w:firstLine="1440" w:firstLineChars="800"/>
                          </w:pPr>
                          <w:r>
                            <w:fldChar w:fldCharType="begin"/>
                          </w:r>
                          <w:r>
                            <w:instrText xml:space="preserve"> PAGE  \* MERGEFORMAT </w:instrText>
                          </w:r>
                          <w:r>
                            <w:fldChar w:fldCharType="separate"/>
                          </w:r>
                          <w:r>
                            <w:t>82</w:t>
                          </w:r>
                          <w:r>
                            <w:fldChar w:fldCharType="end"/>
                          </w:r>
                        </w:p>
                        <w:p w14:paraId="256F3305"/>
                      </w:txbxContent>
                    </wps:txbx>
                    <wps:bodyPr rot="0" vert="horz" wrap="square" lIns="0" tIns="0" rIns="0" bIns="0" anchor="t" anchorCtr="0"/>
                  </wps:wsp>
                </a:graphicData>
              </a:graphic>
            </wp:anchor>
          </w:drawing>
        </mc:Choice>
        <mc:Fallback>
          <w:pict>
            <v:rect id="_x0000_s2053" o:spid="_x0000_s1026" o:spt="1"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suzLJ&#10;sAEAAHYDAAAOAAAAAAAAAAEAIAAAACIBAABkcnMvZTJvRG9jLnhtbFBLBQYAAAAABgAGAFkBAABE&#10;BQAAAAA=&#10;">
              <v:fill on="f" focussize="0,0"/>
              <v:stroke on="f"/>
              <v:imagedata o:title=""/>
              <o:lock v:ext="edit" aspectratio="f"/>
              <v:textbox inset="0mm,0mm,0mm,0mm">
                <w:txbxContent>
                  <w:p w14:paraId="57FDEC01">
                    <w:pPr>
                      <w:pStyle w:val="18"/>
                      <w:tabs>
                        <w:tab w:val="clear" w:pos="4153"/>
                        <w:tab w:val="clear" w:pos="8306"/>
                      </w:tabs>
                      <w:ind w:firstLine="1440" w:firstLineChars="800"/>
                    </w:pPr>
                    <w:r>
                      <w:fldChar w:fldCharType="begin"/>
                    </w:r>
                    <w:r>
                      <w:instrText xml:space="preserve"> PAGE  \* MERGEFORMAT </w:instrText>
                    </w:r>
                    <w:r>
                      <w:fldChar w:fldCharType="separate"/>
                    </w:r>
                    <w:r>
                      <w:t>82</w:t>
                    </w:r>
                    <w:r>
                      <w:fldChar w:fldCharType="end"/>
                    </w:r>
                  </w:p>
                  <w:p w14:paraId="256F3305"/>
                </w:txbxContent>
              </v:textbox>
            </v:rect>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A631">
    <w:pPr>
      <w:pStyle w:val="28"/>
      <w:tabs>
        <w:tab w:val="clear" w:pos="4153"/>
        <w:tab w:val="clear" w:pos="8306"/>
      </w:tabs>
      <w:jc w:val="right"/>
    </w:pPr>
    <w:r>
      <w:rPr>
        <w:rFonts w:hint="eastAsia"/>
        <w:lang w:eastAsia="zh-CN"/>
      </w:rPr>
      <w:t>青秀区农村生活污水处理项目运维服务</w:t>
    </w:r>
    <w:r>
      <w:rPr>
        <w:rFonts w:hint="eastAsia"/>
      </w:rPr>
      <w:t>（项目编号：NNZC2025-G3-030091-GXHJ</w:t>
    </w: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50DC">
    <w:pPr>
      <w:pStyle w:val="28"/>
      <w:pBdr>
        <w:bottom w:val="none" w:color="000000" w:sz="0" w:space="1"/>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9833">
    <w:pPr>
      <w:pStyle w:val="28"/>
      <w:tabs>
        <w:tab w:val="clear" w:pos="4153"/>
        <w:tab w:val="clear" w:pos="8306"/>
      </w:tabs>
      <w:jc w:val="right"/>
      <w:rPr>
        <w:rFonts w:hint="eastAsia"/>
      </w:rPr>
    </w:pPr>
  </w:p>
  <w:p w14:paraId="2EBD878F">
    <w:pPr>
      <w:pStyle w:val="28"/>
      <w:tabs>
        <w:tab w:val="clear" w:pos="4153"/>
        <w:tab w:val="clear" w:pos="8306"/>
      </w:tabs>
      <w:jc w:val="center"/>
      <w:rPr>
        <w:rFonts w:hint="eastAsia" w:eastAsia="宋体"/>
        <w:lang w:eastAsia="zh-CN"/>
      </w:rPr>
    </w:pPr>
    <w:r>
      <w:rPr>
        <w:rFonts w:hint="eastAsia"/>
        <w:lang w:eastAsia="zh-CN"/>
      </w:rPr>
      <w:t>青秀区农村生活污水处理项目运维服务</w:t>
    </w:r>
    <w:r>
      <w:rPr>
        <w:rFonts w:hint="eastAsia"/>
      </w:rPr>
      <w:t>（项目编号：</w:t>
    </w:r>
    <w:r>
      <w:rPr>
        <w:rFonts w:hint="eastAsia"/>
        <w:lang w:eastAsia="zh-CN"/>
      </w:rPr>
      <w:t>NNZC2024-G3-030263-GXHJ）</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073C">
    <w:pPr>
      <w:pStyle w:val="28"/>
      <w:tabs>
        <w:tab w:val="clear" w:pos="4153"/>
        <w:tab w:val="clear" w:pos="8306"/>
      </w:tabs>
      <w:jc w:val="right"/>
      <w:rPr>
        <w:rFonts w:hint="eastAsia" w:eastAsia="宋体"/>
        <w:lang w:eastAsia="zh-CN"/>
      </w:rPr>
    </w:pPr>
    <w:r>
      <w:rPr>
        <w:rFonts w:hint="eastAsia"/>
        <w:lang w:eastAsia="zh-CN"/>
      </w:rPr>
      <w:t>青秀区农村生活污水处理项目运维服务</w:t>
    </w:r>
    <w:r>
      <w:rPr>
        <w:rFonts w:hint="eastAsia"/>
      </w:rPr>
      <w:t>（项目编号：</w:t>
    </w:r>
    <w:r>
      <w:rPr>
        <w:rFonts w:hint="eastAsia"/>
        <w:lang w:eastAsia="zh-CN"/>
      </w:rPr>
      <w:t>NNZC2024-G3-030263-GXHJ</w:t>
    </w:r>
  </w:p>
  <w:p w14:paraId="2C7BCC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0832">
    <w:pPr>
      <w:pStyle w:val="28"/>
      <w:tabs>
        <w:tab w:val="clear" w:pos="4153"/>
        <w:tab w:val="clear" w:pos="8306"/>
      </w:tabs>
      <w:jc w:val="center"/>
      <w:rPr>
        <w:rFonts w:hint="eastAsia" w:eastAsia="宋体"/>
        <w:lang w:eastAsia="zh-CN"/>
      </w:rPr>
    </w:pPr>
    <w:r>
      <w:rPr>
        <w:rFonts w:hint="eastAsia"/>
        <w:lang w:eastAsia="zh-CN"/>
      </w:rPr>
      <w:t>青秀区农村生活污水处理项目运维服务</w:t>
    </w:r>
    <w:r>
      <w:rPr>
        <w:rFonts w:hint="eastAsia"/>
      </w:rPr>
      <w:t>（项目编号：</w:t>
    </w:r>
    <w:r>
      <w:rPr>
        <w:rFonts w:hint="eastAsia"/>
        <w:lang w:eastAsia="zh-CN"/>
      </w:rPr>
      <w:t>NNZC2024-G3-030263-GXHJ）</w:t>
    </w:r>
  </w:p>
  <w:p w14:paraId="3C7A9C6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132B">
    <w:pPr>
      <w:pStyle w:val="28"/>
      <w:tabs>
        <w:tab w:val="clear" w:pos="4153"/>
        <w:tab w:val="clear" w:pos="8306"/>
      </w:tabs>
      <w:jc w:val="right"/>
      <w:rPr>
        <w:rFonts w:hint="eastAsia" w:eastAsia="宋体"/>
        <w:lang w:eastAsia="zh-CN"/>
      </w:rPr>
    </w:pPr>
    <w:r>
      <w:rPr>
        <w:rFonts w:hint="eastAsia"/>
        <w:lang w:eastAsia="zh-CN"/>
      </w:rPr>
      <w:t>青秀区农村生活污水处理项目运维服务</w:t>
    </w:r>
    <w:r>
      <w:rPr>
        <w:rFonts w:hint="eastAsia"/>
      </w:rPr>
      <w:t>（项目编号：</w:t>
    </w:r>
    <w:r>
      <w:rPr>
        <w:rFonts w:hint="eastAsia"/>
        <w:lang w:eastAsia="zh-CN"/>
      </w:rPr>
      <w:t>NNZC2024-G3-030263-GXHJ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4444808"/>
    <w:multiLevelType w:val="multilevel"/>
    <w:tmpl w:val="34444808"/>
    <w:lvl w:ilvl="0" w:tentative="0">
      <w:start w:val="1"/>
      <w:numFmt w:val="decimal"/>
      <w:lvlText w:val="%1、"/>
      <w:lvlJc w:val="left"/>
      <w:pPr>
        <w:ind w:left="660" w:hanging="360"/>
      </w:p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45CE213A"/>
    <w:multiLevelType w:val="singleLevel"/>
    <w:tmpl w:val="45CE213A"/>
    <w:lvl w:ilvl="0" w:tentative="0">
      <w:start w:val="2"/>
      <w:numFmt w:val="chineseCounting"/>
      <w:suff w:val="nothing"/>
      <w:lvlText w:val="%1、"/>
      <w:lvlJc w:val="left"/>
      <w:rPr>
        <w:rFonts w:hint="eastAsia"/>
      </w:rPr>
    </w:lvl>
  </w:abstractNum>
  <w:abstractNum w:abstractNumId="3">
    <w:nsid w:val="51536378"/>
    <w:multiLevelType w:val="singleLevel"/>
    <w:tmpl w:val="51536378"/>
    <w:lvl w:ilvl="0" w:tentative="0">
      <w:start w:val="1"/>
      <w:numFmt w:val="decimal"/>
      <w:suff w:val="nothing"/>
      <w:lvlText w:val="（%1）"/>
      <w:lvlJc w:val="left"/>
      <w:pPr>
        <w:ind w:left="0" w:firstLine="0"/>
      </w:pPr>
    </w:lvl>
  </w:abstractNum>
  <w:abstractNum w:abstractNumId="4">
    <w:nsid w:val="72962756"/>
    <w:multiLevelType w:val="multilevel"/>
    <w:tmpl w:val="72962756"/>
    <w:lvl w:ilvl="0" w:tentative="0">
      <w:start w:val="1"/>
      <w:numFmt w:val="japaneseCounting"/>
      <w:lvlText w:val="（%1）"/>
      <w:lvlJc w:val="left"/>
      <w:pPr>
        <w:ind w:left="1237" w:hanging="765"/>
      </w:p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956E2"/>
    <w:rsid w:val="0044275C"/>
    <w:rsid w:val="09B63B62"/>
    <w:rsid w:val="227E2CB9"/>
    <w:rsid w:val="255A7203"/>
    <w:rsid w:val="2A846AAC"/>
    <w:rsid w:val="3A6366DE"/>
    <w:rsid w:val="486956E2"/>
    <w:rsid w:val="4BEA2CED"/>
    <w:rsid w:val="52F9363A"/>
    <w:rsid w:val="61FE3058"/>
    <w:rsid w:val="726755B9"/>
    <w:rsid w:val="7C9D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kern w:val="0"/>
      <w:sz w:val="24"/>
    </w:rPr>
  </w:style>
  <w:style w:type="paragraph" w:styleId="3">
    <w:name w:val="Normal Indent"/>
    <w:basedOn w:val="1"/>
    <w:qFormat/>
    <w:uiPriority w:val="0"/>
    <w:pPr>
      <w:ind w:firstLine="420"/>
    </w:pPr>
    <w:rPr>
      <w:szCs w:val="20"/>
    </w:rPr>
  </w:style>
  <w:style w:type="paragraph" w:styleId="4">
    <w:name w:val="Plain Text"/>
    <w:basedOn w:val="1"/>
    <w:next w:val="1"/>
    <w:qFormat/>
    <w:uiPriority w:val="0"/>
    <w:rPr>
      <w:rFonts w:ascii="宋体" w:hAnsi="Courier New"/>
      <w:kern w:val="0"/>
      <w:sz w:val="20"/>
      <w:szCs w:val="21"/>
    </w:rPr>
  </w:style>
  <w:style w:type="paragraph" w:customStyle="1" w:styleId="7">
    <w:name w:val="纯文本11"/>
    <w:basedOn w:val="1"/>
    <w:qFormat/>
    <w:uiPriority w:val="0"/>
    <w:rPr>
      <w:rFonts w:ascii="宋体" w:hAnsi="Courier New"/>
      <w:szCs w:val="20"/>
    </w:rPr>
  </w:style>
  <w:style w:type="paragraph" w:customStyle="1" w:styleId="8">
    <w:name w:val="目录 11"/>
    <w:basedOn w:val="1"/>
    <w:qFormat/>
    <w:uiPriority w:val="0"/>
    <w:pPr>
      <w:spacing w:before="360" w:after="360"/>
      <w:jc w:val="left"/>
    </w:pPr>
    <w:rPr>
      <w:rFonts w:ascii="Calibri" w:hAnsi="Calibri"/>
      <w:b/>
      <w:bCs/>
      <w:caps/>
      <w:sz w:val="22"/>
      <w:szCs w:val="22"/>
      <w:u w:val="single"/>
    </w:rPr>
  </w:style>
  <w:style w:type="character" w:customStyle="1" w:styleId="9">
    <w:name w:val="超链接1"/>
    <w:basedOn w:val="10"/>
    <w:qFormat/>
    <w:uiPriority w:val="0"/>
    <w:rPr>
      <w:color w:val="2440B3"/>
      <w:u w:val="none"/>
    </w:rPr>
  </w:style>
  <w:style w:type="character" w:customStyle="1" w:styleId="10">
    <w:name w:val="默认段落字体1"/>
    <w:semiHidden/>
    <w:qFormat/>
    <w:uiPriority w:val="0"/>
  </w:style>
  <w:style w:type="paragraph" w:customStyle="1" w:styleId="11">
    <w:name w:val="目录 21"/>
    <w:basedOn w:val="1"/>
    <w:qFormat/>
    <w:uiPriority w:val="0"/>
    <w:pPr>
      <w:jc w:val="left"/>
    </w:pPr>
    <w:rPr>
      <w:rFonts w:ascii="Calibri" w:hAnsi="Calibri"/>
      <w:b/>
      <w:bCs/>
      <w:sz w:val="22"/>
      <w:szCs w:val="22"/>
    </w:rPr>
  </w:style>
  <w:style w:type="paragraph" w:customStyle="1" w:styleId="12">
    <w:name w:val="目录 31"/>
    <w:basedOn w:val="1"/>
    <w:qFormat/>
    <w:uiPriority w:val="0"/>
    <w:pPr>
      <w:jc w:val="left"/>
    </w:pPr>
    <w:rPr>
      <w:rFonts w:ascii="Calibri" w:hAnsi="Calibri"/>
      <w:sz w:val="22"/>
      <w:szCs w:val="22"/>
    </w:rPr>
  </w:style>
  <w:style w:type="paragraph" w:customStyle="1" w:styleId="13">
    <w:name w:val="批注文字1"/>
    <w:basedOn w:val="1"/>
    <w:qFormat/>
    <w:uiPriority w:val="0"/>
    <w:pPr>
      <w:jc w:val="left"/>
    </w:pPr>
  </w:style>
  <w:style w:type="paragraph" w:customStyle="1" w:styleId="14">
    <w:name w:val="正文首行缩进1"/>
    <w:basedOn w:val="1"/>
    <w:qFormat/>
    <w:uiPriority w:val="0"/>
    <w:pPr>
      <w:spacing w:after="120"/>
      <w:ind w:firstLine="420" w:firstLineChars="100"/>
    </w:pPr>
    <w:rPr>
      <w:rFonts w:ascii="宋体"/>
    </w:rPr>
  </w:style>
  <w:style w:type="paragraph" w:customStyle="1" w:styleId="15">
    <w:name w:val="正文文本11"/>
    <w:basedOn w:val="1"/>
    <w:qFormat/>
    <w:uiPriority w:val="0"/>
    <w:pPr>
      <w:spacing w:after="120"/>
    </w:pPr>
  </w:style>
  <w:style w:type="character" w:customStyle="1" w:styleId="16">
    <w:name w:val="正文文本 (26) + 间距 0 pt"/>
    <w:qFormat/>
    <w:uiPriority w:val="0"/>
    <w:rPr>
      <w:rFonts w:ascii="宋体" w:hAnsi="宋体" w:eastAsia="宋体"/>
      <w:color w:val="000000"/>
      <w:spacing w:val="0"/>
      <w:w w:val="100"/>
      <w:sz w:val="22"/>
      <w:szCs w:val="22"/>
      <w:u w:val="none"/>
      <w:lang w:val="zh-CN" w:eastAsia="zh-CN" w:bidi="zh-CN"/>
    </w:rPr>
  </w:style>
  <w:style w:type="paragraph" w:customStyle="1" w:styleId="17">
    <w:name w:val="纯文本1"/>
    <w:basedOn w:val="1"/>
    <w:qFormat/>
    <w:uiPriority w:val="0"/>
    <w:rPr>
      <w:rFonts w:ascii="宋体" w:hAnsi="Courier New"/>
      <w:szCs w:val="20"/>
    </w:rPr>
  </w:style>
  <w:style w:type="paragraph" w:customStyle="1" w:styleId="18">
    <w:name w:val="页脚1"/>
    <w:basedOn w:val="1"/>
    <w:qFormat/>
    <w:uiPriority w:val="0"/>
    <w:pPr>
      <w:tabs>
        <w:tab w:val="center" w:pos="4153"/>
        <w:tab w:val="right" w:pos="8306"/>
      </w:tabs>
      <w:snapToGrid w:val="0"/>
      <w:jc w:val="left"/>
    </w:pPr>
    <w:rPr>
      <w:sz w:val="18"/>
      <w:szCs w:val="18"/>
    </w:rPr>
  </w:style>
  <w:style w:type="paragraph" w:customStyle="1" w:styleId="19">
    <w:name w:val="标题 21"/>
    <w:basedOn w:val="1"/>
    <w:qFormat/>
    <w:uiPriority w:val="0"/>
    <w:pPr>
      <w:keepNext/>
      <w:keepLines/>
      <w:spacing w:before="260" w:after="260" w:line="413" w:lineRule="auto"/>
      <w:outlineLvl w:val="1"/>
    </w:pPr>
    <w:rPr>
      <w:rFonts w:ascii="Arial" w:hAnsi="Arial" w:eastAsia="黑体"/>
      <w:b/>
      <w:bCs/>
      <w:sz w:val="32"/>
      <w:szCs w:val="32"/>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正文文本缩进1"/>
    <w:basedOn w:val="1"/>
    <w:qFormat/>
    <w:uiPriority w:val="0"/>
    <w:pPr>
      <w:spacing w:line="200" w:lineRule="exact"/>
      <w:ind w:firstLine="301"/>
    </w:pPr>
    <w:rPr>
      <w:rFonts w:ascii="宋体" w:hAnsi="Courier New"/>
      <w:spacing w:val="-4"/>
      <w:sz w:val="18"/>
      <w:szCs w:val="20"/>
    </w:rPr>
  </w:style>
  <w:style w:type="paragraph" w:customStyle="1" w:styleId="2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3">
    <w:name w:val="Default"/>
    <w:qFormat/>
    <w:uiPriority w:val="99"/>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24">
    <w:name w:val="正文缩进11"/>
    <w:basedOn w:val="1"/>
    <w:qFormat/>
    <w:uiPriority w:val="0"/>
    <w:pPr>
      <w:ind w:firstLine="420"/>
    </w:pPr>
    <w:rPr>
      <w:szCs w:val="20"/>
    </w:rPr>
  </w:style>
  <w:style w:type="paragraph" w:customStyle="1" w:styleId="25">
    <w:name w:val="标题 41"/>
    <w:basedOn w:val="1"/>
    <w:qFormat/>
    <w:uiPriority w:val="0"/>
    <w:pPr>
      <w:tabs>
        <w:tab w:val="left" w:pos="2155"/>
      </w:tabs>
      <w:spacing w:before="120" w:line="360" w:lineRule="auto"/>
      <w:ind w:left="2155" w:hanging="1078"/>
      <w:outlineLvl w:val="3"/>
    </w:pPr>
    <w:rPr>
      <w:rFonts w:ascii="Arial" w:eastAsia="黑体"/>
      <w:kern w:val="0"/>
      <w:sz w:val="28"/>
      <w:szCs w:val="20"/>
    </w:rPr>
  </w:style>
  <w:style w:type="paragraph" w:customStyle="1" w:styleId="2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7">
    <w:name w:val="列表1"/>
    <w:basedOn w:val="1"/>
    <w:qFormat/>
    <w:uiPriority w:val="0"/>
    <w:pPr>
      <w:ind w:left="200" w:hanging="200" w:hangingChars="200"/>
    </w:pPr>
    <w:rPr>
      <w:sz w:val="28"/>
    </w:rPr>
  </w:style>
  <w:style w:type="paragraph" w:customStyle="1" w:styleId="28">
    <w:name w:val="页眉1"/>
    <w:basedOn w:val="1"/>
    <w:qFormat/>
    <w:uiPriority w:val="0"/>
    <w:pPr>
      <w:pBdr>
        <w:bottom w:val="single" w:color="000000" w:sz="6" w:space="1"/>
      </w:pBdr>
      <w:tabs>
        <w:tab w:val="center" w:pos="4153"/>
        <w:tab w:val="right" w:pos="8306"/>
      </w:tabs>
      <w:snapToGrid w:val="0"/>
      <w:jc w:val="center"/>
    </w:pPr>
    <w:rPr>
      <w:sz w:val="18"/>
      <w:szCs w:val="18"/>
    </w:rPr>
  </w:style>
  <w:style w:type="character" w:customStyle="1" w:styleId="29">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4788</Words>
  <Characters>5544</Characters>
  <DocSecurity>0</DocSecurity>
  <Lines>0</Lines>
  <Paragraphs>0</Paragraphs>
  <ScaleCrop>false</ScaleCrop>
  <LinksUpToDate>false</LinksUpToDate>
  <CharactersWithSpaces>5693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2025-07-08T09:22:00Z</dcterms:created>
  <dcterms:modified xsi:type="dcterms:W3CDTF">2025-07-15T02:42:47Z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2A14747D990C46098B0B415CD23D1A07_11</vt:lpwstr>
  </property>
  <property fmtid="{D5CDD505-2E9C-101B-9397-08002B2CF9AE}" pid="4" name="KSOTemplateDocerSaveRecord">
    <vt:lpwstr>eyJoZGlkIjoiM2Q5Mjg3M2Q4NzllZmQ1MTMyZmY5ZjA2MGQxYjBkYWUiLCJ1c2VySWQiOiIzNzE1NTA0NTAifQ==</vt:lpwstr>
  </property>
</Properties>
</file>