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AA26">
      <w:pPr>
        <w:spacing w:line="600" w:lineRule="exact"/>
        <w:rPr>
          <w:rFonts w:ascii="华文新魏" w:hAnsi="宋体" w:eastAsia="华文新魏" w:cs="Times New Roman"/>
          <w:b/>
          <w:color w:val="000000" w:themeColor="text1"/>
          <w:sz w:val="52"/>
          <w:szCs w:val="52"/>
          <w:highlight w:val="none"/>
          <w14:textFill>
            <w14:solidFill>
              <w14:schemeClr w14:val="tx1"/>
            </w14:solidFill>
          </w14:textFill>
        </w:rPr>
      </w:pPr>
      <w:bookmarkStart w:id="0" w:name="_Toc456863725"/>
    </w:p>
    <w:p w14:paraId="197C9AAB">
      <w:pPr>
        <w:spacing w:line="720" w:lineRule="exact"/>
        <w:jc w:val="center"/>
        <w:rPr>
          <w:rFonts w:ascii="宋体" w:hAnsi="宋体" w:eastAsia="宋体" w:cs="Times New Roman"/>
          <w:color w:val="000000" w:themeColor="text1"/>
          <w:sz w:val="56"/>
          <w:szCs w:val="56"/>
          <w:highlight w:val="none"/>
          <w14:textFill>
            <w14:solidFill>
              <w14:schemeClr w14:val="tx1"/>
            </w14:solidFill>
          </w14:textFill>
        </w:rPr>
      </w:pPr>
      <w:r>
        <w:rPr>
          <w:rFonts w:hint="eastAsia" w:ascii="宋体" w:hAnsi="宋体" w:eastAsia="宋体" w:cs="Times New Roman"/>
          <w:b/>
          <w:bCs/>
          <w:color w:val="000000" w:themeColor="text1"/>
          <w:sz w:val="56"/>
          <w:szCs w:val="56"/>
          <w:highlight w:val="none"/>
          <w14:textFill>
            <w14:solidFill>
              <w14:schemeClr w14:val="tx1"/>
            </w14:solidFill>
          </w14:textFill>
        </w:rPr>
        <w:t>广西中信恒泰工程顾问有限公司</w:t>
      </w:r>
    </w:p>
    <w:p w14:paraId="6F507739">
      <w:pPr>
        <w:spacing w:line="720" w:lineRule="exact"/>
        <w:jc w:val="center"/>
        <w:rPr>
          <w:rFonts w:ascii="宋体" w:hAnsi="宋体" w:eastAsia="宋体" w:cs="Times New Roman"/>
          <w:color w:val="000000" w:themeColor="text1"/>
          <w:sz w:val="52"/>
          <w:szCs w:val="24"/>
          <w:highlight w:val="none"/>
          <w14:textFill>
            <w14:solidFill>
              <w14:schemeClr w14:val="tx1"/>
            </w14:solidFill>
          </w14:textFill>
        </w:rPr>
      </w:pPr>
      <w:r>
        <w:rPr>
          <w:rFonts w:ascii="宋体" w:hAnsi="宋体" w:eastAsia="宋体" w:cs="Times New Roman"/>
          <w:color w:val="000000" w:themeColor="text1"/>
          <w:sz w:val="52"/>
          <w:szCs w:val="24"/>
          <w:highlight w:val="none"/>
          <w14:textFill>
            <w14:solidFill>
              <w14:schemeClr w14:val="tx1"/>
            </w14:solidFill>
          </w14:textFill>
        </w:rPr>
        <w:cr/>
      </w:r>
    </w:p>
    <w:p w14:paraId="3922D043">
      <w:pPr>
        <w:spacing w:line="1000" w:lineRule="exact"/>
        <w:jc w:val="center"/>
        <w:rPr>
          <w:rFonts w:ascii="宋体" w:hAnsi="宋体" w:eastAsia="宋体" w:cs="Times New Roman"/>
          <w:b/>
          <w:color w:val="000000" w:themeColor="text1"/>
          <w:sz w:val="84"/>
          <w:szCs w:val="84"/>
          <w:highlight w:val="none"/>
          <w14:textFill>
            <w14:solidFill>
              <w14:schemeClr w14:val="tx1"/>
            </w14:solidFill>
          </w14:textFill>
        </w:rPr>
      </w:pPr>
      <w:r>
        <w:rPr>
          <w:rFonts w:hint="eastAsia" w:ascii="宋体" w:hAnsi="宋体" w:eastAsia="宋体" w:cs="Times New Roman"/>
          <w:color w:val="000000" w:themeColor="text1"/>
          <w:sz w:val="72"/>
          <w:szCs w:val="24"/>
          <w:highlight w:val="none"/>
          <w14:textFill>
            <w14:solidFill>
              <w14:schemeClr w14:val="tx1"/>
            </w14:solidFill>
          </w14:textFill>
        </w:rPr>
        <w:cr/>
      </w:r>
      <w:r>
        <w:rPr>
          <w:rFonts w:hint="eastAsia" w:ascii="宋体" w:hAnsi="宋体" w:eastAsia="宋体" w:cs="Times New Roman"/>
          <w:b/>
          <w:color w:val="000000" w:themeColor="text1"/>
          <w:sz w:val="84"/>
          <w:szCs w:val="84"/>
          <w:highlight w:val="none"/>
          <w14:textFill>
            <w14:solidFill>
              <w14:schemeClr w14:val="tx1"/>
            </w14:solidFill>
          </w14:textFill>
        </w:rPr>
        <w:t>竞争性谈判文件</w:t>
      </w:r>
      <w:r>
        <w:rPr>
          <w:rFonts w:hint="eastAsia" w:ascii="宋体" w:hAnsi="宋体" w:eastAsia="宋体" w:cs="Times New Roman"/>
          <w:b/>
          <w:color w:val="000000" w:themeColor="text1"/>
          <w:sz w:val="84"/>
          <w:szCs w:val="84"/>
          <w:highlight w:val="none"/>
          <w14:textFill>
            <w14:solidFill>
              <w14:schemeClr w14:val="tx1"/>
            </w14:solidFill>
          </w14:textFill>
        </w:rPr>
        <w:cr/>
      </w:r>
      <w:r>
        <w:rPr>
          <w:rFonts w:hint="eastAsia" w:ascii="宋体" w:hAnsi="宋体" w:eastAsia="宋体" w:cs="Times New Roman"/>
          <w:b/>
          <w:color w:val="000000" w:themeColor="text1"/>
          <w:sz w:val="84"/>
          <w:szCs w:val="84"/>
          <w:highlight w:val="none"/>
          <w14:textFill>
            <w14:solidFill>
              <w14:schemeClr w14:val="tx1"/>
            </w14:solidFill>
          </w14:textFill>
        </w:rPr>
        <w:cr/>
      </w:r>
    </w:p>
    <w:p w14:paraId="3BDE19A9">
      <w:pPr>
        <w:rPr>
          <w:rFonts w:ascii="宋体" w:hAnsi="宋体" w:eastAsia="宋体" w:cs="Times New Roman"/>
          <w:color w:val="000000" w:themeColor="text1"/>
          <w:szCs w:val="20"/>
          <w:highlight w:val="none"/>
          <w14:textFill>
            <w14:solidFill>
              <w14:schemeClr w14:val="tx1"/>
            </w14:solidFill>
          </w14:textFill>
        </w:rPr>
      </w:pPr>
    </w:p>
    <w:p w14:paraId="2E11ED03">
      <w:pPr>
        <w:rPr>
          <w:rFonts w:ascii="宋体" w:hAnsi="宋体" w:eastAsia="宋体" w:cs="Times New Roman"/>
          <w:color w:val="000000" w:themeColor="text1"/>
          <w:szCs w:val="20"/>
          <w:highlight w:val="none"/>
          <w14:textFill>
            <w14:solidFill>
              <w14:schemeClr w14:val="tx1"/>
            </w14:solidFill>
          </w14:textFill>
        </w:rPr>
      </w:pPr>
    </w:p>
    <w:p w14:paraId="553F6D11">
      <w:pPr>
        <w:spacing w:line="600" w:lineRule="exact"/>
        <w:ind w:left="105" w:leftChars="50"/>
        <w:jc w:val="center"/>
        <w:rPr>
          <w:rFonts w:hint="eastAsia" w:ascii="宋体" w:hAnsi="宋体" w:eastAsia="宋体" w:cs="Times New Roman"/>
          <w:color w:val="000000" w:themeColor="text1"/>
          <w:sz w:val="32"/>
          <w:szCs w:val="32"/>
          <w:highlight w:val="none"/>
          <w:lang w:eastAsia="zh-CN"/>
          <w14:textFill>
            <w14:solidFill>
              <w14:schemeClr w14:val="tx1"/>
            </w14:solidFill>
          </w14:textFill>
        </w:rPr>
      </w:pPr>
      <w:r>
        <w:rPr>
          <w:rFonts w:hint="eastAsia" w:ascii="宋体" w:hAnsi="宋体" w:eastAsia="宋体" w:cs="Times New Roman"/>
          <w:color w:val="000000" w:themeColor="text1"/>
          <w:sz w:val="32"/>
          <w:szCs w:val="32"/>
          <w:highlight w:val="none"/>
          <w14:textFill>
            <w14:solidFill>
              <w14:schemeClr w14:val="tx1"/>
            </w14:solidFill>
          </w14:textFill>
        </w:rPr>
        <w:t>项目名称：</w:t>
      </w:r>
      <w:bookmarkStart w:id="1" w:name="OLE_LINK93"/>
      <w:bookmarkStart w:id="2" w:name="OLE_LINK94"/>
      <w:r>
        <w:rPr>
          <w:rFonts w:hint="eastAsia" w:ascii="宋体" w:hAnsi="宋体" w:eastAsia="宋体" w:cs="Times New Roman"/>
          <w:color w:val="000000" w:themeColor="text1"/>
          <w:sz w:val="32"/>
          <w:szCs w:val="32"/>
          <w:highlight w:val="none"/>
          <w:lang w:eastAsia="zh-CN"/>
          <w14:textFill>
            <w14:solidFill>
              <w14:schemeClr w14:val="tx1"/>
            </w14:solidFill>
          </w14:textFill>
        </w:rPr>
        <w:t>桂林航天工业学院-体育馆设备采购项目</w:t>
      </w:r>
    </w:p>
    <w:bookmarkEnd w:id="1"/>
    <w:bookmarkEnd w:id="2"/>
    <w:p w14:paraId="59C38AF7">
      <w:pPr>
        <w:spacing w:line="600" w:lineRule="exact"/>
        <w:ind w:left="105" w:leftChars="50"/>
        <w:jc w:val="center"/>
        <w:rPr>
          <w:rFonts w:hint="eastAsia" w:ascii="宋体" w:hAnsi="宋体" w:eastAsia="宋体" w:cs="Times New Roman"/>
          <w:color w:val="000000" w:themeColor="text1"/>
          <w:sz w:val="32"/>
          <w:szCs w:val="32"/>
          <w:highlight w:val="none"/>
          <w:lang w:eastAsia="zh-CN"/>
          <w14:textFill>
            <w14:solidFill>
              <w14:schemeClr w14:val="tx1"/>
            </w14:solidFill>
          </w14:textFill>
        </w:rPr>
      </w:pPr>
      <w:r>
        <w:rPr>
          <w:rFonts w:hint="eastAsia" w:ascii="宋体" w:hAnsi="宋体" w:eastAsia="宋体" w:cs="Times New Roman"/>
          <w:color w:val="000000" w:themeColor="text1"/>
          <w:sz w:val="32"/>
          <w:szCs w:val="32"/>
          <w:highlight w:val="none"/>
          <w14:textFill>
            <w14:solidFill>
              <w14:schemeClr w14:val="tx1"/>
            </w14:solidFill>
          </w14:textFill>
        </w:rPr>
        <w:t xml:space="preserve"> 项目编号：</w:t>
      </w:r>
      <w:bookmarkStart w:id="58" w:name="_GoBack"/>
      <w:bookmarkEnd w:id="58"/>
      <w:r>
        <w:rPr>
          <w:rFonts w:hint="eastAsia" w:ascii="宋体" w:hAnsi="宋体" w:eastAsia="宋体" w:cs="Times New Roman"/>
          <w:color w:val="000000" w:themeColor="text1"/>
          <w:sz w:val="32"/>
          <w:szCs w:val="32"/>
          <w:highlight w:val="none"/>
          <w:lang w:eastAsia="zh-CN"/>
          <w14:textFill>
            <w14:solidFill>
              <w14:schemeClr w14:val="tx1"/>
            </w14:solidFill>
          </w14:textFill>
        </w:rPr>
        <w:t>GXZC2025-J1-003235-GXZX</w:t>
      </w:r>
    </w:p>
    <w:p w14:paraId="32D5C610">
      <w:pPr>
        <w:rPr>
          <w:rFonts w:ascii="宋体" w:hAnsi="宋体" w:eastAsia="宋体" w:cs="Times New Roman"/>
          <w:color w:val="000000" w:themeColor="text1"/>
          <w:sz w:val="28"/>
          <w:szCs w:val="28"/>
          <w:highlight w:val="none"/>
          <w14:textFill>
            <w14:solidFill>
              <w14:schemeClr w14:val="tx1"/>
            </w14:solidFill>
          </w14:textFill>
        </w:rPr>
      </w:pPr>
    </w:p>
    <w:p w14:paraId="4C5A8289">
      <w:pPr>
        <w:rPr>
          <w:rFonts w:ascii="宋体" w:hAnsi="宋体" w:eastAsia="宋体" w:cs="Times New Roman"/>
          <w:color w:val="000000" w:themeColor="text1"/>
          <w:sz w:val="44"/>
          <w:szCs w:val="44"/>
          <w:highlight w:val="none"/>
          <w14:textFill>
            <w14:solidFill>
              <w14:schemeClr w14:val="tx1"/>
            </w14:solidFill>
          </w14:textFill>
        </w:rPr>
      </w:pPr>
    </w:p>
    <w:p w14:paraId="013D0DE7">
      <w:pPr>
        <w:pStyle w:val="2"/>
        <w:rPr>
          <w:color w:val="000000" w:themeColor="text1"/>
          <w:highlight w:val="none"/>
          <w14:textFill>
            <w14:solidFill>
              <w14:schemeClr w14:val="tx1"/>
            </w14:solidFill>
          </w14:textFill>
        </w:rPr>
      </w:pPr>
    </w:p>
    <w:p w14:paraId="0A26BAC4">
      <w:pPr>
        <w:rPr>
          <w:rFonts w:ascii="宋体" w:hAnsi="宋体" w:eastAsia="宋体" w:cs="Times New Roman"/>
          <w:color w:val="000000" w:themeColor="text1"/>
          <w:sz w:val="44"/>
          <w:szCs w:val="44"/>
          <w:highlight w:val="none"/>
          <w14:textFill>
            <w14:solidFill>
              <w14:schemeClr w14:val="tx1"/>
            </w14:solidFill>
          </w14:textFill>
        </w:rPr>
      </w:pPr>
    </w:p>
    <w:p w14:paraId="6C1A7F7B">
      <w:pPr>
        <w:jc w:val="center"/>
        <w:rPr>
          <w:rFonts w:ascii="宋体" w:hAnsi="宋体" w:eastAsia="宋体" w:cs="Times New Roman"/>
          <w:color w:val="000000" w:themeColor="text1"/>
          <w:sz w:val="32"/>
          <w:szCs w:val="32"/>
          <w:highlight w:val="none"/>
          <w14:textFill>
            <w14:solidFill>
              <w14:schemeClr w14:val="tx1"/>
            </w14:solidFill>
          </w14:textFill>
        </w:rPr>
      </w:pPr>
      <w:r>
        <w:rPr>
          <w:rFonts w:hint="eastAsia" w:ascii="宋体" w:hAnsi="宋体" w:eastAsia="宋体" w:cs="Times New Roman"/>
          <w:color w:val="000000" w:themeColor="text1"/>
          <w:sz w:val="32"/>
          <w:szCs w:val="32"/>
          <w:highlight w:val="none"/>
          <w14:textFill>
            <w14:solidFill>
              <w14:schemeClr w14:val="tx1"/>
            </w14:solidFill>
          </w14:textFill>
        </w:rPr>
        <w:t>采购单位：桂林航天工业学院</w:t>
      </w:r>
    </w:p>
    <w:p w14:paraId="542067EB">
      <w:pPr>
        <w:jc w:val="center"/>
        <w:rPr>
          <w:rFonts w:ascii="宋体" w:hAnsi="宋体" w:eastAsia="宋体" w:cs="Times New Roman"/>
          <w:color w:val="000000" w:themeColor="text1"/>
          <w:sz w:val="32"/>
          <w:szCs w:val="32"/>
          <w:highlight w:val="none"/>
          <w14:textFill>
            <w14:solidFill>
              <w14:schemeClr w14:val="tx1"/>
            </w14:solidFill>
          </w14:textFill>
        </w:rPr>
      </w:pPr>
      <w:r>
        <w:rPr>
          <w:rFonts w:hint="eastAsia" w:ascii="宋体" w:hAnsi="宋体" w:eastAsia="宋体" w:cs="Times New Roman"/>
          <w:color w:val="000000" w:themeColor="text1"/>
          <w:sz w:val="32"/>
          <w:szCs w:val="32"/>
          <w:highlight w:val="none"/>
          <w14:textFill>
            <w14:solidFill>
              <w14:schemeClr w14:val="tx1"/>
            </w14:solidFill>
          </w14:textFill>
        </w:rPr>
        <w:t>采购代理机构：广西中信恒泰工程顾问有限公司</w:t>
      </w:r>
      <w:r>
        <w:rPr>
          <w:rFonts w:hint="eastAsia" w:ascii="宋体" w:hAnsi="宋体" w:eastAsia="宋体" w:cs="Times New Roman"/>
          <w:color w:val="000000" w:themeColor="text1"/>
          <w:sz w:val="32"/>
          <w:szCs w:val="32"/>
          <w:highlight w:val="none"/>
          <w14:textFill>
            <w14:solidFill>
              <w14:schemeClr w14:val="tx1"/>
            </w14:solidFill>
          </w14:textFill>
        </w:rPr>
        <w:cr/>
      </w:r>
    </w:p>
    <w:p w14:paraId="79CE4B8A">
      <w:pPr>
        <w:jc w:val="center"/>
        <w:rPr>
          <w:rFonts w:ascii="宋体" w:hAnsi="宋体" w:eastAsia="宋体" w:cs="Times New Roman"/>
          <w:color w:val="000000" w:themeColor="text1"/>
          <w:sz w:val="32"/>
          <w:szCs w:val="32"/>
          <w:highlight w:val="none"/>
          <w14:textFill>
            <w14:solidFill>
              <w14:schemeClr w14:val="tx1"/>
            </w14:solidFill>
          </w14:textFill>
        </w:rPr>
      </w:pPr>
      <w:r>
        <w:rPr>
          <w:rFonts w:hint="eastAsia" w:ascii="宋体" w:hAnsi="宋体" w:eastAsia="宋体" w:cs="Times New Roman"/>
          <w:color w:val="000000" w:themeColor="text1"/>
          <w:sz w:val="32"/>
          <w:szCs w:val="32"/>
          <w:highlight w:val="none"/>
          <w14:textFill>
            <w14:solidFill>
              <w14:schemeClr w14:val="tx1"/>
            </w14:solidFill>
          </w14:textFill>
        </w:rPr>
        <w:t>2025年</w:t>
      </w:r>
      <w:r>
        <w:rPr>
          <w:rFonts w:hint="eastAsia" w:ascii="宋体" w:hAnsi="宋体" w:eastAsia="宋体" w:cs="Times New Roman"/>
          <w:color w:val="000000" w:themeColor="text1"/>
          <w:sz w:val="32"/>
          <w:szCs w:val="32"/>
          <w:highlight w:val="none"/>
          <w:lang w:val="en-US" w:eastAsia="zh-CN"/>
          <w14:textFill>
            <w14:solidFill>
              <w14:schemeClr w14:val="tx1"/>
            </w14:solidFill>
          </w14:textFill>
        </w:rPr>
        <w:t>10</w:t>
      </w:r>
      <w:r>
        <w:rPr>
          <w:rFonts w:hint="eastAsia" w:ascii="宋体" w:hAnsi="宋体" w:eastAsia="宋体" w:cs="Times New Roman"/>
          <w:color w:val="000000" w:themeColor="text1"/>
          <w:sz w:val="32"/>
          <w:szCs w:val="32"/>
          <w:highlight w:val="none"/>
          <w14:textFill>
            <w14:solidFill>
              <w14:schemeClr w14:val="tx1"/>
            </w14:solidFill>
          </w14:textFill>
        </w:rPr>
        <w:t>月</w:t>
      </w:r>
    </w:p>
    <w:p w14:paraId="580180B8">
      <w:pPr>
        <w:spacing w:line="420" w:lineRule="exact"/>
        <w:rPr>
          <w:rFonts w:ascii="宋体" w:hAnsi="宋体" w:eastAsia="宋体" w:cs="宋体"/>
          <w:color w:val="000000" w:themeColor="text1"/>
          <w:sz w:val="44"/>
          <w:szCs w:val="20"/>
          <w:highlight w:val="none"/>
          <w14:textFill>
            <w14:solidFill>
              <w14:schemeClr w14:val="tx1"/>
            </w14:solidFill>
          </w14:textFill>
        </w:rPr>
      </w:pPr>
    </w:p>
    <w:p w14:paraId="31F1004A">
      <w:pPr>
        <w:spacing w:line="420" w:lineRule="exact"/>
        <w:jc w:val="center"/>
        <w:rPr>
          <w:rFonts w:ascii="宋体" w:hAnsi="宋体" w:eastAsia="宋体" w:cs="宋体"/>
          <w:color w:val="000000" w:themeColor="text1"/>
          <w:sz w:val="44"/>
          <w:szCs w:val="20"/>
          <w:highlight w:val="none"/>
          <w14:textFill>
            <w14:solidFill>
              <w14:schemeClr w14:val="tx1"/>
            </w14:solidFill>
          </w14:textFill>
        </w:rPr>
      </w:pPr>
    </w:p>
    <w:p w14:paraId="1A27DD47">
      <w:pPr>
        <w:spacing w:line="420" w:lineRule="exact"/>
        <w:jc w:val="center"/>
        <w:rPr>
          <w:rFonts w:ascii="宋体" w:hAnsi="宋体" w:eastAsia="宋体" w:cs="宋体"/>
          <w:color w:val="000000" w:themeColor="text1"/>
          <w:sz w:val="44"/>
          <w:szCs w:val="20"/>
          <w:highlight w:val="none"/>
          <w14:textFill>
            <w14:solidFill>
              <w14:schemeClr w14:val="tx1"/>
            </w14:solidFill>
          </w14:textFill>
        </w:rPr>
      </w:pPr>
    </w:p>
    <w:p w14:paraId="15295EA2">
      <w:pPr>
        <w:spacing w:line="420" w:lineRule="exact"/>
        <w:jc w:val="center"/>
        <w:rPr>
          <w:rFonts w:ascii="宋体" w:hAnsi="宋体" w:eastAsia="宋体" w:cs="宋体"/>
          <w:color w:val="000000" w:themeColor="text1"/>
          <w:sz w:val="44"/>
          <w:szCs w:val="20"/>
          <w:highlight w:val="none"/>
          <w14:textFill>
            <w14:solidFill>
              <w14:schemeClr w14:val="tx1"/>
            </w14:solidFill>
          </w14:textFill>
        </w:rPr>
      </w:pPr>
      <w:r>
        <w:rPr>
          <w:rFonts w:hint="eastAsia" w:ascii="宋体" w:hAnsi="宋体" w:eastAsia="宋体" w:cs="宋体"/>
          <w:color w:val="000000" w:themeColor="text1"/>
          <w:sz w:val="44"/>
          <w:szCs w:val="20"/>
          <w:highlight w:val="none"/>
          <w14:textFill>
            <w14:solidFill>
              <w14:schemeClr w14:val="tx1"/>
            </w14:solidFill>
          </w14:textFill>
        </w:rPr>
        <w:t>目     录</w:t>
      </w:r>
    </w:p>
    <w:p w14:paraId="052255B6">
      <w:pPr>
        <w:keepNext/>
        <w:keepLines/>
        <w:widowControl/>
        <w:spacing w:before="240" w:line="360" w:lineRule="auto"/>
        <w:jc w:val="left"/>
        <w:rPr>
          <w:rFonts w:ascii="Calibri Light" w:hAnsi="Calibri Light" w:eastAsia="宋体" w:cs="Times New Roman"/>
          <w:color w:val="000000" w:themeColor="text1"/>
          <w:kern w:val="0"/>
          <w:sz w:val="24"/>
          <w:szCs w:val="24"/>
          <w:highlight w:val="none"/>
          <w14:textFill>
            <w14:solidFill>
              <w14:schemeClr w14:val="tx1"/>
            </w14:solidFill>
          </w14:textFill>
        </w:rPr>
      </w:pPr>
    </w:p>
    <w:p w14:paraId="18422E85">
      <w:pPr>
        <w:pStyle w:val="41"/>
        <w:tabs>
          <w:tab w:val="right" w:leader="dot" w:pos="9496"/>
        </w:tabs>
        <w:spacing w:line="360" w:lineRule="auto"/>
        <w:ind w:left="0" w:leftChars="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TOC \o "1-3" \h \z \u </w:instrText>
      </w:r>
      <w:r>
        <w:rPr>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"_Toc26073" </w:instrText>
      </w:r>
      <w:r>
        <w:rPr>
          <w:color w:val="000000" w:themeColor="text1"/>
          <w:highlight w:val="none"/>
          <w14:textFill>
            <w14:solidFill>
              <w14:schemeClr w14:val="tx1"/>
            </w14:solidFill>
          </w14:textFill>
        </w:rPr>
        <w:fldChar w:fldCharType="separate"/>
      </w:r>
      <w:r>
        <w:rPr>
          <w:rFonts w:hint="eastAsia" w:ascii="宋体" w:hAnsi="宋体"/>
          <w:bCs/>
          <w:color w:val="000000" w:themeColor="text1"/>
          <w:sz w:val="24"/>
          <w:highlight w:val="none"/>
          <w14:textFill>
            <w14:solidFill>
              <w14:schemeClr w14:val="tx1"/>
            </w14:solidFill>
          </w14:textFill>
        </w:rPr>
        <w:t>第一章、竞争性谈判公告</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_Toc26073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14:paraId="2DB6558F">
      <w:pPr>
        <w:pStyle w:val="35"/>
        <w:tabs>
          <w:tab w:val="right" w:leader="dot" w:pos="9496"/>
        </w:tabs>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"_Toc4414" </w:instrText>
      </w:r>
      <w:r>
        <w:rPr>
          <w:color w:val="000000" w:themeColor="text1"/>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第二章、供应商须知</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_Toc4414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14:paraId="599BA338">
      <w:pPr>
        <w:pStyle w:val="35"/>
        <w:tabs>
          <w:tab w:val="right" w:leader="dot" w:pos="9496"/>
        </w:tabs>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"_Toc29750"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 w:val="24"/>
          <w:highlight w:val="none"/>
          <w14:textFill>
            <w14:solidFill>
              <w14:schemeClr w14:val="tx1"/>
            </w14:solidFill>
          </w14:textFill>
        </w:rPr>
        <w:t>第三章、货物采购需求</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_Toc29750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22</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14:paraId="2D787EEC">
      <w:pPr>
        <w:pStyle w:val="35"/>
        <w:tabs>
          <w:tab w:val="right" w:leader="dot" w:pos="9496"/>
        </w:tabs>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"_Toc16647" </w:instrText>
      </w:r>
      <w:r>
        <w:rPr>
          <w:color w:val="000000" w:themeColor="text1"/>
          <w:highlight w:val="none"/>
          <w14:textFill>
            <w14:solidFill>
              <w14:schemeClr w14:val="tx1"/>
            </w14:solidFill>
          </w14:textFill>
        </w:rPr>
        <w:fldChar w:fldCharType="separate"/>
      </w:r>
      <w:r>
        <w:rPr>
          <w:rFonts w:hint="eastAsia" w:ascii="宋体" w:hAnsi="宋体"/>
          <w:bCs/>
          <w:color w:val="000000" w:themeColor="text1"/>
          <w:sz w:val="24"/>
          <w:highlight w:val="none"/>
          <w14:textFill>
            <w14:solidFill>
              <w14:schemeClr w14:val="tx1"/>
            </w14:solidFill>
          </w14:textFill>
        </w:rPr>
        <w:t>第四章、评审办法</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_Toc16647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55</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14:paraId="22839826">
      <w:pPr>
        <w:pStyle w:val="35"/>
        <w:tabs>
          <w:tab w:val="right" w:leader="dot" w:pos="9496"/>
        </w:tabs>
        <w:spacing w:line="360" w:lineRule="auto"/>
        <w:ind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"_Toc18903"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 w:val="24"/>
          <w:highlight w:val="none"/>
          <w14:textFill>
            <w14:solidFill>
              <w14:schemeClr w14:val="tx1"/>
            </w14:solidFill>
          </w14:textFill>
        </w:rPr>
        <w:t>第五章、政府采购合同（合同主要条款及格式）</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_Toc18903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56</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14:paraId="1E80B7A8">
      <w:pPr>
        <w:pStyle w:val="41"/>
        <w:tabs>
          <w:tab w:val="right" w:leader="dot" w:pos="9496"/>
        </w:tabs>
        <w:spacing w:line="360" w:lineRule="auto"/>
        <w:ind w:left="0" w:leftChars="0" w:firstLine="420" w:firstLineChars="20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"_Toc12363" </w:instrText>
      </w:r>
      <w:r>
        <w:rPr>
          <w:color w:val="000000" w:themeColor="text1"/>
          <w:highlight w:val="none"/>
          <w14:textFill>
            <w14:solidFill>
              <w14:schemeClr w14:val="tx1"/>
            </w14:solidFill>
          </w14:textFill>
        </w:rPr>
        <w:fldChar w:fldCharType="separate"/>
      </w:r>
      <w:r>
        <w:rPr>
          <w:rFonts w:hint="eastAsia" w:ascii="宋体" w:hAnsi="宋体"/>
          <w:bCs/>
          <w:color w:val="000000" w:themeColor="text1"/>
          <w:sz w:val="24"/>
          <w:highlight w:val="none"/>
          <w14:textFill>
            <w14:solidFill>
              <w14:schemeClr w14:val="tx1"/>
            </w14:solidFill>
          </w14:textFill>
        </w:rPr>
        <w:t>第六章、响应文件格式</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_Toc12363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64</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14:paraId="29EEFE16">
      <w:pPr>
        <w:spacing w:line="360" w:lineRule="auto"/>
        <w:rPr>
          <w:rFonts w:ascii="Times New Roman" w:hAnsi="Times New Roman" w:eastAsia="宋体" w:cs="Times New Roman"/>
          <w:color w:val="000000" w:themeColor="text1"/>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688594D">
      <w:pPr>
        <w:tabs>
          <w:tab w:val="left" w:pos="8860"/>
          <w:tab w:val="left" w:pos="9140"/>
        </w:tabs>
        <w:rPr>
          <w:rFonts w:ascii="宋体" w:hAnsi="宋体" w:eastAsia="宋体" w:cs="宋体"/>
          <w:color w:val="000000" w:themeColor="text1"/>
          <w:sz w:val="32"/>
          <w:szCs w:val="20"/>
          <w:highlight w:val="none"/>
          <w14:textFill>
            <w14:solidFill>
              <w14:schemeClr w14:val="tx1"/>
            </w14:solidFill>
          </w14:textFill>
        </w:rPr>
      </w:pPr>
    </w:p>
    <w:p w14:paraId="18AFD042">
      <w:pPr>
        <w:keepNext/>
        <w:keepLines/>
        <w:spacing w:before="260" w:after="260" w:line="0" w:lineRule="atLeast"/>
        <w:jc w:val="center"/>
        <w:outlineLvl w:val="1"/>
        <w:rPr>
          <w:rFonts w:ascii="宋体" w:hAnsi="宋体" w:eastAsia="宋体" w:cs="Times New Roman"/>
          <w:b/>
          <w:bCs/>
          <w:color w:val="000000" w:themeColor="text1"/>
          <w:sz w:val="32"/>
          <w:szCs w:val="32"/>
          <w:highlight w:val="none"/>
          <w14:textFill>
            <w14:solidFill>
              <w14:schemeClr w14:val="tx1"/>
            </w14:solidFill>
          </w14:textFill>
        </w:rPr>
      </w:pPr>
      <w:r>
        <w:rPr>
          <w:rFonts w:hint="eastAsia" w:ascii="宋体" w:hAnsi="宋体" w:eastAsia="黑体" w:cs="宋体"/>
          <w:bCs/>
          <w:color w:val="000000" w:themeColor="text1"/>
          <w:sz w:val="32"/>
          <w:szCs w:val="32"/>
          <w:highlight w:val="none"/>
          <w14:textFill>
            <w14:solidFill>
              <w14:schemeClr w14:val="tx1"/>
            </w14:solidFill>
          </w14:textFill>
        </w:rPr>
        <w:br w:type="page"/>
      </w:r>
      <w:bookmarkStart w:id="3" w:name="_Toc456863723"/>
      <w:bookmarkStart w:id="4" w:name="_Toc26073"/>
      <w:r>
        <w:rPr>
          <w:rFonts w:hint="eastAsia" w:ascii="宋体" w:hAnsi="宋体" w:eastAsia="宋体" w:cs="Times New Roman"/>
          <w:b/>
          <w:bCs/>
          <w:color w:val="000000" w:themeColor="text1"/>
          <w:sz w:val="32"/>
          <w:szCs w:val="32"/>
          <w:highlight w:val="none"/>
          <w14:textFill>
            <w14:solidFill>
              <w14:schemeClr w14:val="tx1"/>
            </w14:solidFill>
          </w14:textFill>
        </w:rPr>
        <w:t>第一章、竞争性谈判公告</w:t>
      </w:r>
      <w:bookmarkEnd w:id="3"/>
      <w:bookmarkEnd w:id="4"/>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3C79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064" w:type="dxa"/>
            <w:vAlign w:val="center"/>
          </w:tcPr>
          <w:p w14:paraId="35F0F6DE">
            <w:pPr>
              <w:spacing w:line="34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项目概况：</w:t>
            </w:r>
          </w:p>
          <w:p w14:paraId="0363F652">
            <w:pPr>
              <w:wordWrap w:val="0"/>
              <w:spacing w:line="34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u w:val="single"/>
                <w:lang w:eastAsia="zh-CN"/>
                <w14:textFill>
                  <w14:solidFill>
                    <w14:schemeClr w14:val="tx1"/>
                  </w14:solidFill>
                </w14:textFill>
              </w:rPr>
              <w:t>桂林航天工业学院-体育馆设备采购项目</w:t>
            </w:r>
            <w:r>
              <w:rPr>
                <w:rFonts w:hint="eastAsia" w:ascii="宋体" w:hAnsi="宋体" w:eastAsia="宋体" w:cs="Times New Roman"/>
                <w:color w:val="000000" w:themeColor="text1"/>
                <w:szCs w:val="21"/>
                <w:highlight w:val="none"/>
                <w14:textFill>
                  <w14:solidFill>
                    <w14:schemeClr w14:val="tx1"/>
                  </w14:solidFill>
                </w14:textFill>
              </w:rPr>
              <w:t>的潜在供应商应在</w:t>
            </w:r>
            <w:r>
              <w:rPr>
                <w:rFonts w:hint="eastAsia" w:ascii="宋体" w:hAnsi="宋体" w:eastAsia="宋体" w:cs="Times New Roman"/>
                <w:color w:val="000000" w:themeColor="text1"/>
                <w:szCs w:val="21"/>
                <w:highlight w:val="none"/>
                <w:u w:val="single"/>
                <w14:textFill>
                  <w14:solidFill>
                    <w14:schemeClr w14:val="tx1"/>
                  </w14:solidFill>
                </w14:textFill>
              </w:rPr>
              <w:t>https://www.gcy.zfcg.gxzf.gov.cn/（广西政府采购云平台）线上获取采购文件电子版</w:t>
            </w:r>
            <w:r>
              <w:rPr>
                <w:rFonts w:hint="eastAsia" w:ascii="宋体" w:hAnsi="宋体" w:eastAsia="宋体" w:cs="Times New Roman"/>
                <w:color w:val="000000" w:themeColor="text1"/>
                <w:szCs w:val="21"/>
                <w:highlight w:val="none"/>
                <w14:textFill>
                  <w14:solidFill>
                    <w14:schemeClr w14:val="tx1"/>
                  </w14:solidFill>
                </w14:textFill>
              </w:rPr>
              <w:t>，并</w:t>
            </w:r>
            <w:r>
              <w:rPr>
                <w:rFonts w:hint="eastAsia" w:ascii="宋体" w:hAnsi="宋体" w:eastAsia="宋体" w:cs="Times New Roman"/>
                <w:color w:val="000000" w:themeColor="text1"/>
                <w:szCs w:val="21"/>
                <w:highlight w:val="none"/>
                <w:u w:val="single"/>
                <w:lang w:eastAsia="zh-CN"/>
                <w14:textFill>
                  <w14:solidFill>
                    <w14:schemeClr w14:val="tx1"/>
                  </w14:solidFill>
                </w14:textFill>
              </w:rPr>
              <w:t>2025年11月4日</w:t>
            </w:r>
            <w:r>
              <w:rPr>
                <w:rFonts w:hint="eastAsia" w:ascii="宋体" w:hAnsi="宋体" w:eastAsia="宋体" w:cs="Times New Roman"/>
                <w:bCs/>
                <w:color w:val="000000" w:themeColor="text1"/>
                <w:szCs w:val="21"/>
                <w:highlight w:val="none"/>
                <w:u w:val="single"/>
                <w14:textFill>
                  <w14:solidFill>
                    <w14:schemeClr w14:val="tx1"/>
                  </w14:solidFill>
                </w14:textFill>
              </w:rPr>
              <w:t>9时30分（</w:t>
            </w:r>
            <w:r>
              <w:rPr>
                <w:rFonts w:hint="eastAsia" w:ascii="宋体" w:hAnsi="宋体" w:eastAsia="宋体" w:cs="Times New Roman"/>
                <w:bCs/>
                <w:color w:val="000000" w:themeColor="text1"/>
                <w:szCs w:val="21"/>
                <w:highlight w:val="none"/>
                <w14:textFill>
                  <w14:solidFill>
                    <w14:schemeClr w14:val="tx1"/>
                  </w14:solidFill>
                </w14:textFill>
              </w:rPr>
              <w:t>北京时间）前递交响应</w:t>
            </w:r>
            <w:r>
              <w:rPr>
                <w:rFonts w:ascii="宋体" w:hAnsi="宋体" w:eastAsia="宋体" w:cs="Times New Roman"/>
                <w:bCs/>
                <w:color w:val="000000" w:themeColor="text1"/>
                <w:szCs w:val="21"/>
                <w:highlight w:val="none"/>
                <w14:textFill>
                  <w14:solidFill>
                    <w14:schemeClr w14:val="tx1"/>
                  </w14:solidFill>
                </w14:textFill>
              </w:rPr>
              <w:t>文件</w:t>
            </w:r>
            <w:r>
              <w:rPr>
                <w:rFonts w:hint="eastAsia" w:ascii="宋体" w:hAnsi="宋体" w:eastAsia="宋体" w:cs="Times New Roman"/>
                <w:color w:val="000000" w:themeColor="text1"/>
                <w:szCs w:val="21"/>
                <w:highlight w:val="none"/>
                <w14:textFill>
                  <w14:solidFill>
                    <w14:schemeClr w14:val="tx1"/>
                  </w14:solidFill>
                </w14:textFill>
              </w:rPr>
              <w:t>。</w:t>
            </w:r>
          </w:p>
        </w:tc>
      </w:tr>
    </w:tbl>
    <w:p w14:paraId="594D6291">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一、项目基本情况</w:t>
      </w:r>
    </w:p>
    <w:p w14:paraId="1CCCABD6">
      <w:pPr>
        <w:spacing w:line="380" w:lineRule="exact"/>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项目编号：</w:t>
      </w:r>
      <w:r>
        <w:rPr>
          <w:rFonts w:hint="eastAsia" w:ascii="宋体" w:hAnsi="宋体" w:eastAsia="宋体" w:cs="Times New Roman"/>
          <w:color w:val="000000" w:themeColor="text1"/>
          <w:szCs w:val="21"/>
          <w:highlight w:val="none"/>
          <w:lang w:eastAsia="zh-CN"/>
          <w14:textFill>
            <w14:solidFill>
              <w14:schemeClr w14:val="tx1"/>
            </w14:solidFill>
          </w14:textFill>
        </w:rPr>
        <w:t>GXZC2025-J1-003235-GXZX</w:t>
      </w:r>
    </w:p>
    <w:p w14:paraId="4621DFBD">
      <w:pPr>
        <w:spacing w:line="380" w:lineRule="exact"/>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4"/>
          <w:highlight w:val="none"/>
          <w:lang w:eastAsia="zh-CN"/>
          <w14:textFill>
            <w14:solidFill>
              <w14:schemeClr w14:val="tx1"/>
            </w14:solidFill>
          </w14:textFill>
        </w:rPr>
        <w:t>桂林航天工业学院-体育馆设备采购项目</w:t>
      </w:r>
    </w:p>
    <w:p w14:paraId="10318F45">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采购方式：竞争性谈判 </w:t>
      </w:r>
    </w:p>
    <w:p w14:paraId="211F9132">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预算总金额（元）：</w:t>
      </w:r>
      <w:r>
        <w:rPr>
          <w:rFonts w:hint="eastAsia" w:ascii="宋体" w:hAnsi="宋体" w:eastAsia="宋体" w:cs="Times New Roman"/>
          <w:color w:val="000000" w:themeColor="text1"/>
          <w:szCs w:val="21"/>
          <w:highlight w:val="none"/>
          <w:lang w:eastAsia="zh-CN"/>
          <w14:textFill>
            <w14:solidFill>
              <w14:schemeClr w14:val="tx1"/>
            </w14:solidFill>
          </w14:textFill>
        </w:rPr>
        <w:t>1973600.00</w:t>
      </w:r>
      <w:r>
        <w:rPr>
          <w:rFonts w:hint="eastAsia" w:ascii="宋体" w:hAnsi="宋体" w:eastAsia="宋体" w:cs="Times New Roman"/>
          <w:color w:val="000000" w:themeColor="text1"/>
          <w:szCs w:val="21"/>
          <w:highlight w:val="none"/>
          <w14:textFill>
            <w14:solidFill>
              <w14:schemeClr w14:val="tx1"/>
            </w14:solidFill>
          </w14:textFill>
        </w:rPr>
        <w:t xml:space="preserve">  </w:t>
      </w:r>
    </w:p>
    <w:p w14:paraId="3F02E038">
      <w:pPr>
        <w:spacing w:line="38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采购需求：</w:t>
      </w:r>
    </w:p>
    <w:p w14:paraId="1089EA3E">
      <w:pPr>
        <w:spacing w:line="380" w:lineRule="exact"/>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标项名称：</w:t>
      </w:r>
      <w:r>
        <w:rPr>
          <w:rFonts w:hint="eastAsia" w:ascii="宋体" w:hAnsi="宋体" w:eastAsia="宋体" w:cs="宋体"/>
          <w:color w:val="000000" w:themeColor="text1"/>
          <w:szCs w:val="24"/>
          <w:highlight w:val="none"/>
          <w:lang w:eastAsia="zh-CN"/>
          <w14:textFill>
            <w14:solidFill>
              <w14:schemeClr w14:val="tx1"/>
            </w14:solidFill>
          </w14:textFill>
        </w:rPr>
        <w:t>桂林航天工业学院-体育馆设备采购项目</w:t>
      </w:r>
    </w:p>
    <w:p w14:paraId="76D3AE69">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数量：1</w:t>
      </w:r>
    </w:p>
    <w:p w14:paraId="3B7BFDB0">
      <w:pPr>
        <w:spacing w:line="380" w:lineRule="exact"/>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预算金额（元）：</w:t>
      </w:r>
      <w:r>
        <w:rPr>
          <w:rFonts w:hint="eastAsia" w:ascii="宋体" w:hAnsi="宋体" w:eastAsia="宋体" w:cs="Times New Roman"/>
          <w:color w:val="000000" w:themeColor="text1"/>
          <w:szCs w:val="21"/>
          <w:highlight w:val="none"/>
          <w:lang w:eastAsia="zh-CN"/>
          <w14:textFill>
            <w14:solidFill>
              <w14:schemeClr w14:val="tx1"/>
            </w14:solidFill>
          </w14:textFill>
        </w:rPr>
        <w:t>1973600.00</w:t>
      </w:r>
    </w:p>
    <w:p w14:paraId="132C833E">
      <w:pPr>
        <w:spacing w:line="380" w:lineRule="exac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简要规格描述或项目基本概况介绍、用途：</w:t>
      </w:r>
      <w:bookmarkStart w:id="5" w:name="OLE_LINK53"/>
      <w:bookmarkStart w:id="6" w:name="OLE_LINK52"/>
      <w:r>
        <w:rPr>
          <w:rFonts w:hint="eastAsia" w:ascii="Times New Roman" w:hAnsi="Times New Roman" w:eastAsia="宋体" w:cs="Times New Roman"/>
          <w:color w:val="000000" w:themeColor="text1"/>
          <w:szCs w:val="21"/>
          <w:highlight w:val="none"/>
          <w14:textFill>
            <w14:solidFill>
              <w14:schemeClr w14:val="tx1"/>
            </w14:solidFill>
          </w14:textFill>
        </w:rPr>
        <w:t>采购体育馆使用的音响扩声系统、视频监控系统、体育教学用多媒体系统等</w:t>
      </w:r>
      <w:r>
        <w:rPr>
          <w:rFonts w:ascii="Times New Roman" w:hAnsi="Times New Roman" w:eastAsia="宋体" w:cs="Times New Roman"/>
          <w:color w:val="000000" w:themeColor="text1"/>
          <w:szCs w:val="21"/>
          <w:highlight w:val="none"/>
          <w14:textFill>
            <w14:solidFill>
              <w14:schemeClr w14:val="tx1"/>
            </w14:solidFill>
          </w14:textFill>
        </w:rPr>
        <w:t>。如需进一步了解详细内容，详见竞争性谈判文件中《货物采购需求》。</w:t>
      </w:r>
    </w:p>
    <w:bookmarkEnd w:id="5"/>
    <w:bookmarkEnd w:id="6"/>
    <w:p w14:paraId="568361A3">
      <w:pPr>
        <w:spacing w:line="380" w:lineRule="exact"/>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最高限价（如有）：</w:t>
      </w:r>
      <w:r>
        <w:rPr>
          <w:rFonts w:hint="eastAsia" w:ascii="宋体" w:hAnsi="宋体" w:eastAsia="宋体" w:cs="Times New Roman"/>
          <w:color w:val="000000" w:themeColor="text1"/>
          <w:szCs w:val="21"/>
          <w:highlight w:val="none"/>
          <w:lang w:eastAsia="zh-CN"/>
          <w14:textFill>
            <w14:solidFill>
              <w14:schemeClr w14:val="tx1"/>
            </w14:solidFill>
          </w14:textFill>
        </w:rPr>
        <w:t>1973600.00</w:t>
      </w:r>
    </w:p>
    <w:p w14:paraId="79F88C2A">
      <w:pPr>
        <w:spacing w:line="380" w:lineRule="exact"/>
        <w:ind w:firstLine="420" w:firstLineChars="200"/>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合同履行期限：自合同签订之日起45天内交货并安装调试合格交付使用</w:t>
      </w:r>
      <w:r>
        <w:rPr>
          <w:rFonts w:hint="eastAsia" w:ascii="Times New Roman" w:hAnsi="宋体" w:eastAsia="宋体" w:cs="Times New Roman"/>
          <w:color w:val="000000" w:themeColor="text1"/>
          <w:szCs w:val="21"/>
          <w:highlight w:val="none"/>
          <w14:textFill>
            <w14:solidFill>
              <w14:schemeClr w14:val="tx1"/>
            </w14:solidFill>
          </w14:textFill>
        </w:rPr>
        <w:t>。</w:t>
      </w:r>
    </w:p>
    <w:p w14:paraId="51042C39">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本标项</w:t>
      </w:r>
      <w:r>
        <w:rPr>
          <w:rFonts w:hint="eastAsia" w:ascii="宋体" w:hAnsi="宋体" w:eastAsia="宋体" w:cs="Times New Roman"/>
          <w:color w:val="000000" w:themeColor="text1"/>
          <w:szCs w:val="21"/>
          <w:highlight w:val="none"/>
          <w:u w:val="single"/>
          <w14:textFill>
            <w14:solidFill>
              <w14:schemeClr w14:val="tx1"/>
            </w14:solidFill>
          </w14:textFill>
        </w:rPr>
        <w:t xml:space="preserve"> 否 </w:t>
      </w:r>
      <w:r>
        <w:rPr>
          <w:rFonts w:hint="eastAsia" w:ascii="宋体" w:hAnsi="宋体" w:eastAsia="宋体" w:cs="Times New Roman"/>
          <w:color w:val="000000" w:themeColor="text1"/>
          <w:szCs w:val="21"/>
          <w:highlight w:val="none"/>
          <w14:textFill>
            <w14:solidFill>
              <w14:schemeClr w14:val="tx1"/>
            </w14:solidFill>
          </w14:textFill>
        </w:rPr>
        <w:t>接受联合体谈判</w:t>
      </w:r>
    </w:p>
    <w:p w14:paraId="5953A418">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备注：/</w:t>
      </w:r>
    </w:p>
    <w:p w14:paraId="5DA4551D">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二、申请人的资格要求：</w:t>
      </w:r>
    </w:p>
    <w:p w14:paraId="0391A357">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1.满足《中华人民共和国政府采购法》第二十二条规定；</w:t>
      </w:r>
    </w:p>
    <w:p w14:paraId="4A4A3ECC">
      <w:pPr>
        <w:spacing w:line="380" w:lineRule="exac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2.落实政府采购政策需满足的资格要求：</w:t>
      </w:r>
      <w:r>
        <w:rPr>
          <w:rFonts w:hint="eastAsia" w:ascii="宋体" w:hAnsi="宋体" w:eastAsia="宋体"/>
          <w:color w:val="000000" w:themeColor="text1"/>
          <w:szCs w:val="21"/>
          <w:highlight w:val="none"/>
          <w:lang w:val="en-US" w:eastAsia="zh-CN"/>
          <w14:textFill>
            <w14:solidFill>
              <w14:schemeClr w14:val="tx1"/>
            </w14:solidFill>
          </w14:textFill>
        </w:rPr>
        <w:t>无</w:t>
      </w:r>
      <w:r>
        <w:rPr>
          <w:rFonts w:hint="eastAsia" w:ascii="宋体" w:hAnsi="宋体" w:eastAsia="宋体" w:cs="Times New Roman"/>
          <w:color w:val="000000" w:themeColor="text1"/>
          <w:szCs w:val="21"/>
          <w:highlight w:val="none"/>
          <w14:textFill>
            <w14:solidFill>
              <w14:schemeClr w14:val="tx1"/>
            </w14:solidFill>
          </w14:textFill>
        </w:rPr>
        <w:t>；</w:t>
      </w:r>
    </w:p>
    <w:p w14:paraId="66734495">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3.本项目的特定资格要求：无。</w:t>
      </w:r>
    </w:p>
    <w:p w14:paraId="7CB969A1">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三、获取采购文件：</w:t>
      </w:r>
    </w:p>
    <w:p w14:paraId="7746ED02">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时间：2025年</w:t>
      </w:r>
      <w:r>
        <w:rPr>
          <w:rFonts w:hint="eastAsia" w:ascii="宋体" w:hAnsi="宋体" w:eastAsia="宋体" w:cs="Times New Roman"/>
          <w:color w:val="000000" w:themeColor="text1"/>
          <w:szCs w:val="21"/>
          <w:highlight w:val="none"/>
          <w:lang w:val="en-US" w:eastAsia="zh-CN"/>
          <w14:textFill>
            <w14:solidFill>
              <w14:schemeClr w14:val="tx1"/>
            </w14:solidFill>
          </w14:textFill>
        </w:rPr>
        <w:t>10</w:t>
      </w:r>
      <w:r>
        <w:rPr>
          <w:rFonts w:hint="eastAsia" w:ascii="宋体" w:hAnsi="宋体" w:eastAsia="宋体" w:cs="Times New Roman"/>
          <w:color w:val="000000" w:themeColor="text1"/>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lang w:val="en-US" w:eastAsia="zh-CN"/>
          <w14:textFill>
            <w14:solidFill>
              <w14:schemeClr w14:val="tx1"/>
            </w14:solidFill>
          </w14:textFill>
        </w:rPr>
        <w:t>29</w:t>
      </w:r>
      <w:r>
        <w:rPr>
          <w:rFonts w:hint="eastAsia" w:ascii="宋体" w:hAnsi="宋体" w:eastAsia="宋体" w:cs="Times New Roman"/>
          <w:color w:val="000000" w:themeColor="text1"/>
          <w:szCs w:val="21"/>
          <w:highlight w:val="none"/>
          <w14:textFill>
            <w14:solidFill>
              <w14:schemeClr w14:val="tx1"/>
            </w14:solidFill>
          </w14:textFill>
        </w:rPr>
        <w:t>日自发布公告之时至</w:t>
      </w:r>
      <w:r>
        <w:rPr>
          <w:rFonts w:hint="eastAsia" w:ascii="宋体" w:hAnsi="宋体" w:eastAsia="宋体" w:cs="Times New Roman"/>
          <w:color w:val="000000" w:themeColor="text1"/>
          <w:szCs w:val="21"/>
          <w:highlight w:val="none"/>
          <w:lang w:eastAsia="zh-CN"/>
          <w14:textFill>
            <w14:solidFill>
              <w14:schemeClr w14:val="tx1"/>
            </w14:solidFill>
          </w14:textFill>
        </w:rPr>
        <w:t>2025年11月4日</w:t>
      </w:r>
      <w:r>
        <w:rPr>
          <w:rFonts w:hint="eastAsia" w:ascii="宋体" w:hAnsi="宋体" w:eastAsia="宋体" w:cs="Times New Roman"/>
          <w:color w:val="000000" w:themeColor="text1"/>
          <w:szCs w:val="21"/>
          <w:highlight w:val="none"/>
          <w14:textFill>
            <w14:solidFill>
              <w14:schemeClr w14:val="tx1"/>
            </w14:solidFill>
          </w14:textFill>
        </w:rPr>
        <w:t>，每天上午00:00至11:59 ，下午12:00至23:59（北京时间，法定节假日除外）；　</w:t>
      </w:r>
    </w:p>
    <w:p w14:paraId="460519CB">
      <w:pPr>
        <w:spacing w:line="380" w:lineRule="exact"/>
        <w:ind w:firstLine="420" w:firstLineChars="200"/>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地点（网址）：</w:t>
      </w:r>
      <w:bookmarkStart w:id="7" w:name="OLE_LINK56"/>
      <w:bookmarkStart w:id="8" w:name="OLE_LINK55"/>
      <w:r>
        <w:rPr>
          <w:rFonts w:hint="eastAsia" w:ascii="宋体" w:hAnsi="宋体" w:eastAsia="宋体" w:cs="Times New Roman"/>
          <w:color w:val="000000" w:themeColor="text1"/>
          <w:szCs w:val="21"/>
          <w:highlight w:val="none"/>
          <w14:textFill>
            <w14:solidFill>
              <w14:schemeClr w14:val="tx1"/>
            </w14:solidFill>
          </w14:textFill>
        </w:rPr>
        <w:t>https://www.gcy.zfcg.gxzf.gov.cn/（广西政府采购云平台）线上获取</w:t>
      </w:r>
      <w:bookmarkEnd w:id="7"/>
      <w:bookmarkEnd w:id="8"/>
      <w:r>
        <w:rPr>
          <w:rFonts w:hint="eastAsia" w:ascii="宋体" w:hAnsi="宋体" w:eastAsia="宋体" w:cs="Times New Roman"/>
          <w:color w:val="000000" w:themeColor="text1"/>
          <w:szCs w:val="21"/>
          <w:highlight w:val="none"/>
          <w14:textFill>
            <w14:solidFill>
              <w14:schemeClr w14:val="tx1"/>
            </w14:solidFill>
          </w14:textFill>
        </w:rPr>
        <w:t>；</w:t>
      </w:r>
    </w:p>
    <w:p w14:paraId="3264E334">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方式：</w:t>
      </w:r>
      <w:bookmarkStart w:id="9" w:name="OLE_LINK58"/>
      <w:bookmarkStart w:id="10" w:name="OLE_LINK57"/>
      <w:r>
        <w:rPr>
          <w:rFonts w:hint="eastAsia" w:ascii="宋体" w:hAnsi="宋体" w:eastAsia="宋体" w:cs="Times New Roman"/>
          <w:color w:val="000000" w:themeColor="text1"/>
          <w:szCs w:val="21"/>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bookmarkEnd w:id="9"/>
      <w:bookmarkEnd w:id="10"/>
      <w:r>
        <w:rPr>
          <w:rFonts w:hint="eastAsia" w:ascii="宋体" w:hAnsi="宋体" w:eastAsia="宋体" w:cs="Times New Roman"/>
          <w:color w:val="000000" w:themeColor="text1"/>
          <w:szCs w:val="21"/>
          <w:highlight w:val="none"/>
          <w14:textFill>
            <w14:solidFill>
              <w14:schemeClr w14:val="tx1"/>
            </w14:solidFill>
          </w14:textFill>
        </w:rPr>
        <w:t>。</w:t>
      </w:r>
    </w:p>
    <w:p w14:paraId="07247610">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售价（元）：0 </w:t>
      </w:r>
    </w:p>
    <w:p w14:paraId="7F51D965">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四、响应文件提交</w:t>
      </w:r>
    </w:p>
    <w:p w14:paraId="2664F1A0">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截止时间：</w:t>
      </w:r>
      <w:r>
        <w:rPr>
          <w:rFonts w:hint="eastAsia" w:ascii="宋体" w:hAnsi="宋体" w:eastAsia="宋体" w:cs="Times New Roman"/>
          <w:color w:val="000000" w:themeColor="text1"/>
          <w:szCs w:val="21"/>
          <w:highlight w:val="none"/>
          <w:lang w:eastAsia="zh-CN"/>
          <w14:textFill>
            <w14:solidFill>
              <w14:schemeClr w14:val="tx1"/>
            </w14:solidFill>
          </w14:textFill>
        </w:rPr>
        <w:t>2025年11月4日</w:t>
      </w:r>
      <w:r>
        <w:rPr>
          <w:rFonts w:hint="eastAsia" w:ascii="宋体" w:hAnsi="宋体" w:eastAsia="宋体" w:cs="Times New Roman"/>
          <w:color w:val="000000" w:themeColor="text1"/>
          <w:szCs w:val="21"/>
          <w:highlight w:val="none"/>
          <w14:textFill>
            <w14:solidFill>
              <w14:schemeClr w14:val="tx1"/>
            </w14:solidFill>
          </w14:textFill>
        </w:rPr>
        <w:t>9时30分（北京时间）；</w:t>
      </w:r>
    </w:p>
    <w:p w14:paraId="5C7E7A23">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地点（网址）：通过广西政府采购云平台在线提交响应文件。</w:t>
      </w:r>
    </w:p>
    <w:p w14:paraId="63D1992B">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五、响应文件开启</w:t>
      </w:r>
    </w:p>
    <w:p w14:paraId="401C7970">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时间：</w:t>
      </w:r>
      <w:r>
        <w:rPr>
          <w:rFonts w:hint="eastAsia" w:ascii="宋体" w:hAnsi="宋体" w:eastAsia="宋体" w:cs="Times New Roman"/>
          <w:color w:val="000000" w:themeColor="text1"/>
          <w:szCs w:val="21"/>
          <w:highlight w:val="none"/>
          <w:lang w:eastAsia="zh-CN"/>
          <w14:textFill>
            <w14:solidFill>
              <w14:schemeClr w14:val="tx1"/>
            </w14:solidFill>
          </w14:textFill>
        </w:rPr>
        <w:t>2025年11月4日</w:t>
      </w:r>
      <w:r>
        <w:rPr>
          <w:rFonts w:hint="eastAsia" w:ascii="宋体" w:hAnsi="宋体" w:eastAsia="宋体" w:cs="Times New Roman"/>
          <w:color w:val="000000" w:themeColor="text1"/>
          <w:szCs w:val="21"/>
          <w:highlight w:val="none"/>
          <w14:textFill>
            <w14:solidFill>
              <w14:schemeClr w14:val="tx1"/>
            </w14:solidFill>
          </w14:textFill>
        </w:rPr>
        <w:t>9时30分（北京时间）；</w:t>
      </w:r>
    </w:p>
    <w:p w14:paraId="29AC7653">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本项目将在广西政府采购云平台电子开标大厅解密、开启</w:t>
      </w:r>
      <w:r>
        <w:rPr>
          <w:rFonts w:hint="eastAsia" w:ascii="宋体" w:hAnsi="宋体" w:eastAsia="宋体" w:cs="Times New Roman"/>
          <w:color w:val="000000" w:themeColor="text1"/>
          <w:szCs w:val="21"/>
          <w:highlight w:val="none"/>
          <w14:textFill>
            <w14:solidFill>
              <w14:schemeClr w14:val="tx1"/>
            </w14:solidFill>
          </w14:textFill>
        </w:rPr>
        <w:t>。</w:t>
      </w:r>
    </w:p>
    <w:p w14:paraId="23AA25B1">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六、公告期限：</w:t>
      </w:r>
    </w:p>
    <w:p w14:paraId="054FEA95">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自本公告发布之日起</w:t>
      </w: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个工作日。</w:t>
      </w:r>
    </w:p>
    <w:p w14:paraId="421C5DB3">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七、其他补充事宜：</w:t>
      </w:r>
    </w:p>
    <w:p w14:paraId="6625A822">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bookmarkStart w:id="11" w:name="OLE_LINK61"/>
      <w:r>
        <w:rPr>
          <w:rFonts w:hint="eastAsia" w:ascii="宋体" w:hAnsi="宋体" w:eastAsia="宋体" w:cs="Times New Roman"/>
          <w:color w:val="000000" w:themeColor="text1"/>
          <w:szCs w:val="21"/>
          <w:highlight w:val="none"/>
          <w14:textFill>
            <w14:solidFill>
              <w14:schemeClr w14:val="tx1"/>
            </w14:solidFill>
          </w14:textFill>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2582B4B0">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7D866547">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3.本项目需要落实的政府采购政策：</w:t>
      </w:r>
    </w:p>
    <w:p w14:paraId="1C45D426">
      <w:pPr>
        <w:tabs>
          <w:tab w:val="left" w:pos="1305"/>
        </w:tabs>
        <w:spacing w:line="400" w:lineRule="exact"/>
        <w:ind w:firstLine="422" w:firstLineChars="200"/>
        <w:rPr>
          <w:rFonts w:ascii="Times New Roman" w:hAnsi="Times New Roman" w:cs="Times New Roman"/>
          <w:b/>
          <w:bCs/>
          <w:color w:val="000000" w:themeColor="text1"/>
          <w:szCs w:val="24"/>
          <w:highlight w:val="none"/>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3.1本项目非专门面向中小企业采购</w:t>
      </w:r>
      <w:r>
        <w:rPr>
          <w:rFonts w:hint="eastAsia"/>
          <w:b/>
          <w:bCs/>
          <w:color w:val="000000" w:themeColor="text1"/>
          <w:highlight w:val="none"/>
          <w14:textFill>
            <w14:solidFill>
              <w14:schemeClr w14:val="tx1"/>
            </w14:solidFill>
          </w14:textFill>
        </w:rPr>
        <w:t>。</w:t>
      </w:r>
    </w:p>
    <w:p w14:paraId="2DDEFEDA">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3.2《政府采购促进中小企业发展管理办法》（财库[2020]46号）、《广西壮族自治区财政厅关于持续优化政府采购营商环境推动高质量发展的通知》（桂财采〔2024〕55号）。</w:t>
      </w:r>
    </w:p>
    <w:p w14:paraId="4EB457E0">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3.3《关于政府采购支持监狱企业发展有关问题的通知》（财库[2014]68号）。 </w:t>
      </w:r>
    </w:p>
    <w:p w14:paraId="6ECECA5D">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3.4《关于促进残疾人就业政府采购政策的通知》（财库[2017]141号）。</w:t>
      </w:r>
    </w:p>
    <w:p w14:paraId="3C92725C">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4.信息公告发布媒体：http://www.ccgp.gov.cn（中国政府采购网）、http://zfcg.gxzf.gov.cn/（广西政府采购网）。</w:t>
      </w:r>
    </w:p>
    <w:p w14:paraId="12D7B421">
      <w:pPr>
        <w:spacing w:line="380" w:lineRule="exact"/>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5.响应文件解密：</w:t>
      </w:r>
      <w:r>
        <w:rPr>
          <w:rFonts w:hint="eastAsia" w:ascii="宋体" w:hAnsi="宋体" w:eastAsia="宋体" w:cs="Times New Roman"/>
          <w:bCs/>
          <w:color w:val="000000" w:themeColor="text1"/>
          <w:szCs w:val="21"/>
          <w:highlight w:val="none"/>
          <w14:textFill>
            <w14:solidFill>
              <w14:schemeClr w14:val="tx1"/>
            </w14:solidFill>
          </w14:textFill>
        </w:rPr>
        <w:t>响应文件提交截止时间后，</w:t>
      </w:r>
      <w:r>
        <w:rPr>
          <w:rFonts w:hint="eastAsia" w:ascii="宋体" w:hAnsi="宋体" w:eastAsia="宋体" w:cs="Times New Roman"/>
          <w:color w:val="000000" w:themeColor="text1"/>
          <w:szCs w:val="21"/>
          <w:highlight w:val="none"/>
          <w14:textFill>
            <w14:solidFill>
              <w14:schemeClr w14:val="tx1"/>
            </w14:solidFill>
          </w14:textFill>
        </w:rPr>
        <w:t>广西政府采购云平台</w:t>
      </w:r>
      <w:r>
        <w:rPr>
          <w:rFonts w:hint="eastAsia" w:ascii="宋体" w:hAnsi="宋体" w:eastAsia="宋体" w:cs="Times New Roman"/>
          <w:bCs/>
          <w:color w:val="000000" w:themeColor="text1"/>
          <w:szCs w:val="21"/>
          <w:highlight w:val="none"/>
          <w14:textFill>
            <w14:solidFill>
              <w14:schemeClr w14:val="tx1"/>
            </w14:solidFill>
          </w14:textFill>
        </w:rPr>
        <w:t>自动提取所有供应商响应文件，各供应商须在提交响应文件截止</w:t>
      </w:r>
      <w:r>
        <w:rPr>
          <w:rFonts w:hint="eastAsia" w:ascii="宋体" w:hAnsi="宋体" w:eastAsia="宋体" w:cs="宋体"/>
          <w:bCs/>
          <w:color w:val="000000" w:themeColor="text1"/>
          <w:szCs w:val="21"/>
          <w:highlight w:val="none"/>
          <w14:textFill>
            <w14:solidFill>
              <w14:schemeClr w14:val="tx1"/>
            </w14:solidFill>
          </w14:textFill>
        </w:rPr>
        <w:t>后30分钟内（</w:t>
      </w:r>
      <w:r>
        <w:rPr>
          <w:rFonts w:hint="eastAsia" w:ascii="宋体" w:hAnsi="宋体" w:eastAsia="宋体" w:cs="Times New Roman"/>
          <w:color w:val="000000" w:themeColor="text1"/>
          <w:szCs w:val="21"/>
          <w:highlight w:val="none"/>
          <w:lang w:eastAsia="zh-CN"/>
          <w14:textFill>
            <w14:solidFill>
              <w14:schemeClr w14:val="tx1"/>
            </w14:solidFill>
          </w14:textFill>
        </w:rPr>
        <w:t>2025年11月4日</w:t>
      </w:r>
      <w:r>
        <w:rPr>
          <w:rFonts w:hint="eastAsia" w:ascii="宋体" w:hAnsi="宋体" w:eastAsia="宋体" w:cs="Times New Roman"/>
          <w:color w:val="000000" w:themeColor="text1"/>
          <w:szCs w:val="21"/>
          <w:highlight w:val="none"/>
          <w14:textFill>
            <w14:solidFill>
              <w14:schemeClr w14:val="tx1"/>
            </w14:solidFill>
          </w14:textFill>
        </w:rPr>
        <w:t>9时30分</w:t>
      </w:r>
      <w:r>
        <w:rPr>
          <w:rFonts w:hint="eastAsia" w:ascii="宋体" w:hAnsi="宋体" w:eastAsia="宋体" w:cs="宋体"/>
          <w:bCs/>
          <w:color w:val="000000" w:themeColor="text1"/>
          <w:szCs w:val="21"/>
          <w:highlight w:val="none"/>
          <w14:textFill>
            <w14:solidFill>
              <w14:schemeClr w14:val="tx1"/>
            </w14:solidFill>
          </w14:textFill>
        </w:rPr>
        <w:t>至10时00分)，登录广西政府采购云平台，通过“项目采购-开标评标”功能解密电子响应文件。若供应商在规定时间内无法解密或解密失败或超时解密的，系统默认自动放弃，响应文件按无效处理。</w:t>
      </w:r>
    </w:p>
    <w:p w14:paraId="5F7B7EFF">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6.本项目需要供应商代表在响应文件提交截止时间当天，按谈判小组要求及时登录广西政府采购云平台等候在线谈判及提交最后报价。</w:t>
      </w:r>
    </w:p>
    <w:p w14:paraId="6194F5E6">
      <w:pPr>
        <w:spacing w:line="36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 广西政府采购云平台在线响应（电子响应）相关事宜说明：</w:t>
      </w:r>
    </w:p>
    <w:p w14:paraId="5742D630">
      <w:pPr>
        <w:spacing w:line="36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7C252BB8">
      <w:pPr>
        <w:spacing w:line="360" w:lineRule="exact"/>
        <w:ind w:firstLine="420" w:firstLineChars="200"/>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7.2在线响应（电子响应）具体操作流程参考</w:t>
      </w:r>
      <w:r>
        <w:rPr>
          <w:rFonts w:hint="eastAsia" w:ascii="宋体" w:hAnsi="宋体" w:eastAsia="宋体" w:cs="Times New Roman"/>
          <w:bCs/>
          <w:color w:val="000000" w:themeColor="text1"/>
          <w:szCs w:val="21"/>
          <w:highlight w:val="none"/>
          <w14:textFill>
            <w14:solidFill>
              <w14:schemeClr w14:val="tx1"/>
            </w14:solidFill>
          </w14:textFill>
        </w:rPr>
        <w:t>《政府采购项目电子交易管理操作指南-供应商》【详见广西政府采购网（访问地址http://zfcg.gxzf.gov.cn/）—办事服务—下载专区-广西壮族自治区全流程电子招</w:t>
      </w:r>
      <w:r>
        <w:rPr>
          <w:rFonts w:hint="eastAsia" w:ascii="宋体" w:hAnsi="宋体" w:eastAsia="宋体" w:cs="Times New Roman"/>
          <w:bCs/>
          <w:color w:val="000000" w:themeColor="text1"/>
          <w:szCs w:val="21"/>
          <w:highlight w:val="none"/>
          <w:lang w:eastAsia="zh-CN"/>
          <w14:textFill>
            <w14:solidFill>
              <w14:schemeClr w14:val="tx1"/>
            </w14:solidFill>
          </w14:textFill>
        </w:rPr>
        <w:t>竞标</w:t>
      </w:r>
      <w:r>
        <w:rPr>
          <w:rFonts w:hint="eastAsia" w:ascii="宋体" w:hAnsi="宋体" w:eastAsia="宋体" w:cs="Times New Roman"/>
          <w:bCs/>
          <w:color w:val="000000" w:themeColor="text1"/>
          <w:szCs w:val="21"/>
          <w:highlight w:val="none"/>
          <w14:textFill>
            <w14:solidFill>
              <w14:schemeClr w14:val="tx1"/>
            </w14:solidFill>
          </w14:textFill>
        </w:rPr>
        <w:t>项目管理系统--供应商客户端】；如遇平台技术问题详询95763。</w:t>
      </w:r>
    </w:p>
    <w:bookmarkEnd w:id="11"/>
    <w:p w14:paraId="67FF72C2">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八、对本次采购提出询问，请按以下方式联系。</w:t>
      </w:r>
    </w:p>
    <w:p w14:paraId="62E84DB6">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1.采购人信息：                        </w:t>
      </w:r>
    </w:p>
    <w:p w14:paraId="6DD85D8F">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名 称：桂林航天工业学院         </w:t>
      </w:r>
    </w:p>
    <w:p w14:paraId="66606C04">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地址：桂林市金鸡路2号 　　　　　　　　　　　　　　　　　　　　　</w:t>
      </w:r>
    </w:p>
    <w:p w14:paraId="77D94133">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项目联系人：</w:t>
      </w:r>
      <w:r>
        <w:rPr>
          <w:rFonts w:hint="eastAsia" w:ascii="宋体" w:hAnsi="宋体" w:eastAsia="宋体" w:cs="Times New Roman"/>
          <w:color w:val="000000" w:themeColor="text1"/>
          <w:szCs w:val="21"/>
          <w:highlight w:val="none"/>
          <w:lang w:eastAsia="zh-CN"/>
          <w14:textFill>
            <w14:solidFill>
              <w14:schemeClr w14:val="tx1"/>
            </w14:solidFill>
          </w14:textFill>
        </w:rPr>
        <w:t>蓝老师</w:t>
      </w:r>
      <w:r>
        <w:rPr>
          <w:rFonts w:hint="eastAsia" w:ascii="宋体" w:hAnsi="宋体" w:eastAsia="宋体" w:cs="Times New Roman"/>
          <w:color w:val="000000" w:themeColor="text1"/>
          <w:szCs w:val="21"/>
          <w:highlight w:val="none"/>
          <w14:textFill>
            <w14:solidFill>
              <w14:schemeClr w14:val="tx1"/>
            </w14:solidFill>
          </w14:textFill>
        </w:rPr>
        <w:t xml:space="preserve">   </w:t>
      </w:r>
    </w:p>
    <w:p w14:paraId="145DE4F8">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项目联系方式：0773-6796677　　　　 </w:t>
      </w:r>
    </w:p>
    <w:p w14:paraId="7ED28A84">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2.采购代理机构信息：</w:t>
      </w:r>
    </w:p>
    <w:p w14:paraId="0F756476">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名  称：广西中信恒泰工程顾问有限公司        </w:t>
      </w:r>
    </w:p>
    <w:p w14:paraId="4370DBB2">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　址：桂林市象山区银锭路2号综合楼6-4-2　　</w:t>
      </w:r>
    </w:p>
    <w:p w14:paraId="2D145252">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项目联系人：唐秀云</w:t>
      </w:r>
    </w:p>
    <w:p w14:paraId="6F689C85">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项目联系方式：0773-3830122　　　　　　　　      </w:t>
      </w:r>
    </w:p>
    <w:p w14:paraId="6EE37D80">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p>
    <w:p w14:paraId="17F62E8B">
      <w:pPr>
        <w:spacing w:line="38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w:t>
      </w:r>
    </w:p>
    <w:p w14:paraId="7C8FFE4E">
      <w:pPr>
        <w:spacing w:line="380" w:lineRule="exact"/>
        <w:ind w:firstLine="5775" w:firstLineChars="27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广西中信恒泰工程顾问有限公司</w:t>
      </w:r>
    </w:p>
    <w:p w14:paraId="550F50F0">
      <w:pPr>
        <w:spacing w:line="380" w:lineRule="exact"/>
        <w:ind w:firstLine="6930" w:firstLineChars="33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2025年</w:t>
      </w:r>
      <w:r>
        <w:rPr>
          <w:rFonts w:hint="eastAsia" w:ascii="宋体" w:hAnsi="宋体" w:eastAsia="宋体" w:cs="Times New Roman"/>
          <w:color w:val="000000" w:themeColor="text1"/>
          <w:szCs w:val="21"/>
          <w:highlight w:val="none"/>
          <w:lang w:val="en-US" w:eastAsia="zh-CN"/>
          <w14:textFill>
            <w14:solidFill>
              <w14:schemeClr w14:val="tx1"/>
            </w14:solidFill>
          </w14:textFill>
        </w:rPr>
        <w:t>10</w:t>
      </w:r>
      <w:r>
        <w:rPr>
          <w:rFonts w:hint="eastAsia" w:ascii="宋体" w:hAnsi="宋体" w:eastAsia="宋体" w:cs="Times New Roman"/>
          <w:color w:val="000000" w:themeColor="text1"/>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lang w:val="en-US" w:eastAsia="zh-CN"/>
          <w14:textFill>
            <w14:solidFill>
              <w14:schemeClr w14:val="tx1"/>
            </w14:solidFill>
          </w14:textFill>
        </w:rPr>
        <w:t>29</w:t>
      </w:r>
      <w:r>
        <w:rPr>
          <w:rFonts w:hint="eastAsia" w:ascii="宋体" w:hAnsi="宋体" w:eastAsia="宋体" w:cs="Times New Roman"/>
          <w:color w:val="000000" w:themeColor="text1"/>
          <w:szCs w:val="21"/>
          <w:highlight w:val="none"/>
          <w14:textFill>
            <w14:solidFill>
              <w14:schemeClr w14:val="tx1"/>
            </w14:solidFill>
          </w14:textFill>
        </w:rPr>
        <w:t>日</w:t>
      </w:r>
    </w:p>
    <w:p w14:paraId="31DD6A83">
      <w:pPr>
        <w:spacing w:line="400" w:lineRule="exact"/>
        <w:jc w:val="center"/>
        <w:outlineLvl w:val="0"/>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br w:type="page"/>
      </w:r>
      <w:bookmarkStart w:id="12" w:name="_Toc4414"/>
      <w:bookmarkStart w:id="13" w:name="_Toc456863724"/>
      <w:r>
        <w:rPr>
          <w:rFonts w:hint="eastAsia" w:ascii="Times New Roman" w:hAnsi="Times New Roman" w:eastAsia="宋体" w:cs="Times New Roman"/>
          <w:b/>
          <w:color w:val="000000" w:themeColor="text1"/>
          <w:sz w:val="28"/>
          <w:szCs w:val="28"/>
          <w:highlight w:val="none"/>
          <w14:textFill>
            <w14:solidFill>
              <w14:schemeClr w14:val="tx1"/>
            </w14:solidFill>
          </w14:textFill>
        </w:rPr>
        <w:t>第二章、供应商须知</w:t>
      </w:r>
      <w:bookmarkEnd w:id="12"/>
      <w:bookmarkEnd w:id="13"/>
    </w:p>
    <w:p w14:paraId="03960C4F">
      <w:pPr>
        <w:tabs>
          <w:tab w:val="left" w:pos="1065"/>
          <w:tab w:val="center" w:pos="4411"/>
        </w:tabs>
        <w:spacing w:line="440" w:lineRule="atLeast"/>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供应商须知前附表</w:t>
      </w:r>
    </w:p>
    <w:tbl>
      <w:tblPr>
        <w:tblStyle w:val="53"/>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09"/>
        <w:gridCol w:w="1701"/>
        <w:gridCol w:w="7087"/>
      </w:tblGrid>
      <w:tr w14:paraId="2E8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3751BF9E">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709" w:type="dxa"/>
            <w:vAlign w:val="center"/>
          </w:tcPr>
          <w:p w14:paraId="7EEB61A3">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1701" w:type="dxa"/>
            <w:vAlign w:val="center"/>
          </w:tcPr>
          <w:p w14:paraId="31E9B0C9">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条款名称</w:t>
            </w:r>
          </w:p>
        </w:tc>
        <w:tc>
          <w:tcPr>
            <w:tcW w:w="7087" w:type="dxa"/>
            <w:vAlign w:val="center"/>
          </w:tcPr>
          <w:p w14:paraId="54D5E275">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内容、要求</w:t>
            </w:r>
          </w:p>
        </w:tc>
      </w:tr>
      <w:tr w14:paraId="17A1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492655DE">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709" w:type="dxa"/>
            <w:vAlign w:val="center"/>
          </w:tcPr>
          <w:p w14:paraId="208BA198">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1701" w:type="dxa"/>
            <w:vAlign w:val="center"/>
          </w:tcPr>
          <w:p w14:paraId="60910D89">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项目名称及编号</w:t>
            </w:r>
          </w:p>
        </w:tc>
        <w:tc>
          <w:tcPr>
            <w:tcW w:w="7087" w:type="dxa"/>
          </w:tcPr>
          <w:p w14:paraId="3B27542F">
            <w:pPr>
              <w:spacing w:line="3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lang w:eastAsia="zh-CN"/>
                <w14:textFill>
                  <w14:solidFill>
                    <w14:schemeClr w14:val="tx1"/>
                  </w14:solidFill>
                </w14:textFill>
              </w:rPr>
              <w:t>桂林航天工业学院-体育馆设备采购项目</w:t>
            </w:r>
            <w:r>
              <w:rPr>
                <w:rFonts w:hint="eastAsia" w:ascii="宋体" w:hAnsi="宋体" w:eastAsia="宋体" w:cs="宋体"/>
                <w:color w:val="000000" w:themeColor="text1"/>
                <w:szCs w:val="21"/>
                <w:highlight w:val="none"/>
                <w14:textFill>
                  <w14:solidFill>
                    <w14:schemeClr w14:val="tx1"/>
                  </w14:solidFill>
                </w14:textFill>
              </w:rPr>
              <w:t>；</w:t>
            </w:r>
          </w:p>
          <w:p w14:paraId="091D814E">
            <w:pPr>
              <w:spacing w:line="34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lang w:eastAsia="zh-CN"/>
                <w14:textFill>
                  <w14:solidFill>
                    <w14:schemeClr w14:val="tx1"/>
                  </w14:solidFill>
                </w14:textFill>
              </w:rPr>
              <w:t>GXZC2025-J1-003235-GXZX</w:t>
            </w:r>
          </w:p>
        </w:tc>
      </w:tr>
      <w:tr w14:paraId="34D2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16BEC162">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709" w:type="dxa"/>
            <w:vAlign w:val="center"/>
          </w:tcPr>
          <w:p w14:paraId="005CD782">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701" w:type="dxa"/>
            <w:vAlign w:val="center"/>
          </w:tcPr>
          <w:p w14:paraId="004A153B">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w:t>
            </w:r>
          </w:p>
        </w:tc>
        <w:tc>
          <w:tcPr>
            <w:tcW w:w="7087" w:type="dxa"/>
            <w:vAlign w:val="center"/>
          </w:tcPr>
          <w:p w14:paraId="4C0701FD">
            <w:pPr>
              <w:spacing w:line="340" w:lineRule="exact"/>
              <w:rPr>
                <w:rFonts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3.1满足《中华人民共和国政府采购法》第二十二条规定；</w:t>
            </w:r>
          </w:p>
          <w:p w14:paraId="5CA04FDC">
            <w:pPr>
              <w:spacing w:line="340" w:lineRule="exact"/>
              <w:rPr>
                <w:rFonts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3.2落实政府采购政策需满足的资格要求：</w:t>
            </w:r>
            <w:r>
              <w:rPr>
                <w:rFonts w:hint="eastAsia" w:ascii="宋体" w:hAnsi="宋体" w:eastAsia="宋体" w:cs="宋体"/>
                <w:color w:val="000000" w:themeColor="text1"/>
                <w:position w:val="-2"/>
                <w:szCs w:val="21"/>
                <w:highlight w:val="none"/>
                <w:lang w:val="en-US" w:eastAsia="zh-CN"/>
                <w14:textFill>
                  <w14:solidFill>
                    <w14:schemeClr w14:val="tx1"/>
                  </w14:solidFill>
                </w14:textFill>
              </w:rPr>
              <w:t>无</w:t>
            </w:r>
            <w:r>
              <w:rPr>
                <w:rFonts w:hint="eastAsia" w:ascii="宋体" w:hAnsi="宋体" w:eastAsia="宋体" w:cs="宋体"/>
                <w:color w:val="000000" w:themeColor="text1"/>
                <w:position w:val="-2"/>
                <w:szCs w:val="21"/>
                <w:highlight w:val="none"/>
                <w14:textFill>
                  <w14:solidFill>
                    <w14:schemeClr w14:val="tx1"/>
                  </w14:solidFill>
                </w14:textFill>
              </w:rPr>
              <w:t>；</w:t>
            </w:r>
          </w:p>
          <w:p w14:paraId="27B68AB7">
            <w:pPr>
              <w:spacing w:line="340" w:lineRule="exact"/>
              <w:rPr>
                <w:rFonts w:ascii="宋体" w:hAnsi="宋体" w:eastAsia="宋体" w:cs="宋体"/>
                <w:color w:val="000000" w:themeColor="text1"/>
                <w:position w:val="-2"/>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3.3本项目的特定资格要求：无</w:t>
            </w:r>
            <w:r>
              <w:rPr>
                <w:rFonts w:hint="eastAsia" w:ascii="宋体" w:hAnsi="宋体" w:eastAsia="宋体" w:cs="Times New Roman"/>
                <w:color w:val="000000" w:themeColor="text1"/>
                <w:szCs w:val="21"/>
                <w:highlight w:val="none"/>
                <w14:textFill>
                  <w14:solidFill>
                    <w14:schemeClr w14:val="tx1"/>
                  </w14:solidFill>
                </w14:textFill>
              </w:rPr>
              <w:t>；</w:t>
            </w:r>
          </w:p>
        </w:tc>
      </w:tr>
      <w:tr w14:paraId="1C40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4" w:type="dxa"/>
            <w:vAlign w:val="center"/>
          </w:tcPr>
          <w:p w14:paraId="0107ECA2">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709" w:type="dxa"/>
            <w:vAlign w:val="center"/>
          </w:tcPr>
          <w:p w14:paraId="038F6947">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701" w:type="dxa"/>
            <w:vAlign w:val="center"/>
          </w:tcPr>
          <w:p w14:paraId="67DB0FF8">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参与在线响应（电子响应）的准备工作及</w:t>
            </w:r>
            <w:r>
              <w:rPr>
                <w:rFonts w:hint="eastAsia" w:ascii="宋体" w:hAnsi="宋体" w:eastAsia="宋体" w:cs="宋体"/>
                <w:color w:val="000000" w:themeColor="text1"/>
                <w:szCs w:val="21"/>
                <w:highlight w:val="none"/>
                <w14:textFill>
                  <w14:solidFill>
                    <w14:schemeClr w14:val="tx1"/>
                  </w14:solidFill>
                </w14:textFill>
              </w:rPr>
              <w:t>谈判费用</w:t>
            </w:r>
          </w:p>
        </w:tc>
        <w:tc>
          <w:tcPr>
            <w:tcW w:w="7087" w:type="dxa"/>
            <w:vAlign w:val="center"/>
          </w:tcPr>
          <w:p w14:paraId="672AC60B">
            <w:pPr>
              <w:spacing w:line="340" w:lineRule="exact"/>
              <w:ind w:firstLine="420" w:firstLineChars="200"/>
              <w:rPr>
                <w:rFonts w:ascii="宋体" w:hAnsi="宋体" w:eastAsia="宋体" w:cs="Times New Roman"/>
                <w:bCs/>
                <w:color w:val="000000" w:themeColor="text1"/>
                <w:szCs w:val="24"/>
                <w:highlight w:val="none"/>
                <w14:textFill>
                  <w14:solidFill>
                    <w14:schemeClr w14:val="tx1"/>
                  </w14:solidFill>
                </w14:textFill>
              </w:rPr>
            </w:pPr>
            <w:r>
              <w:rPr>
                <w:rFonts w:hint="eastAsia" w:ascii="宋体" w:hAnsi="宋体" w:eastAsia="宋体" w:cs="Times New Roman"/>
                <w:bCs/>
                <w:color w:val="000000" w:themeColor="text1"/>
                <w:szCs w:val="24"/>
                <w:highlight w:val="none"/>
                <w14:textFill>
                  <w14:solidFill>
                    <w14:schemeClr w14:val="tx1"/>
                  </w14:solidFill>
                </w14:textFill>
              </w:rPr>
              <w:t>4.1参与在线响应（电子响应）的准备工作</w:t>
            </w:r>
          </w:p>
          <w:p w14:paraId="6A88F6EB">
            <w:pPr>
              <w:spacing w:line="340" w:lineRule="exact"/>
              <w:ind w:firstLine="420" w:firstLineChars="200"/>
              <w:rPr>
                <w:rFonts w:ascii="宋体" w:hAnsi="宋体" w:eastAsia="宋体" w:cs="Times New Roman"/>
                <w:bCs/>
                <w:color w:val="000000" w:themeColor="text1"/>
                <w:szCs w:val="24"/>
                <w:highlight w:val="none"/>
                <w14:textFill>
                  <w14:solidFill>
                    <w14:schemeClr w14:val="tx1"/>
                  </w14:solidFill>
                </w14:textFill>
              </w:rPr>
            </w:pPr>
            <w:r>
              <w:rPr>
                <w:rFonts w:hint="eastAsia" w:ascii="宋体" w:hAnsi="宋体" w:eastAsia="宋体" w:cs="Times New Roman"/>
                <w:bCs/>
                <w:color w:val="000000" w:themeColor="text1"/>
                <w:szCs w:val="24"/>
                <w:highlight w:val="none"/>
                <w14:textFill>
                  <w14:solidFill>
                    <w14:schemeClr w14:val="tx1"/>
                  </w14:solidFill>
                </w14:textFill>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2A87B1BA">
            <w:pPr>
              <w:spacing w:line="340" w:lineRule="exact"/>
              <w:ind w:firstLine="420" w:firstLineChars="200"/>
              <w:rPr>
                <w:rFonts w:ascii="宋体" w:hAnsi="宋体" w:eastAsia="宋体" w:cs="Times New Roman"/>
                <w:bCs/>
                <w:color w:val="000000" w:themeColor="text1"/>
                <w:szCs w:val="24"/>
                <w:highlight w:val="none"/>
                <w14:textFill>
                  <w14:solidFill>
                    <w14:schemeClr w14:val="tx1"/>
                  </w14:solidFill>
                </w14:textFill>
              </w:rPr>
            </w:pPr>
            <w:r>
              <w:rPr>
                <w:rFonts w:hint="eastAsia" w:ascii="宋体" w:hAnsi="宋体" w:eastAsia="宋体" w:cs="Times New Roman"/>
                <w:bCs/>
                <w:color w:val="000000" w:themeColor="text1"/>
                <w:szCs w:val="24"/>
                <w:highlight w:val="none"/>
                <w14:textFill>
                  <w14:solidFill>
                    <w14:schemeClr w14:val="tx1"/>
                  </w14:solidFill>
                </w14:textFill>
              </w:rPr>
              <w:t>4.1.2在线响应（电子响应）具体操作流程参考《政府采购项目电子交易管理操作指南-供应商》【详见广西政府采购网（访问地址http://zfcg.gxzf.gov.cn/）—办事服务—下载专区-广西壮族自治区全流程电子招</w:t>
            </w:r>
            <w:r>
              <w:rPr>
                <w:rFonts w:hint="eastAsia" w:ascii="宋体" w:hAnsi="宋体" w:eastAsia="宋体" w:cs="Times New Roman"/>
                <w:bCs/>
                <w:color w:val="000000" w:themeColor="text1"/>
                <w:szCs w:val="24"/>
                <w:highlight w:val="none"/>
                <w:lang w:eastAsia="zh-CN"/>
                <w14:textFill>
                  <w14:solidFill>
                    <w14:schemeClr w14:val="tx1"/>
                  </w14:solidFill>
                </w14:textFill>
              </w:rPr>
              <w:t>竞标</w:t>
            </w:r>
            <w:r>
              <w:rPr>
                <w:rFonts w:hint="eastAsia" w:ascii="宋体" w:hAnsi="宋体" w:eastAsia="宋体" w:cs="Times New Roman"/>
                <w:bCs/>
                <w:color w:val="000000" w:themeColor="text1"/>
                <w:szCs w:val="24"/>
                <w:highlight w:val="none"/>
                <w14:textFill>
                  <w14:solidFill>
                    <w14:schemeClr w14:val="tx1"/>
                  </w14:solidFill>
                </w14:textFill>
              </w:rPr>
              <w:t>项目管理系统--供应商客户端】；如遇平台技术问题详询95763。</w:t>
            </w:r>
          </w:p>
          <w:p w14:paraId="223761D2">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4"/>
                <w:highlight w:val="none"/>
                <w14:textFill>
                  <w14:solidFill>
                    <w14:schemeClr w14:val="tx1"/>
                  </w14:solidFill>
                </w14:textFill>
              </w:rPr>
              <w:t>4.2谈判费用：供应商应自行承担所有与编写和提交竞争性谈判响应文件有关的费用，不论谈判结果如何，采购人和采购代理机构在任何情况下无义务和责任承担此类费用。</w:t>
            </w:r>
          </w:p>
        </w:tc>
      </w:tr>
      <w:tr w14:paraId="61A7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4" w:type="dxa"/>
            <w:vAlign w:val="center"/>
          </w:tcPr>
          <w:p w14:paraId="23DD19EE">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709" w:type="dxa"/>
            <w:vAlign w:val="center"/>
          </w:tcPr>
          <w:p w14:paraId="008F5B28">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1701" w:type="dxa"/>
            <w:vAlign w:val="center"/>
          </w:tcPr>
          <w:p w14:paraId="6A9653D0">
            <w:pPr>
              <w:spacing w:line="340" w:lineRule="exact"/>
              <w:jc w:val="center"/>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谈判报价及采购预算总金额</w:t>
            </w:r>
          </w:p>
        </w:tc>
        <w:tc>
          <w:tcPr>
            <w:tcW w:w="7087" w:type="dxa"/>
            <w:vAlign w:val="center"/>
          </w:tcPr>
          <w:p w14:paraId="3484142F">
            <w:pPr>
              <w:spacing w:line="340" w:lineRule="exact"/>
              <w:ind w:firstLine="420" w:firstLineChars="200"/>
              <w:rPr>
                <w:rFonts w:ascii="宋体" w:hAnsi="宋体" w:eastAsia="宋体" w:cs="宋体"/>
                <w:color w:val="000000" w:themeColor="text1"/>
                <w:position w:val="-2"/>
                <w:szCs w:val="21"/>
                <w:highlight w:val="none"/>
                <w14:textFill>
                  <w14:solidFill>
                    <w14:schemeClr w14:val="tx1"/>
                  </w14:solidFill>
                </w14:textFill>
              </w:rPr>
            </w:pPr>
            <w:r>
              <w:rPr>
                <w:rFonts w:ascii="宋体" w:hAnsi="宋体" w:eastAsia="宋体" w:cs="宋体"/>
                <w:color w:val="000000" w:themeColor="text1"/>
                <w:position w:val="-2"/>
                <w:szCs w:val="21"/>
                <w:highlight w:val="none"/>
                <w14:textFill>
                  <w14:solidFill>
                    <w14:schemeClr w14:val="tx1"/>
                  </w14:solidFill>
                </w14:textFill>
              </w:rPr>
              <w:t>13.</w:t>
            </w:r>
            <w:r>
              <w:rPr>
                <w:rFonts w:hint="eastAsia" w:ascii="宋体" w:hAnsi="宋体" w:eastAsia="宋体" w:cs="宋体"/>
                <w:color w:val="000000" w:themeColor="text1"/>
                <w:position w:val="-2"/>
                <w:szCs w:val="21"/>
                <w:highlight w:val="none"/>
                <w14:textFill>
                  <w14:solidFill>
                    <w14:schemeClr w14:val="tx1"/>
                  </w14:solidFill>
                </w14:textFill>
              </w:rPr>
              <w:t>1谈判报价：应按竞争性谈判文件中相关附表格式填写。供应商必须就“货物采购需求”中所有货物和服务内容作完整唯一报价，否则，其响应文件无效。响应文件只允许有一个报价，有选择的或有条件的报价将不予接受；</w:t>
            </w:r>
          </w:p>
          <w:p w14:paraId="250AFF2B">
            <w:pPr>
              <w:spacing w:line="360" w:lineRule="exact"/>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ascii="宋体" w:hAnsi="宋体" w:eastAsia="宋体" w:cs="宋体"/>
                <w:color w:val="000000" w:themeColor="text1"/>
                <w:position w:val="-2"/>
                <w:szCs w:val="21"/>
                <w:highlight w:val="none"/>
                <w14:textFill>
                  <w14:solidFill>
                    <w14:schemeClr w14:val="tx1"/>
                  </w14:solidFill>
                </w14:textFill>
              </w:rPr>
              <w:t>13.</w:t>
            </w:r>
            <w:r>
              <w:rPr>
                <w:rFonts w:hint="eastAsia" w:ascii="宋体" w:hAnsi="宋体" w:eastAsia="宋体" w:cs="宋体"/>
                <w:color w:val="000000" w:themeColor="text1"/>
                <w:position w:val="-2"/>
                <w:szCs w:val="21"/>
                <w:highlight w:val="none"/>
                <w14:textFill>
                  <w14:solidFill>
                    <w14:schemeClr w14:val="tx1"/>
                  </w14:solidFill>
                </w14:textFill>
              </w:rPr>
              <w:t>3</w:t>
            </w:r>
            <w:r>
              <w:rPr>
                <w:rFonts w:hint="eastAsia" w:ascii="Times New Roman" w:hAnsi="宋体" w:eastAsia="宋体" w:cs="Times New Roman"/>
                <w:color w:val="000000" w:themeColor="text1"/>
                <w:szCs w:val="24"/>
                <w:highlight w:val="none"/>
                <w14:textFill>
                  <w14:solidFill>
                    <w14:schemeClr w14:val="tx1"/>
                  </w14:solidFill>
                </w14:textFill>
              </w:rPr>
              <w:t>采购预算金额为</w:t>
            </w:r>
            <w:r>
              <w:rPr>
                <w:rFonts w:hint="eastAsia" w:ascii="Times New Roman" w:hAnsi="Times New Roman" w:eastAsia="宋体" w:cs="Times New Roman"/>
                <w:color w:val="000000" w:themeColor="text1"/>
                <w:szCs w:val="21"/>
                <w:highlight w:val="none"/>
                <w14:textFill>
                  <w14:solidFill>
                    <w14:schemeClr w14:val="tx1"/>
                  </w14:solidFill>
                </w14:textFill>
              </w:rPr>
              <w:t>（人民币）</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1973600.00</w:t>
            </w:r>
            <w:r>
              <w:rPr>
                <w:rFonts w:hint="eastAsia" w:ascii="宋体" w:hAnsi="宋体" w:eastAsia="宋体" w:cs="Times New Roman"/>
                <w:color w:val="000000" w:themeColor="text1"/>
                <w:szCs w:val="21"/>
                <w:highlight w:val="none"/>
                <w14:textFill>
                  <w14:solidFill>
                    <w14:schemeClr w14:val="tx1"/>
                  </w14:solidFill>
                </w14:textFill>
              </w:rPr>
              <w:t>元，最后报价超出采购预算金额的按响应文件无效处理。</w:t>
            </w:r>
          </w:p>
          <w:p w14:paraId="6F56C3E4">
            <w:pPr>
              <w:spacing w:line="340" w:lineRule="exact"/>
              <w:ind w:firstLine="420" w:firstLineChars="200"/>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13.4</w:t>
            </w:r>
            <w:r>
              <w:rPr>
                <w:rFonts w:hint="eastAsia" w:ascii="宋体" w:hAnsi="宋体" w:eastAsia="宋体" w:cs="Times New Roman"/>
                <w:color w:val="000000" w:themeColor="text1"/>
                <w:kern w:val="0"/>
                <w:szCs w:val="21"/>
                <w:highlight w:val="none"/>
                <w14:textFill>
                  <w14:solidFill>
                    <w14:schemeClr w14:val="tx1"/>
                  </w14:solidFill>
                </w14:textFill>
              </w:rPr>
              <w:t>未书面退出谈判的</w:t>
            </w:r>
            <w:r>
              <w:rPr>
                <w:rFonts w:ascii="宋体" w:hAnsi="宋体" w:eastAsia="宋体" w:cs="Times New Roman"/>
                <w:color w:val="000000" w:themeColor="text1"/>
                <w:kern w:val="0"/>
                <w:szCs w:val="21"/>
                <w:highlight w:val="none"/>
                <w14:textFill>
                  <w14:solidFill>
                    <w14:schemeClr w14:val="tx1"/>
                  </w14:solidFill>
                </w14:textFill>
              </w:rPr>
              <w:t>供应商</w:t>
            </w:r>
            <w:r>
              <w:rPr>
                <w:rFonts w:hint="eastAsia" w:ascii="宋体" w:hAnsi="宋体" w:eastAsia="宋体" w:cs="Times New Roman"/>
                <w:color w:val="000000" w:themeColor="text1"/>
                <w:kern w:val="0"/>
                <w:szCs w:val="21"/>
                <w:highlight w:val="none"/>
                <w14:textFill>
                  <w14:solidFill>
                    <w14:schemeClr w14:val="tx1"/>
                  </w14:solidFill>
                </w14:textFill>
              </w:rPr>
              <w:t>应当</w:t>
            </w:r>
            <w:r>
              <w:rPr>
                <w:rFonts w:ascii="宋体" w:hAnsi="宋体" w:eastAsia="宋体" w:cs="Times New Roman"/>
                <w:color w:val="000000" w:themeColor="text1"/>
                <w:kern w:val="0"/>
                <w:szCs w:val="21"/>
                <w:highlight w:val="none"/>
                <w14:textFill>
                  <w14:solidFill>
                    <w14:schemeClr w14:val="tx1"/>
                  </w14:solidFill>
                </w14:textFill>
              </w:rPr>
              <w:t>在</w:t>
            </w:r>
            <w:r>
              <w:rPr>
                <w:rFonts w:hint="eastAsia" w:ascii="宋体" w:hAnsi="宋体" w:eastAsia="宋体" w:cs="Times New Roman"/>
                <w:color w:val="000000" w:themeColor="text1"/>
                <w:kern w:val="0"/>
                <w:szCs w:val="21"/>
                <w:highlight w:val="none"/>
                <w14:textFill>
                  <w14:solidFill>
                    <w14:schemeClr w14:val="tx1"/>
                  </w14:solidFill>
                </w14:textFill>
              </w:rPr>
              <w:t>广西政府采购云平台中按谈判小组</w:t>
            </w:r>
            <w:r>
              <w:rPr>
                <w:rFonts w:ascii="宋体" w:hAnsi="宋体" w:eastAsia="宋体" w:cs="Times New Roman"/>
                <w:color w:val="000000" w:themeColor="text1"/>
                <w:kern w:val="0"/>
                <w:szCs w:val="21"/>
                <w:highlight w:val="none"/>
                <w14:textFill>
                  <w14:solidFill>
                    <w14:schemeClr w14:val="tx1"/>
                  </w14:solidFill>
                </w14:textFill>
              </w:rPr>
              <w:t>规定</w:t>
            </w:r>
            <w:r>
              <w:rPr>
                <w:rFonts w:hint="eastAsia" w:ascii="宋体" w:hAnsi="宋体" w:eastAsia="宋体" w:cs="Times New Roman"/>
                <w:color w:val="000000" w:themeColor="text1"/>
                <w:kern w:val="0"/>
                <w:szCs w:val="21"/>
                <w:highlight w:val="none"/>
                <w14:textFill>
                  <w14:solidFill>
                    <w14:schemeClr w14:val="tx1"/>
                  </w14:solidFill>
                </w14:textFill>
              </w:rPr>
              <w:t>的</w:t>
            </w:r>
            <w:r>
              <w:rPr>
                <w:rFonts w:ascii="宋体" w:hAnsi="宋体" w:eastAsia="宋体" w:cs="Times New Roman"/>
                <w:color w:val="000000" w:themeColor="text1"/>
                <w:kern w:val="0"/>
                <w:szCs w:val="21"/>
                <w:highlight w:val="none"/>
                <w14:textFill>
                  <w14:solidFill>
                    <w14:schemeClr w14:val="tx1"/>
                  </w14:solidFill>
                </w14:textFill>
              </w:rPr>
              <w:t>时间内提交最后报价</w:t>
            </w:r>
            <w:r>
              <w:rPr>
                <w:rFonts w:hint="eastAsia" w:ascii="宋体" w:hAnsi="宋体" w:eastAsia="宋体" w:cs="Times New Roman"/>
                <w:color w:val="000000" w:themeColor="text1"/>
                <w:kern w:val="0"/>
                <w:szCs w:val="21"/>
                <w:highlight w:val="none"/>
                <w14:textFill>
                  <w14:solidFill>
                    <w14:schemeClr w14:val="tx1"/>
                  </w14:solidFill>
                </w14:textFill>
              </w:rPr>
              <w:t>，其最后报价超出采购预算金额导致已通过评审的响应文件无效的，按供应商在提交响应文件截止时间后撤回响应文件处理。</w:t>
            </w:r>
          </w:p>
          <w:p w14:paraId="077AB953">
            <w:pPr>
              <w:spacing w:line="340" w:lineRule="exact"/>
              <w:ind w:firstLine="525" w:firstLine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13.5</w:t>
            </w:r>
            <w:r>
              <w:rPr>
                <w:rFonts w:hint="eastAsia" w:ascii="宋体" w:hAnsi="宋体" w:eastAsia="宋体" w:cs="Times New Roman"/>
                <w:color w:val="000000" w:themeColor="text1"/>
                <w:kern w:val="0"/>
                <w:szCs w:val="21"/>
                <w:highlight w:val="none"/>
                <w14:textFill>
                  <w14:solidFill>
                    <w14:schemeClr w14:val="tx1"/>
                  </w14:solidFill>
                </w14:textFill>
              </w:rPr>
              <w:t>最后报价超出本项目采购预算金额的将被视为无效谈判。</w:t>
            </w:r>
          </w:p>
        </w:tc>
      </w:tr>
      <w:tr w14:paraId="0C8D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4" w:type="dxa"/>
            <w:vAlign w:val="center"/>
          </w:tcPr>
          <w:p w14:paraId="1AF382AD">
            <w:pPr>
              <w:spacing w:line="340" w:lineRule="exact"/>
              <w:ind w:firstLine="105" w:firstLineChars="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709" w:type="dxa"/>
            <w:vAlign w:val="center"/>
          </w:tcPr>
          <w:p w14:paraId="679F4DC1">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w:t>
            </w:r>
          </w:p>
        </w:tc>
        <w:tc>
          <w:tcPr>
            <w:tcW w:w="1701" w:type="dxa"/>
            <w:vAlign w:val="center"/>
          </w:tcPr>
          <w:p w14:paraId="4F4A6F79">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响应文件有效期</w:t>
            </w:r>
          </w:p>
        </w:tc>
        <w:tc>
          <w:tcPr>
            <w:tcW w:w="7087" w:type="dxa"/>
            <w:vAlign w:val="center"/>
          </w:tcPr>
          <w:p w14:paraId="72612B78">
            <w:pPr>
              <w:spacing w:line="3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自响应文件递交截止时间之日起90天，</w:t>
            </w:r>
            <w:r>
              <w:rPr>
                <w:rFonts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14:textFill>
                  <w14:solidFill>
                    <w14:schemeClr w14:val="tx1"/>
                  </w14:solidFill>
                </w14:textFill>
              </w:rPr>
              <w:t>不足的响应文件将被拒绝。</w:t>
            </w:r>
          </w:p>
        </w:tc>
      </w:tr>
      <w:tr w14:paraId="0150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4" w:type="dxa"/>
            <w:vAlign w:val="center"/>
          </w:tcPr>
          <w:p w14:paraId="6816C731">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709" w:type="dxa"/>
            <w:vAlign w:val="center"/>
          </w:tcPr>
          <w:p w14:paraId="5272FB56">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w:t>
            </w:r>
          </w:p>
        </w:tc>
        <w:tc>
          <w:tcPr>
            <w:tcW w:w="1701" w:type="dxa"/>
            <w:vAlign w:val="center"/>
          </w:tcPr>
          <w:p w14:paraId="38BDADD7">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电子响应文件的制作、加密</w:t>
            </w:r>
          </w:p>
        </w:tc>
        <w:tc>
          <w:tcPr>
            <w:tcW w:w="7087" w:type="dxa"/>
            <w:vAlign w:val="center"/>
          </w:tcPr>
          <w:p w14:paraId="5D25DC56">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15.1.1供应商制作电子响应文件前，须登录广西政府采购云平台进行竞争性谈判文件获取的操作。</w:t>
            </w:r>
          </w:p>
          <w:p w14:paraId="38AB660D">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63B32F29">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369A70EB">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1FB5FFB4">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15.1.5供应商编制、生成电子响应文件后应当进行加密。供应商未按规定编制并加密的响应文件，广西政府采购云平台将予以拒收。</w:t>
            </w:r>
          </w:p>
        </w:tc>
      </w:tr>
      <w:tr w14:paraId="492A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84" w:type="dxa"/>
            <w:vAlign w:val="center"/>
          </w:tcPr>
          <w:p w14:paraId="4BD7F4FE">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7</w:t>
            </w:r>
          </w:p>
        </w:tc>
        <w:tc>
          <w:tcPr>
            <w:tcW w:w="709" w:type="dxa"/>
            <w:vAlign w:val="center"/>
          </w:tcPr>
          <w:p w14:paraId="58507FEF">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15.2</w:t>
            </w:r>
          </w:p>
        </w:tc>
        <w:tc>
          <w:tcPr>
            <w:tcW w:w="1701" w:type="dxa"/>
            <w:vAlign w:val="center"/>
          </w:tcPr>
          <w:p w14:paraId="1398F149">
            <w:pPr>
              <w:spacing w:line="400" w:lineRule="exact"/>
              <w:jc w:val="center"/>
              <w:rPr>
                <w:rFonts w:ascii="宋体" w:hAnsi="宋体" w:eastAsia="宋体" w:cs="宋体"/>
                <w:color w:val="000000" w:themeColor="text1"/>
                <w:position w:val="10"/>
                <w:szCs w:val="21"/>
                <w:highlight w:val="none"/>
                <w14:textFill>
                  <w14:solidFill>
                    <w14:schemeClr w14:val="tx1"/>
                  </w14:solidFill>
                </w14:textFill>
              </w:rPr>
            </w:pPr>
            <w:r>
              <w:rPr>
                <w:rFonts w:hint="eastAsia" w:ascii="宋体" w:hAnsi="宋体" w:eastAsia="宋体" w:cs="宋体"/>
                <w:color w:val="000000" w:themeColor="text1"/>
                <w:position w:val="10"/>
                <w:szCs w:val="21"/>
                <w:highlight w:val="none"/>
                <w14:textFill>
                  <w14:solidFill>
                    <w14:schemeClr w14:val="tx1"/>
                  </w14:solidFill>
                </w14:textFill>
              </w:rPr>
              <w:t>供应商公章及签字</w:t>
            </w:r>
          </w:p>
        </w:tc>
        <w:tc>
          <w:tcPr>
            <w:tcW w:w="7087" w:type="dxa"/>
            <w:vAlign w:val="center"/>
          </w:tcPr>
          <w:p w14:paraId="61E61B64">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15.2.1本竞争性谈判文件中描述供应商的“公章”是指供应商通过指定电子化政府采购平台办理数字证书（CA认证证书）获得的以法定主体行为名称制作的电子印章。</w:t>
            </w:r>
          </w:p>
          <w:p w14:paraId="1C464898">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15.2.2本竞争性谈判文件中要求供应商对其电子响应文件的相关内容加盖公章的，均指采用CA证书签章。</w:t>
            </w:r>
          </w:p>
          <w:p w14:paraId="4744D580">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15.2.3本竞争性谈判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14:paraId="6649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84" w:type="dxa"/>
            <w:vAlign w:val="center"/>
          </w:tcPr>
          <w:p w14:paraId="2C8FDD6A">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8</w:t>
            </w:r>
          </w:p>
        </w:tc>
        <w:tc>
          <w:tcPr>
            <w:tcW w:w="709" w:type="dxa"/>
            <w:vAlign w:val="center"/>
          </w:tcPr>
          <w:p w14:paraId="2D02DFE1">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16</w:t>
            </w:r>
          </w:p>
        </w:tc>
        <w:tc>
          <w:tcPr>
            <w:tcW w:w="1701" w:type="dxa"/>
            <w:vAlign w:val="center"/>
          </w:tcPr>
          <w:p w14:paraId="4A508050">
            <w:pPr>
              <w:spacing w:line="340" w:lineRule="exact"/>
              <w:jc w:val="center"/>
              <w:rPr>
                <w:rFonts w:ascii="宋体" w:hAnsi="宋体" w:eastAsia="宋体" w:cs="宋体"/>
                <w:color w:val="000000" w:themeColor="text1"/>
                <w:position w:val="10"/>
                <w:szCs w:val="21"/>
                <w:highlight w:val="none"/>
                <w14:textFill>
                  <w14:solidFill>
                    <w14:schemeClr w14:val="tx1"/>
                  </w14:solidFill>
                </w14:textFill>
              </w:rPr>
            </w:pPr>
            <w:r>
              <w:rPr>
                <w:rFonts w:hint="eastAsia" w:ascii="宋体" w:hAnsi="宋体" w:eastAsia="宋体" w:cs="宋体"/>
                <w:color w:val="000000" w:themeColor="text1"/>
                <w:position w:val="10"/>
                <w:szCs w:val="21"/>
                <w:highlight w:val="none"/>
                <w14:textFill>
                  <w14:solidFill>
                    <w14:schemeClr w14:val="tx1"/>
                  </w14:solidFill>
                </w14:textFill>
              </w:rPr>
              <w:t>响应文件的补充、修改和撤回</w:t>
            </w:r>
          </w:p>
        </w:tc>
        <w:tc>
          <w:tcPr>
            <w:tcW w:w="7087" w:type="dxa"/>
            <w:vAlign w:val="center"/>
          </w:tcPr>
          <w:p w14:paraId="29EFC141">
            <w:pPr>
              <w:adjustRightInd w:val="0"/>
              <w:snapToGrid w:val="0"/>
              <w:spacing w:line="400" w:lineRule="exact"/>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16.1供应商应当在</w:t>
            </w:r>
            <w:r>
              <w:rPr>
                <w:rFonts w:hint="eastAsia" w:ascii="宋体" w:hAnsi="宋体" w:eastAsia="宋体" w:cs="Times New Roman"/>
                <w:bCs/>
                <w:color w:val="000000" w:themeColor="text1"/>
                <w:szCs w:val="24"/>
                <w:highlight w:val="none"/>
                <w14:textFill>
                  <w14:solidFill>
                    <w14:schemeClr w14:val="tx1"/>
                  </w14:solidFill>
                </w14:textFill>
              </w:rPr>
              <w:t>提交响应文件截止时间</w:t>
            </w:r>
            <w:r>
              <w:rPr>
                <w:rFonts w:hint="eastAsia" w:ascii="宋体" w:hAnsi="宋体" w:eastAsia="宋体" w:cs="宋体"/>
                <w:bCs/>
                <w:color w:val="000000" w:themeColor="text1"/>
                <w:szCs w:val="21"/>
                <w:highlight w:val="none"/>
                <w14:textFill>
                  <w14:solidFill>
                    <w14:schemeClr w14:val="tx1"/>
                  </w14:solidFill>
                </w14:textFill>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color w:val="000000" w:themeColor="text1"/>
                <w:szCs w:val="24"/>
                <w:highlight w:val="none"/>
                <w14:textFill>
                  <w14:solidFill>
                    <w14:schemeClr w14:val="tx1"/>
                  </w14:solidFill>
                </w14:textFill>
              </w:rPr>
              <w:t>提交响应文件截止时间</w:t>
            </w:r>
            <w:r>
              <w:rPr>
                <w:rFonts w:hint="eastAsia" w:ascii="宋体" w:hAnsi="宋体" w:eastAsia="宋体" w:cs="宋体"/>
                <w:bCs/>
                <w:color w:val="000000" w:themeColor="text1"/>
                <w:szCs w:val="21"/>
                <w:highlight w:val="none"/>
                <w14:textFill>
                  <w14:solidFill>
                    <w14:schemeClr w14:val="tx1"/>
                  </w14:solidFill>
                </w14:textFill>
              </w:rPr>
              <w:t>前未成功将电子响应文件上传广西政府采购云平台的，视为未提交响应文件。</w:t>
            </w:r>
          </w:p>
          <w:p w14:paraId="3574E363">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16.2</w:t>
            </w:r>
            <w:r>
              <w:rPr>
                <w:rFonts w:hint="eastAsia" w:ascii="宋体" w:hAnsi="宋体" w:eastAsia="宋体" w:cs="Times New Roman"/>
                <w:color w:val="000000" w:themeColor="text1"/>
                <w:szCs w:val="21"/>
                <w:highlight w:val="none"/>
                <w14:textFill>
                  <w14:solidFill>
                    <w14:schemeClr w14:val="tx1"/>
                  </w14:solidFill>
                </w14:textFill>
              </w:rPr>
              <w:t>在提交响应文件截止时间后的响应文件有效期内，供应商不得撤回其响应文件。</w:t>
            </w:r>
          </w:p>
        </w:tc>
      </w:tr>
      <w:tr w14:paraId="6D7D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18D3AE05">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9</w:t>
            </w:r>
          </w:p>
        </w:tc>
        <w:tc>
          <w:tcPr>
            <w:tcW w:w="709" w:type="dxa"/>
            <w:vAlign w:val="center"/>
          </w:tcPr>
          <w:p w14:paraId="62F36A0D">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17.1</w:t>
            </w:r>
          </w:p>
        </w:tc>
        <w:tc>
          <w:tcPr>
            <w:tcW w:w="1701" w:type="dxa"/>
            <w:vAlign w:val="center"/>
          </w:tcPr>
          <w:p w14:paraId="3223E47A">
            <w:pPr>
              <w:spacing w:line="340" w:lineRule="exact"/>
              <w:jc w:val="center"/>
              <w:rPr>
                <w:rFonts w:ascii="宋体" w:hAnsi="宋体" w:eastAsia="宋体" w:cs="宋体"/>
                <w:color w:val="000000" w:themeColor="text1"/>
                <w:position w:val="10"/>
                <w:szCs w:val="21"/>
                <w:highlight w:val="none"/>
                <w14:textFill>
                  <w14:solidFill>
                    <w14:schemeClr w14:val="tx1"/>
                  </w14:solidFill>
                </w14:textFill>
              </w:rPr>
            </w:pPr>
            <w:r>
              <w:rPr>
                <w:rFonts w:hint="eastAsia" w:ascii="宋体" w:hAnsi="宋体" w:eastAsia="宋体" w:cs="宋体"/>
                <w:color w:val="000000" w:themeColor="text1"/>
                <w:position w:val="10"/>
                <w:szCs w:val="21"/>
                <w:highlight w:val="none"/>
                <w14:textFill>
                  <w14:solidFill>
                    <w14:schemeClr w14:val="tx1"/>
                  </w14:solidFill>
                </w14:textFill>
              </w:rPr>
              <w:t>响应文件提交截止时间及地点</w:t>
            </w:r>
          </w:p>
        </w:tc>
        <w:tc>
          <w:tcPr>
            <w:tcW w:w="7087" w:type="dxa"/>
            <w:vAlign w:val="center"/>
          </w:tcPr>
          <w:p w14:paraId="66B03B90">
            <w:pPr>
              <w:spacing w:line="34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17.1.1</w:t>
            </w:r>
            <w:r>
              <w:rPr>
                <w:rFonts w:hint="eastAsia" w:ascii="宋体" w:hAnsi="宋体" w:eastAsia="宋体" w:cs="宋体"/>
                <w:color w:val="000000" w:themeColor="text1"/>
                <w:spacing w:val="-4"/>
                <w:szCs w:val="21"/>
                <w:highlight w:val="none"/>
                <w14:textFill>
                  <w14:solidFill>
                    <w14:schemeClr w14:val="tx1"/>
                  </w14:solidFill>
                </w14:textFill>
              </w:rPr>
              <w:t>响应文件提交</w:t>
            </w:r>
            <w:r>
              <w:rPr>
                <w:rFonts w:hint="eastAsia" w:ascii="宋体" w:hAnsi="宋体" w:eastAsia="宋体" w:cs="Times New Roman"/>
                <w:color w:val="000000" w:themeColor="text1"/>
                <w:szCs w:val="21"/>
                <w:highlight w:val="none"/>
                <w14:textFill>
                  <w14:solidFill>
                    <w14:schemeClr w14:val="tx1"/>
                  </w14:solidFill>
                </w14:textFill>
              </w:rPr>
              <w:t>截止时间：</w:t>
            </w:r>
            <w:r>
              <w:rPr>
                <w:rFonts w:hint="eastAsia" w:ascii="宋体" w:hAnsi="宋体" w:eastAsia="宋体" w:cs="Times New Roman"/>
                <w:color w:val="000000" w:themeColor="text1"/>
                <w:szCs w:val="21"/>
                <w:highlight w:val="none"/>
                <w:lang w:eastAsia="zh-CN"/>
                <w14:textFill>
                  <w14:solidFill>
                    <w14:schemeClr w14:val="tx1"/>
                  </w14:solidFill>
                </w14:textFill>
              </w:rPr>
              <w:t>2025年11月4日</w:t>
            </w:r>
            <w:r>
              <w:rPr>
                <w:rFonts w:hint="eastAsia" w:ascii="宋体" w:hAnsi="宋体" w:eastAsia="宋体" w:cs="Times New Roman"/>
                <w:color w:val="000000" w:themeColor="text1"/>
                <w:szCs w:val="21"/>
                <w:highlight w:val="none"/>
                <w14:textFill>
                  <w14:solidFill>
                    <w14:schemeClr w14:val="tx1"/>
                  </w14:solidFill>
                </w14:textFill>
              </w:rPr>
              <w:t>9时30分（北京时间）；</w:t>
            </w:r>
          </w:p>
          <w:p w14:paraId="1CAB2EFB">
            <w:pPr>
              <w:spacing w:line="3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17.1.2地点（网址）：通过</w:t>
            </w:r>
            <w:r>
              <w:rPr>
                <w:rFonts w:hint="eastAsia" w:ascii="宋体" w:hAnsi="宋体" w:eastAsia="宋体" w:cs="宋体"/>
                <w:bCs/>
                <w:color w:val="000000" w:themeColor="text1"/>
                <w:szCs w:val="21"/>
                <w:highlight w:val="none"/>
                <w14:textFill>
                  <w14:solidFill>
                    <w14:schemeClr w14:val="tx1"/>
                  </w14:solidFill>
                </w14:textFill>
              </w:rPr>
              <w:t>广西政府采购云平台</w:t>
            </w:r>
            <w:r>
              <w:rPr>
                <w:rFonts w:hint="eastAsia" w:ascii="宋体" w:hAnsi="宋体" w:eastAsia="宋体" w:cs="Times New Roman"/>
                <w:color w:val="000000" w:themeColor="text1"/>
                <w:szCs w:val="21"/>
                <w:highlight w:val="none"/>
                <w14:textFill>
                  <w14:solidFill>
                    <w14:schemeClr w14:val="tx1"/>
                  </w14:solidFill>
                </w14:textFill>
              </w:rPr>
              <w:t>在线提交响应文件。</w:t>
            </w:r>
          </w:p>
        </w:tc>
      </w:tr>
      <w:tr w14:paraId="7C8C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68C8410D">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709" w:type="dxa"/>
            <w:vAlign w:val="center"/>
          </w:tcPr>
          <w:p w14:paraId="04C91CEF">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w:t>
            </w:r>
          </w:p>
        </w:tc>
        <w:tc>
          <w:tcPr>
            <w:tcW w:w="1701" w:type="dxa"/>
            <w:vAlign w:val="center"/>
          </w:tcPr>
          <w:p w14:paraId="61F1BA0A">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响应文件解密</w:t>
            </w:r>
          </w:p>
        </w:tc>
        <w:tc>
          <w:tcPr>
            <w:tcW w:w="7087" w:type="dxa"/>
            <w:vAlign w:val="center"/>
          </w:tcPr>
          <w:p w14:paraId="7E84FF8C">
            <w:pPr>
              <w:spacing w:line="340" w:lineRule="exact"/>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响应文件提交截止时间后，</w:t>
            </w:r>
            <w:r>
              <w:rPr>
                <w:rFonts w:hint="eastAsia" w:ascii="宋体" w:hAnsi="宋体" w:eastAsia="宋体" w:cs="宋体"/>
                <w:bCs/>
                <w:color w:val="000000" w:themeColor="text1"/>
                <w:szCs w:val="21"/>
                <w:highlight w:val="none"/>
                <w14:textFill>
                  <w14:solidFill>
                    <w14:schemeClr w14:val="tx1"/>
                  </w14:solidFill>
                </w14:textFill>
              </w:rPr>
              <w:t>广西政府采购云平台</w:t>
            </w:r>
            <w:r>
              <w:rPr>
                <w:rFonts w:hint="eastAsia" w:ascii="宋体" w:hAnsi="宋体" w:eastAsia="宋体" w:cs="Times New Roman"/>
                <w:bCs/>
                <w:color w:val="000000" w:themeColor="text1"/>
                <w:szCs w:val="21"/>
                <w:highlight w:val="none"/>
                <w14:textFill>
                  <w14:solidFill>
                    <w14:schemeClr w14:val="tx1"/>
                  </w14:solidFill>
                </w14:textFill>
              </w:rPr>
              <w:t>自动提取所有供应商响应文件，各供应商须在提交响应文件截止</w:t>
            </w:r>
            <w:r>
              <w:rPr>
                <w:rFonts w:hint="eastAsia" w:ascii="宋体" w:hAnsi="宋体" w:eastAsia="宋体" w:cs="宋体"/>
                <w:bCs/>
                <w:color w:val="000000" w:themeColor="text1"/>
                <w:szCs w:val="21"/>
                <w:highlight w:val="none"/>
                <w14:textFill>
                  <w14:solidFill>
                    <w14:schemeClr w14:val="tx1"/>
                  </w14:solidFill>
                </w14:textFill>
              </w:rPr>
              <w:t>后30分钟内（</w:t>
            </w:r>
            <w:r>
              <w:rPr>
                <w:rFonts w:hint="eastAsia" w:ascii="宋体" w:hAnsi="宋体" w:eastAsia="宋体" w:cs="Times New Roman"/>
                <w:color w:val="000000" w:themeColor="text1"/>
                <w:szCs w:val="21"/>
                <w:highlight w:val="none"/>
                <w:lang w:eastAsia="zh-CN"/>
                <w14:textFill>
                  <w14:solidFill>
                    <w14:schemeClr w14:val="tx1"/>
                  </w14:solidFill>
                </w14:textFill>
              </w:rPr>
              <w:t>2025年11月4日</w:t>
            </w:r>
            <w:r>
              <w:rPr>
                <w:rFonts w:hint="eastAsia" w:ascii="宋体" w:hAnsi="宋体" w:eastAsia="宋体" w:cs="Times New Roman"/>
                <w:color w:val="000000" w:themeColor="text1"/>
                <w:szCs w:val="21"/>
                <w:highlight w:val="none"/>
                <w14:textFill>
                  <w14:solidFill>
                    <w14:schemeClr w14:val="tx1"/>
                  </w14:solidFill>
                </w14:textFill>
              </w:rPr>
              <w:t>9时30分</w:t>
            </w:r>
            <w:r>
              <w:rPr>
                <w:rFonts w:hint="eastAsia" w:ascii="宋体" w:hAnsi="宋体" w:eastAsia="宋体" w:cs="宋体"/>
                <w:bCs/>
                <w:color w:val="000000" w:themeColor="text1"/>
                <w:szCs w:val="21"/>
                <w:highlight w:val="none"/>
                <w14:textFill>
                  <w14:solidFill>
                    <w14:schemeClr w14:val="tx1"/>
                  </w14:solidFill>
                </w14:textFill>
              </w:rPr>
              <w:t>至10时00分)，登录广西政府采购云平台，通过“项目采购-开标评标”功能解密电子响应文件。若供应商在规定时间内无法解密或解密失败或超时解密的，系统默认自动放弃，响应文件按无效处理。</w:t>
            </w:r>
          </w:p>
        </w:tc>
      </w:tr>
      <w:tr w14:paraId="1194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62F2CE20">
            <w:pPr>
              <w:spacing w:line="34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11</w:t>
            </w:r>
          </w:p>
        </w:tc>
        <w:tc>
          <w:tcPr>
            <w:tcW w:w="709" w:type="dxa"/>
            <w:vAlign w:val="center"/>
          </w:tcPr>
          <w:p w14:paraId="42B72891">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w:t>
            </w:r>
          </w:p>
        </w:tc>
        <w:tc>
          <w:tcPr>
            <w:tcW w:w="1701" w:type="dxa"/>
            <w:vAlign w:val="center"/>
          </w:tcPr>
          <w:p w14:paraId="7512F8FD">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position w:val="10"/>
                <w:szCs w:val="21"/>
                <w:highlight w:val="none"/>
                <w14:textFill>
                  <w14:solidFill>
                    <w14:schemeClr w14:val="tx1"/>
                  </w14:solidFill>
                </w14:textFill>
              </w:rPr>
              <w:t>谈判小组的组成</w:t>
            </w:r>
          </w:p>
        </w:tc>
        <w:tc>
          <w:tcPr>
            <w:tcW w:w="7087" w:type="dxa"/>
          </w:tcPr>
          <w:p w14:paraId="13648554">
            <w:pPr>
              <w:spacing w:line="340" w:lineRule="exact"/>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谈判会议由采购代理机构负责组织，</w:t>
            </w:r>
            <w:r>
              <w:rPr>
                <w:rFonts w:ascii="宋体" w:hAnsi="宋体" w:eastAsia="宋体" w:cs="Times New Roman"/>
                <w:color w:val="000000" w:themeColor="text1"/>
                <w:szCs w:val="24"/>
                <w:highlight w:val="none"/>
                <w14:textFill>
                  <w14:solidFill>
                    <w14:schemeClr w14:val="tx1"/>
                  </w14:solidFill>
                </w14:textFill>
              </w:rPr>
              <w:t>具体谈判</w:t>
            </w:r>
            <w:r>
              <w:rPr>
                <w:rFonts w:hint="eastAsia" w:ascii="宋体" w:hAnsi="宋体" w:eastAsia="宋体" w:cs="Times New Roman"/>
                <w:color w:val="000000" w:themeColor="text1"/>
                <w:szCs w:val="24"/>
                <w:highlight w:val="none"/>
                <w14:textFill>
                  <w14:solidFill>
                    <w14:schemeClr w14:val="tx1"/>
                  </w14:solidFill>
                </w14:textFill>
              </w:rPr>
              <w:t>评审工作由依法组建的谈判小组负责，谈判小组有采购人代表和有关方面的专家组成。</w:t>
            </w:r>
          </w:p>
          <w:p w14:paraId="268718F5">
            <w:pPr>
              <w:spacing w:line="3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谈判小组的构成：</w:t>
            </w:r>
            <w:r>
              <w:rPr>
                <w:rFonts w:hint="eastAsia" w:ascii="宋体" w:hAnsi="宋体" w:eastAsia="宋体" w:cs="宋体"/>
                <w:color w:val="000000" w:themeColor="text1"/>
                <w:szCs w:val="21"/>
                <w:highlight w:val="none"/>
                <w:u w:val="singl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 xml:space="preserve"> 1 </w:t>
            </w:r>
            <w:r>
              <w:rPr>
                <w:rFonts w:hint="eastAsia" w:ascii="宋体" w:hAnsi="宋体" w:eastAsia="宋体" w:cs="宋体"/>
                <w:color w:val="000000" w:themeColor="text1"/>
                <w:szCs w:val="21"/>
                <w:highlight w:val="none"/>
                <w14:textFill>
                  <w14:solidFill>
                    <w14:schemeClr w14:val="tx1"/>
                  </w14:solidFill>
                </w14:textFill>
              </w:rPr>
              <w:t>人，有关专家</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人。</w:t>
            </w:r>
          </w:p>
          <w:p w14:paraId="15851C53">
            <w:pPr>
              <w:spacing w:line="3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专家确定方式：开标前</w:t>
            </w:r>
            <w:r>
              <w:rPr>
                <w:rFonts w:hint="eastAsia" w:ascii="宋体" w:hAnsi="宋体" w:eastAsia="宋体" w:cs="宋体"/>
                <w:color w:val="000000" w:themeColor="text1"/>
                <w:szCs w:val="21"/>
                <w:highlight w:val="none"/>
                <w:u w:val="single"/>
                <w14:textFill>
                  <w14:solidFill>
                    <w14:schemeClr w14:val="tx1"/>
                  </w14:solidFill>
                </w14:textFill>
              </w:rPr>
              <w:t>从广西壮族自治区政府采购专家库中通过电脑随机抽取</w:t>
            </w:r>
            <w:r>
              <w:rPr>
                <w:rFonts w:hint="eastAsia" w:ascii="宋体" w:hAnsi="宋体" w:eastAsia="宋体" w:cs="宋体"/>
                <w:color w:val="000000" w:themeColor="text1"/>
                <w:szCs w:val="21"/>
                <w:highlight w:val="none"/>
                <w14:textFill>
                  <w14:solidFill>
                    <w14:schemeClr w14:val="tx1"/>
                  </w14:solidFill>
                </w14:textFill>
              </w:rPr>
              <w:t>。</w:t>
            </w:r>
          </w:p>
        </w:tc>
      </w:tr>
      <w:tr w14:paraId="18DF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4" w:type="dxa"/>
            <w:vAlign w:val="center"/>
          </w:tcPr>
          <w:p w14:paraId="436D3642">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709" w:type="dxa"/>
            <w:vAlign w:val="center"/>
          </w:tcPr>
          <w:p w14:paraId="0ACA92F2">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w:t>
            </w:r>
          </w:p>
        </w:tc>
        <w:tc>
          <w:tcPr>
            <w:tcW w:w="1701" w:type="dxa"/>
            <w:vAlign w:val="center"/>
          </w:tcPr>
          <w:p w14:paraId="65A49149">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谈判时间、地点、人员</w:t>
            </w:r>
          </w:p>
        </w:tc>
        <w:tc>
          <w:tcPr>
            <w:tcW w:w="7087" w:type="dxa"/>
            <w:vAlign w:val="center"/>
          </w:tcPr>
          <w:p w14:paraId="4E797151">
            <w:pPr>
              <w:spacing w:line="340" w:lineRule="exact"/>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8</w:t>
            </w:r>
            <w:r>
              <w:rPr>
                <w:rFonts w:ascii="宋体" w:hAnsi="宋体" w:eastAsia="宋体" w:cs="宋体"/>
                <w:color w:val="000000" w:themeColor="text1"/>
                <w:szCs w:val="21"/>
                <w:highlight w:val="none"/>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谈判时间：</w:t>
            </w:r>
            <w:r>
              <w:rPr>
                <w:rFonts w:hint="eastAsia" w:ascii="Times New Roman" w:hAnsi="Times New Roman" w:eastAsia="宋体" w:cs="Times New Roman"/>
                <w:color w:val="000000" w:themeColor="text1"/>
                <w:szCs w:val="24"/>
                <w:highlight w:val="none"/>
                <w14:textFill>
                  <w14:solidFill>
                    <w14:schemeClr w14:val="tx1"/>
                  </w14:solidFill>
                </w14:textFill>
              </w:rPr>
              <w:t>响应文件递交截止时间后。</w:t>
            </w:r>
          </w:p>
          <w:p w14:paraId="7B5530EF">
            <w:pPr>
              <w:spacing w:line="340" w:lineRule="exact"/>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8</w:t>
            </w: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谈判地点：</w:t>
            </w:r>
            <w:r>
              <w:rPr>
                <w:rFonts w:hint="eastAsia" w:ascii="宋体" w:hAnsi="宋体" w:eastAsia="宋体" w:cs="Times New Roman"/>
                <w:color w:val="000000" w:themeColor="text1"/>
                <w:szCs w:val="21"/>
                <w:highlight w:val="none"/>
                <w14:textFill>
                  <w14:solidFill>
                    <w14:schemeClr w14:val="tx1"/>
                  </w14:solidFill>
                </w14:textFill>
              </w:rPr>
              <w:t>通过广西政府采购云平台</w:t>
            </w:r>
            <w:r>
              <w:rPr>
                <w:rFonts w:hint="eastAsia" w:ascii="Times New Roman" w:hAnsi="Times New Roman" w:eastAsia="宋体" w:cs="Times New Roman"/>
                <w:color w:val="000000" w:themeColor="text1"/>
                <w:szCs w:val="24"/>
                <w:highlight w:val="none"/>
                <w14:textFill>
                  <w14:solidFill>
                    <w14:schemeClr w14:val="tx1"/>
                  </w14:solidFill>
                </w14:textFill>
              </w:rPr>
              <w:t>在线谈判。</w:t>
            </w:r>
          </w:p>
          <w:p w14:paraId="76D40FD3">
            <w:pPr>
              <w:spacing w:line="340" w:lineRule="exact"/>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8</w:t>
            </w:r>
            <w:r>
              <w:rPr>
                <w:rFonts w:ascii="宋体" w:hAnsi="宋体" w:eastAsia="宋体" w:cs="宋体"/>
                <w:color w:val="000000" w:themeColor="text1"/>
                <w:szCs w:val="21"/>
                <w:highlight w:val="none"/>
                <w14:textFill>
                  <w14:solidFill>
                    <w14:schemeClr w14:val="tx1"/>
                  </w14:solidFill>
                </w14:textFill>
              </w:rPr>
              <w:t>.2.3谈判</w:t>
            </w:r>
            <w:r>
              <w:rPr>
                <w:rFonts w:hint="eastAsia" w:ascii="宋体" w:hAnsi="宋体" w:eastAsia="宋体" w:cs="宋体"/>
                <w:color w:val="000000" w:themeColor="text1"/>
                <w:szCs w:val="21"/>
                <w:highlight w:val="none"/>
                <w14:textFill>
                  <w14:solidFill>
                    <w14:schemeClr w14:val="tx1"/>
                  </w14:solidFill>
                </w14:textFill>
              </w:rPr>
              <w:t>参加人员：法定代表人或负责人或委托代理人参加谈判。</w:t>
            </w:r>
          </w:p>
          <w:p w14:paraId="5004C8C4">
            <w:pPr>
              <w:spacing w:line="3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18.2.4本项目需要供应商代表在响应文件提交截止时间当天，按谈判小组要求及时登录广西政府采购云平台等候在线谈判及提交最后报价。</w:t>
            </w:r>
          </w:p>
        </w:tc>
      </w:tr>
      <w:tr w14:paraId="4345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4579E753">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709" w:type="dxa"/>
            <w:vAlign w:val="center"/>
          </w:tcPr>
          <w:p w14:paraId="1367282C">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19.2</w:t>
            </w:r>
          </w:p>
        </w:tc>
        <w:tc>
          <w:tcPr>
            <w:tcW w:w="1701" w:type="dxa"/>
            <w:vAlign w:val="center"/>
          </w:tcPr>
          <w:p w14:paraId="72B93F4D">
            <w:pPr>
              <w:spacing w:line="340" w:lineRule="exact"/>
              <w:jc w:val="center"/>
              <w:rPr>
                <w:rFonts w:ascii="宋体" w:hAnsi="宋体" w:eastAsia="宋体" w:cs="宋体"/>
                <w:color w:val="000000" w:themeColor="text1"/>
                <w:position w:val="1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评审办法</w:t>
            </w:r>
          </w:p>
        </w:tc>
        <w:tc>
          <w:tcPr>
            <w:tcW w:w="7087" w:type="dxa"/>
            <w:vAlign w:val="center"/>
          </w:tcPr>
          <w:p w14:paraId="1CF0502C">
            <w:pPr>
              <w:spacing w:line="3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最低评标价法，具体评审内容及标准详见第四章：评审办法。</w:t>
            </w:r>
          </w:p>
        </w:tc>
      </w:tr>
      <w:tr w14:paraId="2818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17D797E3">
            <w:pPr>
              <w:spacing w:line="3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14</w:t>
            </w:r>
          </w:p>
        </w:tc>
        <w:tc>
          <w:tcPr>
            <w:tcW w:w="709" w:type="dxa"/>
            <w:vAlign w:val="center"/>
          </w:tcPr>
          <w:p w14:paraId="10D5B3B4">
            <w:pPr>
              <w:spacing w:line="3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22.4</w:t>
            </w:r>
          </w:p>
        </w:tc>
        <w:tc>
          <w:tcPr>
            <w:tcW w:w="1701" w:type="dxa"/>
            <w:vAlign w:val="center"/>
          </w:tcPr>
          <w:p w14:paraId="4B88061B">
            <w:pPr>
              <w:autoSpaceDE w:val="0"/>
              <w:autoSpaceDN w:val="0"/>
              <w:snapToGrid w:val="0"/>
              <w:spacing w:line="340" w:lineRule="exact"/>
              <w:jc w:val="center"/>
              <w:textAlignment w:val="bottom"/>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成交人信用信息查询</w:t>
            </w:r>
          </w:p>
        </w:tc>
        <w:tc>
          <w:tcPr>
            <w:tcW w:w="7087" w:type="dxa"/>
            <w:vAlign w:val="center"/>
          </w:tcPr>
          <w:p w14:paraId="41AF3985">
            <w:pPr>
              <w:wordWrap w:val="0"/>
              <w:autoSpaceDE w:val="0"/>
              <w:autoSpaceDN w:val="0"/>
              <w:snapToGrid w:val="0"/>
              <w:spacing w:line="340" w:lineRule="exact"/>
              <w:textAlignment w:val="bottom"/>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根据《关于做好政府采购有关信用主体标识码登记及在政府采购活动中查询使用信用记录有关问题的通知》桂财采〔2016〕37号的通知，采购代理机构在对成交人的成交资格进行信用查询：</w:t>
            </w:r>
          </w:p>
          <w:p w14:paraId="693F2D92">
            <w:pPr>
              <w:wordWrap w:val="0"/>
              <w:autoSpaceDE w:val="0"/>
              <w:autoSpaceDN w:val="0"/>
              <w:snapToGrid w:val="0"/>
              <w:spacing w:line="340" w:lineRule="exact"/>
              <w:textAlignment w:val="bottom"/>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22.4.1 查询渠道：“信用中国”网站(www.creditchina.gov.cn)、中国政府采购网(www.ccgp.gov.cn)等；</w:t>
            </w:r>
          </w:p>
          <w:p w14:paraId="40E07D8E">
            <w:pPr>
              <w:wordWrap w:val="0"/>
              <w:autoSpaceDE w:val="0"/>
              <w:autoSpaceDN w:val="0"/>
              <w:snapToGrid w:val="0"/>
              <w:spacing w:line="340" w:lineRule="exact"/>
              <w:textAlignment w:val="bottom"/>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22.4.2 查询截止时点：成交通知书发出前；</w:t>
            </w:r>
          </w:p>
          <w:p w14:paraId="2CDBFEC7">
            <w:pPr>
              <w:wordWrap w:val="0"/>
              <w:autoSpaceDE w:val="0"/>
              <w:autoSpaceDN w:val="0"/>
              <w:snapToGrid w:val="0"/>
              <w:spacing w:line="340" w:lineRule="exact"/>
              <w:textAlignment w:val="bottom"/>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22.4.3 信用信息查询记录和证据留存方式：在查询网站中直接打印查询记录，打印材料作为采购活动资料保存。</w:t>
            </w:r>
          </w:p>
          <w:p w14:paraId="2FC74F25">
            <w:pPr>
              <w:wordWrap w:val="0"/>
              <w:spacing w:line="340" w:lineRule="exact"/>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22.4.4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之后的成交候选人为成交人或者重新组织采购。</w:t>
            </w:r>
          </w:p>
        </w:tc>
      </w:tr>
      <w:tr w14:paraId="1F46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4" w:type="dxa"/>
            <w:vAlign w:val="center"/>
          </w:tcPr>
          <w:p w14:paraId="4790E67E">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709" w:type="dxa"/>
            <w:vAlign w:val="center"/>
          </w:tcPr>
          <w:p w14:paraId="44F5EA3C">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w:t>
            </w:r>
          </w:p>
        </w:tc>
        <w:tc>
          <w:tcPr>
            <w:tcW w:w="1701" w:type="dxa"/>
            <w:vAlign w:val="center"/>
          </w:tcPr>
          <w:p w14:paraId="1764AEB8">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成交结果公告</w:t>
            </w:r>
          </w:p>
          <w:p w14:paraId="5E6C1BBF">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及成交通知书</w:t>
            </w:r>
          </w:p>
        </w:tc>
        <w:tc>
          <w:tcPr>
            <w:tcW w:w="7087" w:type="dxa"/>
          </w:tcPr>
          <w:p w14:paraId="31295C0D">
            <w:pPr>
              <w:tabs>
                <w:tab w:val="left" w:pos="455"/>
              </w:tabs>
              <w:spacing w:line="340" w:lineRule="exac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7</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采购代理机构于谈判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636D595B">
            <w:pPr>
              <w:spacing w:line="340" w:lineRule="exact"/>
              <w:rPr>
                <w:rFonts w:ascii="宋体" w:hAnsi="宋体" w:eastAsia="宋体" w:cs="宋体"/>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7</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4"/>
                <w:highlight w:val="none"/>
                <w14:textFill>
                  <w14:solidFill>
                    <w14:schemeClr w14:val="tx1"/>
                  </w14:solidFill>
                </w14:textFill>
              </w:rPr>
              <w:t>在发布成交结果公告的同时，采购代理机构向成交人发出成交通知书。</w:t>
            </w:r>
          </w:p>
        </w:tc>
      </w:tr>
      <w:tr w14:paraId="5E00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30219881">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w:t>
            </w:r>
          </w:p>
        </w:tc>
        <w:tc>
          <w:tcPr>
            <w:tcW w:w="709" w:type="dxa"/>
            <w:vAlign w:val="center"/>
          </w:tcPr>
          <w:p w14:paraId="3D31A15A">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w:t>
            </w:r>
          </w:p>
        </w:tc>
        <w:tc>
          <w:tcPr>
            <w:tcW w:w="1701" w:type="dxa"/>
            <w:vAlign w:val="center"/>
          </w:tcPr>
          <w:p w14:paraId="43FF856D">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合同履约担保</w:t>
            </w:r>
          </w:p>
        </w:tc>
        <w:tc>
          <w:tcPr>
            <w:tcW w:w="7087" w:type="dxa"/>
            <w:vAlign w:val="center"/>
          </w:tcPr>
          <w:p w14:paraId="4856F4E3">
            <w:pPr>
              <w:widowControl/>
              <w:spacing w:line="3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28.1履约担保：</w:t>
            </w:r>
          </w:p>
          <w:p w14:paraId="7F39FCCF">
            <w:pPr>
              <w:widowControl/>
              <w:spacing w:line="3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履约保证金金额：合同金额的</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9DDD885">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履约保证金提交方式：于签订合同前，以转账、支票、汇票、本票或者金融、担保机构出具的保函等非现金方式。</w:t>
            </w:r>
          </w:p>
          <w:p w14:paraId="494D54B0">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履约保证金退付方式、时间及条件：</w:t>
            </w:r>
          </w:p>
          <w:p w14:paraId="0DA19850">
            <w:pPr>
              <w:snapToGrid w:val="0"/>
              <w:spacing w:line="300"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合同验收满 (</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如无违约行为，由</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向履约保证金收取单位提供验收单及履约保证金退付申请；保证金收取单位在收到</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提交退还履约保证金申请书后15个工作日内将履约保证金无息退回</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14:paraId="56C6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4" w:type="dxa"/>
            <w:vAlign w:val="center"/>
          </w:tcPr>
          <w:p w14:paraId="67FC0B8B">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w:t>
            </w:r>
          </w:p>
        </w:tc>
        <w:tc>
          <w:tcPr>
            <w:tcW w:w="709" w:type="dxa"/>
            <w:vAlign w:val="center"/>
          </w:tcPr>
          <w:p w14:paraId="27044A2B">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w:t>
            </w:r>
          </w:p>
        </w:tc>
        <w:tc>
          <w:tcPr>
            <w:tcW w:w="1701" w:type="dxa"/>
            <w:vAlign w:val="center"/>
          </w:tcPr>
          <w:p w14:paraId="32D43C0A">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签订合同时间</w:t>
            </w:r>
          </w:p>
        </w:tc>
        <w:tc>
          <w:tcPr>
            <w:tcW w:w="7087" w:type="dxa"/>
            <w:vAlign w:val="center"/>
          </w:tcPr>
          <w:p w14:paraId="7244E202">
            <w:pPr>
              <w:spacing w:line="340" w:lineRule="exact"/>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成交通知书发出后15个工作日内。</w:t>
            </w:r>
            <w:r>
              <w:rPr>
                <w:rFonts w:hint="eastAsia" w:ascii="Times New Roman" w:hAnsi="宋体" w:eastAsia="宋体" w:cs="宋体"/>
                <w:color w:val="000000" w:themeColor="text1"/>
                <w:szCs w:val="24"/>
                <w:highlight w:val="none"/>
                <w14:textFill>
                  <w14:solidFill>
                    <w14:schemeClr w14:val="tx1"/>
                  </w14:solidFill>
                </w14:textFill>
              </w:rPr>
              <w:t>成交人领取成交通知书后，应按规定与采购人签订合同。</w:t>
            </w:r>
          </w:p>
        </w:tc>
      </w:tr>
      <w:tr w14:paraId="50BC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152308B2">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w:t>
            </w:r>
          </w:p>
        </w:tc>
        <w:tc>
          <w:tcPr>
            <w:tcW w:w="709" w:type="dxa"/>
            <w:vAlign w:val="center"/>
          </w:tcPr>
          <w:p w14:paraId="6D5088EE">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w:t>
            </w:r>
          </w:p>
        </w:tc>
        <w:tc>
          <w:tcPr>
            <w:tcW w:w="1701" w:type="dxa"/>
            <w:vAlign w:val="center"/>
          </w:tcPr>
          <w:p w14:paraId="3BD8A742">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合同备案存档</w:t>
            </w:r>
          </w:p>
        </w:tc>
        <w:tc>
          <w:tcPr>
            <w:tcW w:w="7087" w:type="dxa"/>
            <w:vAlign w:val="center"/>
          </w:tcPr>
          <w:p w14:paraId="635FCBDD">
            <w:pPr>
              <w:spacing w:line="3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28.3政府采购合同双方自签订之日起1个工作日内将合同原件壹份交采购代理机构备案存档。采购代理机构将政府采购合同在省级以上人民政府财政部门指定媒体上公告。</w:t>
            </w:r>
          </w:p>
        </w:tc>
      </w:tr>
      <w:tr w14:paraId="17B7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5443F27A">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p>
        </w:tc>
        <w:tc>
          <w:tcPr>
            <w:tcW w:w="709" w:type="dxa"/>
            <w:vAlign w:val="center"/>
          </w:tcPr>
          <w:p w14:paraId="3FAB1C2C">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30</w:t>
            </w:r>
          </w:p>
        </w:tc>
        <w:tc>
          <w:tcPr>
            <w:tcW w:w="1701" w:type="dxa"/>
            <w:vAlign w:val="center"/>
          </w:tcPr>
          <w:p w14:paraId="30E9CC48">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采购代理服务费</w:t>
            </w:r>
          </w:p>
        </w:tc>
        <w:tc>
          <w:tcPr>
            <w:tcW w:w="7087" w:type="dxa"/>
            <w:vAlign w:val="center"/>
          </w:tcPr>
          <w:p w14:paraId="11D9A28C">
            <w:pPr>
              <w:spacing w:line="3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本项目代理服务费</w:t>
            </w:r>
            <w:bookmarkStart w:id="14" w:name="OLE_LINK63"/>
            <w:bookmarkStart w:id="15" w:name="OLE_LINK62"/>
            <w:r>
              <w:rPr>
                <w:rFonts w:hint="eastAsia" w:ascii="宋体" w:hAnsi="宋体" w:eastAsia="宋体" w:cs="宋体"/>
                <w:color w:val="000000" w:themeColor="text1"/>
                <w:szCs w:val="21"/>
                <w:highlight w:val="none"/>
                <w14:textFill>
                  <w14:solidFill>
                    <w14:schemeClr w14:val="tx1"/>
                  </w14:solidFill>
                </w14:textFill>
              </w:rPr>
              <w:t>参照计价格[2002]1980号《招标代理服务收费管理暂行办法》货物类收费标准下浮50%计算（不足5000元的，按5000元收取），由成交人领取成交通知书前，向广西中信恒泰工程顾问有限公司一次性付清代理服务费。</w:t>
            </w:r>
          </w:p>
          <w:bookmarkEnd w:id="14"/>
          <w:bookmarkEnd w:id="15"/>
          <w:p w14:paraId="172810BC">
            <w:pPr>
              <w:spacing w:line="380" w:lineRule="exact"/>
              <w:ind w:firstLine="316" w:firstLineChars="15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交纳代理服务费的银行账户：</w:t>
            </w:r>
          </w:p>
          <w:p w14:paraId="4F58C2DE">
            <w:pPr>
              <w:spacing w:line="3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账户名称：</w:t>
            </w:r>
            <w:r>
              <w:rPr>
                <w:rFonts w:hint="eastAsia" w:ascii="宋体" w:hAnsi="宋体" w:eastAsia="宋体" w:cs="Times New Roman"/>
                <w:color w:val="000000" w:themeColor="text1"/>
                <w:szCs w:val="21"/>
                <w:highlight w:val="none"/>
                <w14:textFill>
                  <w14:solidFill>
                    <w14:schemeClr w14:val="tx1"/>
                  </w14:solidFill>
                </w14:textFill>
              </w:rPr>
              <w:t>广西中信恒泰工程顾问有限公司</w:t>
            </w:r>
            <w:r>
              <w:rPr>
                <w:rFonts w:hint="eastAsia" w:ascii="宋体" w:hAnsi="宋体" w:eastAsia="宋体" w:cs="宋体"/>
                <w:color w:val="000000" w:themeColor="text1"/>
                <w:szCs w:val="21"/>
                <w:highlight w:val="none"/>
                <w14:textFill>
                  <w14:solidFill>
                    <w14:schemeClr w14:val="tx1"/>
                  </w14:solidFill>
                </w14:textFill>
              </w:rPr>
              <w:t>；</w:t>
            </w:r>
          </w:p>
          <w:p w14:paraId="56082223">
            <w:pPr>
              <w:spacing w:line="360" w:lineRule="exact"/>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开户银行：建行金湖广场支行；</w:t>
            </w:r>
          </w:p>
          <w:p w14:paraId="4ED10139">
            <w:pPr>
              <w:spacing w:line="380" w:lineRule="exact"/>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银行账号：4500 1604 2660 5250 2851 </w:t>
            </w:r>
          </w:p>
        </w:tc>
      </w:tr>
      <w:tr w14:paraId="6E5D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484" w:type="dxa"/>
            <w:vAlign w:val="center"/>
          </w:tcPr>
          <w:p w14:paraId="238BDC63">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p>
        </w:tc>
        <w:tc>
          <w:tcPr>
            <w:tcW w:w="709" w:type="dxa"/>
            <w:vAlign w:val="center"/>
          </w:tcPr>
          <w:p w14:paraId="24A3503D">
            <w:pPr>
              <w:spacing w:line="34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1701" w:type="dxa"/>
            <w:vAlign w:val="center"/>
          </w:tcPr>
          <w:p w14:paraId="6710307C">
            <w:pPr>
              <w:spacing w:line="340" w:lineRule="exact"/>
              <w:jc w:val="center"/>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解释权</w:t>
            </w:r>
          </w:p>
        </w:tc>
        <w:tc>
          <w:tcPr>
            <w:tcW w:w="7087" w:type="dxa"/>
            <w:vAlign w:val="center"/>
          </w:tcPr>
          <w:p w14:paraId="1C9330A6">
            <w:pPr>
              <w:spacing w:line="34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竞争性谈判文件是根据《中华人民共和国政府采购法》、《中华人民共和国政府采购法实施条例》、《政府采购非招标采购方式管理办法》和政府采购管理有关规定编制，本竞争性谈判文件的解释权属于采购代理机构。</w:t>
            </w:r>
          </w:p>
        </w:tc>
      </w:tr>
    </w:tbl>
    <w:p w14:paraId="37E5368C">
      <w:pPr>
        <w:spacing w:line="350" w:lineRule="exact"/>
        <w:ind w:firstLine="630" w:firstLineChars="196"/>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一、总则</w:t>
      </w:r>
    </w:p>
    <w:p w14:paraId="64DA7ED8">
      <w:pPr>
        <w:spacing w:line="350" w:lineRule="exact"/>
        <w:ind w:firstLine="413" w:firstLineChars="196"/>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1.适应范围</w:t>
      </w:r>
    </w:p>
    <w:p w14:paraId="7F76D5D0">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项目名称：</w:t>
      </w:r>
      <w:r>
        <w:rPr>
          <w:rFonts w:hint="eastAsia" w:ascii="宋体" w:hAnsi="宋体" w:eastAsia="宋体" w:cs="Times New Roman"/>
          <w:bCs/>
          <w:color w:val="000000" w:themeColor="text1"/>
          <w:szCs w:val="21"/>
          <w:highlight w:val="none"/>
          <w:lang w:eastAsia="zh-CN"/>
          <w14:textFill>
            <w14:solidFill>
              <w14:schemeClr w14:val="tx1"/>
            </w14:solidFill>
          </w14:textFill>
        </w:rPr>
        <w:t>桂林航天工业学院-体育馆设备采购项目</w:t>
      </w:r>
      <w:r>
        <w:rPr>
          <w:rFonts w:hint="eastAsia" w:ascii="宋体" w:hAnsi="宋体" w:eastAsia="宋体" w:cs="Times New Roman"/>
          <w:color w:val="000000" w:themeColor="text1"/>
          <w:szCs w:val="21"/>
          <w:highlight w:val="none"/>
          <w14:textFill>
            <w14:solidFill>
              <w14:schemeClr w14:val="tx1"/>
            </w14:solidFill>
          </w14:textFill>
        </w:rPr>
        <w:t>；</w:t>
      </w:r>
    </w:p>
    <w:p w14:paraId="0AD6C6B2">
      <w:pPr>
        <w:spacing w:line="350" w:lineRule="exact"/>
        <w:ind w:firstLine="840" w:firstLineChars="4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lang w:eastAsia="zh-CN"/>
          <w14:textFill>
            <w14:solidFill>
              <w14:schemeClr w14:val="tx1"/>
            </w14:solidFill>
          </w14:textFill>
        </w:rPr>
        <w:t>GXZC2025-J1-003235-GXZX</w:t>
      </w:r>
      <w:r>
        <w:rPr>
          <w:rFonts w:hint="eastAsia" w:ascii="宋体" w:hAnsi="宋体" w:eastAsia="宋体" w:cs="Times New Roman"/>
          <w:color w:val="000000" w:themeColor="text1"/>
          <w:szCs w:val="21"/>
          <w:highlight w:val="none"/>
          <w14:textFill>
            <w14:solidFill>
              <w14:schemeClr w14:val="tx1"/>
            </w14:solidFill>
          </w14:textFill>
        </w:rPr>
        <w:t>。</w:t>
      </w:r>
    </w:p>
    <w:p w14:paraId="71F02B10">
      <w:pPr>
        <w:spacing w:line="350" w:lineRule="exact"/>
        <w:ind w:firstLine="435"/>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本竞争性谈判文件（以下简称谈判文件）适用于本谈判项目的谈判、评审、合同履约、验收、付款等行为（法律、法规另有规定的，从其规定）。</w:t>
      </w:r>
    </w:p>
    <w:p w14:paraId="50B40F5D">
      <w:pPr>
        <w:spacing w:line="350" w:lineRule="exact"/>
        <w:ind w:firstLine="435"/>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2.定义</w:t>
      </w:r>
    </w:p>
    <w:p w14:paraId="132C3140">
      <w:pPr>
        <w:spacing w:line="40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2.1“供应商”是指符合本次采购项目的供应商资格并提交响应文件、参加谈判的供应商。如果该供应商在本次谈判中成交，即成为“成交人”。</w:t>
      </w:r>
    </w:p>
    <w:p w14:paraId="7D1F46ED">
      <w:pPr>
        <w:spacing w:line="40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2.2“货物”系指按谈判文件规定，供应商须向采购人提供的一切设备、保险、税金、备品备件、工具、手册及其它有关技术资料和材料。</w:t>
      </w:r>
    </w:p>
    <w:p w14:paraId="41D99286">
      <w:pPr>
        <w:spacing w:line="40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2.3“服务”系指按谈判文件规定，供应商须承担的安装、调试、技术协助、校准、培训、技术指导以及其他类似的义务。</w:t>
      </w:r>
    </w:p>
    <w:p w14:paraId="1FBC9940">
      <w:pPr>
        <w:spacing w:line="40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2.4“项目”系指供应商按谈判文件规定向采购人提供的货物和服务。</w:t>
      </w:r>
    </w:p>
    <w:p w14:paraId="1DBBD4CD">
      <w:pPr>
        <w:spacing w:line="40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2.5“书面形式”包括信函、传真、电报等。</w:t>
      </w:r>
    </w:p>
    <w:p w14:paraId="2F0529EB">
      <w:pPr>
        <w:spacing w:line="350" w:lineRule="exact"/>
        <w:ind w:firstLine="435"/>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2.6竞争性谈判文件中要求“必须提供”的条款及《货物采购需求》表中中带“</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Times New Roman"/>
          <w:b/>
          <w:color w:val="000000" w:themeColor="text1"/>
          <w:szCs w:val="21"/>
          <w:highlight w:val="none"/>
          <w14:textFill>
            <w14:solidFill>
              <w14:schemeClr w14:val="tx1"/>
            </w14:solidFill>
          </w14:textFill>
        </w:rPr>
        <w:t>”号条款、商务要求均为实质性条款，谈判时，必须满足。</w:t>
      </w:r>
    </w:p>
    <w:p w14:paraId="02CB284A">
      <w:pPr>
        <w:spacing w:line="350" w:lineRule="exact"/>
        <w:ind w:firstLine="435"/>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3.供应商资格</w:t>
      </w:r>
    </w:p>
    <w:p w14:paraId="6833F493">
      <w:pPr>
        <w:spacing w:line="350" w:lineRule="exact"/>
        <w:ind w:firstLine="4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见供应商须知前附表第2条内容。</w:t>
      </w:r>
    </w:p>
    <w:p w14:paraId="73BD1FF5">
      <w:pPr>
        <w:spacing w:line="350" w:lineRule="exact"/>
        <w:ind w:firstLine="435"/>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4.参与在线响应（电子响应）的准备工作及谈判费用</w:t>
      </w:r>
    </w:p>
    <w:p w14:paraId="5C00878D">
      <w:pPr>
        <w:tabs>
          <w:tab w:val="left" w:pos="1635"/>
        </w:tabs>
        <w:spacing w:line="350" w:lineRule="exact"/>
        <w:ind w:firstLine="4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4.1参与在线响应（电子响应）的准备工作</w:t>
      </w:r>
    </w:p>
    <w:p w14:paraId="799D060A">
      <w:pPr>
        <w:tabs>
          <w:tab w:val="left" w:pos="1635"/>
        </w:tabs>
        <w:spacing w:line="350" w:lineRule="exact"/>
        <w:ind w:firstLine="4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2DAF5A78">
      <w:pPr>
        <w:tabs>
          <w:tab w:val="left" w:pos="1635"/>
        </w:tabs>
        <w:spacing w:line="350" w:lineRule="exact"/>
        <w:ind w:firstLine="4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4.1.2在线响应（电子响应）具体操作流程参考《政府采购项目电子交易管理操作指南-供应商》【详见广西政府采购网（访问地址http://zfcg.gxzf.gov.cn/）—办事服务—下载专区-广西壮族自治区全流程电子招</w:t>
      </w:r>
      <w:r>
        <w:rPr>
          <w:rFonts w:hint="eastAsia" w:ascii="宋体" w:hAnsi="宋体" w:eastAsia="宋体" w:cs="宋体"/>
          <w:color w:val="000000" w:themeColor="text1"/>
          <w:szCs w:val="21"/>
          <w:highlight w:val="none"/>
          <w:lang w:eastAsia="zh-CN"/>
          <w14:textFill>
            <w14:solidFill>
              <w14:schemeClr w14:val="tx1"/>
            </w14:solidFill>
          </w14:textFill>
        </w:rPr>
        <w:t>竞标</w:t>
      </w:r>
      <w:r>
        <w:rPr>
          <w:rFonts w:hint="eastAsia" w:ascii="宋体" w:hAnsi="宋体" w:eastAsia="宋体" w:cs="宋体"/>
          <w:color w:val="000000" w:themeColor="text1"/>
          <w:szCs w:val="21"/>
          <w:highlight w:val="none"/>
          <w14:textFill>
            <w14:solidFill>
              <w14:schemeClr w14:val="tx1"/>
            </w14:solidFill>
          </w14:textFill>
        </w:rPr>
        <w:t>项目管理系统--供应商客户端】；如遇平台技术问题详询95763。</w:t>
      </w:r>
    </w:p>
    <w:p w14:paraId="61933598">
      <w:pPr>
        <w:tabs>
          <w:tab w:val="left" w:pos="1635"/>
        </w:tabs>
        <w:spacing w:line="350" w:lineRule="exact"/>
        <w:ind w:firstLine="4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4.2谈判费用：供应商应自行承担所有与编写和提交竞争性谈判响应文件有关的费用，不论谈判结果如何，采购人和采购代理机构在任何情况下无义务和责任承担此类费用。</w:t>
      </w:r>
    </w:p>
    <w:p w14:paraId="5D50BA54">
      <w:pPr>
        <w:tabs>
          <w:tab w:val="left" w:pos="1635"/>
        </w:tabs>
        <w:spacing w:line="350" w:lineRule="exact"/>
        <w:ind w:firstLine="435"/>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5.联合体谈判要求（本项目不接受联合体参与谈判</w:t>
      </w:r>
      <w:r>
        <w:rPr>
          <w:rFonts w:ascii="宋体" w:hAnsi="宋体" w:eastAsia="宋体" w:cs="宋体"/>
          <w:b/>
          <w:color w:val="000000" w:themeColor="text1"/>
          <w:szCs w:val="21"/>
          <w:highlight w:val="none"/>
          <w14:textFill>
            <w14:solidFill>
              <w14:schemeClr w14:val="tx1"/>
            </w14:solidFill>
          </w14:textFill>
        </w:rPr>
        <w:t>）</w:t>
      </w:r>
    </w:p>
    <w:p w14:paraId="6802DBCF">
      <w:pPr>
        <w:tabs>
          <w:tab w:val="left" w:pos="2190"/>
        </w:tabs>
        <w:spacing w:line="350" w:lineRule="exact"/>
        <w:ind w:firstLine="413" w:firstLineChars="196"/>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6.质疑和投诉</w:t>
      </w:r>
      <w:r>
        <w:rPr>
          <w:rFonts w:hint="eastAsia" w:ascii="宋体" w:hAnsi="宋体" w:eastAsia="宋体" w:cs="宋体"/>
          <w:b/>
          <w:color w:val="000000" w:themeColor="text1"/>
          <w:szCs w:val="21"/>
          <w:highlight w:val="none"/>
          <w14:textFill>
            <w14:solidFill>
              <w14:schemeClr w14:val="tx1"/>
            </w14:solidFill>
          </w14:textFill>
        </w:rPr>
        <w:tab/>
      </w:r>
    </w:p>
    <w:p w14:paraId="461B1379">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.1供应商对政府采购活动事项有疑问的，</w:t>
      </w:r>
      <w:r>
        <w:rPr>
          <w:rFonts w:ascii="宋体" w:hAnsi="宋体" w:eastAsia="宋体" w:cs="Times New Roman"/>
          <w:color w:val="000000" w:themeColor="text1"/>
          <w:szCs w:val="21"/>
          <w:highlight w:val="none"/>
          <w14:textFill>
            <w14:solidFill>
              <w14:schemeClr w14:val="tx1"/>
            </w14:solidFill>
          </w14:textFill>
        </w:rPr>
        <w:t>可以</w:t>
      </w:r>
      <w:r>
        <w:rPr>
          <w:rFonts w:hint="eastAsia" w:ascii="宋体" w:hAnsi="宋体" w:eastAsia="宋体" w:cs="Times New Roman"/>
          <w:color w:val="000000" w:themeColor="text1"/>
          <w:szCs w:val="21"/>
          <w:highlight w:val="none"/>
          <w14:textFill>
            <w14:solidFill>
              <w14:schemeClr w14:val="tx1"/>
            </w14:solidFill>
          </w14:textFill>
        </w:rPr>
        <w:t>向采购人、</w:t>
      </w:r>
      <w:r>
        <w:rPr>
          <w:rFonts w:ascii="宋体" w:hAnsi="宋体" w:eastAsia="宋体" w:cs="Times New Roman"/>
          <w:color w:val="000000" w:themeColor="text1"/>
          <w:szCs w:val="21"/>
          <w:highlight w:val="none"/>
          <w14:textFill>
            <w14:solidFill>
              <w14:schemeClr w14:val="tx1"/>
            </w14:solidFill>
          </w14:textFill>
        </w:rPr>
        <w:t>采购</w:t>
      </w:r>
      <w:r>
        <w:rPr>
          <w:rFonts w:hint="eastAsia" w:ascii="宋体" w:hAnsi="宋体" w:eastAsia="宋体" w:cs="Times New Roman"/>
          <w:color w:val="000000" w:themeColor="text1"/>
          <w:szCs w:val="21"/>
          <w:highlight w:val="none"/>
          <w14:textFill>
            <w14:solidFill>
              <w14:schemeClr w14:val="tx1"/>
            </w14:solidFill>
          </w14:textFill>
        </w:rPr>
        <w:t>代理机构提出询问。</w:t>
      </w:r>
    </w:p>
    <w:p w14:paraId="27E106DC">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供应商认为谈判文件使自己的合法权益受到损害的，采购公告期限届满之日起七个工作日内，以书面形式向采购代理机构提出质疑。采购代理机构应认真做好质疑处理工作。</w:t>
      </w:r>
    </w:p>
    <w:p w14:paraId="103C9739">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6.3</w:t>
      </w:r>
      <w:r>
        <w:rPr>
          <w:rFonts w:hint="eastAsia" w:ascii="宋体" w:hAnsi="宋体" w:eastAsia="宋体" w:cs="Times New Roman"/>
          <w:color w:val="000000" w:themeColor="text1"/>
          <w:szCs w:val="21"/>
          <w:highlight w:val="none"/>
          <w14:textFill>
            <w14:solidFill>
              <w14:schemeClr w14:val="tx1"/>
            </w14:solidFill>
          </w14:textFill>
        </w:rPr>
        <w:t>供应商认为采购过程使自己的合法权益受到损害的，应当在为各采购程序环节结束之日起7个工作日内，以书面形式向采购代理机构提出质疑。采购代理机构应认真做好质疑处理工作。</w:t>
      </w:r>
    </w:p>
    <w:p w14:paraId="38580103">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.4供应商认为谈判结果使自己的合法权益受到损害的，应当在成交结果公告期限届满之日起7个工作日内，以书面形式向采购代理机构提出质疑。采购代理机构应认真做好质疑处理工作。</w:t>
      </w:r>
    </w:p>
    <w:p w14:paraId="0F08BB4C">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供应商对采购代理机构的答复不满意或者采购代理机构未在规定的时间内作出答复的，可以在答复期满后十五个工作日内向广西区财政厅政府采购监督管理处投诉。</w:t>
      </w:r>
    </w:p>
    <w:p w14:paraId="200C36E6">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6质疑、投诉应当采用书面形式，质疑书、投诉书实行实名制，均应明确阐述谈判文件、谈判过程或成交结果中使自己合法权益受到损害的实质性内容，提供相关事实、依据和证据及其来源或线索，必要的证明材料，便于有关单位调查、答复和处理。质疑函格式详见附件。</w:t>
      </w:r>
    </w:p>
    <w:p w14:paraId="5F40679E">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6.7质疑</w:t>
      </w:r>
      <w:r>
        <w:rPr>
          <w:rFonts w:ascii="宋体" w:hAnsi="宋体" w:eastAsia="宋体" w:cs="Times New Roman"/>
          <w:color w:val="000000" w:themeColor="text1"/>
          <w:szCs w:val="21"/>
          <w:highlight w:val="none"/>
          <w14:textFill>
            <w14:solidFill>
              <w14:schemeClr w14:val="tx1"/>
            </w14:solidFill>
          </w14:textFill>
        </w:rPr>
        <w:t>联系部门</w:t>
      </w:r>
      <w:r>
        <w:rPr>
          <w:rFonts w:hint="eastAsia" w:ascii="宋体" w:hAnsi="宋体" w:eastAsia="宋体" w:cs="Times New Roman"/>
          <w:color w:val="000000" w:themeColor="text1"/>
          <w:szCs w:val="21"/>
          <w:highlight w:val="none"/>
          <w14:textFill>
            <w14:solidFill>
              <w14:schemeClr w14:val="tx1"/>
            </w14:solidFill>
          </w14:textFill>
        </w:rPr>
        <w:t>：广西中信恒泰工程顾问有限公司；</w:t>
      </w:r>
      <w:r>
        <w:rPr>
          <w:rFonts w:ascii="宋体" w:hAnsi="宋体" w:eastAsia="宋体" w:cs="Times New Roman"/>
          <w:color w:val="000000" w:themeColor="text1"/>
          <w:szCs w:val="21"/>
          <w:highlight w:val="none"/>
          <w14:textFill>
            <w14:solidFill>
              <w14:schemeClr w14:val="tx1"/>
            </w14:solidFill>
          </w14:textFill>
        </w:rPr>
        <w:t>联系电话</w:t>
      </w:r>
      <w:r>
        <w:rPr>
          <w:rFonts w:hint="eastAsia" w:ascii="宋体" w:hAnsi="宋体" w:eastAsia="宋体" w:cs="Times New Roman"/>
          <w:color w:val="000000" w:themeColor="text1"/>
          <w:szCs w:val="21"/>
          <w:highlight w:val="none"/>
          <w14:textFill>
            <w14:solidFill>
              <w14:schemeClr w14:val="tx1"/>
            </w14:solidFill>
          </w14:textFill>
        </w:rPr>
        <w:t>：0773-3830122；</w:t>
      </w:r>
    </w:p>
    <w:p w14:paraId="20FA8FA9">
      <w:pPr>
        <w:spacing w:line="350" w:lineRule="exact"/>
        <w:ind w:firstLine="945" w:firstLineChars="45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通讯地址</w:t>
      </w:r>
      <w:r>
        <w:rPr>
          <w:rFonts w:hint="eastAsia" w:ascii="宋体" w:hAnsi="宋体" w:eastAsia="宋体" w:cs="Times New Roman"/>
          <w:color w:val="000000" w:themeColor="text1"/>
          <w:szCs w:val="21"/>
          <w:highlight w:val="none"/>
          <w14:textFill>
            <w14:solidFill>
              <w14:schemeClr w14:val="tx1"/>
            </w14:solidFill>
          </w14:textFill>
        </w:rPr>
        <w:t>：桂林市象山区银锭路2号综合楼6-4-2。</w:t>
      </w:r>
    </w:p>
    <w:p w14:paraId="3014222A">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6.8投诉</w:t>
      </w:r>
      <w:r>
        <w:rPr>
          <w:rFonts w:ascii="宋体" w:hAnsi="宋体" w:eastAsia="宋体" w:cs="Times New Roman"/>
          <w:color w:val="000000" w:themeColor="text1"/>
          <w:szCs w:val="21"/>
          <w:highlight w:val="none"/>
          <w14:textFill>
            <w14:solidFill>
              <w14:schemeClr w14:val="tx1"/>
            </w14:solidFill>
          </w14:textFill>
        </w:rPr>
        <w:t>联系部门</w:t>
      </w:r>
      <w:r>
        <w:rPr>
          <w:rFonts w:hint="eastAsia" w:ascii="宋体" w:hAnsi="宋体" w:eastAsia="宋体" w:cs="Times New Roman"/>
          <w:color w:val="000000" w:themeColor="text1"/>
          <w:szCs w:val="21"/>
          <w:highlight w:val="none"/>
          <w14:textFill>
            <w14:solidFill>
              <w14:schemeClr w14:val="tx1"/>
            </w14:solidFill>
          </w14:textFill>
        </w:rPr>
        <w:t>：广西区财政厅政府采购监督管理处。</w:t>
      </w:r>
    </w:p>
    <w:p w14:paraId="4AA1B917">
      <w:pPr>
        <w:tabs>
          <w:tab w:val="left" w:pos="2190"/>
        </w:tabs>
        <w:spacing w:line="350" w:lineRule="exact"/>
        <w:ind w:firstLine="435"/>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7.转包与分包</w:t>
      </w:r>
    </w:p>
    <w:p w14:paraId="673B2B14">
      <w:pPr>
        <w:tabs>
          <w:tab w:val="left" w:pos="2190"/>
        </w:tabs>
        <w:spacing w:line="350" w:lineRule="exact"/>
        <w:ind w:firstLine="4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7.1本项目不允许转包。</w:t>
      </w:r>
    </w:p>
    <w:p w14:paraId="3A464CB1">
      <w:pPr>
        <w:tabs>
          <w:tab w:val="left" w:pos="2190"/>
        </w:tabs>
        <w:spacing w:line="350" w:lineRule="exact"/>
        <w:ind w:firstLine="4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7.2本项目不可以分包。</w:t>
      </w:r>
    </w:p>
    <w:p w14:paraId="509DE0E9">
      <w:pPr>
        <w:tabs>
          <w:tab w:val="left" w:pos="2190"/>
        </w:tabs>
        <w:spacing w:line="350" w:lineRule="exact"/>
        <w:ind w:firstLine="435"/>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8.特别说明</w:t>
      </w:r>
    </w:p>
    <w:p w14:paraId="0DBAD140">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8.1 单位负责人为同一人或者存在直接控股、管理关系的，不得参加同一分标或未划分分标的同一项目的谈判，否则，响应文件无效。</w:t>
      </w:r>
    </w:p>
    <w:p w14:paraId="1A479E3C">
      <w:pPr>
        <w:tabs>
          <w:tab w:val="left" w:pos="2190"/>
        </w:tabs>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除单一来源采购项目外，为本采购项目提供整体设计、规范编制或者项目管理、监理、检测等服务的供应商，不得再参加该采购项目的其他采购活动，否则响应文件无效。</w:t>
      </w:r>
    </w:p>
    <w:p w14:paraId="57D21FC8">
      <w:pPr>
        <w:spacing w:line="400" w:lineRule="exact"/>
        <w:ind w:firstLine="420"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8.2</w:t>
      </w:r>
      <w:r>
        <w:rPr>
          <w:rFonts w:hint="eastAsia" w:ascii="宋体" w:hAnsi="宋体" w:eastAsia="宋体" w:cs="Times New Roman"/>
          <w:b/>
          <w:color w:val="000000" w:themeColor="text1"/>
          <w:szCs w:val="21"/>
          <w:highlight w:val="none"/>
          <w14:textFill>
            <w14:solidFill>
              <w14:schemeClr w14:val="tx1"/>
            </w14:solidFill>
          </w14:textFill>
        </w:rPr>
        <w:t>根据桂财采[2016]42号的规定，提供相同品牌产品的不同供应商参加同一合同项下</w:t>
      </w:r>
      <w:r>
        <w:rPr>
          <w:rFonts w:hint="eastAsia" w:ascii="宋体" w:hAnsi="宋体" w:eastAsia="宋体" w:cs="Times New Roman"/>
          <w:b/>
          <w:color w:val="000000" w:themeColor="text1"/>
          <w:szCs w:val="21"/>
          <w:highlight w:val="none"/>
          <w:lang w:eastAsia="zh-CN"/>
          <w14:textFill>
            <w14:solidFill>
              <w14:schemeClr w14:val="tx1"/>
            </w14:solidFill>
          </w14:textFill>
        </w:rPr>
        <w:t>竞标</w:t>
      </w:r>
      <w:r>
        <w:rPr>
          <w:rFonts w:hint="eastAsia" w:ascii="宋体" w:hAnsi="宋体" w:eastAsia="宋体" w:cs="Times New Roman"/>
          <w:b/>
          <w:color w:val="000000" w:themeColor="text1"/>
          <w:szCs w:val="21"/>
          <w:highlight w:val="none"/>
          <w14:textFill>
            <w14:solidFill>
              <w14:schemeClr w14:val="tx1"/>
            </w14:solidFill>
          </w14:textFill>
        </w:rPr>
        <w:t>的，以其中通过资格审查、符合性审查且最后报价最低的参加评标，最后报价相同的，由采购人自主选择确定一个参加评标的供应商，其他响应文件无效</w:t>
      </w:r>
      <w:r>
        <w:rPr>
          <w:rFonts w:ascii="宋体" w:hAnsi="宋体" w:eastAsia="宋体" w:cs="Times New Roman"/>
          <w:b/>
          <w:color w:val="000000" w:themeColor="text1"/>
          <w:szCs w:val="21"/>
          <w:highlight w:val="none"/>
          <w14:textFill>
            <w14:solidFill>
              <w14:schemeClr w14:val="tx1"/>
            </w14:solidFill>
          </w14:textFill>
        </w:rPr>
        <w:t>。</w:t>
      </w:r>
    </w:p>
    <w:p w14:paraId="28651FA9">
      <w:pPr>
        <w:tabs>
          <w:tab w:val="left" w:pos="1635"/>
        </w:tabs>
        <w:spacing w:line="400" w:lineRule="exact"/>
        <w:ind w:firstLine="435"/>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非单一产品采购项目中，多家供应商提供的核心产品品牌相同的，视为提供相同品牌产品，应当按一个供应商认定，评审时，按上述规定确定其中一家为有效供应商。本项目的核心产品见本竞争性谈判文件第三章“货物采购需求”。</w:t>
      </w:r>
    </w:p>
    <w:p w14:paraId="6F473C38">
      <w:pPr>
        <w:widowControl/>
        <w:spacing w:line="350" w:lineRule="exact"/>
        <w:ind w:firstLine="420" w:firstLineChars="200"/>
        <w:jc w:val="left"/>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8.3供应商竞标所使用的资格、信誉、荣誉、业绩与企业认证必须为本法人（负责人、自然人）所拥有。供应商竞标所使用的采购项目实施人员必须为本法人（负责人）员工。</w:t>
      </w:r>
    </w:p>
    <w:p w14:paraId="38CFAF8A">
      <w:pPr>
        <w:widowControl/>
        <w:spacing w:line="350" w:lineRule="exact"/>
        <w:ind w:firstLine="420" w:firstLineChars="200"/>
        <w:jc w:val="left"/>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8.4供应商应仔细阅读竞争性谈判文件的所有内容，按照竞争性谈判文件的要求提交响应文件，并对所提供的全部资料的真实性承担法律责任。</w:t>
      </w:r>
    </w:p>
    <w:p w14:paraId="790195A7">
      <w:pPr>
        <w:widowControl/>
        <w:spacing w:line="350" w:lineRule="exact"/>
        <w:ind w:firstLine="420" w:firstLineChars="200"/>
        <w:jc w:val="left"/>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8.5供应商在谈判活动中提供任何虚假材料，其响应文件无效，并报监管部门查处；成交后发现的，成交人须依照《中华人民共和国消费者权益保护法》第49条之规定双倍赔偿采购人，且民事赔偿并不免除违法供应商的行政与刑事责任。</w:t>
      </w:r>
    </w:p>
    <w:p w14:paraId="58E3DCA7">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8.6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14:paraId="57E94602">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8.6.1符合条件的残疾人福利性单位在参加政府采购活动时，应当提供本通知规定的《残疾人福利性单位声明函》（见本竞争性谈判文件第六章附件），并对声明的真实性负责。</w:t>
      </w:r>
    </w:p>
    <w:p w14:paraId="6B5BF700">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8.6.2供应商提供的《残疾人福利性单位声明函》与事实不符的，依照《政府采购法》第七十七条第一款的规定追究法律责任。</w:t>
      </w:r>
    </w:p>
    <w:p w14:paraId="34227F4B">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8.6.3享受政府采购支持政策的残疾人福利性单位应当同时满足以下条件：</w:t>
      </w:r>
    </w:p>
    <w:p w14:paraId="64031326">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（1）安置的残疾人占本单位在职职工人数的比例不低于25%（含25%），并且安置的残疾人人数不少于10人（含10人）；</w:t>
      </w:r>
    </w:p>
    <w:p w14:paraId="51CDC65C">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（2）依法与安置的每位残疾人签订了一年以上（含一年）的劳动合同或服务协议；</w:t>
      </w:r>
    </w:p>
    <w:p w14:paraId="1793059F">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（3）为安置的每位残疾人按月足额缴纳了基本养老保险、基本医疗保险、失业保险、工伤保险和生育保险等社会保险费；</w:t>
      </w:r>
    </w:p>
    <w:p w14:paraId="6600FC05">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754528E">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5C5CD0BF">
      <w:pPr>
        <w:widowControl/>
        <w:spacing w:line="35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D107FF5">
      <w:pPr>
        <w:tabs>
          <w:tab w:val="left" w:pos="2190"/>
        </w:tabs>
        <w:spacing w:line="350" w:lineRule="exact"/>
        <w:ind w:firstLine="435"/>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二、谈判文件</w:t>
      </w:r>
    </w:p>
    <w:p w14:paraId="31F9C5A4">
      <w:pPr>
        <w:tabs>
          <w:tab w:val="left" w:pos="2190"/>
        </w:tabs>
        <w:spacing w:line="350" w:lineRule="exact"/>
        <w:ind w:firstLine="43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9.谈判文件的构成</w:t>
      </w:r>
    </w:p>
    <w:p w14:paraId="48897E5E">
      <w:pPr>
        <w:tabs>
          <w:tab w:val="left" w:pos="2190"/>
        </w:tabs>
        <w:spacing w:line="350" w:lineRule="exact"/>
        <w:ind w:firstLine="43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竞争性谈判公告</w:t>
      </w:r>
      <w:r>
        <w:rPr>
          <w:rFonts w:hint="eastAsia" w:ascii="宋体" w:hAnsi="宋体" w:eastAsia="宋体" w:cs="宋体"/>
          <w:color w:val="000000" w:themeColor="text1"/>
          <w:szCs w:val="21"/>
          <w:highlight w:val="none"/>
          <w14:textFill>
            <w14:solidFill>
              <w14:schemeClr w14:val="tx1"/>
            </w14:solidFill>
          </w14:textFill>
        </w:rPr>
        <w:t>；</w:t>
      </w:r>
    </w:p>
    <w:p w14:paraId="7BB80760">
      <w:pPr>
        <w:tabs>
          <w:tab w:val="left" w:pos="2190"/>
        </w:tabs>
        <w:spacing w:line="350" w:lineRule="exact"/>
        <w:ind w:firstLine="43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（2）供应商须知；</w:t>
      </w:r>
    </w:p>
    <w:p w14:paraId="4FF9E466">
      <w:pPr>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（3）货物采购需求；</w:t>
      </w:r>
    </w:p>
    <w:p w14:paraId="288D6D5B">
      <w:pPr>
        <w:tabs>
          <w:tab w:val="left" w:pos="2190"/>
        </w:tabs>
        <w:spacing w:line="350" w:lineRule="exact"/>
        <w:ind w:firstLine="43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（4）评审办法；</w:t>
      </w:r>
    </w:p>
    <w:p w14:paraId="3B43E6E6">
      <w:pPr>
        <w:tabs>
          <w:tab w:val="left" w:pos="2190"/>
        </w:tabs>
        <w:spacing w:line="350" w:lineRule="exact"/>
        <w:ind w:firstLine="43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（5）采购合同（合同主要条款及格式）；</w:t>
      </w:r>
    </w:p>
    <w:p w14:paraId="1CB21A8E">
      <w:pPr>
        <w:tabs>
          <w:tab w:val="left" w:pos="2190"/>
        </w:tabs>
        <w:spacing w:line="350" w:lineRule="exact"/>
        <w:ind w:firstLine="43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（6）响应文件格式。</w:t>
      </w:r>
    </w:p>
    <w:p w14:paraId="3889E3DC">
      <w:pPr>
        <w:tabs>
          <w:tab w:val="left" w:pos="2190"/>
        </w:tabs>
        <w:spacing w:line="350" w:lineRule="exact"/>
        <w:ind w:firstLine="43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10.谈判文件的澄清与修改</w:t>
      </w:r>
    </w:p>
    <w:p w14:paraId="0C608F99">
      <w:pPr>
        <w:tabs>
          <w:tab w:val="left" w:pos="2190"/>
        </w:tabs>
        <w:spacing w:line="400" w:lineRule="exact"/>
        <w:ind w:firstLine="43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w:t>
      </w:r>
      <w:r>
        <w:rPr>
          <w:rFonts w:hint="eastAsia" w:ascii="宋体" w:hAnsi="宋体" w:eastAsia="宋体" w:cs="Times New Roman"/>
          <w:color w:val="000000" w:themeColor="text1"/>
          <w:szCs w:val="21"/>
          <w:highlight w:val="none"/>
          <w14:textFill>
            <w14:solidFill>
              <w14:schemeClr w14:val="tx1"/>
            </w14:solidFill>
          </w14:textFill>
        </w:rPr>
        <w:t>提交首次响应文件截止之日前，采购代理机构可以对已发出的谈判文件进行必要澄清或者修改，澄清或者修改的内容可能影响响应文件编制的，采购代理机构应当在提交首次响应文件递交截止时间三个工作日前在本项目竞争性谈判公告发布的同一媒体上发布更正公告，供应商自行登录竞争性谈判公告发布的相关网站【http://www.ccgp.gov.cn（中国政府采购网）、http://zfcg.gxzf.gov.cn/（广西政府采购网）】查询，不足三个工作日的，应当顺延首次响应文件递交截止时间。</w:t>
      </w:r>
    </w:p>
    <w:p w14:paraId="2B3E0614">
      <w:pPr>
        <w:tabs>
          <w:tab w:val="left" w:pos="2190"/>
        </w:tabs>
        <w:spacing w:line="400" w:lineRule="exact"/>
        <w:ind w:firstLine="43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10.2采购代理机构在竞争性谈判公告发布的相关网站发布更正公告的同时，视同供应商已知晓竞争性谈判文件的澄清或者修改，供应商应将澄清或者修改的内容考虑在响应文件中，供应商在响应文件递交截止前未登录竞争性谈判公告发布的相关网站查看澄清或者修改的，造成供应商的响应文件不符合竞争性谈判文件要求或废标的，由供应商自行承担责任。</w:t>
      </w:r>
    </w:p>
    <w:p w14:paraId="761721E0">
      <w:pPr>
        <w:tabs>
          <w:tab w:val="left" w:pos="2190"/>
        </w:tabs>
        <w:spacing w:line="400" w:lineRule="exact"/>
        <w:ind w:firstLine="43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10.3澄清、答复、修改、补充的内容为谈判文件的组成部分。当澄清、答复、修改、补充通知就同一内容的表述不一致时，以最后发出的文件为准。</w:t>
      </w:r>
    </w:p>
    <w:p w14:paraId="1C9EADC8">
      <w:pPr>
        <w:tabs>
          <w:tab w:val="left" w:pos="2190"/>
        </w:tabs>
        <w:spacing w:line="400" w:lineRule="exact"/>
        <w:ind w:firstLine="43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10.4谈判文件的澄清、答复、修改或补充都应该通过本项目采购代理机构以法定形式发布，采购人非通过本机构，不得擅自澄清、答复、修改或补充谈判文件。</w:t>
      </w:r>
    </w:p>
    <w:p w14:paraId="429B5621">
      <w:pPr>
        <w:tabs>
          <w:tab w:val="left" w:pos="2190"/>
        </w:tabs>
        <w:spacing w:line="400" w:lineRule="exact"/>
        <w:ind w:firstLine="43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10.5采购人和采购代理机构可以视采购具体情况，延长响应文件截止时间和谈判时间，在本项目竞争性谈判公告发布的同一媒体上发布更正公告，供应商自行登录竞争性谈判公告发布的相关网站【http://www.ccgp.gov.cn（中国政府采购网）、http://zfcg.gxzf.gov.cn/（广西政府采购网）】查询，未在进行查询的，造成供应商未在规定的时间提交响应文件的，由供应商自行承担责任。</w:t>
      </w:r>
    </w:p>
    <w:p w14:paraId="329675B0">
      <w:pPr>
        <w:tabs>
          <w:tab w:val="left" w:pos="2190"/>
        </w:tabs>
        <w:spacing w:line="350" w:lineRule="exact"/>
        <w:ind w:firstLine="437"/>
        <w:rPr>
          <w:rFonts w:ascii="宋体" w:hAnsi="宋体" w:eastAsia="宋体" w:cs="宋体"/>
          <w:color w:val="000000" w:themeColor="text1"/>
          <w:szCs w:val="21"/>
          <w:highlight w:val="none"/>
          <w14:textFill>
            <w14:solidFill>
              <w14:schemeClr w14:val="tx1"/>
            </w14:solidFill>
          </w14:textFill>
        </w:rPr>
      </w:pPr>
    </w:p>
    <w:p w14:paraId="30845E16">
      <w:pPr>
        <w:tabs>
          <w:tab w:val="left" w:pos="2190"/>
        </w:tabs>
        <w:spacing w:line="350" w:lineRule="exact"/>
        <w:ind w:firstLine="435"/>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三、竞争性谈判响应文件的编制</w:t>
      </w:r>
    </w:p>
    <w:p w14:paraId="2FAE2524">
      <w:pPr>
        <w:tabs>
          <w:tab w:val="left" w:pos="2190"/>
        </w:tabs>
        <w:spacing w:line="350" w:lineRule="exact"/>
        <w:ind w:firstLine="435"/>
        <w:rPr>
          <w:rFonts w:ascii="宋体" w:hAnsi="宋体" w:eastAsia="宋体" w:cs="宋体"/>
          <w:b/>
          <w:color w:val="000000" w:themeColor="text1"/>
          <w:szCs w:val="21"/>
          <w:highlight w:val="none"/>
          <w14:textFill>
            <w14:solidFill>
              <w14:schemeClr w14:val="tx1"/>
            </w14:solidFill>
          </w14:textFill>
        </w:rPr>
      </w:pPr>
    </w:p>
    <w:p w14:paraId="44D6996E">
      <w:pPr>
        <w:tabs>
          <w:tab w:val="left" w:pos="2190"/>
        </w:tabs>
        <w:spacing w:line="350" w:lineRule="exact"/>
        <w:ind w:firstLine="435"/>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11.竞争性谈判响应文件（以下简称响应文件）的组成及要求</w:t>
      </w:r>
    </w:p>
    <w:p w14:paraId="757548B0">
      <w:pPr>
        <w:tabs>
          <w:tab w:val="left" w:pos="1305"/>
        </w:tabs>
        <w:spacing w:line="350" w:lineRule="exact"/>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11.1响应文件组成（格式见第六章响应文件格式）</w:t>
      </w:r>
    </w:p>
    <w:p w14:paraId="36402FCF">
      <w:pPr>
        <w:tabs>
          <w:tab w:val="left" w:pos="1305"/>
        </w:tabs>
        <w:spacing w:line="350" w:lineRule="exact"/>
        <w:ind w:firstLine="422" w:firstLineChars="2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11.1.1资格性响应证明材料：</w:t>
      </w:r>
    </w:p>
    <w:p w14:paraId="6B4D45DB">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16" w:name="OLE_LINK75"/>
      <w:r>
        <w:rPr>
          <w:rFonts w:hint="eastAsia" w:ascii="宋体" w:hAnsi="宋体" w:eastAsia="宋体" w:cs="Times New Roman"/>
          <w:color w:val="000000" w:themeColor="text1"/>
          <w:szCs w:val="21"/>
          <w:highlight w:val="none"/>
          <w14:textFill>
            <w14:solidFill>
              <w14:schemeClr w14:val="tx1"/>
            </w14:solidFill>
          </w14:textFill>
        </w:rPr>
        <w:t>供应商的法人或者其他组织营业执照等证明文件</w:t>
      </w:r>
      <w:r>
        <w:rPr>
          <w:rFonts w:hint="eastAsia" w:ascii="宋体" w:hAnsi="宋体" w:eastAsia="宋体" w:cs="宋体"/>
          <w:color w:val="000000" w:themeColor="text1"/>
          <w:szCs w:val="21"/>
          <w:highlight w:val="none"/>
          <w14:textFill>
            <w14:solidFill>
              <w14:schemeClr w14:val="tx1"/>
            </w14:solidFill>
          </w14:textFill>
        </w:rPr>
        <w:t>扫描件</w:t>
      </w:r>
      <w:bookmarkEnd w:id="16"/>
      <w:r>
        <w:rPr>
          <w:rFonts w:hint="eastAsia" w:ascii="宋体" w:hAnsi="宋体" w:eastAsia="宋体" w:cs="Times New Roman"/>
          <w:b/>
          <w:color w:val="000000" w:themeColor="text1"/>
          <w:szCs w:val="21"/>
          <w:highlight w:val="none"/>
          <w14:textFill>
            <w14:solidFill>
              <w14:schemeClr w14:val="tx1"/>
            </w14:solidFill>
          </w14:textFill>
        </w:rPr>
        <w:t>（必须提供，自然人除外）</w:t>
      </w:r>
      <w:r>
        <w:rPr>
          <w:rFonts w:hint="eastAsia" w:ascii="宋体" w:hAnsi="宋体" w:eastAsia="宋体" w:cs="Times New Roman"/>
          <w:color w:val="000000" w:themeColor="text1"/>
          <w:szCs w:val="21"/>
          <w:highlight w:val="none"/>
          <w14:textFill>
            <w14:solidFill>
              <w14:schemeClr w14:val="tx1"/>
            </w14:solidFill>
          </w14:textFill>
        </w:rPr>
        <w:t>；</w:t>
      </w:r>
    </w:p>
    <w:p w14:paraId="158F10C8">
      <w:pPr>
        <w:tabs>
          <w:tab w:val="left" w:pos="1305"/>
        </w:tabs>
        <w:spacing w:line="35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C12D69">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（2)供应商的2024年的财务状况报告或供应商开户行出具的银行资信证明文件复印件或扫描件</w:t>
      </w:r>
      <w:r>
        <w:rPr>
          <w:rFonts w:hint="eastAsia" w:ascii="宋体" w:hAnsi="宋体"/>
          <w:b/>
          <w:color w:val="000000" w:themeColor="text1"/>
          <w:szCs w:val="21"/>
          <w:highlight w:val="none"/>
          <w14:textFill>
            <w14:solidFill>
              <w14:schemeClr w14:val="tx1"/>
            </w14:solidFill>
          </w14:textFill>
        </w:rPr>
        <w:t>（格式自拟。财务状况报告的内容应包括：资产负债表、利润表、现金流量表，三缺一不可，三表可以是供应商自行编制也可以是第三方的审计报告。若为新成立的企业，请根据实际情况提供）（必须提供）</w:t>
      </w:r>
      <w:r>
        <w:rPr>
          <w:rFonts w:hint="eastAsia" w:ascii="宋体" w:hAnsi="宋体" w:cs="宋体"/>
          <w:color w:val="000000" w:themeColor="text1"/>
          <w:kern w:val="0"/>
          <w:szCs w:val="21"/>
          <w:highlight w:val="none"/>
          <w14:textFill>
            <w14:solidFill>
              <w14:schemeClr w14:val="tx1"/>
            </w14:solidFill>
          </w14:textFill>
        </w:rPr>
        <w:t>；</w:t>
      </w:r>
    </w:p>
    <w:p w14:paraId="71D2550D">
      <w:pPr>
        <w:snapToGrid w:val="0"/>
        <w:spacing w:line="400" w:lineRule="exact"/>
        <w:ind w:firstLine="411" w:firstLineChars="196"/>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供应商2025年1月以来任意一个月的依法缴纳社保费的缴费凭证或依法免缴社保的证明复印件或扫描件</w:t>
      </w:r>
      <w:r>
        <w:rPr>
          <w:rFonts w:hint="eastAsia" w:ascii="宋体" w:hAnsi="宋体"/>
          <w:b/>
          <w:color w:val="000000" w:themeColor="text1"/>
          <w:szCs w:val="21"/>
          <w:highlight w:val="none"/>
          <w14:textFill>
            <w14:solidFill>
              <w14:schemeClr w14:val="tx1"/>
            </w14:solidFill>
          </w14:textFill>
        </w:rPr>
        <w:t>（无缴费记录的，应提供由供应商所在地社保部门出具的《依法免缴社保费证明》；若为新成立的企业，请根据实际情况提供。格式自拟）（必须提供）；</w:t>
      </w:r>
    </w:p>
    <w:p w14:paraId="21A70A6F">
      <w:pPr>
        <w:snapToGrid w:val="0"/>
        <w:spacing w:line="400" w:lineRule="exact"/>
        <w:ind w:firstLine="411" w:firstLineChars="196"/>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（4）供应商2025年1月以来任意一个月的依法纳税的依法缴纳税费凭证或依法免缴税费的证明复印件或扫描件</w:t>
      </w:r>
      <w:r>
        <w:rPr>
          <w:rFonts w:hint="eastAsia" w:hAnsi="宋体"/>
          <w:b/>
          <w:color w:val="000000" w:themeColor="text1"/>
          <w:szCs w:val="21"/>
          <w:highlight w:val="none"/>
          <w14:textFill>
            <w14:solidFill>
              <w14:schemeClr w14:val="tx1"/>
            </w14:solidFill>
          </w14:textFill>
        </w:rPr>
        <w:t>（证明材料为：供应商缴纳的增值税或营业税或企业所得税的凭据或完税证明等材料；无纳税记录的，应提供由供应商所在地主管国税或地税部门出具的《依法免税证明》；若为新成立的企业，请根据实际情况提供。</w:t>
      </w:r>
      <w:r>
        <w:rPr>
          <w:rFonts w:hint="eastAsia" w:ascii="宋体" w:hAnsi="宋体"/>
          <w:b/>
          <w:color w:val="000000" w:themeColor="text1"/>
          <w:szCs w:val="21"/>
          <w:highlight w:val="none"/>
          <w14:textFill>
            <w14:solidFill>
              <w14:schemeClr w14:val="tx1"/>
            </w14:solidFill>
          </w14:textFill>
        </w:rPr>
        <w:t>格式自拟</w:t>
      </w:r>
      <w:r>
        <w:rPr>
          <w:rFonts w:hint="eastAsia"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p>
    <w:p w14:paraId="79C4FC60">
      <w:pPr>
        <w:tabs>
          <w:tab w:val="left" w:pos="1305"/>
        </w:tabs>
        <w:spacing w:line="350" w:lineRule="exact"/>
        <w:ind w:firstLine="420"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bookmarkStart w:id="17" w:name="OLE_LINK77"/>
      <w:bookmarkStart w:id="18" w:name="OLE_LINK76"/>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参加政府采购活动前3年内在经营活动中没有重大违法记录及有关信用信息、</w:t>
      </w:r>
      <w:r>
        <w:rPr>
          <w:rFonts w:hint="eastAsia" w:ascii="宋体" w:hAnsi="宋体" w:eastAsia="宋体" w:cs="Times New Roman"/>
          <w:color w:val="000000" w:themeColor="text1"/>
          <w:szCs w:val="24"/>
          <w:highlight w:val="none"/>
          <w14:textFill>
            <w14:solidFill>
              <w14:schemeClr w14:val="tx1"/>
            </w14:solidFill>
          </w14:textFill>
        </w:rPr>
        <w:t>前期服务情况</w:t>
      </w:r>
      <w:r>
        <w:rPr>
          <w:rFonts w:hint="eastAsia" w:ascii="宋体" w:hAnsi="宋体" w:eastAsia="宋体" w:cs="Times New Roman"/>
          <w:color w:val="000000" w:themeColor="text1"/>
          <w:szCs w:val="21"/>
          <w:highlight w:val="none"/>
          <w14:textFill>
            <w14:solidFill>
              <w14:schemeClr w14:val="tx1"/>
            </w14:solidFill>
          </w14:textFill>
        </w:rPr>
        <w:t>的书面声明</w:t>
      </w:r>
      <w:bookmarkEnd w:id="17"/>
      <w:bookmarkEnd w:id="18"/>
      <w:r>
        <w:rPr>
          <w:rFonts w:hint="eastAsia" w:ascii="宋体" w:hAnsi="宋体" w:eastAsia="宋体" w:cs="Times New Roman"/>
          <w:b/>
          <w:color w:val="000000" w:themeColor="text1"/>
          <w:szCs w:val="24"/>
          <w:highlight w:val="none"/>
          <w14:textFill>
            <w14:solidFill>
              <w14:schemeClr w14:val="tx1"/>
            </w14:solidFill>
          </w14:textFill>
        </w:rPr>
        <w:t>（</w:t>
      </w:r>
      <w:r>
        <w:rPr>
          <w:rFonts w:hint="eastAsia" w:ascii="宋体" w:hAnsi="宋体" w:eastAsia="宋体" w:cs="宋体"/>
          <w:b/>
          <w:bCs/>
          <w:color w:val="000000" w:themeColor="text1"/>
          <w:szCs w:val="24"/>
          <w:highlight w:val="none"/>
          <w14:textFill>
            <w14:solidFill>
              <w14:schemeClr w14:val="tx1"/>
            </w14:solidFill>
          </w14:textFill>
        </w:rPr>
        <w:t>格式见附件，</w:t>
      </w:r>
      <w:r>
        <w:rPr>
          <w:rFonts w:hint="eastAsia" w:ascii="宋体" w:hAnsi="宋体" w:eastAsia="宋体" w:cs="Times New Roman"/>
          <w:b/>
          <w:color w:val="000000" w:themeColor="text1"/>
          <w:szCs w:val="24"/>
          <w:highlight w:val="none"/>
          <w14:textFill>
            <w14:solidFill>
              <w14:schemeClr w14:val="tx1"/>
            </w14:solidFill>
          </w14:textFill>
        </w:rPr>
        <w:t>必须提供）</w:t>
      </w:r>
      <w:r>
        <w:rPr>
          <w:rFonts w:hint="eastAsia" w:ascii="宋体" w:hAnsi="宋体" w:eastAsia="宋体" w:cs="宋体"/>
          <w:b/>
          <w:color w:val="000000" w:themeColor="text1"/>
          <w:szCs w:val="21"/>
          <w:highlight w:val="none"/>
          <w14:textFill>
            <w14:solidFill>
              <w14:schemeClr w14:val="tx1"/>
            </w14:solidFill>
          </w14:textFill>
        </w:rPr>
        <w:t>；</w:t>
      </w:r>
    </w:p>
    <w:p w14:paraId="2F73E152">
      <w:pPr>
        <w:tabs>
          <w:tab w:val="left" w:pos="1305"/>
        </w:tabs>
        <w:spacing w:line="350" w:lineRule="exact"/>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11.1.2</w:t>
      </w:r>
      <w:r>
        <w:rPr>
          <w:rFonts w:hint="eastAsia" w:ascii="宋体" w:hAnsi="宋体" w:eastAsia="宋体" w:cs="宋体"/>
          <w:b/>
          <w:color w:val="000000" w:themeColor="text1"/>
          <w:szCs w:val="21"/>
          <w:highlight w:val="none"/>
          <w14:textFill>
            <w14:solidFill>
              <w14:schemeClr w14:val="tx1"/>
            </w14:solidFill>
          </w14:textFill>
        </w:rPr>
        <w:t>商务、技术响应证明材料</w:t>
      </w:r>
    </w:p>
    <w:p w14:paraId="10A72A52">
      <w:pPr>
        <w:tabs>
          <w:tab w:val="left" w:pos="1305"/>
        </w:tabs>
        <w:spacing w:line="350" w:lineRule="exact"/>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符合性响应证明材料：</w:t>
      </w:r>
    </w:p>
    <w:p w14:paraId="756F0163">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19" w:name="OLE_LINK70"/>
      <w:bookmarkStart w:id="20" w:name="OLE_LINK69"/>
      <w:r>
        <w:rPr>
          <w:rFonts w:hint="eastAsia" w:ascii="宋体" w:hAnsi="宋体" w:eastAsia="宋体" w:cs="宋体"/>
          <w:color w:val="000000" w:themeColor="text1"/>
          <w:szCs w:val="21"/>
          <w:highlight w:val="none"/>
          <w14:textFill>
            <w14:solidFill>
              <w14:schemeClr w14:val="tx1"/>
            </w14:solidFill>
          </w14:textFill>
        </w:rPr>
        <w:t>供应商的法定代表人或负责人或自然人身份证正反两面扫描件</w:t>
      </w:r>
      <w:bookmarkEnd w:id="19"/>
      <w:bookmarkEnd w:id="20"/>
      <w:r>
        <w:rPr>
          <w:rFonts w:hint="eastAsia" w:ascii="宋体" w:hAnsi="宋体" w:eastAsia="宋体" w:cs="宋体"/>
          <w:b/>
          <w:color w:val="000000" w:themeColor="text1"/>
          <w:szCs w:val="21"/>
          <w:highlight w:val="none"/>
          <w14:textFill>
            <w14:solidFill>
              <w14:schemeClr w14:val="tx1"/>
            </w14:solidFill>
          </w14:textFill>
        </w:rPr>
        <w:t>（</w:t>
      </w:r>
      <w:bookmarkStart w:id="21" w:name="OLE_LINK71"/>
      <w:bookmarkStart w:id="22" w:name="OLE_LINK72"/>
      <w:r>
        <w:rPr>
          <w:rFonts w:hint="eastAsia" w:ascii="宋体" w:hAnsi="宋体" w:eastAsia="宋体" w:cs="宋体"/>
          <w:b/>
          <w:color w:val="000000" w:themeColor="text1"/>
          <w:szCs w:val="21"/>
          <w:highlight w:val="none"/>
          <w14:textFill>
            <w14:solidFill>
              <w14:schemeClr w14:val="tx1"/>
            </w14:solidFill>
          </w14:textFill>
        </w:rPr>
        <w:t>必须提供</w:t>
      </w:r>
      <w:bookmarkEnd w:id="21"/>
      <w:bookmarkEnd w:id="22"/>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4F8C970E">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bookmarkStart w:id="23" w:name="OLE_LINK73"/>
      <w:r>
        <w:rPr>
          <w:rFonts w:hint="eastAsia" w:ascii="宋体" w:hAnsi="宋体" w:eastAsia="宋体" w:cs="Times New Roman"/>
          <w:color w:val="000000" w:themeColor="text1"/>
          <w:szCs w:val="21"/>
          <w:highlight w:val="none"/>
          <w14:textFill>
            <w14:solidFill>
              <w14:schemeClr w14:val="tx1"/>
            </w14:solidFill>
          </w14:textFill>
        </w:rPr>
        <w:t>供应商的授权委托书、委托代理人身份证正反面复印件</w:t>
      </w:r>
      <w:r>
        <w:rPr>
          <w:rFonts w:hint="eastAsia" w:ascii="宋体" w:hAnsi="宋体" w:eastAsia="宋体" w:cs="宋体"/>
          <w:color w:val="000000" w:themeColor="text1"/>
          <w:szCs w:val="21"/>
          <w:highlight w:val="none"/>
          <w14:textFill>
            <w14:solidFill>
              <w14:schemeClr w14:val="tx1"/>
            </w14:solidFill>
          </w14:textFill>
        </w:rPr>
        <w:t>或扫描件</w:t>
      </w:r>
      <w:r>
        <w:rPr>
          <w:rFonts w:hint="eastAsia" w:ascii="宋体" w:hAnsi="宋体" w:eastAsia="宋体" w:cs="Times New Roman"/>
          <w:color w:val="000000" w:themeColor="text1"/>
          <w:szCs w:val="21"/>
          <w:highlight w:val="none"/>
          <w14:textFill>
            <w14:solidFill>
              <w14:schemeClr w14:val="tx1"/>
            </w14:solidFill>
          </w14:textFill>
        </w:rPr>
        <w:t>以及由县级以上（含县级）社会养老保险经办机构出具的供应商为委托代理人交纳2025年1月以来任意一个月的社保证明</w:t>
      </w:r>
      <w:r>
        <w:rPr>
          <w:rFonts w:hint="eastAsia" w:ascii="宋体" w:hAnsi="宋体" w:eastAsia="宋体" w:cs="宋体"/>
          <w:color w:val="000000" w:themeColor="text1"/>
          <w:szCs w:val="21"/>
          <w:highlight w:val="none"/>
          <w14:textFill>
            <w14:solidFill>
              <w14:schemeClr w14:val="tx1"/>
            </w14:solidFill>
          </w14:textFill>
        </w:rPr>
        <w:t>扫描件</w:t>
      </w:r>
      <w:r>
        <w:rPr>
          <w:rFonts w:hint="eastAsia" w:ascii="宋体" w:hAnsi="宋体" w:eastAsia="宋体" w:cs="Times New Roman"/>
          <w:color w:val="000000" w:themeColor="text1"/>
          <w:szCs w:val="21"/>
          <w:highlight w:val="none"/>
          <w14:textFill>
            <w14:solidFill>
              <w14:schemeClr w14:val="tx1"/>
            </w14:solidFill>
          </w14:textFill>
        </w:rPr>
        <w:t>【属自然人的应提供由县级以上（含县级）社会养老保险经办机构出具的自然人本人及委托代理人所交纳2025年1月以来任意一个月的社保证明</w:t>
      </w:r>
      <w:r>
        <w:rPr>
          <w:rFonts w:hint="eastAsia" w:ascii="宋体" w:hAnsi="宋体" w:eastAsia="宋体" w:cs="宋体"/>
          <w:color w:val="000000" w:themeColor="text1"/>
          <w:szCs w:val="21"/>
          <w:highlight w:val="none"/>
          <w14:textFill>
            <w14:solidFill>
              <w14:schemeClr w14:val="tx1"/>
            </w14:solidFill>
          </w14:textFill>
        </w:rPr>
        <w:t>扫描件</w:t>
      </w:r>
      <w:r>
        <w:rPr>
          <w:rFonts w:hint="eastAsia" w:ascii="宋体" w:hAnsi="宋体" w:eastAsia="宋体" w:cs="Times New Roman"/>
          <w:color w:val="000000" w:themeColor="text1"/>
          <w:szCs w:val="21"/>
          <w:highlight w:val="none"/>
          <w14:textFill>
            <w14:solidFill>
              <w14:schemeClr w14:val="tx1"/>
            </w14:solidFill>
          </w14:textFill>
        </w:rPr>
        <w:t>】</w:t>
      </w:r>
      <w:bookmarkEnd w:id="23"/>
      <w:r>
        <w:rPr>
          <w:rFonts w:hint="eastAsia" w:ascii="宋体" w:hAnsi="宋体" w:eastAsia="宋体" w:cs="Times New Roman"/>
          <w:b/>
          <w:color w:val="000000" w:themeColor="text1"/>
          <w:szCs w:val="21"/>
          <w:highlight w:val="none"/>
          <w14:textFill>
            <w14:solidFill>
              <w14:schemeClr w14:val="tx1"/>
            </w14:solidFill>
          </w14:textFill>
        </w:rPr>
        <w:t>（</w:t>
      </w:r>
      <w:bookmarkStart w:id="24" w:name="OLE_LINK74"/>
      <w:r>
        <w:rPr>
          <w:rFonts w:hint="eastAsia" w:ascii="宋体" w:hAnsi="宋体" w:eastAsia="宋体" w:cs="Times New Roman"/>
          <w:b/>
          <w:color w:val="000000" w:themeColor="text1"/>
          <w:szCs w:val="21"/>
          <w:highlight w:val="none"/>
          <w14:textFill>
            <w14:solidFill>
              <w14:schemeClr w14:val="tx1"/>
            </w14:solidFill>
          </w14:textFill>
        </w:rPr>
        <w:t>委托代理时必须提供</w:t>
      </w:r>
      <w:bookmarkEnd w:id="24"/>
      <w:r>
        <w:rPr>
          <w:rFonts w:hint="eastAsia" w:ascii="宋体" w:hAnsi="宋体" w:eastAsia="宋体" w:cs="Times New Roman"/>
          <w:b/>
          <w:color w:val="000000" w:themeColor="text1"/>
          <w:szCs w:val="21"/>
          <w:highlight w:val="none"/>
          <w14:textFill>
            <w14:solidFill>
              <w14:schemeClr w14:val="tx1"/>
            </w14:solidFill>
          </w14:textFill>
        </w:rPr>
        <w:t>）；</w:t>
      </w:r>
    </w:p>
    <w:p w14:paraId="353C5C73">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bookmarkStart w:id="25" w:name="OLE_LINK78"/>
      <w:bookmarkStart w:id="26" w:name="OLE_LINK79"/>
      <w:r>
        <w:rPr>
          <w:rFonts w:hint="eastAsia" w:ascii="宋体" w:hAnsi="宋体" w:eastAsia="宋体" w:cs="宋体"/>
          <w:color w:val="000000" w:themeColor="text1"/>
          <w:szCs w:val="21"/>
          <w:highlight w:val="none"/>
          <w14:textFill>
            <w14:solidFill>
              <w14:schemeClr w14:val="tx1"/>
            </w14:solidFill>
          </w14:textFill>
        </w:rPr>
        <w:t>响应函</w:t>
      </w:r>
      <w:bookmarkEnd w:id="25"/>
      <w:bookmarkEnd w:id="26"/>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4"/>
          <w:highlight w:val="none"/>
          <w14:textFill>
            <w14:solidFill>
              <w14:schemeClr w14:val="tx1"/>
            </w14:solidFill>
          </w14:textFill>
        </w:rPr>
        <w:t>格式见附件，</w:t>
      </w:r>
      <w:bookmarkStart w:id="27" w:name="OLE_LINK80"/>
      <w:bookmarkStart w:id="28" w:name="OLE_LINK81"/>
      <w:r>
        <w:rPr>
          <w:rFonts w:hint="eastAsia" w:ascii="宋体" w:hAnsi="宋体" w:eastAsia="宋体" w:cs="宋体"/>
          <w:b/>
          <w:color w:val="000000" w:themeColor="text1"/>
          <w:szCs w:val="21"/>
          <w:highlight w:val="none"/>
          <w14:textFill>
            <w14:solidFill>
              <w14:schemeClr w14:val="tx1"/>
            </w14:solidFill>
          </w14:textFill>
        </w:rPr>
        <w:t>必须提供</w:t>
      </w:r>
      <w:bookmarkEnd w:id="27"/>
      <w:bookmarkEnd w:id="28"/>
      <w:r>
        <w:rPr>
          <w:rFonts w:hint="eastAsia" w:ascii="宋体" w:hAnsi="宋体" w:eastAsia="宋体" w:cs="宋体"/>
          <w:b/>
          <w:color w:val="000000" w:themeColor="text1"/>
          <w:szCs w:val="21"/>
          <w:highlight w:val="none"/>
          <w14:textFill>
            <w14:solidFill>
              <w14:schemeClr w14:val="tx1"/>
            </w14:solidFill>
          </w14:textFill>
        </w:rPr>
        <w:t>）；</w:t>
      </w:r>
    </w:p>
    <w:p w14:paraId="26A9BEBB">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bookmarkStart w:id="29" w:name="OLE_LINK82"/>
      <w:r>
        <w:rPr>
          <w:rFonts w:hint="eastAsia" w:ascii="宋体" w:hAnsi="宋体" w:eastAsia="宋体" w:cs="Times New Roman"/>
          <w:color w:val="000000" w:themeColor="text1"/>
          <w:szCs w:val="21"/>
          <w:highlight w:val="none"/>
          <w14:textFill>
            <w14:solidFill>
              <w14:schemeClr w14:val="tx1"/>
            </w14:solidFill>
          </w14:textFill>
        </w:rPr>
        <w:t>谈判报价明细表</w:t>
      </w:r>
      <w:bookmarkEnd w:id="29"/>
      <w:r>
        <w:rPr>
          <w:rFonts w:hint="eastAsia" w:ascii="宋体" w:hAnsi="宋体" w:eastAsia="宋体" w:cs="Times New Roman"/>
          <w:color w:val="000000" w:themeColor="text1"/>
          <w:szCs w:val="21"/>
          <w:highlight w:val="none"/>
          <w14:textFill>
            <w14:solidFill>
              <w14:schemeClr w14:val="tx1"/>
            </w14:solidFill>
          </w14:textFill>
        </w:rPr>
        <w:t>（格式见附件，</w:t>
      </w:r>
      <w:r>
        <w:rPr>
          <w:rFonts w:hint="eastAsia" w:ascii="宋体" w:hAnsi="宋体" w:eastAsia="宋体" w:cs="Times New Roman"/>
          <w:b/>
          <w:color w:val="000000" w:themeColor="text1"/>
          <w:szCs w:val="21"/>
          <w:highlight w:val="none"/>
          <w14:textFill>
            <w14:solidFill>
              <w14:schemeClr w14:val="tx1"/>
            </w14:solidFill>
          </w14:textFill>
        </w:rPr>
        <w:t>必须提供）；</w:t>
      </w:r>
    </w:p>
    <w:p w14:paraId="232BBB05">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bookmarkStart w:id="30" w:name="OLE_LINK83"/>
      <w:bookmarkStart w:id="31" w:name="OLE_LINK84"/>
      <w:r>
        <w:rPr>
          <w:rFonts w:hint="eastAsia" w:ascii="宋体" w:hAnsi="宋体" w:eastAsia="宋体" w:cs="Times New Roman"/>
          <w:color w:val="000000" w:themeColor="text1"/>
          <w:szCs w:val="21"/>
          <w:highlight w:val="none"/>
          <w14:textFill>
            <w14:solidFill>
              <w14:schemeClr w14:val="tx1"/>
            </w14:solidFill>
          </w14:textFill>
        </w:rPr>
        <w:t>技术响应偏离表</w:t>
      </w:r>
      <w:bookmarkEnd w:id="30"/>
      <w:bookmarkEnd w:id="31"/>
      <w:r>
        <w:rPr>
          <w:rFonts w:hint="eastAsia" w:ascii="宋体" w:hAnsi="宋体" w:eastAsia="宋体" w:cs="Times New Roman"/>
          <w:color w:val="000000" w:themeColor="text1"/>
          <w:szCs w:val="21"/>
          <w:highlight w:val="none"/>
          <w14:textFill>
            <w14:solidFill>
              <w14:schemeClr w14:val="tx1"/>
            </w14:solidFill>
          </w14:textFill>
        </w:rPr>
        <w:t>（格式见附件，</w:t>
      </w:r>
      <w:r>
        <w:rPr>
          <w:rFonts w:hint="eastAsia" w:ascii="宋体" w:hAnsi="宋体" w:eastAsia="宋体" w:cs="Times New Roman"/>
          <w:b/>
          <w:color w:val="000000" w:themeColor="text1"/>
          <w:szCs w:val="21"/>
          <w:highlight w:val="none"/>
          <w14:textFill>
            <w14:solidFill>
              <w14:schemeClr w14:val="tx1"/>
            </w14:solidFill>
          </w14:textFill>
        </w:rPr>
        <w:t>必须提供）；</w:t>
      </w:r>
    </w:p>
    <w:p w14:paraId="306682B2">
      <w:pPr>
        <w:tabs>
          <w:tab w:val="left" w:pos="1305"/>
        </w:tabs>
        <w:spacing w:line="35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w:t>
      </w:r>
      <w:bookmarkStart w:id="32" w:name="OLE_LINK86"/>
      <w:bookmarkStart w:id="33" w:name="OLE_LINK85"/>
      <w:r>
        <w:rPr>
          <w:rFonts w:hint="eastAsia" w:ascii="宋体" w:hAnsi="宋体" w:eastAsia="宋体" w:cs="Times New Roman"/>
          <w:color w:val="000000" w:themeColor="text1"/>
          <w:szCs w:val="21"/>
          <w:highlight w:val="none"/>
          <w14:textFill>
            <w14:solidFill>
              <w14:schemeClr w14:val="tx1"/>
            </w14:solidFill>
          </w14:textFill>
        </w:rPr>
        <w:t>商务要求响应偏离表</w:t>
      </w:r>
      <w:bookmarkEnd w:id="32"/>
      <w:bookmarkEnd w:id="33"/>
      <w:r>
        <w:rPr>
          <w:rFonts w:hint="eastAsia" w:ascii="宋体" w:hAnsi="宋体" w:eastAsia="宋体" w:cs="Times New Roman"/>
          <w:color w:val="000000" w:themeColor="text1"/>
          <w:szCs w:val="21"/>
          <w:highlight w:val="none"/>
          <w14:textFill>
            <w14:solidFill>
              <w14:schemeClr w14:val="tx1"/>
            </w14:solidFill>
          </w14:textFill>
        </w:rPr>
        <w:t>（格式见附件，</w:t>
      </w:r>
      <w:r>
        <w:rPr>
          <w:rFonts w:hint="eastAsia" w:ascii="宋体" w:hAnsi="宋体" w:eastAsia="宋体" w:cs="Times New Roman"/>
          <w:b/>
          <w:color w:val="000000" w:themeColor="text1"/>
          <w:szCs w:val="21"/>
          <w:highlight w:val="none"/>
          <w14:textFill>
            <w14:solidFill>
              <w14:schemeClr w14:val="tx1"/>
            </w14:solidFill>
          </w14:textFill>
        </w:rPr>
        <w:t>必须提供）</w:t>
      </w:r>
      <w:r>
        <w:rPr>
          <w:rFonts w:hint="eastAsia" w:ascii="宋体" w:hAnsi="宋体" w:eastAsia="宋体" w:cs="Times New Roman"/>
          <w:color w:val="000000" w:themeColor="text1"/>
          <w:szCs w:val="24"/>
          <w:highlight w:val="none"/>
          <w14:textFill>
            <w14:solidFill>
              <w14:schemeClr w14:val="tx1"/>
            </w14:solidFill>
          </w14:textFill>
        </w:rPr>
        <w:t>；</w:t>
      </w:r>
    </w:p>
    <w:p w14:paraId="31D0D1F0">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w:t>
      </w:r>
      <w:bookmarkStart w:id="34" w:name="OLE_LINK87"/>
      <w:r>
        <w:rPr>
          <w:rFonts w:hint="eastAsia" w:ascii="宋体" w:hAnsi="宋体"/>
          <w:color w:val="000000" w:themeColor="text1"/>
          <w:szCs w:val="21"/>
          <w:highlight w:val="none"/>
          <w14:textFill>
            <w14:solidFill>
              <w14:schemeClr w14:val="tx1"/>
            </w14:solidFill>
          </w14:textFill>
        </w:rPr>
        <w:t>供应商的售后服务承诺书</w:t>
      </w:r>
      <w:bookmarkEnd w:id="34"/>
      <w:r>
        <w:rPr>
          <w:rFonts w:hint="eastAsia" w:ascii="宋体" w:hAnsi="宋体"/>
          <w:color w:val="000000" w:themeColor="text1"/>
          <w:szCs w:val="21"/>
          <w:highlight w:val="none"/>
          <w14:textFill>
            <w14:solidFill>
              <w14:schemeClr w14:val="tx1"/>
            </w14:solidFill>
          </w14:textFill>
        </w:rPr>
        <w:t>（技术服务、技术培训、售后服务的内容和措施等，格式自拟。）</w:t>
      </w:r>
      <w:r>
        <w:rPr>
          <w:rFonts w:hint="eastAsia" w:ascii="宋体" w:hAnsi="宋体"/>
          <w:b/>
          <w:color w:val="000000" w:themeColor="text1"/>
          <w:szCs w:val="21"/>
          <w:highlight w:val="none"/>
          <w14:textFill>
            <w14:solidFill>
              <w14:schemeClr w14:val="tx1"/>
            </w14:solidFill>
          </w14:textFill>
        </w:rPr>
        <w:t>（必须提供）；</w:t>
      </w:r>
    </w:p>
    <w:p w14:paraId="7DADAF98">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w:t>
      </w:r>
      <w:bookmarkStart w:id="35" w:name="OLE_LINK89"/>
      <w:bookmarkStart w:id="36" w:name="OLE_LINK88"/>
      <w:r>
        <w:rPr>
          <w:rFonts w:hint="eastAsia" w:ascii="宋体" w:hAnsi="宋体" w:eastAsia="宋体" w:cs="Times New Roman"/>
          <w:color w:val="000000" w:themeColor="text1"/>
          <w:szCs w:val="21"/>
          <w:highlight w:val="none"/>
          <w14:textFill>
            <w14:solidFill>
              <w14:schemeClr w14:val="tx1"/>
            </w14:solidFill>
          </w14:textFill>
        </w:rPr>
        <w:t>“货物采购需求”中要求必须提供的有效证明文件</w:t>
      </w:r>
      <w:bookmarkEnd w:id="35"/>
      <w:bookmarkEnd w:id="36"/>
      <w:r>
        <w:rPr>
          <w:rFonts w:hint="eastAsia" w:ascii="宋体" w:hAnsi="宋体" w:eastAsia="宋体" w:cs="Times New Roman"/>
          <w:b/>
          <w:color w:val="000000" w:themeColor="text1"/>
          <w:szCs w:val="21"/>
          <w:highlight w:val="none"/>
          <w14:textFill>
            <w14:solidFill>
              <w14:schemeClr w14:val="tx1"/>
            </w14:solidFill>
          </w14:textFill>
        </w:rPr>
        <w:t>（</w:t>
      </w:r>
      <w:bookmarkStart w:id="37" w:name="OLE_LINK90"/>
      <w:r>
        <w:rPr>
          <w:rFonts w:hint="eastAsia" w:ascii="宋体" w:hAnsi="宋体" w:eastAsia="宋体" w:cs="Times New Roman"/>
          <w:b/>
          <w:color w:val="000000" w:themeColor="text1"/>
          <w:szCs w:val="21"/>
          <w:highlight w:val="none"/>
          <w14:textFill>
            <w14:solidFill>
              <w14:schemeClr w14:val="tx1"/>
            </w14:solidFill>
          </w14:textFill>
        </w:rPr>
        <w:t>属于必须提供的，应当按其要求提供</w:t>
      </w:r>
      <w:bookmarkEnd w:id="37"/>
      <w:r>
        <w:rPr>
          <w:rFonts w:hint="eastAsia" w:ascii="宋体" w:hAnsi="宋体" w:eastAsia="宋体" w:cs="Times New Roman"/>
          <w:b/>
          <w:color w:val="000000" w:themeColor="text1"/>
          <w:szCs w:val="21"/>
          <w:highlight w:val="none"/>
          <w14:textFill>
            <w14:solidFill>
              <w14:schemeClr w14:val="tx1"/>
            </w14:solidFill>
          </w14:textFill>
        </w:rPr>
        <w:t>）；</w:t>
      </w:r>
    </w:p>
    <w:p w14:paraId="2C51933F">
      <w:pPr>
        <w:tabs>
          <w:tab w:val="left" w:pos="1305"/>
        </w:tabs>
        <w:spacing w:line="35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其他响应证明材料：</w:t>
      </w:r>
    </w:p>
    <w:p w14:paraId="3DC30334">
      <w:pPr>
        <w:tabs>
          <w:tab w:val="left" w:pos="1305"/>
        </w:tabs>
        <w:spacing w:line="400" w:lineRule="exact"/>
        <w:ind w:firstLine="420"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（9）项目实施人员一览表</w:t>
      </w:r>
      <w:r>
        <w:rPr>
          <w:rFonts w:hint="eastAsia" w:ascii="宋体" w:hAnsi="宋体" w:eastAsia="宋体" w:cs="Times New Roman"/>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格式自拟，</w:t>
      </w:r>
      <w:r>
        <w:rPr>
          <w:rFonts w:hint="eastAsia" w:ascii="宋体" w:hAnsi="宋体" w:eastAsia="宋体" w:cs="Times New Roman"/>
          <w:b/>
          <w:color w:val="000000" w:themeColor="text1"/>
          <w:szCs w:val="21"/>
          <w:highlight w:val="none"/>
          <w14:textFill>
            <w14:solidFill>
              <w14:schemeClr w14:val="tx1"/>
            </w14:solidFill>
          </w14:textFill>
        </w:rPr>
        <w:t>如有，请提供）；</w:t>
      </w:r>
    </w:p>
    <w:p w14:paraId="61CD4B51">
      <w:pPr>
        <w:tabs>
          <w:tab w:val="left" w:pos="1305"/>
        </w:tabs>
        <w:spacing w:line="400" w:lineRule="exact"/>
        <w:ind w:firstLine="420" w:firstLineChars="200"/>
        <w:rPr>
          <w:rFonts w:ascii="宋体" w:hAnsi="宋体" w:eastAsia="宋体" w:cs="Times New Roman"/>
          <w:b/>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w:t>
      </w:r>
      <w:r>
        <w:rPr>
          <w:rFonts w:hint="eastAsia" w:ascii="宋体" w:hAnsi="宋体" w:eastAsia="宋体" w:cs="Times New Roman"/>
          <w:color w:val="000000" w:themeColor="text1"/>
          <w:szCs w:val="24"/>
          <w:highlight w:val="none"/>
          <w14:textFill>
            <w14:solidFill>
              <w14:schemeClr w14:val="tx1"/>
            </w14:solidFill>
          </w14:textFill>
        </w:rPr>
        <w:t>供应商具有同类产品的销售业绩的相关证明材料</w:t>
      </w:r>
      <w:r>
        <w:rPr>
          <w:rFonts w:hint="eastAsia" w:ascii="宋体" w:hAnsi="宋体" w:eastAsia="宋体" w:cs="Times New Roman"/>
          <w:b/>
          <w:color w:val="000000" w:themeColor="text1"/>
          <w:szCs w:val="24"/>
          <w:highlight w:val="none"/>
          <w14:textFill>
            <w14:solidFill>
              <w14:schemeClr w14:val="tx1"/>
            </w14:solidFill>
          </w14:textFill>
        </w:rPr>
        <w:t>（如有，请提供）；</w:t>
      </w:r>
    </w:p>
    <w:p w14:paraId="2329A78C">
      <w:pPr>
        <w:spacing w:line="350" w:lineRule="exact"/>
        <w:ind w:firstLine="420" w:firstLineChars="200"/>
        <w:rPr>
          <w:rFonts w:ascii="宋体" w:hAnsi="宋体" w:eastAsia="宋体" w:cs="Times New Roman"/>
          <w:color w:val="000000" w:themeColor="text1"/>
          <w:szCs w:val="20"/>
          <w14:textFill>
            <w14:solidFill>
              <w14:schemeClr w14:val="tx1"/>
            </w14:solidFill>
          </w14:textFill>
        </w:rPr>
      </w:pPr>
      <w:r>
        <w:rPr>
          <w:rFonts w:hint="eastAsia" w:ascii="宋体" w:hAnsi="宋体" w:eastAsia="宋体" w:cs="Times New Roman"/>
          <w:color w:val="000000" w:themeColor="text1"/>
          <w:szCs w:val="20"/>
          <w14:textFill>
            <w14:solidFill>
              <w14:schemeClr w14:val="tx1"/>
            </w14:solidFill>
          </w14:textFill>
        </w:rPr>
        <w:t>（</w:t>
      </w:r>
      <w:r>
        <w:rPr>
          <w:rFonts w:hint="eastAsia" w:ascii="宋体" w:hAnsi="宋体" w:eastAsia="宋体" w:cs="Times New Roman"/>
          <w:color w:val="000000" w:themeColor="text1"/>
          <w:szCs w:val="20"/>
          <w:lang w:val="en-US" w:eastAsia="zh-CN"/>
          <w14:textFill>
            <w14:solidFill>
              <w14:schemeClr w14:val="tx1"/>
            </w14:solidFill>
          </w14:textFill>
        </w:rPr>
        <w:t>11</w:t>
      </w:r>
      <w:r>
        <w:rPr>
          <w:rFonts w:hint="eastAsia" w:ascii="宋体" w:hAnsi="宋体" w:eastAsia="宋体" w:cs="Times New Roman"/>
          <w:color w:val="000000" w:themeColor="text1"/>
          <w:szCs w:val="20"/>
          <w14:textFill>
            <w14:solidFill>
              <w14:schemeClr w14:val="tx1"/>
            </w14:solidFill>
          </w14:textFill>
        </w:rPr>
        <w:t>）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r>
        <w:rPr>
          <w:rFonts w:hint="eastAsia" w:ascii="宋体" w:hAnsi="宋体" w:eastAsia="宋体" w:cs="Times New Roman"/>
          <w:b/>
          <w:color w:val="000000" w:themeColor="text1"/>
          <w:szCs w:val="24"/>
          <w14:textFill>
            <w14:solidFill>
              <w14:schemeClr w14:val="tx1"/>
            </w14:solidFill>
          </w14:textFill>
        </w:rPr>
        <w:t>（如有，请提供）；</w:t>
      </w:r>
    </w:p>
    <w:p w14:paraId="3C3A3895">
      <w:pPr>
        <w:spacing w:line="350" w:lineRule="exact"/>
        <w:ind w:firstLine="420" w:firstLineChars="200"/>
        <w:rPr>
          <w:rFonts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w:t>
      </w:r>
      <w:r>
        <w:rPr>
          <w:rFonts w:hint="eastAsia" w:ascii="宋体" w:hAnsi="宋体" w:eastAsia="宋体" w:cs="Times New Roman"/>
          <w:color w:val="000000" w:themeColor="text1"/>
          <w:szCs w:val="24"/>
          <w:lang w:val="en-US" w:eastAsia="zh-CN"/>
          <w14:textFill>
            <w14:solidFill>
              <w14:schemeClr w14:val="tx1"/>
            </w14:solidFill>
          </w14:textFill>
        </w:rPr>
        <w:t>12</w:t>
      </w:r>
      <w:r>
        <w:rPr>
          <w:rFonts w:hint="eastAsia" w:ascii="宋体" w:hAnsi="宋体" w:eastAsia="宋体" w:cs="Times New Roman"/>
          <w:color w:val="000000" w:themeColor="text1"/>
          <w:szCs w:val="24"/>
          <w14:textFill>
            <w14:solidFill>
              <w14:schemeClr w14:val="tx1"/>
            </w14:solidFill>
          </w14:textFill>
        </w:rPr>
        <w:t>）监狱企业的证明文件【如货物由监狱企业制造，供应商应当提供由省级以上监狱管理局、戒毒管理局（含新疆生产建设兵团）出具的属于监狱企业的证明文件，否则不予享受中小企业政策】</w:t>
      </w:r>
      <w:r>
        <w:rPr>
          <w:rFonts w:hint="eastAsia" w:ascii="宋体" w:hAnsi="宋体" w:eastAsia="宋体" w:cs="Times New Roman"/>
          <w:b/>
          <w:color w:val="000000" w:themeColor="text1"/>
          <w:szCs w:val="24"/>
          <w14:textFill>
            <w14:solidFill>
              <w14:schemeClr w14:val="tx1"/>
            </w14:solidFill>
          </w14:textFill>
        </w:rPr>
        <w:t>（如有，请提供）；</w:t>
      </w:r>
    </w:p>
    <w:p w14:paraId="4CA63950">
      <w:pPr>
        <w:tabs>
          <w:tab w:val="left" w:pos="1305"/>
        </w:tabs>
        <w:spacing w:line="350" w:lineRule="exact"/>
        <w:ind w:firstLine="420" w:firstLineChars="200"/>
        <w:rPr>
          <w:rFonts w:hint="eastAsia"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14:textFill>
            <w14:solidFill>
              <w14:schemeClr w14:val="tx1"/>
            </w14:solidFill>
          </w14:textFill>
        </w:rPr>
        <w:t>（1</w:t>
      </w:r>
      <w:r>
        <w:rPr>
          <w:rFonts w:hint="eastAsia" w:ascii="宋体" w:hAnsi="宋体" w:eastAsia="宋体" w:cs="Times New Roman"/>
          <w:color w:val="000000" w:themeColor="text1"/>
          <w:szCs w:val="24"/>
          <w:lang w:val="en-US" w:eastAsia="zh-CN"/>
          <w14:textFill>
            <w14:solidFill>
              <w14:schemeClr w14:val="tx1"/>
            </w14:solidFill>
          </w14:textFill>
        </w:rPr>
        <w:t>3</w:t>
      </w:r>
      <w:r>
        <w:rPr>
          <w:rFonts w:hint="eastAsia" w:ascii="宋体" w:hAnsi="宋体" w:eastAsia="宋体" w:cs="Times New Roman"/>
          <w:color w:val="000000" w:themeColor="text1"/>
          <w:szCs w:val="24"/>
          <w14:textFill>
            <w14:solidFill>
              <w14:schemeClr w14:val="tx1"/>
            </w14:solidFill>
          </w14:textFill>
        </w:rPr>
        <w:t>）《残疾人福利性单位声明函》【符合条件的残疾人福利性单位在参加政府采购活动时，供应商应如实声明并对出具的声明函（格式见附件）真实性负责，否则不予享受中小企业政策】</w:t>
      </w:r>
      <w:r>
        <w:rPr>
          <w:rFonts w:hint="eastAsia" w:ascii="宋体" w:hAnsi="宋体" w:eastAsia="宋体" w:cs="Times New Roman"/>
          <w:b/>
          <w:color w:val="000000" w:themeColor="text1"/>
          <w:szCs w:val="24"/>
          <w14:textFill>
            <w14:solidFill>
              <w14:schemeClr w14:val="tx1"/>
            </w14:solidFill>
          </w14:textFill>
        </w:rPr>
        <w:t>（如有，请提供）；</w:t>
      </w:r>
    </w:p>
    <w:p w14:paraId="2842AF94">
      <w:pPr>
        <w:tabs>
          <w:tab w:val="left" w:pos="1305"/>
        </w:tabs>
        <w:spacing w:line="35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（1</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14:textFill>
            <w14:solidFill>
              <w14:schemeClr w14:val="tx1"/>
            </w14:solidFill>
          </w14:textFill>
        </w:rPr>
        <w:t>）</w:t>
      </w:r>
      <w:r>
        <w:rPr>
          <w:rFonts w:hint="eastAsia" w:ascii="宋体" w:hAnsi="宋体" w:eastAsia="宋体" w:cs="Times New Roman"/>
          <w:color w:val="000000" w:themeColor="text1"/>
          <w:szCs w:val="20"/>
          <w:highlight w:val="none"/>
          <w14:textFill>
            <w14:solidFill>
              <w14:schemeClr w14:val="tx1"/>
            </w14:solidFill>
          </w14:textFill>
        </w:rPr>
        <w:t>供应商相关获奖证书、认证证书等复印件</w:t>
      </w:r>
      <w:r>
        <w:rPr>
          <w:rFonts w:hint="eastAsia" w:ascii="宋体" w:hAnsi="宋体" w:eastAsia="宋体" w:cs="Times New Roman"/>
          <w:b/>
          <w:color w:val="000000" w:themeColor="text1"/>
          <w:szCs w:val="24"/>
          <w:highlight w:val="none"/>
          <w14:textFill>
            <w14:solidFill>
              <w14:schemeClr w14:val="tx1"/>
            </w14:solidFill>
          </w14:textFill>
        </w:rPr>
        <w:t>（如有，请提供）</w:t>
      </w:r>
      <w:r>
        <w:rPr>
          <w:rFonts w:hint="eastAsia" w:ascii="宋体" w:hAnsi="宋体" w:eastAsia="宋体" w:cs="Times New Roman"/>
          <w:color w:val="000000" w:themeColor="text1"/>
          <w:szCs w:val="24"/>
          <w:highlight w:val="none"/>
          <w14:textFill>
            <w14:solidFill>
              <w14:schemeClr w14:val="tx1"/>
            </w14:solidFill>
          </w14:textFill>
        </w:rPr>
        <w:t>；</w:t>
      </w:r>
    </w:p>
    <w:p w14:paraId="7E681E23">
      <w:pPr>
        <w:snapToGrid w:val="0"/>
        <w:spacing w:line="350" w:lineRule="exact"/>
        <w:ind w:firstLine="420" w:firstLineChars="200"/>
        <w:outlineLvl w:val="4"/>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）供应商可结合本项目自身情况自行提交其它相关证明材料。</w:t>
      </w:r>
    </w:p>
    <w:p w14:paraId="5E384238">
      <w:pPr>
        <w:spacing w:line="350" w:lineRule="exact"/>
        <w:ind w:firstLine="632" w:firstLineChars="3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0"/>
          <w:highlight w:val="none"/>
          <w14:textFill>
            <w14:solidFill>
              <w14:schemeClr w14:val="tx1"/>
            </w14:solidFill>
          </w14:textFill>
        </w:rPr>
        <w:t>以上有关材料应真实有效，属于“必须提供”的文件必须加盖供应商CA证书签章（自然人为签字或加盖个人CA证书签章）；</w:t>
      </w:r>
      <w:r>
        <w:rPr>
          <w:rFonts w:ascii="宋体" w:hAnsi="宋体" w:eastAsia="宋体" w:cs="Times New Roman"/>
          <w:b/>
          <w:color w:val="000000" w:themeColor="text1"/>
          <w:szCs w:val="20"/>
          <w:highlight w:val="none"/>
          <w14:textFill>
            <w14:solidFill>
              <w14:schemeClr w14:val="tx1"/>
            </w14:solidFill>
          </w14:textFill>
        </w:rPr>
        <w:t>如供应商提供的证明文件不齐全或不符合规定形式的的可在</w:t>
      </w:r>
      <w:r>
        <w:rPr>
          <w:rFonts w:hint="eastAsia" w:ascii="宋体" w:hAnsi="宋体" w:eastAsia="宋体" w:cs="Times New Roman"/>
          <w:b/>
          <w:color w:val="000000" w:themeColor="text1"/>
          <w:szCs w:val="20"/>
          <w:highlight w:val="none"/>
          <w14:textFill>
            <w14:solidFill>
              <w14:schemeClr w14:val="tx1"/>
            </w14:solidFill>
          </w14:textFill>
        </w:rPr>
        <w:t>谈判小组</w:t>
      </w:r>
      <w:r>
        <w:rPr>
          <w:rFonts w:ascii="宋体" w:hAnsi="宋体" w:eastAsia="宋体" w:cs="Times New Roman"/>
          <w:b/>
          <w:color w:val="000000" w:themeColor="text1"/>
          <w:szCs w:val="20"/>
          <w:highlight w:val="none"/>
          <w14:textFill>
            <w14:solidFill>
              <w14:schemeClr w14:val="tx1"/>
            </w14:solidFill>
          </w14:textFill>
        </w:rPr>
        <w:t>规定的时间内当场补正或更正；在规定时间内未能补齐或更正的，</w:t>
      </w:r>
      <w:r>
        <w:rPr>
          <w:rFonts w:hint="eastAsia" w:ascii="宋体" w:hAnsi="宋体" w:eastAsia="宋体" w:cs="Times New Roman"/>
          <w:b/>
          <w:color w:val="000000" w:themeColor="text1"/>
          <w:szCs w:val="20"/>
          <w:highlight w:val="none"/>
          <w14:textFill>
            <w14:solidFill>
              <w14:schemeClr w14:val="tx1"/>
            </w14:solidFill>
          </w14:textFill>
        </w:rPr>
        <w:t>响应文件</w:t>
      </w:r>
      <w:r>
        <w:rPr>
          <w:rFonts w:ascii="宋体" w:hAnsi="宋体" w:eastAsia="宋体" w:cs="Times New Roman"/>
          <w:b/>
          <w:color w:val="000000" w:themeColor="text1"/>
          <w:szCs w:val="20"/>
          <w:highlight w:val="none"/>
          <w14:textFill>
            <w14:solidFill>
              <w14:schemeClr w14:val="tx1"/>
            </w14:solidFill>
          </w14:textFill>
        </w:rPr>
        <w:t>无效。其余由供应商视自身情况自行提交</w:t>
      </w:r>
      <w:r>
        <w:rPr>
          <w:rFonts w:hint="eastAsia" w:ascii="宋体" w:hAnsi="宋体" w:eastAsia="宋体" w:cs="Times New Roman"/>
          <w:b/>
          <w:color w:val="000000" w:themeColor="text1"/>
          <w:szCs w:val="21"/>
          <w:highlight w:val="none"/>
          <w14:textFill>
            <w14:solidFill>
              <w14:schemeClr w14:val="tx1"/>
            </w14:solidFill>
          </w14:textFill>
        </w:rPr>
        <w:t>。</w:t>
      </w:r>
    </w:p>
    <w:p w14:paraId="0F7830E1">
      <w:pPr>
        <w:spacing w:line="350" w:lineRule="exact"/>
        <w:ind w:firstLine="420" w:firstLineChars="200"/>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11.2供应商应按谈判文件第六章响应文件格式编制响应文件。</w:t>
      </w:r>
    </w:p>
    <w:p w14:paraId="3128DD25">
      <w:pPr>
        <w:tabs>
          <w:tab w:val="left" w:pos="1305"/>
        </w:tabs>
        <w:spacing w:line="350" w:lineRule="exact"/>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12.响应文件的语言及计量</w:t>
      </w:r>
    </w:p>
    <w:p w14:paraId="72749E96">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094D740D">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12.2谈判计量单位，谈判文件已有明确规定的，使用谈判文件规定的计量单位；谈判文件没有规定的，应采用中华人民共和国法定计量单位（货币单位：人民币元），否则视同未响应。</w:t>
      </w:r>
    </w:p>
    <w:p w14:paraId="1D7F8E2E">
      <w:pPr>
        <w:tabs>
          <w:tab w:val="left" w:pos="1305"/>
        </w:tabs>
        <w:spacing w:line="350" w:lineRule="exact"/>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13.谈判报价及</w:t>
      </w:r>
      <w:r>
        <w:rPr>
          <w:rFonts w:hint="eastAsia" w:ascii="宋体" w:hAnsi="宋体" w:eastAsia="宋体" w:cs="Times New Roman"/>
          <w:b/>
          <w:color w:val="000000" w:themeColor="text1"/>
          <w:szCs w:val="21"/>
          <w:highlight w:val="none"/>
          <w14:textFill>
            <w14:solidFill>
              <w14:schemeClr w14:val="tx1"/>
            </w14:solidFill>
          </w14:textFill>
        </w:rPr>
        <w:t>采购预算总金额</w:t>
      </w:r>
    </w:p>
    <w:p w14:paraId="1F5207C3">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w:t>
      </w:r>
      <w:r>
        <w:rPr>
          <w:rFonts w:hint="eastAsia" w:ascii="宋体" w:hAnsi="宋体" w:eastAsia="宋体" w:cs="Times New Roman"/>
          <w:color w:val="000000" w:themeColor="text1"/>
          <w:szCs w:val="21"/>
          <w:highlight w:val="none"/>
          <w14:textFill>
            <w14:solidFill>
              <w14:schemeClr w14:val="tx1"/>
            </w14:solidFill>
          </w14:textFill>
        </w:rPr>
        <w:t>谈判报价：</w:t>
      </w:r>
      <w:r>
        <w:rPr>
          <w:rFonts w:hint="eastAsia" w:ascii="宋体" w:hAnsi="宋体" w:eastAsia="宋体" w:cs="宋体"/>
          <w:color w:val="000000" w:themeColor="text1"/>
          <w:szCs w:val="21"/>
          <w:highlight w:val="none"/>
          <w14:textFill>
            <w14:solidFill>
              <w14:schemeClr w14:val="tx1"/>
            </w14:solidFill>
          </w14:textFill>
        </w:rPr>
        <w:t>见供应商须知前附表第4条内容。</w:t>
      </w:r>
    </w:p>
    <w:p w14:paraId="389856C2">
      <w:pPr>
        <w:spacing w:line="350" w:lineRule="exact"/>
        <w:ind w:left="105" w:leftChars="50" w:firstLine="315" w:firstLineChars="15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谈判报价应包括本次采购范围内货物及标准附件、备品备件、专用工具价格、运输、装卸、设备安装、设备调试、售后服务、技术支持、培训、税金、不可预见费、合理利润及其它成本费等所有费用。供应商综合考虑在报价中。</w:t>
      </w:r>
    </w:p>
    <w:p w14:paraId="0861E104">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w:t>
      </w:r>
      <w:r>
        <w:rPr>
          <w:rFonts w:hint="eastAsia" w:ascii="宋体" w:hAnsi="宋体" w:eastAsia="宋体" w:cs="Times New Roman"/>
          <w:color w:val="000000" w:themeColor="text1"/>
          <w:szCs w:val="21"/>
          <w:highlight w:val="none"/>
          <w14:textFill>
            <w14:solidFill>
              <w14:schemeClr w14:val="tx1"/>
            </w14:solidFill>
          </w14:textFill>
        </w:rPr>
        <w:t>本项目采购预算金额（人民币）：</w:t>
      </w:r>
      <w:r>
        <w:rPr>
          <w:rFonts w:hint="eastAsia" w:ascii="宋体" w:hAnsi="宋体" w:eastAsia="宋体" w:cs="宋体"/>
          <w:color w:val="000000" w:themeColor="text1"/>
          <w:szCs w:val="21"/>
          <w:highlight w:val="none"/>
          <w14:textFill>
            <w14:solidFill>
              <w14:schemeClr w14:val="tx1"/>
            </w14:solidFill>
          </w14:textFill>
        </w:rPr>
        <w:t>见供应商须知前附表第4条内容</w:t>
      </w:r>
      <w:r>
        <w:rPr>
          <w:rFonts w:hint="eastAsia" w:ascii="宋体" w:hAnsi="宋体" w:eastAsia="宋体" w:cs="Times New Roman"/>
          <w:color w:val="000000" w:themeColor="text1"/>
          <w:szCs w:val="21"/>
          <w:highlight w:val="none"/>
          <w14:textFill>
            <w14:solidFill>
              <w14:schemeClr w14:val="tx1"/>
            </w14:solidFill>
          </w14:textFill>
        </w:rPr>
        <w:t>。</w:t>
      </w:r>
    </w:p>
    <w:p w14:paraId="0546303D">
      <w:pPr>
        <w:tabs>
          <w:tab w:val="left" w:pos="1305"/>
        </w:tabs>
        <w:spacing w:line="350" w:lineRule="exact"/>
        <w:ind w:firstLine="420" w:firstLineChars="200"/>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13.4</w:t>
      </w:r>
      <w:r>
        <w:rPr>
          <w:rFonts w:hint="eastAsia" w:ascii="宋体" w:hAnsi="宋体" w:eastAsia="宋体" w:cs="Times New Roman"/>
          <w:color w:val="000000" w:themeColor="text1"/>
          <w:kern w:val="0"/>
          <w:szCs w:val="21"/>
          <w:highlight w:val="none"/>
          <w14:textFill>
            <w14:solidFill>
              <w14:schemeClr w14:val="tx1"/>
            </w14:solidFill>
          </w14:textFill>
        </w:rPr>
        <w:t>未书面退出谈判的供应商应当在广西政府采购云平台中按谈判小组规定的时间内提交最后报价，其最后报价超出采购预算金额导致已通过评审的响应文件无效的，按供应商在提交响应文件截止时间后撤回响应文件处理。</w:t>
      </w:r>
    </w:p>
    <w:p w14:paraId="7FC891F4">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13.5</w:t>
      </w:r>
      <w:r>
        <w:rPr>
          <w:rFonts w:hint="eastAsia" w:ascii="宋体" w:hAnsi="宋体" w:eastAsia="宋体" w:cs="Times New Roman"/>
          <w:color w:val="000000" w:themeColor="text1"/>
          <w:szCs w:val="21"/>
          <w:highlight w:val="none"/>
          <w14:textFill>
            <w14:solidFill>
              <w14:schemeClr w14:val="tx1"/>
            </w14:solidFill>
          </w14:textFill>
        </w:rPr>
        <w:t>最后谈判报价</w:t>
      </w:r>
      <w:r>
        <w:rPr>
          <w:rFonts w:hint="eastAsia" w:ascii="宋体" w:hAnsi="宋体" w:eastAsia="宋体" w:cs="Times New Roman"/>
          <w:color w:val="000000" w:themeColor="text1"/>
          <w:kern w:val="0"/>
          <w:szCs w:val="21"/>
          <w:highlight w:val="none"/>
          <w14:textFill>
            <w14:solidFill>
              <w14:schemeClr w14:val="tx1"/>
            </w14:solidFill>
          </w14:textFill>
        </w:rPr>
        <w:t>超出本项目</w:t>
      </w:r>
      <w:r>
        <w:rPr>
          <w:rFonts w:hint="eastAsia" w:ascii="宋体" w:hAnsi="宋体" w:eastAsia="宋体" w:cs="Times New Roman"/>
          <w:color w:val="000000" w:themeColor="text1"/>
          <w:szCs w:val="24"/>
          <w:highlight w:val="none"/>
          <w14:textFill>
            <w14:solidFill>
              <w14:schemeClr w14:val="tx1"/>
            </w14:solidFill>
          </w14:textFill>
        </w:rPr>
        <w:t>采购预算总金额</w:t>
      </w:r>
      <w:r>
        <w:rPr>
          <w:rFonts w:hint="eastAsia" w:ascii="宋体" w:hAnsi="宋体" w:eastAsia="宋体" w:cs="Times New Roman"/>
          <w:color w:val="000000" w:themeColor="text1"/>
          <w:szCs w:val="21"/>
          <w:highlight w:val="none"/>
          <w14:textFill>
            <w14:solidFill>
              <w14:schemeClr w14:val="tx1"/>
            </w14:solidFill>
          </w14:textFill>
        </w:rPr>
        <w:t>的将被视为无效谈判。</w:t>
      </w:r>
    </w:p>
    <w:p w14:paraId="5057AEA4">
      <w:pPr>
        <w:tabs>
          <w:tab w:val="left" w:pos="1305"/>
        </w:tabs>
        <w:spacing w:line="350" w:lineRule="exact"/>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14.响应文件有效期</w:t>
      </w:r>
    </w:p>
    <w:p w14:paraId="293C1E76">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w:t>
      </w:r>
      <w:r>
        <w:rPr>
          <w:rFonts w:hint="eastAsia" w:ascii="宋体" w:hAnsi="宋体" w:eastAsia="宋体" w:cs="Times New Roman"/>
          <w:color w:val="000000" w:themeColor="text1"/>
          <w:szCs w:val="21"/>
          <w:highlight w:val="none"/>
          <w14:textFill>
            <w14:solidFill>
              <w14:schemeClr w14:val="tx1"/>
            </w14:solidFill>
          </w14:textFill>
        </w:rPr>
        <w:t>响应文件有效期：见</w:t>
      </w: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须知前附表第5</w:t>
      </w:r>
      <w:r>
        <w:rPr>
          <w:rFonts w:hint="eastAsia" w:ascii="宋体" w:hAnsi="宋体" w:eastAsia="宋体" w:cs="宋体"/>
          <w:color w:val="000000" w:themeColor="text1"/>
          <w:szCs w:val="21"/>
          <w:highlight w:val="none"/>
          <w14:textFill>
            <w14:solidFill>
              <w14:schemeClr w14:val="tx1"/>
            </w14:solidFill>
          </w14:textFill>
        </w:rPr>
        <w:t>条内容。</w:t>
      </w:r>
    </w:p>
    <w:p w14:paraId="40BB836A">
      <w:pPr>
        <w:tabs>
          <w:tab w:val="left" w:pos="1305"/>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14.2出现特殊情况下，需要延长响应有效期的，采购代理机构以书面形式通知所有供应商延长响应有效期。供应商同意延长，但不能修改响应文件。供应商拒绝延长的，其响应无效。</w:t>
      </w:r>
    </w:p>
    <w:p w14:paraId="15A056F4">
      <w:pPr>
        <w:snapToGrid w:val="0"/>
        <w:spacing w:line="350" w:lineRule="exact"/>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15.电子响应文件的制作、加密、供应商公章及签字</w:t>
      </w:r>
    </w:p>
    <w:p w14:paraId="21C88F52">
      <w:pPr>
        <w:snapToGrid w:val="0"/>
        <w:spacing w:line="35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15.1电子响应文件的制作、加密：</w:t>
      </w:r>
    </w:p>
    <w:p w14:paraId="07B53DF2">
      <w:pPr>
        <w:snapToGrid w:val="0"/>
        <w:spacing w:line="35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15.1.1供应商制作电子响应文件前，须登录广西政府采购云平台进行竞争性谈判文件获取的操作。</w:t>
      </w:r>
    </w:p>
    <w:p w14:paraId="0C91C397">
      <w:pPr>
        <w:snapToGrid w:val="0"/>
        <w:spacing w:line="35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59F11055">
      <w:pPr>
        <w:snapToGrid w:val="0"/>
        <w:spacing w:line="35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44020080">
      <w:pPr>
        <w:snapToGrid w:val="0"/>
        <w:spacing w:line="35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2CBF985C">
      <w:pPr>
        <w:snapToGrid w:val="0"/>
        <w:spacing w:line="35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15.1.5供应商编制、生成电子响应文件后应当进行加密。供应商未按规定编制并加密的响应文件，广西政府采购云平台将予以拒收。</w:t>
      </w:r>
    </w:p>
    <w:p w14:paraId="32081F83">
      <w:pPr>
        <w:snapToGrid w:val="0"/>
        <w:spacing w:line="35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15.2供应商公章及签字</w:t>
      </w:r>
    </w:p>
    <w:p w14:paraId="560725DC">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15.2.1本竞争性谈判文件中描述供应商的“公章”是指供应商通过指定电子化政府采购平台办理数字证书（CA认证证书）获得的以法定主体行为名称制作的电子印章。</w:t>
      </w:r>
    </w:p>
    <w:p w14:paraId="2C34D8F7">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15.2.2本竞争性谈判文件中要求供应商对其电子响应文件的相关内容加盖公章的，均指采用CA证书签章。</w:t>
      </w:r>
    </w:p>
    <w:p w14:paraId="7CACBD8A">
      <w:pPr>
        <w:snapToGrid w:val="0"/>
        <w:spacing w:line="35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15.2.3本竞争性谈判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14:paraId="0B692019">
      <w:pPr>
        <w:tabs>
          <w:tab w:val="left" w:pos="1305"/>
        </w:tabs>
        <w:spacing w:line="350" w:lineRule="exact"/>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16.响应文件的补充、修改和撤回</w:t>
      </w:r>
    </w:p>
    <w:p w14:paraId="04C91758">
      <w:pPr>
        <w:adjustRightInd w:val="0"/>
        <w:snapToGrid w:val="0"/>
        <w:spacing w:line="350" w:lineRule="exact"/>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16.1供应商应当在</w:t>
      </w:r>
      <w:r>
        <w:rPr>
          <w:rFonts w:hint="eastAsia" w:ascii="宋体" w:hAnsi="宋体" w:eastAsia="宋体" w:cs="Times New Roman"/>
          <w:bCs/>
          <w:color w:val="000000" w:themeColor="text1"/>
          <w:szCs w:val="24"/>
          <w:highlight w:val="none"/>
          <w14:textFill>
            <w14:solidFill>
              <w14:schemeClr w14:val="tx1"/>
            </w14:solidFill>
          </w14:textFill>
        </w:rPr>
        <w:t>提交响应文件截止时间</w:t>
      </w:r>
      <w:r>
        <w:rPr>
          <w:rFonts w:hint="eastAsia" w:ascii="宋体" w:hAnsi="宋体" w:eastAsia="宋体" w:cs="宋体"/>
          <w:bCs/>
          <w:color w:val="000000" w:themeColor="text1"/>
          <w:szCs w:val="21"/>
          <w:highlight w:val="none"/>
          <w14:textFill>
            <w14:solidFill>
              <w14:schemeClr w14:val="tx1"/>
            </w14:solidFill>
          </w14:textFill>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color w:val="000000" w:themeColor="text1"/>
          <w:szCs w:val="24"/>
          <w:highlight w:val="none"/>
          <w14:textFill>
            <w14:solidFill>
              <w14:schemeClr w14:val="tx1"/>
            </w14:solidFill>
          </w14:textFill>
        </w:rPr>
        <w:t>提交响应文件截止时间</w:t>
      </w:r>
      <w:r>
        <w:rPr>
          <w:rFonts w:hint="eastAsia" w:ascii="宋体" w:hAnsi="宋体" w:eastAsia="宋体" w:cs="宋体"/>
          <w:bCs/>
          <w:color w:val="000000" w:themeColor="text1"/>
          <w:szCs w:val="21"/>
          <w:highlight w:val="none"/>
          <w14:textFill>
            <w14:solidFill>
              <w14:schemeClr w14:val="tx1"/>
            </w14:solidFill>
          </w14:textFill>
        </w:rPr>
        <w:t>前未成功将电子响应文件上传广西政府采购云平台的，视为未提交响应文件。</w:t>
      </w:r>
    </w:p>
    <w:p w14:paraId="42601667">
      <w:pPr>
        <w:spacing w:line="35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16.2</w:t>
      </w:r>
      <w:r>
        <w:rPr>
          <w:rFonts w:hint="eastAsia" w:ascii="宋体" w:hAnsi="宋体" w:eastAsia="宋体" w:cs="Times New Roman"/>
          <w:color w:val="000000" w:themeColor="text1"/>
          <w:szCs w:val="21"/>
          <w:highlight w:val="none"/>
          <w14:textFill>
            <w14:solidFill>
              <w14:schemeClr w14:val="tx1"/>
            </w14:solidFill>
          </w14:textFill>
        </w:rPr>
        <w:t>在提交响应文件截止时间后的响应文件有效期内，供应商不得撤回其响应文件。</w:t>
      </w:r>
    </w:p>
    <w:p w14:paraId="230B102B">
      <w:pPr>
        <w:spacing w:line="350" w:lineRule="exact"/>
        <w:ind w:firstLine="435"/>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17. 响应文件提交截止时间及地点、响应文件解密</w:t>
      </w:r>
    </w:p>
    <w:p w14:paraId="53FE97C9">
      <w:pPr>
        <w:tabs>
          <w:tab w:val="left" w:pos="1305"/>
        </w:tabs>
        <w:spacing w:line="350" w:lineRule="exact"/>
        <w:ind w:firstLine="420"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w:t>
      </w:r>
      <w:r>
        <w:rPr>
          <w:rFonts w:hint="eastAsia" w:ascii="宋体" w:hAnsi="宋体" w:eastAsia="宋体" w:cs="宋体"/>
          <w:b/>
          <w:color w:val="000000" w:themeColor="text1"/>
          <w:szCs w:val="21"/>
          <w:highlight w:val="none"/>
          <w14:textFill>
            <w14:solidFill>
              <w14:schemeClr w14:val="tx1"/>
            </w14:solidFill>
          </w14:textFill>
        </w:rPr>
        <w:t>响应文件提交截止时间及地点</w:t>
      </w:r>
    </w:p>
    <w:p w14:paraId="20C73B55">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17.1.1</w:t>
      </w:r>
      <w:r>
        <w:rPr>
          <w:rFonts w:hint="eastAsia" w:ascii="宋体" w:hAnsi="宋体" w:eastAsia="宋体" w:cs="宋体"/>
          <w:color w:val="000000" w:themeColor="text1"/>
          <w:spacing w:val="-4"/>
          <w:szCs w:val="21"/>
          <w:highlight w:val="none"/>
          <w14:textFill>
            <w14:solidFill>
              <w14:schemeClr w14:val="tx1"/>
            </w14:solidFill>
          </w14:textFill>
        </w:rPr>
        <w:t>响应文件提交</w:t>
      </w:r>
      <w:r>
        <w:rPr>
          <w:rFonts w:hint="eastAsia" w:ascii="宋体" w:hAnsi="宋体" w:eastAsia="宋体" w:cs="Times New Roman"/>
          <w:color w:val="000000" w:themeColor="text1"/>
          <w:szCs w:val="21"/>
          <w:highlight w:val="none"/>
          <w14:textFill>
            <w14:solidFill>
              <w14:schemeClr w14:val="tx1"/>
            </w14:solidFill>
          </w14:textFill>
        </w:rPr>
        <w:t>截止时间：</w:t>
      </w:r>
      <w:r>
        <w:rPr>
          <w:rFonts w:hint="eastAsia" w:ascii="宋体" w:hAnsi="宋体" w:eastAsia="宋体" w:cs="宋体"/>
          <w:color w:val="000000" w:themeColor="text1"/>
          <w:szCs w:val="21"/>
          <w:highlight w:val="none"/>
          <w14:textFill>
            <w14:solidFill>
              <w14:schemeClr w14:val="tx1"/>
            </w14:solidFill>
          </w14:textFill>
        </w:rPr>
        <w:t>见供应商须知前附表第9条内容</w:t>
      </w:r>
      <w:r>
        <w:rPr>
          <w:rFonts w:hint="eastAsia" w:ascii="宋体" w:hAnsi="宋体" w:eastAsia="宋体" w:cs="Times New Roman"/>
          <w:color w:val="000000" w:themeColor="text1"/>
          <w:szCs w:val="21"/>
          <w:highlight w:val="none"/>
          <w14:textFill>
            <w14:solidFill>
              <w14:schemeClr w14:val="tx1"/>
            </w14:solidFill>
          </w14:textFill>
        </w:rPr>
        <w:t>。</w:t>
      </w:r>
    </w:p>
    <w:p w14:paraId="1F89F209">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17.1.2地点（网址）：</w:t>
      </w:r>
      <w:r>
        <w:rPr>
          <w:rFonts w:hint="eastAsia" w:ascii="宋体" w:hAnsi="宋体" w:eastAsia="宋体" w:cs="宋体"/>
          <w:color w:val="000000" w:themeColor="text1"/>
          <w:szCs w:val="21"/>
          <w:highlight w:val="none"/>
          <w14:textFill>
            <w14:solidFill>
              <w14:schemeClr w14:val="tx1"/>
            </w14:solidFill>
          </w14:textFill>
        </w:rPr>
        <w:t>见供应商须知前附表第9条内容</w:t>
      </w:r>
      <w:r>
        <w:rPr>
          <w:rFonts w:hint="eastAsia" w:ascii="宋体" w:hAnsi="宋体" w:eastAsia="宋体" w:cs="Times New Roman"/>
          <w:color w:val="000000" w:themeColor="text1"/>
          <w:szCs w:val="21"/>
          <w:highlight w:val="none"/>
          <w14:textFill>
            <w14:solidFill>
              <w14:schemeClr w14:val="tx1"/>
            </w14:solidFill>
          </w14:textFill>
        </w:rPr>
        <w:t>。</w:t>
      </w:r>
    </w:p>
    <w:p w14:paraId="480D4788">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17.1.3除竞争性谈判文件另有规定外，供应商所提交的响应文件不予退还。</w:t>
      </w:r>
    </w:p>
    <w:p w14:paraId="1CB58F62">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17.1.4响应文件提交截止时间后提交的响应文件，</w:t>
      </w:r>
      <w:r>
        <w:rPr>
          <w:rFonts w:hint="eastAsia" w:ascii="宋体" w:hAnsi="宋体" w:eastAsia="宋体" w:cs="宋体"/>
          <w:bCs/>
          <w:color w:val="000000" w:themeColor="text1"/>
          <w:szCs w:val="21"/>
          <w:highlight w:val="none"/>
          <w14:textFill>
            <w14:solidFill>
              <w14:schemeClr w14:val="tx1"/>
            </w14:solidFill>
          </w14:textFill>
        </w:rPr>
        <w:t>广西政府采购云平台</w:t>
      </w:r>
      <w:r>
        <w:rPr>
          <w:rFonts w:hint="eastAsia" w:ascii="宋体" w:hAnsi="宋体" w:eastAsia="宋体" w:cs="Times New Roman"/>
          <w:color w:val="000000" w:themeColor="text1"/>
          <w:szCs w:val="21"/>
          <w:highlight w:val="none"/>
          <w14:textFill>
            <w14:solidFill>
              <w14:schemeClr w14:val="tx1"/>
            </w14:solidFill>
          </w14:textFill>
        </w:rPr>
        <w:t>将拒收。</w:t>
      </w:r>
    </w:p>
    <w:p w14:paraId="56C33B6C">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17.1.5如有特殊情况，采购代理机构延长响应文件提交截止时间，采购代理机构和供应商的权利和义务将受到新的响应文件提交截止时间和评审时间的约束。</w:t>
      </w:r>
    </w:p>
    <w:p w14:paraId="03503217">
      <w:pPr>
        <w:tabs>
          <w:tab w:val="left" w:pos="1305"/>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w:t>
      </w:r>
      <w:r>
        <w:rPr>
          <w:rFonts w:hint="eastAsia" w:ascii="宋体" w:hAnsi="宋体" w:eastAsia="宋体" w:cs="Times New Roman"/>
          <w:color w:val="000000" w:themeColor="text1"/>
          <w:szCs w:val="21"/>
          <w:highlight w:val="none"/>
          <w14:textFill>
            <w14:solidFill>
              <w14:schemeClr w14:val="tx1"/>
            </w14:solidFill>
          </w14:textFill>
        </w:rPr>
        <w:t>响应文件解密：</w:t>
      </w:r>
      <w:r>
        <w:rPr>
          <w:rFonts w:hint="eastAsia" w:ascii="宋体" w:hAnsi="宋体" w:eastAsia="宋体" w:cs="宋体"/>
          <w:color w:val="000000" w:themeColor="text1"/>
          <w:szCs w:val="21"/>
          <w:highlight w:val="none"/>
          <w14:textFill>
            <w14:solidFill>
              <w14:schemeClr w14:val="tx1"/>
            </w14:solidFill>
          </w14:textFill>
        </w:rPr>
        <w:t>见供应商须知前附表第10条内容。</w:t>
      </w:r>
    </w:p>
    <w:p w14:paraId="7094A1D3">
      <w:pPr>
        <w:tabs>
          <w:tab w:val="left" w:pos="1305"/>
        </w:tabs>
        <w:spacing w:line="350" w:lineRule="exact"/>
        <w:ind w:firstLine="562" w:firstLineChars="200"/>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四、竞争性谈判（简称谈判）与评审</w:t>
      </w:r>
    </w:p>
    <w:p w14:paraId="059A430D">
      <w:pPr>
        <w:spacing w:line="350" w:lineRule="exact"/>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18.谈判小组组成及谈判时间、</w:t>
      </w:r>
      <w:r>
        <w:rPr>
          <w:rFonts w:ascii="宋体" w:hAnsi="宋体" w:eastAsia="宋体" w:cs="宋体"/>
          <w:b/>
          <w:color w:val="000000" w:themeColor="text1"/>
          <w:szCs w:val="21"/>
          <w:highlight w:val="none"/>
          <w14:textFill>
            <w14:solidFill>
              <w14:schemeClr w14:val="tx1"/>
            </w14:solidFill>
          </w14:textFill>
        </w:rPr>
        <w:t>地点</w:t>
      </w:r>
      <w:r>
        <w:rPr>
          <w:rFonts w:hint="eastAsia" w:ascii="宋体" w:hAnsi="宋体" w:eastAsia="宋体" w:cs="宋体"/>
          <w:b/>
          <w:color w:val="000000" w:themeColor="text1"/>
          <w:szCs w:val="21"/>
          <w:highlight w:val="none"/>
          <w14:textFill>
            <w14:solidFill>
              <w14:schemeClr w14:val="tx1"/>
            </w14:solidFill>
          </w14:textFill>
        </w:rPr>
        <w:t>、</w:t>
      </w:r>
      <w:r>
        <w:rPr>
          <w:rFonts w:ascii="宋体" w:hAnsi="宋体" w:eastAsia="宋体" w:cs="宋体"/>
          <w:b/>
          <w:color w:val="000000" w:themeColor="text1"/>
          <w:szCs w:val="21"/>
          <w:highlight w:val="none"/>
          <w14:textFill>
            <w14:solidFill>
              <w14:schemeClr w14:val="tx1"/>
            </w14:solidFill>
          </w14:textFill>
        </w:rPr>
        <w:t>人员</w:t>
      </w:r>
    </w:p>
    <w:p w14:paraId="3A2BEE6F">
      <w:pPr>
        <w:spacing w:line="350" w:lineRule="exact"/>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18.1</w:t>
      </w:r>
      <w:r>
        <w:rPr>
          <w:rFonts w:ascii="宋体" w:hAnsi="宋体" w:eastAsia="宋体" w:cs="宋体"/>
          <w:color w:val="000000" w:themeColor="text1"/>
          <w:szCs w:val="24"/>
          <w:highlight w:val="none"/>
          <w14:textFill>
            <w14:solidFill>
              <w14:schemeClr w14:val="tx1"/>
            </w14:solidFill>
          </w14:textFill>
        </w:rPr>
        <w:t>谈判小组</w:t>
      </w:r>
      <w:r>
        <w:rPr>
          <w:rFonts w:hint="eastAsia" w:ascii="宋体" w:hAnsi="宋体" w:eastAsia="宋体" w:cs="宋体"/>
          <w:color w:val="000000" w:themeColor="text1"/>
          <w:szCs w:val="24"/>
          <w:highlight w:val="none"/>
          <w14:textFill>
            <w14:solidFill>
              <w14:schemeClr w14:val="tx1"/>
            </w14:solidFill>
          </w14:textFill>
        </w:rPr>
        <w:t>组成：</w:t>
      </w:r>
    </w:p>
    <w:p w14:paraId="68F0B959">
      <w:pPr>
        <w:spacing w:line="40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谈判及评审工作由采购代理机构负责组织，具体谈判、评审工作由依法组建的谈判小组负责，谈判小组由采购人代表和有关方面的专家组成。谈判小组的构成：</w:t>
      </w:r>
      <w:r>
        <w:rPr>
          <w:rFonts w:hint="eastAsia" w:ascii="宋体" w:hAnsi="宋体" w:eastAsia="宋体" w:cs="Times New Roman"/>
          <w:color w:val="000000" w:themeColor="text1"/>
          <w:szCs w:val="21"/>
          <w:highlight w:val="none"/>
          <w:u w:val="single"/>
          <w14:textFill>
            <w14:solidFill>
              <w14:schemeClr w14:val="tx1"/>
            </w14:solidFill>
          </w14:textFill>
        </w:rPr>
        <w:t xml:space="preserve"> 3 </w:t>
      </w:r>
      <w:r>
        <w:rPr>
          <w:rFonts w:hint="eastAsia" w:ascii="宋体" w:hAnsi="宋体" w:eastAsia="宋体" w:cs="Times New Roman"/>
          <w:color w:val="000000" w:themeColor="text1"/>
          <w:szCs w:val="21"/>
          <w:highlight w:val="none"/>
          <w14:textFill>
            <w14:solidFill>
              <w14:schemeClr w14:val="tx1"/>
            </w14:solidFill>
          </w14:textFill>
        </w:rPr>
        <w:t>人，其中采购人代表</w:t>
      </w:r>
      <w:r>
        <w:rPr>
          <w:rFonts w:hint="eastAsia" w:ascii="宋体" w:hAnsi="宋体" w:eastAsia="宋体" w:cs="Times New Roman"/>
          <w:color w:val="000000" w:themeColor="text1"/>
          <w:szCs w:val="21"/>
          <w:highlight w:val="none"/>
          <w:u w:val="single"/>
          <w14:textFill>
            <w14:solidFill>
              <w14:schemeClr w14:val="tx1"/>
            </w14:solidFill>
          </w14:textFill>
        </w:rPr>
        <w:t xml:space="preserve"> 1 </w:t>
      </w:r>
      <w:r>
        <w:rPr>
          <w:rFonts w:hint="eastAsia" w:ascii="宋体" w:hAnsi="宋体" w:eastAsia="宋体" w:cs="Times New Roman"/>
          <w:color w:val="000000" w:themeColor="text1"/>
          <w:szCs w:val="21"/>
          <w:highlight w:val="none"/>
          <w14:textFill>
            <w14:solidFill>
              <w14:schemeClr w14:val="tx1"/>
            </w14:solidFill>
          </w14:textFill>
        </w:rPr>
        <w:t>人， 专家</w:t>
      </w:r>
      <w:r>
        <w:rPr>
          <w:rFonts w:hint="eastAsia" w:ascii="宋体" w:hAnsi="宋体" w:eastAsia="宋体" w:cs="Times New Roman"/>
          <w:color w:val="000000" w:themeColor="text1"/>
          <w:szCs w:val="21"/>
          <w:highlight w:val="none"/>
          <w:u w:val="single"/>
          <w14:textFill>
            <w14:solidFill>
              <w14:schemeClr w14:val="tx1"/>
            </w14:solidFill>
          </w14:textFill>
        </w:rPr>
        <w:t xml:space="preserve"> 2 </w:t>
      </w:r>
      <w:r>
        <w:rPr>
          <w:rFonts w:hint="eastAsia" w:ascii="宋体" w:hAnsi="宋体" w:eastAsia="宋体" w:cs="Times New Roman"/>
          <w:color w:val="000000" w:themeColor="text1"/>
          <w:szCs w:val="21"/>
          <w:highlight w:val="none"/>
          <w14:textFill>
            <w14:solidFill>
              <w14:schemeClr w14:val="tx1"/>
            </w14:solidFill>
          </w14:textFill>
        </w:rPr>
        <w:t>人。</w:t>
      </w:r>
    </w:p>
    <w:p w14:paraId="59D064C8">
      <w:pPr>
        <w:spacing w:line="400" w:lineRule="exact"/>
        <w:ind w:firstLine="43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专家确定方式：</w:t>
      </w:r>
      <w:r>
        <w:rPr>
          <w:rFonts w:hint="eastAsia" w:ascii="宋体" w:hAnsi="宋体" w:eastAsia="宋体" w:cs="Times New Roman"/>
          <w:color w:val="000000" w:themeColor="text1"/>
          <w:szCs w:val="21"/>
          <w:highlight w:val="none"/>
          <w:u w:val="single"/>
          <w14:textFill>
            <w14:solidFill>
              <w14:schemeClr w14:val="tx1"/>
            </w14:solidFill>
          </w14:textFill>
        </w:rPr>
        <w:t xml:space="preserve">从广西壮族自治区政府采购专家库中通过电脑随机抽取  </w:t>
      </w:r>
      <w:r>
        <w:rPr>
          <w:rFonts w:hint="eastAsia" w:ascii="宋体" w:hAnsi="宋体" w:eastAsia="宋体" w:cs="Times New Roman"/>
          <w:color w:val="000000" w:themeColor="text1"/>
          <w:szCs w:val="21"/>
          <w:highlight w:val="none"/>
          <w14:textFill>
            <w14:solidFill>
              <w14:schemeClr w14:val="tx1"/>
            </w14:solidFill>
          </w14:textFill>
        </w:rPr>
        <w:t>。</w:t>
      </w:r>
    </w:p>
    <w:p w14:paraId="78D7668A">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18.2</w:t>
      </w:r>
      <w:r>
        <w:rPr>
          <w:rFonts w:hint="eastAsia" w:ascii="宋体" w:hAnsi="宋体" w:eastAsia="宋体" w:cs="宋体"/>
          <w:color w:val="000000" w:themeColor="text1"/>
          <w:szCs w:val="21"/>
          <w:highlight w:val="none"/>
          <w14:textFill>
            <w14:solidFill>
              <w14:schemeClr w14:val="tx1"/>
            </w14:solidFill>
          </w14:textFill>
        </w:rPr>
        <w:t>谈判时间、地点、人员</w:t>
      </w:r>
    </w:p>
    <w:p w14:paraId="35C6E980">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18</w:t>
      </w:r>
      <w:r>
        <w:rPr>
          <w:rFonts w:ascii="宋体" w:hAnsi="宋体" w:eastAsia="宋体" w:cs="宋体"/>
          <w:color w:val="000000" w:themeColor="text1"/>
          <w:szCs w:val="20"/>
          <w:highlight w:val="none"/>
          <w14:textFill>
            <w14:solidFill>
              <w14:schemeClr w14:val="tx1"/>
            </w14:solidFill>
          </w14:textFill>
        </w:rPr>
        <w:t>.2.1谈判</w:t>
      </w:r>
      <w:r>
        <w:rPr>
          <w:rFonts w:hint="eastAsia" w:ascii="宋体" w:hAnsi="宋体" w:eastAsia="宋体" w:cs="宋体"/>
          <w:color w:val="000000" w:themeColor="text1"/>
          <w:szCs w:val="20"/>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见供应商须知前附表第12条内容</w:t>
      </w:r>
      <w:r>
        <w:rPr>
          <w:rFonts w:hint="eastAsia" w:ascii="宋体" w:hAnsi="宋体" w:eastAsia="宋体" w:cs="宋体"/>
          <w:color w:val="000000" w:themeColor="text1"/>
          <w:szCs w:val="20"/>
          <w:highlight w:val="none"/>
          <w14:textFill>
            <w14:solidFill>
              <w14:schemeClr w14:val="tx1"/>
            </w14:solidFill>
          </w14:textFill>
        </w:rPr>
        <w:t>。</w:t>
      </w:r>
    </w:p>
    <w:p w14:paraId="51F43F6D">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18.2.2</w:t>
      </w:r>
      <w:r>
        <w:rPr>
          <w:rFonts w:ascii="宋体" w:hAnsi="宋体" w:eastAsia="宋体" w:cs="宋体"/>
          <w:color w:val="000000" w:themeColor="text1"/>
          <w:szCs w:val="20"/>
          <w:highlight w:val="none"/>
          <w14:textFill>
            <w14:solidFill>
              <w14:schemeClr w14:val="tx1"/>
            </w14:solidFill>
          </w14:textFill>
        </w:rPr>
        <w:t>谈判地点</w:t>
      </w:r>
      <w:r>
        <w:rPr>
          <w:rFonts w:hint="eastAsia" w:ascii="宋体" w:hAnsi="宋体" w:eastAsia="宋体" w:cs="宋体"/>
          <w:color w:val="000000" w:themeColor="text1"/>
          <w:szCs w:val="20"/>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见供应商须知前附表第12条内容</w:t>
      </w:r>
      <w:r>
        <w:rPr>
          <w:rFonts w:hint="eastAsia" w:ascii="宋体" w:hAnsi="宋体" w:eastAsia="宋体" w:cs="宋体"/>
          <w:color w:val="000000" w:themeColor="text1"/>
          <w:szCs w:val="20"/>
          <w:highlight w:val="none"/>
          <w14:textFill>
            <w14:solidFill>
              <w14:schemeClr w14:val="tx1"/>
            </w14:solidFill>
          </w14:textFill>
        </w:rPr>
        <w:t>。</w:t>
      </w:r>
    </w:p>
    <w:p w14:paraId="71434475">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18.2.3</w:t>
      </w:r>
      <w:r>
        <w:rPr>
          <w:rFonts w:ascii="宋体" w:hAnsi="宋体" w:eastAsia="宋体" w:cs="宋体"/>
          <w:color w:val="000000" w:themeColor="text1"/>
          <w:szCs w:val="20"/>
          <w:highlight w:val="none"/>
          <w14:textFill>
            <w14:solidFill>
              <w14:schemeClr w14:val="tx1"/>
            </w14:solidFill>
          </w14:textFill>
        </w:rPr>
        <w:t>谈判</w:t>
      </w:r>
      <w:r>
        <w:rPr>
          <w:rFonts w:hint="eastAsia" w:ascii="宋体" w:hAnsi="宋体" w:eastAsia="宋体" w:cs="宋体"/>
          <w:color w:val="000000" w:themeColor="text1"/>
          <w:szCs w:val="20"/>
          <w:highlight w:val="none"/>
          <w14:textFill>
            <w14:solidFill>
              <w14:schemeClr w14:val="tx1"/>
            </w14:solidFill>
          </w14:textFill>
        </w:rPr>
        <w:t>参加</w:t>
      </w:r>
      <w:r>
        <w:rPr>
          <w:rFonts w:ascii="宋体" w:hAnsi="宋体" w:eastAsia="宋体" w:cs="宋体"/>
          <w:color w:val="000000" w:themeColor="text1"/>
          <w:szCs w:val="20"/>
          <w:highlight w:val="none"/>
          <w14:textFill>
            <w14:solidFill>
              <w14:schemeClr w14:val="tx1"/>
            </w14:solidFill>
          </w14:textFill>
        </w:rPr>
        <w:t>人员</w:t>
      </w:r>
      <w:r>
        <w:rPr>
          <w:rFonts w:hint="eastAsia" w:ascii="宋体" w:hAnsi="宋体" w:eastAsia="宋体" w:cs="宋体"/>
          <w:color w:val="000000" w:themeColor="text1"/>
          <w:szCs w:val="20"/>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见供应商须知前附表第12条内容</w:t>
      </w:r>
      <w:r>
        <w:rPr>
          <w:rFonts w:hint="eastAsia" w:ascii="宋体" w:hAnsi="宋体" w:eastAsia="宋体" w:cs="宋体"/>
          <w:color w:val="000000" w:themeColor="text1"/>
          <w:szCs w:val="20"/>
          <w:highlight w:val="none"/>
          <w14:textFill>
            <w14:solidFill>
              <w14:schemeClr w14:val="tx1"/>
            </w14:solidFill>
          </w14:textFill>
        </w:rPr>
        <w:t>。</w:t>
      </w:r>
    </w:p>
    <w:p w14:paraId="05AA8F71">
      <w:pPr>
        <w:spacing w:line="350" w:lineRule="exact"/>
        <w:ind w:firstLine="413" w:firstLineChars="196"/>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18.2.4本项目需要供应商代表在响应文件提交截止时间当天，按谈判小组要求及时登录广西政府采购云平台等候在线谈判及提交最后报价。</w:t>
      </w:r>
    </w:p>
    <w:p w14:paraId="3DDFF580">
      <w:pPr>
        <w:spacing w:line="350" w:lineRule="exact"/>
        <w:ind w:firstLine="413" w:firstLineChars="196"/>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19.评审原则和评审办法</w:t>
      </w:r>
    </w:p>
    <w:p w14:paraId="01007F59">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19.1谈判小组必须坚持公平、公正、科学和择优的原则。</w:t>
      </w:r>
    </w:p>
    <w:p w14:paraId="2CF329D6">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19.2评审办法：</w:t>
      </w:r>
      <w:r>
        <w:rPr>
          <w:rFonts w:hint="eastAsia" w:ascii="宋体" w:hAnsi="宋体" w:eastAsia="宋体" w:cs="宋体"/>
          <w:color w:val="000000" w:themeColor="text1"/>
          <w:szCs w:val="21"/>
          <w:highlight w:val="none"/>
          <w14:textFill>
            <w14:solidFill>
              <w14:schemeClr w14:val="tx1"/>
            </w14:solidFill>
          </w14:textFill>
        </w:rPr>
        <w:t>最低价评标法，具体评审内容及标准详见第四章：评审办法。</w:t>
      </w:r>
    </w:p>
    <w:p w14:paraId="126217AC">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19.3谈判小组应按谈判文件进行评审，不得擅自更改评审办法。</w:t>
      </w:r>
    </w:p>
    <w:p w14:paraId="3C0839F8">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19.4在评审过程中，谈判小组任何人不得对某个供应商发表任何倾向性意见，不得向其他谈判小组成员明示或者暗示自己的评审意见。</w:t>
      </w:r>
    </w:p>
    <w:p w14:paraId="38DA95A6">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19.5谈判小组成员对需要共同认定的事项存在争议的，按照少数服从多数的原则作出结论。持不　　　　　　　　　　　　　　　　　　　　　　　　同意见的谈判小组成员应当在评审报告上签署不同意见并说明理由，否则视为同意。</w:t>
      </w:r>
    </w:p>
    <w:p w14:paraId="543FB5A7">
      <w:pPr>
        <w:tabs>
          <w:tab w:val="left" w:pos="1140"/>
        </w:tabs>
        <w:spacing w:line="350" w:lineRule="exact"/>
        <w:ind w:left="420" w:leftChars="172" w:hanging="59" w:hangingChars="28"/>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20.评审程序及谈判要求</w:t>
      </w:r>
    </w:p>
    <w:p w14:paraId="79C6EFA5">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r>
        <w:rPr>
          <w:rFonts w:hint="eastAsia" w:ascii="宋体" w:hAnsi="宋体" w:eastAsia="宋体" w:cs="Times New Roman"/>
          <w:color w:val="000000" w:themeColor="text1"/>
          <w:szCs w:val="21"/>
          <w:highlight w:val="none"/>
          <w14:textFill>
            <w14:solidFill>
              <w14:schemeClr w14:val="tx1"/>
            </w14:solidFill>
          </w14:textFill>
        </w:rPr>
        <w:t>采购代理机构核实谈判小组成员身份，告知回避要求，宣布评审工作纪律和程序，推选谈判小组组长。在评审期间由采购代理机构统一采取必要的通讯管理措施并保证评审活动不受外界干扰。</w:t>
      </w:r>
    </w:p>
    <w:p w14:paraId="7B1777FA">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谈判小组应当对发布公告的竞争性谈判文件进行确认，审查供应商的响应文件并作出评价；要求供应商解释或者澄清其响应文件；编写评审报告；告知采购人、采购代理机构在评审过程中发现的供应商的违法违规行为。</w:t>
      </w:r>
    </w:p>
    <w:p w14:paraId="473467DB">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20.3</w:t>
      </w:r>
      <w:r>
        <w:rPr>
          <w:rFonts w:ascii="宋体" w:hAnsi="宋体" w:eastAsia="宋体" w:cs="Arial"/>
          <w:color w:val="000000" w:themeColor="text1"/>
          <w:kern w:val="0"/>
          <w:szCs w:val="21"/>
          <w:highlight w:val="none"/>
          <w14:textFill>
            <w14:solidFill>
              <w14:schemeClr w14:val="tx1"/>
            </w14:solidFill>
          </w14:textFill>
        </w:rPr>
        <w:t>谈判小组</w:t>
      </w:r>
      <w:r>
        <w:rPr>
          <w:rFonts w:hint="eastAsia" w:ascii="宋体" w:hAnsi="宋体" w:eastAsia="宋体" w:cs="Times New Roman"/>
          <w:color w:val="000000" w:themeColor="text1"/>
          <w:szCs w:val="21"/>
          <w:highlight w:val="none"/>
          <w14:textFill>
            <w14:solidFill>
              <w14:schemeClr w14:val="tx1"/>
            </w14:solidFill>
          </w14:textFill>
        </w:rPr>
        <w:t>依据法律法规和竞争性谈判文件的规定，首先对响应文件中的资格证明等进行资格性审查，以确定供应商是否具备本项目供应商资格；再对通过资格性审查的供应商响应文件的有效性、完整性和对谈判文件的响应程度进行符合性审查，以确定是否对谈判文件的实质性要求做出响应。</w:t>
      </w:r>
    </w:p>
    <w:p w14:paraId="709E81E8">
      <w:pPr>
        <w:tabs>
          <w:tab w:val="left" w:pos="1140"/>
        </w:tabs>
        <w:spacing w:line="35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20.4谈判小组在对供应商进行资格性审查时，将对供应商企业股东及出资等信息进行查询。根据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2AB8F711">
      <w:pPr>
        <w:tabs>
          <w:tab w:val="left" w:pos="1140"/>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20.4.1</w:t>
      </w:r>
      <w:r>
        <w:rPr>
          <w:rFonts w:hint="eastAsia" w:ascii="宋体" w:hAnsi="宋体" w:eastAsia="宋体" w:cs="宋体"/>
          <w:color w:val="000000" w:themeColor="text1"/>
          <w:szCs w:val="21"/>
          <w:highlight w:val="none"/>
          <w14:textFill>
            <w14:solidFill>
              <w14:schemeClr w14:val="tx1"/>
            </w14:solidFill>
          </w14:textFill>
        </w:rPr>
        <w:t>查询渠道：《国家企业信用信息公示系统》（网址：www.gsxt.gov.cn/index.html）；</w:t>
      </w:r>
    </w:p>
    <w:p w14:paraId="6492CC2C">
      <w:pPr>
        <w:tabs>
          <w:tab w:val="left" w:pos="1140"/>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20.4.2审查流程：</w:t>
      </w:r>
    </w:p>
    <w:p w14:paraId="5A4345D2">
      <w:pPr>
        <w:tabs>
          <w:tab w:val="left" w:pos="1140"/>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（1）进入《国家企业信用信息公示系统》（网址：</w:t>
      </w:r>
      <w:r>
        <w:rPr>
          <w:rFonts w:ascii="宋体" w:hAnsi="宋体" w:eastAsia="宋体" w:cs="Times New Roman"/>
          <w:color w:val="000000" w:themeColor="text1"/>
          <w:szCs w:val="21"/>
          <w:highlight w:val="none"/>
          <w14:textFill>
            <w14:solidFill>
              <w14:schemeClr w14:val="tx1"/>
            </w14:solidFill>
          </w14:textFill>
        </w:rPr>
        <w:t>http://www.gsxt.gov.cn/index.html</w:t>
      </w:r>
      <w:r>
        <w:rPr>
          <w:rFonts w:hint="eastAsia" w:ascii="宋体" w:hAnsi="宋体" w:eastAsia="宋体" w:cs="Times New Roman"/>
          <w:color w:val="000000" w:themeColor="text1"/>
          <w:szCs w:val="21"/>
          <w:highlight w:val="none"/>
          <w14:textFill>
            <w14:solidFill>
              <w14:schemeClr w14:val="tx1"/>
            </w14:solidFill>
          </w14:textFill>
        </w:rPr>
        <w:t>），输入企业名称，进入企业信息主页面。</w:t>
      </w:r>
    </w:p>
    <w:p w14:paraId="3EEA02F4">
      <w:pPr>
        <w:tabs>
          <w:tab w:val="left" w:pos="1140"/>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（2）查看主页 “股东及出资信息”栏，或年报中的“股东及出资信息”栏信息。</w:t>
      </w:r>
    </w:p>
    <w:p w14:paraId="4E6D169E">
      <w:pPr>
        <w:tabs>
          <w:tab w:val="left" w:pos="1140"/>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（3）将各供应商的股东及出资信息进行比对，如发现存在单位负责人为同一人或者存在直接控股、管理关系的不同供应商参加同一合同项下的政府采购活动，按无效处理。</w:t>
      </w:r>
    </w:p>
    <w:p w14:paraId="00D652CF">
      <w:pPr>
        <w:tabs>
          <w:tab w:val="left" w:pos="1140"/>
        </w:tabs>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（4）将相关资料打印存档。</w:t>
      </w:r>
    </w:p>
    <w:p w14:paraId="193C795D">
      <w:pPr>
        <w:tabs>
          <w:tab w:val="left" w:pos="1140"/>
        </w:tabs>
        <w:spacing w:line="35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14:paraId="2F1ECC73">
      <w:pPr>
        <w:spacing w:line="35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Arial"/>
          <w:b/>
          <w:color w:val="000000" w:themeColor="text1"/>
          <w:kern w:val="0"/>
          <w:szCs w:val="21"/>
          <w:highlight w:val="none"/>
          <w14:textFill>
            <w14:solidFill>
              <w14:schemeClr w14:val="tx1"/>
            </w14:solidFill>
          </w14:textFill>
        </w:rPr>
        <w:t>20.5</w:t>
      </w:r>
      <w:r>
        <w:rPr>
          <w:rFonts w:ascii="宋体" w:hAnsi="宋体" w:eastAsia="宋体" w:cs="Arial"/>
          <w:b/>
          <w:color w:val="000000" w:themeColor="text1"/>
          <w:kern w:val="0"/>
          <w:szCs w:val="21"/>
          <w:highlight w:val="none"/>
          <w14:textFill>
            <w14:solidFill>
              <w14:schemeClr w14:val="tx1"/>
            </w14:solidFill>
          </w14:textFill>
        </w:rPr>
        <w:t>谈判小组</w:t>
      </w:r>
      <w:r>
        <w:rPr>
          <w:rFonts w:hint="eastAsia" w:ascii="宋体" w:hAnsi="宋体" w:eastAsia="宋体" w:cs="Times New Roman"/>
          <w:b/>
          <w:color w:val="000000" w:themeColor="text1"/>
          <w:szCs w:val="21"/>
          <w:highlight w:val="none"/>
          <w14:textFill>
            <w14:solidFill>
              <w14:schemeClr w14:val="tx1"/>
            </w14:solidFill>
          </w14:textFill>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其法定代表人或负责人或授权委托代表签字（或个人CA证书签章）或加盖供应商CA证书签章（自然人为签字或加盖个人CA证书签章）。</w:t>
      </w:r>
    </w:p>
    <w:p w14:paraId="55E6161A">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w:t>
      </w:r>
      <w:r>
        <w:rPr>
          <w:rFonts w:hint="eastAsia" w:ascii="宋体" w:hAnsi="宋体" w:eastAsia="宋体" w:cs="Times New Roman"/>
          <w:color w:val="000000" w:themeColor="text1"/>
          <w:szCs w:val="21"/>
          <w:highlight w:val="none"/>
          <w14:textFill>
            <w14:solidFill>
              <w14:schemeClr w14:val="tx1"/>
            </w14:solidFill>
          </w14:textFill>
        </w:rPr>
        <w:t>应当采用书面形式，并由其法定代表人或负责人或授权委托代表签字（或加盖个人CA证书签章）或加盖供应商CA证书签章（自然人为签字或加盖个人CA证书签章）</w:t>
      </w:r>
      <w:r>
        <w:rPr>
          <w:rFonts w:hint="eastAsia" w:ascii="宋体" w:hAnsi="宋体" w:eastAsia="宋体" w:cs="宋体"/>
          <w:color w:val="000000" w:themeColor="text1"/>
          <w:szCs w:val="21"/>
          <w:highlight w:val="none"/>
          <w14:textFill>
            <w14:solidFill>
              <w14:schemeClr w14:val="tx1"/>
            </w14:solidFill>
          </w14:textFill>
        </w:rPr>
        <w:t>。</w:t>
      </w:r>
    </w:p>
    <w:p w14:paraId="4A7C0A5F">
      <w:pPr>
        <w:spacing w:line="35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对未通过资格性审查或符合性审查的供应商，谈判小组应当以电话或通过广西政府采购云平台告知供应商未通过的原因并做相应记录。</w:t>
      </w:r>
    </w:p>
    <w:p w14:paraId="24D56B6C">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谈判小组根据竞争性谈判文件规定的程序、评定成交的标准等事项与实质性响应竞争性谈判文件要求的供应商进行谈判。未实质性响应竞争性谈判文件的响应文件按无效处理，谈判小组应当告知有关供应商。</w:t>
      </w:r>
    </w:p>
    <w:p w14:paraId="50580A6A">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20.7谈判小组所有成员应当按已确定的谈判顺序分别与单一供应商分别进行谈判，并给予所有实质性响应谈判文件要求的供应商平等的谈判机会。</w:t>
      </w:r>
    </w:p>
    <w:p w14:paraId="4807AD44">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谈判中，谈判小组不得透露与谈判有关的其他供应商的技术资料、价格和其他信息。</w:t>
      </w:r>
    </w:p>
    <w:p w14:paraId="39C72406">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采购代理机构对谈判过程和重要谈判内容进行记录，谈判双方在记录上签字确认。</w:t>
      </w:r>
    </w:p>
    <w:p w14:paraId="26C61E18">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20.8在谈判过程中，谈判小组可以根据竞争性谈判文件和谈判情况实质性变动服务要求中的技术、服务要求以及合同草案条款，但不得变动谈判文件中的其他内容。实质性变动的内容，须经采购人代表确认。</w:t>
      </w:r>
    </w:p>
    <w:p w14:paraId="71815630">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对竞争性谈判文件作出的实质性变动是竞争性谈判文件的有效组成部分，谈判小组应当及时在</w:t>
      </w:r>
      <w:r>
        <w:rPr>
          <w:rFonts w:hint="eastAsia" w:ascii="宋体" w:hAnsi="宋体" w:eastAsia="宋体" w:cs="宋体"/>
          <w:bCs/>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以书面形式同时通知所有参加谈判的供应商。</w:t>
      </w:r>
    </w:p>
    <w:p w14:paraId="5F153807">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供应商应当按照竞争性谈判文件的变动情况和谈判小组的要求在</w:t>
      </w:r>
      <w:r>
        <w:rPr>
          <w:rFonts w:hint="eastAsia" w:ascii="宋体" w:hAnsi="宋体" w:eastAsia="宋体" w:cs="宋体"/>
          <w:bCs/>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重新提交响应文件，并由其法定代表人或负责人或自然人或授权委托代表签字（或加盖个人CA证书签章）或加盖供应商CA证书签章（自然人为签字或加盖个人CA证书签章）。逾时不交的，视同放弃谈判。</w:t>
      </w:r>
    </w:p>
    <w:p w14:paraId="09FF1D0E">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20.9</w:t>
      </w:r>
      <w:r>
        <w:rPr>
          <w:rFonts w:hint="eastAsia" w:ascii="宋体" w:hAnsi="宋体" w:eastAsia="宋体" w:cs="Times New Roman"/>
          <w:color w:val="000000" w:themeColor="text1"/>
          <w:szCs w:val="20"/>
          <w:highlight w:val="none"/>
          <w14:textFill>
            <w14:solidFill>
              <w14:schemeClr w14:val="tx1"/>
            </w14:solidFill>
          </w14:textFill>
        </w:rPr>
        <w:t>最后报价</w:t>
      </w:r>
    </w:p>
    <w:p w14:paraId="138FF6F5">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20.9.1谈判文件能够详细列明采购标的的技术、服务要求的，谈判结束后，谈判小组应当要求所有实质性响应的供应商在</w:t>
      </w:r>
      <w:r>
        <w:rPr>
          <w:rFonts w:ascii="宋体" w:hAnsi="宋体" w:eastAsia="宋体" w:cs="Times New Roman"/>
          <w:color w:val="000000" w:themeColor="text1"/>
          <w:kern w:val="0"/>
          <w:szCs w:val="21"/>
          <w:highlight w:val="none"/>
          <w14:textFill>
            <w14:solidFill>
              <w14:schemeClr w14:val="tx1"/>
            </w14:solidFill>
          </w14:textFill>
        </w:rPr>
        <w:t>在</w:t>
      </w:r>
      <w:r>
        <w:rPr>
          <w:rFonts w:hint="eastAsia" w:ascii="宋体" w:hAnsi="宋体" w:eastAsia="宋体" w:cs="宋体"/>
          <w:bCs/>
          <w:color w:val="000000" w:themeColor="text1"/>
          <w:szCs w:val="21"/>
          <w:highlight w:val="none"/>
          <w14:textFill>
            <w14:solidFill>
              <w14:schemeClr w14:val="tx1"/>
            </w14:solidFill>
          </w14:textFill>
        </w:rPr>
        <w:t>广西政府采购云平台按</w:t>
      </w:r>
      <w:r>
        <w:rPr>
          <w:rFonts w:hint="eastAsia" w:ascii="宋体" w:hAnsi="宋体" w:eastAsia="宋体" w:cs="宋体"/>
          <w:color w:val="000000" w:themeColor="text1"/>
          <w:szCs w:val="21"/>
          <w:highlight w:val="none"/>
          <w14:textFill>
            <w14:solidFill>
              <w14:schemeClr w14:val="tx1"/>
            </w14:solidFill>
          </w14:textFill>
        </w:rPr>
        <w:t>规定时间内提交最后报价，提交最后报价的供应商不得少于 3 家；</w:t>
      </w:r>
      <w:r>
        <w:rPr>
          <w:rFonts w:ascii="宋体" w:hAnsi="宋体" w:eastAsia="宋体" w:cs="Times New Roman"/>
          <w:color w:val="000000" w:themeColor="text1"/>
          <w:kern w:val="0"/>
          <w:szCs w:val="21"/>
          <w:highlight w:val="none"/>
          <w14:textFill>
            <w14:solidFill>
              <w14:schemeClr w14:val="tx1"/>
            </w14:solidFill>
          </w14:textFill>
        </w:rPr>
        <w:t>最后报价</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szCs w:val="21"/>
          <w:highlight w:val="none"/>
          <w14:textFill>
            <w14:solidFill>
              <w14:schemeClr w14:val="tx1"/>
            </w14:solidFill>
          </w14:textFill>
        </w:rPr>
        <w:t>由其法定代表人或负责人或授权委托代表签字（或个人CA证书签章）或加盖供应商CA证书签章（自然人为签字或加盖个人CA证书签章）。</w:t>
      </w:r>
    </w:p>
    <w:p w14:paraId="18F7589F">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20.9.2谈判文件不能详细列明采购标的的技术、服务要求的，需经谈判由供应商提供最终设计方案或解决方案的，谈判结束后，谈判小组应当按照少数服从多数的原则投票推荐 3 家以上（含 3 家）供应商的设计方案或者解决方案，并要求其在规定时间内密封提交最后报价。</w:t>
      </w:r>
      <w:r>
        <w:rPr>
          <w:rFonts w:ascii="宋体" w:hAnsi="宋体" w:eastAsia="宋体" w:cs="Times New Roman"/>
          <w:color w:val="000000" w:themeColor="text1"/>
          <w:kern w:val="0"/>
          <w:szCs w:val="21"/>
          <w:highlight w:val="none"/>
          <w14:textFill>
            <w14:solidFill>
              <w14:schemeClr w14:val="tx1"/>
            </w14:solidFill>
          </w14:textFill>
        </w:rPr>
        <w:t>最后报价</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szCs w:val="21"/>
          <w:highlight w:val="none"/>
          <w14:textFill>
            <w14:solidFill>
              <w14:schemeClr w14:val="tx1"/>
            </w14:solidFill>
          </w14:textFill>
        </w:rPr>
        <w:t>由其法定代表人或负责人或授权委托代表签字（或个人CA证书签章）或加盖供应商CA证书签章（自然人为签字或加盖个人CA证书签章）。</w:t>
      </w:r>
    </w:p>
    <w:p w14:paraId="6ED83BE4">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20.9.3已提交响应文件的供应商，在提交最后报价之前，可以根据谈判情况书面退出谈判。</w:t>
      </w:r>
    </w:p>
    <w:p w14:paraId="350713AE">
      <w:pPr>
        <w:spacing w:line="350" w:lineRule="exact"/>
        <w:ind w:firstLine="420" w:firstLineChars="200"/>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20.9.4</w:t>
      </w:r>
      <w:r>
        <w:rPr>
          <w:rFonts w:ascii="宋体" w:hAnsi="宋体" w:eastAsia="宋体" w:cs="Times New Roman"/>
          <w:color w:val="000000" w:themeColor="text1"/>
          <w:szCs w:val="21"/>
          <w:highlight w:val="none"/>
          <w14:textFill>
            <w14:solidFill>
              <w14:schemeClr w14:val="tx1"/>
            </w14:solidFill>
          </w14:textFill>
        </w:rPr>
        <w:t>最后报价是供应商</w:t>
      </w:r>
      <w:r>
        <w:rPr>
          <w:rFonts w:hint="eastAsia" w:ascii="宋体" w:hAnsi="宋体" w:eastAsia="宋体" w:cs="Times New Roman"/>
          <w:color w:val="000000" w:themeColor="text1"/>
          <w:szCs w:val="21"/>
          <w:highlight w:val="none"/>
          <w14:textFill>
            <w14:solidFill>
              <w14:schemeClr w14:val="tx1"/>
            </w14:solidFill>
          </w14:textFill>
        </w:rPr>
        <w:t>响应文件</w:t>
      </w:r>
      <w:r>
        <w:rPr>
          <w:rFonts w:ascii="宋体" w:hAnsi="宋体" w:eastAsia="宋体" w:cs="Times New Roman"/>
          <w:color w:val="000000" w:themeColor="text1"/>
          <w:szCs w:val="21"/>
          <w:highlight w:val="none"/>
          <w14:textFill>
            <w14:solidFill>
              <w14:schemeClr w14:val="tx1"/>
            </w14:solidFill>
          </w14:textFill>
        </w:rPr>
        <w:t>的有效组成部分。</w:t>
      </w:r>
      <w:r>
        <w:rPr>
          <w:rFonts w:hint="eastAsia" w:ascii="宋体" w:hAnsi="宋体" w:eastAsia="宋体" w:cs="Times New Roman"/>
          <w:color w:val="000000" w:themeColor="text1"/>
          <w:kern w:val="0"/>
          <w:szCs w:val="21"/>
          <w:highlight w:val="none"/>
          <w14:textFill>
            <w14:solidFill>
              <w14:schemeClr w14:val="tx1"/>
            </w14:solidFill>
          </w14:textFill>
        </w:rPr>
        <w:t>未书面退出谈判的</w:t>
      </w:r>
      <w:r>
        <w:rPr>
          <w:rFonts w:ascii="宋体" w:hAnsi="宋体" w:eastAsia="宋体" w:cs="Times New Roman"/>
          <w:color w:val="000000" w:themeColor="text1"/>
          <w:kern w:val="0"/>
          <w:szCs w:val="21"/>
          <w:highlight w:val="none"/>
          <w14:textFill>
            <w14:solidFill>
              <w14:schemeClr w14:val="tx1"/>
            </w14:solidFill>
          </w14:textFill>
        </w:rPr>
        <w:t>供应商在规定时间内</w:t>
      </w:r>
      <w:r>
        <w:rPr>
          <w:rFonts w:hint="eastAsia" w:ascii="宋体" w:hAnsi="宋体" w:eastAsia="宋体" w:cs="Times New Roman"/>
          <w:color w:val="000000" w:themeColor="text1"/>
          <w:kern w:val="0"/>
          <w:szCs w:val="21"/>
          <w:highlight w:val="none"/>
          <w14:textFill>
            <w14:solidFill>
              <w14:schemeClr w14:val="tx1"/>
            </w14:solidFill>
          </w14:textFill>
        </w:rPr>
        <w:t>密封</w:t>
      </w:r>
      <w:r>
        <w:rPr>
          <w:rFonts w:ascii="宋体" w:hAnsi="宋体" w:eastAsia="宋体" w:cs="Times New Roman"/>
          <w:color w:val="000000" w:themeColor="text1"/>
          <w:kern w:val="0"/>
          <w:szCs w:val="21"/>
          <w:highlight w:val="none"/>
          <w14:textFill>
            <w14:solidFill>
              <w14:schemeClr w14:val="tx1"/>
            </w14:solidFill>
          </w14:textFill>
        </w:rPr>
        <w:t>提交最后报价</w:t>
      </w:r>
      <w:r>
        <w:rPr>
          <w:rFonts w:hint="eastAsia" w:ascii="宋体" w:hAnsi="宋体" w:eastAsia="宋体" w:cs="Times New Roman"/>
          <w:color w:val="000000" w:themeColor="text1"/>
          <w:kern w:val="0"/>
          <w:szCs w:val="21"/>
          <w:highlight w:val="none"/>
          <w14:textFill>
            <w14:solidFill>
              <w14:schemeClr w14:val="tx1"/>
            </w14:solidFill>
          </w14:textFill>
        </w:rPr>
        <w:t>，其最后报价超出采购预算导致已通过评审的响应文件无效的，按供应商在提交响应文件截止时间后撤回响应文件处理。</w:t>
      </w:r>
    </w:p>
    <w:p w14:paraId="30F70731">
      <w:pPr>
        <w:snapToGrid w:val="0"/>
        <w:spacing w:line="350" w:lineRule="exact"/>
        <w:ind w:left="689" w:leftChars="228" w:hanging="210" w:hangingChars="1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20.9.5响应文件中谈判报价（含最后报价）出现前后不一致的，按照下列规定修正：</w:t>
      </w:r>
    </w:p>
    <w:p w14:paraId="50AD82D2">
      <w:pPr>
        <w:snapToGrid w:val="0"/>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（1）响应文件中报价明细表内容与响应文件中相应内容不一致的，以 报价明细表为准；</w:t>
      </w:r>
    </w:p>
    <w:p w14:paraId="694CA81D">
      <w:pPr>
        <w:snapToGrid w:val="0"/>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（2）大写金额和小写金额不一致的，以大写金额为准；</w:t>
      </w:r>
    </w:p>
    <w:p w14:paraId="3867F3F2">
      <w:pPr>
        <w:snapToGrid w:val="0"/>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（3）单价金额小数点或者百分比有明显错位的，以报价明细表的总价为准，并修改单价；</w:t>
      </w:r>
    </w:p>
    <w:p w14:paraId="39636E48">
      <w:pPr>
        <w:snapToGrid w:val="0"/>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（4）总价金额与按单价汇总金额不一致的，以单价金额计算结果为准。</w:t>
      </w:r>
    </w:p>
    <w:p w14:paraId="079CACC5">
      <w:pPr>
        <w:snapToGrid w:val="0"/>
        <w:spacing w:line="350" w:lineRule="exact"/>
        <w:ind w:firstLine="422" w:firstLineChars="200"/>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同时出现两种以上不一致的，按照第（1）-（4）规定的顺序修正。</w:t>
      </w:r>
      <w:r>
        <w:rPr>
          <w:rFonts w:hint="eastAsia" w:ascii="宋体" w:hAnsi="宋体" w:eastAsia="宋体" w:cs="Times New Roman"/>
          <w:b/>
          <w:bCs/>
          <w:color w:val="000000" w:themeColor="text1"/>
          <w:szCs w:val="21"/>
          <w:highlight w:val="none"/>
          <w14:textFill>
            <w14:solidFill>
              <w14:schemeClr w14:val="tx1"/>
            </w14:solidFill>
          </w14:textFill>
        </w:rPr>
        <w:t>修正的报价经供应商确认（须供应商在线签字或加盖个人CA证书签章确认）后产生约束力，供应商不确认的，其响应文件无效。</w:t>
      </w:r>
    </w:p>
    <w:p w14:paraId="6C74B896">
      <w:pPr>
        <w:widowControl/>
        <w:tabs>
          <w:tab w:val="left" w:pos="540"/>
        </w:tabs>
        <w:spacing w:line="400" w:lineRule="exact"/>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20.10</w:t>
      </w:r>
      <w:r>
        <w:rPr>
          <w:rFonts w:ascii="宋体" w:hAnsi="宋体" w:eastAsia="宋体" w:cs="Times New Roman"/>
          <w:color w:val="000000" w:themeColor="text1"/>
          <w:kern w:val="0"/>
          <w:szCs w:val="21"/>
          <w:highlight w:val="none"/>
          <w14:textFill>
            <w14:solidFill>
              <w14:schemeClr w14:val="tx1"/>
            </w14:solidFill>
          </w14:textFill>
        </w:rPr>
        <w:t>评审报告</w:t>
      </w:r>
    </w:p>
    <w:p w14:paraId="77A873A1">
      <w:pPr>
        <w:spacing w:line="400" w:lineRule="exact"/>
        <w:ind w:firstLine="42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谈判小组应当从质量和服务均能满足</w:t>
      </w:r>
      <w:r>
        <w:rPr>
          <w:rFonts w:hint="eastAsia" w:ascii="宋体" w:hAnsi="宋体" w:eastAsia="宋体" w:cs="Times New Roman"/>
          <w:color w:val="000000" w:themeColor="text1"/>
          <w:kern w:val="0"/>
          <w:szCs w:val="21"/>
          <w:highlight w:val="none"/>
          <w14:textFill>
            <w14:solidFill>
              <w14:schemeClr w14:val="tx1"/>
            </w14:solidFill>
          </w14:textFill>
        </w:rPr>
        <w:t>谈判</w:t>
      </w:r>
      <w:r>
        <w:rPr>
          <w:rFonts w:ascii="宋体" w:hAnsi="宋体" w:eastAsia="宋体" w:cs="Times New Roman"/>
          <w:color w:val="000000" w:themeColor="text1"/>
          <w:kern w:val="0"/>
          <w:szCs w:val="21"/>
          <w:highlight w:val="none"/>
          <w14:textFill>
            <w14:solidFill>
              <w14:schemeClr w14:val="tx1"/>
            </w14:solidFill>
          </w14:textFill>
        </w:rPr>
        <w:t>文件</w:t>
      </w:r>
      <w:r>
        <w:rPr>
          <w:rFonts w:hint="eastAsia" w:ascii="宋体" w:hAnsi="宋体" w:eastAsia="宋体" w:cs="Times New Roman"/>
          <w:color w:val="000000" w:themeColor="text1"/>
          <w:kern w:val="0"/>
          <w:szCs w:val="21"/>
          <w:highlight w:val="none"/>
          <w14:textFill>
            <w14:solidFill>
              <w14:schemeClr w14:val="tx1"/>
            </w14:solidFill>
          </w14:textFill>
        </w:rPr>
        <w:t>全部</w:t>
      </w:r>
      <w:r>
        <w:rPr>
          <w:rFonts w:ascii="宋体" w:hAnsi="宋体" w:eastAsia="宋体" w:cs="Times New Roman"/>
          <w:color w:val="000000" w:themeColor="text1"/>
          <w:kern w:val="0"/>
          <w:szCs w:val="21"/>
          <w:highlight w:val="none"/>
          <w14:textFill>
            <w14:solidFill>
              <w14:schemeClr w14:val="tx1"/>
            </w14:solidFill>
          </w14:textFill>
        </w:rPr>
        <w:t>实质性响应要求的供应商中，按</w:t>
      </w:r>
      <w:r>
        <w:rPr>
          <w:rFonts w:hint="eastAsia" w:ascii="宋体" w:hAnsi="宋体" w:eastAsia="宋体" w:cs="Times New Roman"/>
          <w:color w:val="000000" w:themeColor="text1"/>
          <w:kern w:val="0"/>
          <w:szCs w:val="21"/>
          <w:highlight w:val="none"/>
          <w14:textFill>
            <w14:solidFill>
              <w14:schemeClr w14:val="tx1"/>
            </w14:solidFill>
          </w14:textFill>
        </w:rPr>
        <w:t>照评审报价（最后报价及享受政府采购政策的优惠扣除）由低到高的顺序</w:t>
      </w:r>
      <w:r>
        <w:rPr>
          <w:rFonts w:ascii="宋体" w:hAnsi="宋体" w:eastAsia="宋体" w:cs="Times New Roman"/>
          <w:color w:val="000000" w:themeColor="text1"/>
          <w:kern w:val="0"/>
          <w:szCs w:val="21"/>
          <w:highlight w:val="none"/>
          <w14:textFill>
            <w14:solidFill>
              <w14:schemeClr w14:val="tx1"/>
            </w14:solidFill>
          </w14:textFill>
        </w:rPr>
        <w:t>提出3名以上</w:t>
      </w:r>
      <w:r>
        <w:rPr>
          <w:rFonts w:hint="eastAsia" w:ascii="宋体" w:hAnsi="宋体" w:eastAsia="宋体" w:cs="Times New Roman"/>
          <w:color w:val="000000" w:themeColor="text1"/>
          <w:kern w:val="0"/>
          <w:szCs w:val="21"/>
          <w:highlight w:val="none"/>
          <w14:textFill>
            <w14:solidFill>
              <w14:schemeClr w14:val="tx1"/>
            </w14:solidFill>
          </w14:textFill>
        </w:rPr>
        <w:t>（含3名）</w:t>
      </w:r>
      <w:r>
        <w:rPr>
          <w:rFonts w:ascii="宋体" w:hAnsi="宋体" w:eastAsia="宋体" w:cs="Times New Roman"/>
          <w:color w:val="000000" w:themeColor="text1"/>
          <w:kern w:val="0"/>
          <w:szCs w:val="21"/>
          <w:highlight w:val="none"/>
          <w14:textFill>
            <w14:solidFill>
              <w14:schemeClr w14:val="tx1"/>
            </w14:solidFill>
          </w14:textFill>
        </w:rPr>
        <w:t>成交候选人，并编写评审报告。</w:t>
      </w:r>
    </w:p>
    <w:p w14:paraId="68AF23D1">
      <w:pPr>
        <w:spacing w:line="40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20.11在评审过程中出现法律法规和谈判文件均没有明确规定的情形时，由谈判小组现场协商解决，协商不一致的，由全体谈判小组投票表决，以得票率二分之一以上专家的意见为准。</w:t>
      </w:r>
    </w:p>
    <w:p w14:paraId="18039BB0">
      <w:pPr>
        <w:widowControl/>
        <w:spacing w:line="400" w:lineRule="exact"/>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20.12</w:t>
      </w:r>
      <w:r>
        <w:rPr>
          <w:rFonts w:ascii="宋体" w:hAnsi="宋体" w:eastAsia="宋体" w:cs="Times New Roman"/>
          <w:color w:val="000000" w:themeColor="text1"/>
          <w:kern w:val="0"/>
          <w:szCs w:val="21"/>
          <w:highlight w:val="none"/>
          <w14:textFill>
            <w14:solidFill>
              <w14:schemeClr w14:val="tx1"/>
            </w14:solidFill>
          </w14:textFill>
        </w:rPr>
        <w:t>在采购过程中符合竞争要求的供应商或者报价未超过采购预算的供应商不足3家的</w:t>
      </w:r>
      <w:r>
        <w:rPr>
          <w:rFonts w:hint="eastAsia" w:ascii="宋体" w:hAnsi="宋体" w:eastAsia="宋体" w:cs="Times New Roman"/>
          <w:color w:val="000000" w:themeColor="text1"/>
          <w:kern w:val="0"/>
          <w:szCs w:val="21"/>
          <w:highlight w:val="none"/>
          <w14:textFill>
            <w14:solidFill>
              <w14:schemeClr w14:val="tx1"/>
            </w14:solidFill>
          </w14:textFill>
        </w:rPr>
        <w:t>，采购人或者采购代理机构应当终止竞争性谈判采购活动。</w:t>
      </w:r>
    </w:p>
    <w:p w14:paraId="733C1C7E">
      <w:pPr>
        <w:spacing w:line="40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20.13采购代理机构发现谈判小组有明显的违规倾向或歧视现象，或不按评审办法进行，或其他不正常行为的，应当及时制止。如制止无效，应及时向</w:t>
      </w:r>
      <w:r>
        <w:rPr>
          <w:rFonts w:hint="eastAsia" w:ascii="宋体" w:hAnsi="Courier New" w:eastAsia="宋体" w:cs="Times New Roman"/>
          <w:color w:val="000000" w:themeColor="text1"/>
          <w:szCs w:val="20"/>
          <w:highlight w:val="none"/>
          <w14:textFill>
            <w14:solidFill>
              <w14:schemeClr w14:val="tx1"/>
            </w14:solidFill>
          </w14:textFill>
        </w:rPr>
        <w:t>广西区财政厅政府采购监督管理处</w:t>
      </w:r>
      <w:r>
        <w:rPr>
          <w:rFonts w:hint="eastAsia" w:ascii="宋体" w:hAnsi="宋体" w:eastAsia="宋体" w:cs="Times New Roman"/>
          <w:color w:val="000000" w:themeColor="text1"/>
          <w:szCs w:val="21"/>
          <w:highlight w:val="none"/>
          <w14:textFill>
            <w14:solidFill>
              <w14:schemeClr w14:val="tx1"/>
            </w14:solidFill>
          </w14:textFill>
        </w:rPr>
        <w:t>报告。</w:t>
      </w:r>
    </w:p>
    <w:p w14:paraId="242149AF">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21.本谈判项目是</w:t>
      </w:r>
      <w:r>
        <w:rPr>
          <w:rFonts w:hint="eastAsia" w:ascii="宋体" w:hAnsi="宋体" w:eastAsia="宋体" w:cs="Times New Roman"/>
          <w:color w:val="000000" w:themeColor="text1"/>
          <w:szCs w:val="21"/>
          <w:highlight w:val="none"/>
          <w14:textFill>
            <w14:solidFill>
              <w14:schemeClr w14:val="tx1"/>
            </w14:solidFill>
          </w14:textFill>
        </w:rPr>
        <w:t>以采购预算金额为最高限价，超出采购预算金额的最后报价，谈判小组可以不予以评审。当全部最后报价均超出采购预算金额时，谈判小组有权决定全部废标或</w:t>
      </w:r>
      <w:r>
        <w:rPr>
          <w:rFonts w:ascii="宋体" w:hAnsi="宋体" w:eastAsia="宋体" w:cs="Times New Roman"/>
          <w:color w:val="000000" w:themeColor="text1"/>
          <w:szCs w:val="21"/>
          <w:highlight w:val="none"/>
          <w14:textFill>
            <w14:solidFill>
              <w14:schemeClr w14:val="tx1"/>
            </w14:solidFill>
          </w14:textFill>
        </w:rPr>
        <w:t>以书面形式要求所有</w:t>
      </w:r>
      <w:r>
        <w:rPr>
          <w:rFonts w:hint="eastAsia" w:ascii="宋体" w:hAnsi="宋体" w:eastAsia="宋体" w:cs="Times New Roman"/>
          <w:color w:val="000000" w:themeColor="text1"/>
          <w:szCs w:val="21"/>
          <w:highlight w:val="none"/>
          <w14:textFill>
            <w14:solidFill>
              <w14:schemeClr w14:val="tx1"/>
            </w14:solidFill>
          </w14:textFill>
        </w:rPr>
        <w:t>供应商</w:t>
      </w:r>
      <w:r>
        <w:rPr>
          <w:rFonts w:ascii="宋体" w:hAnsi="宋体" w:eastAsia="宋体" w:cs="Times New Roman"/>
          <w:color w:val="000000" w:themeColor="text1"/>
          <w:szCs w:val="21"/>
          <w:highlight w:val="none"/>
          <w14:textFill>
            <w14:solidFill>
              <w14:schemeClr w14:val="tx1"/>
            </w14:solidFill>
          </w14:textFill>
        </w:rPr>
        <w:t>在规定时间内以书面</w:t>
      </w:r>
      <w:r>
        <w:rPr>
          <w:rFonts w:hint="eastAsia" w:ascii="宋体" w:hAnsi="宋体" w:eastAsia="宋体" w:cs="Times New Roman"/>
          <w:color w:val="000000" w:themeColor="text1"/>
          <w:szCs w:val="21"/>
          <w:highlight w:val="none"/>
          <w14:textFill>
            <w14:solidFill>
              <w14:schemeClr w14:val="tx1"/>
            </w14:solidFill>
          </w14:textFill>
        </w:rPr>
        <w:t>密封</w:t>
      </w:r>
      <w:r>
        <w:rPr>
          <w:rFonts w:ascii="宋体" w:hAnsi="宋体" w:eastAsia="宋体" w:cs="Times New Roman"/>
          <w:color w:val="000000" w:themeColor="text1"/>
          <w:szCs w:val="21"/>
          <w:highlight w:val="none"/>
          <w14:textFill>
            <w14:solidFill>
              <w14:schemeClr w14:val="tx1"/>
            </w14:solidFill>
          </w14:textFill>
        </w:rPr>
        <w:t>形式重新报价。</w:t>
      </w:r>
    </w:p>
    <w:p w14:paraId="101B6A2C">
      <w:pPr>
        <w:spacing w:line="35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22.确定成交人原则</w:t>
      </w:r>
    </w:p>
    <w:p w14:paraId="2BF46048">
      <w:pPr>
        <w:tabs>
          <w:tab w:val="left" w:pos="4214"/>
        </w:tabs>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 采购人应当确定谈判小组推荐排名第一的供应商为成交人。</w:t>
      </w:r>
    </w:p>
    <w:p w14:paraId="08FA89FD">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 排名第一的成交候选供应商放弃成交、因不可抗力提出不能履行合同，</w:t>
      </w:r>
      <w:r>
        <w:rPr>
          <w:rFonts w:hint="eastAsia" w:ascii="宋体" w:hAnsi="宋体" w:eastAsia="宋体" w:cs="Times New Roman"/>
          <w:color w:val="000000" w:themeColor="text1"/>
          <w:szCs w:val="21"/>
          <w:highlight w:val="none"/>
          <w14:textFill>
            <w14:solidFill>
              <w14:schemeClr w14:val="tx1"/>
            </w14:solidFill>
          </w14:textFill>
        </w:rPr>
        <w:t>或因失信行为被取消成交候选人资格的，</w:t>
      </w:r>
      <w:r>
        <w:rPr>
          <w:rFonts w:hint="eastAsia" w:ascii="宋体" w:hAnsi="宋体" w:eastAsia="宋体" w:cs="宋体"/>
          <w:color w:val="000000" w:themeColor="text1"/>
          <w:szCs w:val="21"/>
          <w:highlight w:val="none"/>
          <w14:textFill>
            <w14:solidFill>
              <w14:schemeClr w14:val="tx1"/>
            </w14:solidFill>
          </w14:textFill>
        </w:rPr>
        <w:t>采购人可以确定排名第二的成交候选人为成交人或重新采购。</w:t>
      </w:r>
    </w:p>
    <w:p w14:paraId="74A4E885">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22.3第二成交候选人因前款规定的同样原因不能签订合同的，采购人可以确定排名第三的成交候选人为成交人或重新采购。</w:t>
      </w:r>
    </w:p>
    <w:p w14:paraId="44B77DB0">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22.4成交人信用信息查询：</w:t>
      </w:r>
    </w:p>
    <w:p w14:paraId="6899B9C0">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根据《关于做好政府采购有关信用主体标识码登记及在政府采购活动中查询使用信用记录有关问题的通知》桂财采〔2016〕37号的通知，采购代理机构对成交人进行信用查询：</w:t>
      </w:r>
    </w:p>
    <w:p w14:paraId="2801CA35">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22.4.1查询渠道：“信用中国”网站(www.creditchina.gov.cn)、中国政府采购网(www.ccgp.gov.cn)等；</w:t>
      </w:r>
    </w:p>
    <w:p w14:paraId="69105D8F">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22.4.2</w:t>
      </w:r>
      <w:r>
        <w:rPr>
          <w:rFonts w:hint="eastAsia" w:ascii="宋体" w:hAnsi="宋体" w:eastAsia="宋体" w:cs="Times New Roman"/>
          <w:color w:val="000000" w:themeColor="text1"/>
          <w:szCs w:val="21"/>
          <w:highlight w:val="none"/>
          <w14:textFill>
            <w14:solidFill>
              <w14:schemeClr w14:val="tx1"/>
            </w14:solidFill>
          </w14:textFill>
        </w:rPr>
        <w:t>查询截止时点：成交通知书发出前；</w:t>
      </w:r>
    </w:p>
    <w:p w14:paraId="1F1FB72E">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22.4.3</w:t>
      </w:r>
      <w:r>
        <w:rPr>
          <w:rFonts w:hint="eastAsia" w:ascii="宋体" w:hAnsi="宋体" w:eastAsia="宋体" w:cs="Times New Roman"/>
          <w:color w:val="000000" w:themeColor="text1"/>
          <w:szCs w:val="21"/>
          <w:highlight w:val="none"/>
          <w14:textFill>
            <w14:solidFill>
              <w14:schemeClr w14:val="tx1"/>
            </w14:solidFill>
          </w14:textFill>
        </w:rPr>
        <w:t>信用信息查询记录和证据留存方式：在查询网站中直接打印查询记录，打印材料作为采购活动资料保存。</w:t>
      </w:r>
    </w:p>
    <w:p w14:paraId="52338FDC">
      <w:pPr>
        <w:spacing w:line="350" w:lineRule="exact"/>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22.4.4</w:t>
      </w:r>
      <w:r>
        <w:rPr>
          <w:rFonts w:hint="eastAsia" w:ascii="宋体" w:hAnsi="宋体" w:eastAsia="宋体" w:cs="Times New Roman"/>
          <w:color w:val="000000" w:themeColor="text1"/>
          <w:szCs w:val="21"/>
          <w:highlight w:val="none"/>
          <w14:textFill>
            <w14:solidFill>
              <w14:schemeClr w14:val="tx1"/>
            </w14:solidFill>
          </w14:textFill>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人或者重新组织采购。</w:t>
      </w:r>
    </w:p>
    <w:p w14:paraId="376C5F07">
      <w:pPr>
        <w:widowControl/>
        <w:shd w:val="clear" w:color="auto" w:fill="FFFFFF"/>
        <w:spacing w:line="350" w:lineRule="exact"/>
        <w:ind w:firstLine="48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23.</w:t>
      </w:r>
      <w:r>
        <w:rPr>
          <w:rFonts w:hint="eastAsia" w:ascii="宋体" w:hAnsi="宋体" w:eastAsia="宋体" w:cs="宋体"/>
          <w:b/>
          <w:color w:val="000000" w:themeColor="text1"/>
          <w:szCs w:val="21"/>
          <w:highlight w:val="none"/>
          <w14:textFill>
            <w14:solidFill>
              <w14:schemeClr w14:val="tx1"/>
            </w14:solidFill>
          </w14:textFill>
        </w:rPr>
        <w:t>属于下列情况之一者，响应文件无效：</w:t>
      </w:r>
    </w:p>
    <w:p w14:paraId="7CA1E761">
      <w:pPr>
        <w:snapToGrid w:val="0"/>
        <w:spacing w:line="400" w:lineRule="exact"/>
        <w:ind w:firstLine="411" w:firstLineChars="196"/>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（1）未按谈判文件规定完整提交响应文件或未按规定要求签字、盖章的；</w:t>
      </w:r>
    </w:p>
    <w:p w14:paraId="06B54971">
      <w:pPr>
        <w:snapToGrid w:val="0"/>
        <w:spacing w:line="400" w:lineRule="exact"/>
        <w:ind w:firstLine="420" w:firstLineChars="200"/>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（2）不具备谈判文件规定的资格要求的</w:t>
      </w:r>
      <w:r>
        <w:rPr>
          <w:rFonts w:hint="eastAsia" w:ascii="宋体" w:hAnsi="宋体" w:eastAsia="宋体" w:cs="Times New Roman"/>
          <w:color w:val="000000" w:themeColor="text1"/>
          <w:szCs w:val="24"/>
          <w:highlight w:val="none"/>
          <w14:textFill>
            <w14:solidFill>
              <w14:schemeClr w14:val="tx1"/>
            </w14:solidFill>
          </w14:textFill>
        </w:rPr>
        <w:t>；</w:t>
      </w:r>
    </w:p>
    <w:p w14:paraId="41ECF6E6">
      <w:pPr>
        <w:snapToGrid w:val="0"/>
        <w:spacing w:line="400" w:lineRule="exact"/>
        <w:ind w:firstLine="411" w:firstLineChars="196"/>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（3）响应文件未按谈判文件的内容和要求编制，或提供虚假材料的；</w:t>
      </w:r>
    </w:p>
    <w:p w14:paraId="354ADCAA">
      <w:pPr>
        <w:snapToGrid w:val="0"/>
        <w:spacing w:line="400" w:lineRule="exact"/>
        <w:ind w:firstLine="411" w:firstLineChars="196"/>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（4）属于“必须提供”的响应文件未能按时提供或补正、更正的；</w:t>
      </w:r>
    </w:p>
    <w:p w14:paraId="7B261051">
      <w:pPr>
        <w:snapToGrid w:val="0"/>
        <w:spacing w:line="400" w:lineRule="exact"/>
        <w:ind w:firstLine="411" w:firstLineChars="196"/>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（5）响应文件有效期、交货时间、免费保修期、售后服务不能满足谈判文件要求的；</w:t>
      </w:r>
    </w:p>
    <w:p w14:paraId="61DAC6D5">
      <w:pPr>
        <w:snapToGrid w:val="0"/>
        <w:spacing w:line="400" w:lineRule="exact"/>
        <w:ind w:firstLine="420" w:firstLineChars="200"/>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4"/>
          <w:highlight w:val="none"/>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未就“货物采购需求”中所有货物和服务内容作完整唯一报价的</w:t>
      </w:r>
      <w:r>
        <w:rPr>
          <w:rFonts w:hint="eastAsia" w:ascii="宋体" w:hAnsi="宋体" w:eastAsia="宋体" w:cs="Times New Roman"/>
          <w:color w:val="000000" w:themeColor="text1"/>
          <w:szCs w:val="24"/>
          <w:highlight w:val="none"/>
          <w14:textFill>
            <w14:solidFill>
              <w14:schemeClr w14:val="tx1"/>
            </w14:solidFill>
          </w14:textFill>
        </w:rPr>
        <w:t>，或报价超出采购预算金额的；</w:t>
      </w:r>
    </w:p>
    <w:p w14:paraId="616B8ED8">
      <w:pPr>
        <w:snapToGrid w:val="0"/>
        <w:spacing w:line="400" w:lineRule="exact"/>
        <w:ind w:firstLine="411" w:firstLineChars="196"/>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w:t>
      </w:r>
      <w:r>
        <w:rPr>
          <w:rFonts w:ascii="Calibri" w:hAnsi="Calibri" w:eastAsia="宋体" w:cs="Times New Roman"/>
          <w:color w:val="000000" w:themeColor="text1"/>
          <w:szCs w:val="24"/>
          <w:highlight w:val="none"/>
          <w14:textFill>
            <w14:solidFill>
              <w14:schemeClr w14:val="tx1"/>
            </w14:solidFill>
          </w14:textFill>
        </w:rPr>
        <w:t>未在谈判小组规定的时间内</w:t>
      </w:r>
      <w:r>
        <w:rPr>
          <w:rFonts w:hint="eastAsia" w:ascii="Calibri" w:hAnsi="Calibri" w:eastAsia="宋体" w:cs="Times New Roman"/>
          <w:color w:val="000000" w:themeColor="text1"/>
          <w:szCs w:val="24"/>
          <w:highlight w:val="none"/>
          <w14:textFill>
            <w14:solidFill>
              <w14:schemeClr w14:val="tx1"/>
            </w14:solidFill>
          </w14:textFill>
        </w:rPr>
        <w:t>重新提交响应文件或最后报价</w:t>
      </w:r>
      <w:r>
        <w:rPr>
          <w:rFonts w:ascii="Calibri" w:hAnsi="Calibri" w:eastAsia="宋体" w:cs="Times New Roman"/>
          <w:color w:val="000000" w:themeColor="text1"/>
          <w:szCs w:val="24"/>
          <w:highlight w:val="none"/>
          <w14:textFill>
            <w14:solidFill>
              <w14:schemeClr w14:val="tx1"/>
            </w14:solidFill>
          </w14:textFill>
        </w:rPr>
        <w:t>的</w:t>
      </w:r>
      <w:r>
        <w:rPr>
          <w:rFonts w:hint="eastAsia" w:ascii="Calibri" w:hAnsi="Calibri" w:eastAsia="宋体" w:cs="Times New Roman"/>
          <w:color w:val="000000" w:themeColor="text1"/>
          <w:szCs w:val="24"/>
          <w:highlight w:val="none"/>
          <w14:textFill>
            <w14:solidFill>
              <w14:schemeClr w14:val="tx1"/>
            </w14:solidFill>
          </w14:textFill>
        </w:rPr>
        <w:t>；</w:t>
      </w:r>
    </w:p>
    <w:p w14:paraId="0CA44668">
      <w:pPr>
        <w:snapToGrid w:val="0"/>
        <w:spacing w:line="400" w:lineRule="exact"/>
        <w:ind w:firstLine="411" w:firstLineChars="196"/>
        <w:outlineLvl w:val="4"/>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8）</w:t>
      </w:r>
      <w:r>
        <w:rPr>
          <w:rFonts w:hint="eastAsia" w:ascii="Calibri" w:hAnsi="宋体" w:eastAsia="宋体" w:cs="Times New Roman"/>
          <w:color w:val="000000" w:themeColor="text1"/>
          <w:szCs w:val="21"/>
          <w:highlight w:val="none"/>
          <w14:textFill>
            <w14:solidFill>
              <w14:schemeClr w14:val="tx1"/>
            </w14:solidFill>
          </w14:textFill>
        </w:rPr>
        <w:t>单位负责人为同一人或者存在直接控股、管理关系的不同供应商参加同一合同项下</w:t>
      </w:r>
      <w:r>
        <w:rPr>
          <w:rFonts w:hint="eastAsia" w:ascii="Calibri" w:hAnsi="Calibri" w:eastAsia="宋体" w:cs="Times New Roman"/>
          <w:color w:val="000000" w:themeColor="text1"/>
          <w:szCs w:val="21"/>
          <w:highlight w:val="none"/>
          <w14:textFill>
            <w14:solidFill>
              <w14:schemeClr w14:val="tx1"/>
            </w14:solidFill>
          </w14:textFill>
        </w:rPr>
        <w:t>分标</w:t>
      </w:r>
      <w:r>
        <w:rPr>
          <w:rFonts w:hint="eastAsia" w:ascii="Calibri" w:hAnsi="宋体" w:eastAsia="宋体" w:cs="Times New Roman"/>
          <w:color w:val="000000" w:themeColor="text1"/>
          <w:szCs w:val="21"/>
          <w:highlight w:val="none"/>
          <w14:textFill>
            <w14:solidFill>
              <w14:schemeClr w14:val="tx1"/>
            </w14:solidFill>
          </w14:textFill>
        </w:rPr>
        <w:t>或未划分分标的同一</w:t>
      </w:r>
      <w:r>
        <w:rPr>
          <w:rFonts w:hint="eastAsia" w:ascii="Calibri" w:hAnsi="Calibri" w:eastAsia="宋体" w:cs="Times New Roman"/>
          <w:color w:val="000000" w:themeColor="text1"/>
          <w:szCs w:val="21"/>
          <w:highlight w:val="none"/>
          <w14:textFill>
            <w14:solidFill>
              <w14:schemeClr w14:val="tx1"/>
            </w14:solidFill>
          </w14:textFill>
        </w:rPr>
        <w:t>合同项下</w:t>
      </w:r>
      <w:r>
        <w:rPr>
          <w:rFonts w:hint="eastAsia" w:ascii="Calibri" w:hAnsi="宋体" w:eastAsia="宋体" w:cs="Times New Roman"/>
          <w:color w:val="000000" w:themeColor="text1"/>
          <w:szCs w:val="21"/>
          <w:highlight w:val="none"/>
          <w14:textFill>
            <w14:solidFill>
              <w14:schemeClr w14:val="tx1"/>
            </w14:solidFill>
          </w14:textFill>
        </w:rPr>
        <w:t>的政府采购活动；</w:t>
      </w:r>
    </w:p>
    <w:p w14:paraId="453E6831">
      <w:pPr>
        <w:spacing w:line="40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（9）未满足谈判文件全部实质性要求的或者响应文件有采购人不能接受的附加条件的；</w:t>
      </w:r>
    </w:p>
    <w:p w14:paraId="30EFE022">
      <w:pPr>
        <w:spacing w:line="40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（10）</w:t>
      </w:r>
      <w:r>
        <w:rPr>
          <w:rFonts w:hint="eastAsia" w:ascii="宋体" w:hAnsi="宋体" w:eastAsia="宋体" w:cs="Times New Roman"/>
          <w:color w:val="000000" w:themeColor="text1"/>
          <w:szCs w:val="21"/>
          <w:highlight w:val="none"/>
          <w14:textFill>
            <w14:solidFill>
              <w14:schemeClr w14:val="tx1"/>
            </w14:solidFill>
          </w14:textFill>
        </w:rPr>
        <w:t>不符合法律、法规和谈判文件规定的其他实质性要求和条件的。</w:t>
      </w:r>
    </w:p>
    <w:p w14:paraId="01E6E685">
      <w:pPr>
        <w:snapToGrid w:val="0"/>
        <w:spacing w:line="35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24.有下列情形之一的视为供应商相互串通谈判，响应文件将被视为无效：</w:t>
      </w:r>
    </w:p>
    <w:p w14:paraId="65536437">
      <w:pPr>
        <w:snapToGrid w:val="0"/>
        <w:spacing w:line="350" w:lineRule="exact"/>
        <w:ind w:firstLine="411" w:firstLineChars="196"/>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（1）不同供应商的响应文件由同一单位或者个人编制；或不同供应商报名的IP地址一致的；</w:t>
      </w:r>
    </w:p>
    <w:p w14:paraId="0AB17713">
      <w:pPr>
        <w:snapToGrid w:val="0"/>
        <w:spacing w:line="350" w:lineRule="exact"/>
        <w:ind w:firstLine="411" w:firstLineChars="196"/>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（2）不同供应商委托同一单位或者个人办理谈判事宜；</w:t>
      </w:r>
    </w:p>
    <w:p w14:paraId="028A357A">
      <w:pPr>
        <w:snapToGrid w:val="0"/>
        <w:spacing w:line="350" w:lineRule="exact"/>
        <w:ind w:firstLine="411" w:firstLineChars="196"/>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（3）不同的供应商的响应文件载明的项目管理员为同一个人；</w:t>
      </w:r>
    </w:p>
    <w:p w14:paraId="63C6D194">
      <w:pPr>
        <w:snapToGrid w:val="0"/>
        <w:spacing w:line="350" w:lineRule="exact"/>
        <w:ind w:firstLine="411" w:firstLineChars="196"/>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（4）不同供应商的响应文件异常一致或竞标报价呈规律性差异；</w:t>
      </w:r>
    </w:p>
    <w:p w14:paraId="7BF7AF7B">
      <w:pPr>
        <w:snapToGrid w:val="0"/>
        <w:spacing w:line="350" w:lineRule="exact"/>
        <w:ind w:firstLine="411" w:firstLineChars="196"/>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（5）不同供应商的响应文件相互混装；</w:t>
      </w:r>
    </w:p>
    <w:p w14:paraId="6B567AE9">
      <w:pPr>
        <w:snapToGrid w:val="0"/>
        <w:spacing w:line="350" w:lineRule="exact"/>
        <w:ind w:firstLine="411" w:firstLineChars="196"/>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（6）响应文件实质性要求未做变动，供应商最后报价高于第一次报价的。</w:t>
      </w:r>
    </w:p>
    <w:p w14:paraId="79F1ECDF">
      <w:pPr>
        <w:snapToGrid w:val="0"/>
        <w:spacing w:line="350" w:lineRule="exact"/>
        <w:ind w:firstLine="413" w:firstLineChars="196"/>
        <w:outlineLvl w:val="4"/>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25.出现下列情形之一的，采购人或者采购代理机构应当终止竞争性谈判采购活动，发布项目终止公告并说明原因，重新开展采购活动：</w:t>
      </w:r>
    </w:p>
    <w:p w14:paraId="027CFEBC">
      <w:pPr>
        <w:snapToGrid w:val="0"/>
        <w:spacing w:line="350" w:lineRule="exact"/>
        <w:ind w:firstLine="411" w:firstLineChars="196"/>
        <w:outlineLvl w:val="4"/>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（1）因情况变化，不再符合规定的竞争性谈判采购方式适用情形的；</w:t>
      </w:r>
    </w:p>
    <w:p w14:paraId="2DBE69E3">
      <w:pPr>
        <w:snapToGrid w:val="0"/>
        <w:spacing w:line="350" w:lineRule="exact"/>
        <w:ind w:firstLine="411" w:firstLineChars="196"/>
        <w:outlineLvl w:val="4"/>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（2）出现影响采购公正的违法、违规行为的； </w:t>
      </w:r>
    </w:p>
    <w:p w14:paraId="71725C3B">
      <w:pPr>
        <w:snapToGrid w:val="0"/>
        <w:spacing w:line="350" w:lineRule="exact"/>
        <w:ind w:firstLine="420" w:firstLineChars="200"/>
        <w:outlineLvl w:val="4"/>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（3）采购项目为政府购买服务项目（含政府和社会资本合作项目），在采购过程中符合要求的供应商（社会资本）只有</w:t>
      </w: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家的。</w:t>
      </w:r>
    </w:p>
    <w:p w14:paraId="6180925C">
      <w:pPr>
        <w:snapToGrid w:val="0"/>
        <w:spacing w:line="350" w:lineRule="exact"/>
        <w:ind w:firstLine="422" w:firstLineChars="200"/>
        <w:outlineLvl w:val="4"/>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26.谈判过程的监控</w:t>
      </w:r>
    </w:p>
    <w:p w14:paraId="688280C1">
      <w:pPr>
        <w:spacing w:line="350" w:lineRule="exact"/>
        <w:ind w:firstLine="411" w:firstLineChars="196"/>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本项目谈判过程实行全程录音、录像监控，供应商在谈判过程中所进行的试图影响谈判结果的不公正活动，可能导致其谈判被拒绝。</w:t>
      </w:r>
    </w:p>
    <w:p w14:paraId="2732CBAD">
      <w:pPr>
        <w:spacing w:line="350" w:lineRule="exact"/>
        <w:ind w:firstLine="422" w:firstLineChars="200"/>
        <w:rPr>
          <w:rFonts w:ascii="宋体" w:hAnsi="宋体" w:eastAsia="宋体" w:cs="宋体"/>
          <w:b/>
          <w:color w:val="000000" w:themeColor="text1"/>
          <w:szCs w:val="20"/>
          <w:highlight w:val="none"/>
          <w14:textFill>
            <w14:solidFill>
              <w14:schemeClr w14:val="tx1"/>
            </w14:solidFill>
          </w14:textFill>
        </w:rPr>
      </w:pPr>
      <w:r>
        <w:rPr>
          <w:rFonts w:hint="eastAsia" w:ascii="宋体" w:hAnsi="宋体" w:eastAsia="宋体" w:cs="宋体"/>
          <w:b/>
          <w:color w:val="000000" w:themeColor="text1"/>
          <w:szCs w:val="20"/>
          <w:highlight w:val="none"/>
          <w14:textFill>
            <w14:solidFill>
              <w14:schemeClr w14:val="tx1"/>
            </w14:solidFill>
          </w14:textFill>
        </w:rPr>
        <w:t>27.成交结果公告及成交通知书</w:t>
      </w:r>
    </w:p>
    <w:p w14:paraId="7A7516C5">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27.1</w:t>
      </w:r>
      <w:r>
        <w:rPr>
          <w:rFonts w:hint="eastAsia" w:ascii="宋体" w:hAnsi="宋体" w:eastAsia="宋体" w:cs="宋体"/>
          <w:color w:val="000000" w:themeColor="text1"/>
          <w:szCs w:val="21"/>
          <w:highlight w:val="none"/>
          <w14:textFill>
            <w14:solidFill>
              <w14:schemeClr w14:val="tx1"/>
            </w14:solidFill>
          </w14:textFill>
        </w:rPr>
        <w:t>采购代理机构于谈判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3831D991">
      <w:pPr>
        <w:snapToGrid w:val="0"/>
        <w:spacing w:line="350" w:lineRule="exact"/>
        <w:ind w:firstLine="411" w:firstLineChars="196"/>
        <w:outlineLvl w:val="4"/>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27.2在发布成交结果公告的同时，采购代理机构在线向成交人发出成交通知书。</w:t>
      </w:r>
    </w:p>
    <w:p w14:paraId="4A68D3FA">
      <w:pPr>
        <w:tabs>
          <w:tab w:val="left" w:pos="1140"/>
        </w:tabs>
        <w:spacing w:line="350" w:lineRule="exact"/>
        <w:ind w:left="420" w:leftChars="200" w:firstLine="562" w:firstLineChars="200"/>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五、签订合同</w:t>
      </w:r>
    </w:p>
    <w:p w14:paraId="64D934E5">
      <w:pPr>
        <w:spacing w:line="350" w:lineRule="exact"/>
        <w:ind w:firstLine="413" w:firstLineChars="196"/>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28.合同履约担保</w:t>
      </w:r>
    </w:p>
    <w:p w14:paraId="62E9F601">
      <w:pPr>
        <w:widowControl/>
        <w:spacing w:line="350" w:lineRule="exact"/>
        <w:ind w:firstLine="420"/>
        <w:jc w:val="left"/>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28.1</w:t>
      </w:r>
      <w:r>
        <w:rPr>
          <w:rFonts w:hint="eastAsia" w:ascii="宋体" w:hAnsi="宋体" w:eastAsia="宋体" w:cs="Times New Roman"/>
          <w:color w:val="000000" w:themeColor="text1"/>
          <w:szCs w:val="21"/>
          <w:highlight w:val="none"/>
          <w14:textFill>
            <w14:solidFill>
              <w14:schemeClr w14:val="tx1"/>
            </w14:solidFill>
          </w14:textFill>
        </w:rPr>
        <w:t>履约保证金：</w:t>
      </w:r>
      <w:r>
        <w:rPr>
          <w:rFonts w:hint="eastAsia" w:ascii="宋体" w:hAnsi="宋体" w:eastAsia="宋体" w:cs="宋体"/>
          <w:color w:val="000000" w:themeColor="text1"/>
          <w:szCs w:val="21"/>
          <w:highlight w:val="none"/>
          <w14:textFill>
            <w14:solidFill>
              <w14:schemeClr w14:val="tx1"/>
            </w14:solidFill>
          </w14:textFill>
        </w:rPr>
        <w:t>见供应商须知前附表第16条内容。</w:t>
      </w:r>
    </w:p>
    <w:p w14:paraId="0159D3B9">
      <w:pPr>
        <w:tabs>
          <w:tab w:val="left" w:pos="1140"/>
        </w:tabs>
        <w:spacing w:line="350" w:lineRule="exact"/>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29.签订合同</w:t>
      </w:r>
    </w:p>
    <w:p w14:paraId="32E541FA">
      <w:pPr>
        <w:spacing w:line="350" w:lineRule="exact"/>
        <w:ind w:left="6" w:firstLine="420" w:firstLineChars="200"/>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29.1签订合同时间：见供应商须知前附表第17条内容。</w:t>
      </w:r>
    </w:p>
    <w:p w14:paraId="0172AE78">
      <w:pPr>
        <w:spacing w:line="350" w:lineRule="exact"/>
        <w:ind w:left="6" w:firstLine="420" w:firstLineChars="200"/>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29.2如成交人有下列情形之一的，对其处以采购金额千分之五以上千分之十以下的罚款，情节严重的，由财政部门将其列入不良行为记录名单，在一至三年内禁止参加政府采购活动，并予以通报。采购代理机构可从谈判小组推荐的成交候选供应商中按顺序重新确定成交人，组织供需双方签订合同或重新组织采购。拒绝签订政府采购合同的成交人不得参加对该项目重新开展的采购活动。</w:t>
      </w:r>
    </w:p>
    <w:p w14:paraId="70B94C9C">
      <w:pPr>
        <w:spacing w:line="350" w:lineRule="exact"/>
        <w:ind w:left="6" w:firstLine="420" w:firstLineChars="200"/>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（1）成交后不与采购人签订合同的（不可抗力除外）；</w:t>
      </w:r>
    </w:p>
    <w:p w14:paraId="0B5DD8C1">
      <w:pPr>
        <w:spacing w:line="350" w:lineRule="exact"/>
        <w:ind w:left="6" w:firstLine="420" w:firstLineChars="200"/>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（2）将成交项目转让给他人，或者在响应文件中未说明，且未经采购人同意，将成交项目分包给他人的；</w:t>
      </w:r>
    </w:p>
    <w:p w14:paraId="7001891A">
      <w:pPr>
        <w:spacing w:line="350" w:lineRule="exact"/>
        <w:ind w:left="6" w:firstLine="420" w:firstLineChars="200"/>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（3）拒绝履行合同义务的。</w:t>
      </w:r>
    </w:p>
    <w:p w14:paraId="4DF9498D">
      <w:pPr>
        <w:spacing w:line="35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29.3 合同备案存档：见供应商须知前附表第18条内容。</w:t>
      </w:r>
    </w:p>
    <w:p w14:paraId="61A1C39E">
      <w:pPr>
        <w:spacing w:line="350" w:lineRule="exact"/>
        <w:ind w:left="3"/>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六、其他事项</w:t>
      </w:r>
    </w:p>
    <w:p w14:paraId="0C834A9F">
      <w:pPr>
        <w:spacing w:line="350" w:lineRule="exact"/>
        <w:ind w:firstLine="517" w:firstLineChars="245"/>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30.采购代理服务费</w:t>
      </w:r>
    </w:p>
    <w:p w14:paraId="729F061E">
      <w:pPr>
        <w:spacing w:line="35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成交人领取成交通知书前，向广西中信恒泰工程顾问有限公司一次性付清采购代理服务费，本项目的采购代理服务收费详见“供应商须知前附表”第19项规定。</w:t>
      </w:r>
    </w:p>
    <w:p w14:paraId="159E90D5">
      <w:pPr>
        <w:spacing w:line="350" w:lineRule="exact"/>
        <w:ind w:firstLine="42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31.解释权：</w:t>
      </w:r>
    </w:p>
    <w:p w14:paraId="05E52CA4">
      <w:pPr>
        <w:spacing w:line="350" w:lineRule="exact"/>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本竞争性谈判文件是</w:t>
      </w:r>
      <w:r>
        <w:rPr>
          <w:rFonts w:hint="eastAsia" w:ascii="宋体" w:hAnsi="宋体" w:eastAsia="宋体" w:cs="宋体"/>
          <w:color w:val="000000" w:themeColor="text1"/>
          <w:szCs w:val="21"/>
          <w:highlight w:val="none"/>
          <w14:textFill>
            <w14:solidFill>
              <w14:schemeClr w14:val="tx1"/>
            </w14:solidFill>
          </w14:textFill>
        </w:rPr>
        <w:t>根据《中华人民共和国政府采购法》、《政府采购非招标采购方式管理办法》</w:t>
      </w:r>
      <w:r>
        <w:rPr>
          <w:rFonts w:hint="eastAsia" w:ascii="宋体" w:hAnsi="宋体" w:eastAsia="宋体" w:cs="宋体"/>
          <w:color w:val="000000" w:themeColor="text1"/>
          <w:szCs w:val="24"/>
          <w:highlight w:val="none"/>
          <w14:textFill>
            <w14:solidFill>
              <w14:schemeClr w14:val="tx1"/>
            </w14:solidFill>
          </w14:textFill>
        </w:rPr>
        <w:t>和政府采购管理有关规定编制，本竞争性谈判文件的解释权属于采购代理机构。</w:t>
      </w:r>
    </w:p>
    <w:p w14:paraId="7F4F43AC">
      <w:pPr>
        <w:spacing w:line="350" w:lineRule="exact"/>
        <w:ind w:firstLine="422" w:firstLineChars="20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b/>
          <w:color w:val="000000" w:themeColor="text1"/>
          <w:szCs w:val="24"/>
          <w:highlight w:val="none"/>
          <w14:textFill>
            <w14:solidFill>
              <w14:schemeClr w14:val="tx1"/>
            </w14:solidFill>
          </w14:textFill>
        </w:rPr>
        <w:t>32.监督管理机构：</w:t>
      </w:r>
      <w:r>
        <w:rPr>
          <w:rFonts w:hint="eastAsia" w:ascii="宋体" w:hAnsi="宋体" w:eastAsia="宋体" w:cs="Times New Roman"/>
          <w:color w:val="000000" w:themeColor="text1"/>
          <w:szCs w:val="20"/>
          <w:highlight w:val="none"/>
          <w14:textFill>
            <w14:solidFill>
              <w14:schemeClr w14:val="tx1"/>
            </w14:solidFill>
          </w14:textFill>
        </w:rPr>
        <w:t>广西区财政厅政府采购监督管理处</w:t>
      </w:r>
    </w:p>
    <w:p w14:paraId="614E1C4D">
      <w:pPr>
        <w:spacing w:line="350" w:lineRule="exact"/>
        <w:ind w:firstLine="422" w:firstLineChars="200"/>
        <w:rPr>
          <w:rFonts w:hAnsi="宋体" w:cs="宋体"/>
          <w:color w:val="000000" w:themeColor="text1"/>
          <w:highlight w:val="none"/>
          <w14:textFill>
            <w14:solidFill>
              <w14:schemeClr w14:val="tx1"/>
            </w14:solidFill>
          </w14:textFill>
        </w:rPr>
      </w:pPr>
      <w:r>
        <w:rPr>
          <w:rFonts w:hint="eastAsia" w:ascii="宋体" w:hAnsi="宋体" w:eastAsia="宋体" w:cs="Times New Roman"/>
          <w:b/>
          <w:color w:val="000000" w:themeColor="text1"/>
          <w:szCs w:val="24"/>
          <w:highlight w:val="none"/>
          <w14:textFill>
            <w14:solidFill>
              <w14:schemeClr w14:val="tx1"/>
            </w14:solidFill>
          </w14:textFill>
        </w:rPr>
        <w:t>33.其他事项：</w:t>
      </w:r>
      <w:r>
        <w:rPr>
          <w:rFonts w:hint="eastAsia" w:hAnsi="宋体" w:cs="宋体"/>
          <w:color w:val="000000" w:themeColor="text1"/>
          <w:highlight w:val="none"/>
          <w14:textFill>
            <w14:solidFill>
              <w14:schemeClr w14:val="tx1"/>
            </w14:solidFill>
          </w14:textFill>
        </w:rPr>
        <w:t>政采贷相关说明</w:t>
      </w:r>
    </w:p>
    <w:p w14:paraId="6E02D8AC">
      <w:pPr>
        <w:spacing w:line="35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为</w:t>
      </w:r>
      <w:r>
        <w:rPr>
          <w:rFonts w:hint="eastAsia" w:ascii="宋体" w:hAnsi="宋体" w:eastAsia="宋体" w:cs="宋体"/>
          <w:color w:val="000000" w:themeColor="text1"/>
          <w:szCs w:val="24"/>
          <w:highlight w:val="none"/>
          <w14:textFill>
            <w14:solidFill>
              <w14:schemeClr w14:val="tx1"/>
            </w14:solidFill>
          </w14:textFill>
        </w:rPr>
        <w:t>优化</w:t>
      </w:r>
      <w:r>
        <w:rPr>
          <w:rFonts w:hint="eastAsia" w:hAnsi="宋体" w:cs="宋体"/>
          <w:color w:val="000000" w:themeColor="text1"/>
          <w:highlight w:val="none"/>
          <w14:textFill>
            <w14:solidFill>
              <w14:schemeClr w14:val="tx1"/>
            </w14:solidFill>
          </w14:textFill>
        </w:rPr>
        <w:t>政府采购营商环境，缓解供应商资金难题，广西区政府采购试行政府采购信用融资制度，成交供应商如有融资需求，可凭政府采购合同通过以下方式申请政府采购信用融资贷款：</w:t>
      </w:r>
    </w:p>
    <w:p w14:paraId="302B9F25">
      <w:pPr>
        <w:spacing w:line="35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线上渠道：登录中征营应收账款融资服务平台（网址：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"https://www.crcrfsp.com" </w:instrText>
      </w:r>
      <w:r>
        <w:rPr>
          <w:color w:val="000000" w:themeColor="text1"/>
          <w:highlight w:val="none"/>
          <w14:textFill>
            <w14:solidFill>
              <w14:schemeClr w14:val="tx1"/>
            </w14:solidFill>
          </w14:textFill>
        </w:rPr>
        <w:fldChar w:fldCharType="separate"/>
      </w:r>
      <w:r>
        <w:rPr>
          <w:rFonts w:hint="eastAsia" w:hAnsi="宋体" w:cs="宋体"/>
          <w:color w:val="000000" w:themeColor="text1"/>
          <w:highlight w:val="none"/>
          <w14:textFill>
            <w14:solidFill>
              <w14:schemeClr w14:val="tx1"/>
            </w14:solidFill>
          </w14:textFill>
        </w:rPr>
        <w:t>https://www.crcrfsp.com</w:t>
      </w:r>
      <w:r>
        <w:rPr>
          <w:rFonts w:hint="eastAsia" w:hAnsi="宋体" w:cs="宋体"/>
          <w:color w:val="000000" w:themeColor="text1"/>
          <w:highlight w:val="none"/>
          <w14:textFill>
            <w14:solidFill>
              <w14:schemeClr w14:val="tx1"/>
            </w14:solidFill>
          </w14:textFill>
        </w:rPr>
        <w:fldChar w:fldCharType="end"/>
      </w:r>
      <w:r>
        <w:rPr>
          <w:rFonts w:hint="eastAsia" w:hAnsi="宋体" w:cs="宋体"/>
          <w:color w:val="000000" w:themeColor="text1"/>
          <w:highlight w:val="none"/>
          <w14:textFill>
            <w14:solidFill>
              <w14:schemeClr w14:val="tx1"/>
            </w14:solidFill>
          </w14:textFill>
        </w:rPr>
        <w:t>，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1A718428">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665AD111">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6AFE2B05">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3F09D363">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639EF718">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7F12A5C5">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53D84864">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55839213">
      <w:pPr>
        <w:pStyle w:val="2"/>
        <w:rPr>
          <w:color w:val="000000" w:themeColor="text1"/>
          <w:highlight w:val="none"/>
          <w14:textFill>
            <w14:solidFill>
              <w14:schemeClr w14:val="tx1"/>
            </w14:solidFill>
          </w14:textFill>
        </w:rPr>
      </w:pPr>
    </w:p>
    <w:p w14:paraId="69AFE439">
      <w:pPr>
        <w:pStyle w:val="5"/>
        <w:rPr>
          <w:rFonts w:ascii="宋体" w:hAnsi="宋体" w:eastAsia="宋体"/>
          <w:color w:val="000000" w:themeColor="text1"/>
          <w:sz w:val="30"/>
          <w:szCs w:val="30"/>
          <w:highlight w:val="none"/>
          <w14:textFill>
            <w14:solidFill>
              <w14:schemeClr w14:val="tx1"/>
            </w14:solidFill>
          </w14:textFill>
        </w:rPr>
      </w:pPr>
    </w:p>
    <w:p w14:paraId="3D6A5810">
      <w:pPr>
        <w:rPr>
          <w:rFonts w:ascii="宋体" w:hAnsi="宋体" w:eastAsia="宋体" w:cs="Times New Roman"/>
          <w:b/>
          <w:color w:val="000000" w:themeColor="text1"/>
          <w:sz w:val="30"/>
          <w:szCs w:val="30"/>
          <w:highlight w:val="none"/>
          <w14:textFill>
            <w14:solidFill>
              <w14:schemeClr w14:val="tx1"/>
            </w14:solidFill>
          </w14:textFill>
        </w:rPr>
      </w:pPr>
    </w:p>
    <w:p w14:paraId="383CB08B">
      <w:pPr>
        <w:pStyle w:val="5"/>
        <w:rPr>
          <w:rFonts w:ascii="宋体" w:hAnsi="宋体" w:eastAsia="宋体"/>
          <w:color w:val="000000" w:themeColor="text1"/>
          <w:sz w:val="30"/>
          <w:szCs w:val="30"/>
          <w:highlight w:val="none"/>
          <w14:textFill>
            <w14:solidFill>
              <w14:schemeClr w14:val="tx1"/>
            </w14:solidFill>
          </w14:textFill>
        </w:rPr>
      </w:pPr>
    </w:p>
    <w:p w14:paraId="7B12A12E">
      <w:pPr>
        <w:rPr>
          <w:rFonts w:ascii="宋体" w:hAnsi="宋体" w:eastAsia="宋体"/>
          <w:color w:val="000000" w:themeColor="text1"/>
          <w:sz w:val="30"/>
          <w:szCs w:val="30"/>
          <w:highlight w:val="none"/>
          <w14:textFill>
            <w14:solidFill>
              <w14:schemeClr w14:val="tx1"/>
            </w14:solidFill>
          </w14:textFill>
        </w:rPr>
      </w:pPr>
    </w:p>
    <w:p w14:paraId="4BF87EC6">
      <w:pPr>
        <w:pStyle w:val="2"/>
        <w:rPr>
          <w:rFonts w:ascii="宋体" w:hAnsi="宋体" w:eastAsia="宋体"/>
          <w:color w:val="000000" w:themeColor="text1"/>
          <w:sz w:val="30"/>
          <w:szCs w:val="30"/>
          <w:highlight w:val="none"/>
          <w14:textFill>
            <w14:solidFill>
              <w14:schemeClr w14:val="tx1"/>
            </w14:solidFill>
          </w14:textFill>
        </w:rPr>
      </w:pPr>
    </w:p>
    <w:p w14:paraId="216371C9">
      <w:pPr>
        <w:rPr>
          <w:rFonts w:ascii="宋体" w:hAnsi="宋体" w:eastAsia="宋体"/>
          <w:color w:val="000000" w:themeColor="text1"/>
          <w:sz w:val="30"/>
          <w:szCs w:val="30"/>
          <w:highlight w:val="none"/>
          <w14:textFill>
            <w14:solidFill>
              <w14:schemeClr w14:val="tx1"/>
            </w14:solidFill>
          </w14:textFill>
        </w:rPr>
      </w:pPr>
    </w:p>
    <w:p w14:paraId="55BE91D7">
      <w:pPr>
        <w:pStyle w:val="2"/>
        <w:rPr>
          <w:rFonts w:ascii="宋体" w:hAnsi="宋体" w:eastAsia="宋体"/>
          <w:color w:val="000000" w:themeColor="text1"/>
          <w:sz w:val="30"/>
          <w:szCs w:val="30"/>
          <w:highlight w:val="none"/>
          <w14:textFill>
            <w14:solidFill>
              <w14:schemeClr w14:val="tx1"/>
            </w14:solidFill>
          </w14:textFill>
        </w:rPr>
      </w:pPr>
    </w:p>
    <w:p w14:paraId="1D74279A">
      <w:pPr>
        <w:rPr>
          <w:rFonts w:ascii="宋体" w:hAnsi="宋体" w:eastAsia="宋体"/>
          <w:color w:val="000000" w:themeColor="text1"/>
          <w:sz w:val="30"/>
          <w:szCs w:val="30"/>
          <w:highlight w:val="none"/>
          <w14:textFill>
            <w14:solidFill>
              <w14:schemeClr w14:val="tx1"/>
            </w14:solidFill>
          </w14:textFill>
        </w:rPr>
      </w:pPr>
    </w:p>
    <w:p w14:paraId="03170101">
      <w:pPr>
        <w:pStyle w:val="2"/>
        <w:rPr>
          <w:color w:val="000000" w:themeColor="text1"/>
          <w:highlight w:val="none"/>
          <w14:textFill>
            <w14:solidFill>
              <w14:schemeClr w14:val="tx1"/>
            </w14:solidFill>
          </w14:textFill>
        </w:rPr>
      </w:pPr>
    </w:p>
    <w:p w14:paraId="52C30C56">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4EC31751">
      <w:pPr>
        <w:spacing w:line="350" w:lineRule="exact"/>
        <w:ind w:firstLine="602" w:firstLineChars="200"/>
        <w:jc w:val="center"/>
        <w:rPr>
          <w:rFonts w:ascii="宋体" w:hAnsi="宋体" w:eastAsia="宋体" w:cs="Times New Roman"/>
          <w:b/>
          <w:color w:val="000000" w:themeColor="text1"/>
          <w:sz w:val="30"/>
          <w:szCs w:val="30"/>
          <w:highlight w:val="none"/>
          <w14:textFill>
            <w14:solidFill>
              <w14:schemeClr w14:val="tx1"/>
            </w14:solidFill>
          </w14:textFill>
        </w:rPr>
      </w:pPr>
    </w:p>
    <w:p w14:paraId="46CC2CFF">
      <w:pPr>
        <w:spacing w:line="350" w:lineRule="exact"/>
        <w:ind w:firstLine="602" w:firstLineChars="200"/>
        <w:jc w:val="center"/>
        <w:outlineLvl w:val="0"/>
        <w:rPr>
          <w:rFonts w:ascii="宋体" w:hAnsi="宋体" w:eastAsia="宋体" w:cs="Times New Roman"/>
          <w:b/>
          <w:color w:val="000000" w:themeColor="text1"/>
          <w:sz w:val="30"/>
          <w:szCs w:val="30"/>
          <w:highlight w:val="none"/>
          <w14:textFill>
            <w14:solidFill>
              <w14:schemeClr w14:val="tx1"/>
            </w14:solidFill>
          </w14:textFill>
        </w:rPr>
      </w:pPr>
      <w:bookmarkStart w:id="38" w:name="_Toc29750"/>
      <w:r>
        <w:rPr>
          <w:rFonts w:hint="eastAsia" w:ascii="宋体" w:hAnsi="宋体" w:eastAsia="宋体" w:cs="Times New Roman"/>
          <w:b/>
          <w:color w:val="000000" w:themeColor="text1"/>
          <w:sz w:val="30"/>
          <w:szCs w:val="30"/>
          <w:highlight w:val="none"/>
          <w14:textFill>
            <w14:solidFill>
              <w14:schemeClr w14:val="tx1"/>
            </w14:solidFill>
          </w14:textFill>
        </w:rPr>
        <w:t>第三章、货物采购需求</w:t>
      </w:r>
      <w:bookmarkEnd w:id="0"/>
      <w:bookmarkEnd w:id="38"/>
      <w:bookmarkStart w:id="39" w:name="_Toc191888425"/>
    </w:p>
    <w:p w14:paraId="5FDE36F5">
      <w:pPr>
        <w:spacing w:line="400" w:lineRule="exact"/>
        <w:rPr>
          <w:rFonts w:ascii="宋体" w:hAnsi="宋体" w:eastAsia="宋体" w:cs="Times New Roman"/>
          <w:bCs/>
          <w:color w:val="000000" w:themeColor="text1"/>
          <w:szCs w:val="24"/>
          <w:highlight w:val="none"/>
          <w14:textFill>
            <w14:solidFill>
              <w14:schemeClr w14:val="tx1"/>
            </w14:solidFill>
          </w14:textFill>
        </w:rPr>
      </w:pPr>
      <w:r>
        <w:rPr>
          <w:rFonts w:hint="eastAsia" w:ascii="宋体" w:hAnsi="宋体" w:eastAsia="宋体" w:cs="Times New Roman"/>
          <w:bCs/>
          <w:color w:val="000000" w:themeColor="text1"/>
          <w:szCs w:val="24"/>
          <w:highlight w:val="none"/>
          <w14:textFill>
            <w14:solidFill>
              <w14:schemeClr w14:val="tx1"/>
            </w14:solidFill>
          </w14:textFill>
        </w:rPr>
        <w:t>说明：</w:t>
      </w:r>
    </w:p>
    <w:p w14:paraId="0B1AD4DF">
      <w:pPr>
        <w:spacing w:line="340" w:lineRule="exact"/>
        <w:ind w:firstLine="435"/>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1. 根据《国务院办公厅关于建立政府强制采购节能产品制度的通知》（国办发[2007]51号）和《关于印发节能产品政府采购品目清单的通知》（财库〔2019〕19 号）的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 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供应商提供的货物必须使用政府强制采购的节能产品。若采购货物中含有此类产品时，供应商的</w:t>
      </w:r>
      <w:r>
        <w:rPr>
          <w:rFonts w:hint="eastAsia" w:ascii="宋体" w:hAnsi="宋体" w:eastAsia="宋体" w:cs="Times New Roman"/>
          <w:b/>
          <w:bCs/>
          <w:color w:val="000000" w:themeColor="text1"/>
          <w:szCs w:val="21"/>
          <w:highlight w:val="none"/>
          <w:lang w:eastAsia="zh-CN"/>
          <w14:textFill>
            <w14:solidFill>
              <w14:schemeClr w14:val="tx1"/>
            </w14:solidFill>
          </w14:textFill>
        </w:rPr>
        <w:t>竞标</w:t>
      </w:r>
      <w:r>
        <w:rPr>
          <w:rFonts w:hint="eastAsia" w:ascii="宋体" w:hAnsi="宋体" w:eastAsia="宋体" w:cs="Times New Roman"/>
          <w:b/>
          <w:bCs/>
          <w:color w:val="000000" w:themeColor="text1"/>
          <w:szCs w:val="21"/>
          <w:highlight w:val="none"/>
          <w14:textFill>
            <w14:solidFill>
              <w14:schemeClr w14:val="tx1"/>
            </w14:solidFill>
          </w14:textFill>
        </w:rPr>
        <w:t>货物必须使用政府强制采购的节能产品，供应商应在响应文件中提供所投产品获得国家确定的认证机构出具的、处于有效之内的节能产品认证证书复印件或扫描件（加盖供应商CA证书签章），否则响应文件无效。</w:t>
      </w:r>
    </w:p>
    <w:p w14:paraId="331B7B0B">
      <w:pPr>
        <w:spacing w:line="340" w:lineRule="exact"/>
        <w:ind w:firstLine="435"/>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2.优先采购环境标志产品、节能产品。</w:t>
      </w:r>
    </w:p>
    <w:p w14:paraId="3E8CDF47">
      <w:pPr>
        <w:spacing w:line="340" w:lineRule="exact"/>
        <w:ind w:firstLine="435"/>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 xml:space="preserve">3.供应商必须自行为其所竞产品侵犯他人的知识产权或者专利成果或其他合法权益的行为承担相应法律责任。       </w:t>
      </w:r>
    </w:p>
    <w:p w14:paraId="69B92ACF">
      <w:pPr>
        <w:spacing w:line="340" w:lineRule="exact"/>
        <w:ind w:firstLine="435"/>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4.“货物采购需求”中带“</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14:textFill>
            <w14:solidFill>
              <w14:schemeClr w14:val="tx1"/>
            </w14:solidFill>
          </w14:textFill>
        </w:rPr>
        <w:t>”号条款及商务要求均为实质性要求，谈判时必须响应，否则，响应文件无效。</w:t>
      </w:r>
    </w:p>
    <w:p w14:paraId="33D1DB87">
      <w:pPr>
        <w:spacing w:line="380" w:lineRule="exact"/>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6、本项目中小企业划分标准所属行业名称：工业。</w:t>
      </w:r>
    </w:p>
    <w:p w14:paraId="1C019613">
      <w:pPr>
        <w:spacing w:line="380" w:lineRule="exact"/>
        <w:ind w:firstLine="482" w:firstLineChars="200"/>
        <w:jc w:val="left"/>
        <w:rPr>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7、本项目</w:t>
      </w:r>
      <w:r>
        <w:rPr>
          <w:rFonts w:hint="eastAsia" w:ascii="宋体" w:hAnsi="宋体" w:cs="宋体"/>
          <w:b/>
          <w:bCs/>
          <w:color w:val="000000" w:themeColor="text1"/>
          <w:sz w:val="24"/>
          <w:highlight w:val="none"/>
          <w:u w:val="single"/>
          <w14:textFill>
            <w14:solidFill>
              <w14:schemeClr w14:val="tx1"/>
            </w14:solidFill>
          </w14:textFill>
        </w:rPr>
        <w:t>不接受</w:t>
      </w:r>
      <w:r>
        <w:rPr>
          <w:rFonts w:hint="eastAsia" w:ascii="宋体" w:hAnsi="宋体" w:cs="宋体"/>
          <w:b/>
          <w:bCs/>
          <w:color w:val="000000" w:themeColor="text1"/>
          <w:sz w:val="24"/>
          <w:highlight w:val="none"/>
          <w14:textFill>
            <w14:solidFill>
              <w14:schemeClr w14:val="tx1"/>
            </w14:solidFill>
          </w14:textFill>
        </w:rPr>
        <w:t>进口产品</w:t>
      </w:r>
      <w:r>
        <w:rPr>
          <w:rFonts w:hint="eastAsia" w:ascii="宋体" w:hAnsi="宋体" w:cs="宋体"/>
          <w:b/>
          <w:bCs/>
          <w:color w:val="000000" w:themeColor="text1"/>
          <w:sz w:val="24"/>
          <w:highlight w:val="none"/>
          <w:lang w:eastAsia="zh-CN"/>
          <w14:textFill>
            <w14:solidFill>
              <w14:schemeClr w14:val="tx1"/>
            </w14:solidFill>
          </w14:textFill>
        </w:rPr>
        <w:t>竞标</w:t>
      </w:r>
      <w:r>
        <w:rPr>
          <w:rFonts w:hint="eastAsia" w:ascii="宋体" w:hAnsi="宋体" w:cs="宋体"/>
          <w:b/>
          <w:bCs/>
          <w:color w:val="000000" w:themeColor="text1"/>
          <w:sz w:val="24"/>
          <w:highlight w:val="none"/>
          <w14:textFill>
            <w14:solidFill>
              <w14:schemeClr w14:val="tx1"/>
            </w14:solidFill>
          </w14:textFill>
        </w:rPr>
        <w:t>。</w:t>
      </w:r>
    </w:p>
    <w:tbl>
      <w:tblPr>
        <w:tblStyle w:val="54"/>
        <w:tblpPr w:leftFromText="180" w:rightFromText="180" w:vertAnchor="text" w:horzAnchor="page" w:tblpX="953" w:tblpY="434"/>
        <w:tblOverlap w:val="never"/>
        <w:tblW w:w="10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75"/>
        <w:gridCol w:w="7610"/>
        <w:gridCol w:w="688"/>
        <w:gridCol w:w="612"/>
      </w:tblGrid>
      <w:tr w14:paraId="1ABC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96" w:type="dxa"/>
            <w:shd w:val="clear" w:color="000000" w:fill="FFFFFF" w:themeFill="background1"/>
            <w:vAlign w:val="center"/>
          </w:tcPr>
          <w:p w14:paraId="1F0B95E1">
            <w:pPr>
              <w:widowControl/>
              <w:spacing w:line="300" w:lineRule="exact"/>
              <w:jc w:val="center"/>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975" w:type="dxa"/>
            <w:shd w:val="clear" w:color="000000" w:fill="FFFFFF" w:themeFill="background1"/>
            <w:vAlign w:val="center"/>
          </w:tcPr>
          <w:p w14:paraId="4BC44F87">
            <w:pPr>
              <w:widowControl/>
              <w:spacing w:line="300" w:lineRule="exact"/>
              <w:jc w:val="center"/>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标的名称</w:t>
            </w:r>
          </w:p>
        </w:tc>
        <w:tc>
          <w:tcPr>
            <w:tcW w:w="7610" w:type="dxa"/>
            <w:shd w:val="clear" w:color="000000" w:fill="FFFFFF" w:themeFill="background1"/>
            <w:vAlign w:val="center"/>
          </w:tcPr>
          <w:p w14:paraId="5E0A395C">
            <w:pPr>
              <w:widowControl/>
              <w:spacing w:line="300" w:lineRule="exact"/>
              <w:jc w:val="center"/>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技术参数、服务需求及要求</w:t>
            </w:r>
          </w:p>
        </w:tc>
        <w:tc>
          <w:tcPr>
            <w:tcW w:w="688" w:type="dxa"/>
            <w:shd w:val="clear" w:color="000000" w:fill="FFFFFF" w:themeFill="background1"/>
            <w:vAlign w:val="center"/>
          </w:tcPr>
          <w:p w14:paraId="59ABF6FD">
            <w:pPr>
              <w:widowControl/>
              <w:spacing w:line="300" w:lineRule="exact"/>
              <w:jc w:val="center"/>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数量</w:t>
            </w:r>
          </w:p>
        </w:tc>
        <w:tc>
          <w:tcPr>
            <w:tcW w:w="612" w:type="dxa"/>
            <w:shd w:val="clear" w:color="000000" w:fill="FFFFFF" w:themeFill="background1"/>
            <w:vAlign w:val="center"/>
          </w:tcPr>
          <w:p w14:paraId="52A149D9">
            <w:pPr>
              <w:widowControl/>
              <w:spacing w:line="300" w:lineRule="exact"/>
              <w:jc w:val="center"/>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单位</w:t>
            </w:r>
          </w:p>
        </w:tc>
      </w:tr>
      <w:tr w14:paraId="5620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81" w:type="dxa"/>
            <w:gridSpan w:val="5"/>
            <w:shd w:val="clear" w:color="000000" w:fill="FFFFFF" w:themeFill="background1"/>
            <w:vAlign w:val="center"/>
          </w:tcPr>
          <w:p w14:paraId="70A71C89">
            <w:pPr>
              <w:spacing w:line="300" w:lineRule="exact"/>
              <w:jc w:val="left"/>
              <w:rPr>
                <w:rFonts w:ascii="宋体" w:hAnsi="宋体" w:cs="宋体"/>
                <w:b/>
                <w:bCs/>
                <w:color w:val="000000" w:themeColor="text1"/>
                <w:sz w:val="21"/>
                <w:szCs w:val="21"/>
                <w:highlight w:val="none"/>
                <w:vertAlign w:val="baseli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cs="宋体"/>
                <w:b/>
                <w:bCs/>
                <w:color w:val="000000" w:themeColor="text1"/>
                <w:sz w:val="21"/>
                <w:szCs w:val="21"/>
                <w:highlight w:val="none"/>
                <w14:textFill>
                  <w14:solidFill>
                    <w14:schemeClr w14:val="tx1"/>
                  </w14:solidFill>
                </w14:textFill>
              </w:rPr>
              <w:t>技术参数、服务需求及要求</w:t>
            </w:r>
          </w:p>
        </w:tc>
      </w:tr>
      <w:tr w14:paraId="33F5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D052FE1">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75" w:type="dxa"/>
            <w:shd w:val="clear" w:color="000000" w:fill="FFFFFF" w:themeFill="background1"/>
            <w:vAlign w:val="center"/>
          </w:tcPr>
          <w:p w14:paraId="2AC49C0C">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左右主扩声线性阵列音箱</w:t>
            </w:r>
          </w:p>
        </w:tc>
        <w:tc>
          <w:tcPr>
            <w:tcW w:w="7610" w:type="dxa"/>
            <w:shd w:val="clear" w:color="000000" w:fill="FFFFFF" w:themeFill="background1"/>
            <w:vAlign w:val="top"/>
          </w:tcPr>
          <w:p w14:paraId="24BD3B6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一、可扩展为有源带DSP处理音箱，扩展后有源音箱应具有2通道D类数字功率放大模块，具有多通道DSP处理模块选择，扩展后带DSP处理功率放大模块物理连接以及DSP处理软件应具有以下端口、标识及功能：</w:t>
            </w:r>
          </w:p>
          <w:p w14:paraId="1464F13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（一）接线板</w:t>
            </w:r>
          </w:p>
          <w:p w14:paraId="7F9ABE8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1.≥1个平衡式XLR卡侬音频输入端口、1个平衡式卡侬音频输出端口</w:t>
            </w:r>
            <w:r>
              <w:rPr>
                <w:rFonts w:hint="eastAsia" w:ascii="宋体" w:hAnsi="宋体" w:cs="宋体"/>
                <w:color w:val="000000" w:themeColor="text1"/>
                <w:kern w:val="0"/>
                <w:sz w:val="21"/>
                <w:szCs w:val="21"/>
                <w:highlight w:val="none"/>
                <w:lang w:eastAsia="zh-CN"/>
                <w14:textFill>
                  <w14:solidFill>
                    <w14:schemeClr w14:val="tx1"/>
                  </w14:solidFill>
                </w14:textFill>
              </w:rPr>
              <w:t>，响应文件中须提供产品功能截图并加盖供应商公章；</w:t>
            </w:r>
          </w:p>
          <w:p w14:paraId="7D57370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2.≥1个RS485/AES/EBU网络输入端口、1个RS485/AES/EBU网络输出端口（可通过1条网线1个RS485/AES/EBU端口同时传输对DSP处理的控制信号和数字音频信号）</w:t>
            </w:r>
            <w:r>
              <w:rPr>
                <w:rFonts w:hint="eastAsia" w:ascii="宋体" w:hAnsi="宋体" w:cs="宋体"/>
                <w:color w:val="000000" w:themeColor="text1"/>
                <w:kern w:val="0"/>
                <w:sz w:val="21"/>
                <w:szCs w:val="21"/>
                <w:highlight w:val="none"/>
                <w:lang w:eastAsia="zh-CN"/>
                <w14:textFill>
                  <w14:solidFill>
                    <w14:schemeClr w14:val="tx1"/>
                  </w14:solidFill>
                </w14:textFill>
              </w:rPr>
              <w:t>，响应文件中须提供产品功能截图并加盖供应商公章；</w:t>
            </w:r>
          </w:p>
          <w:p w14:paraId="77A58B9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3.≥1个交流电源输入带锁止端口、1个交流电源输出带锁止端口</w:t>
            </w:r>
            <w:r>
              <w:rPr>
                <w:rFonts w:hint="eastAsia" w:ascii="宋体" w:hAnsi="宋体" w:cs="宋体"/>
                <w:color w:val="000000" w:themeColor="text1"/>
                <w:kern w:val="0"/>
                <w:sz w:val="21"/>
                <w:szCs w:val="21"/>
                <w:highlight w:val="none"/>
                <w:lang w:eastAsia="zh-CN"/>
                <w14:textFill>
                  <w14:solidFill>
                    <w14:schemeClr w14:val="tx1"/>
                  </w14:solidFill>
                </w14:textFill>
              </w:rPr>
              <w:t>，响应文件中须提供产品功能截图并加盖供应商公章；</w:t>
            </w:r>
          </w:p>
          <w:p w14:paraId="535F495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二）扩展后定时播放功能：音箱自带≥10组定时器，可在主机关机状况下，当定时器设定的定时播放时间到时，设备将自动打开主机，定时播放完毕时将自动关机，定时播放可根据需要配合音箱自带的液晶显示屏，自己设定不同时间播放不同音乐，播放内容可根据自己需要自行导入，须提供产品功能截图。</w:t>
            </w:r>
          </w:p>
          <w:p w14:paraId="3CE14EA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（三）扩展后带DSP处理功率放大模块软件具有以下1.1-1.6项功能，须提供产品功能截图。</w:t>
            </w:r>
          </w:p>
          <w:p w14:paraId="1FA38A9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DSP处理软件带有简体中文、繁体中文、英文3种语言友好操作界面；</w:t>
            </w:r>
          </w:p>
          <w:p w14:paraId="212BFD9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可选择2进2出、2进4出、1进3出、4进8出、8进8出处理单元；</w:t>
            </w:r>
          </w:p>
          <w:p w14:paraId="29461E4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选定的DSP处理单元可对输入、输出参数单独细化调节；</w:t>
            </w:r>
          </w:p>
          <w:p w14:paraId="374FF4E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输入模式可选择：模拟信号、数字信号、正弦波、粉红噪声、白噪声；</w:t>
            </w:r>
          </w:p>
          <w:p w14:paraId="277AC21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DSP有≥25个用户存档，并可随用户设定任意一个存档为开机档；</w:t>
            </w:r>
          </w:p>
          <w:p w14:paraId="051715F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软件可切换网络版调节整个扩声系统有源DSP处理音箱，也可切换为单机版对单一音箱进行参数调节；</w:t>
            </w:r>
          </w:p>
          <w:p w14:paraId="67FD8EA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二、技术参数</w:t>
            </w:r>
          </w:p>
          <w:p w14:paraId="7D481C6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1.频率响应：≥50Hz-18.5KHz</w:t>
            </w:r>
          </w:p>
          <w:p w14:paraId="1634E1A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2.灵敏度（1w/1m）：≥103dB；</w:t>
            </w:r>
          </w:p>
          <w:p w14:paraId="45F006C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3.最大声压级（1m）：≥128/134dB（continuous/peak）；</w:t>
            </w:r>
          </w:p>
          <w:p w14:paraId="7191FFD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4.标称阻抗：8 Ω</w:t>
            </w:r>
          </w:p>
          <w:p w14:paraId="4578757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5.功率（AES/PEAK）：≥700W/2800W</w:t>
            </w:r>
          </w:p>
          <w:p w14:paraId="567C095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6.驱动单元：LF:≥2×10"（Φ75mm音圈）</w:t>
            </w:r>
          </w:p>
          <w:p w14:paraId="6637A86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HF:≥2×1.75"（Φ44mm音圈）</w:t>
            </w:r>
          </w:p>
          <w:p w14:paraId="4ADA3E4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7.标称覆盖角：90°（水平覆盖），垂直角度随音箱吊装件调整，（-1、0、1、2、3、4、5、6、7、8、9、10°）多个角度可调</w:t>
            </w:r>
          </w:p>
          <w:p w14:paraId="5E7ED8F9">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8.提手盒：左右对称≥2个防水导流工程塑胶提手盒</w:t>
            </w:r>
          </w:p>
        </w:tc>
        <w:tc>
          <w:tcPr>
            <w:tcW w:w="688" w:type="dxa"/>
            <w:shd w:val="clear" w:color="000000" w:fill="FFFFFF" w:themeFill="background1"/>
            <w:vAlign w:val="center"/>
          </w:tcPr>
          <w:p w14:paraId="6A2B2CEE">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612" w:type="dxa"/>
            <w:shd w:val="clear" w:color="000000" w:fill="FFFFFF" w:themeFill="background1"/>
            <w:vAlign w:val="center"/>
          </w:tcPr>
          <w:p w14:paraId="5B05078C">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r>
      <w:tr w14:paraId="0492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B25574E">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975" w:type="dxa"/>
            <w:shd w:val="clear" w:color="000000" w:fill="FFFFFF" w:themeFill="background1"/>
            <w:vAlign w:val="center"/>
          </w:tcPr>
          <w:p w14:paraId="35ABFD91">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线阵音箱吊架</w:t>
            </w:r>
          </w:p>
        </w:tc>
        <w:tc>
          <w:tcPr>
            <w:tcW w:w="7610" w:type="dxa"/>
            <w:shd w:val="clear" w:color="000000" w:fill="FFFFFF" w:themeFill="background1"/>
            <w:vAlign w:val="top"/>
          </w:tcPr>
          <w:p w14:paraId="66F65D61">
            <w:pPr>
              <w:widowControl/>
              <w:numPr>
                <w:ilvl w:val="0"/>
                <w:numId w:val="1"/>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田字架</w:t>
            </w:r>
          </w:p>
          <w:p w14:paraId="619BD9E5">
            <w:pPr>
              <w:widowControl/>
              <w:numPr>
                <w:ilvl w:val="0"/>
                <w:numId w:val="1"/>
              </w:numPr>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线阵音箱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专用</w:t>
            </w:r>
          </w:p>
        </w:tc>
        <w:tc>
          <w:tcPr>
            <w:tcW w:w="688" w:type="dxa"/>
            <w:shd w:val="clear" w:color="000000" w:fill="FFFFFF" w:themeFill="background1"/>
            <w:vAlign w:val="center"/>
          </w:tcPr>
          <w:p w14:paraId="4078E7ED">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12" w:type="dxa"/>
            <w:shd w:val="clear" w:color="000000" w:fill="FFFFFF" w:themeFill="background1"/>
            <w:vAlign w:val="center"/>
          </w:tcPr>
          <w:p w14:paraId="047708D0">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r>
      <w:tr w14:paraId="368D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83E031C">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975" w:type="dxa"/>
            <w:shd w:val="clear" w:color="000000" w:fill="FFFFFF" w:themeFill="background1"/>
            <w:vAlign w:val="center"/>
          </w:tcPr>
          <w:p w14:paraId="78FF11D4">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落地远程超低音音箱</w:t>
            </w:r>
          </w:p>
        </w:tc>
        <w:tc>
          <w:tcPr>
            <w:tcW w:w="7610" w:type="dxa"/>
            <w:shd w:val="clear" w:color="000000" w:fill="FFFFFF" w:themeFill="background1"/>
            <w:vAlign w:val="top"/>
          </w:tcPr>
          <w:p w14:paraId="0316EBB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系统类型：低音音箱；</w:t>
            </w:r>
          </w:p>
          <w:p w14:paraId="352EFF6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1.频率响应：35Hz-300Hz(±3dB)，30Hz-400Hz(±10dB)；</w:t>
            </w:r>
          </w:p>
          <w:p w14:paraId="7FBDDB3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2.灵敏度（1w/1m）：≥101dB；</w:t>
            </w:r>
          </w:p>
          <w:p w14:paraId="48F141A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3.最大声压级（1m）：≥132/138dB（continuous/peak）；</w:t>
            </w:r>
          </w:p>
          <w:p w14:paraId="0C2CA74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4.额定功率（AES/PEAK）：≥1200W/4800W；</w:t>
            </w:r>
          </w:p>
          <w:p w14:paraId="27FA1C4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5.阻抗：4Ω；</w:t>
            </w:r>
          </w:p>
          <w:p w14:paraId="71E7C489">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6.驱动单元：LF:不劣于2×18"Voice-coil:4"；</w:t>
            </w:r>
          </w:p>
        </w:tc>
        <w:tc>
          <w:tcPr>
            <w:tcW w:w="688" w:type="dxa"/>
            <w:shd w:val="clear" w:color="000000" w:fill="FFFFFF" w:themeFill="background1"/>
            <w:vAlign w:val="center"/>
          </w:tcPr>
          <w:p w14:paraId="52F4C797">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12" w:type="dxa"/>
            <w:shd w:val="clear" w:color="000000" w:fill="FFFFFF" w:themeFill="background1"/>
            <w:vAlign w:val="center"/>
          </w:tcPr>
          <w:p w14:paraId="1021E550">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r>
      <w:tr w14:paraId="1075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4" w:hRule="atLeast"/>
        </w:trPr>
        <w:tc>
          <w:tcPr>
            <w:tcW w:w="696" w:type="dxa"/>
            <w:shd w:val="clear" w:color="000000" w:fill="FFFFFF" w:themeFill="background1"/>
            <w:vAlign w:val="center"/>
          </w:tcPr>
          <w:p w14:paraId="0C92F5B8">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75" w:type="dxa"/>
            <w:shd w:val="clear" w:color="000000" w:fill="FFFFFF" w:themeFill="background1"/>
            <w:vAlign w:val="center"/>
          </w:tcPr>
          <w:p w14:paraId="31974B32">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舞台专业返听音箱</w:t>
            </w:r>
          </w:p>
        </w:tc>
        <w:tc>
          <w:tcPr>
            <w:tcW w:w="7610" w:type="dxa"/>
            <w:shd w:val="clear" w:color="000000" w:fill="FFFFFF" w:themeFill="background1"/>
            <w:vAlign w:val="top"/>
          </w:tcPr>
          <w:p w14:paraId="75E6D9B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1.频率响应：50Hz-18KHz（±3dB）</w:t>
            </w:r>
          </w:p>
          <w:p w14:paraId="4A0BB14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40Hz-20KHz（±10dB）</w:t>
            </w:r>
          </w:p>
          <w:p w14:paraId="7812AB9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2.标称覆盖角(H×V)：90°×60°，90°可旋转恒定指向性号角</w:t>
            </w:r>
          </w:p>
          <w:p w14:paraId="718F9CB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3.灵敏度（1w/1m）：≥101dB</w:t>
            </w:r>
          </w:p>
          <w:p w14:paraId="33F019D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4.声压级（1m）：≥127/133dB（continuous/peak）</w:t>
            </w:r>
          </w:p>
          <w:p w14:paraId="121182E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5.功率(AES/PEAK)：≥400W/1600W</w:t>
            </w:r>
          </w:p>
          <w:p w14:paraId="196B95D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6.标称阻抗：8Ω</w:t>
            </w:r>
          </w:p>
          <w:p w14:paraId="41AF81C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7.驱动单元：LF：不劣于1×12" Voice-coil:3"</w:t>
            </w:r>
          </w:p>
          <w:p w14:paraId="2BBF652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HF:不劣于1× 1" Voice-coil:1.75"</w:t>
            </w:r>
          </w:p>
          <w:p w14:paraId="118DE42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8.链接插座：音箱左右两侧各2个NL4MP(四芯)插座（提供音箱左右两侧插座实物照片图），全频1+1-，音箱左右采用左石连通式技术,(在两只并联使用时，可左进右出连接，不影响舞 台画面感)</w:t>
            </w:r>
          </w:p>
          <w:p w14:paraId="472F3D20">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9.提供</w:t>
            </w:r>
            <w:r>
              <w:rPr>
                <w:rFonts w:hint="eastAsia" w:ascii="宋体" w:hAnsi="宋体" w:cs="宋体"/>
                <w:color w:val="000000" w:themeColor="text1"/>
                <w:kern w:val="0"/>
                <w:sz w:val="21"/>
                <w:szCs w:val="21"/>
                <w:highlight w:val="none"/>
                <w:lang w:eastAsia="zh-CN"/>
                <w14:textFill>
                  <w14:solidFill>
                    <w14:schemeClr w14:val="tx1"/>
                  </w14:solidFill>
                </w14:textFill>
              </w:rPr>
              <w:t>第三方</w:t>
            </w:r>
            <w:r>
              <w:rPr>
                <w:rFonts w:hint="eastAsia" w:ascii="宋体" w:hAnsi="宋体" w:eastAsia="宋体" w:cs="宋体"/>
                <w:color w:val="000000" w:themeColor="text1"/>
                <w:kern w:val="0"/>
                <w:sz w:val="21"/>
                <w:szCs w:val="21"/>
                <w:highlight w:val="none"/>
                <w14:textFill>
                  <w14:solidFill>
                    <w14:schemeClr w14:val="tx1"/>
                  </w14:solidFill>
                </w14:textFill>
              </w:rPr>
              <w:t>检测机构出具的功能性检测报告扫描件查验，检测报告应具有“1-8”项参数的功能描述和送检样品的实物图片（产品实物照片图外观和报告内实物图片需保持一致）；并提供检测报告编号在国家市场监督管理总局官网查询截图。</w:t>
            </w:r>
          </w:p>
        </w:tc>
        <w:tc>
          <w:tcPr>
            <w:tcW w:w="688" w:type="dxa"/>
            <w:shd w:val="clear" w:color="000000" w:fill="FFFFFF" w:themeFill="background1"/>
            <w:vAlign w:val="center"/>
          </w:tcPr>
          <w:p w14:paraId="1B43D859">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12" w:type="dxa"/>
            <w:shd w:val="clear" w:color="000000" w:fill="FFFFFF" w:themeFill="background1"/>
            <w:vAlign w:val="center"/>
          </w:tcPr>
          <w:p w14:paraId="0D041B77">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r>
      <w:tr w14:paraId="00B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F60A11F">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975" w:type="dxa"/>
            <w:shd w:val="clear" w:color="000000" w:fill="FFFFFF" w:themeFill="background1"/>
            <w:vAlign w:val="center"/>
          </w:tcPr>
          <w:p w14:paraId="674D0BAD">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中后场补声线性阵列扩声音箱</w:t>
            </w:r>
          </w:p>
        </w:tc>
        <w:tc>
          <w:tcPr>
            <w:tcW w:w="7610" w:type="dxa"/>
            <w:shd w:val="clear" w:color="000000" w:fill="FFFFFF" w:themeFill="background1"/>
            <w:vAlign w:val="top"/>
          </w:tcPr>
          <w:p w14:paraId="3C3CA09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1.频率响应：70Hz-18KHz(±3dB)，</w:t>
            </w:r>
          </w:p>
          <w:p w14:paraId="44B3A65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60Hz-20KHz(±10dB)；</w:t>
            </w:r>
          </w:p>
          <w:p w14:paraId="1188B51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2.覆盖角（HxV）：90°(H)，垂直角度随音箱吊装件调整，≤10°，音箱采用负角度技术，保障近中远场均匀扩声。</w:t>
            </w:r>
          </w:p>
          <w:p w14:paraId="27C4E46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3.灵敏度（1w/1m）：≥101dB；</w:t>
            </w:r>
          </w:p>
          <w:p w14:paraId="1DA55AA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4.声压级（1m）：≥127/133dB（continuous/peak）；</w:t>
            </w:r>
          </w:p>
          <w:p w14:paraId="2D1D988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5.功率(AES/PEAK)：≥375W/1500W</w:t>
            </w:r>
          </w:p>
          <w:p w14:paraId="5991152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6.标称阻抗：16Ω</w:t>
            </w:r>
          </w:p>
          <w:p w14:paraId="45C95ED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7.驱动单元：LF:不劣于1×10"钕磁单元 Voice-coil:2.5"</w:t>
            </w:r>
          </w:p>
          <w:p w14:paraId="7699FC8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HF:不劣于2×1"钕磁单元 Voice-coil:1.75"</w:t>
            </w:r>
          </w:p>
          <w:p w14:paraId="14E40A23">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8.提供</w:t>
            </w:r>
            <w:r>
              <w:rPr>
                <w:rFonts w:hint="eastAsia" w:ascii="宋体" w:hAnsi="宋体" w:cs="宋体"/>
                <w:color w:val="000000" w:themeColor="text1"/>
                <w:kern w:val="0"/>
                <w:sz w:val="21"/>
                <w:szCs w:val="21"/>
                <w:highlight w:val="none"/>
                <w:lang w:eastAsia="zh-CN"/>
                <w14:textFill>
                  <w14:solidFill>
                    <w14:schemeClr w14:val="tx1"/>
                  </w14:solidFill>
                </w14:textFill>
              </w:rPr>
              <w:t>第三方</w:t>
            </w:r>
            <w:r>
              <w:rPr>
                <w:rFonts w:hint="eastAsia" w:ascii="宋体" w:hAnsi="宋体" w:eastAsia="宋体" w:cs="宋体"/>
                <w:color w:val="000000" w:themeColor="text1"/>
                <w:kern w:val="0"/>
                <w:sz w:val="21"/>
                <w:szCs w:val="21"/>
                <w:highlight w:val="none"/>
                <w14:textFill>
                  <w14:solidFill>
                    <w14:schemeClr w14:val="tx1"/>
                  </w14:solidFill>
                </w14:textFill>
              </w:rPr>
              <w:t>检测机构出具的功能性检测报告扫描件查验，检测报告应具有“1-7”项参数的功能描述和送检样品的实物图片；并提供检测报告编号在国家市场监督管理总局官网查询截图。</w:t>
            </w:r>
          </w:p>
        </w:tc>
        <w:tc>
          <w:tcPr>
            <w:tcW w:w="688" w:type="dxa"/>
            <w:shd w:val="clear" w:color="000000" w:fill="FFFFFF" w:themeFill="background1"/>
            <w:vAlign w:val="center"/>
          </w:tcPr>
          <w:p w14:paraId="7B5A0532">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612" w:type="dxa"/>
            <w:shd w:val="clear" w:color="000000" w:fill="FFFFFF" w:themeFill="background1"/>
            <w:vAlign w:val="center"/>
          </w:tcPr>
          <w:p w14:paraId="27598E4C">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r>
      <w:tr w14:paraId="4B7E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AA92C57">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975" w:type="dxa"/>
            <w:shd w:val="clear" w:color="000000" w:fill="FFFFFF" w:themeFill="background1"/>
            <w:vAlign w:val="center"/>
          </w:tcPr>
          <w:p w14:paraId="68BE5146">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线阵音箱吊架</w:t>
            </w:r>
          </w:p>
        </w:tc>
        <w:tc>
          <w:tcPr>
            <w:tcW w:w="7610" w:type="dxa"/>
            <w:shd w:val="clear" w:color="000000" w:fill="FFFFFF" w:themeFill="background1"/>
            <w:vAlign w:val="top"/>
          </w:tcPr>
          <w:p w14:paraId="55B89F1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1.田字架</w:t>
            </w:r>
          </w:p>
          <w:p w14:paraId="7E2020F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2.材质：高强度钢材，表面黑色喷涂，安全牢固，安装便捷</w:t>
            </w:r>
          </w:p>
          <w:p w14:paraId="2B7709D4">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3.配件：1副田字架，4个U型扣，2根大力绳</w:t>
            </w:r>
          </w:p>
        </w:tc>
        <w:tc>
          <w:tcPr>
            <w:tcW w:w="688" w:type="dxa"/>
            <w:shd w:val="clear" w:color="000000" w:fill="FFFFFF" w:themeFill="background1"/>
            <w:vAlign w:val="center"/>
          </w:tcPr>
          <w:p w14:paraId="63F84BF4">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12" w:type="dxa"/>
            <w:shd w:val="clear" w:color="000000" w:fill="FFFFFF" w:themeFill="background1"/>
            <w:vAlign w:val="center"/>
          </w:tcPr>
          <w:p w14:paraId="7C4D5D0C">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r>
      <w:tr w14:paraId="04A9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939FF47">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975" w:type="dxa"/>
            <w:shd w:val="clear" w:color="000000" w:fill="FFFFFF" w:themeFill="background1"/>
            <w:vAlign w:val="center"/>
          </w:tcPr>
          <w:p w14:paraId="42EE2F06">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左右主扩声线性阵列音箱功放</w:t>
            </w:r>
          </w:p>
        </w:tc>
        <w:tc>
          <w:tcPr>
            <w:tcW w:w="7610" w:type="dxa"/>
            <w:shd w:val="clear" w:color="000000" w:fill="FFFFFF" w:themeFill="background1"/>
            <w:vAlign w:val="top"/>
          </w:tcPr>
          <w:p w14:paraId="35D1955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1.额定输出功率（8Ω立体声）：≥1200W×2</w:t>
            </w:r>
          </w:p>
          <w:p w14:paraId="09CF6D1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2.额定输出功率（4Ω立体声）：≥1800W×2</w:t>
            </w:r>
          </w:p>
          <w:p w14:paraId="7CE0EAD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3.额定输出功率（2Ω立体声）：≥2200W×2</w:t>
            </w:r>
          </w:p>
          <w:p w14:paraId="11DE284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4.额定输出功率（8Ω桥接）：≥3600W</w:t>
            </w:r>
          </w:p>
          <w:p w14:paraId="7AEBCC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5.频率响应：20Hz~20KHz,+0-1dB.at1Watt</w:t>
            </w:r>
          </w:p>
          <w:p w14:paraId="1CF1AFD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6.总谐波失真THD(at rated)：&lt;0.1% 20Hz~20KHz</w:t>
            </w:r>
          </w:p>
          <w:p w14:paraId="56F37DF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7.转换速度：&gt;40V/μs</w:t>
            </w:r>
          </w:p>
          <w:p w14:paraId="0F2C965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8.阻尼系数 (8Ω)：&gt;400</w:t>
            </w:r>
          </w:p>
          <w:p w14:paraId="6BC1061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9.灵敏度 (@max gain)：可选择：0.775/1.0V/1.4V三种灵敏度通过拨码开关调整</w:t>
            </w:r>
          </w:p>
          <w:p w14:paraId="4B9F2C5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10.输入阻抗:平衡式输入20KΩ</w:t>
            </w:r>
          </w:p>
          <w:p w14:paraId="1168AE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11.信噪比 (A Weighted)：≥101dB</w:t>
            </w:r>
          </w:p>
          <w:p w14:paraId="0262990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12.串音：&gt;80dB</w:t>
            </w:r>
          </w:p>
          <w:p w14:paraId="11AE83A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13.工作模式:stereo、parallel、bridge三种模式通过拨码开关调整</w:t>
            </w:r>
          </w:p>
          <w:p w14:paraId="7B061A2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14.输入插件:2 XLR，2 LINK</w:t>
            </w:r>
          </w:p>
          <w:p w14:paraId="3E7CE9A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15.输出端口：2路四芯音箱插座，2路接线端子</w:t>
            </w:r>
          </w:p>
          <w:p w14:paraId="4A7BF13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16.冷气系统:DC FAN 3级可调速双直流风机抽风式直排散热设计</w:t>
            </w:r>
          </w:p>
          <w:p w14:paraId="116543C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17.增益控制:2 Front Panel 41Step Potentiometers</w:t>
            </w:r>
          </w:p>
          <w:p w14:paraId="6DFA340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18.指示灯:LED</w:t>
            </w:r>
          </w:p>
          <w:p w14:paraId="2A72FA4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19.保护:Temprature,DC,short,Tum-on/Tum-off</w:t>
            </w:r>
          </w:p>
          <w:p w14:paraId="14CE48E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20.外形尺寸 (W×D×H):约483×445×88mm</w:t>
            </w:r>
          </w:p>
          <w:p w14:paraId="57372E1C">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21.净重：约24.3kg</w:t>
            </w:r>
          </w:p>
        </w:tc>
        <w:tc>
          <w:tcPr>
            <w:tcW w:w="688" w:type="dxa"/>
            <w:shd w:val="clear" w:color="000000" w:fill="FFFFFF" w:themeFill="background1"/>
            <w:vAlign w:val="center"/>
          </w:tcPr>
          <w:p w14:paraId="5C3204FA">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612" w:type="dxa"/>
            <w:shd w:val="clear" w:color="000000" w:fill="FFFFFF" w:themeFill="background1"/>
            <w:vAlign w:val="center"/>
          </w:tcPr>
          <w:p w14:paraId="30EF9F84">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957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4D349D5C">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975" w:type="dxa"/>
            <w:shd w:val="clear" w:color="000000" w:fill="FFFFFF" w:themeFill="background1"/>
            <w:vAlign w:val="center"/>
          </w:tcPr>
          <w:p w14:paraId="6791630F">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落地超低音音箱功放</w:t>
            </w:r>
          </w:p>
        </w:tc>
        <w:tc>
          <w:tcPr>
            <w:tcW w:w="7610" w:type="dxa"/>
            <w:shd w:val="clear" w:color="000000" w:fill="FFFFFF" w:themeFill="background1"/>
            <w:vAlign w:val="top"/>
          </w:tcPr>
          <w:p w14:paraId="1A56249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1.额定输出功率（8Ω立体声）：≥1200W×2</w:t>
            </w:r>
          </w:p>
          <w:p w14:paraId="59CCD08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2.额定输出功率（4Ω立体声）：≥1800W×2</w:t>
            </w:r>
          </w:p>
          <w:p w14:paraId="4F428FB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3.额定输出功率（2Ω立体声）：≥2200W×2</w:t>
            </w:r>
          </w:p>
          <w:p w14:paraId="4787D41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4.额定输出功率（8Ω桥接）：≥3600W</w:t>
            </w:r>
          </w:p>
          <w:p w14:paraId="2E19D94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5.频率响应：20Hz~20KHz,+0-1dB.at1Watt</w:t>
            </w:r>
          </w:p>
          <w:p w14:paraId="100416E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6.总谐波失真THD(at rated)：&lt;0.1% 20Hz~20KHz</w:t>
            </w:r>
          </w:p>
          <w:p w14:paraId="2395282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7.转换速度：&gt;40V/μs</w:t>
            </w:r>
          </w:p>
          <w:p w14:paraId="5041C38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8.阻尼系数 (8Ω)：&gt;400</w:t>
            </w:r>
          </w:p>
          <w:p w14:paraId="4A0263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9.灵敏度 (@max gain)：可选择：0.775/1.0V/1.4V三种灵敏度通过拨码开关调整</w:t>
            </w:r>
          </w:p>
          <w:p w14:paraId="748B80C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输入阻抗:平衡式输入20KΩ</w:t>
            </w:r>
          </w:p>
          <w:p w14:paraId="7B7B24D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10.信噪比 (A Weighted)：≥101dB</w:t>
            </w:r>
          </w:p>
          <w:p w14:paraId="5D8CA7E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11.串音：&gt;80dB</w:t>
            </w:r>
          </w:p>
          <w:p w14:paraId="0AA4C84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12.工作模式:stereo、parallel、bridge三种模式通过拨码开关调整</w:t>
            </w:r>
          </w:p>
          <w:p w14:paraId="2A233A8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13.输入插件:2 XLR，2 LINK</w:t>
            </w:r>
          </w:p>
          <w:p w14:paraId="24E748C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14.输出端口：2路四芯音箱插座，2路接线端子</w:t>
            </w:r>
          </w:p>
          <w:p w14:paraId="5763A81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15.冷气系统:DC FAN 3级可调速双直流风机抽风式直排散热设计</w:t>
            </w:r>
          </w:p>
          <w:p w14:paraId="08DE6FF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16.增益控制:2 Front Panel 41Step Potentiometers</w:t>
            </w:r>
          </w:p>
          <w:p w14:paraId="4586B79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17.指示灯:LED</w:t>
            </w:r>
          </w:p>
          <w:p w14:paraId="3EF9175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18.保护:Temprature,DC,short,Tum-on/Tum-off</w:t>
            </w:r>
          </w:p>
          <w:p w14:paraId="5AA7B72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19.外形尺寸 (W×D×H):约483×445×88mm</w:t>
            </w:r>
          </w:p>
          <w:p w14:paraId="2729960F">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20.净重：约24.3kg</w:t>
            </w:r>
          </w:p>
        </w:tc>
        <w:tc>
          <w:tcPr>
            <w:tcW w:w="688" w:type="dxa"/>
            <w:shd w:val="clear" w:color="000000" w:fill="FFFFFF" w:themeFill="background1"/>
            <w:vAlign w:val="center"/>
          </w:tcPr>
          <w:p w14:paraId="4866CD5E">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6311F395">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71F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54C8877">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975" w:type="dxa"/>
            <w:shd w:val="clear" w:color="000000" w:fill="FFFFFF" w:themeFill="background1"/>
            <w:vAlign w:val="center"/>
          </w:tcPr>
          <w:p w14:paraId="1530D58D">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舞台返听音箱功放</w:t>
            </w:r>
          </w:p>
        </w:tc>
        <w:tc>
          <w:tcPr>
            <w:tcW w:w="7610" w:type="dxa"/>
            <w:shd w:val="clear" w:color="000000" w:fill="FFFFFF" w:themeFill="background1"/>
            <w:vAlign w:val="top"/>
          </w:tcPr>
          <w:p w14:paraId="1484C73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一、功放</w:t>
            </w:r>
          </w:p>
          <w:p w14:paraId="6B4CF11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1.额定输出功率（8Ω立体声）：≥800W×2</w:t>
            </w:r>
          </w:p>
          <w:p w14:paraId="1C902AB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2.额定输出功率（4Ω立体声）：≥1200W×2</w:t>
            </w:r>
          </w:p>
          <w:p w14:paraId="55CFB76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3.额定输出功率（2Ω立体声）：≥1400W×2</w:t>
            </w:r>
          </w:p>
          <w:p w14:paraId="4CB05FC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4、信噪比:&gt;105dB</w:t>
            </w:r>
          </w:p>
          <w:p w14:paraId="00E8FF3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5、输入灵敏度：0.7V、1V</w:t>
            </w:r>
          </w:p>
          <w:p w14:paraId="45799B0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6、输出电路: AB 类</w:t>
            </w:r>
          </w:p>
          <w:p w14:paraId="391C00F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7、转换速率：45V/us</w:t>
            </w:r>
          </w:p>
          <w:p w14:paraId="07C027A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8、总诣波失真（1kHz PO=1W）:&lt;0.05%</w:t>
            </w:r>
          </w:p>
          <w:p w14:paraId="0F5A783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9、通道分离度(1kHz 8Ω)：&gt;-60 dB</w:t>
            </w:r>
          </w:p>
          <w:p w14:paraId="5528D82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10、频率响应范围:20-20kHz, ±0.3dB</w:t>
            </w:r>
          </w:p>
          <w:p w14:paraId="54C26A0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11、阻尼系数(1kHz 8Ω) :&gt;400</w:t>
            </w:r>
          </w:p>
          <w:p w14:paraId="2F31BDB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12、输入阻抗：平衡20k欧姆，非平衡10k欧姆</w:t>
            </w:r>
          </w:p>
          <w:p w14:paraId="7FE9602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13、输入连接方式(各通道): 母卡侬、LINK公卡侬</w:t>
            </w:r>
          </w:p>
          <w:p w14:paraId="3D27A64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14、输出连接方式(各通道): 四芯音箱方座, 凤凰端子</w:t>
            </w:r>
          </w:p>
          <w:p w14:paraId="1537518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15、电源输出：功放后面板内置不少于6路220V电源时序输出插座，提供功放后面板内置插座实物清晰照片图。</w:t>
            </w:r>
          </w:p>
          <w:p w14:paraId="43AB17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16、远程控制：功放后面板具有远程控制端口，可与系统中音频矩阵处理器及其他设备联动通讯，实现有线和无线远程控制该功放和内置的六路电源时序输出开关机，须提供任意一种联动设备通过功放的远程控制端口控制功放的接线过程照片图和控制功放内置的六路电源时序输出的开机和关机的两种工作状态清晰照片图。</w:t>
            </w:r>
          </w:p>
          <w:p w14:paraId="2FCAE44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17、保护功能：短路、限幅、直流、过热、过载、软启动</w:t>
            </w:r>
          </w:p>
          <w:p w14:paraId="068A9B1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18、LED指示：保护灯，限幅灯，信号指示灯，电源指示灯。</w:t>
            </w:r>
          </w:p>
          <w:p w14:paraId="7CCE83D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19、显示屏：功放前面板LCD显示工作温度、日期、时间、工作电压，提供功放前面板界面显示清晰照片图。</w:t>
            </w:r>
          </w:p>
          <w:p w14:paraId="2CB4ED7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20、参数设置：功放前面板具有不少于2个日期时间参数设置按钮，提供两种不同时间参数设置过程清晰照片图。</w:t>
            </w:r>
          </w:p>
          <w:p w14:paraId="4361D27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21、冷却：温控变速风扇，穿过散热片，从前至后通风散热</w:t>
            </w:r>
          </w:p>
          <w:p w14:paraId="2346F82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22、提供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的功能性检测报告扫描件查验，检测报告应具有“15、16、19、20”项参数的功能描述和送检样品的实物图片（功能实物面板照片图外观和报告内实物图片需保持一致）；并提供检测报告编号在国家市场监督管理总局官网查询截图。</w:t>
            </w:r>
          </w:p>
          <w:p w14:paraId="15F5DBF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23、为保证</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所投产品真实符合</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需求，签订合同</w:t>
            </w:r>
            <w:r>
              <w:rPr>
                <w:rFonts w:hint="eastAsia" w:ascii="宋体" w:hAnsi="宋体" w:cs="宋体"/>
                <w:color w:val="000000" w:themeColor="text1"/>
                <w:kern w:val="0"/>
                <w:sz w:val="21"/>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 w:val="21"/>
                <w:szCs w:val="21"/>
                <w:highlight w:val="none"/>
                <w14:textFill>
                  <w14:solidFill>
                    <w14:schemeClr w14:val="tx1"/>
                  </w14:solidFill>
                </w14:textFill>
              </w:rPr>
              <w:t>提供一套未开封的样机，演示以上所有应标项；（</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此处自行承诺应答）；</w:t>
            </w:r>
          </w:p>
          <w:p w14:paraId="31D1FBB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二、专业扩声系统综合管理平台软件</w:t>
            </w:r>
          </w:p>
          <w:p w14:paraId="5915738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可以通过专业扩声系统综合管理云平台软件进行集中统一管理，专业扩声系统综合管理云平台软件包含网络有源音箱软件模块、功放系统软件模块、音频处理器软件模块、电源时序器软件模块、会议系统软件模块、反馈抑制器软件模块、智能混音软件模块、语音智能控制软件模块，可快速调用管理。</w:t>
            </w:r>
          </w:p>
          <w:p w14:paraId="61D222C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2.专业扩声系统综合管理云平台软件支持浏览器直接登录，具有状态监控功能，支持设备在线、运行、故障状态监控，可查看管理云平台接入的设备数量；（提供功能界面截图佐证）</w:t>
            </w:r>
          </w:p>
          <w:p w14:paraId="72D0EE1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3.具有故障预警查看功能：支持设备无法开机，音频系统回声、啸叫、音量过大等预警信息统计显示；具有地图故障预警显示；（提供功能界面截图佐证）</w:t>
            </w:r>
          </w:p>
          <w:p w14:paraId="35340E6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4.具有权限管理功能：可基于系统使用方组织结构进行用户的分级分权管理，并进行灵活的级别定义和权限设置。可自定义用户角色和级别，并进行相应的授权资源管理；（提供功能界面截图佐证）</w:t>
            </w:r>
          </w:p>
          <w:p w14:paraId="16C1397C">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5.具有功放系统软件模块：可一键控制功放和内置的不小于六路电源时序输出开关机；（提供功能界面截图佐证）</w:t>
            </w:r>
          </w:p>
        </w:tc>
        <w:tc>
          <w:tcPr>
            <w:tcW w:w="688" w:type="dxa"/>
            <w:shd w:val="clear" w:color="000000" w:fill="FFFFFF" w:themeFill="background1"/>
            <w:vAlign w:val="center"/>
          </w:tcPr>
          <w:p w14:paraId="29F721CA">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488DA3BB">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326A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5F2FFEE">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975" w:type="dxa"/>
            <w:shd w:val="clear" w:color="000000" w:fill="FFFFFF" w:themeFill="background1"/>
            <w:vAlign w:val="center"/>
          </w:tcPr>
          <w:p w14:paraId="7F52B04E">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后场补声音箱功放</w:t>
            </w:r>
          </w:p>
        </w:tc>
        <w:tc>
          <w:tcPr>
            <w:tcW w:w="7610" w:type="dxa"/>
            <w:shd w:val="clear" w:color="000000" w:fill="FFFFFF" w:themeFill="background1"/>
            <w:vAlign w:val="top"/>
          </w:tcPr>
          <w:p w14:paraId="535E661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1.额定输出功率（8Ω立体声）：≥800W×2</w:t>
            </w:r>
          </w:p>
          <w:p w14:paraId="2AF5323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2.额定输出功率（4Ω立体声）：≥1200W×2</w:t>
            </w:r>
          </w:p>
          <w:p w14:paraId="478F6F6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3.额定输出功率（2Ω立体声）：≥1400W×2</w:t>
            </w:r>
          </w:p>
          <w:p w14:paraId="0370475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4.额定输出功率（8Ω桥接）：≥2400W</w:t>
            </w:r>
          </w:p>
          <w:p w14:paraId="56A86DD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5.频率响应：20Hz~20KHz,+0-1dB.at1Watt</w:t>
            </w:r>
          </w:p>
          <w:p w14:paraId="56EB293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6.总谐波失真 THD(at rated)：&lt;0.1% 20Hz~20KHz</w:t>
            </w:r>
          </w:p>
          <w:p w14:paraId="159E0B6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7.转换速度：&gt;40V/μs</w:t>
            </w:r>
          </w:p>
          <w:p w14:paraId="1AAF48A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8.阻尼系数 (8Ω)：&gt;400</w:t>
            </w:r>
          </w:p>
          <w:p w14:paraId="18846EA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9.灵敏度 (@max gain)：可选择：1.0V/1.4V 两种灵敏度通过拨码开关调整</w:t>
            </w:r>
          </w:p>
          <w:p w14:paraId="263FE48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10.输入阻抗:平衡式输入 20KΩ</w:t>
            </w:r>
          </w:p>
          <w:p w14:paraId="6C9710F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11.信噪比 (A Weighted)：101dB</w:t>
            </w:r>
          </w:p>
          <w:p w14:paraId="31B1C47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12.串音：&gt;80dB</w:t>
            </w:r>
          </w:p>
          <w:p w14:paraId="0DEC425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13.工作模式:stereo、parallel、bridge 三种模式通过拨码开关调整</w:t>
            </w:r>
          </w:p>
          <w:p w14:paraId="1615C36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14.输入插件:≥2 XLR，≥2 LINK</w:t>
            </w:r>
          </w:p>
          <w:p w14:paraId="284CDDE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15.输出端口：≥2 路四芯音箱插座，≥2 路接线端子</w:t>
            </w:r>
          </w:p>
          <w:p w14:paraId="52B04C1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16.控制：带远程控制接口，支持数字音频矩阵处理器、调音台及其他设备联动通讯，实现有线和无线控制设备功能。响应文件中提供功放远程控制接口清晰照片图，并与音频矩阵处理器有线和无线控制的功能截图。</w:t>
            </w:r>
          </w:p>
          <w:p w14:paraId="47D3540D">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17、提供</w:t>
            </w:r>
            <w:r>
              <w:rPr>
                <w:rFonts w:hint="eastAsia" w:ascii="宋体" w:hAnsi="宋体" w:cs="宋体"/>
                <w:color w:val="000000" w:themeColor="text1"/>
                <w:kern w:val="0"/>
                <w:sz w:val="21"/>
                <w:szCs w:val="21"/>
                <w:highlight w:val="none"/>
                <w:lang w:eastAsia="zh-CN"/>
                <w14:textFill>
                  <w14:solidFill>
                    <w14:schemeClr w14:val="tx1"/>
                  </w14:solidFill>
                </w14:textFill>
              </w:rPr>
              <w:t>第三方</w:t>
            </w:r>
            <w:r>
              <w:rPr>
                <w:rFonts w:hint="eastAsia" w:ascii="宋体" w:hAnsi="宋体" w:eastAsia="宋体" w:cs="宋体"/>
                <w:color w:val="000000" w:themeColor="text1"/>
                <w:kern w:val="0"/>
                <w:sz w:val="21"/>
                <w:szCs w:val="21"/>
                <w:highlight w:val="none"/>
                <w14:textFill>
                  <w14:solidFill>
                    <w14:schemeClr w14:val="tx1"/>
                  </w14:solidFill>
                </w14:textFill>
              </w:rPr>
              <w:t>检测机构出具的功能性检测报告扫描件查验，检测报告应具有“9-16”项参数的功能描述和送检样品的实物图片；并提供检测报告编号在国家市场监督管理总局官网查询截图。</w:t>
            </w:r>
          </w:p>
        </w:tc>
        <w:tc>
          <w:tcPr>
            <w:tcW w:w="688" w:type="dxa"/>
            <w:shd w:val="clear" w:color="000000" w:fill="FFFFFF" w:themeFill="background1"/>
            <w:vAlign w:val="center"/>
          </w:tcPr>
          <w:p w14:paraId="11ACE15D">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612" w:type="dxa"/>
            <w:shd w:val="clear" w:color="000000" w:fill="FFFFFF" w:themeFill="background1"/>
            <w:vAlign w:val="center"/>
          </w:tcPr>
          <w:p w14:paraId="6A4B6438">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652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067F8C9">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975" w:type="dxa"/>
            <w:shd w:val="clear" w:color="000000" w:fill="FFFFFF" w:themeFill="background1"/>
            <w:vAlign w:val="center"/>
          </w:tcPr>
          <w:p w14:paraId="55583B90">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数字</w:t>
            </w:r>
            <w:r>
              <w:rPr>
                <w:rFonts w:hint="eastAsia" w:ascii="宋体" w:hAnsi="宋体" w:eastAsia="宋体" w:cs="宋体"/>
                <w:color w:val="000000" w:themeColor="text1"/>
                <w:kern w:val="0"/>
                <w:sz w:val="21"/>
                <w:szCs w:val="21"/>
                <w:highlight w:val="none"/>
                <w14:textFill>
                  <w14:solidFill>
                    <w14:schemeClr w14:val="tx1"/>
                  </w14:solidFill>
                </w14:textFill>
              </w:rPr>
              <w:t>调音台</w:t>
            </w:r>
          </w:p>
        </w:tc>
        <w:tc>
          <w:tcPr>
            <w:tcW w:w="7610" w:type="dxa"/>
            <w:shd w:val="clear" w:color="000000" w:fill="FFFFFF" w:themeFill="background1"/>
            <w:vAlign w:val="top"/>
          </w:tcPr>
          <w:p w14:paraId="607DE60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1.插卡式数字调音台，输入输出均采用插卡式设计；</w:t>
            </w:r>
          </w:p>
          <w:p w14:paraId="76DB908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2.不少于24通道DSP处理能力，24Bit/48KHz采样率，整机11块DSP处理芯片；</w:t>
            </w:r>
          </w:p>
          <w:p w14:paraId="2FDFD5A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3.不少于3张8路输入卡组成不少于24通道XLR卡侬输入、不少于1路USB数字音频输入，不少于2张8路输出卡组成不少于16路XLR卡侬座输出，不少于2路USB数字录播端口；</w:t>
            </w:r>
          </w:p>
          <w:p w14:paraId="4EFC16F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4.支持鼠标接入对屏幕参数快速控制；</w:t>
            </w:r>
          </w:p>
          <w:p w14:paraId="4459C43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5.自带不低于10.1寸高清彩色触摸屏，用以显示、编辑控制数字台DSP数据；</w:t>
            </w:r>
          </w:p>
          <w:p w14:paraId="6F8E6A3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6.自带不少于2个数字效果引擎，每个数字引擎带有不少于7种本地效果处理类型，每种效果类型均带有干湿比、混响时间、左右通道回声延时、左右通道回声重复可修饰调整；</w:t>
            </w:r>
          </w:p>
          <w:p w14:paraId="23542FA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7.不少于2张输出卡，不少于16路输出通道包括MAIN L/R主输出、不少于10个编组BUS1-10、不少于1组RCA立体声录音输出、不少于1组监听输出；</w:t>
            </w:r>
          </w:p>
          <w:p w14:paraId="6B98BA6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8.不少于14 路混音母线,其中不少于10路静音编组1-10BUS+不少于MAIN L/R+不少于2组内部静音效果器编组；</w:t>
            </w:r>
          </w:p>
          <w:p w14:paraId="5A003F1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9.机器自带信号发生器，可分配至所有物理输出母线；</w:t>
            </w:r>
          </w:p>
          <w:p w14:paraId="3570D2F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10.机器自带不少于4个静音编组、不少于8个推子编组；不少于8个静音DCA 编组控制,可实现分组推杆控制；</w:t>
            </w:r>
          </w:p>
          <w:p w14:paraId="70FE26F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11.不少于8个多功能自定义快捷按键，用户可根据现场操作需要自行定义按键功能（可包括静音、调用场景、用户推子层等）；</w:t>
            </w:r>
          </w:p>
          <w:p w14:paraId="38834C3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12.机器自带不少于2个TRS 耳机输出，带专有控制旋钮；</w:t>
            </w:r>
          </w:p>
          <w:p w14:paraId="2E22ADB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机器自带不少于17个1英寸彩色通道信号显示屏，可显示通道数以及编辑后的通道名称、48V幻象供电、噪声门、EQ、压缩是否启用，通道分配、效果期用、音量数值等信息，通过触摸屏可编辑通道名称（支持中文显示）；</w:t>
            </w:r>
          </w:p>
          <w:p w14:paraId="454A07F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14.机器自带不少于17个100mm高品质静音电动推杆，通道控制分4层控制页面；</w:t>
            </w:r>
          </w:p>
          <w:p w14:paraId="56AC105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15.自带不少于26种输入通道名称数据库，可供音响师选择；</w:t>
            </w:r>
          </w:p>
          <w:p w14:paraId="787EBED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16.内置不少于2组自动混音(AM1、AM2)功能，支持1-16通道自定义使用2组自动混音。</w:t>
            </w:r>
          </w:p>
          <w:p w14:paraId="7BC57E4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17.提</w:t>
            </w:r>
            <w:r>
              <w:rPr>
                <w:rFonts w:hint="eastAsia" w:ascii="宋体" w:hAnsi="宋体" w:cs="宋体"/>
                <w:color w:val="000000" w:themeColor="text1"/>
                <w:kern w:val="0"/>
                <w:sz w:val="21"/>
                <w:szCs w:val="21"/>
                <w:highlight w:val="none"/>
                <w:lang w:val="en-US" w:eastAsia="zh-CN"/>
                <w14:textFill>
                  <w14:solidFill>
                    <w14:schemeClr w14:val="tx1"/>
                  </w14:solidFill>
                </w14:textFill>
              </w:rPr>
              <w:t>供</w:t>
            </w:r>
            <w:r>
              <w:rPr>
                <w:rFonts w:hint="eastAsia" w:ascii="宋体" w:hAnsi="宋体" w:cs="宋体"/>
                <w:color w:val="000000" w:themeColor="text1"/>
                <w:kern w:val="0"/>
                <w:sz w:val="21"/>
                <w:szCs w:val="21"/>
                <w:highlight w:val="none"/>
                <w:lang w:eastAsia="zh-CN"/>
                <w14:textFill>
                  <w14:solidFill>
                    <w14:schemeClr w14:val="tx1"/>
                  </w14:solidFill>
                </w14:textFill>
              </w:rPr>
              <w:t>第三方</w:t>
            </w:r>
            <w:r>
              <w:rPr>
                <w:rFonts w:hint="eastAsia" w:ascii="宋体" w:hAnsi="宋体" w:eastAsia="宋体" w:cs="宋体"/>
                <w:color w:val="000000" w:themeColor="text1"/>
                <w:kern w:val="0"/>
                <w:sz w:val="21"/>
                <w:szCs w:val="21"/>
                <w:highlight w:val="none"/>
                <w14:textFill>
                  <w14:solidFill>
                    <w14:schemeClr w14:val="tx1"/>
                  </w14:solidFill>
                </w14:textFill>
              </w:rPr>
              <w:t>检测机构出具的功能性检测报告扫描件查验，检测报告应具有“1-16”项参数的功能描述和送检样品的实物图片；并提供检测报告编号在国家市场监督管理总局官网查询截图。</w:t>
            </w:r>
          </w:p>
          <w:p w14:paraId="384B0DE4">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.为保证扩声系统兼容性、一致性以及售后便捷性，此项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竞标产品</w:t>
            </w:r>
            <w:r>
              <w:rPr>
                <w:rFonts w:hint="eastAsia" w:ascii="宋体" w:hAnsi="宋体" w:eastAsia="宋体" w:cs="宋体"/>
                <w:color w:val="000000" w:themeColor="text1"/>
                <w:kern w:val="0"/>
                <w:sz w:val="21"/>
                <w:szCs w:val="21"/>
                <w:highlight w:val="none"/>
                <w14:textFill>
                  <w14:solidFill>
                    <w14:schemeClr w14:val="tx1"/>
                  </w14:solidFill>
                </w14:textFill>
              </w:rPr>
              <w:t>必须与数字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音频矩阵处理器</w:t>
            </w:r>
            <w:r>
              <w:rPr>
                <w:rFonts w:hint="eastAsia" w:ascii="宋体" w:hAnsi="宋体" w:eastAsia="宋体" w:cs="宋体"/>
                <w:color w:val="000000" w:themeColor="text1"/>
                <w:kern w:val="0"/>
                <w:sz w:val="21"/>
                <w:szCs w:val="21"/>
                <w:highlight w:val="none"/>
                <w14:textFill>
                  <w14:solidFill>
                    <w14:schemeClr w14:val="tx1"/>
                  </w14:solidFill>
                </w14:textFill>
              </w:rPr>
              <w:t>同一品牌</w:t>
            </w:r>
            <w:r>
              <w:rPr>
                <w:rFonts w:hint="eastAsia" w:ascii="宋体" w:hAnsi="宋体" w:cs="宋体"/>
                <w:color w:val="000000" w:themeColor="text1"/>
                <w:kern w:val="0"/>
                <w:sz w:val="21"/>
                <w:szCs w:val="21"/>
                <w:highlight w:val="none"/>
                <w:lang w:eastAsia="zh-CN"/>
                <w14:textFill>
                  <w14:solidFill>
                    <w14:schemeClr w14:val="tx1"/>
                  </w14:solidFill>
                </w14:textFill>
              </w:rPr>
              <w:t>。</w:t>
            </w:r>
          </w:p>
        </w:tc>
        <w:tc>
          <w:tcPr>
            <w:tcW w:w="688" w:type="dxa"/>
            <w:shd w:val="clear" w:color="000000" w:fill="FFFFFF" w:themeFill="background1"/>
            <w:vAlign w:val="center"/>
          </w:tcPr>
          <w:p w14:paraId="0B3C6558">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63528FFE">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7AB8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6C6860D8">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975" w:type="dxa"/>
            <w:shd w:val="clear" w:color="000000" w:fill="FFFFFF" w:themeFill="background1"/>
            <w:vAlign w:val="center"/>
          </w:tcPr>
          <w:p w14:paraId="15C74AA9">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数字音频矩阵处理器</w:t>
            </w:r>
          </w:p>
        </w:tc>
        <w:tc>
          <w:tcPr>
            <w:tcW w:w="7610" w:type="dxa"/>
            <w:shd w:val="clear" w:color="000000" w:fill="FFFFFF" w:themeFill="background1"/>
            <w:vAlign w:val="top"/>
          </w:tcPr>
          <w:p w14:paraId="645C5052">
            <w:pPr>
              <w:widowControl/>
              <w:numPr>
                <w:ilvl w:val="0"/>
                <w:numId w:val="2"/>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 xml:space="preserve">≧16路平衡式话筒/线路输入，采用凤凰插接口，≧16路平衡式输出，采用凤凰插接口； </w:t>
            </w:r>
          </w:p>
          <w:p w14:paraId="25288FCE">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2.网络端口：设备后面板带有</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个RJ45网络端口，用于PC通过软件控制设备，和AES/EBU数字信号输入输出，同时支持RS-485通讯；响应文件中须提供后面板网络端口清晰照片图。</w:t>
            </w:r>
          </w:p>
          <w:p w14:paraId="50B9EDF8">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3.设备前面板自带USB录播接口，通过该USB端口插入U盘可实现录播功能，设备支持WAV无损音乐格式播放与录制，在设备软件界面可设置USB播放、录制的具体功能，且播放、录制音量控制在软件界面采用仿真调音台推杆控制技术，并可设置播放最大增益值:-72dB-12dB可调，直观实用。</w:t>
            </w:r>
          </w:p>
          <w:p w14:paraId="78C7BDE5">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4. 远程控制：设备后面板自带一个REMOTE SWITCH远程控制端口，与</w:t>
            </w:r>
            <w:r>
              <w:rPr>
                <w:rFonts w:hint="eastAsia" w:ascii="宋体" w:hAnsi="宋体" w:cs="宋体"/>
                <w:color w:val="000000" w:themeColor="text1"/>
                <w:kern w:val="0"/>
                <w:sz w:val="21"/>
                <w:szCs w:val="21"/>
                <w:highlight w:val="none"/>
                <w:lang w:eastAsia="zh-CN"/>
                <w14:textFill>
                  <w14:solidFill>
                    <w14:schemeClr w14:val="tx1"/>
                  </w14:solidFill>
                </w14:textFill>
              </w:rPr>
              <w:t>音响系统</w:t>
            </w:r>
            <w:r>
              <w:rPr>
                <w:rFonts w:hint="eastAsia" w:ascii="宋体" w:hAnsi="宋体" w:eastAsia="宋体" w:cs="宋体"/>
                <w:color w:val="000000" w:themeColor="text1"/>
                <w:kern w:val="0"/>
                <w:sz w:val="21"/>
                <w:szCs w:val="21"/>
                <w:highlight w:val="none"/>
                <w14:textFill>
                  <w14:solidFill>
                    <w14:schemeClr w14:val="tx1"/>
                  </w14:solidFill>
                </w14:textFill>
              </w:rPr>
              <w:t>中带远程控制功率放大器</w:t>
            </w:r>
            <w:r>
              <w:rPr>
                <w:rFonts w:hint="eastAsia" w:ascii="宋体" w:hAnsi="宋体" w:cs="宋体"/>
                <w:color w:val="000000" w:themeColor="text1"/>
                <w:kern w:val="0"/>
                <w:sz w:val="21"/>
                <w:szCs w:val="21"/>
                <w:highlight w:val="none"/>
                <w:lang w:eastAsia="zh-CN"/>
                <w14:textFill>
                  <w14:solidFill>
                    <w14:schemeClr w14:val="tx1"/>
                  </w14:solidFill>
                </w14:textFill>
              </w:rPr>
              <w:t>和</w:t>
            </w:r>
            <w:r>
              <w:rPr>
                <w:rFonts w:hint="eastAsia" w:ascii="宋体" w:hAnsi="宋体" w:eastAsia="宋体" w:cs="宋体"/>
                <w:color w:val="000000" w:themeColor="text1"/>
                <w:kern w:val="0"/>
                <w:sz w:val="21"/>
                <w:szCs w:val="21"/>
                <w:highlight w:val="none"/>
                <w14:textFill>
                  <w14:solidFill>
                    <w14:schemeClr w14:val="tx1"/>
                  </w14:solidFill>
                </w14:textFill>
              </w:rPr>
              <w:t>电源时序器通讯</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并控制其开关机；响应文件中须提供后面板远程控制端口清晰照片图。</w:t>
            </w:r>
          </w:p>
          <w:p w14:paraId="06C0E363">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 RS-485支持自动摄像跟踪功能，轻松实现视频会议,可发送或接受控制，如视频矩阵、摄像机等设备；</w:t>
            </w:r>
          </w:p>
          <w:p w14:paraId="054B7BEF">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 输入输出均衡器类型具有5段参量均衡、8段参量均衡、12段参量均衡(参量均衡具有高通、低通、高架、低架可选用)、15段图示均衡、31段图示均衡可供用户根据系统调试需要选用。响应文件中须提供输入输出均衡器类型软件界面清晰照片图。</w:t>
            </w:r>
          </w:p>
          <w:p w14:paraId="6EBBCF66">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输入选择：每路输入通道在软件界面可选择除Analog(模拟信号)之外还有Dante、CobraNet、AES/EBU、MADI、Ethersound、Optical、Coaxial、N-net、Sine、Pink、White等多种数字信号和测试信号输入供用户根据系统搭建调试需要选择；响应文件中须提供输入选择的软件界面清晰照片图。</w:t>
            </w:r>
          </w:p>
          <w:p w14:paraId="00E8E963">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8.输出选择：每路输出通道在软件界面可选择除Analog(模拟信号)之外还有Dante、CobraNet、AES/EBU、MADI、EtherSound、Optical、Coaxial等数字信号供用户根据系统搭建调试需要选择；响应文件中须提供输出选择的软件界面清晰照片图。</w:t>
            </w:r>
          </w:p>
          <w:p w14:paraId="42C18ADB">
            <w:pPr>
              <w:widowControl/>
              <w:numPr>
                <w:ilvl w:val="0"/>
                <w:numId w:val="3"/>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中文、英文、繁体(其他语言可定制)，配套软件具有几十种音频处理器模块:31段均衡器，5段参量均衡器，压缩器，限幅器，扩展器，分频器，调音推杆，延时器，哑音控制器，自动混音器，反馈、矩阵、信号指示表和信号发生器等；</w:t>
            </w:r>
          </w:p>
          <w:p w14:paraId="1B582504">
            <w:pPr>
              <w:widowControl/>
              <w:numPr>
                <w:ilvl w:val="0"/>
                <w:numId w:val="3"/>
              </w:numPr>
              <w:spacing w:line="300" w:lineRule="exact"/>
              <w:ind w:left="0" w:lef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音频矩阵处理器可实现以太网远程跨网段控制，可远程实时对设备进行调试和维护，解决产品应用调试和售后维护响应时间久的问题。</w:t>
            </w:r>
          </w:p>
          <w:p w14:paraId="5FD14ADD">
            <w:pPr>
              <w:widowControl/>
              <w:numPr>
                <w:ilvl w:val="0"/>
                <w:numId w:val="3"/>
              </w:numPr>
              <w:spacing w:line="300" w:lineRule="exact"/>
              <w:ind w:left="0" w:lef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方便快捷的网页控制：内置网页控制端口，在Windows、Android、iOS等平台上皆可快速操作；</w:t>
            </w:r>
          </w:p>
          <w:p w14:paraId="7D01E2DE">
            <w:pPr>
              <w:widowControl/>
              <w:numPr>
                <w:ilvl w:val="0"/>
                <w:numId w:val="3"/>
              </w:numPr>
              <w:spacing w:line="300" w:lineRule="exact"/>
              <w:ind w:left="0" w:lef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可通过IPAD、智能手机、PC无线控制音频处理器的模式切换及内部处理单元的开关，能远程控制系统中的功放、电源时序器开启、关闭。</w:t>
            </w:r>
          </w:p>
          <w:p w14:paraId="08C4E9B3">
            <w:pPr>
              <w:widowControl/>
              <w:numPr>
                <w:ilvl w:val="0"/>
                <w:numId w:val="3"/>
              </w:numPr>
              <w:spacing w:line="300" w:lineRule="exact"/>
              <w:ind w:left="0" w:lef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软件下载：处理器内置PC调试软件，可直接登录IP地址下载操作软件。</w:t>
            </w:r>
          </w:p>
          <w:p w14:paraId="5A61636D">
            <w:pPr>
              <w:widowControl/>
              <w:numPr>
                <w:ilvl w:val="0"/>
                <w:numId w:val="0"/>
              </w:numPr>
              <w:spacing w:line="300" w:lineRule="exact"/>
              <w:ind w:left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14、提供</w:t>
            </w:r>
            <w:r>
              <w:rPr>
                <w:rFonts w:hint="eastAsia" w:ascii="宋体" w:hAnsi="宋体" w:cs="宋体"/>
                <w:color w:val="000000" w:themeColor="text1"/>
                <w:kern w:val="0"/>
                <w:sz w:val="21"/>
                <w:szCs w:val="21"/>
                <w:highlight w:val="none"/>
                <w:lang w:eastAsia="zh-CN"/>
                <w14:textFill>
                  <w14:solidFill>
                    <w14:schemeClr w14:val="tx1"/>
                  </w14:solidFill>
                </w14:textFill>
              </w:rPr>
              <w:t>第三方</w:t>
            </w:r>
            <w:r>
              <w:rPr>
                <w:rFonts w:hint="eastAsia" w:ascii="宋体" w:hAnsi="宋体" w:eastAsia="宋体" w:cs="宋体"/>
                <w:color w:val="000000" w:themeColor="text1"/>
                <w:kern w:val="0"/>
                <w:sz w:val="21"/>
                <w:szCs w:val="21"/>
                <w:highlight w:val="none"/>
                <w14:textFill>
                  <w14:solidFill>
                    <w14:schemeClr w14:val="tx1"/>
                  </w14:solidFill>
                </w14:textFill>
              </w:rPr>
              <w:t>检测机构出具的功能性检测报告扫描件查验，检测报告应具有“2-8”项参数的功能描述和送检样品的实物图片（功能实物面板照片图外观和报告内实物图片需保持一致）；并提供检测报告编号在国家市场监督管理总局官网查询截图。</w:t>
            </w:r>
          </w:p>
          <w:p w14:paraId="2197FC45">
            <w:pPr>
              <w:widowControl/>
              <w:numPr>
                <w:ilvl w:val="0"/>
                <w:numId w:val="4"/>
              </w:numPr>
              <w:spacing w:line="300" w:lineRule="exact"/>
              <w:ind w:leftChars="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专业扩声系统综合管理平台软件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BBFBCAF">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系统可以通过专业扩声系统综合管理云平台软件进行集中统一管理，专业扩声系统综合管理云平台软件包含网络有源音箱软件模块、功放系统软件模块、音频处理器软件模块、电源时序器软件模块、会议系统软件模块、反馈抑制器软件模块、智能混音软件模块、语音智能控制软件模块，可快速调用管理。</w:t>
            </w:r>
          </w:p>
          <w:p w14:paraId="55AAC14C">
            <w:pPr>
              <w:widowControl/>
              <w:numPr>
                <w:ilvl w:val="0"/>
                <w:numId w:val="0"/>
              </w:numPr>
              <w:spacing w:line="300" w:lineRule="exact"/>
              <w:ind w:left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专业扩声系统综合管理云平台软件支持浏览器直接登录，具有状态监控功能，支持设备在线、运行、故障状态监控，可查看管理云平台接入的设备数量；（提供功能界面截图佐证）</w:t>
            </w:r>
          </w:p>
          <w:p w14:paraId="302E1896">
            <w:pPr>
              <w:widowControl/>
              <w:numPr>
                <w:ilvl w:val="0"/>
                <w:numId w:val="0"/>
              </w:numPr>
              <w:spacing w:line="300" w:lineRule="exact"/>
              <w:ind w:left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具有故障预警查看功能：支持设备无法开机，音频系统回声、啸叫、音量过大等预警信息统计显示；具有地图故障预警显示；（提供功能界面截图佐证）</w:t>
            </w:r>
          </w:p>
          <w:p w14:paraId="2D3354C5">
            <w:pPr>
              <w:widowControl/>
              <w:numPr>
                <w:ilvl w:val="0"/>
                <w:numId w:val="0"/>
              </w:numPr>
              <w:spacing w:line="300" w:lineRule="exact"/>
              <w:ind w:left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具有权限管理功能：可基于系统使用方组织结构进行用户的分级分权管理，并进行灵活的级别定义和权限设置。可自定义用户角色和级别，并进行相应的授权资源管理；（提供功能界面截图佐证）</w:t>
            </w:r>
          </w:p>
          <w:p w14:paraId="27430D80">
            <w:pPr>
              <w:widowControl/>
              <w:numPr>
                <w:ilvl w:val="0"/>
                <w:numId w:val="0"/>
              </w:numPr>
              <w:spacing w:line="300" w:lineRule="exact"/>
              <w:ind w:left="0" w:leftChars="0" w:firstLine="0" w:firstLineChars="0"/>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音频处理器软件模块：可一键与功率放大器及电源时序器通讯并控制其开关机；具备音量大小推杆调节、≥8场景模式选择、回声消除、均衡器，压缩器，限幅器，扩展器，分频器，延时器，哑音控制器，自动混音器，反馈、矩阵等；（提供功能界面截图佐证）</w:t>
            </w:r>
          </w:p>
        </w:tc>
        <w:tc>
          <w:tcPr>
            <w:tcW w:w="688" w:type="dxa"/>
            <w:shd w:val="clear" w:color="000000" w:fill="FFFFFF" w:themeFill="background1"/>
            <w:vAlign w:val="center"/>
          </w:tcPr>
          <w:p w14:paraId="55262866">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1E585A81">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FBB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62EB87E">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975" w:type="dxa"/>
            <w:shd w:val="clear" w:color="000000" w:fill="FFFFFF" w:themeFill="background1"/>
            <w:vAlign w:val="center"/>
          </w:tcPr>
          <w:p w14:paraId="23B48124">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反馈抑制器</w:t>
            </w:r>
          </w:p>
        </w:tc>
        <w:tc>
          <w:tcPr>
            <w:tcW w:w="7610" w:type="dxa"/>
            <w:shd w:val="clear" w:color="000000" w:fill="FFFFFF" w:themeFill="background1"/>
            <w:vAlign w:val="top"/>
          </w:tcPr>
          <w:p w14:paraId="733C27E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1.双通道自动数字反馈抑制器，24BIT高性能A/D及D/A转换高性能处理芯片，</w:t>
            </w:r>
          </w:p>
          <w:p w14:paraId="710F54D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2.带光纤、同轴数字信号输入，集陷波器、均衡器、移频器、噪声门、压缩器于一体的多功能反馈抑制器；</w:t>
            </w:r>
          </w:p>
          <w:p w14:paraId="3410442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3.每通道不少于12个动态自动陷波器，每通道可设置8个静态滤波器，自动扫描啸叫点并自动抑制，反馈响应快速、慢速、默认三档可选择，Q值可调；</w:t>
            </w:r>
          </w:p>
          <w:p w14:paraId="5116115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4.每通道不少于12个PEQ,用以辅助微调反馈，Q值可调；</w:t>
            </w:r>
          </w:p>
          <w:p w14:paraId="247084D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5.每通道有不少于2、4、6、8Hz四档移频供工程师选择，使反馈得到最大程度抑制；</w:t>
            </w:r>
          </w:p>
          <w:p w14:paraId="3AE0DFD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6.每通道-30dB至-99dB多档噪声门供工程师选用，过滤多余杂声；</w:t>
            </w:r>
          </w:p>
          <w:p w14:paraId="5B266F5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7.每通道带有压缩功能，压缩启动阈值（不少于-40至18）、启动时间（不少于5ms-100ms可调）、释放时间(不少于6档可调)、压缩比例可调（不少于1：1-inf：1可调）；</w:t>
            </w:r>
          </w:p>
          <w:p w14:paraId="37F37F4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8.光纤、同轴输入信号输入端口各1个，响应文件须提供实物端口清晰照片图。</w:t>
            </w:r>
          </w:p>
          <w:p w14:paraId="2496F24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9.软件可设置两级面板锁，以防止误操；</w:t>
            </w:r>
          </w:p>
          <w:p w14:paraId="48C7CFC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10.前面板内嵌不少于1个2吋IPS真彩显示屏，支持中/英文菜单显示,显示通道音量、陷波器状态、移频状态、均衡状态、通道联调状态、当前用户模式等信息；响应文件须提供显示屏显示内容的清晰照片图。</w:t>
            </w:r>
          </w:p>
          <w:p w14:paraId="02205D5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前面板带有不少于5个功能按键，不少于1个EDIT编辑控制旋钮，配合显示屏可以编辑陷波器开关、移频调节、均衡开关、系统语言选择、通道联调、静态陷波器个数调节、陷波检测速度调节、清除陷波器等功能调节；</w:t>
            </w:r>
          </w:p>
          <w:p w14:paraId="510CFD9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12.可通过前面板USB端口与PC相连，实现电脑端详细设置，PC免安装专用软件带中英文界面，界面具有双通道反馈抑制频率点、Q值、增益坐标显示，软件可以保存不少于20个用户模式供调用；</w:t>
            </w:r>
          </w:p>
          <w:p w14:paraId="4B67D6B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13.每通道增益-80dB到10dB可调；</w:t>
            </w:r>
          </w:p>
          <w:p w14:paraId="3A634FD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14.XLR母座x 不少于2平衡输入端口，TRS母座x 不少于2非平衡输入端口,RCA母座x 不少于2平衡输入端口</w:t>
            </w:r>
            <w:r>
              <w:rPr>
                <w:rFonts w:hint="eastAsia"/>
                <w:color w:val="000000" w:themeColor="text1"/>
                <w:sz w:val="21"/>
                <w:szCs w:val="21"/>
                <w:highlight w:val="none"/>
                <w:lang w:eastAsia="zh-CN"/>
                <w14:textFill>
                  <w14:solidFill>
                    <w14:schemeClr w14:val="tx1"/>
                  </w14:solidFill>
                </w14:textFill>
              </w:rPr>
              <w:t>；</w:t>
            </w:r>
          </w:p>
          <w:p w14:paraId="1E71125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15.XLR母座x 不少于2平衡输出端口，TRS母座x 不少于2非平衡输出端口</w:t>
            </w:r>
          </w:p>
          <w:p w14:paraId="4066DDF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16.工作频率不低于20Hz-20Kz,处理精度不低于1Hz，尽可能保留有用频率确保音质</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1BE549A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17.前面板自带不少于1个USB端口，用以连接PC软件控制；</w:t>
            </w:r>
          </w:p>
          <w:p w14:paraId="50497C4A">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18、响应文件须提供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的功能性检测报告扫描件查验，检测报告应具有3-12项参数的功能描述和送检样品的实物图片（功能实物面板照片图外观和报告内实物图片需保持一致）；并提供检测报告编号在国家市场监督管理总局官网查询截图。</w:t>
            </w:r>
          </w:p>
        </w:tc>
        <w:tc>
          <w:tcPr>
            <w:tcW w:w="688" w:type="dxa"/>
            <w:shd w:val="clear" w:color="000000" w:fill="FFFFFF" w:themeFill="background1"/>
            <w:vAlign w:val="center"/>
          </w:tcPr>
          <w:p w14:paraId="0C5CB0C2">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417CE639">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2481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BF607E0">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975" w:type="dxa"/>
            <w:shd w:val="clear" w:color="000000" w:fill="FFFFFF" w:themeFill="background1"/>
            <w:vAlign w:val="center"/>
          </w:tcPr>
          <w:p w14:paraId="5EF5A995">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音频隔离器</w:t>
            </w:r>
          </w:p>
        </w:tc>
        <w:tc>
          <w:tcPr>
            <w:tcW w:w="7610" w:type="dxa"/>
            <w:shd w:val="clear" w:color="000000" w:fill="FFFFFF" w:themeFill="background1"/>
            <w:vAlign w:val="top"/>
          </w:tcPr>
          <w:p w14:paraId="4CE7B50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1.输入端口：2×RCA\2×TS\2×XLR</w:t>
            </w:r>
          </w:p>
          <w:p w14:paraId="2060D43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2.输出端口：2×RCA\2×TS\2×XLR</w:t>
            </w:r>
          </w:p>
          <w:p w14:paraId="05024BD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3.输入阻抗：600Ω（交流阻抗）</w:t>
            </w:r>
          </w:p>
          <w:p w14:paraId="702F2BC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4.输出阻抗：600Ω（交流阻抗）</w:t>
            </w:r>
          </w:p>
          <w:p w14:paraId="5FAEFA5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5.频率响应：20Hz—20KHz（±＜0.3dB ref 1KHz）</w:t>
            </w:r>
          </w:p>
          <w:p w14:paraId="20A3698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6.额定损失：＜0.7dB（ref 1KHz 1V rms）</w:t>
            </w:r>
          </w:p>
          <w:p w14:paraId="54883BD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7.尺寸（宽×深×高）：485×210×45mm</w:t>
            </w:r>
          </w:p>
          <w:p w14:paraId="766B6A91">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8.重量：1.78kg</w:t>
            </w:r>
          </w:p>
        </w:tc>
        <w:tc>
          <w:tcPr>
            <w:tcW w:w="688" w:type="dxa"/>
            <w:shd w:val="clear" w:color="000000" w:fill="FFFFFF" w:themeFill="background1"/>
            <w:vAlign w:val="center"/>
          </w:tcPr>
          <w:p w14:paraId="58FA6995">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06F5AD21">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2C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3FB363D">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975" w:type="dxa"/>
            <w:shd w:val="clear" w:color="000000" w:fill="FFFFFF" w:themeFill="background1"/>
            <w:vAlign w:val="center"/>
          </w:tcPr>
          <w:p w14:paraId="3105F6DB">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电源时序器</w:t>
            </w:r>
          </w:p>
        </w:tc>
        <w:tc>
          <w:tcPr>
            <w:tcW w:w="7610" w:type="dxa"/>
            <w:shd w:val="clear" w:color="000000" w:fill="FFFFFF" w:themeFill="background1"/>
            <w:vAlign w:val="top"/>
          </w:tcPr>
          <w:p w14:paraId="1926F75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一、电源时序器</w:t>
            </w:r>
          </w:p>
          <w:p w14:paraId="5376C33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1、单路输出不小于30A；</w:t>
            </w:r>
          </w:p>
          <w:p w14:paraId="040F2DC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2、可控电源不少于8路，兼容中规、美规、欧规插座；</w:t>
            </w:r>
          </w:p>
          <w:p w14:paraId="3096206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3、前面板带不少于4路直通兼容中规、美规、欧规插座；</w:t>
            </w:r>
          </w:p>
          <w:p w14:paraId="7D4FCB9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4、不少于4个USB端口，前后面板各不少于2个，前面板1号USB口为电脑软件控制端口，2、3、4号USB提供5V直流输出，可为工作灯供电、手机平板充电用，须提供USB端口清晰照片图。</w:t>
            </w:r>
          </w:p>
          <w:p w14:paraId="2158FD0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5、前面板自带不少于1个2吋彩色液晶智能显示窗，可实时显示模式、ID、当前电压、日期时间、通道开关状态等信息，须提供显示窗口显示内容清晰照片图。</w:t>
            </w:r>
          </w:p>
          <w:p w14:paraId="48A0E4E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机器面板自带不少于一个飞梭控制旋钮，配合显示屏可做保存调用模式、中文、英文语言选择、级联开关设置、波特率选择、ID选择、初始化设定、电压校准、过压欠压设置、保护开关或自动设置、时间设置、上电自启设置、定时开关设置、通道开关机延时设置、软件版本、端口、设备名称查看、IP设置；</w:t>
            </w:r>
          </w:p>
          <w:p w14:paraId="7E3A266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7、机器后面板带有不少于2个RJ45网口（LINK IN、LINK OUT），通过级联设置，自动识别主机从机实现多台时序器超远距离级联使用；</w:t>
            </w:r>
          </w:p>
          <w:p w14:paraId="25F6C1C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8、APP控制:机器带有手机APP控制软件，可控制模式调取、通道电源开关，须提供APP控制软件界面截图。</w:t>
            </w:r>
          </w:p>
          <w:p w14:paraId="4DF0508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9、机器可通过前面板1号USB端口、后面板RS-232端口，LAN-PC的RJ45网口实现IP网络远程控制，三种端口任意选择与电脑相连通过软件控制；</w:t>
            </w:r>
          </w:p>
          <w:p w14:paraId="567316B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模式调取、模式保存（可保存不少于8种模式供用户调用）、当前电压、时序器开关机、单路单独开关，软件可设置通道延时0-999秒、可做定时器设置：星期一至星期日根据需要设置开启关闭并能单独旁路星期一至星期日的定时器时间、定时开关可设定关闭、循环、非循环，同时开机日期、关机日期、开机时间、关机时间均可单独设置；过压设置：带有开启、关闭、自动三档设置，过压欠压从0-300V根据需要设置；可设定时间、获取系统时间、可设定上电自启，系统设置：可设置设备地址、设备名称、电压校准、级联开关、语言选择（中文、英文）；须提供软件界面功能截图。</w:t>
            </w:r>
          </w:p>
          <w:p w14:paraId="10BD17F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11、机器可通过后接线板的2路RJ45任意一个网口Remote switch远程控制功能与音频矩阵处理器、中控、有线控制面板及其他设备联动通讯，实现有线和无线远程控制电源时序器开关机；须提供任意一种联动设备通过该远程控制功能控制电源时序器的开机和关机的两种工作状态清晰照片图。</w:t>
            </w:r>
          </w:p>
          <w:p w14:paraId="17EACD9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12、中控接口不少于RS232、RS485、LAN-PC三种连接方式；</w:t>
            </w:r>
          </w:p>
          <w:p w14:paraId="0FA37B6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13、每路开关机延时0-999秒自定义；</w:t>
            </w:r>
          </w:p>
          <w:p w14:paraId="1C8CB33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14、提供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的功能性检测报告扫描件查验，检测报告应具有“3-12”项参数的功能描述和送检样品的实物图片（功能实物面板照片图外观和报告内实物图片需保持一致）；并提供检测报告编号在国家市场监督管理总局官网查询截图。</w:t>
            </w:r>
          </w:p>
          <w:p w14:paraId="532EA1D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二、专业扩声系统综合管理平台软件</w:t>
            </w:r>
          </w:p>
          <w:p w14:paraId="5369AD7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可以通过专业扩声系统综合管理云平台软件进行集中统一管理，专业扩声系统综合管理云平台软件包含网络有源音箱软件模块、功放系统软件模块、音频处理器软件模块、电源时序器软件模块、会议系统软件模块、反馈抑制器软件模块、智能混音软件模块、语音智能控制软件模块，可快速调用管理。</w:t>
            </w:r>
          </w:p>
          <w:p w14:paraId="3492B2E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2.专业扩声系统综合管理云平台软件支持浏览器直接登录，具有状态监控功能，支持设备在线、运行、故障状态监控，可查看管理云平台接入的设备数量；（提供功能界面截图佐证）</w:t>
            </w:r>
          </w:p>
          <w:p w14:paraId="6F45311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3.具有故障预警查看功能：支持设备无法开机，音频系统回声、啸叫、音量过大等预警信息统计显示；具有地图故障预警显示；（提供功能界面截图佐证）</w:t>
            </w:r>
          </w:p>
          <w:p w14:paraId="0F4FB82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4.具有权限管理功能：可基于系统使用方组织结构进行用户的分级分权管理，并进行灵活的级别定义和权限设置。可自定义用户角色和级别，并进行相应的授权资源管理；（提供功能界面截图佐证）</w:t>
            </w:r>
          </w:p>
          <w:p w14:paraId="69007B64">
            <w:pPr>
              <w:widowControl/>
              <w:spacing w:line="300" w:lineRule="exact"/>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5.电源时序器软件模块：可一键控制电源时序器开关机；（提供功能界面截图佐证）</w:t>
            </w:r>
          </w:p>
        </w:tc>
        <w:tc>
          <w:tcPr>
            <w:tcW w:w="688" w:type="dxa"/>
            <w:shd w:val="clear" w:color="000000" w:fill="FFFFFF" w:themeFill="background1"/>
            <w:vAlign w:val="center"/>
          </w:tcPr>
          <w:p w14:paraId="5F7177F7">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12" w:type="dxa"/>
            <w:shd w:val="clear" w:color="000000" w:fill="FFFFFF" w:themeFill="background1"/>
            <w:vAlign w:val="center"/>
          </w:tcPr>
          <w:p w14:paraId="2C6EC11F">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DD9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4A337F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975" w:type="dxa"/>
            <w:shd w:val="clear" w:color="000000" w:fill="FFFFFF" w:themeFill="background1"/>
            <w:vAlign w:val="center"/>
          </w:tcPr>
          <w:p w14:paraId="5BC561B1">
            <w:pPr>
              <w:widowControl/>
              <w:spacing w:line="3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无线手持话筒</w:t>
            </w:r>
          </w:p>
          <w:p w14:paraId="7B9AF18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（一拖二）</w:t>
            </w:r>
          </w:p>
        </w:tc>
        <w:tc>
          <w:tcPr>
            <w:tcW w:w="7610" w:type="dxa"/>
            <w:shd w:val="clear" w:color="000000" w:fill="FFFFFF" w:themeFill="background1"/>
            <w:vAlign w:val="top"/>
          </w:tcPr>
          <w:p w14:paraId="35BA4A6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w:t>
            </w:r>
            <w:r>
              <w:rPr>
                <w:rFonts w:hint="eastAsia" w:ascii="宋体" w:hAnsi="宋体" w:cs="宋体"/>
                <w:color w:val="000000" w:themeColor="text1"/>
                <w:kern w:val="0"/>
                <w:sz w:val="21"/>
                <w:szCs w:val="21"/>
                <w:highlight w:val="none"/>
                <w:lang w:eastAsia="zh-CN"/>
                <w14:textFill>
                  <w14:solidFill>
                    <w14:schemeClr w14:val="tx1"/>
                  </w14:solidFill>
                </w14:textFill>
              </w:rPr>
              <w:t>有</w:t>
            </w:r>
            <w:r>
              <w:rPr>
                <w:rFonts w:hint="eastAsia" w:ascii="宋体" w:hAnsi="宋体" w:eastAsia="宋体" w:cs="宋体"/>
                <w:color w:val="000000" w:themeColor="text1"/>
                <w:kern w:val="0"/>
                <w:sz w:val="21"/>
                <w:szCs w:val="21"/>
                <w:highlight w:val="none"/>
                <w14:textFill>
                  <w14:solidFill>
                    <w14:schemeClr w14:val="tx1"/>
                  </w14:solidFill>
                </w14:textFill>
              </w:rPr>
              <w:t>数字ID导频功能，彻底杜绝干扰和窜频现象</w:t>
            </w:r>
          </w:p>
          <w:p w14:paraId="5049221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2.音质清晰亮丽，理想使用距离≥100米</w:t>
            </w:r>
          </w:p>
          <w:p w14:paraId="279F6BF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3.≥200组可选频点，抗干扰能力强</w:t>
            </w:r>
          </w:p>
          <w:p w14:paraId="08431C2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4.接收机带发射电池用量显示</w:t>
            </w:r>
          </w:p>
          <w:p w14:paraId="52E77BD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5.设有回输啸叫抑制减弱功能，能有效减少回输啸叫</w:t>
            </w:r>
          </w:p>
          <w:p w14:paraId="6635302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6.适用于大小舞台，会议厅，KTV包房等。手持、头戴、领夹可选配。</w:t>
            </w:r>
          </w:p>
          <w:p w14:paraId="043A984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7.载波频段范围：不劣于640-690MHz</w:t>
            </w:r>
          </w:p>
          <w:p w14:paraId="6FE5348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8.调制方式：宽带FM</w:t>
            </w:r>
          </w:p>
          <w:p w14:paraId="2D254F8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9.可调范围：≥50MHz</w:t>
            </w:r>
          </w:p>
          <w:p w14:paraId="7C9F767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10.信道数目：≥200</w:t>
            </w:r>
          </w:p>
          <w:p w14:paraId="259F6CB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11.信道间隔：≥200KHz</w:t>
            </w:r>
          </w:p>
          <w:p w14:paraId="16C2EDD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12.频率稳定度：±0.005%以内</w:t>
            </w:r>
          </w:p>
          <w:p w14:paraId="7C7E7D1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13.动态范围：&gt;105dB</w:t>
            </w:r>
          </w:p>
          <w:p w14:paraId="4D0D4C5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14.最大频偏：±45KHz以内</w:t>
            </w:r>
          </w:p>
          <w:p w14:paraId="5E1D2B3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15.音频响应：不劣于40Hz-18KHz(±3dB)</w:t>
            </w:r>
          </w:p>
          <w:p w14:paraId="25297DB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16.综合信噪比：&gt;110dB</w:t>
            </w:r>
          </w:p>
          <w:p w14:paraId="29EB4DD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17.综合失真：≤0.2%</w:t>
            </w:r>
          </w:p>
          <w:p w14:paraId="1079020A">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18.工作温度：不劣于-25℃--+40℃</w:t>
            </w:r>
          </w:p>
        </w:tc>
        <w:tc>
          <w:tcPr>
            <w:tcW w:w="688" w:type="dxa"/>
            <w:shd w:val="clear" w:color="000000" w:fill="FFFFFF" w:themeFill="background1"/>
            <w:vAlign w:val="center"/>
          </w:tcPr>
          <w:p w14:paraId="5164916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26BC59F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49A0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2E567CC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975" w:type="dxa"/>
            <w:shd w:val="clear" w:color="000000" w:fill="FFFFFF" w:themeFill="background1"/>
            <w:vAlign w:val="center"/>
          </w:tcPr>
          <w:p w14:paraId="7436BD55">
            <w:pPr>
              <w:widowControl/>
              <w:spacing w:line="3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无线头戴话筒</w:t>
            </w:r>
          </w:p>
          <w:p w14:paraId="59A0057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（一拖二）</w:t>
            </w:r>
          </w:p>
        </w:tc>
        <w:tc>
          <w:tcPr>
            <w:tcW w:w="7610" w:type="dxa"/>
            <w:shd w:val="clear" w:color="000000" w:fill="FFFFFF" w:themeFill="background1"/>
            <w:vAlign w:val="top"/>
          </w:tcPr>
          <w:p w14:paraId="3F98FA5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w:t>
            </w:r>
            <w:r>
              <w:rPr>
                <w:rFonts w:hint="eastAsia" w:ascii="宋体" w:hAnsi="宋体" w:cs="宋体"/>
                <w:color w:val="000000" w:themeColor="text1"/>
                <w:kern w:val="0"/>
                <w:sz w:val="21"/>
                <w:szCs w:val="21"/>
                <w:highlight w:val="none"/>
                <w:lang w:eastAsia="zh-CN"/>
                <w14:textFill>
                  <w14:solidFill>
                    <w14:schemeClr w14:val="tx1"/>
                  </w14:solidFill>
                </w14:textFill>
              </w:rPr>
              <w:t>有</w:t>
            </w:r>
            <w:r>
              <w:rPr>
                <w:rFonts w:hint="eastAsia" w:ascii="宋体" w:hAnsi="宋体" w:eastAsia="宋体" w:cs="宋体"/>
                <w:color w:val="000000" w:themeColor="text1"/>
                <w:kern w:val="0"/>
                <w:sz w:val="21"/>
                <w:szCs w:val="21"/>
                <w:highlight w:val="none"/>
                <w14:textFill>
                  <w14:solidFill>
                    <w14:schemeClr w14:val="tx1"/>
                  </w14:solidFill>
                </w14:textFill>
              </w:rPr>
              <w:t>的数字ID导频功能，彻底杜绝干扰和窜频现象</w:t>
            </w:r>
          </w:p>
          <w:p w14:paraId="15DF50E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2.音质清晰亮丽，理想使用距离≥100米</w:t>
            </w:r>
          </w:p>
          <w:p w14:paraId="54FBA15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3.≥200组可选频点，抗干扰能力强</w:t>
            </w:r>
          </w:p>
          <w:p w14:paraId="711D9CD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4.接收机带发射电池用量显示</w:t>
            </w:r>
          </w:p>
          <w:p w14:paraId="641ECAE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5.设有回输啸叫抑制减弱功能，能有效减少回输啸叫</w:t>
            </w:r>
          </w:p>
          <w:p w14:paraId="43B57B4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6.适用于大小舞台，会议厅，KTV包房等。手持、头戴、领夹可选配。</w:t>
            </w:r>
          </w:p>
          <w:p w14:paraId="410830F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7.载波频段范围：不劣于640-690MHz</w:t>
            </w:r>
          </w:p>
          <w:p w14:paraId="78CE183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8.调制方式：宽带FM</w:t>
            </w:r>
          </w:p>
          <w:p w14:paraId="6F3F2D7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9.可调范围：≥50MHz</w:t>
            </w:r>
          </w:p>
          <w:p w14:paraId="7E9047F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10.信道数目：≥200</w:t>
            </w:r>
          </w:p>
          <w:p w14:paraId="72E4032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11.信道间隔：≥200KHz</w:t>
            </w:r>
          </w:p>
          <w:p w14:paraId="0415CB5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12.频率稳定度：±0.005%以内</w:t>
            </w:r>
          </w:p>
          <w:p w14:paraId="36FE855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13.动态范围：&gt;105dB</w:t>
            </w:r>
          </w:p>
          <w:p w14:paraId="280A3F7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14.最大频偏：±45KHz以内</w:t>
            </w:r>
          </w:p>
          <w:p w14:paraId="349A622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15.音频响应：不劣于40Hz-18KHz(±3dB)</w:t>
            </w:r>
          </w:p>
          <w:p w14:paraId="39738AA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16.综合信噪比：&gt;110dB</w:t>
            </w:r>
          </w:p>
          <w:p w14:paraId="5F9D81C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17.综合失真：≤0.2%</w:t>
            </w:r>
          </w:p>
          <w:p w14:paraId="5F96A7C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18.工作温度：不劣于-25℃--+40℃</w:t>
            </w:r>
          </w:p>
        </w:tc>
        <w:tc>
          <w:tcPr>
            <w:tcW w:w="688" w:type="dxa"/>
            <w:shd w:val="clear" w:color="000000" w:fill="FFFFFF" w:themeFill="background1"/>
            <w:vAlign w:val="center"/>
          </w:tcPr>
          <w:p w14:paraId="1CA971E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51EF3FA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7B62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954827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975" w:type="dxa"/>
            <w:shd w:val="clear" w:color="000000" w:fill="FFFFFF" w:themeFill="background1"/>
            <w:vAlign w:val="center"/>
          </w:tcPr>
          <w:p w14:paraId="1895385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天线放大器</w:t>
            </w:r>
          </w:p>
        </w:tc>
        <w:tc>
          <w:tcPr>
            <w:tcW w:w="7610" w:type="dxa"/>
            <w:shd w:val="clear" w:color="000000" w:fill="FFFFFF" w:themeFill="background1"/>
            <w:vAlign w:val="top"/>
          </w:tcPr>
          <w:p w14:paraId="123A909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1.全频道的UHF天线分配器，它可以在多频道系统中导引天线讯号从一对天线到数个接收机。会放大射频讯号以弥补在分配过程中的衰减。</w:t>
            </w:r>
          </w:p>
          <w:p w14:paraId="0E93889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2.内建直流电配电器，可提供四组12V直流电给接收机,单一台可支持最多四台无线接收机。多台串联使用可支持更多的接收机。    </w:t>
            </w:r>
          </w:p>
          <w:p w14:paraId="32A6624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3.频率范围：不劣于450-950MHz   </w:t>
            </w:r>
          </w:p>
          <w:p w14:paraId="16726AA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4.增益：≥3dB </w:t>
            </w:r>
          </w:p>
          <w:p w14:paraId="5D42656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5.输入阻抗：≥50Ω</w:t>
            </w:r>
          </w:p>
          <w:p w14:paraId="71AE161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6.输出阻抗：≥50Ω</w:t>
            </w:r>
          </w:p>
          <w:p w14:paraId="3ECB3E8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7.输入电压：不劣于90-260V   </w:t>
            </w:r>
          </w:p>
          <w:p w14:paraId="01EB9DA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8.输出电压：不劣于12-18V/3000mA</w:t>
            </w:r>
          </w:p>
        </w:tc>
        <w:tc>
          <w:tcPr>
            <w:tcW w:w="688" w:type="dxa"/>
            <w:shd w:val="clear" w:color="000000" w:fill="FFFFFF" w:themeFill="background1"/>
            <w:vAlign w:val="center"/>
          </w:tcPr>
          <w:p w14:paraId="166ABB9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2CB779E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2AEF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761CFE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975" w:type="dxa"/>
            <w:shd w:val="clear" w:color="000000" w:fill="FFFFFF" w:themeFill="background1"/>
            <w:vAlign w:val="center"/>
          </w:tcPr>
          <w:p w14:paraId="45ECFFD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天线放大器墙装架子</w:t>
            </w:r>
          </w:p>
        </w:tc>
        <w:tc>
          <w:tcPr>
            <w:tcW w:w="7610" w:type="dxa"/>
            <w:shd w:val="clear" w:color="000000" w:fill="FFFFFF" w:themeFill="background1"/>
            <w:vAlign w:val="top"/>
          </w:tcPr>
          <w:p w14:paraId="3786304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1.天线放大器墙装架子。</w:t>
            </w:r>
          </w:p>
        </w:tc>
        <w:tc>
          <w:tcPr>
            <w:tcW w:w="688" w:type="dxa"/>
            <w:shd w:val="clear" w:color="000000" w:fill="FFFFFF" w:themeFill="background1"/>
            <w:vAlign w:val="center"/>
          </w:tcPr>
          <w:p w14:paraId="64CF290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12DCA95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860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7F672A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975" w:type="dxa"/>
            <w:shd w:val="clear" w:color="000000" w:fill="FFFFFF" w:themeFill="background1"/>
            <w:vAlign w:val="center"/>
          </w:tcPr>
          <w:p w14:paraId="1C6A4C5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数字会议系统主机</w:t>
            </w:r>
          </w:p>
        </w:tc>
        <w:tc>
          <w:tcPr>
            <w:tcW w:w="7610" w:type="dxa"/>
            <w:shd w:val="clear" w:color="000000" w:fill="FFFFFF" w:themeFill="background1"/>
            <w:vAlign w:val="top"/>
          </w:tcPr>
          <w:p w14:paraId="226BFF5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主控机与会议单元连接之数字控制、供电及声音信号采用同一电缆传送（八芯），可独立运作或外接电脑结合软件及其他外接设备同步联动操作，可实现电脑管理功能（模式或操作：自由发言、先进先出等等）。</w:t>
            </w:r>
          </w:p>
          <w:p w14:paraId="7834CCC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2.单机可实现下列会议功能：开放式会议、先进先出限制发言。</w:t>
            </w:r>
          </w:p>
          <w:p w14:paraId="29EA2B1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3.结合软件及周边设备可实现如下功能：</w:t>
            </w:r>
          </w:p>
          <w:p w14:paraId="6D0C5DE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开放模式（PREE）、先进模式（FIFO）、主席专用模式（C.Only）、限制发言（LIMIT）。</w:t>
            </w:r>
          </w:p>
          <w:p w14:paraId="7718900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4.配置视像中央处理器可实现影跟踪功能</w:t>
            </w:r>
          </w:p>
          <w:p w14:paraId="00C5F37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5.可选择同时发言之麦克风支数1-9支（含）</w:t>
            </w:r>
          </w:p>
          <w:p w14:paraId="0A1CCBB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面板具有LCD显示器，122×32点阵显示会议模式，面板上具有功能键、旋钮供系统调节或设定之用。</w:t>
            </w:r>
          </w:p>
          <w:p w14:paraId="5C36F91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6.具有四个主缆端子可连接60组会议单元，并具负载及短路保护功能，增加扩展设备可实现250台会议单元同时使用。</w:t>
            </w:r>
          </w:p>
          <w:p w14:paraId="56A2BF3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7.具3组音频信号输出端子，可外接录音或音响设备。</w:t>
            </w:r>
          </w:p>
          <w:p w14:paraId="70877F0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8.频率响应：100Hz—18KHz</w:t>
            </w:r>
          </w:p>
          <w:p w14:paraId="57A5B45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9.总谐波失真：在100Hz—18KHz会议系统声音输出小于0.1%</w:t>
            </w:r>
          </w:p>
          <w:p w14:paraId="64800D9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10.采用AC220V供电</w:t>
            </w:r>
          </w:p>
          <w:p w14:paraId="2584734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11.可安装于19英寸的标准机柜中</w:t>
            </w:r>
          </w:p>
          <w:p w14:paraId="55B31FD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12.尺寸：485（宽）×370（深）mm×88（高）mm</w:t>
            </w:r>
          </w:p>
          <w:p w14:paraId="2C971C55">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13.净重：8kg</w:t>
            </w:r>
          </w:p>
        </w:tc>
        <w:tc>
          <w:tcPr>
            <w:tcW w:w="688" w:type="dxa"/>
            <w:shd w:val="clear" w:color="000000" w:fill="FFFFFF" w:themeFill="background1"/>
            <w:vAlign w:val="center"/>
          </w:tcPr>
          <w:p w14:paraId="42DCD8D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7B15720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A6C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052977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975" w:type="dxa"/>
            <w:shd w:val="clear" w:color="000000" w:fill="FFFFFF" w:themeFill="background1"/>
            <w:vAlign w:val="center"/>
          </w:tcPr>
          <w:p w14:paraId="186D126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主席单元</w:t>
            </w:r>
          </w:p>
        </w:tc>
        <w:tc>
          <w:tcPr>
            <w:tcW w:w="7610" w:type="dxa"/>
            <w:shd w:val="clear" w:color="000000" w:fill="FFFFFF" w:themeFill="background1"/>
            <w:vAlign w:val="top"/>
          </w:tcPr>
          <w:p w14:paraId="22E1B11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1.麦克风具有发言键与指示灯，可控制/指示本机状态。</w:t>
            </w:r>
          </w:p>
          <w:p w14:paraId="3693F82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2.单指向性，具防气爆音功能，配有防风防护罩。</w:t>
            </w:r>
          </w:p>
          <w:p w14:paraId="0E8941C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3.具主席优先控制按键，可启动系统提示音提醒出席人员注意，可设永久终止或暂停终止所有发言代表麦克风的发言状态。</w:t>
            </w:r>
          </w:p>
          <w:p w14:paraId="7D86DAA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4.系统中主席单元数量不受限制，并可置于回路中任意位置。</w:t>
            </w:r>
          </w:p>
          <w:p w14:paraId="5FB6C04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5.系统中主席单元不受限制功能的限制，可绕式电容麦克风杆，并具有发言指示光环。</w:t>
            </w:r>
          </w:p>
          <w:p w14:paraId="2E268CD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6.单元由系统主机供电，输入电压18V属安全范围。</w:t>
            </w:r>
          </w:p>
          <w:p w14:paraId="00F4766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7.单元采用8芯线“T”型连接</w:t>
            </w:r>
          </w:p>
          <w:p w14:paraId="6B312D3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8.频率响应：50-16kHz</w:t>
            </w:r>
          </w:p>
          <w:p w14:paraId="29CF2F4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9.灵敏度：-42dB±2dB</w:t>
            </w:r>
          </w:p>
          <w:p w14:paraId="4D515BF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10.参考授话距离：15cm-60cm</w:t>
            </w:r>
          </w:p>
          <w:p w14:paraId="5D53C5A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11.咪管长度：400mm</w:t>
            </w:r>
          </w:p>
          <w:p w14:paraId="5F15E896">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12.液晶显示，简、繁、英三种语言可选</w:t>
            </w:r>
          </w:p>
        </w:tc>
        <w:tc>
          <w:tcPr>
            <w:tcW w:w="688" w:type="dxa"/>
            <w:shd w:val="clear" w:color="000000" w:fill="FFFFFF" w:themeFill="background1"/>
            <w:vAlign w:val="center"/>
          </w:tcPr>
          <w:p w14:paraId="0009B4D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0357403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r>
      <w:tr w14:paraId="3F1A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7A7362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975" w:type="dxa"/>
            <w:shd w:val="clear" w:color="000000" w:fill="FFFFFF" w:themeFill="background1"/>
            <w:vAlign w:val="center"/>
          </w:tcPr>
          <w:p w14:paraId="2C0543D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代表单元</w:t>
            </w:r>
          </w:p>
        </w:tc>
        <w:tc>
          <w:tcPr>
            <w:tcW w:w="7610" w:type="dxa"/>
            <w:shd w:val="clear" w:color="000000" w:fill="FFFFFF" w:themeFill="background1"/>
            <w:vAlign w:val="top"/>
          </w:tcPr>
          <w:p w14:paraId="795B9AE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1.麦克风具有发言键与指示灯，可控制/指示本机状态。</w:t>
            </w:r>
          </w:p>
          <w:p w14:paraId="08AC096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2.单指向性，具防气爆音功能，配有防风防护罩。可绕式电容麦克风杆，并具有发言指示光环。</w:t>
            </w:r>
          </w:p>
          <w:p w14:paraId="7EF6592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3.单元由系统主机供电，输入电压18V属安全范围。</w:t>
            </w:r>
          </w:p>
          <w:p w14:paraId="7C0DD96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4.单元采用8芯线“T”型连接</w:t>
            </w:r>
          </w:p>
          <w:p w14:paraId="2C59DD7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5.频率响应：50-16kHz</w:t>
            </w:r>
          </w:p>
          <w:p w14:paraId="55BCA1F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6.灵敏度：-42dB±2dB</w:t>
            </w:r>
          </w:p>
          <w:p w14:paraId="36A8DA7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7.参考授话距离：15cm-60cm</w:t>
            </w:r>
          </w:p>
          <w:p w14:paraId="695CC2E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8.咪管长度：400mm</w:t>
            </w:r>
          </w:p>
          <w:p w14:paraId="11FD5DA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9.液晶显示，简、繁、英三种语言可选</w:t>
            </w:r>
          </w:p>
        </w:tc>
        <w:tc>
          <w:tcPr>
            <w:tcW w:w="688" w:type="dxa"/>
            <w:shd w:val="clear" w:color="000000" w:fill="FFFFFF" w:themeFill="background1"/>
            <w:vAlign w:val="center"/>
          </w:tcPr>
          <w:p w14:paraId="40B295A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612" w:type="dxa"/>
            <w:shd w:val="clear" w:color="000000" w:fill="FFFFFF" w:themeFill="background1"/>
            <w:vAlign w:val="center"/>
          </w:tcPr>
          <w:p w14:paraId="748D69E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r>
      <w:tr w14:paraId="563E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BA94CB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975" w:type="dxa"/>
            <w:shd w:val="clear" w:color="000000" w:fill="FFFFFF" w:themeFill="background1"/>
            <w:vAlign w:val="center"/>
          </w:tcPr>
          <w:p w14:paraId="12818A7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落地电容话筒（大合唱）</w:t>
            </w:r>
          </w:p>
        </w:tc>
        <w:tc>
          <w:tcPr>
            <w:tcW w:w="7610" w:type="dxa"/>
            <w:shd w:val="clear" w:color="000000" w:fill="FFFFFF" w:themeFill="background1"/>
            <w:vAlign w:val="top"/>
          </w:tcPr>
          <w:p w14:paraId="130DCCB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1.换能方式: 电容式</w:t>
            </w:r>
          </w:p>
          <w:p w14:paraId="47F7BA8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2.频率响应: 30Hz-16KHz</w:t>
            </w:r>
          </w:p>
          <w:p w14:paraId="7848B7F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3.指向性 : 超心型指向</w:t>
            </w:r>
          </w:p>
          <w:p w14:paraId="6443441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4.输出阻抗（欧姆） : 75Ω</w:t>
            </w:r>
          </w:p>
          <w:p w14:paraId="05864BF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5.灵敏度 : -43dB±2dB</w:t>
            </w:r>
          </w:p>
          <w:p w14:paraId="113898E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6.供电电压:幻象48V</w:t>
            </w:r>
          </w:p>
          <w:p w14:paraId="6E7C982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7.咪线长度、配置：20米双芯、卡侬母+卡侬公</w:t>
            </w:r>
          </w:p>
          <w:p w14:paraId="04F95B7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8.输出：平衡输出</w:t>
            </w:r>
          </w:p>
          <w:p w14:paraId="657453F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9.底座规格：圆锥形直径240mm，高60mm</w:t>
            </w:r>
          </w:p>
          <w:p w14:paraId="3F5E321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10.抗手机、电磁、高频干扰</w:t>
            </w:r>
          </w:p>
          <w:p w14:paraId="6F2507B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11.可调节高度：0.1米 - 1.65米</w:t>
            </w:r>
          </w:p>
          <w:p w14:paraId="21DA9C31">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12.话筒重量：3kg</w:t>
            </w:r>
          </w:p>
        </w:tc>
        <w:tc>
          <w:tcPr>
            <w:tcW w:w="688" w:type="dxa"/>
            <w:shd w:val="clear" w:color="000000" w:fill="FFFFFF" w:themeFill="background1"/>
            <w:vAlign w:val="center"/>
          </w:tcPr>
          <w:p w14:paraId="66DF3E9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12" w:type="dxa"/>
            <w:shd w:val="clear" w:color="000000" w:fill="FFFFFF" w:themeFill="background1"/>
            <w:vAlign w:val="center"/>
          </w:tcPr>
          <w:p w14:paraId="2496121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r>
      <w:tr w14:paraId="6196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774BF9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975" w:type="dxa"/>
            <w:shd w:val="clear" w:color="000000" w:fill="FFFFFF" w:themeFill="background1"/>
            <w:vAlign w:val="center"/>
          </w:tcPr>
          <w:p w14:paraId="4FA9B9D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可编程中央控制主机</w:t>
            </w:r>
          </w:p>
        </w:tc>
        <w:tc>
          <w:tcPr>
            <w:tcW w:w="7610" w:type="dxa"/>
            <w:shd w:val="clear" w:color="000000" w:fill="FFFFFF" w:themeFill="background1"/>
            <w:vAlign w:val="top"/>
          </w:tcPr>
          <w:p w14:paraId="0872DB62">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1.真实状态反馈。</w:t>
            </w:r>
          </w:p>
          <w:p w14:paraId="309964DB">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同时支持IPAD平板电脑、安卓平板电脑、射频触摸屏、windows电脑控制(笔记本、台式机、一体机等)，一个设计器支持所有平台，并且IPAD平板、安卓平板、射频触屏及windows电脑的控制界面完全相同，方便用户使用。多种方式，可同时使用，互为备份，让项目更健壮。</w:t>
            </w:r>
          </w:p>
          <w:p w14:paraId="14604D5D">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3.主机配有不少于5个串口（不少于4个RS232串口、不少于1个RS485\422串口）、不少于6个红外口、4-Relays 继电器口、不少于4个IO口等控制口，不集成小矩阵等信号切换系统，增强控制接口，以降低整个系统崩溃的风险。</w:t>
            </w:r>
          </w:p>
          <w:p w14:paraId="534B1D5C">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4.支持万能网口，不少于一个网口，一条网线，可同时使用TCP和UDP方式。 TCP方式，可同时连接100多台被控设备，也可分时连接上万台网络受控设备。UDP方式，可广播发送，也可指定目标IP一对一发送，可支持数百个目标IP(UDP受控设备)。</w:t>
            </w:r>
          </w:p>
          <w:p w14:paraId="393BF8F9">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5.主机内置红外学习器，可把红外数据保存到电脑成为红外库文件，供后续工程或后续维护升级使用。</w:t>
            </w:r>
          </w:p>
          <w:p w14:paraId="0BCA1044">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6.支持电脑脚本语言，用户可在现场编写和下载脚本程序，比如实现校验和计算。</w:t>
            </w:r>
          </w:p>
          <w:p w14:paraId="5D388A14">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7.支持串口转发，比如串口1和输入，也自动从其它串口输出。</w:t>
            </w:r>
          </w:p>
          <w:p w14:paraId="2C8A8458">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8.主机前面板带蓝光液晶显示屏，显示工作状态。</w:t>
            </w:r>
          </w:p>
          <w:p w14:paraId="0418C255">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9.内置万年历电路，可让中控在指定时间自动执行控制操作。</w:t>
            </w:r>
          </w:p>
          <w:p w14:paraId="7071A9C5">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10.非串口分配器式中控，串口等所有控制代码保存在主机上，主机可执行逻辑控制，触摸屏仅保存一个控制ID号，减少网络通讯，提高响应速度和稳定性。</w:t>
            </w:r>
          </w:p>
          <w:p w14:paraId="755467D9">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11.主机带有网口，不需配置接收器（转换器），以提高稳定性。</w:t>
            </w:r>
          </w:p>
          <w:p w14:paraId="54FC55C6">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12.非网页式，各个平台（IPAD、安卓、windows）都有功能一致的专用操控软件(app)，更显专业，易用，稳定。</w:t>
            </w:r>
          </w:p>
          <w:p w14:paraId="692CC522">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13.采用字体自动识别技术，在Windows电脑上设计界面时使用的任何字体，都能在IPAD平板、安卓平板上正确显示（不需制作图片）。</w:t>
            </w:r>
          </w:p>
          <w:p w14:paraId="30A034A9">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14.编程设计平台可自动生成各种3D按钮（不需设计图片）；也支持图片按钮，支持PNG、WMF、ICO、GIF图片的透明效果，可实现任意形状的按钮，各种效果的界面。</w:t>
            </w:r>
          </w:p>
          <w:p w14:paraId="57D26637">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15.设计平台采用先进的软件技术，不需使用任何电脑语言进行编程，不需使用各种复杂的逻辑模块与宏，以方便施工、后期维护及升级。</w:t>
            </w:r>
          </w:p>
          <w:p w14:paraId="152C19AA">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16.程序设计师勿需亲自到现场，可直接通过以太网络，利用Internet互联网传输来更改程序的内容。</w:t>
            </w:r>
          </w:p>
        </w:tc>
        <w:tc>
          <w:tcPr>
            <w:tcW w:w="688" w:type="dxa"/>
            <w:shd w:val="clear" w:color="000000" w:fill="FFFFFF" w:themeFill="background1"/>
            <w:vAlign w:val="center"/>
          </w:tcPr>
          <w:p w14:paraId="59DB8AE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088C10D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76D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318A61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975" w:type="dxa"/>
            <w:shd w:val="clear" w:color="000000" w:fill="FFFFFF" w:themeFill="background1"/>
            <w:vAlign w:val="center"/>
          </w:tcPr>
          <w:p w14:paraId="7BEA74B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中控编程调试软件</w:t>
            </w:r>
          </w:p>
        </w:tc>
        <w:tc>
          <w:tcPr>
            <w:tcW w:w="7610" w:type="dxa"/>
            <w:shd w:val="clear" w:color="000000" w:fill="FFFFFF" w:themeFill="background1"/>
            <w:vAlign w:val="top"/>
          </w:tcPr>
          <w:p w14:paraId="2BFD3DB2">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中控主机/触摸屏编程软件，</w:t>
            </w:r>
          </w:p>
          <w:p w14:paraId="7DB41778">
            <w:pPr>
              <w:widowControl/>
              <w:numPr>
                <w:ilvl w:val="0"/>
                <w:numId w:val="0"/>
              </w:numPr>
              <w:spacing w:line="300" w:lineRule="exact"/>
              <w:ind w:left="0" w:leftChars="0" w:firstLine="0" w:firstLineChars="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支持控制菜单按钮导航和左右翻页导航</w:t>
            </w:r>
          </w:p>
        </w:tc>
        <w:tc>
          <w:tcPr>
            <w:tcW w:w="688" w:type="dxa"/>
            <w:shd w:val="clear" w:color="000000" w:fill="FFFFFF" w:themeFill="background1"/>
            <w:vAlign w:val="center"/>
          </w:tcPr>
          <w:p w14:paraId="3731B27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366B295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28F1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D34901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975" w:type="dxa"/>
            <w:shd w:val="clear" w:color="000000" w:fill="FFFFFF" w:themeFill="background1"/>
            <w:vAlign w:val="center"/>
          </w:tcPr>
          <w:p w14:paraId="6F42B27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无线路由器</w:t>
            </w:r>
          </w:p>
        </w:tc>
        <w:tc>
          <w:tcPr>
            <w:tcW w:w="7610" w:type="dxa"/>
            <w:shd w:val="clear" w:color="000000" w:fill="FFFFFF" w:themeFill="background1"/>
            <w:vAlign w:val="top"/>
          </w:tcPr>
          <w:p w14:paraId="62903DC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1.最高支持802.11ax 协议，兼容802.11a/b/g/n/ac协议；</w:t>
            </w:r>
          </w:p>
          <w:p w14:paraId="607D14B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整机采用三射频设计，Radio1最大传输速率≥300Mbps，Radio2最大传输速率≥2400Mbps，Radio3最大传输速率≥150Mbps，整机最大传输速率≥3.1Gbps；</w:t>
            </w:r>
          </w:p>
          <w:p w14:paraId="21A598F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3.千兆以太网口≥1个，内置智能天线；</w:t>
            </w:r>
          </w:p>
          <w:p w14:paraId="308D469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4.支持虚拟AP技术，单射频SSID数量最高支持≥16，整机≥32；</w:t>
            </w:r>
          </w:p>
          <w:p w14:paraId="061F5C6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5.支持Fat和Fit 两种工作模式，根据网络规划的需要，可以灵活地在Fat和Fit两种工作模式中切换，同时可以根据应用需求，选择工作模式</w:t>
            </w:r>
          </w:p>
          <w:p w14:paraId="17717F7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6.支持AP零配置，支持二三层发现、DHCP Option43、DNS域名等多种AC自动发现机制；</w:t>
            </w:r>
          </w:p>
          <w:p w14:paraId="2950C8C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支持对无线网络提供的服务进行检测，包括网络接入、DHCP、网关、DNS、网络地址等阶段的时延和质量检测，并以时光轴的方式进行展示具体时间点的检测情况（提供功能截图证明并加盖</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4B19034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支持对无线网络环境指标进行检测，包括信道总利用率、Wi-Fi信道利用率、非Wi-Fi信道利用率、同频AP数量等，以方便对网络质量进行排查（提供功能截图证明并加盖</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2E866AD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9.支持WIPS/防钓鱼WIFI，要求采用独立射频或增加独立AP（非用户连接射频）对非法接入点进行实时检测、告警及反制，过程中不影响用户正常网络接入；</w:t>
            </w:r>
          </w:p>
          <w:p w14:paraId="667A3CA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无线AP可以实现记录内网终端流量访问路径、识别异常终端访问行为、呈现全网异常访问趋势、下发策略阻断风险终端访问动作的全周期东西向流量安全可视化管控（提供功能截图证明并加盖</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62CEB34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11.支持基于STA数、信号强度、信道利用率的智能负载均衡，自动平衡各AP之间的接入压力；</w:t>
            </w:r>
          </w:p>
          <w:p w14:paraId="65A5A66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12.支持逃生模式，AP与控制器连接中断后，原有用户在线、新用户正常接入，业务不中断；</w:t>
            </w:r>
          </w:p>
        </w:tc>
        <w:tc>
          <w:tcPr>
            <w:tcW w:w="688" w:type="dxa"/>
            <w:shd w:val="clear" w:color="000000" w:fill="FFFFFF" w:themeFill="background1"/>
            <w:vAlign w:val="center"/>
          </w:tcPr>
          <w:p w14:paraId="4A1A325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7B26C73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78F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5E0ACB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w:t>
            </w:r>
          </w:p>
        </w:tc>
        <w:tc>
          <w:tcPr>
            <w:tcW w:w="975" w:type="dxa"/>
            <w:shd w:val="clear" w:color="000000" w:fill="FFFFFF" w:themeFill="background1"/>
            <w:vAlign w:val="center"/>
          </w:tcPr>
          <w:p w14:paraId="1D19B25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红外发射棒</w:t>
            </w:r>
          </w:p>
        </w:tc>
        <w:tc>
          <w:tcPr>
            <w:tcW w:w="7610" w:type="dxa"/>
            <w:shd w:val="clear" w:color="000000" w:fill="FFFFFF" w:themeFill="background1"/>
            <w:vAlign w:val="top"/>
          </w:tcPr>
          <w:p w14:paraId="466198C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1.用于对带红外遥控器的设备进行控制,连接在主机的红外端口与被控设备之间.</w:t>
            </w:r>
          </w:p>
        </w:tc>
        <w:tc>
          <w:tcPr>
            <w:tcW w:w="688" w:type="dxa"/>
            <w:shd w:val="clear" w:color="000000" w:fill="FFFFFF" w:themeFill="background1"/>
            <w:vAlign w:val="center"/>
          </w:tcPr>
          <w:p w14:paraId="51F00D2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12" w:type="dxa"/>
            <w:shd w:val="clear" w:color="000000" w:fill="FFFFFF" w:themeFill="background1"/>
            <w:vAlign w:val="center"/>
          </w:tcPr>
          <w:p w14:paraId="29686D5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r>
      <w:tr w14:paraId="1AFC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25EAB2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975" w:type="dxa"/>
            <w:shd w:val="clear" w:color="000000" w:fill="FFFFFF" w:themeFill="background1"/>
            <w:vAlign w:val="center"/>
          </w:tcPr>
          <w:p w14:paraId="25C8FCB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触摸控制屏</w:t>
            </w:r>
          </w:p>
        </w:tc>
        <w:tc>
          <w:tcPr>
            <w:tcW w:w="7610" w:type="dxa"/>
            <w:shd w:val="clear" w:color="000000" w:fill="FFFFFF" w:themeFill="background1"/>
            <w:vAlign w:val="top"/>
          </w:tcPr>
          <w:p w14:paraId="74894B7A">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1.安卓平板电脑 64G WiFi</w:t>
            </w:r>
          </w:p>
        </w:tc>
        <w:tc>
          <w:tcPr>
            <w:tcW w:w="688" w:type="dxa"/>
            <w:shd w:val="clear" w:color="000000" w:fill="FFFFFF" w:themeFill="background1"/>
            <w:vAlign w:val="center"/>
          </w:tcPr>
          <w:p w14:paraId="59797D4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052DF15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255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A5A7F7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c>
          <w:tcPr>
            <w:tcW w:w="975" w:type="dxa"/>
            <w:shd w:val="clear" w:color="000000" w:fill="FFFFFF" w:themeFill="background1"/>
            <w:vAlign w:val="center"/>
          </w:tcPr>
          <w:p w14:paraId="5AD7C26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HDMI矩阵8进8出</w:t>
            </w:r>
          </w:p>
        </w:tc>
        <w:tc>
          <w:tcPr>
            <w:tcW w:w="7610" w:type="dxa"/>
            <w:shd w:val="clear" w:color="000000" w:fill="FFFFFF" w:themeFill="background1"/>
            <w:vAlign w:val="top"/>
          </w:tcPr>
          <w:p w14:paraId="7E8BB2B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1.输入不少于8路HDMI信号，输出不少于8路HDMI信号；</w:t>
            </w:r>
          </w:p>
          <w:p w14:paraId="71940E6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2.支持输入输出支持HDMI1.4，最高分辨率3840x2160@30Hz；</w:t>
            </w:r>
          </w:p>
          <w:p w14:paraId="74A8680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3.输入输出色彩空间支持RGB4:4:4, YCbCr4:4:4,YCbCr4:2:2等；</w:t>
            </w:r>
          </w:p>
          <w:p w14:paraId="1256B33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4.支持自定义EDID；</w:t>
            </w:r>
          </w:p>
          <w:p w14:paraId="3819469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5.支持HDMI/DVI信号格式；</w:t>
            </w:r>
          </w:p>
          <w:p w14:paraId="7CB8514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6.支持HDMI接口连续热拔插； </w:t>
            </w:r>
          </w:p>
          <w:p w14:paraId="3DFC1C7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7.支持不少于双向串口控制、面板按键控制，可选配网口控制；</w:t>
            </w:r>
          </w:p>
          <w:p w14:paraId="642438D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8.支持多路输入到多路输出无缝快速切换；</w:t>
            </w:r>
          </w:p>
        </w:tc>
        <w:tc>
          <w:tcPr>
            <w:tcW w:w="688" w:type="dxa"/>
            <w:shd w:val="clear" w:color="000000" w:fill="FFFFFF" w:themeFill="background1"/>
            <w:vAlign w:val="center"/>
          </w:tcPr>
          <w:p w14:paraId="13647AC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1071B58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442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DF997C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975" w:type="dxa"/>
            <w:shd w:val="clear" w:color="000000" w:fill="FFFFFF" w:themeFill="background1"/>
            <w:vAlign w:val="center"/>
          </w:tcPr>
          <w:p w14:paraId="27A80E3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8路电源管理器</w:t>
            </w:r>
          </w:p>
        </w:tc>
        <w:tc>
          <w:tcPr>
            <w:tcW w:w="7610" w:type="dxa"/>
            <w:shd w:val="clear" w:color="000000" w:fill="FFFFFF" w:themeFill="background1"/>
            <w:vAlign w:val="top"/>
          </w:tcPr>
          <w:p w14:paraId="7954CCD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1.手动控制：在机器的正前方，有8个拨码开关，紧急情况下可以手动控制继电器的开关，在中控出现故障时可以使用这一功能，很好的保护其他的设备；</w:t>
            </w:r>
          </w:p>
          <w:p w14:paraId="6585057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2.IO控制：在机器的内部有8个IO接口，在没有中控的情况下也能使用，用途更广；</w:t>
            </w:r>
          </w:p>
          <w:p w14:paraId="1838381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3.协议兼容：兼容目前市面上用得比较广的中控网络协议；</w:t>
            </w:r>
          </w:p>
          <w:p w14:paraId="6E4AD27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4.ID选择 ：旋转的ID切换设置网络ID身份代码；</w:t>
            </w:r>
          </w:p>
          <w:p w14:paraId="352E2A6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5.支持8路继电控制，每路继电器都有三连接点的接线柱,具有常开与常闭的功能；</w:t>
            </w:r>
          </w:p>
          <w:p w14:paraId="172719C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6.前面面板带LED显示，可指示每个通道工作状态</w:t>
            </w:r>
          </w:p>
          <w:p w14:paraId="6EA4ED4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7.支持SD-NET网络接口、RS232接口、CAN接口；</w:t>
            </w:r>
          </w:p>
          <w:p w14:paraId="0D02C21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8.可选配ZIBEE无线模块，实现无线组网控制。</w:t>
            </w:r>
          </w:p>
          <w:p w14:paraId="4B1C31F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9.SD-NET地址码 ID拨码</w:t>
            </w:r>
          </w:p>
          <w:p w14:paraId="6772517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10.控制路数 8个</w:t>
            </w:r>
          </w:p>
          <w:p w14:paraId="6D9FDAE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11.电源 DC24V，SD-NET总线供电</w:t>
            </w:r>
          </w:p>
          <w:p w14:paraId="537EF23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12.最大功耗 18W/DC12V</w:t>
            </w:r>
          </w:p>
          <w:p w14:paraId="5436FFCF">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13.单路载入容量 AC220V/20A、DC30V/20A</w:t>
            </w:r>
          </w:p>
        </w:tc>
        <w:tc>
          <w:tcPr>
            <w:tcW w:w="688" w:type="dxa"/>
            <w:shd w:val="clear" w:color="000000" w:fill="FFFFFF" w:themeFill="background1"/>
            <w:vAlign w:val="center"/>
          </w:tcPr>
          <w:p w14:paraId="589EAD4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264E620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3AA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EB6088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w:t>
            </w:r>
          </w:p>
        </w:tc>
        <w:tc>
          <w:tcPr>
            <w:tcW w:w="975" w:type="dxa"/>
            <w:shd w:val="clear" w:color="000000" w:fill="FFFFFF" w:themeFill="background1"/>
            <w:vAlign w:val="center"/>
          </w:tcPr>
          <w:p w14:paraId="22E543C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控制主机</w:t>
            </w:r>
          </w:p>
        </w:tc>
        <w:tc>
          <w:tcPr>
            <w:tcW w:w="7610" w:type="dxa"/>
            <w:shd w:val="clear" w:color="000000" w:fill="FFFFFF" w:themeFill="background1"/>
            <w:vAlign w:val="center"/>
          </w:tcPr>
          <w:p w14:paraId="7858F77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1.工控机箱设计，采用≥17.3英寸电容触摸屏。</w:t>
            </w:r>
          </w:p>
          <w:p w14:paraId="040E070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2.DD系列主机采用的处理器配置≥8核，≥8线程，≥2.7GHz主频；≥1×256G M.2固态硬盘；≥1×8G DDR4内存。</w:t>
            </w:r>
          </w:p>
          <w:p w14:paraId="2EE95A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3.抽拉式键盘鼠标设计。</w:t>
            </w:r>
          </w:p>
          <w:p w14:paraId="4062E8F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4.具有≥1×VGA接口、≥1×DVI接口、≥2×LAN接口、≥6×COM RS232接口（COM3/4支持RS232/RS485）、≥4×USB2.0接口、≥4xUSB3.0接口、≥1×PS/2接口、≥1×MIC IN接口、≥1×LINE OUT接口、≥1×LINE IN接口、≥1×TRIGGER INPUT接口。</w:t>
            </w:r>
          </w:p>
        </w:tc>
        <w:tc>
          <w:tcPr>
            <w:tcW w:w="688" w:type="dxa"/>
            <w:shd w:val="clear" w:color="000000" w:fill="FFFFFF" w:themeFill="background1"/>
            <w:vAlign w:val="center"/>
          </w:tcPr>
          <w:p w14:paraId="7AB0077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16E17BB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233C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0DEC4B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975" w:type="dxa"/>
            <w:shd w:val="clear" w:color="000000" w:fill="FFFFFF" w:themeFill="background1"/>
            <w:vAlign w:val="center"/>
          </w:tcPr>
          <w:p w14:paraId="6A0CA6A1">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数字化网络广播系统服务平台</w:t>
            </w:r>
          </w:p>
        </w:tc>
        <w:tc>
          <w:tcPr>
            <w:tcW w:w="7610" w:type="dxa"/>
            <w:shd w:val="clear" w:color="000000" w:fill="FFFFFF" w:themeFill="background1"/>
            <w:vAlign w:val="center"/>
          </w:tcPr>
          <w:p w14:paraId="00348AD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1.后台有多种登录方式，包括账户密码、PIN码、图案密码，可设置登录错误次数限制，可自定义锁定时间。（提供功能界面截图佐证）</w:t>
            </w:r>
          </w:p>
          <w:p w14:paraId="69059F6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2.平台支持新建用户，并对其权限进行管理，包括终端和分组权限；支持高级任务优先级和角色权限分配；同时支持禁用或启用用户。支持对用户进行账号代管操作，支持一键控制代管操作。</w:t>
            </w:r>
          </w:p>
          <w:p w14:paraId="1FBF8F5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3.后台可对终端进行≥10段均衡器调节，保存为模板后方便选择，并可应用到其他终端。</w:t>
            </w:r>
          </w:p>
          <w:p w14:paraId="7167E6E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4.具备电子地图、在线地图功能，可在地图上进行终端部署，在地图上可实时查看终端状态，实时显示设备状态；支持GIS地图功能，支持一键广播。</w:t>
            </w:r>
          </w:p>
          <w:p w14:paraId="0B56615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5.支持对终端设置不同的灯光模式，可分别自定义设置红灯亮、红灯灭、绿灯/蓝灯亮、绿灯/蓝灯灭时间0-10S。</w:t>
            </w:r>
          </w:p>
          <w:p w14:paraId="0608F57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6.支持遥控配置功能，可查阅遥控器列表、遥控任务、遥控话筒任务，支持配置≥20个按键任务，可配置任务音量、优先级、混音配置、播放音源信息，播放音源支持选择话筒、快捷音源、音乐播放。</w:t>
            </w:r>
          </w:p>
          <w:p w14:paraId="22FF2C5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7.具有多语言功能，支持多语言一键切换，支持中文简体、中文繁体、英文、韩语、葡萄牙语、西班牙语、俄语、法语、阿拉伯语八种语言切换，支持不同国家语种运用。</w:t>
            </w:r>
          </w:p>
          <w:p w14:paraId="6CD67F7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8.后台功能模块自定义；首页入口自由配置。可自定义界面模式，包括经典模式、简约模式。</w:t>
            </w:r>
          </w:p>
          <w:p w14:paraId="6FE35A9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9.具有资源共享功能，用户可以自定义共享权限，可共享分组管理、定时打铃、定时任务、定时巡更、一键报警任务、云播音室、媒体库。</w:t>
            </w:r>
          </w:p>
          <w:p w14:paraId="35EE447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10.具有节假日图文推送的功能，并为用户提供了自定义设备图文展示的选项。</w:t>
            </w:r>
          </w:p>
          <w:p w14:paraId="1983792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11.具有4×100级自定义配置任务优先级(服务器优先级、任务优先级、用户优先级,终端优先级）,满足各种优先级任务自动调度。</w:t>
            </w:r>
          </w:p>
          <w:p w14:paraId="04A9096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12.具有系统状态（可用硬盘、内存剩余、进程检测、网络检测）、终端状态（CPU、内存、负载均衡、播放状态、声卡状态、链路越点、网络丢包率、最大帧间隔、音频相识度）的系统检测功能，支持一键导出报告。（提供功能界面截图佐证）</w:t>
            </w:r>
          </w:p>
          <w:p w14:paraId="0807BD8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13.具有系统小助手，实现操作手册、模块说明、任务提醒、意见反馈的快捷查看。</w:t>
            </w:r>
          </w:p>
          <w:p w14:paraId="51F5161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14.支持用户自定义大数据面板科技仓模式下方的展示标语，展示标语可设置为静态或动态形式。</w:t>
            </w:r>
          </w:p>
          <w:p w14:paraId="2DE0CC2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15.系统具有抗丢包功能，采用了数据冗余编解码算法，实现在网络丢包严重的网络环境下音频播放无卡顿，可支持≥37.5%丢包率。</w:t>
            </w:r>
          </w:p>
          <w:p w14:paraId="79647E8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16.多套定时打铃方案同时启用，每套定时打铃方案支持多套任务同时进行，支持一键启用/停用所有方案。</w:t>
            </w:r>
          </w:p>
          <w:p w14:paraId="55C0ECB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p>
          <w:p w14:paraId="26F99A6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18.支持设置节假日或特殊日期，实现指定时间停用所有定时任务。</w:t>
            </w:r>
          </w:p>
          <w:p w14:paraId="4A2DAC4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19.用户可选择特定的终端设备，并设定具体的时间点，系统将在该时间点自动对选定的终端执行音量均衡调整，可以对音量进行等比例的设置。（提供功能界面截图佐证）</w:t>
            </w:r>
          </w:p>
          <w:p w14:paraId="628F390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20.具有定时插播模式，可设置执行时间点范围、间隔时间，批量自动生成打铃任务。</w:t>
            </w:r>
          </w:p>
          <w:p w14:paraId="47480ED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具有启用考试模式功能，支持配置终端冻结时间，在终端被冻结期间禁止终端执行任务。考试模式下，数模备份能进行相互切换，出现断网、断电的异常情况下，系统采用实时系统监测及设备自检技术，听力备份切换延时＜0.03秒，实现无卡顿、无丢字、无延时的考试听力备份效果。</w:t>
            </w:r>
          </w:p>
          <w:p w14:paraId="3845DB5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22.具有一键巡检功能，支持拾取现场音箱声音状态并回传给系统，具有音频相似度（DTW）检测技术，可逐个终端自动比对回传的数据与任务播放的数据，并将比对结果输出报告。</w:t>
            </w:r>
          </w:p>
          <w:p w14:paraId="160FC26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23.具有终端列表的导入/导出功能，定时打铃的导入/导出功能，终端自动上线、终端手动添加使用、音量批量编辑。</w:t>
            </w:r>
          </w:p>
          <w:p w14:paraId="4CFD9F4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p>
          <w:p w14:paraId="1125C7E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25.具有任务回收站，支持将删除的定时打铃或定时任务放置在此模块中，可实现一键恢复/删除操作。</w:t>
            </w:r>
          </w:p>
          <w:p w14:paraId="195B0E7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支持接入≥6路视频监控信号，用户实时查看与设备绑定的监控点现场画面。此外，平台还具备对特定监控设备关联的广播设备进行广播的功能，提供了包括移动侦测、越界侦测、区域入侵侦测、目标进入区域、目标离开区域、遮挡报警、徘徊行为检测监控功能，并能自动触发预设的音频报警，实现实时告警。</w:t>
            </w:r>
          </w:p>
          <w:p w14:paraId="56278CF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27.具有数字混音功能，支持任务自定义混音配置，支持对各端的广播/对讲/终端点播任务设置混音配置。支持麦克风前景音与背景音的配置选项，并允许用户调节背景音的音量强度。</w:t>
            </w:r>
          </w:p>
          <w:p w14:paraId="0B49D2E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28.平台是整个系统的运行核心，统一管理系统内所有音频终端，包括语音播控台、对讲终端、广播终端和消防接口设备，实时显示音频终端的IP地址、在线状态、任务状态、音量。</w:t>
            </w:r>
          </w:p>
          <w:p w14:paraId="21E2D84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支撑各音频终端的运行，负责音频流传输管理，响应各音频终端播放请求和音频全双工交换，支持B/S架构，通过网页登陆可进行终端管理、用户管理、节目播放管理、音频文件管理、录音存贮、内部通讯调度处理功能。</w:t>
            </w:r>
          </w:p>
          <w:p w14:paraId="60AE728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支持部署于国产操作系统，与国产操作系统完成兼容性测试，能够达到通用兼容性要求及性能、可靠性要求，满足用户的关键性应用需求。</w:t>
            </w:r>
          </w:p>
          <w:p w14:paraId="22D6FD3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竞标</w:t>
            </w:r>
            <w:r>
              <w:rPr>
                <w:rFonts w:hint="eastAsia" w:ascii="宋体" w:hAnsi="宋体" w:eastAsia="宋体" w:cs="宋体"/>
                <w:color w:val="000000" w:themeColor="text1"/>
                <w:kern w:val="0"/>
                <w:sz w:val="21"/>
                <w:szCs w:val="21"/>
                <w:highlight w:val="none"/>
                <w14:textFill>
                  <w14:solidFill>
                    <w14:schemeClr w14:val="tx1"/>
                  </w14:solidFill>
                </w14:textFill>
              </w:rPr>
              <w:t>的数字化网络广播系统服务平台与国产芯片处理器和国产操作系统完成兼容性测试，能够达到兼容性要求及性能、可靠性要求，满足用户的关键性应用需求。（需提供与国产芯片处理器产品兼容互认证明复印件加盖公章）</w:t>
            </w:r>
          </w:p>
        </w:tc>
        <w:tc>
          <w:tcPr>
            <w:tcW w:w="688" w:type="dxa"/>
            <w:shd w:val="clear" w:color="000000" w:fill="FFFFFF" w:themeFill="background1"/>
            <w:vAlign w:val="center"/>
          </w:tcPr>
          <w:p w14:paraId="3A8EB28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3AF83D9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2918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DBE239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w:t>
            </w:r>
          </w:p>
        </w:tc>
        <w:tc>
          <w:tcPr>
            <w:tcW w:w="975" w:type="dxa"/>
            <w:shd w:val="clear" w:color="000000" w:fill="FFFFFF" w:themeFill="background1"/>
            <w:vAlign w:val="center"/>
          </w:tcPr>
          <w:p w14:paraId="375C1848">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桌面操作系统</w:t>
            </w:r>
          </w:p>
        </w:tc>
        <w:tc>
          <w:tcPr>
            <w:tcW w:w="7610" w:type="dxa"/>
            <w:shd w:val="clear" w:color="000000" w:fill="FFFFFF" w:themeFill="background1"/>
            <w:vAlign w:val="center"/>
          </w:tcPr>
          <w:p w14:paraId="57988DD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桌面操作系统</w:t>
            </w:r>
          </w:p>
        </w:tc>
        <w:tc>
          <w:tcPr>
            <w:tcW w:w="688" w:type="dxa"/>
            <w:shd w:val="clear" w:color="000000" w:fill="FFFFFF" w:themeFill="background1"/>
            <w:vAlign w:val="center"/>
          </w:tcPr>
          <w:p w14:paraId="050A056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4181C94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11FA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98F7CE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975" w:type="dxa"/>
            <w:shd w:val="clear" w:color="000000" w:fill="FFFFFF" w:themeFill="background1"/>
            <w:vAlign w:val="center"/>
          </w:tcPr>
          <w:p w14:paraId="73DB32C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控制器</w:t>
            </w:r>
          </w:p>
        </w:tc>
        <w:tc>
          <w:tcPr>
            <w:tcW w:w="7610" w:type="dxa"/>
            <w:shd w:val="clear" w:color="000000" w:fill="FFFFFF" w:themeFill="background1"/>
            <w:vAlign w:val="center"/>
          </w:tcPr>
          <w:p w14:paraId="6F3A584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1.设备采用机柜式设计，自动实现卫星自动校时，使用地球同步卫星作为校时基准，与格林威治时间误差≤0.1秒。</w:t>
            </w:r>
          </w:p>
          <w:p w14:paraId="60F59C8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2.液晶显示屏可显示时间。</w:t>
            </w:r>
          </w:p>
          <w:p w14:paraId="13B8328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3.支持与公共广播系统对接作为校时系统。</w:t>
            </w:r>
          </w:p>
          <w:p w14:paraId="7741AB4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4.系统带北斗卫星导航系统（BDS）+GPS卫星定位系统两大定位系统，可以实现后台远程切换两个不同系统。</w:t>
            </w:r>
          </w:p>
        </w:tc>
        <w:tc>
          <w:tcPr>
            <w:tcW w:w="688" w:type="dxa"/>
            <w:shd w:val="clear" w:color="000000" w:fill="FFFFFF" w:themeFill="background1"/>
            <w:vAlign w:val="center"/>
          </w:tcPr>
          <w:p w14:paraId="378C3F1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0C40A0E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808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7FFF93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c>
          <w:tcPr>
            <w:tcW w:w="975" w:type="dxa"/>
            <w:shd w:val="clear" w:color="000000" w:fill="FFFFFF" w:themeFill="background1"/>
            <w:vAlign w:val="center"/>
          </w:tcPr>
          <w:p w14:paraId="144936C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CD播放器</w:t>
            </w:r>
          </w:p>
        </w:tc>
        <w:tc>
          <w:tcPr>
            <w:tcW w:w="7610" w:type="dxa"/>
            <w:shd w:val="clear" w:color="000000" w:fill="FFFFFF" w:themeFill="background1"/>
            <w:vAlign w:val="center"/>
          </w:tcPr>
          <w:p w14:paraId="60A9B65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1.吸入式机芯；</w:t>
            </w:r>
          </w:p>
          <w:p w14:paraId="0B1DAB0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2.自动播放控制；</w:t>
            </w:r>
          </w:p>
          <w:p w14:paraId="569E207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3.可播放：CD/VCD/MP3/DVD碟片；</w:t>
            </w:r>
          </w:p>
          <w:p w14:paraId="1ADFD20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4.内置宽频监听扬声器；</w:t>
            </w:r>
          </w:p>
          <w:p w14:paraId="3757873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5.内置MP3播放器，可读USB和SD卡；</w:t>
            </w:r>
          </w:p>
          <w:p w14:paraId="6EF9DC1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6.可通过面板按键或红外遥控器控制操作。</w:t>
            </w:r>
          </w:p>
          <w:p w14:paraId="7FC7171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7.支持上电自动播放功能。</w:t>
            </w:r>
          </w:p>
        </w:tc>
        <w:tc>
          <w:tcPr>
            <w:tcW w:w="688" w:type="dxa"/>
            <w:shd w:val="clear" w:color="000000" w:fill="FFFFFF" w:themeFill="background1"/>
            <w:vAlign w:val="center"/>
          </w:tcPr>
          <w:p w14:paraId="4BC7C9F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6EA1A87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B58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A8807C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975" w:type="dxa"/>
            <w:shd w:val="clear" w:color="000000" w:fill="FFFFFF" w:themeFill="background1"/>
            <w:vAlign w:val="center"/>
          </w:tcPr>
          <w:p w14:paraId="366BE41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多功能音源控制嵌入软件</w:t>
            </w:r>
          </w:p>
        </w:tc>
        <w:tc>
          <w:tcPr>
            <w:tcW w:w="7610" w:type="dxa"/>
            <w:shd w:val="clear" w:color="000000" w:fill="FFFFFF" w:themeFill="background1"/>
            <w:vAlign w:val="center"/>
          </w:tcPr>
          <w:p w14:paraId="085D408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1.软件内嵌于终端设备，支撑设备各项基本功能的运行。</w:t>
            </w:r>
          </w:p>
          <w:p w14:paraId="7B8BFFD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2.支持系统+ESS解码方案，超强纠错功能。</w:t>
            </w:r>
          </w:p>
          <w:p w14:paraId="41E7FAD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3.支持播放CD等碟片。</w:t>
            </w:r>
          </w:p>
          <w:p w14:paraId="43526BA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4.支持读取U盘或SD卡，并且播放媒体文件。</w:t>
            </w:r>
          </w:p>
        </w:tc>
        <w:tc>
          <w:tcPr>
            <w:tcW w:w="688" w:type="dxa"/>
            <w:shd w:val="clear" w:color="000000" w:fill="FFFFFF" w:themeFill="background1"/>
            <w:vAlign w:val="center"/>
          </w:tcPr>
          <w:p w14:paraId="1660D26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7418575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40F2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E9FEFD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w:t>
            </w:r>
          </w:p>
        </w:tc>
        <w:tc>
          <w:tcPr>
            <w:tcW w:w="975" w:type="dxa"/>
            <w:shd w:val="clear" w:color="000000" w:fill="FFFFFF" w:themeFill="background1"/>
            <w:vAlign w:val="center"/>
          </w:tcPr>
          <w:p w14:paraId="5E6F02A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调谐器</w:t>
            </w:r>
          </w:p>
        </w:tc>
        <w:tc>
          <w:tcPr>
            <w:tcW w:w="7610" w:type="dxa"/>
            <w:shd w:val="clear" w:color="000000" w:fill="FFFFFF" w:themeFill="background1"/>
            <w:vAlign w:val="center"/>
          </w:tcPr>
          <w:p w14:paraId="7DAAE98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1.调频、调幅（AM/FM）立体声二波段接收可选，电台频率记忆存储≥99个；</w:t>
            </w:r>
          </w:p>
          <w:p w14:paraId="6E34515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2.电台频率自动搜索存储功能，且有断电记忆功能；</w:t>
            </w:r>
          </w:p>
          <w:p w14:paraId="32EDEE2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3.采用石英锁相环路频率合成器式调谐回路技术；</w:t>
            </w:r>
          </w:p>
          <w:p w14:paraId="4E64690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4.≥两组接收天线输入：AM接收天线输入；FM接收天线75Ω输入；</w:t>
            </w:r>
          </w:p>
          <w:p w14:paraId="233F8B9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5.≥1路音频信号左右声道（L /R）输出；</w:t>
            </w:r>
          </w:p>
          <w:p w14:paraId="3DFFF918">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6.可通过面板按键或红外遥控器控制操作。</w:t>
            </w:r>
          </w:p>
        </w:tc>
        <w:tc>
          <w:tcPr>
            <w:tcW w:w="688" w:type="dxa"/>
            <w:shd w:val="clear" w:color="000000" w:fill="FFFFFF" w:themeFill="background1"/>
            <w:vAlign w:val="center"/>
          </w:tcPr>
          <w:p w14:paraId="7DED256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52AA04A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2C02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9C0050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w:t>
            </w:r>
          </w:p>
        </w:tc>
        <w:tc>
          <w:tcPr>
            <w:tcW w:w="975" w:type="dxa"/>
            <w:shd w:val="clear" w:color="000000" w:fill="FFFFFF" w:themeFill="background1"/>
            <w:vAlign w:val="center"/>
          </w:tcPr>
          <w:p w14:paraId="37B16AD7">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收音机控制嵌入软件</w:t>
            </w:r>
          </w:p>
        </w:tc>
        <w:tc>
          <w:tcPr>
            <w:tcW w:w="7610" w:type="dxa"/>
            <w:shd w:val="clear" w:color="000000" w:fill="FFFFFF" w:themeFill="background1"/>
            <w:vAlign w:val="center"/>
          </w:tcPr>
          <w:p w14:paraId="72FF2ED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1.软件内嵌于终端设备，支撑设备各项基本功能的运行。</w:t>
            </w:r>
          </w:p>
          <w:p w14:paraId="5DBD228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2.支持选择调频、调幅（FM/AM）二波段接收。</w:t>
            </w:r>
          </w:p>
          <w:p w14:paraId="48BE615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3.支持FM接收频率范围76MHz~108MHz。</w:t>
            </w:r>
          </w:p>
          <w:p w14:paraId="607C5AD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4.支持电台频率自动搜索及存储功能，存储电台可达99个。</w:t>
            </w:r>
          </w:p>
          <w:p w14:paraId="0B1C8CE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5.支持断电记忆功能。</w:t>
            </w:r>
          </w:p>
        </w:tc>
        <w:tc>
          <w:tcPr>
            <w:tcW w:w="688" w:type="dxa"/>
            <w:shd w:val="clear" w:color="000000" w:fill="FFFFFF" w:themeFill="background1"/>
            <w:vAlign w:val="center"/>
          </w:tcPr>
          <w:p w14:paraId="34EFB6F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5D6A968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01C3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1EFB99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c>
          <w:tcPr>
            <w:tcW w:w="975" w:type="dxa"/>
            <w:shd w:val="clear" w:color="000000" w:fill="FFFFFF" w:themeFill="background1"/>
            <w:vAlign w:val="center"/>
          </w:tcPr>
          <w:p w14:paraId="2D5DD841">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前置放大器</w:t>
            </w:r>
          </w:p>
        </w:tc>
        <w:tc>
          <w:tcPr>
            <w:tcW w:w="7610" w:type="dxa"/>
            <w:shd w:val="clear" w:color="000000" w:fill="FFFFFF" w:themeFill="background1"/>
            <w:vAlign w:val="center"/>
          </w:tcPr>
          <w:p w14:paraId="1FE312B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1具有≥5路话筒（MIC）输入，≥3路标准信号线路（AUX）输入，≥2路紧急线路（EMC）输入；</w:t>
            </w:r>
          </w:p>
          <w:p w14:paraId="067EAEC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2.MIC 5具有最高优先、强行切入优先功能；MIC 5和EMC最高优先权限功能可通过拔动开关交替选择；</w:t>
            </w:r>
          </w:p>
          <w:p w14:paraId="5F8FF1C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3.紧急输入线路具有二级优先，强行切入优先功能；</w:t>
            </w:r>
          </w:p>
          <w:p w14:paraId="014F0D1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4.MIC1.2.3.4.5 和≥2路紧急输入（EMC）通道均附设有线路辅助输入接口功能；</w:t>
            </w:r>
          </w:p>
          <w:p w14:paraId="6838655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5.具有默音深度调节旋钮和EMC输入增益调节旋钮。</w:t>
            </w:r>
          </w:p>
        </w:tc>
        <w:tc>
          <w:tcPr>
            <w:tcW w:w="688" w:type="dxa"/>
            <w:shd w:val="clear" w:color="000000" w:fill="FFFFFF" w:themeFill="background1"/>
            <w:vAlign w:val="center"/>
          </w:tcPr>
          <w:p w14:paraId="0277C8E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539ED86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35EC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52D292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975" w:type="dxa"/>
            <w:shd w:val="clear" w:color="000000" w:fill="FFFFFF" w:themeFill="background1"/>
            <w:vAlign w:val="center"/>
          </w:tcPr>
          <w:p w14:paraId="17F18397">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寻呼话筒</w:t>
            </w:r>
          </w:p>
        </w:tc>
        <w:tc>
          <w:tcPr>
            <w:tcW w:w="7610" w:type="dxa"/>
            <w:shd w:val="clear" w:color="000000" w:fill="FFFFFF" w:themeFill="background1"/>
            <w:vAlign w:val="center"/>
          </w:tcPr>
          <w:p w14:paraId="05E1FDE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1.双网络接口设计，端子支持冗余备份。</w:t>
            </w:r>
          </w:p>
          <w:p w14:paraId="2A6CDEB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2.具有自定义按钮，支持自定义音乐播放、对讲、广播功能；具有紧急报警按钮，支持一键报警广播功能。（需提供面板按钮产品图和功能界面截图佐证）</w:t>
            </w:r>
          </w:p>
          <w:p w14:paraId="1823132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3.内置网络音频解码，支持MP3、WAV、FLAC、OGG、AAC、OPUS主流音频格式，兼容等同或优于8kHz-48kHz全采样率。</w:t>
            </w:r>
          </w:p>
          <w:p w14:paraId="5BC0255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4.设备采用ARM架构等同或优于四核CPU芯片和音频算法处理技术，内置DSP音频处理，支持数字混音，≥10段EQ均衡配置。</w:t>
            </w:r>
          </w:p>
          <w:p w14:paraId="4A8AE06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5.设备支持全双工双向对讲功能，支持≥12路会议通话功能，支持多方通话可视化展示。设备自带回声消除抑制功能。</w:t>
            </w:r>
          </w:p>
          <w:p w14:paraId="4D1F099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6.内置语音识别唤醒功能，支持语音控制任务执行、结束、上一曲、下一曲。</w:t>
            </w:r>
          </w:p>
          <w:p w14:paraId="4B708DC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7.支持节假日祝福图片显示，可自定义祝福图片显示，支持歌曲歌词同步显示。（需提供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w:t>
            </w:r>
            <w:r>
              <w:rPr>
                <w:rFonts w:hint="eastAsia" w:ascii="宋体" w:hAnsi="宋体" w:eastAsia="宋体" w:cs="宋体"/>
                <w:color w:val="000000" w:themeColor="text1"/>
                <w:kern w:val="0"/>
                <w:sz w:val="21"/>
                <w:szCs w:val="21"/>
                <w:highlight w:val="none"/>
                <w14:textFill>
                  <w14:solidFill>
                    <w14:schemeClr w14:val="tx1"/>
                  </w14:solidFill>
                </w14:textFill>
              </w:rPr>
              <w:t>检测机构出具的检测报告作为该技术参数证明材料）</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6FA3AFE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8.桌面式设计，自带≥10.1英寸IPS屏幕，分辨率等同或优于1024x600，支持触摸操控。支持进入休眠、低功耗省电模式，支持账号密码管理。</w:t>
            </w:r>
          </w:p>
          <w:p w14:paraId="3B22514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9.具有≥1路USB接口，支持本地音频文件自由点播播放；具有≥1路3.5mm 耳机输出接口和≥1路3.5mm MIC输入接口；具有≥1路音频线路输出接口，具有≥1路音频线路输入接口。</w:t>
            </w:r>
          </w:p>
          <w:p w14:paraId="72E03936">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10.系统采用数据冗余编解码算法，支持抗丢包恢复功能，网络丢包≥37.5%时，音频播放无卡顿。（需提供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出具的检测报告作为该技术参数证明材料）</w:t>
            </w:r>
          </w:p>
        </w:tc>
        <w:tc>
          <w:tcPr>
            <w:tcW w:w="688" w:type="dxa"/>
            <w:shd w:val="clear" w:color="000000" w:fill="FFFFFF" w:themeFill="background1"/>
            <w:vAlign w:val="center"/>
          </w:tcPr>
          <w:p w14:paraId="37923F4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368A903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32A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DEC12F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w:t>
            </w:r>
          </w:p>
        </w:tc>
        <w:tc>
          <w:tcPr>
            <w:tcW w:w="975" w:type="dxa"/>
            <w:shd w:val="clear" w:color="000000" w:fill="FFFFFF" w:themeFill="background1"/>
            <w:vAlign w:val="center"/>
          </w:tcPr>
          <w:p w14:paraId="1E86BF4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IP终端嵌入软件</w:t>
            </w:r>
          </w:p>
        </w:tc>
        <w:tc>
          <w:tcPr>
            <w:tcW w:w="7610" w:type="dxa"/>
            <w:shd w:val="clear" w:color="000000" w:fill="FFFFFF" w:themeFill="background1"/>
            <w:vAlign w:val="center"/>
          </w:tcPr>
          <w:p w14:paraId="7D4F227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1.软件内嵌于话筒设备，实现话筒呼叫控制功能，支撑设备各项基本功能的运行。</w:t>
            </w:r>
          </w:p>
          <w:p w14:paraId="6E4550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2.授权操作管理功能，支持服务器统一配置管理用户及密码。</w:t>
            </w:r>
          </w:p>
          <w:p w14:paraId="039C1F7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3.支持新配置注册智能语音提示功能。</w:t>
            </w:r>
          </w:p>
          <w:p w14:paraId="41A93A5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4.支持多种呼叫策略，包括呼叫转移、呼叫等待、无人接听提醒等。</w:t>
            </w:r>
          </w:p>
          <w:p w14:paraId="4D48791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5.支持双向对讲功能，可与另一方对讲终端实现双向语音传输功能。</w:t>
            </w:r>
          </w:p>
          <w:p w14:paraId="3678EBC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6.可实现分区/全区进行喊话/广播功能。</w:t>
            </w:r>
          </w:p>
          <w:p w14:paraId="63168A11">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7.支持单独调节音量。</w:t>
            </w:r>
          </w:p>
        </w:tc>
        <w:tc>
          <w:tcPr>
            <w:tcW w:w="688" w:type="dxa"/>
            <w:shd w:val="clear" w:color="000000" w:fill="FFFFFF" w:themeFill="background1"/>
            <w:vAlign w:val="center"/>
          </w:tcPr>
          <w:p w14:paraId="3719BA3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2E3E102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10F6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2E9613E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w:t>
            </w:r>
          </w:p>
        </w:tc>
        <w:tc>
          <w:tcPr>
            <w:tcW w:w="975" w:type="dxa"/>
            <w:shd w:val="clear" w:color="000000" w:fill="FFFFFF" w:themeFill="background1"/>
            <w:vAlign w:val="center"/>
          </w:tcPr>
          <w:p w14:paraId="28BFF3D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音频采集器</w:t>
            </w:r>
          </w:p>
        </w:tc>
        <w:tc>
          <w:tcPr>
            <w:tcW w:w="7610" w:type="dxa"/>
            <w:shd w:val="clear" w:color="000000" w:fill="FFFFFF" w:themeFill="background1"/>
            <w:vAlign w:val="center"/>
          </w:tcPr>
          <w:p w14:paraId="20D2ED7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1.具有≥2组RCA输入端子，带输入音量电位器调节，支持输入音频压限功能。</w:t>
            </w:r>
          </w:p>
          <w:p w14:paraId="3B06A82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2.具有≥5分区独立打开、关闭采集功能，配套独立的指示灯显示。</w:t>
            </w:r>
          </w:p>
          <w:p w14:paraId="2862067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3.支持定时采播任务、临时采播任务，采播任务优先级别可通过服务器设置。</w:t>
            </w:r>
          </w:p>
          <w:p w14:paraId="45E9106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4.支持音频触发采集任务；支持AUX输入自动触发采集任务。</w:t>
            </w:r>
          </w:p>
          <w:p w14:paraId="5FFEC86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5.系统播放采集音频端对端延时＜5ms。</w:t>
            </w:r>
          </w:p>
        </w:tc>
        <w:tc>
          <w:tcPr>
            <w:tcW w:w="688" w:type="dxa"/>
            <w:shd w:val="clear" w:color="000000" w:fill="FFFFFF" w:themeFill="background1"/>
            <w:vAlign w:val="center"/>
          </w:tcPr>
          <w:p w14:paraId="7E26FC9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4A85638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2E5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AEFF88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w:t>
            </w:r>
          </w:p>
        </w:tc>
        <w:tc>
          <w:tcPr>
            <w:tcW w:w="975" w:type="dxa"/>
            <w:shd w:val="clear" w:color="000000" w:fill="FFFFFF" w:themeFill="background1"/>
            <w:vAlign w:val="center"/>
          </w:tcPr>
          <w:p w14:paraId="5C20F67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话筒</w:t>
            </w:r>
          </w:p>
        </w:tc>
        <w:tc>
          <w:tcPr>
            <w:tcW w:w="7610" w:type="dxa"/>
            <w:shd w:val="clear" w:color="000000" w:fill="FFFFFF" w:themeFill="background1"/>
            <w:vAlign w:val="center"/>
          </w:tcPr>
          <w:p w14:paraId="42A2652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1.换能方式：驻极体</w:t>
            </w:r>
          </w:p>
          <w:p w14:paraId="58B6E6C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2.钟声提示：带钟声提示功能</w:t>
            </w:r>
          </w:p>
          <w:p w14:paraId="0847162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3.线材配备：10米（卡农母头转6.35音频线）</w:t>
            </w:r>
          </w:p>
          <w:p w14:paraId="7915433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4.咪杆长度 ：420mm</w:t>
            </w:r>
          </w:p>
          <w:p w14:paraId="3B65C4D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5.具备有灯环提示功能</w:t>
            </w:r>
          </w:p>
        </w:tc>
        <w:tc>
          <w:tcPr>
            <w:tcW w:w="688" w:type="dxa"/>
            <w:shd w:val="clear" w:color="000000" w:fill="FFFFFF" w:themeFill="background1"/>
            <w:vAlign w:val="center"/>
          </w:tcPr>
          <w:p w14:paraId="6CD8ED1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3019663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48BA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B6DA59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w:t>
            </w:r>
          </w:p>
        </w:tc>
        <w:tc>
          <w:tcPr>
            <w:tcW w:w="975" w:type="dxa"/>
            <w:shd w:val="clear" w:color="000000" w:fill="FFFFFF" w:themeFill="background1"/>
            <w:vAlign w:val="center"/>
          </w:tcPr>
          <w:p w14:paraId="056A55F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报警采集器</w:t>
            </w:r>
          </w:p>
        </w:tc>
        <w:tc>
          <w:tcPr>
            <w:tcW w:w="7610" w:type="dxa"/>
            <w:shd w:val="clear" w:color="000000" w:fill="FFFFFF" w:themeFill="background1"/>
            <w:vAlign w:val="center"/>
          </w:tcPr>
          <w:p w14:paraId="242B02B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有≥16路(开关量)短路输入接口，支持服务器端配置相应预设功能；具有≥8路(开关量)短路输出接口，支持服务器端任意配置相应预设输出。每≥1路(开关量)短路输入和输出采用独立的LED状态指示。面板上的≥24个LED指示灯，其中≥16个对应显示短路信号的输入，≥8个对应显示短路信号的输出。</w:t>
            </w:r>
          </w:p>
          <w:p w14:paraId="1EE765D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2.双网络接口设计，端子支持冗余备份。</w:t>
            </w:r>
          </w:p>
          <w:p w14:paraId="687B116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3.具有市电电压插座接口和直流电源接口，两种电源模式备份选择。</w:t>
            </w:r>
          </w:p>
          <w:p w14:paraId="02D996CE">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4.具有≥1组线路（AUX IN）输入接口，独立音量电位器调节音量大小。支持本地音源输入采集功能。支持音频信号自动触发执行采集任务功能。音频输入带状态灯指示。当输入音频信号过大时，削峰状态指示灯点亮。</w:t>
            </w:r>
          </w:p>
        </w:tc>
        <w:tc>
          <w:tcPr>
            <w:tcW w:w="688" w:type="dxa"/>
            <w:shd w:val="clear" w:color="000000" w:fill="FFFFFF" w:themeFill="background1"/>
            <w:vAlign w:val="center"/>
          </w:tcPr>
          <w:p w14:paraId="67DA9C4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65FE5F9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4BC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F5F660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975" w:type="dxa"/>
            <w:shd w:val="clear" w:color="000000" w:fill="FFFFFF" w:themeFill="background1"/>
            <w:vAlign w:val="center"/>
          </w:tcPr>
          <w:p w14:paraId="7F94F37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数字IP网络平台终端嵌入软件</w:t>
            </w:r>
          </w:p>
        </w:tc>
        <w:tc>
          <w:tcPr>
            <w:tcW w:w="7610" w:type="dxa"/>
            <w:shd w:val="clear" w:color="000000" w:fill="FFFFFF" w:themeFill="background1"/>
            <w:vAlign w:val="center"/>
          </w:tcPr>
          <w:p w14:paraId="7061582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1.软件内嵌于数字化IP网络终端设备，支撑设备各项基本功能的运行。</w:t>
            </w:r>
          </w:p>
          <w:p w14:paraId="1041C78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2.支持采集短路信号接口，设定触发任务。</w:t>
            </w:r>
          </w:p>
          <w:p w14:paraId="4DC2A881">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3.支持触发分区/全区广播功能。</w:t>
            </w:r>
          </w:p>
        </w:tc>
        <w:tc>
          <w:tcPr>
            <w:tcW w:w="688" w:type="dxa"/>
            <w:shd w:val="clear" w:color="000000" w:fill="FFFFFF" w:themeFill="background1"/>
            <w:vAlign w:val="center"/>
          </w:tcPr>
          <w:p w14:paraId="1705204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79FD7AD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1666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5B0C6D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w:t>
            </w:r>
          </w:p>
        </w:tc>
        <w:tc>
          <w:tcPr>
            <w:tcW w:w="975" w:type="dxa"/>
            <w:shd w:val="clear" w:color="000000" w:fill="FFFFFF" w:themeFill="background1"/>
            <w:vAlign w:val="center"/>
          </w:tcPr>
          <w:p w14:paraId="3158D42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IP网络音箱</w:t>
            </w:r>
          </w:p>
        </w:tc>
        <w:tc>
          <w:tcPr>
            <w:tcW w:w="7610" w:type="dxa"/>
            <w:shd w:val="clear" w:color="000000" w:fill="FFFFFF" w:themeFill="background1"/>
            <w:vAlign w:val="center"/>
          </w:tcPr>
          <w:p w14:paraId="221DDE3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1.内置网络音频解码模块，支持MP3、WAV、FLAC、OGG、AAC、OPUS主流音频格式，兼容等同或优于8kHz-48kHz全采样率。</w:t>
            </w:r>
          </w:p>
          <w:p w14:paraId="5D1C6AA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2.内置DSP音频处理，支持数字混音，≥10段EQ均衡配置。（需提供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w:t>
            </w:r>
            <w:r>
              <w:rPr>
                <w:rFonts w:hint="eastAsia" w:ascii="宋体" w:hAnsi="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检测报告作为该技术参数证明材料）</w:t>
            </w:r>
          </w:p>
          <w:p w14:paraId="00B3CD1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3.具有≥1路线路（AUX）输入接口，支持网络音量调节，支持断网本地扩声功能，支持背景伴奏预置功能。</w:t>
            </w:r>
          </w:p>
          <w:p w14:paraId="12A85D5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4.具有≥1路短路输入接口，支持自定义实现报警触发、本地媒体库音乐播放、音量调节功能。</w:t>
            </w:r>
          </w:p>
          <w:p w14:paraId="299EAE8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5.主音箱内置≥2×30W（MAX）的双通道D类数字功率放大器，≥1路外接到副音箱，采用高、低音分频设计；具有网络音量设置。</w:t>
            </w:r>
          </w:p>
          <w:p w14:paraId="1A2B3B4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6.系统采用数据冗余编解码算法，支持抗丢包恢复功能，网络丢包≥37.5%时，音频播放无卡顿。（需提供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w:t>
            </w:r>
            <w:r>
              <w:rPr>
                <w:rFonts w:hint="eastAsia" w:ascii="宋体" w:hAnsi="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检测报告作为该技术参数证明材料）</w:t>
            </w:r>
          </w:p>
          <w:p w14:paraId="23E99507">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7.系统播放采集音频端对端延时＜5ms。（需提供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w:t>
            </w:r>
            <w:r>
              <w:rPr>
                <w:rFonts w:hint="eastAsia" w:ascii="宋体" w:hAnsi="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检测报告作为该技术参数证明材料）</w:t>
            </w:r>
          </w:p>
        </w:tc>
        <w:tc>
          <w:tcPr>
            <w:tcW w:w="688" w:type="dxa"/>
            <w:shd w:val="clear" w:color="000000" w:fill="FFFFFF" w:themeFill="background1"/>
            <w:vAlign w:val="center"/>
          </w:tcPr>
          <w:p w14:paraId="2F08EA1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6BB8A0D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735D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772652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47</w:t>
            </w:r>
          </w:p>
        </w:tc>
        <w:tc>
          <w:tcPr>
            <w:tcW w:w="975" w:type="dxa"/>
            <w:shd w:val="clear" w:color="000000" w:fill="FFFFFF" w:themeFill="background1"/>
            <w:vAlign w:val="center"/>
          </w:tcPr>
          <w:p w14:paraId="1B7B4C4E">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电源管理器</w:t>
            </w:r>
          </w:p>
        </w:tc>
        <w:tc>
          <w:tcPr>
            <w:tcW w:w="7610" w:type="dxa"/>
            <w:shd w:val="clear" w:color="000000" w:fill="FFFFFF" w:themeFill="background1"/>
            <w:vAlign w:val="center"/>
          </w:tcPr>
          <w:p w14:paraId="7BDF6EF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1.配备LCD显示屏，支持显示温度信息，实时输入电压信息、时间信息、IP信息，定时任务信息。</w:t>
            </w:r>
          </w:p>
          <w:p w14:paraId="03C916B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2.具有≥8路电源输出插座（≥4路10A、≥4路16A的插座规格），总输出电流≥30A，支持实时监控插座功率。</w:t>
            </w:r>
          </w:p>
          <w:p w14:paraId="602C36C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3.具有≥2个10M/100M网口，≥2路RS-485接口，≥1路USB接口提供照明灯供电；配备≥1个监听扬声器，支持人声报警提示。（需提供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w:t>
            </w:r>
            <w:r>
              <w:rPr>
                <w:rFonts w:hint="eastAsia" w:ascii="宋体" w:hAnsi="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检测报告作为该技术参数证明材料）</w:t>
            </w:r>
          </w:p>
          <w:p w14:paraId="262A82C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4.支持过载、短路保护功能；支持连接PC可视化界面进行远程操控；支持网络远程固件升级，支持主从机级联，支持通过一路网口接入局域网使用软件控制所有级联设备。</w:t>
            </w:r>
          </w:p>
          <w:p w14:paraId="1EDAFF4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5.具备对每一路电源输出进行定时编程，支持每路开关时序间隔动作延迟时间调节设置。</w:t>
            </w:r>
          </w:p>
          <w:p w14:paraId="2C61756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6.支持实时检测设备温度，支持拓展外接温湿度传感器，显示外部环境温湿度。</w:t>
            </w:r>
          </w:p>
          <w:p w14:paraId="6C46C5E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7.具备自定义设置电源锁开启后每个通道开启、关闭、保持关闭前状态；支持设置对应通道的上下限位值、对应的超限动作和动作延时，支持调节报警音量大小。</w:t>
            </w:r>
          </w:p>
          <w:p w14:paraId="1EBB57F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8.支持电压、电流或温湿度超过限定值播放相应的人声报警，恢复正常时自动停止。</w:t>
            </w:r>
          </w:p>
          <w:p w14:paraId="514A26F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9.支持通过主设备电源锁可一键开启或关闭所有从设备；支持独立控制每一路电源输出，支持一键全开或全关；支持一键紧急打开或者关闭全部电源。</w:t>
            </w:r>
          </w:p>
          <w:p w14:paraId="5CDF117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10.支持PC界面控制、定时控制、手动控制、串口控制方式。</w:t>
            </w:r>
          </w:p>
        </w:tc>
        <w:tc>
          <w:tcPr>
            <w:tcW w:w="688" w:type="dxa"/>
            <w:shd w:val="clear" w:color="000000" w:fill="FFFFFF" w:themeFill="background1"/>
            <w:vAlign w:val="center"/>
          </w:tcPr>
          <w:p w14:paraId="1D8BE28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14D9CE4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663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70E9C8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975" w:type="dxa"/>
            <w:shd w:val="clear" w:color="000000" w:fill="FFFFFF" w:themeFill="background1"/>
            <w:vAlign w:val="center"/>
          </w:tcPr>
          <w:p w14:paraId="37C2691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IP终端</w:t>
            </w:r>
          </w:p>
        </w:tc>
        <w:tc>
          <w:tcPr>
            <w:tcW w:w="7610" w:type="dxa"/>
            <w:shd w:val="clear" w:color="000000" w:fill="FFFFFF" w:themeFill="background1"/>
            <w:vAlign w:val="center"/>
          </w:tcPr>
          <w:p w14:paraId="2F580CAA">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1.面板具有≥3个自定义功能按键，可定义播放曲目、执行区域、任务音量、优先级、持续时间、播放模式。（需提供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w:t>
            </w:r>
            <w:r>
              <w:rPr>
                <w:rFonts w:hint="eastAsia" w:ascii="宋体" w:hAnsi="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检测报告作为该技术参数证明材料）</w:t>
            </w:r>
          </w:p>
          <w:p w14:paraId="0E0E47D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2.双网络接口设计，端子支持冗余备份。</w:t>
            </w:r>
          </w:p>
          <w:p w14:paraId="46B21CA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3.内置网络音频解码模块，支持MP3、WAV、FLAC、OGG、AAC、OPUS主流音频格式，兼容等同或优于8kHz-48kHz全采样率。</w:t>
            </w:r>
          </w:p>
          <w:p w14:paraId="5CFA75D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4.设备采用ARM架构等同或优于四核CPU芯片和音频算法处理技术，内置DSP音频处理，支持数字混音，≥10段EQ均衡配置。（需提供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w:t>
            </w:r>
            <w:r>
              <w:rPr>
                <w:rFonts w:hint="eastAsia" w:ascii="宋体" w:hAnsi="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的检测报告作为该技术参数证明材料）</w:t>
            </w:r>
          </w:p>
          <w:p w14:paraId="3B8FA3F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5.面板自带≥3.9英寸TFT彩屏，可以显示动态图像和机器工作状态；自旋式飞梭旋钮，数字编码方式设计，可控制终端输出音量大小。</w:t>
            </w:r>
          </w:p>
          <w:p w14:paraId="0FE3413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6.具有≥1路USB接口；具有≥2组音频信号辅助输出接口；具有≥1路RS-485控制接口。</w:t>
            </w:r>
          </w:p>
          <w:p w14:paraId="2EBE01C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7.系统采用数据冗余编解码算法，支持抗丢包恢复功能，网络丢包≥37.5%时，音频播放无卡顿。（需提供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第三方检测机构</w:t>
            </w:r>
            <w:r>
              <w:rPr>
                <w:rFonts w:hint="eastAsia" w:ascii="宋体" w:hAnsi="宋体" w:eastAsia="宋体" w:cs="宋体"/>
                <w:color w:val="000000" w:themeColor="text1"/>
                <w:kern w:val="0"/>
                <w:sz w:val="21"/>
                <w:szCs w:val="21"/>
                <w:highlight w:val="none"/>
                <w14:textFill>
                  <w14:solidFill>
                    <w14:schemeClr w14:val="tx1"/>
                  </w14:solidFill>
                </w14:textFill>
              </w:rPr>
              <w:t>出具</w:t>
            </w:r>
            <w:r>
              <w:rPr>
                <w:rFonts w:hint="eastAsia" w:ascii="宋体" w:hAnsi="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检测报告作为该技术参数证明材料）</w:t>
            </w:r>
          </w:p>
        </w:tc>
        <w:tc>
          <w:tcPr>
            <w:tcW w:w="688" w:type="dxa"/>
            <w:shd w:val="clear" w:color="000000" w:fill="FFFFFF" w:themeFill="background1"/>
            <w:vAlign w:val="center"/>
          </w:tcPr>
          <w:p w14:paraId="1E0C438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12" w:type="dxa"/>
            <w:shd w:val="clear" w:color="000000" w:fill="FFFFFF" w:themeFill="background1"/>
            <w:vAlign w:val="center"/>
          </w:tcPr>
          <w:p w14:paraId="049B114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8BE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61E82AB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49</w:t>
            </w:r>
          </w:p>
        </w:tc>
        <w:tc>
          <w:tcPr>
            <w:tcW w:w="975" w:type="dxa"/>
            <w:shd w:val="clear" w:color="000000" w:fill="FFFFFF" w:themeFill="background1"/>
            <w:vAlign w:val="center"/>
          </w:tcPr>
          <w:p w14:paraId="7564FEF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前置放大器</w:t>
            </w:r>
          </w:p>
        </w:tc>
        <w:tc>
          <w:tcPr>
            <w:tcW w:w="7610" w:type="dxa"/>
            <w:shd w:val="clear" w:color="000000" w:fill="FFFFFF" w:themeFill="background1"/>
            <w:vAlign w:val="center"/>
          </w:tcPr>
          <w:p w14:paraId="0DD8A0B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1具有≥5路话筒（MIC）输入，≥3路标准信号线路（AUX）输入，≥2路紧急线路（EMC）输入；</w:t>
            </w:r>
          </w:p>
          <w:p w14:paraId="2EF62AF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2.MIC 5具有最高优先、强行切入优先功能；MIC 5和EMC最高优先权限功能可通过拔动开关交替选择；</w:t>
            </w:r>
          </w:p>
          <w:p w14:paraId="240ECC8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3.紧急输入线路具有二级优先，强行切入优先功能；</w:t>
            </w:r>
          </w:p>
          <w:p w14:paraId="0F313DB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4.MIC1.2.3.4.5 和≥2路紧急输入（EMC）通道均附设有线路辅助输入接口功能；</w:t>
            </w:r>
          </w:p>
          <w:p w14:paraId="0D93ADA7">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5.具有默音深度调节旋钮和EMC输入增益调节旋钮。</w:t>
            </w:r>
          </w:p>
        </w:tc>
        <w:tc>
          <w:tcPr>
            <w:tcW w:w="688" w:type="dxa"/>
            <w:shd w:val="clear" w:color="000000" w:fill="FFFFFF" w:themeFill="background1"/>
            <w:vAlign w:val="center"/>
          </w:tcPr>
          <w:p w14:paraId="44FFF1C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12" w:type="dxa"/>
            <w:shd w:val="clear" w:color="000000" w:fill="FFFFFF" w:themeFill="background1"/>
            <w:vAlign w:val="center"/>
          </w:tcPr>
          <w:p w14:paraId="3807A6F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E5C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BD98B5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975" w:type="dxa"/>
            <w:shd w:val="clear" w:color="000000" w:fill="FFFFFF" w:themeFill="background1"/>
            <w:vAlign w:val="center"/>
          </w:tcPr>
          <w:p w14:paraId="084BCA16">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纯后级功放</w:t>
            </w:r>
          </w:p>
        </w:tc>
        <w:tc>
          <w:tcPr>
            <w:tcW w:w="7610" w:type="dxa"/>
            <w:shd w:val="clear" w:color="000000" w:fill="FFFFFF" w:themeFill="background1"/>
            <w:vAlign w:val="center"/>
          </w:tcPr>
          <w:p w14:paraId="0330A03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1.采用D类数字功放技术，功率放大电路设计</w:t>
            </w:r>
          </w:p>
          <w:p w14:paraId="123558E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2.额定输出功率：≥1000W</w:t>
            </w:r>
          </w:p>
          <w:p w14:paraId="4720A66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3.具有管道式散热结构，内置自动温度控制风扇冷却系统。</w:t>
            </w:r>
          </w:p>
          <w:p w14:paraId="10CC7E7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4.具有≥1通道LINE不平衡TRS/XLR高品质多功能输入接口，≥1通道LINE平衡XLR级联输出。</w:t>
            </w:r>
          </w:p>
          <w:p w14:paraId="082C131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5.内置PFC电路和软开关电源技术，开关机自动软启动控制。</w:t>
            </w:r>
          </w:p>
          <w:p w14:paraId="6FCC4D6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6.功放电路，零交越失真。</w:t>
            </w:r>
          </w:p>
          <w:p w14:paraId="4BCF455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7.内置智能削顶失真和过流压限系统，能保护扬声器单元。</w:t>
            </w:r>
          </w:p>
          <w:p w14:paraId="18D3A5A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8.具有过温、过压、欠压、过流、短路多重智能检测保护系统。</w:t>
            </w:r>
          </w:p>
          <w:p w14:paraId="2DF1E90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9.具有2种定阻和定压输出模式:4-16Ω/100V可选择。</w:t>
            </w:r>
          </w:p>
        </w:tc>
        <w:tc>
          <w:tcPr>
            <w:tcW w:w="688" w:type="dxa"/>
            <w:shd w:val="clear" w:color="000000" w:fill="FFFFFF" w:themeFill="background1"/>
            <w:vAlign w:val="center"/>
          </w:tcPr>
          <w:p w14:paraId="3F9CD03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12" w:type="dxa"/>
            <w:shd w:val="clear" w:color="000000" w:fill="FFFFFF" w:themeFill="background1"/>
            <w:vAlign w:val="center"/>
          </w:tcPr>
          <w:p w14:paraId="342DF17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704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6A15ED7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w:t>
            </w:r>
          </w:p>
        </w:tc>
        <w:tc>
          <w:tcPr>
            <w:tcW w:w="975" w:type="dxa"/>
            <w:shd w:val="clear" w:color="000000" w:fill="FFFFFF" w:themeFill="background1"/>
            <w:vAlign w:val="center"/>
          </w:tcPr>
          <w:p w14:paraId="6E47A085">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音柱</w:t>
            </w:r>
          </w:p>
        </w:tc>
        <w:tc>
          <w:tcPr>
            <w:tcW w:w="7610" w:type="dxa"/>
            <w:shd w:val="clear" w:color="000000" w:fill="FFFFFF" w:themeFill="background1"/>
            <w:vAlign w:val="center"/>
          </w:tcPr>
          <w:p w14:paraId="7412025A">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1．额定功率(100V)：60W</w:t>
            </w:r>
          </w:p>
          <w:p w14:paraId="0224427A">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2．额定功率(70V)：30W</w:t>
            </w:r>
          </w:p>
          <w:p w14:paraId="4151107E">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3．灵敏度≥91dB</w:t>
            </w:r>
          </w:p>
          <w:p w14:paraId="566E6E23">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4．频率响应：110Hz-15KHz</w:t>
            </w:r>
          </w:p>
          <w:p w14:paraId="6D96C337">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5．防护等级：IP66</w:t>
            </w:r>
          </w:p>
          <w:p w14:paraId="315ED6C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6．喇叭单元：6.5"×2+3"×1</w:t>
            </w:r>
          </w:p>
        </w:tc>
        <w:tc>
          <w:tcPr>
            <w:tcW w:w="688" w:type="dxa"/>
            <w:shd w:val="clear" w:color="000000" w:fill="FFFFFF" w:themeFill="background1"/>
            <w:vAlign w:val="center"/>
          </w:tcPr>
          <w:p w14:paraId="3CFD512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612" w:type="dxa"/>
            <w:shd w:val="clear" w:color="000000" w:fill="FFFFFF" w:themeFill="background1"/>
            <w:vAlign w:val="center"/>
          </w:tcPr>
          <w:p w14:paraId="357EA7F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r>
      <w:tr w14:paraId="37E7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AAC6E7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52</w:t>
            </w:r>
          </w:p>
        </w:tc>
        <w:tc>
          <w:tcPr>
            <w:tcW w:w="975" w:type="dxa"/>
            <w:shd w:val="clear" w:color="000000" w:fill="FFFFFF" w:themeFill="background1"/>
            <w:vAlign w:val="center"/>
          </w:tcPr>
          <w:p w14:paraId="636CF11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有线交换机</w:t>
            </w:r>
          </w:p>
        </w:tc>
        <w:tc>
          <w:tcPr>
            <w:tcW w:w="7610" w:type="dxa"/>
            <w:shd w:val="clear" w:color="000000" w:fill="FFFFFF" w:themeFill="background1"/>
            <w:vAlign w:val="center"/>
          </w:tcPr>
          <w:p w14:paraId="2FAC7EF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1.千兆电口≥24个、千兆光口≥4个、1个Console口，1个Manage口</w:t>
            </w:r>
          </w:p>
          <w:p w14:paraId="026E3C4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2.交换性能≥336 Gbps，包转发率≥96 Mpps</w:t>
            </w:r>
          </w:p>
          <w:p w14:paraId="057E016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3.工作温度：-5°C～45°C，存储温度：-20°C～70°C</w:t>
            </w:r>
          </w:p>
          <w:p w14:paraId="7FB2CB4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4.支持胖瘦一体化，支持智能交换机和普通交换机两种工作模式，可以根据不同的组网需要，随时灵活的进行切换</w:t>
            </w:r>
          </w:p>
          <w:p w14:paraId="2829C16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5.可通过配置静态IP地址，DHCP Option43方式，DNS域名等方式发现控制器平台（提供截图证明材料）</w:t>
            </w:r>
          </w:p>
          <w:p w14:paraId="758C0CA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6.支持通过控制器平台一键替换“按钮”即可完成故障设备替换</w:t>
            </w:r>
          </w:p>
          <w:p w14:paraId="3B3517F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7.支持STP、RSTP、MSTP协议，支持IGMP v1/v2/v3 Snooping</w:t>
            </w:r>
          </w:p>
          <w:p w14:paraId="1B11670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8.支持IEEE 802.3az 标准的 EEE节能技术：当EEE使能时，从而大幅度的减小端口在该阶段的功耗，达到了节能的目的。</w:t>
            </w:r>
          </w:p>
          <w:p w14:paraId="708E670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9.支持MAC地址自动学习</w:t>
            </w:r>
          </w:p>
          <w:p w14:paraId="3291AB2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10.为提高设备可靠性，支持M-LAG技术（提供截图证明材料）；</w:t>
            </w:r>
          </w:p>
          <w:p w14:paraId="3B652E9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11.支持通过控制器平台查看交换机端口负载情况（提供平台功能截图证明）；</w:t>
            </w:r>
          </w:p>
          <w:p w14:paraId="4D0EA8A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12.支持统一管理</w:t>
            </w:r>
          </w:p>
          <w:p w14:paraId="5B1EFA6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13.为禁止非法终端(例如私接路由器)接入，需支持终端类型库，能自动识别PC电脑终端、路由器、监控摄像头终端设备等（提供终端类型识别库截图证明）；</w:t>
            </w:r>
          </w:p>
          <w:p w14:paraId="3F120A1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14.支持防网关ARP欺骗，管理员分级管理，支持防止DOS、ARP攻击功能</w:t>
            </w:r>
            <w:r>
              <w:rPr>
                <w:rFonts w:hint="eastAsia"/>
                <w:color w:val="000000" w:themeColor="text1"/>
                <w:sz w:val="21"/>
                <w:szCs w:val="21"/>
                <w:highlight w:val="none"/>
                <w:lang w:eastAsia="zh-CN"/>
                <w14:textFill>
                  <w14:solidFill>
                    <w14:schemeClr w14:val="tx1"/>
                  </w14:solidFill>
                </w14:textFill>
              </w:rPr>
              <w:t>；</w:t>
            </w:r>
          </w:p>
          <w:p w14:paraId="2A616E4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15.支持通过APP进行远程管理，并且可以修改交换机网络配置；</w:t>
            </w:r>
          </w:p>
          <w:p w14:paraId="608220E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16.支持通过在控制器平台的Web页面对交换机进行可视化管理查看，包括交换机的端口状态及配置、vlan信息；</w:t>
            </w:r>
          </w:p>
          <w:p w14:paraId="15EF93D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17.支持通过控制器平台对交换机端口进行开启与关闭（提供平台功能截图证明）；</w:t>
            </w:r>
          </w:p>
          <w:p w14:paraId="3B89821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18.支持安全状态页面中显示安全事件（提供功能截图证明）；</w:t>
            </w:r>
          </w:p>
          <w:p w14:paraId="6E83EF5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19.支持交换机端口终端类型变更后，通过APP、短信告警；</w:t>
            </w:r>
          </w:p>
          <w:p w14:paraId="4FC9263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20.支持通过控制器平台查看交换机面板端口工作状态，通过端口颜色显示状态即可判断端口是否在线工作；</w:t>
            </w:r>
          </w:p>
          <w:p w14:paraId="5F3AC2A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21.为实现远程运维，支持通过手机APP对交换机进行管理（提供功能截图证明）；</w:t>
            </w:r>
          </w:p>
        </w:tc>
        <w:tc>
          <w:tcPr>
            <w:tcW w:w="688" w:type="dxa"/>
            <w:shd w:val="clear" w:color="000000" w:fill="FFFFFF" w:themeFill="background1"/>
            <w:vAlign w:val="center"/>
          </w:tcPr>
          <w:p w14:paraId="4E8127B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12" w:type="dxa"/>
            <w:shd w:val="clear" w:color="000000" w:fill="FFFFFF" w:themeFill="background1"/>
            <w:vAlign w:val="center"/>
          </w:tcPr>
          <w:p w14:paraId="0CB7476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2FE9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614442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53</w:t>
            </w:r>
          </w:p>
        </w:tc>
        <w:tc>
          <w:tcPr>
            <w:tcW w:w="975" w:type="dxa"/>
            <w:shd w:val="clear" w:color="000000" w:fill="FFFFFF" w:themeFill="background1"/>
            <w:vAlign w:val="center"/>
          </w:tcPr>
          <w:p w14:paraId="005D3304">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地插盒</w:t>
            </w:r>
          </w:p>
        </w:tc>
        <w:tc>
          <w:tcPr>
            <w:tcW w:w="7610" w:type="dxa"/>
            <w:shd w:val="clear" w:color="000000" w:fill="FFFFFF" w:themeFill="background1"/>
            <w:vAlign w:val="center"/>
          </w:tcPr>
          <w:p w14:paraId="7E19EA38">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1.会议系统专用地插底盒</w:t>
            </w:r>
          </w:p>
        </w:tc>
        <w:tc>
          <w:tcPr>
            <w:tcW w:w="688" w:type="dxa"/>
            <w:shd w:val="clear" w:color="000000" w:fill="FFFFFF" w:themeFill="background1"/>
            <w:vAlign w:val="center"/>
          </w:tcPr>
          <w:p w14:paraId="398038E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1E7159A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0BBB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2F4767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w:t>
            </w:r>
          </w:p>
        </w:tc>
        <w:tc>
          <w:tcPr>
            <w:tcW w:w="975" w:type="dxa"/>
            <w:shd w:val="clear" w:color="000000" w:fill="FFFFFF" w:themeFill="background1"/>
            <w:vAlign w:val="center"/>
          </w:tcPr>
          <w:p w14:paraId="20D7CDB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会议系统延长线</w:t>
            </w:r>
          </w:p>
        </w:tc>
        <w:tc>
          <w:tcPr>
            <w:tcW w:w="7610" w:type="dxa"/>
            <w:shd w:val="clear" w:color="000000" w:fill="FFFFFF" w:themeFill="background1"/>
            <w:vAlign w:val="center"/>
          </w:tcPr>
          <w:p w14:paraId="5F371CA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1.会议系统专用连接线缆,标配13米</w:t>
            </w:r>
          </w:p>
        </w:tc>
        <w:tc>
          <w:tcPr>
            <w:tcW w:w="688" w:type="dxa"/>
            <w:shd w:val="clear" w:color="000000" w:fill="FFFFFF" w:themeFill="background1"/>
            <w:vAlign w:val="center"/>
          </w:tcPr>
          <w:p w14:paraId="742E890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1E2A318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r>
      <w:tr w14:paraId="3277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5A0CDA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w:t>
            </w:r>
          </w:p>
        </w:tc>
        <w:tc>
          <w:tcPr>
            <w:tcW w:w="975" w:type="dxa"/>
            <w:shd w:val="clear" w:color="000000" w:fill="FFFFFF" w:themeFill="background1"/>
            <w:vAlign w:val="center"/>
          </w:tcPr>
          <w:p w14:paraId="3C18337A">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护套音箱线</w:t>
            </w:r>
          </w:p>
        </w:tc>
        <w:tc>
          <w:tcPr>
            <w:tcW w:w="7610" w:type="dxa"/>
            <w:shd w:val="clear" w:color="000000" w:fill="FFFFFF" w:themeFill="background1"/>
            <w:vAlign w:val="center"/>
          </w:tcPr>
          <w:p w14:paraId="20D8D6A4">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1.2*2.0mm²专业带护套音箱线 无氧铜</w:t>
            </w:r>
          </w:p>
        </w:tc>
        <w:tc>
          <w:tcPr>
            <w:tcW w:w="688" w:type="dxa"/>
            <w:shd w:val="clear" w:color="000000" w:fill="FFFFFF" w:themeFill="background1"/>
            <w:vAlign w:val="center"/>
          </w:tcPr>
          <w:p w14:paraId="166A76D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4000</w:t>
            </w:r>
          </w:p>
        </w:tc>
        <w:tc>
          <w:tcPr>
            <w:tcW w:w="612" w:type="dxa"/>
            <w:shd w:val="clear" w:color="000000" w:fill="FFFFFF" w:themeFill="background1"/>
            <w:vAlign w:val="center"/>
          </w:tcPr>
          <w:p w14:paraId="7973227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r>
      <w:tr w14:paraId="2D8F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DBE72B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56</w:t>
            </w:r>
          </w:p>
        </w:tc>
        <w:tc>
          <w:tcPr>
            <w:tcW w:w="975" w:type="dxa"/>
            <w:shd w:val="clear" w:color="000000" w:fill="FFFFFF" w:themeFill="background1"/>
            <w:vAlign w:val="center"/>
          </w:tcPr>
          <w:p w14:paraId="35B2E187">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音箱专用线</w:t>
            </w:r>
          </w:p>
        </w:tc>
        <w:tc>
          <w:tcPr>
            <w:tcW w:w="7610" w:type="dxa"/>
            <w:shd w:val="clear" w:color="000000" w:fill="FFFFFF" w:themeFill="background1"/>
            <w:vAlign w:val="top"/>
          </w:tcPr>
          <w:p w14:paraId="7B98071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1.2*300芯,镀银铜线，</w:t>
            </w:r>
          </w:p>
        </w:tc>
        <w:tc>
          <w:tcPr>
            <w:tcW w:w="688" w:type="dxa"/>
            <w:shd w:val="clear" w:color="000000" w:fill="FFFFFF" w:themeFill="background1"/>
            <w:vAlign w:val="center"/>
          </w:tcPr>
          <w:p w14:paraId="19B4DEF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w:t>
            </w:r>
          </w:p>
        </w:tc>
        <w:tc>
          <w:tcPr>
            <w:tcW w:w="612" w:type="dxa"/>
            <w:shd w:val="clear" w:color="000000" w:fill="FFFFFF" w:themeFill="background1"/>
            <w:vAlign w:val="center"/>
          </w:tcPr>
          <w:p w14:paraId="5A5CC24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r>
      <w:tr w14:paraId="5E0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2FC6E98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57</w:t>
            </w:r>
          </w:p>
        </w:tc>
        <w:tc>
          <w:tcPr>
            <w:tcW w:w="975" w:type="dxa"/>
            <w:shd w:val="clear" w:color="000000" w:fill="FFFFFF" w:themeFill="background1"/>
            <w:vAlign w:val="center"/>
          </w:tcPr>
          <w:p w14:paraId="7A8753C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音频信号线缆</w:t>
            </w:r>
          </w:p>
        </w:tc>
        <w:tc>
          <w:tcPr>
            <w:tcW w:w="7610" w:type="dxa"/>
            <w:shd w:val="clear" w:color="000000" w:fill="FFFFFF" w:themeFill="background1"/>
            <w:vAlign w:val="center"/>
          </w:tcPr>
          <w:p w14:paraId="5C3A830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1.128编双芯带屏蔽音频线缆，40芯，无氧铜</w:t>
            </w:r>
          </w:p>
        </w:tc>
        <w:tc>
          <w:tcPr>
            <w:tcW w:w="688" w:type="dxa"/>
            <w:shd w:val="clear" w:color="000000" w:fill="FFFFFF" w:themeFill="background1"/>
            <w:vAlign w:val="center"/>
          </w:tcPr>
          <w:p w14:paraId="041C365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w:t>
            </w:r>
          </w:p>
        </w:tc>
        <w:tc>
          <w:tcPr>
            <w:tcW w:w="612" w:type="dxa"/>
            <w:shd w:val="clear" w:color="000000" w:fill="FFFFFF" w:themeFill="background1"/>
            <w:vAlign w:val="center"/>
          </w:tcPr>
          <w:p w14:paraId="6DD6816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r>
      <w:tr w14:paraId="21B6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D71912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w:t>
            </w:r>
          </w:p>
        </w:tc>
        <w:tc>
          <w:tcPr>
            <w:tcW w:w="975" w:type="dxa"/>
            <w:shd w:val="clear" w:color="000000" w:fill="FFFFFF" w:themeFill="background1"/>
            <w:vAlign w:val="center"/>
          </w:tcPr>
          <w:p w14:paraId="4D4A82D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音响设备机柜</w:t>
            </w:r>
          </w:p>
        </w:tc>
        <w:tc>
          <w:tcPr>
            <w:tcW w:w="7610" w:type="dxa"/>
            <w:shd w:val="clear" w:color="000000" w:fill="FFFFFF" w:themeFill="background1"/>
            <w:vAlign w:val="center"/>
          </w:tcPr>
          <w:p w14:paraId="169F672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1.机柜容量：42U</w:t>
            </w:r>
          </w:p>
          <w:p w14:paraId="6A7D9E1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2.外形尺寸：H</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00*W600*D600(不含脚轮高度)</w:t>
            </w:r>
          </w:p>
          <w:p w14:paraId="5337194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3.散热风扇数：2</w:t>
            </w:r>
          </w:p>
          <w:p w14:paraId="3902D37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4.表面处理：酸洗、磷化、静电喷涂</w:t>
            </w:r>
          </w:p>
          <w:p w14:paraId="3A80CED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5.配件：6位PDU电源*1；托板*1；高级门锁；重型脚轮</w:t>
            </w:r>
          </w:p>
          <w:p w14:paraId="517A6A2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6.颜色：黑色</w:t>
            </w:r>
          </w:p>
        </w:tc>
        <w:tc>
          <w:tcPr>
            <w:tcW w:w="688" w:type="dxa"/>
            <w:shd w:val="clear" w:color="000000" w:fill="FFFFFF" w:themeFill="background1"/>
            <w:vAlign w:val="center"/>
          </w:tcPr>
          <w:p w14:paraId="0621BFE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12" w:type="dxa"/>
            <w:shd w:val="clear" w:color="000000" w:fill="FFFFFF" w:themeFill="background1"/>
            <w:vAlign w:val="center"/>
          </w:tcPr>
          <w:p w14:paraId="38C2067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DAE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D8E9A5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59</w:t>
            </w:r>
          </w:p>
        </w:tc>
        <w:tc>
          <w:tcPr>
            <w:tcW w:w="975" w:type="dxa"/>
            <w:shd w:val="clear" w:color="000000" w:fill="FFFFFF" w:themeFill="background1"/>
            <w:vAlign w:val="center"/>
          </w:tcPr>
          <w:p w14:paraId="461D89A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前端设备机柜</w:t>
            </w:r>
          </w:p>
        </w:tc>
        <w:tc>
          <w:tcPr>
            <w:tcW w:w="7610" w:type="dxa"/>
            <w:shd w:val="clear" w:color="000000" w:fill="FFFFFF" w:themeFill="background1"/>
            <w:vAlign w:val="center"/>
          </w:tcPr>
          <w:p w14:paraId="3828A81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1.18U机柜，尺寸：600*600*988mm</w:t>
            </w:r>
          </w:p>
          <w:p w14:paraId="1A846E7A">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2.8口PDU国标电源插排×1，固定板部件×1,风扇×2,2"重型脚轮×4，M12支脚×4，M6方螺母螺钉×20，内六角扳手×1</w:t>
            </w:r>
          </w:p>
        </w:tc>
        <w:tc>
          <w:tcPr>
            <w:tcW w:w="688" w:type="dxa"/>
            <w:shd w:val="clear" w:color="000000" w:fill="FFFFFF" w:themeFill="background1"/>
            <w:vAlign w:val="center"/>
          </w:tcPr>
          <w:p w14:paraId="54832FF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5B136F6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1A58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DF5812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975" w:type="dxa"/>
            <w:shd w:val="clear" w:color="000000" w:fill="FFFFFF" w:themeFill="background1"/>
            <w:vAlign w:val="center"/>
          </w:tcPr>
          <w:p w14:paraId="0114C7D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AV电脑音频线</w:t>
            </w:r>
          </w:p>
        </w:tc>
        <w:tc>
          <w:tcPr>
            <w:tcW w:w="7610" w:type="dxa"/>
            <w:shd w:val="clear" w:color="000000" w:fill="FFFFFF" w:themeFill="background1"/>
            <w:vAlign w:val="center"/>
          </w:tcPr>
          <w:p w14:paraId="687EA3A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1.1.5米，3.5mm一分二音频线转双莲花手机电脑音箱连接线</w:t>
            </w:r>
          </w:p>
        </w:tc>
        <w:tc>
          <w:tcPr>
            <w:tcW w:w="688" w:type="dxa"/>
            <w:shd w:val="clear" w:color="000000" w:fill="FFFFFF" w:themeFill="background1"/>
            <w:vAlign w:val="center"/>
          </w:tcPr>
          <w:p w14:paraId="6DF87A0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3CDDD58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r>
      <w:tr w14:paraId="0E8C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85E7C3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w:t>
            </w:r>
          </w:p>
        </w:tc>
        <w:tc>
          <w:tcPr>
            <w:tcW w:w="975" w:type="dxa"/>
            <w:shd w:val="clear" w:color="000000" w:fill="FFFFFF" w:themeFill="background1"/>
            <w:vAlign w:val="center"/>
          </w:tcPr>
          <w:p w14:paraId="370A0D4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莲花转大二芯转接头</w:t>
            </w:r>
          </w:p>
        </w:tc>
        <w:tc>
          <w:tcPr>
            <w:tcW w:w="7610" w:type="dxa"/>
            <w:shd w:val="clear" w:color="000000" w:fill="FFFFFF" w:themeFill="background1"/>
            <w:vAlign w:val="center"/>
          </w:tcPr>
          <w:p w14:paraId="2780A94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1.莲花转大二芯转接插头</w:t>
            </w:r>
          </w:p>
        </w:tc>
        <w:tc>
          <w:tcPr>
            <w:tcW w:w="688" w:type="dxa"/>
            <w:shd w:val="clear" w:color="000000" w:fill="FFFFFF" w:themeFill="background1"/>
            <w:vAlign w:val="center"/>
          </w:tcPr>
          <w:p w14:paraId="241C463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12" w:type="dxa"/>
            <w:shd w:val="clear" w:color="000000" w:fill="FFFFFF" w:themeFill="background1"/>
            <w:vAlign w:val="center"/>
          </w:tcPr>
          <w:p w14:paraId="2010587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3044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4822658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62</w:t>
            </w:r>
          </w:p>
        </w:tc>
        <w:tc>
          <w:tcPr>
            <w:tcW w:w="975" w:type="dxa"/>
            <w:shd w:val="clear" w:color="000000" w:fill="FFFFFF" w:themeFill="background1"/>
            <w:vAlign w:val="center"/>
          </w:tcPr>
          <w:p w14:paraId="5F78B3F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音箱插头</w:t>
            </w:r>
          </w:p>
        </w:tc>
        <w:tc>
          <w:tcPr>
            <w:tcW w:w="7610" w:type="dxa"/>
            <w:shd w:val="clear" w:color="000000" w:fill="FFFFFF" w:themeFill="background1"/>
            <w:vAlign w:val="center"/>
          </w:tcPr>
          <w:p w14:paraId="6557C56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1.NL4FC四芯专业音箱插头</w:t>
            </w:r>
          </w:p>
        </w:tc>
        <w:tc>
          <w:tcPr>
            <w:tcW w:w="688" w:type="dxa"/>
            <w:shd w:val="clear" w:color="000000" w:fill="FFFFFF" w:themeFill="background1"/>
            <w:vAlign w:val="center"/>
          </w:tcPr>
          <w:p w14:paraId="1D0B3B0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w:t>
            </w:r>
          </w:p>
        </w:tc>
        <w:tc>
          <w:tcPr>
            <w:tcW w:w="612" w:type="dxa"/>
            <w:shd w:val="clear" w:color="000000" w:fill="FFFFFF" w:themeFill="background1"/>
            <w:vAlign w:val="center"/>
          </w:tcPr>
          <w:p w14:paraId="4F896F1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757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7602DA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w:t>
            </w:r>
          </w:p>
        </w:tc>
        <w:tc>
          <w:tcPr>
            <w:tcW w:w="975" w:type="dxa"/>
            <w:shd w:val="clear" w:color="000000" w:fill="FFFFFF" w:themeFill="background1"/>
            <w:vAlign w:val="center"/>
          </w:tcPr>
          <w:p w14:paraId="222AB33A">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卡侬公头</w:t>
            </w:r>
          </w:p>
        </w:tc>
        <w:tc>
          <w:tcPr>
            <w:tcW w:w="7610" w:type="dxa"/>
            <w:shd w:val="clear" w:color="000000" w:fill="FFFFFF" w:themeFill="background1"/>
            <w:vAlign w:val="center"/>
          </w:tcPr>
          <w:p w14:paraId="1613E527">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1.卡侬公话筒音频信号插头</w:t>
            </w:r>
          </w:p>
        </w:tc>
        <w:tc>
          <w:tcPr>
            <w:tcW w:w="688" w:type="dxa"/>
            <w:shd w:val="clear" w:color="000000" w:fill="FFFFFF" w:themeFill="background1"/>
            <w:vAlign w:val="center"/>
          </w:tcPr>
          <w:p w14:paraId="2634158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w:t>
            </w:r>
          </w:p>
        </w:tc>
        <w:tc>
          <w:tcPr>
            <w:tcW w:w="612" w:type="dxa"/>
            <w:shd w:val="clear" w:color="000000" w:fill="FFFFFF" w:themeFill="background1"/>
            <w:vAlign w:val="center"/>
          </w:tcPr>
          <w:p w14:paraId="2C9BC3E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9CA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E8911B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w:t>
            </w:r>
          </w:p>
        </w:tc>
        <w:tc>
          <w:tcPr>
            <w:tcW w:w="975" w:type="dxa"/>
            <w:shd w:val="clear" w:color="000000" w:fill="FFFFFF" w:themeFill="background1"/>
            <w:vAlign w:val="center"/>
          </w:tcPr>
          <w:p w14:paraId="474F5F0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卡侬母头</w:t>
            </w:r>
          </w:p>
        </w:tc>
        <w:tc>
          <w:tcPr>
            <w:tcW w:w="7610" w:type="dxa"/>
            <w:shd w:val="clear" w:color="000000" w:fill="FFFFFF" w:themeFill="background1"/>
            <w:vAlign w:val="center"/>
          </w:tcPr>
          <w:p w14:paraId="55F62D1F">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1.卡侬母话筒音频信号插头</w:t>
            </w:r>
          </w:p>
        </w:tc>
        <w:tc>
          <w:tcPr>
            <w:tcW w:w="688" w:type="dxa"/>
            <w:shd w:val="clear" w:color="000000" w:fill="FFFFFF" w:themeFill="background1"/>
            <w:vAlign w:val="center"/>
          </w:tcPr>
          <w:p w14:paraId="30CF515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w:t>
            </w:r>
          </w:p>
        </w:tc>
        <w:tc>
          <w:tcPr>
            <w:tcW w:w="612" w:type="dxa"/>
            <w:shd w:val="clear" w:color="000000" w:fill="FFFFFF" w:themeFill="background1"/>
            <w:vAlign w:val="center"/>
          </w:tcPr>
          <w:p w14:paraId="2405A52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190C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60CB052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w:t>
            </w:r>
          </w:p>
        </w:tc>
        <w:tc>
          <w:tcPr>
            <w:tcW w:w="975" w:type="dxa"/>
            <w:shd w:val="clear" w:color="000000" w:fill="FFFFFF" w:themeFill="background1"/>
            <w:vAlign w:val="center"/>
          </w:tcPr>
          <w:p w14:paraId="07D94990">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大三芯插头</w:t>
            </w:r>
          </w:p>
        </w:tc>
        <w:tc>
          <w:tcPr>
            <w:tcW w:w="7610" w:type="dxa"/>
            <w:shd w:val="clear" w:color="000000" w:fill="FFFFFF" w:themeFill="background1"/>
            <w:vAlign w:val="center"/>
          </w:tcPr>
          <w:p w14:paraId="06E94C0E">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1.大三芯6.35话筒麦克风端子头</w:t>
            </w:r>
          </w:p>
        </w:tc>
        <w:tc>
          <w:tcPr>
            <w:tcW w:w="688" w:type="dxa"/>
            <w:shd w:val="clear" w:color="000000" w:fill="FFFFFF" w:themeFill="background1"/>
            <w:vAlign w:val="center"/>
          </w:tcPr>
          <w:p w14:paraId="6525D0D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612" w:type="dxa"/>
            <w:shd w:val="clear" w:color="000000" w:fill="FFFFFF" w:themeFill="background1"/>
            <w:vAlign w:val="center"/>
          </w:tcPr>
          <w:p w14:paraId="7B61BE8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8E6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EBC64B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66</w:t>
            </w:r>
          </w:p>
        </w:tc>
        <w:tc>
          <w:tcPr>
            <w:tcW w:w="975" w:type="dxa"/>
            <w:shd w:val="clear" w:color="000000" w:fill="FFFFFF" w:themeFill="background1"/>
            <w:vAlign w:val="center"/>
          </w:tcPr>
          <w:p w14:paraId="6E4F01D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电源三脚插头</w:t>
            </w:r>
          </w:p>
        </w:tc>
        <w:tc>
          <w:tcPr>
            <w:tcW w:w="7610" w:type="dxa"/>
            <w:shd w:val="clear" w:color="000000" w:fill="FFFFFF" w:themeFill="background1"/>
            <w:vAlign w:val="center"/>
          </w:tcPr>
          <w:p w14:paraId="06EB969E">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1.10A电源插头</w:t>
            </w:r>
          </w:p>
        </w:tc>
        <w:tc>
          <w:tcPr>
            <w:tcW w:w="688" w:type="dxa"/>
            <w:shd w:val="clear" w:color="000000" w:fill="FFFFFF" w:themeFill="background1"/>
            <w:vAlign w:val="center"/>
          </w:tcPr>
          <w:p w14:paraId="3BA8A7F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12" w:type="dxa"/>
            <w:shd w:val="clear" w:color="000000" w:fill="FFFFFF" w:themeFill="background1"/>
            <w:vAlign w:val="center"/>
          </w:tcPr>
          <w:p w14:paraId="66E1938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C79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4292794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67</w:t>
            </w:r>
          </w:p>
        </w:tc>
        <w:tc>
          <w:tcPr>
            <w:tcW w:w="975" w:type="dxa"/>
            <w:shd w:val="clear" w:color="000000" w:fill="FFFFFF" w:themeFill="background1"/>
            <w:vAlign w:val="center"/>
          </w:tcPr>
          <w:p w14:paraId="0C09C94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50欧姆同轴线</w:t>
            </w:r>
          </w:p>
        </w:tc>
        <w:tc>
          <w:tcPr>
            <w:tcW w:w="7610" w:type="dxa"/>
            <w:shd w:val="clear" w:color="000000" w:fill="FFFFFF" w:themeFill="background1"/>
            <w:vAlign w:val="center"/>
          </w:tcPr>
          <w:p w14:paraId="21EF9C7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1.50欧姆同轴线，线径5.3mm,128编织</w:t>
            </w:r>
          </w:p>
        </w:tc>
        <w:tc>
          <w:tcPr>
            <w:tcW w:w="688" w:type="dxa"/>
            <w:shd w:val="clear" w:color="000000" w:fill="FFFFFF" w:themeFill="background1"/>
            <w:vAlign w:val="center"/>
          </w:tcPr>
          <w:p w14:paraId="2D3F3E7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612" w:type="dxa"/>
            <w:shd w:val="clear" w:color="000000" w:fill="FFFFFF" w:themeFill="background1"/>
            <w:vAlign w:val="center"/>
          </w:tcPr>
          <w:p w14:paraId="229A3C5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r>
      <w:tr w14:paraId="4D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2ED04F4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68</w:t>
            </w:r>
          </w:p>
        </w:tc>
        <w:tc>
          <w:tcPr>
            <w:tcW w:w="975" w:type="dxa"/>
            <w:shd w:val="clear" w:color="000000" w:fill="FFFFFF" w:themeFill="background1"/>
            <w:vAlign w:val="center"/>
          </w:tcPr>
          <w:p w14:paraId="6CE83F31">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大合唱话筒专用音频地插</w:t>
            </w:r>
          </w:p>
        </w:tc>
        <w:tc>
          <w:tcPr>
            <w:tcW w:w="7610" w:type="dxa"/>
            <w:shd w:val="clear" w:color="000000" w:fill="FFFFFF" w:themeFill="background1"/>
            <w:vAlign w:val="center"/>
          </w:tcPr>
          <w:p w14:paraId="4541D7C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1.材质：铜材</w:t>
            </w:r>
          </w:p>
          <w:p w14:paraId="5F8FFE9E">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2.插口：双卡农母+双6.5立体声母地插</w:t>
            </w:r>
          </w:p>
        </w:tc>
        <w:tc>
          <w:tcPr>
            <w:tcW w:w="688" w:type="dxa"/>
            <w:shd w:val="clear" w:color="000000" w:fill="FFFFFF" w:themeFill="background1"/>
            <w:vAlign w:val="center"/>
          </w:tcPr>
          <w:p w14:paraId="3E76941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094C439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3FA4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5A6373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69</w:t>
            </w:r>
          </w:p>
        </w:tc>
        <w:tc>
          <w:tcPr>
            <w:tcW w:w="975" w:type="dxa"/>
            <w:shd w:val="clear" w:color="000000" w:fill="FFFFFF" w:themeFill="background1"/>
            <w:vAlign w:val="center"/>
          </w:tcPr>
          <w:p w14:paraId="3425363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舞台信息地插</w:t>
            </w:r>
          </w:p>
        </w:tc>
        <w:tc>
          <w:tcPr>
            <w:tcW w:w="7610" w:type="dxa"/>
            <w:shd w:val="clear" w:color="000000" w:fill="FFFFFF" w:themeFill="background1"/>
            <w:vAlign w:val="center"/>
          </w:tcPr>
          <w:p w14:paraId="219FB99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1.材质：优质铜材</w:t>
            </w:r>
          </w:p>
          <w:p w14:paraId="54C6E4A6">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2.插口：Neutrik（纽垂克）音箱插座</w:t>
            </w:r>
          </w:p>
        </w:tc>
        <w:tc>
          <w:tcPr>
            <w:tcW w:w="688" w:type="dxa"/>
            <w:shd w:val="clear" w:color="000000" w:fill="FFFFFF" w:themeFill="background1"/>
            <w:vAlign w:val="center"/>
          </w:tcPr>
          <w:p w14:paraId="749C3C2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311A242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1F5B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237B494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w:t>
            </w:r>
          </w:p>
        </w:tc>
        <w:tc>
          <w:tcPr>
            <w:tcW w:w="975" w:type="dxa"/>
            <w:shd w:val="clear" w:color="000000" w:fill="FFFFFF" w:themeFill="background1"/>
            <w:vAlign w:val="center"/>
          </w:tcPr>
          <w:p w14:paraId="726164D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主席台信息地插</w:t>
            </w:r>
          </w:p>
        </w:tc>
        <w:tc>
          <w:tcPr>
            <w:tcW w:w="7610" w:type="dxa"/>
            <w:shd w:val="clear" w:color="000000" w:fill="FFFFFF" w:themeFill="background1"/>
            <w:vAlign w:val="center"/>
          </w:tcPr>
          <w:p w14:paraId="5937DFE4">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1.笔记本电脑、VGA等用</w:t>
            </w:r>
          </w:p>
        </w:tc>
        <w:tc>
          <w:tcPr>
            <w:tcW w:w="688" w:type="dxa"/>
            <w:shd w:val="clear" w:color="000000" w:fill="FFFFFF" w:themeFill="background1"/>
            <w:vAlign w:val="center"/>
          </w:tcPr>
          <w:p w14:paraId="0F731D3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25A8495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2F4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01F580A">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71</w:t>
            </w:r>
          </w:p>
        </w:tc>
        <w:tc>
          <w:tcPr>
            <w:tcW w:w="975" w:type="dxa"/>
            <w:shd w:val="clear" w:color="000000" w:fill="FFFFFF" w:themeFill="background1"/>
            <w:vAlign w:val="center"/>
          </w:tcPr>
          <w:p w14:paraId="737D7D9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视频处理器</w:t>
            </w:r>
          </w:p>
        </w:tc>
        <w:tc>
          <w:tcPr>
            <w:tcW w:w="7610" w:type="dxa"/>
            <w:shd w:val="clear" w:color="000000" w:fill="FFFFFF" w:themeFill="background1"/>
            <w:vAlign w:val="top"/>
          </w:tcPr>
          <w:p w14:paraId="1434A65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采用标准 19 英寸金属结构机箱，机箱为后挂耳结构，上盖无螺钉安装:外壳防护等级符合GBIT 4280-2017中IP20的要求</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采用纯硬件 FPGA 架构设计、运行稳定、可靠、高效。</w:t>
            </w:r>
          </w:p>
          <w:p w14:paraId="3A2F1B3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输入接口包括2路 HDMI2.0,1路 DP1.2+HDMI 2.0二选一,4路 HDMI13,1路USB3.0,支持选配1路 3G-SDI(IN+LOOP)，最大支持3路4096*2160@60HZ信号同时输入</w:t>
            </w:r>
          </w:p>
          <w:p w14:paraId="0016E5F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视频输出支持40个千兆网口输出，4路10G-OPT光口，最大带载高达2600万像素，最宽支持16384,最高8192。</w:t>
            </w:r>
          </w:p>
          <w:p w14:paraId="45767D7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音频输入支持视频口伴随音频输入及独立输入两种模式，音频输出支持网口扩展输出及3.5mm独立音频口输出，支持的音频编码 ：MPEG1/2 Layer I，MPEG1/2 Layer II，MPEG1/2 Layer III，AAC-LC，VORBIS，PCM 和 FLAC</w:t>
            </w:r>
          </w:p>
          <w:p w14:paraId="27B5213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支持输入源备份功能，主源丢失下，无需人为操作可自动切换至备源显示，切换过程无黑屏；</w:t>
            </w:r>
          </w:p>
          <w:p w14:paraId="491AA58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最大支持144HZ高帧率输入输出，输出支持插帧、抽帧、倍频（2倍频、3倍频、4倍频）功能，可将30HZ信号，倍频至120HZ输出；</w:t>
            </w:r>
          </w:p>
          <w:p w14:paraId="5E5ACCD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最大可支持16个2K图层或4个4K图层，全部图层大小和位置可单独调节。4K接口输入2K图层，按2K图层计算图层资源；</w:t>
            </w:r>
          </w:p>
          <w:p w14:paraId="2037CC8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p>
          <w:p w14:paraId="1D19B21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U盘即插即播功能，最大支持4K级（3840*2160@60fps）图片和视频的流畅播放，播放列表计切换效果支持自定义编排，最多支持27种图片切换特效，包括水波涟漪、镜头拉近、直接推出、立体翻转、百叶窗、左右擦除、上下擦除、立方体旋转、溶解转场、网格转场、扇扫转场、画卷转场、淡入淡出、旋转扭曲、心形转场、拉帘推出、透视三角、圆形消失、矩形弹跳、星形旋转；</w:t>
            </w:r>
          </w:p>
          <w:p w14:paraId="47DD8FC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标配全彩液晶，搭配实体按键，极大的方便了设备整体状态的监控及设备功能的控制；设备功能按键及丝印信息采用全中文提示，项目上无需粘贴额外的标签纸加以区分，清晰直观；</w:t>
            </w:r>
          </w:p>
          <w:p w14:paraId="4E16E1C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支持2种用户模式，标准模式和专业模式，满足不同角色对显示屏的分权管理，使用更加放心；</w:t>
            </w:r>
          </w:p>
          <w:p w14:paraId="1559615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支持微信小程序快捷控制，包括亮度调节、输出画质调节、待机模式、画面冻结、场景切换、U盘播放等功能；</w:t>
            </w:r>
          </w:p>
          <w:p w14:paraId="001A743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支持平板对控制器进行快捷控制，包括亮度调节、图层布局调节、画面冻结、黑屏、场景切换、音量大小等功能；</w:t>
            </w:r>
          </w:p>
          <w:p w14:paraId="6817602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支持创建多个设备还原点，将当前设备的配屏，场景，输出等参数存储为还原点，当系统工作异常时，可根据还原点一键快速还原；</w:t>
            </w:r>
          </w:p>
          <w:p w14:paraId="46B7B1A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支持控制设备白名单，可通过MAC地址限制控制设备，非白名单内设备无法控制设备，不允许对设备进行操作；</w:t>
            </w:r>
          </w:p>
          <w:p w14:paraId="54655D1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MTBF≥150000小时，MTTR平均修复小于10分钟可用度大于 99%，整机寿命不小于150000小时。产品稳定性高、性能卓越、纯硬件结构，上电即可正常工作，无需做任何其它设置。</w:t>
            </w:r>
          </w:p>
        </w:tc>
        <w:tc>
          <w:tcPr>
            <w:tcW w:w="688" w:type="dxa"/>
            <w:shd w:val="clear" w:color="000000" w:fill="FFFFFF" w:themeFill="background1"/>
            <w:vAlign w:val="center"/>
          </w:tcPr>
          <w:p w14:paraId="5F02D54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3624785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1834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E649591">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72</w:t>
            </w:r>
          </w:p>
        </w:tc>
        <w:tc>
          <w:tcPr>
            <w:tcW w:w="975" w:type="dxa"/>
            <w:shd w:val="clear" w:color="000000" w:fill="FFFFFF" w:themeFill="background1"/>
            <w:vAlign w:val="center"/>
          </w:tcPr>
          <w:p w14:paraId="5EE0C4F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视频处理器</w:t>
            </w:r>
          </w:p>
        </w:tc>
        <w:tc>
          <w:tcPr>
            <w:tcW w:w="7610" w:type="dxa"/>
            <w:shd w:val="clear" w:color="000000" w:fill="FFFFFF" w:themeFill="background1"/>
            <w:vAlign w:val="top"/>
          </w:tcPr>
          <w:p w14:paraId="0BB0450C">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1.支持常见的视频接口，包括2 路 HDMI1.3，1 路 DVI。</w:t>
            </w:r>
          </w:p>
          <w:p w14:paraId="309EC1B5">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2.支持HDMI，DVI输入分辨率自 定义调节。</w:t>
            </w:r>
          </w:p>
          <w:p w14:paraId="1689D951">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3.视频输出支持10个千兆网口输 出，最大带载高达650万像素。</w:t>
            </w:r>
          </w:p>
          <w:p w14:paraId="7390C069">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4.无需电脑，支持通过设备旋转按 钮快捷配屏和高级配屏功能点 亮屏体</w:t>
            </w:r>
          </w:p>
          <w:p w14:paraId="48819901">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5.支持设备备份和网口备份，设备 故障或网线故障时保证屏体运 行过程正常无问题。</w:t>
            </w:r>
          </w:p>
          <w:p w14:paraId="259C0BFD">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6.无需电脑，可通过旋转按钮一键 调节屏体亮度调节。</w:t>
            </w:r>
          </w:p>
          <w:p w14:paraId="16050FAD">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7.无需电脑，支持一键将优先级最 低的窗口全屏自动缩放。</w:t>
            </w:r>
          </w:p>
          <w:p w14:paraId="7BB4ADE9">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8.支持创建10个用户场景作为 模板保存，方便快速调用。</w:t>
            </w:r>
          </w:p>
          <w:p w14:paraId="16041036">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9.支持选择HDMI输入源或DVI 源作为同步信号，达到输出 的场级同步。</w:t>
            </w:r>
          </w:p>
          <w:p w14:paraId="753F0F8F">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10.支持3图层</w:t>
            </w:r>
          </w:p>
          <w:p w14:paraId="0EFF7802">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11.发送卡和视频处理器二合一，连 线更加少，稳定性兼容性大大提 升</w:t>
            </w:r>
          </w:p>
          <w:p w14:paraId="498577FA">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12.液晶面板可实时显示，型号，ip 地址，窗口及信号源的分辨率以 及状态信息，输出10路网口的状 态，屏幕大小及帧频信息，设备 同步模式展示，USB连接或网线 连接状态，屏体亮度</w:t>
            </w:r>
          </w:p>
          <w:p w14:paraId="11CAE854">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13.主界面下，按下旋钮进入菜单操作 界面。菜单操作界面下，旋转旋钮 选择菜单，按下旋钮选定当前菜单 或者进入子菜单。选定带有参数的 菜单后14.可以通过旋转旋钮调节参 数，调节完成 后需要再次按下旋钮进行确认。</w:t>
            </w:r>
          </w:p>
          <w:p w14:paraId="0F826967">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15.支持1路HDMI监视，可设置为预监 编辑画面或预监显示屏画面</w:t>
            </w:r>
          </w:p>
          <w:p w14:paraId="054A76A5">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16.支持通过中控控制</w:t>
            </w:r>
          </w:p>
          <w:p w14:paraId="7D648B17">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17.设备支持逐点亮度校正，可以对每个灯 点的亮度和色度进行校正，有效消 除色差，使整屏的亮度和色度达到 高度均句一致，提高显示屏的画质</w:t>
            </w:r>
          </w:p>
          <w:p w14:paraId="61B73D54">
            <w:pPr>
              <w:widowControl/>
              <w:numPr>
                <w:ilvl w:val="0"/>
                <w:numId w:val="0"/>
              </w:numPr>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配合多功能卡，可实现屏体手动控 制，自动控制，以及软件控制，灵活简单</w:t>
            </w:r>
          </w:p>
          <w:p w14:paraId="29FAF87F">
            <w:pPr>
              <w:widowControl/>
              <w:numPr>
                <w:ilvl w:val="0"/>
                <w:numId w:val="0"/>
              </w:numPr>
              <w:spacing w:line="300" w:lineRule="exact"/>
              <w:ind w:left="0" w:leftChars="0" w:firstLine="0" w:firstLineChars="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18.提供厂家3C认证证书。</w:t>
            </w:r>
          </w:p>
        </w:tc>
        <w:tc>
          <w:tcPr>
            <w:tcW w:w="688" w:type="dxa"/>
            <w:shd w:val="clear" w:color="000000" w:fill="FFFFFF" w:themeFill="background1"/>
            <w:vAlign w:val="center"/>
          </w:tcPr>
          <w:p w14:paraId="19A9544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1772799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3207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343D9E5">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73</w:t>
            </w:r>
          </w:p>
        </w:tc>
        <w:tc>
          <w:tcPr>
            <w:tcW w:w="975" w:type="dxa"/>
            <w:shd w:val="clear" w:color="000000" w:fill="FFFFFF" w:themeFill="background1"/>
            <w:vAlign w:val="center"/>
          </w:tcPr>
          <w:p w14:paraId="35F5E17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8盘位32路网络视频录像机</w:t>
            </w:r>
          </w:p>
        </w:tc>
        <w:tc>
          <w:tcPr>
            <w:tcW w:w="7610" w:type="dxa"/>
            <w:shd w:val="clear" w:color="000000" w:fill="FFFFFF" w:themeFill="background1"/>
            <w:vAlign w:val="top"/>
          </w:tcPr>
          <w:p w14:paraId="4344AD5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不低于320Mbps的网络视频接入带宽，可接入≥32路1200万H.265或H.264相机，≥2个RJ45千兆以太网口</w:t>
            </w:r>
          </w:p>
          <w:p w14:paraId="32E7979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支持2 x 12MP@30, 4 x 4K@30, 6 x 5MP@30, 8 x 4MP@30, 9 x 4MP(2560*1440)@25, 10 x 3MP@30, 16 x 1080p@30, 32 x 960p@25, 36 x 720p@30, 64 x D1解码能力；</w:t>
            </w:r>
          </w:p>
          <w:p w14:paraId="62925B8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支持8个SATA接口，单盘最大12TB，支持ONVIF、RTSP、国标(GB/T28181)等协议；</w:t>
            </w:r>
          </w:p>
          <w:p w14:paraId="5A1088C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不低于1个HDMI输出接口（支持4K）、1个VGA输出接口，支持VGA和HDMI视频输出同源与异源切换</w:t>
            </w:r>
          </w:p>
          <w:p w14:paraId="4DE726D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支持VGA和HDMI视频输出同源与异源切换；</w:t>
            </w:r>
          </w:p>
          <w:p w14:paraId="6952077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支持一键跳转至通道最早的录像所在时间点开始播放录像(需提供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3DD5B48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支持对重要录像的锁定、解锁，支持警前警后录像；</w:t>
            </w:r>
          </w:p>
          <w:p w14:paraId="0AF84B9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支持修改第三方摄像机的IP地址、图像参数、OSD、灯光等配置信息</w:t>
            </w:r>
          </w:p>
          <w:p w14:paraId="0FA6D80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支持秒级存储和回放，可存储和回放设备断电断网前一秒的录像</w:t>
            </w:r>
          </w:p>
          <w:p w14:paraId="3F57D58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录像采用裸数据不分段存储；数据具备安全性，对于存储介质上的数据只可以在同款型号和软件版本匹配的设备被读取，不可被直接复制</w:t>
            </w:r>
          </w:p>
          <w:p w14:paraId="2F08AE9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支持存储数据保护，即使NVR硬盘被盗，也无法使用第三方服务器或PC机上读取被盗硬盘数据</w:t>
            </w:r>
          </w:p>
          <w:p w14:paraId="0B9A67C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支持区域入侵、越界检测、音频检测多种智能检测接入和联动</w:t>
            </w:r>
          </w:p>
          <w:p w14:paraId="4AC537A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kern w:val="0"/>
                <w:sz w:val="21"/>
                <w:szCs w:val="21"/>
                <w:highlight w:val="none"/>
                <w14:textFill>
                  <w14:solidFill>
                    <w14:schemeClr w14:val="tx1"/>
                  </w14:solidFill>
                </w14:textFill>
              </w:rPr>
              <w:t>支持IPC离线状态原因显示，包括设备连接中、用户名密码错误、网络不通、请求媒体流失败、媒体流中断、带宽不足、弱密码拒绝访问(需提供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55F5475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支持通道名称和摄像机OSD绑定或分离，单个通道名称最大可支持40个汉字(需提供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16691F6E">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不低于支持1对音频输入/输出接口，不低于16个报警输入接口，4个报警输出接口</w:t>
            </w:r>
          </w:p>
        </w:tc>
        <w:tc>
          <w:tcPr>
            <w:tcW w:w="688" w:type="dxa"/>
            <w:shd w:val="clear" w:color="000000" w:fill="FFFFFF" w:themeFill="background1"/>
            <w:vAlign w:val="center"/>
          </w:tcPr>
          <w:p w14:paraId="409A757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12" w:type="dxa"/>
            <w:shd w:val="clear" w:color="000000" w:fill="FFFFFF" w:themeFill="background1"/>
            <w:vAlign w:val="center"/>
          </w:tcPr>
          <w:p w14:paraId="06FD25A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0B0D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46703CB">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74</w:t>
            </w:r>
          </w:p>
        </w:tc>
        <w:tc>
          <w:tcPr>
            <w:tcW w:w="975" w:type="dxa"/>
            <w:shd w:val="clear" w:color="000000" w:fill="FFFFFF" w:themeFill="background1"/>
            <w:vAlign w:val="center"/>
          </w:tcPr>
          <w:p w14:paraId="3D0A163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6T监控级硬盘</w:t>
            </w:r>
          </w:p>
        </w:tc>
        <w:tc>
          <w:tcPr>
            <w:tcW w:w="7610" w:type="dxa"/>
            <w:shd w:val="clear" w:color="000000" w:fill="FFFFFF" w:themeFill="background1"/>
            <w:vAlign w:val="top"/>
          </w:tcPr>
          <w:p w14:paraId="3186F5B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1.3.5"英寸，6TB容量，SATA 6Gb/S, 缓存256M，7200转</w:t>
            </w:r>
          </w:p>
        </w:tc>
        <w:tc>
          <w:tcPr>
            <w:tcW w:w="688" w:type="dxa"/>
            <w:shd w:val="clear" w:color="000000" w:fill="FFFFFF" w:themeFill="background1"/>
            <w:vAlign w:val="center"/>
          </w:tcPr>
          <w:p w14:paraId="3283D2E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612" w:type="dxa"/>
            <w:shd w:val="clear" w:color="000000" w:fill="FFFFFF" w:themeFill="background1"/>
            <w:vAlign w:val="center"/>
          </w:tcPr>
          <w:p w14:paraId="2EE69D2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r>
      <w:tr w14:paraId="13A4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42C876C9">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75</w:t>
            </w:r>
          </w:p>
        </w:tc>
        <w:tc>
          <w:tcPr>
            <w:tcW w:w="975" w:type="dxa"/>
            <w:shd w:val="clear" w:color="000000" w:fill="FFFFFF" w:themeFill="background1"/>
            <w:vAlign w:val="center"/>
          </w:tcPr>
          <w:p w14:paraId="3A69F2C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65寸4K液晶监视显示单元</w:t>
            </w:r>
          </w:p>
        </w:tc>
        <w:tc>
          <w:tcPr>
            <w:tcW w:w="7610" w:type="dxa"/>
            <w:shd w:val="clear" w:color="000000" w:fill="FFFFFF" w:themeFill="background1"/>
            <w:vAlign w:val="top"/>
          </w:tcPr>
          <w:p w14:paraId="3F25240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1.65寸液晶监视显示单元；面板类型：LED背光；</w:t>
            </w:r>
          </w:p>
          <w:p w14:paraId="434280B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2.面板尺寸：64inch；点距（mm）：0.372×0.372；分辨率：3840×2160；</w:t>
            </w:r>
          </w:p>
          <w:p w14:paraId="01BF1B1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3.亮度（cd/m2）：350；对比度：1200：1；响应时间（ms）：8；色彩：16.7M；</w:t>
            </w:r>
          </w:p>
          <w:p w14:paraId="34A76F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4.视角（H/V）：178°/178°；</w:t>
            </w:r>
          </w:p>
          <w:p w14:paraId="123B640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5.输入接口：1个HDMI IN、1个VGA IN、1个DVI IN、1个AUDIO IN、1个USB 2.0；</w:t>
            </w:r>
          </w:p>
          <w:p w14:paraId="167D4FA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6.控制接口：1个RS232 IN、1个RS232 OUT</w:t>
            </w:r>
          </w:p>
          <w:p w14:paraId="7512ED1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8.OPS接口：支持，OPS功耗要求≤95W；</w:t>
            </w:r>
          </w:p>
          <w:p w14:paraId="70EFCAC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9.扬声器：2×10W；</w:t>
            </w:r>
          </w:p>
          <w:p w14:paraId="4F7368B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10.显示单元菜单具备四级透明度等级设置功能以及自定义消失时间设置功能</w:t>
            </w:r>
          </w:p>
          <w:p w14:paraId="75BEC2D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11.金属外壳，防辐射、防磁场、防强电场干扰</w:t>
            </w:r>
          </w:p>
          <w:p w14:paraId="0FC1E7C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12.支持图像静止功能，图像可定格在某一画面</w:t>
            </w:r>
          </w:p>
          <w:p w14:paraId="17AC471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13.显示单元连续运行3000 小时，背光LED 光衰≤0.3%</w:t>
            </w:r>
          </w:p>
          <w:p w14:paraId="39F5018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14.设备应能承受防雷4级；显示单元应符合GB9254-2008—30MHz～1000MHz 辐射骚扰场强限值要求；显示单元符合GB4943.1-2011抗电强度测试要求；</w:t>
            </w:r>
          </w:p>
          <w:p w14:paraId="557BCD6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15.支持语言：英语、简体中文；</w:t>
            </w:r>
          </w:p>
          <w:p w14:paraId="661EB99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16.输入电压：AC100-240V, 50/60Hz；</w:t>
            </w:r>
          </w:p>
          <w:p w14:paraId="1F80484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17.典型功耗（W）：≤185；待机功耗（W）：＜0.5；</w:t>
            </w:r>
          </w:p>
          <w:p w14:paraId="49992EF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18.工作温度：0-40℃；工作湿度：10%-90%；</w:t>
            </w:r>
          </w:p>
        </w:tc>
        <w:tc>
          <w:tcPr>
            <w:tcW w:w="688" w:type="dxa"/>
            <w:shd w:val="clear" w:color="000000" w:fill="FFFFFF" w:themeFill="background1"/>
            <w:vAlign w:val="center"/>
          </w:tcPr>
          <w:p w14:paraId="5FE9995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12" w:type="dxa"/>
            <w:shd w:val="clear" w:color="000000" w:fill="FFFFFF" w:themeFill="background1"/>
            <w:vAlign w:val="center"/>
          </w:tcPr>
          <w:p w14:paraId="39195C1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848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9D0B71C">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76</w:t>
            </w:r>
          </w:p>
        </w:tc>
        <w:tc>
          <w:tcPr>
            <w:tcW w:w="975" w:type="dxa"/>
            <w:shd w:val="clear" w:color="000000" w:fill="FFFFFF" w:themeFill="background1"/>
            <w:vAlign w:val="center"/>
          </w:tcPr>
          <w:p w14:paraId="5D08EF0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400万星光摄像机</w:t>
            </w:r>
          </w:p>
        </w:tc>
        <w:tc>
          <w:tcPr>
            <w:tcW w:w="7610" w:type="dxa"/>
            <w:shd w:val="clear" w:color="000000" w:fill="FFFFFF" w:themeFill="background1"/>
            <w:vAlign w:val="top"/>
          </w:tcPr>
          <w:p w14:paraId="7067B05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1.不低于400万红外筒型网络摄像机（4mm/6mm/8mm/12mm焦距可选）</w:t>
            </w:r>
          </w:p>
          <w:p w14:paraId="4D648E7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2.不低于1/3 inch逐行扫描CMOS传感器；最低照度：0.005lux（F1.6 AGC ON）</w:t>
            </w:r>
          </w:p>
          <w:p w14:paraId="4242103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3.支持宽动态，信噪比&gt;52dB；智能红外补光，补光距离50米</w:t>
            </w:r>
          </w:p>
          <w:p w14:paraId="5DD6893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4.支持H.265、H.264、MJPEG协议；编码制式：400万(2688×1520)最大25帧/秒</w:t>
            </w:r>
          </w:p>
          <w:p w14:paraId="0150CF6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5.异常检测：场景变更、遮挡检测、声音异常等</w:t>
            </w:r>
          </w:p>
          <w:p w14:paraId="538044F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6.行为分析：越界检测、区域入侵、进入区域、离开区域、遗留物检测、物品移除检测等</w:t>
            </w:r>
          </w:p>
          <w:p w14:paraId="68822E0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7.人脸抓拍功能：应具有人脸抓拍功能，可对经过设定区域的行人进行人脸检测和人脸跟踪，当检测到人脸后，可抓拍人脸图片，抓拍图片数量可设，可设置抓拍人脸小图</w:t>
            </w:r>
          </w:p>
          <w:p w14:paraId="27E0C4B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8.支持内置数字证书，并支持采用数字证书对解码秘钥进行加密。</w:t>
            </w:r>
          </w:p>
          <w:p w14:paraId="54FC6EC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9.人脸优选设置：可通过IE浏览器开启或关闭人脸优选功能，开启后具有效果优先或速度优先设置选项</w:t>
            </w:r>
          </w:p>
          <w:p w14:paraId="18494BA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10.在广域网环境下使用时，支持主动发包动作以实现NAT穿越</w:t>
            </w:r>
          </w:p>
          <w:p w14:paraId="729DCFD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11.在IE浏览器下，具有宽动态自动切换设置选项。在环境亮度变化时，可自动进行关闭/开启切换</w:t>
            </w:r>
          </w:p>
          <w:p w14:paraId="413D935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12.支持IPSAN或以ISCSI直存方式进行双路传输数据，存储方式可以设置为高端、基础、云存储。</w:t>
            </w:r>
          </w:p>
          <w:p w14:paraId="3A5F8E5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13.支持Onvif、GB/T28181等多种接入方式</w:t>
            </w:r>
          </w:p>
          <w:p w14:paraId="1E5FDA7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14.支持启用视频内容保护功能，视频码流中的解码密钥能够周期性动态变化，变化周期可以通过管理平台设置，设置范围10分钟至1个月</w:t>
            </w:r>
          </w:p>
          <w:p w14:paraId="3878F60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15.支持网关ARP绑定，防止网关MAC地址欺骗</w:t>
            </w:r>
          </w:p>
          <w:p w14:paraId="0B575F2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16.支持音频接口：1路输入、1路输出，告警接口：1路输入、1路输出；内置MIC；；支持SD卡128GB；</w:t>
            </w:r>
          </w:p>
          <w:p w14:paraId="09C0779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17.10M/100M 自适应以太网电口；</w:t>
            </w:r>
          </w:p>
          <w:p w14:paraId="0D54CDA6">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18.电源：DC12V±25%、PoE（兼容IEEE802.3af）</w:t>
            </w:r>
          </w:p>
        </w:tc>
        <w:tc>
          <w:tcPr>
            <w:tcW w:w="688" w:type="dxa"/>
            <w:shd w:val="clear" w:color="000000" w:fill="FFFFFF" w:themeFill="background1"/>
            <w:vAlign w:val="center"/>
          </w:tcPr>
          <w:p w14:paraId="79EE761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c>
          <w:tcPr>
            <w:tcW w:w="612" w:type="dxa"/>
            <w:shd w:val="clear" w:color="000000" w:fill="FFFFFF" w:themeFill="background1"/>
            <w:vAlign w:val="center"/>
          </w:tcPr>
          <w:p w14:paraId="080BD1B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7E47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44995B97">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77</w:t>
            </w:r>
          </w:p>
        </w:tc>
        <w:tc>
          <w:tcPr>
            <w:tcW w:w="975" w:type="dxa"/>
            <w:shd w:val="clear" w:color="000000" w:fill="FFFFFF" w:themeFill="background1"/>
            <w:vAlign w:val="center"/>
          </w:tcPr>
          <w:p w14:paraId="1F22AB0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24盘位磁盘阵列</w:t>
            </w:r>
          </w:p>
        </w:tc>
        <w:tc>
          <w:tcPr>
            <w:tcW w:w="7610" w:type="dxa"/>
            <w:shd w:val="clear" w:color="000000" w:fill="FFFFFF" w:themeFill="background1"/>
            <w:vAlign w:val="top"/>
          </w:tcPr>
          <w:p w14:paraId="5AE2BCB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1.设备具有不低于3个千兆以太网接口、2个USB3.0接口，1个RS232接口、1个PCIE4.0插槽、1个VGA接口和1个防腐蚀检测预警模块</w:t>
            </w:r>
          </w:p>
          <w:p w14:paraId="690DECA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2.设备配置不少于1块电池模块、1块电源模块</w:t>
            </w:r>
          </w:p>
          <w:p w14:paraId="603E465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3.存储主机提供主BIOS及备BIOS，主BIOS故障时可从备BIOS启动</w:t>
            </w:r>
          </w:p>
          <w:p w14:paraId="537027F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4.支持设备离线状态原因说明，包括设备连接中、用户名密码错误、设备不支持、连接错误、远程用户弱密码错误等</w:t>
            </w:r>
          </w:p>
          <w:p w14:paraId="729CE2D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5.设备可接入SATA硬盘（1TB/2TB/3TB/4TB/5TB/6TB/8TB/10TB/12TB/14TB/16TB/18TB/20TB）、SAS硬盘和SSD硬盘</w:t>
            </w:r>
          </w:p>
          <w:p w14:paraId="0DDFEC5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6.设备支持自动识别磁盘的剩余空间容量；可根据用户的数据存储需求，划分多个容量不同的逻辑卷，并支持在线空间扩展，存储业务正常；可划分1024个逻辑资源卷，单个逻辑资源卷容量为64TB，并可扩容</w:t>
            </w:r>
          </w:p>
          <w:p w14:paraId="6B87818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对于记录在存储介质上的视(音)频信息，取出的存储介质应能在同型号的其他设备上正常回放，以保证设备发生故障后记录资料的留存(或复制)。复制后的视(音)频信号，应能在通用设备上回放，并不易被篡改(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0AD84CB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8.在磁盘发生故障导致RAID阵列处于降级/重建状态下，同时写入1000路2Mbps视频流时，数据写入无任何影响(需提供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3BEE77C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9.设备支持视频写入不低于1200Mbps，同时转发不低于1200Mbps，同时回放120Mbps；支持图片写入不低于1600Mbps，同时图片下载/读取不低于1600Mbps；</w:t>
            </w:r>
          </w:p>
          <w:p w14:paraId="0F6CFE5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10.设备支持录像打标签（最多支持16384个标签），通过标签快速定位播放录像</w:t>
            </w:r>
          </w:p>
          <w:p w14:paraId="77120C1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11.设备支持自定义数据缓存加速管理，根据客户不同的需求，调整R/Wcache参数，包括读写缓存的大小、刷新策略；支持磁盘缓存开启和关闭；支持对存储介质寿命进行查询；当磁盘状态出现异常或磁盘出现故障时进行实时报警，并及时对数据进行恢复；支持慢盘、坏盘检测并告警支持查看磁盘信息(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57207E6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设备支持录像极速（40倍速）、高速（8倍速）下载和普通下载；支持按文件、按时间、按标签下载录像，及查看下载管理；支持同一段录像根据指定规则（固定时间点、时间段）进行分段，可显示分段点的图像，并在同一画面的多窗口中并行回放/下载，对同一前端不同时刻的多段录像合并下载</w:t>
            </w:r>
          </w:p>
          <w:p w14:paraId="0A42B4AB">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13.设备可通过数码管、指示灯、蜂鸣器告警、邮件告警、SNMPTrap、短信等告警方式对IP冲突、网口降速、电源故障、风扇故障、电池故障及RAID故障、磁盘故障、降级RAID无热备盘等进行告警；</w:t>
            </w:r>
          </w:p>
        </w:tc>
        <w:tc>
          <w:tcPr>
            <w:tcW w:w="688" w:type="dxa"/>
            <w:shd w:val="clear" w:color="000000" w:fill="FFFFFF" w:themeFill="background1"/>
            <w:vAlign w:val="center"/>
          </w:tcPr>
          <w:p w14:paraId="3E6B1F9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5655B44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A4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67FBE0D8">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78</w:t>
            </w:r>
          </w:p>
        </w:tc>
        <w:tc>
          <w:tcPr>
            <w:tcW w:w="975" w:type="dxa"/>
            <w:shd w:val="clear" w:color="000000" w:fill="FFFFFF" w:themeFill="background1"/>
            <w:vAlign w:val="center"/>
          </w:tcPr>
          <w:p w14:paraId="1DBF020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监控级硬盘</w:t>
            </w:r>
          </w:p>
        </w:tc>
        <w:tc>
          <w:tcPr>
            <w:tcW w:w="7610" w:type="dxa"/>
            <w:shd w:val="clear" w:color="000000" w:fill="FFFFFF" w:themeFill="background1"/>
            <w:vAlign w:val="top"/>
          </w:tcPr>
          <w:p w14:paraId="55C41598">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3.5”英寸，8TB容量，SATA 6Gb/S, 缓存256MB，7200转</w:t>
            </w:r>
          </w:p>
        </w:tc>
        <w:tc>
          <w:tcPr>
            <w:tcW w:w="688" w:type="dxa"/>
            <w:shd w:val="clear" w:color="000000" w:fill="FFFFFF" w:themeFill="background1"/>
            <w:vAlign w:val="center"/>
          </w:tcPr>
          <w:p w14:paraId="7AE0C23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612" w:type="dxa"/>
            <w:shd w:val="clear" w:color="000000" w:fill="FFFFFF" w:themeFill="background1"/>
            <w:vAlign w:val="center"/>
          </w:tcPr>
          <w:p w14:paraId="3B9812E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r>
      <w:tr w14:paraId="056F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07AD6898">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79</w:t>
            </w:r>
          </w:p>
        </w:tc>
        <w:tc>
          <w:tcPr>
            <w:tcW w:w="975" w:type="dxa"/>
            <w:shd w:val="clear" w:color="000000" w:fill="FFFFFF" w:themeFill="background1"/>
            <w:vAlign w:val="center"/>
          </w:tcPr>
          <w:p w14:paraId="1B9321A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视频监控综合管理平台</w:t>
            </w:r>
          </w:p>
        </w:tc>
        <w:tc>
          <w:tcPr>
            <w:tcW w:w="7610" w:type="dxa"/>
            <w:shd w:val="clear" w:color="000000" w:fill="FFFFFF" w:themeFill="background1"/>
            <w:vAlign w:val="top"/>
          </w:tcPr>
          <w:p w14:paraId="497EE43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支持接入≥1200路网络摄像机，≥250台门禁设备，≥2000路室内机，≥16车道车辆管理，≥200路云端设备</w:t>
            </w:r>
          </w:p>
          <w:p w14:paraId="75F550D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支持资源级联，从下级平台资源获取汇总；支持数据级联，下级平台数据全量上报</w:t>
            </w:r>
          </w:p>
          <w:p w14:paraId="32976C2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支持多个客户端同时访问平台，支持自定义标题和功能模块，支持自定义包括登录页、首页、顶部导航栏的LOGO/背景/名称的展示效果(需提供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1D710AC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具备不少于16个硬盘位，4个千兆电口，2个HDMI，1个VGA，2个USB2.0、2个USB3.0，24入8出报警接口</w:t>
            </w:r>
          </w:p>
          <w:p w14:paraId="1CE834F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支持接入带宽≥700Mbps、存储带宽≥700Mbps、转发带宽≥700Mbps(需提供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772105B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对巡更路线进行操作，包含增、删、改、查；巡更方式支持6种，分别为全无序、仅首点有序、仅首尾点有序、全有序间隔无限制、全有序间隔相同、全有序间隔自定义；支持对巡更路线进行操作，包含增、删、改、查，配置计划详情、假期和巡更人员；支持对巡更记录进行查询，查询条件包括时间、巡更点等</w:t>
            </w:r>
          </w:p>
          <w:p w14:paraId="255A50C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支持查看访客访问记录、记录导出；支持对访客进行签离、查看授权状态、 编辑、删除、导出、查询等操作</w:t>
            </w:r>
          </w:p>
          <w:p w14:paraId="5AA6528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支持通讯录管理，可通过通讯录呼叫室内机；支持门口机呼叫中心、室内机呼叫中心、中心呼叫室内机；支持查看呼叫与应答记录</w:t>
            </w:r>
          </w:p>
          <w:p w14:paraId="5C75B69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支持标准ONVIF、GB/T28181协议、视图库协议、RTSP协议</w:t>
            </w:r>
          </w:p>
          <w:p w14:paraId="7124F0A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支持图片地图、GIS在线地图、模型地图、场景地图四种模式；支持3D/2.5D模型支持gltf、3dtiles和unw格式；支持在地图上查看设备点位状态；支持在地图上搜索设备，并在地图定位设备位置；支持统计当天报警数据；支持管理地图设备资源、路网、地图视角等的显示；支持在地图上绘制漫游路线，实现按照漫游路线自动移动地图视角(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5F4DB9F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支持多网段接入，支持路由功能，IPC与客户端不在同一网段时可跳转至IPC的WEB页面进行相关配置；</w:t>
            </w:r>
          </w:p>
          <w:p w14:paraId="35D70A5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支持设置访客机权限组，支持查看访客访问记录、记录导出</w:t>
            </w:r>
          </w:p>
          <w:p w14:paraId="2BE4582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kern w:val="0"/>
                <w:sz w:val="21"/>
                <w:szCs w:val="21"/>
                <w:highlight w:val="none"/>
                <w14:textFill>
                  <w14:solidFill>
                    <w14:schemeClr w14:val="tx1"/>
                  </w14:solidFill>
                </w14:textFill>
              </w:rPr>
              <w:t>支持双系统模式，系统启动过程中，当主程序无发启动时，可以选择从备份系统启动(需提供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1890932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支持本地、在线（高德）地图，地图文件支持jpg、png和BMP格式</w:t>
            </w:r>
          </w:p>
          <w:p w14:paraId="2D9F19C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支持报警预案配置，增删改查、启用、停止报警预案，配置报警联动动作</w:t>
            </w:r>
          </w:p>
          <w:p w14:paraId="3A4035B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支持人员检索，支持按属性、按事件、以图搜图类型查询</w:t>
            </w:r>
          </w:p>
          <w:p w14:paraId="095D914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支持观看人数统计相机实况，显示统计信息；支持显示进入人数、离开人数、可进入人数、滞留人数、通行状态在人流量统计区域；支持显示可进入人数、当前人数、区域状态在人员密度检测区域</w:t>
            </w:r>
          </w:p>
          <w:p w14:paraId="76DAD4FC">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支持数据看板，支持自定义标题和功能模块</w:t>
            </w:r>
          </w:p>
        </w:tc>
        <w:tc>
          <w:tcPr>
            <w:tcW w:w="688" w:type="dxa"/>
            <w:shd w:val="clear" w:color="000000" w:fill="FFFFFF" w:themeFill="background1"/>
            <w:vAlign w:val="center"/>
          </w:tcPr>
          <w:p w14:paraId="1DE1A5A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587EC12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78E4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268E61A">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80</w:t>
            </w:r>
          </w:p>
        </w:tc>
        <w:tc>
          <w:tcPr>
            <w:tcW w:w="975" w:type="dxa"/>
            <w:shd w:val="clear" w:color="000000" w:fill="FFFFFF" w:themeFill="background1"/>
            <w:vAlign w:val="center"/>
          </w:tcPr>
          <w:p w14:paraId="3219683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65寸4K液晶监视显示单元</w:t>
            </w:r>
          </w:p>
        </w:tc>
        <w:tc>
          <w:tcPr>
            <w:tcW w:w="7610" w:type="dxa"/>
            <w:shd w:val="clear" w:color="000000" w:fill="FFFFFF" w:themeFill="background1"/>
            <w:vAlign w:val="top"/>
          </w:tcPr>
          <w:p w14:paraId="1977C9C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1.65寸液晶监视显示单元；面板类型：LED背光；</w:t>
            </w:r>
          </w:p>
          <w:p w14:paraId="707CF66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2.面板尺寸：64inch；点距（mm）：0.372×0.372；分辨率：3840×2160；</w:t>
            </w:r>
          </w:p>
          <w:p w14:paraId="6DFB348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3.亮度（cd/m2）：350；对比度：1200：1；响应时间（ms）：8；色彩：16.7M；</w:t>
            </w:r>
          </w:p>
          <w:p w14:paraId="26377F9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4.视角（H/V）：178°/178°；</w:t>
            </w:r>
          </w:p>
          <w:p w14:paraId="7E8CFC4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5.输入接口：1个HDMI IN、1个VGA IN、1个DVI IN、1个AUDIO IN、1个USB 2.0；</w:t>
            </w:r>
          </w:p>
          <w:p w14:paraId="69B13A6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6.控制接口：1个RS232 IN、1个RS232 OUT</w:t>
            </w:r>
          </w:p>
          <w:p w14:paraId="613D61F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8.OPS接口：支持，OPS功耗要求≤95W；</w:t>
            </w:r>
          </w:p>
          <w:p w14:paraId="541A04B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9.扬声器：2×10W；</w:t>
            </w:r>
          </w:p>
          <w:p w14:paraId="19EBCAC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10.显示单元菜单具备四级透明度等级设置功能以及自定义消失时间设置功能</w:t>
            </w:r>
          </w:p>
          <w:p w14:paraId="6D6ED5C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11.金属外壳，防辐射、防磁场、防强电场干扰</w:t>
            </w:r>
          </w:p>
          <w:p w14:paraId="5BD72E8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12.支持图像静止功能，图像可定格在某一画面</w:t>
            </w:r>
          </w:p>
          <w:p w14:paraId="757D1BE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13.显示单元连续运行3000 小时，背光LED 光衰≤0.3%</w:t>
            </w:r>
          </w:p>
          <w:p w14:paraId="60DF3C5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14.设备应能承受防雷4级；显示单元应符合GB9254-2008—30MHz～1000MHz 辐射骚扰场强限值要求；显示单元符合GB4943.1-2011抗电强度测试要求；</w:t>
            </w:r>
          </w:p>
          <w:p w14:paraId="222CC32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15.支持语言：英语、简体中文；</w:t>
            </w:r>
          </w:p>
          <w:p w14:paraId="192ED38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16.输入电压：AC100-240V, 50/60Hz；</w:t>
            </w:r>
          </w:p>
          <w:p w14:paraId="5F5E9B7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17.典型功耗（W）：≤185；待机功耗（W）：＜0.5；</w:t>
            </w:r>
          </w:p>
          <w:p w14:paraId="0AEE9D87">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18.工作温度：0-40℃；工作湿度：10%-90%；</w:t>
            </w:r>
          </w:p>
        </w:tc>
        <w:tc>
          <w:tcPr>
            <w:tcW w:w="688" w:type="dxa"/>
            <w:shd w:val="clear" w:color="000000" w:fill="FFFFFF" w:themeFill="background1"/>
            <w:vAlign w:val="center"/>
          </w:tcPr>
          <w:p w14:paraId="7DE62ED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12" w:type="dxa"/>
            <w:shd w:val="clear" w:color="000000" w:fill="FFFFFF" w:themeFill="background1"/>
            <w:vAlign w:val="center"/>
          </w:tcPr>
          <w:p w14:paraId="2E35C08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09A1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6F6A40E6">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81</w:t>
            </w:r>
          </w:p>
        </w:tc>
        <w:tc>
          <w:tcPr>
            <w:tcW w:w="975" w:type="dxa"/>
            <w:shd w:val="clear" w:color="000000" w:fill="FFFFFF" w:themeFill="background1"/>
            <w:vAlign w:val="center"/>
          </w:tcPr>
          <w:p w14:paraId="4650BF5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6路综合显控单元</w:t>
            </w:r>
          </w:p>
        </w:tc>
        <w:tc>
          <w:tcPr>
            <w:tcW w:w="7610" w:type="dxa"/>
            <w:shd w:val="clear" w:color="000000" w:fill="FFFFFF" w:themeFill="background1"/>
            <w:vAlign w:val="top"/>
          </w:tcPr>
          <w:p w14:paraId="75D8B46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采用嵌入式操作系统，支持7×24小时稳定运行，不易受到黑客、病毒的入侵和攻击</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28D38AA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解码格式：H.265、H.264、MPEG4；解码能力不低于16*4K@30/32*4MP@30/64*1080P@30/128*720P@30</w:t>
            </w:r>
          </w:p>
          <w:p w14:paraId="0CC2DBC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输入通道不低于2路HDMI视频输入接口，输出通道不低于6路HDMI视频输出接口；输出制式：4K: 3840×2160@60Hz，WUXGA:1920×1200@60Hz，1080P:1920×1080@60Hz，UXGA:1600×1200@60Hz，WXGA+:1440×900@60Hz，SXGA:1280×1024@60Hz，720P:1280×720@60Hz，XGA:1024×768@60H</w:t>
            </w:r>
          </w:p>
          <w:p w14:paraId="472FCCD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支持开窗、漫游、画中画功能；支持组播；支持虚拟LED；</w:t>
            </w:r>
          </w:p>
          <w:p w14:paraId="4EAA38B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单个输出接口可最多支持64个窗口，整机最大可开384个窗口(需提供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6AB9B1D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支持G.711A、G.711U格式的音频；支持单路视频输出的分屏处理，最大16分屏</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5B70355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支持预操作功能，操作过程不会实时显示在大屏上，大屏显示可直接跳转到调整之后的画面(需提供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4C93902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支持接受中心服务器对设备业务进行配置和管理；支持高清、标清混合的视频解码</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4CC989C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为保证用户信息的安全性，支持接入具有视频内容保护功能的摄像机并对开启该功能后输出的码流进行解码和显示(需提供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2714BE4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支持本地升级和远程升级；</w:t>
            </w:r>
          </w:p>
          <w:p w14:paraId="6A6AE5A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为防止因组织人员更替而造成设备密码丢失问题，要求设备应具有密码找回功能，可通过微信认证的方式找回密码(需提供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663C23B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支持自定义电视墙布局，并一键完成对整个电视墙的布局，可自定义行列数或选择固定布局，用于对电视墙的快速布局设置，操作灵活</w:t>
            </w:r>
          </w:p>
          <w:p w14:paraId="2D50393A">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电视墙布局不会发生改变的情况下，从50路视频场景切换到另外50路视频场景的切换时间≤0.3S，切换过程中无明显黑屏现象。</w:t>
            </w:r>
          </w:p>
        </w:tc>
        <w:tc>
          <w:tcPr>
            <w:tcW w:w="688" w:type="dxa"/>
            <w:shd w:val="clear" w:color="000000" w:fill="FFFFFF" w:themeFill="background1"/>
            <w:vAlign w:val="center"/>
          </w:tcPr>
          <w:p w14:paraId="1ECE974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6A82BDF9">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746E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EAEC04D">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82</w:t>
            </w:r>
          </w:p>
        </w:tc>
        <w:tc>
          <w:tcPr>
            <w:tcW w:w="975" w:type="dxa"/>
            <w:shd w:val="clear" w:color="000000" w:fill="FFFFFF" w:themeFill="background1"/>
            <w:vAlign w:val="center"/>
          </w:tcPr>
          <w:p w14:paraId="5031CC2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对接网关</w:t>
            </w:r>
          </w:p>
        </w:tc>
        <w:tc>
          <w:tcPr>
            <w:tcW w:w="7610" w:type="dxa"/>
            <w:shd w:val="clear" w:color="000000" w:fill="FFFFFF" w:themeFill="background1"/>
            <w:vAlign w:val="top"/>
          </w:tcPr>
          <w:p w14:paraId="7FF9B8C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1.支持根据MAC地址进行黑白名单控制；支持对重要视频及码流加密传输(需提供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12E7555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2.支持监控业务正常进行同时对非监控业务过滤(需提供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05C7AE3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3.对用户透明，接入后对原有的业务及组网无影响</w:t>
            </w:r>
          </w:p>
          <w:p w14:paraId="50E53D6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4.支持NAT映射功能</w:t>
            </w:r>
          </w:p>
          <w:p w14:paraId="5E0779B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5.支持设备告警上报及视频联动复核</w:t>
            </w:r>
          </w:p>
          <w:p w14:paraId="3E343F5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6.支持不低于接入管理4个NVR设备，60个IPC(需提供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p w14:paraId="6339B04D">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7.自动发现接入的NVR\DVR\IPC,自动识别厂商，形成列表(需提供</w:t>
            </w:r>
            <w:r>
              <w:rPr>
                <w:rFonts w:hint="eastAsia" w:ascii="宋体" w:hAnsi="宋体" w:cs="宋体"/>
                <w:color w:val="000000" w:themeColor="text1"/>
                <w:kern w:val="0"/>
                <w:sz w:val="21"/>
                <w:szCs w:val="21"/>
                <w:highlight w:val="none"/>
                <w:lang w:eastAsia="zh-CN"/>
                <w14:textFill>
                  <w14:solidFill>
                    <w14:schemeClr w14:val="tx1"/>
                  </w14:solidFill>
                </w14:textFill>
              </w:rPr>
              <w:t>第三方检测（验）机构</w:t>
            </w:r>
            <w:r>
              <w:rPr>
                <w:rFonts w:hint="eastAsia" w:ascii="宋体" w:hAnsi="宋体" w:eastAsia="宋体" w:cs="宋体"/>
                <w:color w:val="000000" w:themeColor="text1"/>
                <w:kern w:val="0"/>
                <w:sz w:val="21"/>
                <w:szCs w:val="21"/>
                <w:highlight w:val="none"/>
                <w14:textFill>
                  <w14:solidFill>
                    <w14:schemeClr w14:val="tx1"/>
                  </w14:solidFill>
                </w14:textFill>
              </w:rPr>
              <w:t>出具的检测（验）报告为证)</w:t>
            </w:r>
          </w:p>
        </w:tc>
        <w:tc>
          <w:tcPr>
            <w:tcW w:w="688" w:type="dxa"/>
            <w:shd w:val="clear" w:color="000000" w:fill="FFFFFF" w:themeFill="background1"/>
            <w:vAlign w:val="center"/>
          </w:tcPr>
          <w:p w14:paraId="31E6A80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12" w:type="dxa"/>
            <w:shd w:val="clear" w:color="000000" w:fill="FFFFFF" w:themeFill="background1"/>
            <w:vAlign w:val="center"/>
          </w:tcPr>
          <w:p w14:paraId="75E417C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34DE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A3305B0">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83</w:t>
            </w:r>
          </w:p>
        </w:tc>
        <w:tc>
          <w:tcPr>
            <w:tcW w:w="975" w:type="dxa"/>
            <w:shd w:val="clear" w:color="000000" w:fill="FFFFFF" w:themeFill="background1"/>
            <w:vAlign w:val="center"/>
          </w:tcPr>
          <w:p w14:paraId="7B34953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400万星光筒机</w:t>
            </w:r>
          </w:p>
        </w:tc>
        <w:tc>
          <w:tcPr>
            <w:tcW w:w="7610" w:type="dxa"/>
            <w:shd w:val="clear" w:color="000000" w:fill="FFFFFF" w:themeFill="background1"/>
            <w:vAlign w:val="top"/>
          </w:tcPr>
          <w:p w14:paraId="5468F31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1.不低于400万红外筒型网络摄像机（4mm/6mm/8mm/12mm焦距可选）</w:t>
            </w:r>
          </w:p>
          <w:p w14:paraId="7C11CD2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2.不低于1/3 inch逐行扫描CMOS传感器；最低照度：0.005lux（F1.6 AGC ON）</w:t>
            </w:r>
          </w:p>
          <w:p w14:paraId="07C5CF6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3.支持宽动态，信噪比&gt;52dB；智能红外补光，补光距离50米</w:t>
            </w:r>
          </w:p>
          <w:p w14:paraId="1101F6B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4.支持H.265、H.264、MJPEG协议；编码制式：400万(2688×1520)最大25帧/秒</w:t>
            </w:r>
          </w:p>
          <w:p w14:paraId="485291F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5.异常检测：场景变更、遮挡检测、声音异常等</w:t>
            </w:r>
          </w:p>
          <w:p w14:paraId="1A043AA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6.行为分析：越界检测、区域入侵、进入区域、离开区域、遗留物检测、物品移除检测等</w:t>
            </w:r>
          </w:p>
          <w:p w14:paraId="0114FF2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7.人脸抓拍功能：应具有人脸抓拍功能，可对经过设定区域的行人进行人脸检测和人脸跟踪，当检测到人脸后，可抓拍人脸图片，抓拍图片数量可设，可设置抓拍人脸小图</w:t>
            </w:r>
          </w:p>
          <w:p w14:paraId="2C3638C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8.支持内置数字证书，并支持采用数字证书对解码秘钥进行加密。</w:t>
            </w:r>
          </w:p>
          <w:p w14:paraId="6AB04ED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9.人脸优选设置：可通过IE浏览器开启或关闭人脸优选功能，开启后具有效果优先或速度优先设置选项</w:t>
            </w:r>
          </w:p>
          <w:p w14:paraId="7842775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10.在广域网环境下使用时，支持主动发包动作以实现NAT穿越</w:t>
            </w:r>
          </w:p>
          <w:p w14:paraId="2EA6FCC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11.在IE浏览器下，具有宽动态自动切换设置选项。在环境亮度变化时，可自动进行关闭/开启切换</w:t>
            </w:r>
          </w:p>
          <w:p w14:paraId="2CC22B0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12.支持IPSAN或以ISCSI直存方式进行双路传输数据，存储方式可以设置为高端、基础、云存储。</w:t>
            </w:r>
          </w:p>
          <w:p w14:paraId="24A1656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13.支持Onvif、GB/T28181等多种接入方式</w:t>
            </w:r>
          </w:p>
          <w:p w14:paraId="38703E8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14.支持启用视频内容保护功能，视频码流中的解码密钥能够周期性动态变化，变化周期可以通过管理平台设置，设置范围10分钟至1个月</w:t>
            </w:r>
          </w:p>
          <w:p w14:paraId="69EB846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15.支持网关ARP绑定，防止网关MAC地址欺骗</w:t>
            </w:r>
          </w:p>
          <w:p w14:paraId="6CA3F84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16.支持音频接口：1路输入、1路输出，告警接口：1路输入、1路输出；内置MIC；；支持SD卡128GB；</w:t>
            </w:r>
          </w:p>
          <w:p w14:paraId="03C1BBC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17.10M/100M 自适应以太网电口；</w:t>
            </w:r>
          </w:p>
          <w:p w14:paraId="1BBAD05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18.电源：DC12V±25%、PoE（兼容IEEE802.3af）</w:t>
            </w:r>
          </w:p>
        </w:tc>
        <w:tc>
          <w:tcPr>
            <w:tcW w:w="688" w:type="dxa"/>
            <w:shd w:val="clear" w:color="000000" w:fill="FFFFFF" w:themeFill="background1"/>
            <w:vAlign w:val="center"/>
          </w:tcPr>
          <w:p w14:paraId="5D98DFB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612" w:type="dxa"/>
            <w:shd w:val="clear" w:color="000000" w:fill="FFFFFF" w:themeFill="background1"/>
            <w:vAlign w:val="center"/>
          </w:tcPr>
          <w:p w14:paraId="3D034AA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191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6D2CCDD">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84</w:t>
            </w:r>
          </w:p>
        </w:tc>
        <w:tc>
          <w:tcPr>
            <w:tcW w:w="975" w:type="dxa"/>
            <w:shd w:val="clear" w:color="000000" w:fill="FFFFFF" w:themeFill="background1"/>
            <w:vAlign w:val="center"/>
          </w:tcPr>
          <w:p w14:paraId="6EF22A3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400万星光海螺半球</w:t>
            </w:r>
          </w:p>
        </w:tc>
        <w:tc>
          <w:tcPr>
            <w:tcW w:w="7610" w:type="dxa"/>
            <w:shd w:val="clear" w:color="000000" w:fill="FFFFFF" w:themeFill="background1"/>
            <w:vAlign w:val="top"/>
          </w:tcPr>
          <w:p w14:paraId="6F70090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1.400万星光级宽动态红外海螺半球网络摄像机（2.8mm/4.0mm/6.0mm焦距可选），</w:t>
            </w:r>
          </w:p>
          <w:p w14:paraId="0CC85B3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2.1/3 inch逐行扫描400万像素CMOS图像传感器；最低照度：0.005lux；</w:t>
            </w:r>
          </w:p>
          <w:p w14:paraId="65A28D7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3.支持宽动态，信噪比&gt;52dB；支持区域增强(ROI)、隐私遮盖；</w:t>
            </w:r>
          </w:p>
          <w:p w14:paraId="1078F25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4.支持H.265、H.264、MJPEG协议；编码制式:400万（2688 × 1520）最大25帧/秒</w:t>
            </w:r>
          </w:p>
          <w:p w14:paraId="26875A5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5.异常检测：运动检测、遮挡检测、声音异常</w:t>
            </w:r>
          </w:p>
          <w:p w14:paraId="4EFEA6B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6.行为分析：越界检测、区域入侵、进入区域、离开区域</w:t>
            </w:r>
          </w:p>
          <w:p w14:paraId="2258127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7.智能识别：人脸检测</w:t>
            </w:r>
          </w:p>
          <w:p w14:paraId="05CC154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8.可在视频图像叠加图片，叠加的OSD可在屏幕中滚动显示</w:t>
            </w:r>
          </w:p>
          <w:p w14:paraId="3022B95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9.在广域网环境下使用时，支持主动发包动作以实现NAT穿越</w:t>
            </w:r>
          </w:p>
          <w:p w14:paraId="0B204D8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10.支持802.1X终端准入控制，提升终端接入安全</w:t>
            </w:r>
          </w:p>
          <w:p w14:paraId="2643051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11.10M/100M 自适应以太网电口</w:t>
            </w:r>
          </w:p>
          <w:p w14:paraId="59060D8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12.电源：DC12V±25%、PoE(兼容IEEE802.3af)</w:t>
            </w:r>
          </w:p>
        </w:tc>
        <w:tc>
          <w:tcPr>
            <w:tcW w:w="688" w:type="dxa"/>
            <w:shd w:val="clear" w:color="000000" w:fill="FFFFFF" w:themeFill="background1"/>
            <w:vAlign w:val="center"/>
          </w:tcPr>
          <w:p w14:paraId="3C0E015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w:t>
            </w:r>
          </w:p>
        </w:tc>
        <w:tc>
          <w:tcPr>
            <w:tcW w:w="612" w:type="dxa"/>
            <w:shd w:val="clear" w:color="000000" w:fill="FFFFFF" w:themeFill="background1"/>
            <w:vAlign w:val="center"/>
          </w:tcPr>
          <w:p w14:paraId="7BD3BBB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11E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43E15CD6">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85</w:t>
            </w:r>
          </w:p>
        </w:tc>
        <w:tc>
          <w:tcPr>
            <w:tcW w:w="975" w:type="dxa"/>
            <w:shd w:val="clear" w:color="000000" w:fill="FFFFFF" w:themeFill="background1"/>
            <w:vAlign w:val="center"/>
          </w:tcPr>
          <w:p w14:paraId="207153E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400万星光级25倍红外智能球机</w:t>
            </w:r>
          </w:p>
        </w:tc>
        <w:tc>
          <w:tcPr>
            <w:tcW w:w="7610" w:type="dxa"/>
            <w:shd w:val="clear" w:color="000000" w:fill="FFFFFF" w:themeFill="background1"/>
            <w:vAlign w:val="top"/>
          </w:tcPr>
          <w:p w14:paraId="4B64A26F">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1.400万星光级25倍红外球型网络摄像机（焦距范围： 4.8~120mm，25倍光学变倍）</w:t>
            </w:r>
          </w:p>
          <w:p w14:paraId="13E4FB90">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2.1/2.8 inch逐行扫描CMOS传感器；照度：0.003lux(F1.6，AGC ON，彩色)</w:t>
            </w:r>
          </w:p>
          <w:p w14:paraId="0F91B420">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3.宽动态120DB，信噪比&gt;52dB；</w:t>
            </w:r>
          </w:p>
          <w:p w14:paraId="766A2953">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4.支持H.265、H.264、MJPEG协议；，编码制式：400万(2688*1520)最大30帧/秒</w:t>
            </w:r>
          </w:p>
          <w:p w14:paraId="0C965937">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5.不低于水平键控速度：0.1°~200°/s；水平预置点速度：240°/s；垂直键控速度：0.1°~120°/s；垂直预置点速度：200°/s；</w:t>
            </w:r>
          </w:p>
          <w:p w14:paraId="0EF478FB">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6.预置位1024个，支持设置看守位；支持预置位巡航、轨迹巡航与录制巡航；</w:t>
            </w:r>
          </w:p>
          <w:p w14:paraId="21D8DE19">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7.最多可同时检测40个人脸目标；支持效果优先、速度优先、周期优选三种人脸抓拍优选模式，支持人脸角度过滤；</w:t>
            </w:r>
          </w:p>
          <w:p w14:paraId="68780CC7">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8.深度周界：越界检测、区域入侵、进入区域、离开区域</w:t>
            </w:r>
          </w:p>
          <w:p w14:paraId="1793E11B">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9.人流量统计：支持总人数、进入人数、离开人数统计</w:t>
            </w:r>
          </w:p>
          <w:p w14:paraId="1605186F">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10.支持对画面中的机动车、非机动车、行人目标进行分类跟踪</w:t>
            </w:r>
          </w:p>
          <w:p w14:paraId="3B2A58E6">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11.具有良好的网络适应能力，能够在丢包率20%，网络延迟50ms的网络环境下正常工作</w:t>
            </w:r>
          </w:p>
          <w:p w14:paraId="6E8AE7BD">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12.音频接口：1路输入、1路输出，告警接口：2路输入、1路输出；支持SD卡256GB；</w:t>
            </w:r>
          </w:p>
          <w:p w14:paraId="5BF24E9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13.电源：AC 24V±25%（默认电源）、DC 24V±25%；支持过压/过流保护，6KV防雷设计；高低温范围-40℃~70℃</w:t>
            </w:r>
          </w:p>
        </w:tc>
        <w:tc>
          <w:tcPr>
            <w:tcW w:w="688" w:type="dxa"/>
            <w:shd w:val="clear" w:color="000000" w:fill="FFFFFF" w:themeFill="background1"/>
            <w:vAlign w:val="center"/>
          </w:tcPr>
          <w:p w14:paraId="18FA7BD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12" w:type="dxa"/>
            <w:shd w:val="clear" w:color="000000" w:fill="FFFFFF" w:themeFill="background1"/>
            <w:vAlign w:val="center"/>
          </w:tcPr>
          <w:p w14:paraId="681901C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032B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388C0B0">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86</w:t>
            </w:r>
          </w:p>
        </w:tc>
        <w:tc>
          <w:tcPr>
            <w:tcW w:w="975" w:type="dxa"/>
            <w:shd w:val="clear" w:color="000000" w:fill="FFFFFF" w:themeFill="background1"/>
            <w:vAlign w:val="center"/>
          </w:tcPr>
          <w:p w14:paraId="0CB6968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24口POE交换机</w:t>
            </w:r>
          </w:p>
        </w:tc>
        <w:tc>
          <w:tcPr>
            <w:tcW w:w="7610" w:type="dxa"/>
            <w:shd w:val="clear" w:color="000000" w:fill="FFFFFF" w:themeFill="background1"/>
            <w:vAlign w:val="top"/>
          </w:tcPr>
          <w:p w14:paraId="057574B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1.千兆POE电口≥24个，2.5G光口≥4个，Console口≥1个</w:t>
            </w:r>
          </w:p>
          <w:p w14:paraId="34F605D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交换容量≥670Gbps，包转发率≥150Mpps；</w:t>
            </w:r>
          </w:p>
          <w:p w14:paraId="4FF57A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3.支持STP、RSTP、MSTP协议，支持IGMP v1/v2/v3 Snooping、4K个VLAN、DHCP Server；</w:t>
            </w:r>
          </w:p>
          <w:p w14:paraId="4E7D419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4.支持IEEE 802.3af/at供电标准，单端口最大输出PoE功率30W，整机最大输出PoE功率370W</w:t>
            </w:r>
          </w:p>
          <w:p w14:paraId="611EDD1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5.支持MAC地址≥16K，支持MAC地址自动学习、源MAC地址过滤、接口MAC地址学习个数限制；</w:t>
            </w:r>
          </w:p>
          <w:p w14:paraId="690FAC6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为了提升网络可靠性，支持在网络控制平台管理下的M-LAG技术，跨设备链路聚合，并对于配对的设备有独立的控制平面（提供功能截图并加盖</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70B08BF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7.支持防网关ARP欺骗，支持端口保护、隔离，支持防止DOS、ARP攻击功能，支持CPU保护功能；</w:t>
            </w:r>
          </w:p>
          <w:p w14:paraId="31F8B6A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为了方便远程运维，支持通过APP进行远程管理，并且可以修改交换机网络配置（提供功能截图并加盖</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15B28C3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9.为方便故障设备快速更换，交换机支持通过控制器平台“替换”按钮即可完成故障设备替换；</w:t>
            </w:r>
          </w:p>
          <w:p w14:paraId="3AC507B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为实现安全事件可回溯，支持查看安全事件记录、私扩非法边缘设备记录、终端在端口漂移记录、静态IP异常记录等安全事件的记录统计（提供功能截图并加盖</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7757696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11.支持终端的MAC与交换机端口变更检测，支持交换机端口终端类型变更后，通过APP、短信告警；</w:t>
            </w:r>
          </w:p>
          <w:p w14:paraId="1562B18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为方便了解接入终端类型，基于终端类型库自动识别PC、路由器、摄像头设备等（提供功能截图并加盖</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13E7C40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13.支持DHCP Snooping，支持交换机端口设置为信任端口或非信任端口，非信任端口也可设置白名单响应DHCP报文；</w:t>
            </w:r>
          </w:p>
          <w:p w14:paraId="05DFD33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为了保障网络安全性，需支持交换机在网络控制平台管理下创建东西向安全策略，实现全网安全风险拦截（提供功能截图并加盖</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45943964">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15.为提高系统兼容性对接，需支持联动第三方安全设备或平台，通过联动实现从系统及接入层交换机对风险终端MAC地址进行封堵；</w:t>
            </w:r>
          </w:p>
        </w:tc>
        <w:tc>
          <w:tcPr>
            <w:tcW w:w="688" w:type="dxa"/>
            <w:shd w:val="clear" w:color="000000" w:fill="FFFFFF" w:themeFill="background1"/>
            <w:vAlign w:val="center"/>
          </w:tcPr>
          <w:p w14:paraId="6A25CB2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12" w:type="dxa"/>
            <w:shd w:val="clear" w:color="000000" w:fill="FFFFFF" w:themeFill="background1"/>
            <w:vAlign w:val="center"/>
          </w:tcPr>
          <w:p w14:paraId="486A71E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7E6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589D044">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87</w:t>
            </w:r>
          </w:p>
        </w:tc>
        <w:tc>
          <w:tcPr>
            <w:tcW w:w="975" w:type="dxa"/>
            <w:shd w:val="clear" w:color="000000" w:fill="FFFFFF" w:themeFill="background1"/>
            <w:vAlign w:val="center"/>
          </w:tcPr>
          <w:p w14:paraId="00D1F89F">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红外无线功放</w:t>
            </w:r>
          </w:p>
        </w:tc>
        <w:tc>
          <w:tcPr>
            <w:tcW w:w="7610" w:type="dxa"/>
            <w:shd w:val="clear" w:color="000000" w:fill="FFFFFF" w:themeFill="background1"/>
            <w:vAlign w:val="bottom"/>
          </w:tcPr>
          <w:p w14:paraId="7E17114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1.集成：D类数字功放，红外线无线接收模块，反馈抑制模块于一体</w:t>
            </w:r>
          </w:p>
          <w:p w14:paraId="77B67C5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2.采用红外光线进行音频传输，可在室外阳光环境下工作，不串频，无干扰。</w:t>
            </w:r>
          </w:p>
          <w:p w14:paraId="0A59517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频道组数≥3通道，支持两支红外无线话筒和一支红外翻页笔同时使用。须提供第三方实验室（检测机构）出具的检测报告。</w:t>
            </w:r>
          </w:p>
          <w:p w14:paraId="7F62A81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4.红外传输接口≥RJ45网口×2个，可支持4个红外传感器，最长传输距离≥70米</w:t>
            </w:r>
          </w:p>
          <w:p w14:paraId="40F86CA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线路输入接口≥2组；有线话筒输入接口≥2个（其中1个自带48V幻象供电）；USB数字声卡接口≥1个；USB接口≥2个（可连接多媒体设备以及具备充电功能可以连接充电座使用）；混音输出接口≥2个；话筒独立输出接口≥1个；音箱接线端口≥4组。须提供第三方实验室（检测机构）出具的检测报告。</w:t>
            </w:r>
          </w:p>
          <w:p w14:paraId="0EC19D2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前面板配备每个红外通道音量物理旋钮、每个线路输入音量物理旋钮、数字声卡输入音量物理旋钮、有线话筒输入音量物理旋钮、高低音调节物理旋钮，具备参数存储按钮，恢复出厂值按钮。须提供具有第三方实验室（检测机构）出具的检测报告。</w:t>
            </w:r>
          </w:p>
          <w:p w14:paraId="58D9EF0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支持RS232中控，实现每路音量调节，高低音调节，参数储存/恢复，电源开关，通过第三方中控实现摄像机联动等控制。</w:t>
            </w:r>
          </w:p>
          <w:p w14:paraId="42F48D9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8.前面板配置中文液晶屏，及时反馈设备状态。</w:t>
            </w:r>
          </w:p>
          <w:p w14:paraId="64B6D86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9.频率响应：50Hz~20KHz ±3dB</w:t>
            </w:r>
          </w:p>
          <w:p w14:paraId="6B7ABEE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10.失真：≤0.05%</w:t>
            </w:r>
          </w:p>
          <w:p w14:paraId="576B69C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11.信噪比≥78dB(MIC ),  ≥80dB(LINE),  ≥100dB(IR MIC)（A计权）</w:t>
            </w:r>
          </w:p>
          <w:p w14:paraId="45E1D20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12.动态范围100dB</w:t>
            </w:r>
          </w:p>
          <w:p w14:paraId="28F6B12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13.RF载波稳定性:±0.005% (-10℃-40℃)</w:t>
            </w:r>
          </w:p>
          <w:p w14:paraId="6FB61A9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额定输出功率:（4Ω）4×130W</w:t>
            </w:r>
          </w:p>
          <w:p w14:paraId="3428E0B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15.输入灵敏度:20mV(MIC ),  700mV(LINE)</w:t>
            </w:r>
          </w:p>
          <w:p w14:paraId="1C82FE23">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16.输入阻抗:22KΩ (MIC ),  390Ω (LINE)</w:t>
            </w:r>
          </w:p>
        </w:tc>
        <w:tc>
          <w:tcPr>
            <w:tcW w:w="688" w:type="dxa"/>
            <w:shd w:val="clear" w:color="000000" w:fill="FFFFFF" w:themeFill="background1"/>
            <w:vAlign w:val="center"/>
          </w:tcPr>
          <w:p w14:paraId="2DD9EAC8">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12" w:type="dxa"/>
            <w:shd w:val="clear" w:color="000000" w:fill="FFFFFF" w:themeFill="background1"/>
            <w:vAlign w:val="center"/>
          </w:tcPr>
          <w:p w14:paraId="24B45C0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5DB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6DB350CD">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88</w:t>
            </w:r>
          </w:p>
        </w:tc>
        <w:tc>
          <w:tcPr>
            <w:tcW w:w="975" w:type="dxa"/>
            <w:shd w:val="clear" w:color="000000" w:fill="FFFFFF" w:themeFill="background1"/>
            <w:vAlign w:val="center"/>
          </w:tcPr>
          <w:p w14:paraId="6EB3145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红外线传感器</w:t>
            </w:r>
          </w:p>
        </w:tc>
        <w:tc>
          <w:tcPr>
            <w:tcW w:w="7610" w:type="dxa"/>
            <w:shd w:val="clear" w:color="000000" w:fill="FFFFFF" w:themeFill="background1"/>
            <w:vAlign w:val="bottom"/>
          </w:tcPr>
          <w:p w14:paraId="2EC226A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 接收管：超广角多阵列式红外线接收管≥24颗，须提供具有“CNAS”或“CMA"资质的第三方实验室（检测机构）出具的检测报告。</w:t>
            </w:r>
          </w:p>
          <w:p w14:paraId="4DC7771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信号线：超五类网线</w:t>
            </w:r>
          </w:p>
          <w:p w14:paraId="7EDE256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 同时支持3个或以上红外通道传输（同时支持3支或以上红外线话筒稳定传输）。须提供具有第三方实验室（检测机构）出具的检测报告。</w:t>
            </w:r>
          </w:p>
          <w:p w14:paraId="068C919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 接口：RJ45网络接口。</w:t>
            </w:r>
          </w:p>
          <w:p w14:paraId="1AFC41F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尺寸规格： ( Φ)115mm X (H)46mm</w:t>
            </w:r>
          </w:p>
          <w:p w14:paraId="58D4477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 标配一体化磁吸式支架，安装更快捷。</w:t>
            </w:r>
          </w:p>
          <w:p w14:paraId="3CFC39B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 接收半径：≥26m(直线无遮挡)，须提供具有“CNAS”或“CMA"资质的第三方实验室（检测机构）出具的检测报告。</w:t>
            </w:r>
          </w:p>
          <w:p w14:paraId="5FAAF52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红外线波长：850nm</w:t>
            </w:r>
          </w:p>
          <w:p w14:paraId="31AEF01F">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覆盖角度：360°</w:t>
            </w:r>
          </w:p>
        </w:tc>
        <w:tc>
          <w:tcPr>
            <w:tcW w:w="688" w:type="dxa"/>
            <w:shd w:val="clear" w:color="000000" w:fill="FFFFFF" w:themeFill="background1"/>
            <w:vAlign w:val="center"/>
          </w:tcPr>
          <w:p w14:paraId="1FB01920">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612" w:type="dxa"/>
            <w:shd w:val="clear" w:color="000000" w:fill="FFFFFF" w:themeFill="background1"/>
            <w:vAlign w:val="center"/>
          </w:tcPr>
          <w:p w14:paraId="15E75795">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E80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D50C009">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89</w:t>
            </w:r>
          </w:p>
        </w:tc>
        <w:tc>
          <w:tcPr>
            <w:tcW w:w="975" w:type="dxa"/>
            <w:shd w:val="clear" w:color="000000" w:fill="FFFFFF" w:themeFill="background1"/>
            <w:vAlign w:val="center"/>
          </w:tcPr>
          <w:p w14:paraId="48539DC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红外线颈挂式水滴形话筒</w:t>
            </w:r>
          </w:p>
        </w:tc>
        <w:tc>
          <w:tcPr>
            <w:tcW w:w="7610" w:type="dxa"/>
            <w:shd w:val="clear" w:color="000000" w:fill="FFFFFF" w:themeFill="background1"/>
            <w:vAlign w:val="bottom"/>
          </w:tcPr>
          <w:p w14:paraId="6A1CB1B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 无线传输制式：红外线(波长850nm)，高灵敏度红外线发射管≥6颗，可在阳光下工作。</w:t>
            </w:r>
          </w:p>
          <w:p w14:paraId="54CDFC6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有效传输距离：与配套主机实现26米（室内直线无遮挡）稳定传输。</w:t>
            </w:r>
          </w:p>
          <w:p w14:paraId="0C1CD2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拾音传感器：电容式驻极体音头ECM。</w:t>
            </w:r>
          </w:p>
          <w:p w14:paraId="41C6BA7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通道调节：双通道设计，可自由调节通道。</w:t>
            </w:r>
          </w:p>
          <w:p w14:paraId="54C2553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电池工作时间≥6小时。</w:t>
            </w:r>
          </w:p>
          <w:p w14:paraId="49EB18A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 电池：1节AA （3.7V）可充电可拆卸可自行更换锂电池，支持两种充电方式：磁吸座充和Type-C线充电。须提供第三方实验室（检测机构）出具的检测报告。</w:t>
            </w:r>
          </w:p>
          <w:p w14:paraId="0CB0B81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 话筒静置1秒后自动断开红外发射和声音采集，拿取时自动打开红外发射并正常工作。须提供具有第三方实验室（检测机构）出具的检测报告。</w:t>
            </w:r>
          </w:p>
          <w:p w14:paraId="3ECEE01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安全电路设计：电池反装不会短路，电池反装充电不会短路，装入性能不匹配电池不工作、不充电。</w:t>
            </w:r>
          </w:p>
          <w:p w14:paraId="3BAFC49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外部音源接入：能支持外部音源输入，可连接手机等移动设备。</w:t>
            </w:r>
          </w:p>
          <w:p w14:paraId="4C75687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10. 通过4颗双色指示灯反馈设备电量、音量及使用状态。</w:t>
            </w:r>
          </w:p>
          <w:p w14:paraId="7BD8FF0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11 .配合红外主机，支持红外技术的PPT翻页</w:t>
            </w:r>
          </w:p>
          <w:p w14:paraId="3C0954B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12. 采用水滴形外观，重量≤60g。</w:t>
            </w:r>
          </w:p>
          <w:p w14:paraId="7FB9716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 佩戴方式：可颈挂，可手持，硅胶挂绳舒适易清洁。</w:t>
            </w:r>
          </w:p>
          <w:p w14:paraId="549CE6C8">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 兼容性：兼容同品牌红外线全系列接收设备。</w:t>
            </w:r>
          </w:p>
        </w:tc>
        <w:tc>
          <w:tcPr>
            <w:tcW w:w="688" w:type="dxa"/>
            <w:shd w:val="clear" w:color="000000" w:fill="FFFFFF" w:themeFill="background1"/>
            <w:vAlign w:val="center"/>
          </w:tcPr>
          <w:p w14:paraId="3102E98B">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612" w:type="dxa"/>
            <w:shd w:val="clear" w:color="000000" w:fill="FFFFFF" w:themeFill="background1"/>
            <w:vAlign w:val="center"/>
          </w:tcPr>
          <w:p w14:paraId="771A494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r>
      <w:tr w14:paraId="5090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4D77F5D7">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90</w:t>
            </w:r>
          </w:p>
        </w:tc>
        <w:tc>
          <w:tcPr>
            <w:tcW w:w="975" w:type="dxa"/>
            <w:shd w:val="clear" w:color="000000" w:fill="FFFFFF" w:themeFill="background1"/>
            <w:vAlign w:val="center"/>
          </w:tcPr>
          <w:p w14:paraId="2B8D378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红外线手持话筒（小）</w:t>
            </w:r>
          </w:p>
        </w:tc>
        <w:tc>
          <w:tcPr>
            <w:tcW w:w="7610" w:type="dxa"/>
            <w:shd w:val="clear" w:color="000000" w:fill="FFFFFF" w:themeFill="background1"/>
            <w:vAlign w:val="bottom"/>
          </w:tcPr>
          <w:p w14:paraId="3616854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 无线传输制式：红外线(波长850nm)，高灵敏度红外线发射管≥6颗。须提供第三方实验室（检测机构）出具的检测报告。</w:t>
            </w:r>
          </w:p>
          <w:p w14:paraId="2D6C35B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拾音传感器：电容式驻极体音头ECM。</w:t>
            </w:r>
          </w:p>
          <w:p w14:paraId="38717BF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通道调节：双通道设计，可自由调节通道。</w:t>
            </w:r>
          </w:p>
          <w:p w14:paraId="1192DAD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电池工作时间≥6小时。</w:t>
            </w:r>
          </w:p>
          <w:p w14:paraId="483227E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 电池：1节AA （3.7V）可充电可拆卸可自行更换锂电池。须提供具有第三方实验室（检测机构）出具的检测报告。</w:t>
            </w:r>
          </w:p>
          <w:p w14:paraId="0F57C87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 充电方式：支持直插式磁吸桌面充电器充电。即话筒尾部安装环形磁吸充电金属片，话筒旋转360°，任意角度都可充电。须提供第三方实验室（检测机构）出具的检测报告。</w:t>
            </w:r>
          </w:p>
          <w:p w14:paraId="75398BD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话筒具备防止电池短路设计，即：无法将电池反装入话筒内，且在任何电池短路的情况下都不会对设备造成损坏。</w:t>
            </w:r>
          </w:p>
          <w:p w14:paraId="182876C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 采用手持式圆柱体形状设计，管体管身全部采用铝合金材质，并具备防滚跌落设计。</w:t>
            </w:r>
          </w:p>
          <w:p w14:paraId="7446790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9. 话筒静置2秒后自动断开红外发射和声音采集，拿取时自动打开红外发射并正常工作。须提供具有第三方实验室（检测机构）出具的检测报告。</w:t>
            </w:r>
          </w:p>
          <w:p w14:paraId="4DF81FD5">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兼容性：兼容同品牌红外线全系列接收设备。</w:t>
            </w:r>
          </w:p>
        </w:tc>
        <w:tc>
          <w:tcPr>
            <w:tcW w:w="688" w:type="dxa"/>
            <w:shd w:val="clear" w:color="000000" w:fill="FFFFFF" w:themeFill="background1"/>
            <w:vAlign w:val="center"/>
          </w:tcPr>
          <w:p w14:paraId="259BB82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612" w:type="dxa"/>
            <w:shd w:val="clear" w:color="000000" w:fill="FFFFFF" w:themeFill="background1"/>
            <w:vAlign w:val="center"/>
          </w:tcPr>
          <w:p w14:paraId="76DA7EB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r>
      <w:tr w14:paraId="435B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496267E0">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91</w:t>
            </w:r>
          </w:p>
        </w:tc>
        <w:tc>
          <w:tcPr>
            <w:tcW w:w="975" w:type="dxa"/>
            <w:shd w:val="clear" w:color="000000" w:fill="FFFFFF" w:themeFill="background1"/>
            <w:vAlign w:val="center"/>
          </w:tcPr>
          <w:p w14:paraId="0A2849F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组合式双路充电座</w:t>
            </w:r>
          </w:p>
        </w:tc>
        <w:tc>
          <w:tcPr>
            <w:tcW w:w="7610" w:type="dxa"/>
            <w:shd w:val="clear" w:color="000000" w:fill="FFFFFF" w:themeFill="background1"/>
            <w:vAlign w:val="bottom"/>
          </w:tcPr>
          <w:p w14:paraId="56CF176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 标配两个充电位，支持不同形状话筒（颈挂式、手持式）。同时支持桌面放置、嵌入式安装方式，且所有设备可以互换充电位充电。须提供具有第三方实验室（检测机构）出具的检测报告。</w:t>
            </w:r>
          </w:p>
          <w:p w14:paraId="6002345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充电保护：对不关话筒的情况下可以自动断开内部电路并进行充电。</w:t>
            </w:r>
          </w:p>
          <w:p w14:paraId="756C0F4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充电指示：可根据充电指示灯判断充电情况。</w:t>
            </w:r>
          </w:p>
          <w:p w14:paraId="41C5D0D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电池识别保护：能自动识别是否是充电电池，检测到非充电电池会自动断电保护。</w:t>
            </w:r>
          </w:p>
          <w:p w14:paraId="7A42A06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 同时具备Type-C接口和4P凤凰插口，且都支持供电和RS-232控制协议，通过中控接口反馈充电状态，发送控制指令。须提供第三方实验室（检测机构）出具的检测报告。</w:t>
            </w:r>
          </w:p>
          <w:p w14:paraId="5811F00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充电电压电流：DC 5V, 500mA。</w:t>
            </w:r>
          </w:p>
        </w:tc>
        <w:tc>
          <w:tcPr>
            <w:tcW w:w="688" w:type="dxa"/>
            <w:shd w:val="clear" w:color="000000" w:fill="FFFFFF" w:themeFill="background1"/>
            <w:vAlign w:val="center"/>
          </w:tcPr>
          <w:p w14:paraId="0EB4D16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612" w:type="dxa"/>
            <w:shd w:val="clear" w:color="000000" w:fill="FFFFFF" w:themeFill="background1"/>
            <w:vAlign w:val="center"/>
          </w:tcPr>
          <w:p w14:paraId="6BC447B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EE3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7E97B28F">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92</w:t>
            </w:r>
          </w:p>
        </w:tc>
        <w:tc>
          <w:tcPr>
            <w:tcW w:w="975" w:type="dxa"/>
            <w:shd w:val="clear" w:color="000000" w:fill="FFFFFF" w:themeFill="background1"/>
            <w:vAlign w:val="center"/>
          </w:tcPr>
          <w:p w14:paraId="1C81025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垂直阵列主扩扬声器</w:t>
            </w:r>
          </w:p>
        </w:tc>
        <w:tc>
          <w:tcPr>
            <w:tcW w:w="7610" w:type="dxa"/>
            <w:shd w:val="clear" w:color="000000" w:fill="FFFFFF" w:themeFill="background1"/>
            <w:vAlign w:val="bottom"/>
          </w:tcPr>
          <w:p w14:paraId="420DD2C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 通过线阵列声柱扬声器中的恒定波束技术，解决传统扬声器投射与干扰的难题。须提供第三方实验室（检测机构）出具的检测报告。</w:t>
            </w:r>
          </w:p>
          <w:p w14:paraId="23FB715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 箱体材料： ABS塑料+玻璃纤维强化箱体，坚固耐用。须提供第三方实验室（检测机构）出具的检测报告。</w:t>
            </w:r>
          </w:p>
          <w:p w14:paraId="290493B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 喇叭单元≥4个3寸高性能铁氧体驱动单元。须提供第三方实验室（检测机构）出具的检测报告。</w:t>
            </w:r>
          </w:p>
          <w:p w14:paraId="790199D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外观工艺：UV防水浸涂漆，防锈箱体，IPx4防水级别，室内、外均可安装。</w:t>
            </w:r>
          </w:p>
          <w:p w14:paraId="11A99AF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5. 安全设计：UL94V-0阻燃级别材料。</w:t>
            </w:r>
          </w:p>
          <w:p w14:paraId="006FA42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阻抗：8Ω；</w:t>
            </w:r>
          </w:p>
          <w:p w14:paraId="2277476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 功率：额定120W，峰值400W</w:t>
            </w:r>
          </w:p>
          <w:p w14:paraId="562F1D5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灵敏度（1W/1m）：98dB；</w:t>
            </w:r>
          </w:p>
          <w:p w14:paraId="38018E7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最大声压级（1W/1m）：123dB；</w:t>
            </w:r>
          </w:p>
          <w:p w14:paraId="43A5A70A">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频率响应：120Hz~16kHz（-6dB）；75Hz~20kHz（-10dB）</w:t>
            </w:r>
          </w:p>
          <w:p w14:paraId="263DAC6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扩散角度：垂直&gt;20°，水平&gt;120°；</w:t>
            </w:r>
          </w:p>
          <w:p w14:paraId="2DBC309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 颜色：黑色/白色可选；</w:t>
            </w:r>
          </w:p>
          <w:p w14:paraId="4B08B9BE">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 尺寸（高×宽×深）：530x100x150mm；</w:t>
            </w:r>
          </w:p>
          <w:p w14:paraId="5E26C122">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 产品净重：3.80kg；</w:t>
            </w:r>
          </w:p>
        </w:tc>
        <w:tc>
          <w:tcPr>
            <w:tcW w:w="688" w:type="dxa"/>
            <w:shd w:val="clear" w:color="000000" w:fill="FFFFFF" w:themeFill="background1"/>
            <w:vAlign w:val="center"/>
          </w:tcPr>
          <w:p w14:paraId="7C853BC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612" w:type="dxa"/>
            <w:shd w:val="clear" w:color="000000" w:fill="FFFFFF" w:themeFill="background1"/>
            <w:vAlign w:val="center"/>
          </w:tcPr>
          <w:p w14:paraId="3DA723FC">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r>
      <w:tr w14:paraId="4310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EB92113">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93</w:t>
            </w:r>
          </w:p>
        </w:tc>
        <w:tc>
          <w:tcPr>
            <w:tcW w:w="975" w:type="dxa"/>
            <w:shd w:val="clear" w:color="000000" w:fill="FFFFFF" w:themeFill="background1"/>
            <w:vAlign w:val="center"/>
          </w:tcPr>
          <w:p w14:paraId="16E0E4A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红外无线扩声一体机（主箱）</w:t>
            </w:r>
          </w:p>
        </w:tc>
        <w:tc>
          <w:tcPr>
            <w:tcW w:w="7610" w:type="dxa"/>
            <w:shd w:val="clear" w:color="000000" w:fill="FFFFFF" w:themeFill="background1"/>
            <w:vAlign w:val="bottom"/>
          </w:tcPr>
          <w:p w14:paraId="068B4AD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 一体化设计。集成：数字功放，红外无线接收模块，红外线传感器，反馈抑制模块，DSP数字音频处理模块，扬声器于一体。</w:t>
            </w:r>
          </w:p>
          <w:p w14:paraId="70B5E29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采用红外光线进行音频传输，可在室外阳光环境下工作，不串频，无干扰。</w:t>
            </w:r>
          </w:p>
          <w:p w14:paraId="64EAAB6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 频道组数≥3通道，支持两支红外无线话筒和一支红外翻页笔同时使用。</w:t>
            </w:r>
          </w:p>
          <w:p w14:paraId="0B981A3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 内嵌超广角多阵列式红外线接收管≥24颗。</w:t>
            </w:r>
          </w:p>
          <w:p w14:paraId="66A6471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一路红外传输扩展接口：RJ45网口。</w:t>
            </w:r>
          </w:p>
          <w:p w14:paraId="35002EF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6. 线路输入接口1个；USB数字声卡接口1个；混音输出接口1个；幻象供电话筒接口1个；话筒独立输出1个，音箱接线端口1组。</w:t>
            </w:r>
          </w:p>
          <w:p w14:paraId="76B638AF">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7. 支持RS232中控，实现每路音量调节，高低音调节，参数储存/恢复，电源开关等中控控制。</w:t>
            </w:r>
          </w:p>
          <w:p w14:paraId="0D612EF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 控制面板配置中文液晶屏，及时反馈设备状态。</w:t>
            </w:r>
          </w:p>
          <w:p w14:paraId="49B933F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功放频率响应：50Hz~20KHz ±3dB</w:t>
            </w:r>
          </w:p>
          <w:p w14:paraId="210D8296">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失真：≤0.05%</w:t>
            </w:r>
          </w:p>
          <w:p w14:paraId="6F8B216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信噪比≥78dB(MIC),  ≥80dB(LINE),  ≥98dB(IR MIC)</w:t>
            </w:r>
          </w:p>
          <w:p w14:paraId="168BEC2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 功放额定输出功率:（4Ω）90W </w:t>
            </w:r>
          </w:p>
          <w:p w14:paraId="2EABDFF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13. 扬声器：2×4”全频</w:t>
            </w:r>
          </w:p>
          <w:p w14:paraId="7F9B5465">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14. 铝合金箱体</w:t>
            </w:r>
          </w:p>
        </w:tc>
        <w:tc>
          <w:tcPr>
            <w:tcW w:w="688" w:type="dxa"/>
            <w:shd w:val="clear" w:color="000000" w:fill="FFFFFF" w:themeFill="background1"/>
            <w:vAlign w:val="center"/>
          </w:tcPr>
          <w:p w14:paraId="2200DCD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12" w:type="dxa"/>
            <w:shd w:val="clear" w:color="000000" w:fill="FFFFFF" w:themeFill="background1"/>
            <w:vAlign w:val="center"/>
          </w:tcPr>
          <w:p w14:paraId="25D826E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477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560DD264">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94</w:t>
            </w:r>
          </w:p>
        </w:tc>
        <w:tc>
          <w:tcPr>
            <w:tcW w:w="975" w:type="dxa"/>
            <w:shd w:val="clear" w:color="000000" w:fill="FFFFFF" w:themeFill="background1"/>
            <w:vAlign w:val="center"/>
          </w:tcPr>
          <w:p w14:paraId="4E050A0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红外音箱</w:t>
            </w:r>
          </w:p>
        </w:tc>
        <w:tc>
          <w:tcPr>
            <w:tcW w:w="7610" w:type="dxa"/>
            <w:shd w:val="clear" w:color="000000" w:fill="FFFFFF" w:themeFill="background1"/>
            <w:vAlign w:val="bottom"/>
          </w:tcPr>
          <w:p w14:paraId="352A4FD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1、箱体内嵌超广角多阵列式红外线接收管24颗，与音箱融为一体。须提供第三方实验室（检测机构）出具的检测报告。</w:t>
            </w:r>
          </w:p>
          <w:p w14:paraId="2091B98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2、采用RJ45网口进行红外信号传输，并具备输入输出接口。</w:t>
            </w:r>
          </w:p>
          <w:p w14:paraId="5EFCA4B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3、单元组成2个4寸高性能铁氧体驱动单元。</w:t>
            </w:r>
          </w:p>
          <w:p w14:paraId="53B2E6E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4、频率响应：100Hz~18kHz（±3dB）</w:t>
            </w:r>
          </w:p>
          <w:p w14:paraId="2A3EC5D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5、额定/峰值功率80W/160W</w:t>
            </w:r>
          </w:p>
          <w:p w14:paraId="3ECCE210">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6、灵敏度：90dB（1W/1M）</w:t>
            </w:r>
          </w:p>
          <w:p w14:paraId="7282D5D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7、最大声压级110dB（1W/1M）</w:t>
            </w:r>
          </w:p>
          <w:p w14:paraId="0B502C48">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阻抗：8Ω；</w:t>
            </w:r>
          </w:p>
          <w:p w14:paraId="14D4D4D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9. 箱体材料： 铝合金一次成型，坚固耐用。</w:t>
            </w:r>
          </w:p>
          <w:p w14:paraId="6004C13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 外观工艺：阳极氧化，IPx4防水级别，室内、外均可安装。</w:t>
            </w:r>
          </w:p>
          <w:p w14:paraId="02C1C4A1">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 尺寸（高×宽×深）mm：147.3(L)x149.7(W)x475(H)</w:t>
            </w:r>
          </w:p>
        </w:tc>
        <w:tc>
          <w:tcPr>
            <w:tcW w:w="688" w:type="dxa"/>
            <w:shd w:val="clear" w:color="000000" w:fill="FFFFFF" w:themeFill="background1"/>
            <w:vAlign w:val="center"/>
          </w:tcPr>
          <w:p w14:paraId="42778AB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12" w:type="dxa"/>
            <w:shd w:val="clear" w:color="000000" w:fill="FFFFFF" w:themeFill="background1"/>
            <w:vAlign w:val="center"/>
          </w:tcPr>
          <w:p w14:paraId="3A834F83">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r>
      <w:tr w14:paraId="227E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214EB915">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95</w:t>
            </w:r>
          </w:p>
        </w:tc>
        <w:tc>
          <w:tcPr>
            <w:tcW w:w="975" w:type="dxa"/>
            <w:shd w:val="clear" w:color="000000" w:fill="FFFFFF" w:themeFill="background1"/>
            <w:vAlign w:val="center"/>
          </w:tcPr>
          <w:p w14:paraId="2282A3E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红外无线音频传输器</w:t>
            </w:r>
          </w:p>
        </w:tc>
        <w:tc>
          <w:tcPr>
            <w:tcW w:w="7610" w:type="dxa"/>
            <w:shd w:val="clear" w:color="000000" w:fill="FFFFFF" w:themeFill="background1"/>
            <w:vAlign w:val="bottom"/>
          </w:tcPr>
          <w:p w14:paraId="3909849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1、实现外部音源（电脑、手机、平板）的无线音频传输 ，即插即用，无须安装任何软件，无须任何设置。</w:t>
            </w:r>
          </w:p>
          <w:p w14:paraId="26C47EC2">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2、无线传输制式：红外线（波长850nm），高灵敏度红外线发射管≥6颗，须提供第三方实验室（检测机构）出具的检测报告。</w:t>
            </w:r>
          </w:p>
          <w:p w14:paraId="68C0018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3、供电电源：DC 5V, 500mA</w:t>
            </w:r>
          </w:p>
          <w:p w14:paraId="017FC864">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4、接口：3.5mm立体声输入,USB供电，长度≥2米</w:t>
            </w:r>
          </w:p>
          <w:p w14:paraId="466E094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重量≤85 g</w:t>
            </w:r>
          </w:p>
        </w:tc>
        <w:tc>
          <w:tcPr>
            <w:tcW w:w="688" w:type="dxa"/>
            <w:shd w:val="clear" w:color="000000" w:fill="FFFFFF" w:themeFill="background1"/>
            <w:vAlign w:val="center"/>
          </w:tcPr>
          <w:p w14:paraId="0499A55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612" w:type="dxa"/>
            <w:shd w:val="clear" w:color="000000" w:fill="FFFFFF" w:themeFill="background1"/>
            <w:vAlign w:val="center"/>
          </w:tcPr>
          <w:p w14:paraId="646457B7">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B47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1834FE7A">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96</w:t>
            </w:r>
          </w:p>
        </w:tc>
        <w:tc>
          <w:tcPr>
            <w:tcW w:w="975" w:type="dxa"/>
            <w:shd w:val="clear" w:color="000000" w:fill="FFFFFF" w:themeFill="background1"/>
            <w:vAlign w:val="center"/>
          </w:tcPr>
          <w:p w14:paraId="58CEB88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红外智能翻页笔（绿色激光）</w:t>
            </w:r>
          </w:p>
        </w:tc>
        <w:tc>
          <w:tcPr>
            <w:tcW w:w="7610" w:type="dxa"/>
            <w:shd w:val="clear" w:color="000000" w:fill="FFFFFF" w:themeFill="background1"/>
            <w:vAlign w:val="bottom"/>
          </w:tcPr>
          <w:p w14:paraId="65EF7A1D">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1、无线通信技术：红外光线（850nm发射灯×4颗）。须提供第三方实验室（检测机构）出具的检测报告。</w:t>
            </w:r>
          </w:p>
          <w:p w14:paraId="0E89E233">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2、无须对频/配对，每支翻页笔都可通用。须提供第三方实验室（检测机构）出具的检测报告。</w:t>
            </w:r>
          </w:p>
          <w:p w14:paraId="1DB9F93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支持多种操作系统（Windows，macOS，android所有国产操作系统）的多种软件上下翻页。</w:t>
            </w:r>
          </w:p>
          <w:p w14:paraId="5F3EF32B">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4、绿色激光，显示距离＞200m</w:t>
            </w:r>
          </w:p>
          <w:p w14:paraId="61813A67">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5、可以书写电容、红外等触摸屏</w:t>
            </w:r>
          </w:p>
          <w:p w14:paraId="5AE72A81">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6、内置锂电池，可连续使用100小时。</w:t>
            </w:r>
          </w:p>
          <w:p w14:paraId="7F29E735">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7、支持两种充电方式：磁吸座充和Type-C线充电。</w:t>
            </w:r>
          </w:p>
          <w:p w14:paraId="584D0B69">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8、标配磁吸式充电盘。</w:t>
            </w:r>
          </w:p>
          <w:p w14:paraId="4C3DDBEC">
            <w:pPr>
              <w:widowControl/>
              <w:spacing w:line="300" w:lineRule="exact"/>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9、智能电源管理：静置2秒后自动休眠，拿取时瞬间自动正常工作。</w:t>
            </w:r>
          </w:p>
          <w:p w14:paraId="61582009">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10、极简设计：设备无需开关机，按任意键即刻开机使用。</w:t>
            </w:r>
          </w:p>
        </w:tc>
        <w:tc>
          <w:tcPr>
            <w:tcW w:w="688" w:type="dxa"/>
            <w:shd w:val="clear" w:color="000000" w:fill="FFFFFF" w:themeFill="background1"/>
            <w:vAlign w:val="center"/>
          </w:tcPr>
          <w:p w14:paraId="2D6A062D">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612" w:type="dxa"/>
            <w:shd w:val="clear" w:color="000000" w:fill="FFFFFF" w:themeFill="background1"/>
            <w:vAlign w:val="center"/>
          </w:tcPr>
          <w:p w14:paraId="5B3F1BA6">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r>
      <w:tr w14:paraId="6F1D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000000" w:fill="FFFFFF" w:themeFill="background1"/>
            <w:vAlign w:val="center"/>
          </w:tcPr>
          <w:p w14:paraId="3F71877B">
            <w:pPr>
              <w:widowControl/>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97</w:t>
            </w:r>
          </w:p>
        </w:tc>
        <w:tc>
          <w:tcPr>
            <w:tcW w:w="975" w:type="dxa"/>
            <w:shd w:val="clear" w:color="000000" w:fill="FFFFFF" w:themeFill="background1"/>
            <w:vAlign w:val="center"/>
          </w:tcPr>
          <w:p w14:paraId="2786AD92">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辅助显示器</w:t>
            </w:r>
          </w:p>
        </w:tc>
        <w:tc>
          <w:tcPr>
            <w:tcW w:w="7610" w:type="dxa"/>
            <w:shd w:val="clear" w:color="000000" w:fill="FFFFFF" w:themeFill="background1"/>
            <w:vAlign w:val="bottom"/>
          </w:tcPr>
          <w:p w14:paraId="68FE72B7">
            <w:pPr>
              <w:widowControl/>
              <w:numPr>
                <w:ilvl w:val="0"/>
                <w:numId w:val="5"/>
              </w:numPr>
              <w:spacing w:line="300" w:lineRule="exact"/>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产品类型:智能电视</w:t>
            </w:r>
          </w:p>
          <w:p w14:paraId="1899527C">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能效等级:三级能效</w:t>
            </w:r>
          </w:p>
          <w:p w14:paraId="73285033">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外观颜色：黑色</w:t>
            </w:r>
          </w:p>
          <w:p w14:paraId="6AE295C1">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屏幕尺寸:75英寸</w:t>
            </w:r>
          </w:p>
          <w:p w14:paraId="5F8C8131">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屏幕分辨率:3840×2160</w:t>
            </w:r>
          </w:p>
          <w:p w14:paraId="695BAEE4">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屏幕比例:16:9</w:t>
            </w:r>
          </w:p>
          <w:p w14:paraId="11EF89DE">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屏幕等级:A+</w:t>
            </w:r>
          </w:p>
          <w:p w14:paraId="42616DFF">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背光源:DLED</w:t>
            </w:r>
          </w:p>
          <w:p w14:paraId="06FFDC89">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背光方式:直下式</w:t>
            </w:r>
          </w:p>
          <w:p w14:paraId="7D1A5AF5">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对比度：50000：1</w:t>
            </w:r>
          </w:p>
          <w:p w14:paraId="75E6904B">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刷新频率:60Hz</w:t>
            </w:r>
          </w:p>
          <w:p w14:paraId="3F305ED7">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扫描方式:逐行扫描</w:t>
            </w:r>
          </w:p>
          <w:p w14:paraId="4472CB37">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响应时间:8ms</w:t>
            </w:r>
          </w:p>
          <w:p w14:paraId="4988B5EE">
            <w:pPr>
              <w:widowControl/>
              <w:numPr>
                <w:ilvl w:val="0"/>
                <w:numId w:val="5"/>
              </w:numPr>
              <w:spacing w:line="300" w:lineRule="exact"/>
              <w:ind w:left="0" w:leftChars="0"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支持格式（超高清）:2160p、1080p、1080i、720p</w:t>
            </w: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688" w:type="dxa"/>
            <w:shd w:val="clear" w:color="000000" w:fill="FFFFFF" w:themeFill="background1"/>
            <w:vAlign w:val="center"/>
          </w:tcPr>
          <w:p w14:paraId="25AA47DE">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612" w:type="dxa"/>
            <w:shd w:val="clear" w:color="000000" w:fill="FFFFFF" w:themeFill="background1"/>
            <w:vAlign w:val="center"/>
          </w:tcPr>
          <w:p w14:paraId="42F804F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AC7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581" w:type="dxa"/>
            <w:gridSpan w:val="5"/>
            <w:shd w:val="clear" w:color="000000" w:fill="FFFFFF" w:themeFill="background1"/>
            <w:vAlign w:val="center"/>
          </w:tcPr>
          <w:p w14:paraId="4D9866F1">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二、商务要求：</w:t>
            </w:r>
          </w:p>
        </w:tc>
      </w:tr>
      <w:tr w14:paraId="6016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gridSpan w:val="2"/>
            <w:shd w:val="clear" w:color="000000" w:fill="FFFFFF" w:themeFill="background1"/>
            <w:vAlign w:val="center"/>
          </w:tcPr>
          <w:p w14:paraId="20B67074">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售后服务要求</w:t>
            </w:r>
          </w:p>
        </w:tc>
        <w:tc>
          <w:tcPr>
            <w:tcW w:w="8910" w:type="dxa"/>
            <w:gridSpan w:val="3"/>
            <w:shd w:val="clear" w:color="000000" w:fill="FFFFFF" w:themeFill="background1"/>
            <w:vAlign w:val="center"/>
          </w:tcPr>
          <w:p w14:paraId="00385A56">
            <w:pPr>
              <w:snapToGrid w:val="0"/>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1.免费质保期（软件维护或升级期）：按国家有关产品“三包”规定执行“三包”，免费质保期（软件维护或升级期）最短不得少于1年</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hr-HR"/>
                <w14:textFill>
                  <w14:solidFill>
                    <w14:schemeClr w14:val="tx1"/>
                  </w14:solidFill>
                </w14:textFill>
              </w:rPr>
              <w:t>技术参数、服务</w:t>
            </w:r>
            <w:r>
              <w:rPr>
                <w:rFonts w:hint="eastAsia" w:ascii="宋体" w:hAnsi="宋体" w:eastAsia="宋体" w:cs="宋体"/>
                <w:color w:val="000000" w:themeColor="text1"/>
                <w:kern w:val="0"/>
                <w:sz w:val="21"/>
                <w:szCs w:val="21"/>
                <w:highlight w:val="none"/>
                <w14:textFill>
                  <w14:solidFill>
                    <w14:schemeClr w14:val="tx1"/>
                  </w14:solidFill>
                </w14:textFill>
              </w:rPr>
              <w:t>需求及要求栏中有特别注明的，按其要求执行）</w:t>
            </w:r>
            <w:r>
              <w:rPr>
                <w:rFonts w:hint="eastAsia" w:ascii="宋体" w:hAnsi="宋体" w:eastAsia="宋体" w:cs="宋体"/>
                <w:color w:val="000000" w:themeColor="text1"/>
                <w:sz w:val="21"/>
                <w:szCs w:val="21"/>
                <w:highlight w:val="none"/>
                <w14:textFill>
                  <w14:solidFill>
                    <w14:schemeClr w14:val="tx1"/>
                  </w14:solidFill>
                </w14:textFill>
              </w:rPr>
              <w:t>。自验收合格之日算起免费质保期（软件维护或升级期）内免一切费用进行上门维修，</w:t>
            </w:r>
            <w:r>
              <w:rPr>
                <w:rFonts w:hint="eastAsia" w:ascii="宋体" w:hAnsi="宋体" w:eastAsia="宋体" w:cs="宋体"/>
                <w:color w:val="000000" w:themeColor="text1"/>
                <w:kern w:val="0"/>
                <w:sz w:val="21"/>
                <w:szCs w:val="21"/>
                <w:highlight w:val="none"/>
                <w14:textFill>
                  <w14:solidFill>
                    <w14:schemeClr w14:val="tx1"/>
                  </w14:solidFill>
                </w14:textFill>
              </w:rPr>
              <w:t>免收维修费和元器件费，</w:t>
            </w:r>
            <w:r>
              <w:rPr>
                <w:rFonts w:hint="eastAsia" w:ascii="宋体" w:hAnsi="宋体" w:eastAsia="宋体" w:cs="宋体"/>
                <w:color w:val="000000" w:themeColor="text1"/>
                <w:sz w:val="21"/>
                <w:szCs w:val="21"/>
                <w:highlight w:val="none"/>
                <w14:textFill>
                  <w14:solidFill>
                    <w14:schemeClr w14:val="tx1"/>
                  </w14:solidFill>
                </w14:textFill>
              </w:rPr>
              <w:t>免收配件更换、升级、维护等服务费用。提供终身维修维护服务，只收</w:t>
            </w:r>
            <w:r>
              <w:rPr>
                <w:rFonts w:hint="eastAsia" w:ascii="宋体" w:hAnsi="宋体" w:eastAsia="宋体" w:cs="宋体"/>
                <w:color w:val="000000" w:themeColor="text1"/>
                <w:kern w:val="0"/>
                <w:sz w:val="21"/>
                <w:szCs w:val="21"/>
                <w:highlight w:val="none"/>
                <w14:textFill>
                  <w14:solidFill>
                    <w14:schemeClr w14:val="tx1"/>
                  </w14:solidFill>
                </w14:textFill>
              </w:rPr>
              <w:t>元器件或</w:t>
            </w:r>
            <w:r>
              <w:rPr>
                <w:rFonts w:hint="eastAsia" w:ascii="宋体" w:hAnsi="宋体" w:eastAsia="宋体" w:cs="宋体"/>
                <w:color w:val="000000" w:themeColor="text1"/>
                <w:sz w:val="21"/>
                <w:szCs w:val="21"/>
                <w:highlight w:val="none"/>
                <w14:textFill>
                  <w14:solidFill>
                    <w14:schemeClr w14:val="tx1"/>
                  </w14:solidFill>
                </w14:textFill>
              </w:rPr>
              <w:t>配件费。</w:t>
            </w:r>
          </w:p>
          <w:p w14:paraId="3F5475B3">
            <w:pPr>
              <w:snapToGrid w:val="0"/>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2.免费送货上门、免费安装调试合格，免费对采购人进行系统操作培训，直至采购单位的技术人员能熟练独立工作并能简单的进行故障排除为止。</w:t>
            </w:r>
          </w:p>
          <w:p w14:paraId="3DB83A63">
            <w:pPr>
              <w:snapToGrid w:val="0"/>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3.需提供7×24小时的电话技术支持服务，接到采购人报障电话后2小时内响应，8小时内派技术人员到达采购人指定地点解决问题，所有问题均需在24小时内解决。</w:t>
            </w:r>
            <w:r>
              <w:rPr>
                <w:rFonts w:hint="eastAsia" w:ascii="宋体" w:hAnsi="宋体" w:eastAsia="宋体" w:cs="宋体"/>
                <w:color w:val="000000" w:themeColor="text1"/>
                <w:kern w:val="0"/>
                <w:sz w:val="21"/>
                <w:szCs w:val="21"/>
                <w:highlight w:val="none"/>
                <w14:textFill>
                  <w14:solidFill>
                    <w14:schemeClr w14:val="tx1"/>
                  </w14:solidFill>
                </w14:textFill>
              </w:rPr>
              <w:t>24小时内无法修复必须立即提供不低于同档次产品配置的备用设备供采购方正常使用。提供终身免费技术支持服务。</w:t>
            </w:r>
          </w:p>
          <w:p w14:paraId="1A4BCAF0">
            <w:pPr>
              <w:snapToGrid w:val="0"/>
              <w:spacing w:line="30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4.提供完整的产品（软件）配套的产品资料，包括系统安装使用手册、系统功能模块说明书、用户使用手册、帮助文档等。</w:t>
            </w:r>
          </w:p>
        </w:tc>
      </w:tr>
      <w:tr w14:paraId="54BE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gridSpan w:val="2"/>
            <w:shd w:val="clear" w:color="000000" w:fill="FFFFFF" w:themeFill="background1"/>
            <w:vAlign w:val="center"/>
          </w:tcPr>
          <w:p w14:paraId="1F08016A">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交付使用时间及地点</w:t>
            </w:r>
          </w:p>
        </w:tc>
        <w:tc>
          <w:tcPr>
            <w:tcW w:w="8910" w:type="dxa"/>
            <w:gridSpan w:val="3"/>
            <w:shd w:val="clear" w:color="000000" w:fill="FFFFFF" w:themeFill="background1"/>
            <w:vAlign w:val="center"/>
          </w:tcPr>
          <w:p w14:paraId="61720105">
            <w:pPr>
              <w:spacing w:line="30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交付使用时间：自合同签订之日起</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45 </w:t>
            </w:r>
            <w:r>
              <w:rPr>
                <w:rFonts w:hint="eastAsia" w:ascii="宋体" w:hAnsi="宋体" w:eastAsia="宋体" w:cs="宋体"/>
                <w:color w:val="000000" w:themeColor="text1"/>
                <w:kern w:val="0"/>
                <w:sz w:val="21"/>
                <w:szCs w:val="21"/>
                <w:highlight w:val="none"/>
                <w14:textFill>
                  <w14:solidFill>
                    <w14:schemeClr w14:val="tx1"/>
                  </w14:solidFill>
                </w14:textFill>
              </w:rPr>
              <w:t>天内交货并安装调试合格交付使用。</w:t>
            </w:r>
          </w:p>
          <w:p w14:paraId="0F315A06">
            <w:pPr>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交付地点：桂林市采购人指定地点；</w:t>
            </w:r>
          </w:p>
        </w:tc>
      </w:tr>
      <w:tr w14:paraId="2CB3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gridSpan w:val="2"/>
            <w:shd w:val="clear" w:color="000000" w:fill="FFFFFF" w:themeFill="background1"/>
            <w:vAlign w:val="center"/>
          </w:tcPr>
          <w:p w14:paraId="381110F7">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付款方式及履约保证金</w:t>
            </w:r>
          </w:p>
        </w:tc>
        <w:tc>
          <w:tcPr>
            <w:tcW w:w="8910" w:type="dxa"/>
            <w:gridSpan w:val="3"/>
            <w:shd w:val="clear" w:color="000000" w:fill="FFFFFF" w:themeFill="background1"/>
            <w:vAlign w:val="center"/>
          </w:tcPr>
          <w:p w14:paraId="43384E73">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1.付款方式： </w:t>
            </w:r>
          </w:p>
          <w:p w14:paraId="44FE26A6">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项目验收合格后，</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在5天内开具增值税发票（专票）给采购人，采购人在收到增值税发票后15个工作日内支付合同总金额的100%。</w:t>
            </w:r>
          </w:p>
          <w:p w14:paraId="47DF5E2F">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2.履约保证金：</w:t>
            </w:r>
          </w:p>
          <w:p w14:paraId="0054F079">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2.1履约保证金金额：合同金额的</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E87363F">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2.2履约保证金提交方式：于签订合同前，以转账、支票、汇票、本票或者金融、担保机构出具的保函等非现金方式。</w:t>
            </w:r>
          </w:p>
          <w:p w14:paraId="0A80951A">
            <w:pPr>
              <w:widowControl/>
              <w:spacing w:line="30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2.3履约保证金退付方式、时间及条件：</w:t>
            </w:r>
          </w:p>
          <w:p w14:paraId="6C30FBAE">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合同验收满 (</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如无违约行为，由</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向履约保证金收取单位提供验收单及履约保证金退付申请；保证金收取单位在收到</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提交退还履约保证金申请书后15个工作日内将履约保证金无息退回</w:t>
            </w:r>
            <w:r>
              <w:rPr>
                <w:rFonts w:hint="eastAsia" w:ascii="宋体" w:hAnsi="宋体" w:cs="宋体"/>
                <w:color w:val="000000" w:themeColor="text1"/>
                <w:kern w:val="0"/>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14:paraId="4B91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gridSpan w:val="2"/>
            <w:shd w:val="clear" w:color="000000" w:fill="FFFFFF" w:themeFill="background1"/>
            <w:vAlign w:val="center"/>
          </w:tcPr>
          <w:p w14:paraId="655DDE6E">
            <w:pPr>
              <w:widowControl/>
              <w:spacing w:line="300" w:lineRule="exact"/>
              <w:jc w:val="cente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验收标准、要求</w:t>
            </w:r>
          </w:p>
        </w:tc>
        <w:tc>
          <w:tcPr>
            <w:tcW w:w="8910" w:type="dxa"/>
            <w:gridSpan w:val="3"/>
            <w:shd w:val="clear" w:color="000000" w:fill="FFFFFF" w:themeFill="background1"/>
            <w:vAlign w:val="center"/>
          </w:tcPr>
          <w:p w14:paraId="71ED3C48">
            <w:pPr>
              <w:widowControl/>
              <w:spacing w:line="30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w:t>
            </w:r>
            <w:r>
              <w:rPr>
                <w:rFonts w:hint="eastAsia" w:ascii="宋体" w:hAnsi="宋体" w:cs="宋体"/>
                <w:color w:val="000000" w:themeColor="text1"/>
                <w:sz w:val="21"/>
                <w:szCs w:val="21"/>
                <w:highlight w:val="none"/>
                <w:lang w:val="en-US" w:eastAsia="zh-CN"/>
                <w14:textFill>
                  <w14:solidFill>
                    <w14:schemeClr w14:val="tx1"/>
                  </w14:solidFill>
                </w14:textFill>
              </w:rPr>
              <w:t>采购文件</w:t>
            </w:r>
            <w:r>
              <w:rPr>
                <w:rFonts w:hint="eastAsia" w:ascii="宋体" w:hAnsi="宋体" w:eastAsia="宋体" w:cs="宋体"/>
                <w:color w:val="000000" w:themeColor="text1"/>
                <w:sz w:val="21"/>
                <w:szCs w:val="21"/>
                <w:highlight w:val="none"/>
                <w14:textFill>
                  <w14:solidFill>
                    <w14:schemeClr w14:val="tx1"/>
                  </w14:solidFill>
                </w14:textFill>
              </w:rPr>
              <w:t>要求及响应文件承诺按技术参数进行逐条验收。</w:t>
            </w:r>
          </w:p>
        </w:tc>
      </w:tr>
      <w:tr w14:paraId="0C55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gridSpan w:val="2"/>
            <w:shd w:val="clear" w:color="000000" w:fill="FFFFFF" w:themeFill="background1"/>
            <w:vAlign w:val="center"/>
          </w:tcPr>
          <w:p w14:paraId="30FE598B">
            <w:pPr>
              <w:widowControl/>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竞标报价</w:t>
            </w:r>
            <w:r>
              <w:rPr>
                <w:rFonts w:hint="eastAsia" w:ascii="宋体" w:hAnsi="宋体" w:eastAsia="宋体" w:cs="宋体"/>
                <w:color w:val="000000" w:themeColor="text1"/>
                <w:sz w:val="21"/>
                <w:szCs w:val="21"/>
                <w:highlight w:val="none"/>
                <w14:textFill>
                  <w14:solidFill>
                    <w14:schemeClr w14:val="tx1"/>
                  </w14:solidFill>
                </w14:textFill>
              </w:rPr>
              <w:t>要求</w:t>
            </w:r>
          </w:p>
        </w:tc>
        <w:tc>
          <w:tcPr>
            <w:tcW w:w="8910" w:type="dxa"/>
            <w:gridSpan w:val="3"/>
            <w:shd w:val="clear" w:color="000000" w:fill="FFFFFF" w:themeFill="background1"/>
            <w:vAlign w:val="center"/>
          </w:tcPr>
          <w:p w14:paraId="29959A67">
            <w:pPr>
              <w:spacing w:line="3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本项目实行费用包干制，</w:t>
            </w:r>
            <w:r>
              <w:rPr>
                <w:rFonts w:hint="eastAsia" w:ascii="宋体" w:hAnsi="宋体" w:cs="宋体"/>
                <w:color w:val="000000" w:themeColor="text1"/>
                <w:sz w:val="21"/>
                <w:szCs w:val="21"/>
                <w:highlight w:val="none"/>
                <w:lang w:val="en-US" w:eastAsia="zh-CN"/>
                <w14:textFill>
                  <w14:solidFill>
                    <w14:schemeClr w14:val="tx1"/>
                  </w14:solidFill>
                </w14:textFill>
              </w:rPr>
              <w:t>竞标报价</w:t>
            </w:r>
            <w:r>
              <w:rPr>
                <w:rFonts w:hint="eastAsia" w:ascii="宋体" w:hAnsi="宋体" w:eastAsia="宋体" w:cs="宋体"/>
                <w:color w:val="000000" w:themeColor="text1"/>
                <w:sz w:val="21"/>
                <w:szCs w:val="21"/>
                <w:highlight w:val="none"/>
                <w14:textFill>
                  <w14:solidFill>
                    <w14:schemeClr w14:val="tx1"/>
                  </w14:solidFill>
                </w14:textFill>
              </w:rPr>
              <w:t>应包括但不限于本次采购范围内货物及标准附件、备品备件、专用工具价格、运输、装卸、设备安装、设备调试、售后服务、技术支持、培训、税金、不可预见费、合理利润及其它成本费等所有费用。</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在报价时应考虑各方面因素、各种风险和自己的承受能力，报价中应包含全部内容，</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后采购人不再另行支付额外费用。</w:t>
            </w:r>
          </w:p>
        </w:tc>
      </w:tr>
      <w:tr w14:paraId="2196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671" w:type="dxa"/>
            <w:gridSpan w:val="2"/>
            <w:shd w:val="clear" w:color="000000" w:fill="FFFFFF" w:themeFill="background1"/>
            <w:vAlign w:val="center"/>
          </w:tcPr>
          <w:p w14:paraId="0FB769F4">
            <w:pPr>
              <w:pStyle w:val="416"/>
              <w:spacing w:line="300" w:lineRule="exact"/>
              <w:jc w:val="cente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8910" w:type="dxa"/>
            <w:gridSpan w:val="3"/>
            <w:shd w:val="clear" w:color="000000" w:fill="FFFFFF" w:themeFill="background1"/>
            <w:vAlign w:val="center"/>
          </w:tcPr>
          <w:p w14:paraId="329BA3AD">
            <w:pPr>
              <w:widowControl/>
              <w:spacing w:line="300" w:lineRule="exac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1.本项目采购预算金额为人民币（大写）：</w:t>
            </w:r>
            <w:r>
              <w:rPr>
                <w:rFonts w:hint="eastAsia" w:ascii="宋体" w:hAnsi="宋体" w:cs="宋体"/>
                <w:b/>
                <w:color w:val="000000" w:themeColor="text1"/>
                <w:kern w:val="0"/>
                <w:sz w:val="21"/>
                <w:szCs w:val="21"/>
                <w:highlight w:val="none"/>
                <w:lang w:eastAsia="zh-CN"/>
                <w14:textFill>
                  <w14:solidFill>
                    <w14:schemeClr w14:val="tx1"/>
                  </w14:solidFill>
                </w14:textFill>
              </w:rPr>
              <w:t>壹佰玖拾柒万叁仟陆佰元</w:t>
            </w:r>
            <w:r>
              <w:rPr>
                <w:rFonts w:hint="eastAsia" w:ascii="宋体" w:hAnsi="宋体" w:eastAsia="宋体" w:cs="宋体"/>
                <w:b/>
                <w:color w:val="000000" w:themeColor="text1"/>
                <w:kern w:val="0"/>
                <w:sz w:val="21"/>
                <w:szCs w:val="21"/>
                <w:highlight w:val="none"/>
                <w14:textFill>
                  <w14:solidFill>
                    <w14:schemeClr w14:val="tx1"/>
                  </w14:solidFill>
                </w14:textFill>
              </w:rPr>
              <w:t>整（</w:t>
            </w:r>
            <w:r>
              <w:rPr>
                <w:rFonts w:hint="eastAsia" w:ascii="宋体" w:hAnsi="宋体" w:cs="宋体"/>
                <w:b/>
                <w:color w:val="000000" w:themeColor="text1"/>
                <w:kern w:val="0"/>
                <w:sz w:val="21"/>
                <w:szCs w:val="21"/>
                <w:highlight w:val="none"/>
                <w:lang w:eastAsia="zh-CN"/>
                <w14:textFill>
                  <w14:solidFill>
                    <w14:schemeClr w14:val="tx1"/>
                  </w14:solidFill>
                </w14:textFill>
              </w:rPr>
              <w:t>¥1973600</w:t>
            </w:r>
            <w:r>
              <w:rPr>
                <w:rFonts w:hint="eastAsia" w:ascii="宋体" w:hAnsi="宋体" w:eastAsia="宋体" w:cs="宋体"/>
                <w:b/>
                <w:color w:val="000000" w:themeColor="text1"/>
                <w:kern w:val="0"/>
                <w:sz w:val="21"/>
                <w:szCs w:val="21"/>
                <w:highlight w:val="none"/>
                <w14:textFill>
                  <w14:solidFill>
                    <w14:schemeClr w14:val="tx1"/>
                  </w14:solidFill>
                </w14:textFill>
              </w:rPr>
              <w:t>.00），最后报价超出采购预算金额的将被视为</w:t>
            </w:r>
            <w:r>
              <w:rPr>
                <w:rFonts w:hint="eastAsia" w:ascii="宋体" w:hAnsi="宋体" w:cs="宋体"/>
                <w:b/>
                <w:color w:val="000000" w:themeColor="text1"/>
                <w:kern w:val="0"/>
                <w:sz w:val="21"/>
                <w:szCs w:val="21"/>
                <w:highlight w:val="none"/>
                <w:lang w:val="en-US" w:eastAsia="zh-CN"/>
                <w14:textFill>
                  <w14:solidFill>
                    <w14:schemeClr w14:val="tx1"/>
                  </w14:solidFill>
                </w14:textFill>
              </w:rPr>
              <w:t>响应文件</w:t>
            </w:r>
            <w:r>
              <w:rPr>
                <w:rFonts w:hint="eastAsia" w:ascii="宋体" w:hAnsi="宋体" w:eastAsia="宋体" w:cs="宋体"/>
                <w:b/>
                <w:color w:val="000000" w:themeColor="text1"/>
                <w:kern w:val="0"/>
                <w:sz w:val="21"/>
                <w:szCs w:val="21"/>
                <w:highlight w:val="none"/>
                <w14:textFill>
                  <w14:solidFill>
                    <w14:schemeClr w14:val="tx1"/>
                  </w14:solidFill>
                </w14:textFill>
              </w:rPr>
              <w:t>无效。</w:t>
            </w:r>
          </w:p>
          <w:p w14:paraId="3B5C530C">
            <w:pPr>
              <w:pStyle w:val="416"/>
              <w:spacing w:line="30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2.本表中带</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条款及商务要求均为实质性要求，</w:t>
            </w:r>
            <w:r>
              <w:rPr>
                <w:rFonts w:hint="eastAsia" w:ascii="宋体" w:hAnsi="宋体" w:cs="宋体"/>
                <w:b/>
                <w:color w:val="000000" w:themeColor="text1"/>
                <w:sz w:val="21"/>
                <w:szCs w:val="21"/>
                <w:highlight w:val="none"/>
                <w:lang w:val="en-US" w:eastAsia="zh-CN"/>
                <w14:textFill>
                  <w14:solidFill>
                    <w14:schemeClr w14:val="tx1"/>
                  </w14:solidFill>
                </w14:textFill>
              </w:rPr>
              <w:t>竞标</w:t>
            </w:r>
            <w:r>
              <w:rPr>
                <w:rFonts w:hint="eastAsia" w:ascii="宋体" w:hAnsi="宋体" w:eastAsia="宋体" w:cs="宋体"/>
                <w:b/>
                <w:color w:val="000000" w:themeColor="text1"/>
                <w:sz w:val="21"/>
                <w:szCs w:val="21"/>
                <w:highlight w:val="none"/>
                <w14:textFill>
                  <w14:solidFill>
                    <w14:schemeClr w14:val="tx1"/>
                  </w14:solidFill>
                </w14:textFill>
              </w:rPr>
              <w:t>时必须响应，若有任意一项负偏离，作</w:t>
            </w:r>
            <w:r>
              <w:rPr>
                <w:rFonts w:hint="eastAsia" w:ascii="宋体" w:hAnsi="宋体" w:cs="宋体"/>
                <w:b/>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b/>
                <w:color w:val="000000" w:themeColor="text1"/>
                <w:sz w:val="21"/>
                <w:szCs w:val="21"/>
                <w:highlight w:val="none"/>
                <w14:textFill>
                  <w14:solidFill>
                    <w14:schemeClr w14:val="tx1"/>
                  </w14:solidFill>
                </w14:textFill>
              </w:rPr>
              <w:t>无效处理。</w:t>
            </w:r>
          </w:p>
          <w:p w14:paraId="3372C2A9">
            <w:pPr>
              <w:spacing w:line="300" w:lineRule="exact"/>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b/>
                <w:color w:val="000000" w:themeColor="text1"/>
                <w:kern w:val="0"/>
                <w:sz w:val="21"/>
                <w:szCs w:val="21"/>
                <w:highlight w:val="none"/>
                <w14:textFill>
                  <w14:solidFill>
                    <w14:schemeClr w14:val="tx1"/>
                  </w14:solidFill>
                </w14:textFill>
              </w:rPr>
              <w:t>本项目不接受进口产品（即通过中国海关报关验放进入中国境内且产自关境外的产品）参与</w:t>
            </w:r>
            <w:r>
              <w:rPr>
                <w:rFonts w:hint="eastAsia" w:ascii="宋体" w:hAnsi="宋体" w:cs="宋体"/>
                <w:b/>
                <w:color w:val="000000" w:themeColor="text1"/>
                <w:kern w:val="0"/>
                <w:sz w:val="21"/>
                <w:szCs w:val="21"/>
                <w:highlight w:val="none"/>
                <w:lang w:val="en-US" w:eastAsia="zh-CN"/>
                <w14:textFill>
                  <w14:solidFill>
                    <w14:schemeClr w14:val="tx1"/>
                  </w14:solidFill>
                </w14:textFill>
              </w:rPr>
              <w:t>竞标</w:t>
            </w:r>
            <w:r>
              <w:rPr>
                <w:rFonts w:hint="eastAsia" w:ascii="宋体" w:hAnsi="宋体" w:eastAsia="宋体" w:cs="宋体"/>
                <w:b/>
                <w:color w:val="000000" w:themeColor="text1"/>
                <w:kern w:val="0"/>
                <w:sz w:val="21"/>
                <w:szCs w:val="21"/>
                <w:highlight w:val="none"/>
                <w14:textFill>
                  <w14:solidFill>
                    <w14:schemeClr w14:val="tx1"/>
                  </w14:solidFill>
                </w14:textFill>
              </w:rPr>
              <w:t>，若有此类产品参与</w:t>
            </w:r>
            <w:r>
              <w:rPr>
                <w:rFonts w:hint="eastAsia" w:ascii="宋体" w:hAnsi="宋体" w:cs="宋体"/>
                <w:b/>
                <w:color w:val="000000" w:themeColor="text1"/>
                <w:kern w:val="0"/>
                <w:sz w:val="21"/>
                <w:szCs w:val="21"/>
                <w:highlight w:val="none"/>
                <w:lang w:val="en-US" w:eastAsia="zh-CN"/>
                <w14:textFill>
                  <w14:solidFill>
                    <w14:schemeClr w14:val="tx1"/>
                  </w14:solidFill>
                </w14:textFill>
              </w:rPr>
              <w:t>竞标</w:t>
            </w:r>
            <w:r>
              <w:rPr>
                <w:rFonts w:hint="eastAsia" w:ascii="宋体" w:hAnsi="宋体" w:eastAsia="宋体" w:cs="宋体"/>
                <w:b/>
                <w:color w:val="000000" w:themeColor="text1"/>
                <w:kern w:val="0"/>
                <w:sz w:val="21"/>
                <w:szCs w:val="21"/>
                <w:highlight w:val="none"/>
                <w14:textFill>
                  <w14:solidFill>
                    <w14:schemeClr w14:val="tx1"/>
                  </w14:solidFill>
                </w14:textFill>
              </w:rPr>
              <w:t>的，按</w:t>
            </w:r>
            <w:r>
              <w:rPr>
                <w:rFonts w:hint="eastAsia" w:ascii="宋体" w:hAnsi="宋体" w:cs="宋体"/>
                <w:b/>
                <w:color w:val="000000" w:themeColor="text1"/>
                <w:kern w:val="0"/>
                <w:sz w:val="21"/>
                <w:szCs w:val="21"/>
                <w:highlight w:val="none"/>
                <w:lang w:val="en-US" w:eastAsia="zh-CN"/>
                <w14:textFill>
                  <w14:solidFill>
                    <w14:schemeClr w14:val="tx1"/>
                  </w14:solidFill>
                </w14:textFill>
              </w:rPr>
              <w:t>响应文件</w:t>
            </w:r>
            <w:r>
              <w:rPr>
                <w:rFonts w:hint="eastAsia" w:ascii="宋体" w:hAnsi="宋体" w:eastAsia="宋体" w:cs="宋体"/>
                <w:b/>
                <w:color w:val="000000" w:themeColor="text1"/>
                <w:kern w:val="0"/>
                <w:sz w:val="21"/>
                <w:szCs w:val="21"/>
                <w:highlight w:val="none"/>
                <w14:textFill>
                  <w14:solidFill>
                    <w14:schemeClr w14:val="tx1"/>
                  </w14:solidFill>
                </w14:textFill>
              </w:rPr>
              <w:t>无效处理</w:t>
            </w:r>
            <w:r>
              <w:rPr>
                <w:rFonts w:hint="eastAsia" w:ascii="宋体" w:hAnsi="宋体" w:eastAsia="宋体" w:cs="宋体"/>
                <w:b/>
                <w:bCs/>
                <w:color w:val="000000" w:themeColor="text1"/>
                <w:kern w:val="0"/>
                <w:sz w:val="21"/>
                <w:szCs w:val="21"/>
                <w:highlight w:val="none"/>
                <w14:textFill>
                  <w14:solidFill>
                    <w14:schemeClr w14:val="tx1"/>
                  </w14:solidFill>
                </w14:textFill>
              </w:rPr>
              <w:t>。</w:t>
            </w:r>
          </w:p>
          <w:p w14:paraId="7C304A89">
            <w:pPr>
              <w:spacing w:line="400" w:lineRule="exact"/>
              <w:rPr>
                <w:rFonts w:hint="eastAsia" w:ascii="宋体" w:hAnsi="宋体" w:cs="宋体"/>
                <w:b/>
                <w:bCs/>
                <w:color w:val="000000" w:themeColor="text1"/>
                <w:kern w:val="0"/>
                <w:sz w:val="21"/>
                <w:szCs w:val="21"/>
                <w:highlight w:val="none"/>
                <w:u w:val="none"/>
                <w:lang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本项目核心产品为：</w:t>
            </w:r>
            <w:r>
              <w:rPr>
                <w:rFonts w:hint="eastAsia" w:ascii="宋体" w:hAnsi="宋体" w:eastAsia="宋体" w:cs="宋体"/>
                <w:b/>
                <w:bCs/>
                <w:color w:val="000000" w:themeColor="text1"/>
                <w:sz w:val="21"/>
                <w:szCs w:val="21"/>
                <w:highlight w:val="none"/>
                <w:u w:val="single"/>
                <w14:textFill>
                  <w14:solidFill>
                    <w14:schemeClr w14:val="tx1"/>
                  </w14:solidFill>
                </w14:textFill>
              </w:rPr>
              <w:t>第</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u w:val="single"/>
                <w14:textFill>
                  <w14:solidFill>
                    <w14:schemeClr w14:val="tx1"/>
                  </w14:solidFill>
                </w14:textFill>
              </w:rPr>
              <w:t>项“</w:t>
            </w:r>
            <w:r>
              <w:rPr>
                <w:rFonts w:hint="eastAsia" w:ascii="宋体" w:hAnsi="宋体" w:eastAsia="宋体" w:cs="宋体"/>
                <w:b/>
                <w:bCs/>
                <w:color w:val="000000" w:themeColor="text1"/>
                <w:kern w:val="0"/>
                <w:sz w:val="21"/>
                <w:szCs w:val="21"/>
                <w:highlight w:val="none"/>
                <w:u w:val="single"/>
                <w:lang w:val="en-US" w:eastAsia="zh-CN" w:bidi="ar"/>
                <w14:textFill>
                  <w14:solidFill>
                    <w14:schemeClr w14:val="tx1"/>
                  </w14:solidFill>
                </w14:textFill>
              </w:rPr>
              <w:t>数字音频矩阵处理器</w:t>
            </w:r>
            <w:r>
              <w:rPr>
                <w:rFonts w:hint="eastAsia" w:ascii="宋体" w:hAnsi="宋体" w:eastAsia="宋体" w:cs="宋体"/>
                <w:b/>
                <w:bCs/>
                <w:color w:val="000000" w:themeColor="text1"/>
                <w:sz w:val="21"/>
                <w:szCs w:val="21"/>
                <w:highlight w:val="none"/>
                <w:u w:val="single"/>
                <w14:textFill>
                  <w14:solidFill>
                    <w14:schemeClr w14:val="tx1"/>
                  </w14:solidFill>
                </w14:textFill>
              </w:rPr>
              <w:t>”</w:t>
            </w:r>
            <w:r>
              <w:rPr>
                <w:rFonts w:hint="eastAsia" w:ascii="宋体" w:hAnsi="宋体" w:eastAsia="宋体" w:cs="宋体"/>
                <w:b/>
                <w:bCs/>
                <w:color w:val="000000" w:themeColor="text1"/>
                <w:kern w:val="0"/>
                <w:sz w:val="21"/>
                <w:szCs w:val="21"/>
                <w:highlight w:val="none"/>
                <w:u w:val="single"/>
                <w:lang w:bidi="ar"/>
                <w14:textFill>
                  <w14:solidFill>
                    <w14:schemeClr w14:val="tx1"/>
                  </w14:solidFill>
                </w14:textFill>
              </w:rPr>
              <w:t>。</w:t>
            </w:r>
            <w:r>
              <w:rPr>
                <w:rFonts w:hint="eastAsia" w:ascii="宋体" w:hAnsi="宋体" w:cs="宋体"/>
                <w:b/>
                <w:bCs/>
                <w:color w:val="000000" w:themeColor="text1"/>
                <w:kern w:val="0"/>
                <w:sz w:val="21"/>
                <w:szCs w:val="21"/>
                <w:highlight w:val="none"/>
                <w:u w:val="none"/>
                <w:lang w:eastAsia="zh-CN" w:bidi="ar"/>
                <w14:textFill>
                  <w14:solidFill>
                    <w14:schemeClr w14:val="tx1"/>
                  </w14:solidFill>
                </w14:textFill>
              </w:rPr>
              <w:t>提供相同品牌产品的不同供应商参加同一合同项下竞标的，以其中通过资格审查、符合性审查且最后报价最低的参加评标，最后报价相同的，由采购人自主选择确定一个参加评标的供应商，其他响应文件无效。</w:t>
            </w:r>
          </w:p>
          <w:p w14:paraId="1F7C6631">
            <w:pPr>
              <w:spacing w:line="400" w:lineRule="exact"/>
              <w:rPr>
                <w:rFonts w:hint="default"/>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u w:val="none"/>
                <w:lang w:eastAsia="zh-CN" w:bidi="ar"/>
                <w14:textFill>
                  <w14:solidFill>
                    <w14:schemeClr w14:val="tx1"/>
                  </w14:solidFill>
                </w14:textFill>
              </w:rPr>
              <w:t>非单一产品采购项目中，多家供应商提供的核心产品品牌相同的，视为提供相同品牌产品，应当按一个供应商认定，评审时，按上述规定确定其中一家为有效供应商。</w:t>
            </w:r>
          </w:p>
        </w:tc>
      </w:tr>
    </w:tbl>
    <w:p w14:paraId="19ED842D">
      <w:pPr>
        <w:spacing w:line="360" w:lineRule="exact"/>
        <w:rPr>
          <w:rFonts w:ascii="宋体" w:hAnsi="宋体" w:eastAsia="宋体" w:cs="宋体"/>
          <w:b/>
          <w:color w:val="000000" w:themeColor="text1"/>
          <w:kern w:val="0"/>
          <w:szCs w:val="21"/>
          <w:highlight w:val="none"/>
          <w14:textFill>
            <w14:solidFill>
              <w14:schemeClr w14:val="tx1"/>
            </w14:solidFill>
          </w14:textFill>
        </w:rPr>
      </w:pPr>
    </w:p>
    <w:p w14:paraId="59C82E03">
      <w:pPr>
        <w:spacing w:line="360" w:lineRule="exac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注：谈判小组根据与供应商谈判情况可能实质性变动的内容，包括采购需求中的技术、服务要求以及合同草案条款。</w:t>
      </w:r>
    </w:p>
    <w:p w14:paraId="6398539F">
      <w:pPr>
        <w:spacing w:line="360" w:lineRule="exact"/>
        <w:rPr>
          <w:rFonts w:ascii="宋体" w:hAnsi="宋体" w:eastAsia="宋体" w:cs="Times New Roman"/>
          <w:b/>
          <w:bCs/>
          <w:color w:val="000000" w:themeColor="text1"/>
          <w:sz w:val="28"/>
          <w:szCs w:val="28"/>
          <w:highlight w:val="none"/>
          <w14:textFill>
            <w14:solidFill>
              <w14:schemeClr w14:val="tx1"/>
            </w14:solidFill>
          </w14:textFill>
        </w:rPr>
      </w:pPr>
    </w:p>
    <w:p w14:paraId="1B4B088B">
      <w:pPr>
        <w:pStyle w:val="2"/>
        <w:rPr>
          <w:rFonts w:ascii="宋体" w:hAnsi="宋体" w:eastAsia="宋体" w:cs="Times New Roman"/>
          <w:b/>
          <w:bCs/>
          <w:color w:val="000000" w:themeColor="text1"/>
          <w:sz w:val="21"/>
          <w:szCs w:val="21"/>
          <w:highlight w:val="none"/>
          <w14:textFill>
            <w14:solidFill>
              <w14:schemeClr w14:val="tx1"/>
            </w14:solidFill>
          </w14:textFill>
        </w:rPr>
      </w:pPr>
    </w:p>
    <w:p w14:paraId="2EEC8D20">
      <w:pPr>
        <w:rPr>
          <w:rFonts w:ascii="宋体" w:hAnsi="宋体" w:eastAsia="宋体" w:cs="Times New Roman"/>
          <w:b/>
          <w:bCs/>
          <w:color w:val="000000" w:themeColor="text1"/>
          <w:sz w:val="21"/>
          <w:szCs w:val="21"/>
          <w:highlight w:val="none"/>
          <w14:textFill>
            <w14:solidFill>
              <w14:schemeClr w14:val="tx1"/>
            </w14:solidFill>
          </w14:textFill>
        </w:rPr>
      </w:pPr>
    </w:p>
    <w:p w14:paraId="2B276A6E">
      <w:pPr>
        <w:pStyle w:val="2"/>
        <w:rPr>
          <w:rFonts w:ascii="宋体" w:hAnsi="宋体" w:eastAsia="宋体" w:cs="Times New Roman"/>
          <w:b/>
          <w:bCs/>
          <w:color w:val="000000" w:themeColor="text1"/>
          <w:sz w:val="21"/>
          <w:szCs w:val="21"/>
          <w:highlight w:val="none"/>
          <w14:textFill>
            <w14:solidFill>
              <w14:schemeClr w14:val="tx1"/>
            </w14:solidFill>
          </w14:textFill>
        </w:rPr>
      </w:pPr>
    </w:p>
    <w:p w14:paraId="7D097C0C">
      <w:pPr>
        <w:pStyle w:val="2"/>
        <w:rPr>
          <w:color w:val="000000" w:themeColor="text1"/>
          <w:highlight w:val="none"/>
          <w14:textFill>
            <w14:solidFill>
              <w14:schemeClr w14:val="tx1"/>
            </w14:solidFill>
          </w14:textFill>
        </w:rPr>
      </w:pPr>
    </w:p>
    <w:p w14:paraId="0FD4A4C2">
      <w:pPr>
        <w:rPr>
          <w:color w:val="000000" w:themeColor="text1"/>
          <w:highlight w:val="none"/>
          <w14:textFill>
            <w14:solidFill>
              <w14:schemeClr w14:val="tx1"/>
            </w14:solidFill>
          </w14:textFill>
        </w:rPr>
      </w:pPr>
    </w:p>
    <w:p w14:paraId="4D5336B5">
      <w:pPr>
        <w:pStyle w:val="2"/>
        <w:rPr>
          <w:color w:val="000000" w:themeColor="text1"/>
          <w:highlight w:val="none"/>
          <w14:textFill>
            <w14:solidFill>
              <w14:schemeClr w14:val="tx1"/>
            </w14:solidFill>
          </w14:textFill>
        </w:rPr>
      </w:pPr>
    </w:p>
    <w:p w14:paraId="1119C74A">
      <w:pPr>
        <w:spacing w:line="360" w:lineRule="exact"/>
        <w:ind w:firstLine="551" w:firstLineChars="196"/>
        <w:jc w:val="center"/>
        <w:outlineLvl w:val="0"/>
        <w:rPr>
          <w:rFonts w:hint="eastAsia" w:ascii="宋体" w:hAnsi="宋体" w:eastAsia="宋体" w:cs="Times New Roman"/>
          <w:b/>
          <w:bCs/>
          <w:color w:val="000000" w:themeColor="text1"/>
          <w:sz w:val="28"/>
          <w:szCs w:val="28"/>
          <w:highlight w:val="none"/>
          <w14:textFill>
            <w14:solidFill>
              <w14:schemeClr w14:val="tx1"/>
            </w14:solidFill>
          </w14:textFill>
        </w:rPr>
      </w:pPr>
      <w:bookmarkStart w:id="40" w:name="_Toc16647"/>
    </w:p>
    <w:p w14:paraId="01521CDF">
      <w:pPr>
        <w:spacing w:line="360" w:lineRule="exact"/>
        <w:ind w:firstLine="551" w:firstLineChars="196"/>
        <w:jc w:val="center"/>
        <w:outlineLvl w:val="0"/>
        <w:rPr>
          <w:rFonts w:hint="eastAsia" w:ascii="宋体" w:hAnsi="宋体" w:eastAsia="宋体" w:cs="Times New Roman"/>
          <w:b/>
          <w:bCs/>
          <w:color w:val="000000" w:themeColor="text1"/>
          <w:sz w:val="28"/>
          <w:szCs w:val="28"/>
          <w:highlight w:val="none"/>
          <w14:textFill>
            <w14:solidFill>
              <w14:schemeClr w14:val="tx1"/>
            </w14:solidFill>
          </w14:textFill>
        </w:rPr>
      </w:pPr>
    </w:p>
    <w:p w14:paraId="17A5392E">
      <w:pPr>
        <w:spacing w:line="360" w:lineRule="exact"/>
        <w:ind w:firstLine="551" w:firstLineChars="196"/>
        <w:jc w:val="center"/>
        <w:outlineLvl w:val="0"/>
        <w:rPr>
          <w:rFonts w:hint="eastAsia" w:ascii="宋体" w:hAnsi="宋体" w:eastAsia="宋体" w:cs="Times New Roman"/>
          <w:b/>
          <w:bCs/>
          <w:color w:val="000000" w:themeColor="text1"/>
          <w:sz w:val="28"/>
          <w:szCs w:val="28"/>
          <w:highlight w:val="none"/>
          <w14:textFill>
            <w14:solidFill>
              <w14:schemeClr w14:val="tx1"/>
            </w14:solidFill>
          </w14:textFill>
        </w:rPr>
      </w:pPr>
    </w:p>
    <w:p w14:paraId="40173472">
      <w:pPr>
        <w:spacing w:line="360" w:lineRule="exact"/>
        <w:ind w:firstLine="551" w:firstLineChars="196"/>
        <w:jc w:val="center"/>
        <w:outlineLvl w:val="0"/>
        <w:rPr>
          <w:rFonts w:hint="eastAsia" w:ascii="宋体" w:hAnsi="宋体" w:eastAsia="宋体" w:cs="Times New Roman"/>
          <w:b/>
          <w:bCs/>
          <w:color w:val="000000" w:themeColor="text1"/>
          <w:sz w:val="28"/>
          <w:szCs w:val="28"/>
          <w:highlight w:val="none"/>
          <w14:textFill>
            <w14:solidFill>
              <w14:schemeClr w14:val="tx1"/>
            </w14:solidFill>
          </w14:textFill>
        </w:rPr>
      </w:pPr>
    </w:p>
    <w:p w14:paraId="559F4F52">
      <w:pPr>
        <w:spacing w:line="360" w:lineRule="exact"/>
        <w:ind w:firstLine="551" w:firstLineChars="196"/>
        <w:jc w:val="center"/>
        <w:outlineLvl w:val="0"/>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第四章、评审办法</w:t>
      </w:r>
      <w:bookmarkEnd w:id="40"/>
    </w:p>
    <w:p w14:paraId="578C8D0C">
      <w:pPr>
        <w:spacing w:line="360" w:lineRule="exact"/>
        <w:ind w:firstLine="551" w:firstLineChars="196"/>
        <w:jc w:val="center"/>
        <w:rPr>
          <w:rFonts w:ascii="宋体" w:hAnsi="宋体" w:eastAsia="宋体" w:cs="Times New Roman"/>
          <w:b/>
          <w:bCs/>
          <w:color w:val="000000" w:themeColor="text1"/>
          <w:sz w:val="28"/>
          <w:szCs w:val="28"/>
          <w:highlight w:val="none"/>
          <w14:textFill>
            <w14:solidFill>
              <w14:schemeClr w14:val="tx1"/>
            </w14:solidFill>
          </w14:textFill>
        </w:rPr>
      </w:pPr>
    </w:p>
    <w:p w14:paraId="1FC3FA68">
      <w:pPr>
        <w:spacing w:line="380" w:lineRule="exact"/>
        <w:ind w:firstLine="422"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一、评审依据</w:t>
      </w:r>
    </w:p>
    <w:p w14:paraId="26FE83B6">
      <w:pPr>
        <w:spacing w:line="380" w:lineRule="exact"/>
        <w:ind w:firstLine="420" w:firstLineChars="200"/>
        <w:rPr>
          <w:rFonts w:ascii="宋体" w:hAnsi="宋体" w:eastAsia="宋体" w:cs="Times New Roman"/>
          <w:bCs/>
          <w:color w:val="000000" w:themeColor="text1"/>
          <w:szCs w:val="20"/>
          <w14:textFill>
            <w14:solidFill>
              <w14:schemeClr w14:val="tx1"/>
            </w14:solidFill>
          </w14:textFill>
        </w:rPr>
      </w:pPr>
      <w:r>
        <w:rPr>
          <w:rFonts w:hint="eastAsia" w:ascii="宋体" w:hAnsi="宋体" w:eastAsia="宋体" w:cs="Times New Roman"/>
          <w:bCs/>
          <w:color w:val="000000" w:themeColor="text1"/>
          <w:szCs w:val="20"/>
          <w14:textFill>
            <w14:solidFill>
              <w14:schemeClr w14:val="tx1"/>
            </w14:solidFill>
          </w14:textFill>
        </w:rPr>
        <w:t>1. 评审依据：谈判小组以谈判文件和响应文件为评审依据。</w:t>
      </w:r>
    </w:p>
    <w:p w14:paraId="6EBFEF33">
      <w:pPr>
        <w:spacing w:line="380" w:lineRule="exact"/>
        <w:ind w:firstLine="420" w:firstLineChars="200"/>
        <w:rPr>
          <w:rFonts w:ascii="宋体" w:hAnsi="宋体" w:eastAsia="宋体" w:cs="Times New Roman"/>
          <w:bCs/>
          <w:color w:val="000000" w:themeColor="text1"/>
          <w:szCs w:val="20"/>
          <w14:textFill>
            <w14:solidFill>
              <w14:schemeClr w14:val="tx1"/>
            </w14:solidFill>
          </w14:textFill>
        </w:rPr>
      </w:pPr>
      <w:r>
        <w:rPr>
          <w:rFonts w:hint="eastAsia" w:ascii="宋体" w:hAnsi="宋体" w:eastAsia="宋体" w:cs="Times New Roman"/>
          <w:bCs/>
          <w:color w:val="000000" w:themeColor="text1"/>
          <w:szCs w:val="20"/>
          <w14:textFill>
            <w14:solidFill>
              <w14:schemeClr w14:val="tx1"/>
            </w14:solidFill>
          </w14:textFill>
        </w:rPr>
        <w:t>2. 根据财库〔2012〕69号文规定，采购人和采购代理机构、竞争性谈判小组成员要严格遵守政府采购相关法律制度，依法履行各自职责，公正、客观、审慎地组织和参与评审工作。</w:t>
      </w:r>
    </w:p>
    <w:p w14:paraId="1D630C3A">
      <w:pPr>
        <w:spacing w:line="380" w:lineRule="exact"/>
        <w:ind w:firstLine="422"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二、评审办法</w:t>
      </w:r>
    </w:p>
    <w:p w14:paraId="65AEF4AE">
      <w:pPr>
        <w:spacing w:line="380" w:lineRule="exact"/>
        <w:ind w:firstLine="420"/>
        <w:rPr>
          <w:rFonts w:ascii="宋体" w:hAnsi="宋体"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1. 采用最低评标价法；谈判小组应当从质量和服务均能满足竞争性谈判文件全部实质性响应要求的供应商中，按照评审报价由低到高顺序提出3名以上（含3名）成交候选人。</w:t>
      </w:r>
    </w:p>
    <w:p w14:paraId="54DCBB3A">
      <w:pPr>
        <w:spacing w:line="400" w:lineRule="exact"/>
        <w:ind w:firstLine="405" w:firstLineChars="19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根据《政府采购促进中小企业发展管理办法》（财库〔2020〕46号）及</w:t>
      </w:r>
      <w:r>
        <w:rPr>
          <w:rFonts w:hint="eastAsia" w:ascii="宋体" w:hAnsi="宋体" w:eastAsia="宋体" w:cs="宋体"/>
          <w:color w:val="000000" w:themeColor="text1"/>
          <w:kern w:val="0"/>
          <w:szCs w:val="21"/>
          <w14:textFill>
            <w14:solidFill>
              <w14:schemeClr w14:val="tx1"/>
            </w14:solidFill>
          </w14:textFill>
        </w:rPr>
        <w:t>《广西壮族自治区财政厅关于持续优化政府采购营商环境推动高质量发展的通知》（桂财采〔2024〕55号）</w:t>
      </w:r>
      <w:r>
        <w:rPr>
          <w:rFonts w:hint="eastAsia" w:ascii="宋体" w:hAnsi="宋体" w:eastAsia="宋体" w:cs="Times New Roman"/>
          <w:color w:val="000000" w:themeColor="text1"/>
          <w:szCs w:val="21"/>
          <w14:textFill>
            <w14:solidFill>
              <w14:schemeClr w14:val="tx1"/>
            </w14:solidFill>
          </w14:textFill>
        </w:rPr>
        <w:t>规定：供应商提供的货物全部由符合政策要求的小型、微型企业制造，响应文件中提供《中小企业声明函》的，供应商最后报价给予</w:t>
      </w:r>
      <w:r>
        <w:rPr>
          <w:rFonts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0%的扣除，扣除后的价格为评审报价，即供应商的评审报价=最后报价×（1-</w:t>
      </w:r>
      <w:r>
        <w:rPr>
          <w:rFonts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0%），扣除后的价格为评审报价。</w:t>
      </w:r>
    </w:p>
    <w:p w14:paraId="5B392EB9">
      <w:pPr>
        <w:spacing w:line="400" w:lineRule="exact"/>
        <w:ind w:firstLine="405" w:firstLineChars="19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除上述情况外，评审报价=最后报价。</w:t>
      </w:r>
    </w:p>
    <w:p w14:paraId="08BB8901">
      <w:pPr>
        <w:spacing w:line="400" w:lineRule="exact"/>
        <w:ind w:firstLine="42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注：评审报价为供应商的最后报价进行政策性扣除后的价格，评审报价只是作为评审时使用。最终成交人的成交金额＝最后报价。</w:t>
      </w:r>
    </w:p>
    <w:p w14:paraId="51E30591">
      <w:pPr>
        <w:spacing w:line="400" w:lineRule="exact"/>
        <w:ind w:firstLine="405" w:firstLineChars="19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3.根据《关于政府采购支持监狱企业发展有关问题的通知》（财库〔2014〕68号）和《关于促进残疾人就业政府采购政策的通知》（财库〔</w:t>
      </w:r>
      <w:r>
        <w:rPr>
          <w:rFonts w:ascii="宋体" w:hAnsi="宋体" w:eastAsia="宋体" w:cs="Times New Roman"/>
          <w:color w:val="000000" w:themeColor="text1"/>
          <w:szCs w:val="21"/>
          <w14:textFill>
            <w14:solidFill>
              <w14:schemeClr w14:val="tx1"/>
            </w14:solidFill>
          </w14:textFill>
        </w:rPr>
        <w:t>201</w:t>
      </w:r>
      <w:r>
        <w:rPr>
          <w:rFonts w:hint="eastAsia" w:ascii="宋体" w:hAnsi="宋体" w:eastAsia="宋体" w:cs="Times New Roman"/>
          <w:color w:val="000000" w:themeColor="text1"/>
          <w:szCs w:val="21"/>
          <w14:textFill>
            <w14:solidFill>
              <w14:schemeClr w14:val="tx1"/>
            </w14:solidFill>
          </w14:textFill>
        </w:rPr>
        <w:t>7〕141号），监狱企业和符合条件的残疾人福利性单位视同小型、微型企业，享受小型、微型企业评审中价格扣除的政府采购政策。监狱企业、残疾人福利性单位属于小型、微型企业的，不重复享受政策。</w:t>
      </w:r>
    </w:p>
    <w:p w14:paraId="4BA032C5">
      <w:pPr>
        <w:spacing w:line="400" w:lineRule="exact"/>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4.评审时，应当将通过资格性审查和符合性审查各供应商的评审报价，按照</w:t>
      </w:r>
      <w:r>
        <w:rPr>
          <w:rFonts w:hint="eastAsia" w:ascii="宋体" w:hAnsi="宋体" w:eastAsia="宋体" w:cs="Arial"/>
          <w:color w:val="000000" w:themeColor="text1"/>
          <w:kern w:val="0"/>
          <w:szCs w:val="21"/>
          <w14:textFill>
            <w14:solidFill>
              <w14:schemeClr w14:val="tx1"/>
            </w14:solidFill>
          </w14:textFill>
        </w:rPr>
        <w:t>由低到高顺序排序，</w:t>
      </w:r>
      <w:r>
        <w:rPr>
          <w:rFonts w:hint="eastAsia" w:ascii="宋体" w:hAnsi="宋体" w:eastAsia="宋体" w:cs="Times New Roman"/>
          <w:color w:val="000000" w:themeColor="text1"/>
          <w:szCs w:val="21"/>
          <w14:textFill>
            <w14:solidFill>
              <w14:schemeClr w14:val="tx1"/>
            </w14:solidFill>
          </w14:textFill>
        </w:rPr>
        <w:t>当评审报价相同时，以最后报价低的优先排序；当最后报价相同时，则依次按节能环保产品优先、技术指标高优先、保修期长优先、交付时间短优先的原则排序。</w:t>
      </w:r>
    </w:p>
    <w:p w14:paraId="48266A5E">
      <w:pPr>
        <w:spacing w:line="380" w:lineRule="exact"/>
        <w:ind w:firstLine="422"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三、成交候选人及成交人确定原则</w:t>
      </w:r>
    </w:p>
    <w:p w14:paraId="78F2F743">
      <w:pPr>
        <w:tabs>
          <w:tab w:val="left" w:pos="4214"/>
        </w:tabs>
        <w:spacing w:line="380" w:lineRule="exact"/>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（1）谈判小组应当从质量和服务均能满足竞争性谈判文件全部实质性响应要求的供应商中，按照评审报价由低到高顺序提出3名以上（含3名）成交候选人</w:t>
      </w:r>
    </w:p>
    <w:p w14:paraId="5352791E">
      <w:pPr>
        <w:tabs>
          <w:tab w:val="left" w:pos="4214"/>
        </w:tabs>
        <w:spacing w:line="380" w:lineRule="exact"/>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（2）采购单位应当确定谈判小组推荐排名第一的成交候选人为成交人。</w:t>
      </w:r>
    </w:p>
    <w:p w14:paraId="7C9278B7">
      <w:pPr>
        <w:spacing w:line="380" w:lineRule="exact"/>
        <w:ind w:firstLine="447" w:firstLineChars="21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（3）排名第一的成交候选人放弃成交、因不可抗力提出不能履行合同，或信用信息记录不符合相关规定的，采购单位可以确定排名第二的成交候选人为成交人或重新采购。</w:t>
      </w:r>
    </w:p>
    <w:p w14:paraId="30407F7C">
      <w:pPr>
        <w:spacing w:line="360" w:lineRule="exact"/>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r>
        <w:rPr>
          <w:rFonts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排名第二的成交候选人因前款规定的同样原因不能签订合同的，采购单位可以确定排名第三的成交候选人为成交人或重新采购。</w:t>
      </w:r>
    </w:p>
    <w:p w14:paraId="0F2D904F">
      <w:pPr>
        <w:spacing w:line="380" w:lineRule="exact"/>
        <w:ind w:firstLine="422" w:firstLineChars="200"/>
        <w:rPr>
          <w:rFonts w:ascii="宋体" w:hAnsi="宋体" w:eastAsia="宋体" w:cs="Times New Roman"/>
          <w:b/>
          <w:bCs/>
          <w:color w:val="000000" w:themeColor="text1"/>
          <w:szCs w:val="21"/>
          <w14:textFill>
            <w14:solidFill>
              <w14:schemeClr w14:val="tx1"/>
            </w14:solidFill>
          </w14:textFill>
        </w:rPr>
      </w:pPr>
    </w:p>
    <w:p w14:paraId="60B40E13">
      <w:pPr>
        <w:spacing w:line="380" w:lineRule="exact"/>
        <w:ind w:firstLine="422" w:firstLineChars="200"/>
        <w:rPr>
          <w:rFonts w:ascii="宋体" w:hAnsi="宋体" w:eastAsia="宋体" w:cs="Times New Roman"/>
          <w:b/>
          <w:bCs/>
          <w:color w:val="000000" w:themeColor="text1"/>
          <w:szCs w:val="21"/>
          <w14:textFill>
            <w14:solidFill>
              <w14:schemeClr w14:val="tx1"/>
            </w14:solidFill>
          </w14:textFill>
        </w:rPr>
      </w:pPr>
    </w:p>
    <w:p w14:paraId="102C1852">
      <w:pPr>
        <w:spacing w:line="380" w:lineRule="exact"/>
        <w:ind w:firstLine="422" w:firstLineChars="200"/>
        <w:rPr>
          <w:rFonts w:ascii="宋体" w:hAnsi="宋体" w:eastAsia="宋体" w:cs="Times New Roman"/>
          <w:b/>
          <w:bCs/>
          <w:color w:val="000000" w:themeColor="text1"/>
          <w:szCs w:val="21"/>
          <w14:textFill>
            <w14:solidFill>
              <w14:schemeClr w14:val="tx1"/>
            </w14:solidFill>
          </w14:textFill>
        </w:rPr>
      </w:pPr>
    </w:p>
    <w:p w14:paraId="35A86DFD">
      <w:pPr>
        <w:spacing w:line="380" w:lineRule="exact"/>
        <w:rPr>
          <w:rFonts w:ascii="宋体" w:hAnsi="宋体" w:eastAsia="宋体" w:cs="Times New Roman"/>
          <w:b/>
          <w:bCs/>
          <w:color w:val="000000" w:themeColor="text1"/>
          <w:szCs w:val="21"/>
          <w:highlight w:val="none"/>
          <w14:textFill>
            <w14:solidFill>
              <w14:schemeClr w14:val="tx1"/>
            </w14:solidFill>
          </w14:textFill>
        </w:rPr>
      </w:pPr>
    </w:p>
    <w:bookmarkEnd w:id="39"/>
    <w:p w14:paraId="5B97DE31">
      <w:pPr>
        <w:spacing w:line="400" w:lineRule="exact"/>
        <w:jc w:val="center"/>
        <w:rPr>
          <w:rFonts w:ascii="宋体" w:hAnsi="宋体" w:eastAsia="宋体" w:cs="Times New Roman"/>
          <w:b/>
          <w:color w:val="000000" w:themeColor="text1"/>
          <w:sz w:val="32"/>
          <w:szCs w:val="32"/>
          <w:highlight w:val="none"/>
          <w14:textFill>
            <w14:solidFill>
              <w14:schemeClr w14:val="tx1"/>
            </w14:solidFill>
          </w14:textFill>
        </w:rPr>
      </w:pPr>
    </w:p>
    <w:p w14:paraId="3042EC0C">
      <w:pPr>
        <w:spacing w:line="400" w:lineRule="exact"/>
        <w:jc w:val="center"/>
        <w:outlineLvl w:val="0"/>
        <w:rPr>
          <w:rFonts w:ascii="宋体" w:hAnsi="宋体" w:eastAsia="宋体" w:cs="Times New Roman"/>
          <w:b/>
          <w:color w:val="000000" w:themeColor="text1"/>
          <w:sz w:val="32"/>
          <w:szCs w:val="32"/>
          <w:highlight w:val="none"/>
          <w14:textFill>
            <w14:solidFill>
              <w14:schemeClr w14:val="tx1"/>
            </w14:solidFill>
          </w14:textFill>
        </w:rPr>
      </w:pPr>
      <w:bookmarkStart w:id="41" w:name="_Toc18903"/>
      <w:r>
        <w:rPr>
          <w:rFonts w:hint="eastAsia" w:ascii="宋体" w:hAnsi="宋体" w:eastAsia="宋体" w:cs="Times New Roman"/>
          <w:b/>
          <w:color w:val="000000" w:themeColor="text1"/>
          <w:sz w:val="32"/>
          <w:szCs w:val="32"/>
          <w:highlight w:val="none"/>
          <w14:textFill>
            <w14:solidFill>
              <w14:schemeClr w14:val="tx1"/>
            </w14:solidFill>
          </w14:textFill>
        </w:rPr>
        <w:t>第五章、政府采购合同（合同主要条款及格式）</w:t>
      </w:r>
      <w:bookmarkEnd w:id="41"/>
    </w:p>
    <w:p w14:paraId="4A9529F1">
      <w:pPr>
        <w:spacing w:line="400" w:lineRule="exact"/>
        <w:rPr>
          <w:rFonts w:ascii="宋体" w:hAnsi="宋体" w:eastAsia="宋体" w:cs="Times New Roman"/>
          <w:color w:val="000000" w:themeColor="text1"/>
          <w:szCs w:val="24"/>
          <w:highlight w:val="none"/>
          <w14:textFill>
            <w14:solidFill>
              <w14:schemeClr w14:val="tx1"/>
            </w14:solidFill>
          </w14:textFill>
        </w:rPr>
      </w:pPr>
    </w:p>
    <w:p w14:paraId="447DCC54">
      <w:pPr>
        <w:spacing w:line="360" w:lineRule="auto"/>
        <w:jc w:val="left"/>
        <w:rPr>
          <w:rFonts w:ascii="宋体" w:hAnsi="宋体" w:eastAsia="宋体" w:cs="Times New Roman"/>
          <w:b/>
          <w:bCs/>
          <w:color w:val="000000" w:themeColor="text1"/>
          <w:sz w:val="32"/>
          <w:szCs w:val="32"/>
          <w:highlight w:val="none"/>
          <w14:textFill>
            <w14:solidFill>
              <w14:schemeClr w14:val="tx1"/>
            </w14:solidFill>
          </w14:textFill>
        </w:rPr>
      </w:pPr>
    </w:p>
    <w:p w14:paraId="7EC729B8">
      <w:pPr>
        <w:spacing w:line="360" w:lineRule="auto"/>
        <w:jc w:val="left"/>
        <w:rPr>
          <w:rFonts w:ascii="宋体" w:hAnsi="宋体" w:eastAsia="宋体" w:cs="Times New Roman"/>
          <w:b/>
          <w:bCs/>
          <w:color w:val="000000" w:themeColor="text1"/>
          <w:sz w:val="32"/>
          <w:szCs w:val="32"/>
          <w:highlight w:val="none"/>
          <w14:textFill>
            <w14:solidFill>
              <w14:schemeClr w14:val="tx1"/>
            </w14:solidFill>
          </w14:textFill>
        </w:rPr>
      </w:pPr>
    </w:p>
    <w:p w14:paraId="4044B2B8">
      <w:pPr>
        <w:ind w:left="-2" w:leftChars="-1" w:right="126" w:rightChars="60" w:firstLine="841" w:firstLineChars="263"/>
        <w:rPr>
          <w:rFonts w:ascii="宋体" w:hAnsi="宋体" w:eastAsia="宋体" w:cs="Times New Roman"/>
          <w:bCs/>
          <w:color w:val="000000" w:themeColor="text1"/>
          <w:sz w:val="32"/>
          <w:szCs w:val="32"/>
          <w:highlight w:val="none"/>
          <w14:textFill>
            <w14:solidFill>
              <w14:schemeClr w14:val="tx1"/>
            </w14:solidFill>
          </w14:textFill>
        </w:rPr>
      </w:pPr>
    </w:p>
    <w:p w14:paraId="54A8FE63">
      <w:pPr>
        <w:ind w:left="-2" w:leftChars="-1" w:right="126" w:rightChars="60" w:firstLine="946" w:firstLineChars="263"/>
        <w:rPr>
          <w:rFonts w:ascii="华文新魏" w:hAnsi="Times New Roman" w:eastAsia="华文新魏" w:cs="Times New Roman"/>
          <w:bCs/>
          <w:color w:val="000000" w:themeColor="text1"/>
          <w:spacing w:val="90"/>
          <w:sz w:val="18"/>
          <w:szCs w:val="24"/>
          <w:highlight w:val="none"/>
          <w14:textFill>
            <w14:solidFill>
              <w14:schemeClr w14:val="tx1"/>
            </w14:solidFill>
          </w14:textFill>
        </w:rPr>
      </w:pPr>
    </w:p>
    <w:p w14:paraId="11ACF1D0">
      <w:pPr>
        <w:ind w:right="126" w:rightChars="60"/>
        <w:rPr>
          <w:rFonts w:ascii="华文新魏" w:hAnsi="Times New Roman" w:eastAsia="华文新魏" w:cs="Times New Roman"/>
          <w:bCs/>
          <w:color w:val="000000" w:themeColor="text1"/>
          <w:spacing w:val="90"/>
          <w:sz w:val="18"/>
          <w:szCs w:val="24"/>
          <w:highlight w:val="none"/>
          <w14:textFill>
            <w14:solidFill>
              <w14:schemeClr w14:val="tx1"/>
            </w14:solidFill>
          </w14:textFill>
        </w:rPr>
      </w:pPr>
    </w:p>
    <w:p w14:paraId="47E184EE">
      <w:pPr>
        <w:ind w:left="-2" w:leftChars="-1" w:right="126" w:rightChars="60" w:firstLine="946" w:firstLineChars="263"/>
        <w:rPr>
          <w:rFonts w:ascii="华文新魏" w:hAnsi="Times New Roman" w:eastAsia="华文新魏" w:cs="Times New Roman"/>
          <w:bCs/>
          <w:color w:val="000000" w:themeColor="text1"/>
          <w:spacing w:val="90"/>
          <w:sz w:val="18"/>
          <w:szCs w:val="24"/>
          <w:highlight w:val="none"/>
          <w14:textFill>
            <w14:solidFill>
              <w14:schemeClr w14:val="tx1"/>
            </w14:solidFill>
          </w14:textFill>
        </w:rPr>
      </w:pPr>
    </w:p>
    <w:p w14:paraId="40F53652">
      <w:pPr>
        <w:ind w:left="-2" w:leftChars="-1" w:right="126" w:rightChars="60" w:firstLine="946" w:firstLineChars="263"/>
        <w:rPr>
          <w:rFonts w:ascii="华文新魏" w:hAnsi="Times New Roman" w:eastAsia="华文新魏" w:cs="Times New Roman"/>
          <w:bCs/>
          <w:color w:val="000000" w:themeColor="text1"/>
          <w:spacing w:val="90"/>
          <w:sz w:val="18"/>
          <w:szCs w:val="24"/>
          <w:highlight w:val="none"/>
          <w14:textFill>
            <w14:solidFill>
              <w14:schemeClr w14:val="tx1"/>
            </w14:solidFill>
          </w14:textFill>
        </w:rPr>
      </w:pPr>
    </w:p>
    <w:p w14:paraId="6CCE6ADD">
      <w:pPr>
        <w:ind w:left="-2" w:leftChars="-1" w:right="126" w:rightChars="60" w:firstLine="946" w:firstLineChars="263"/>
        <w:rPr>
          <w:rFonts w:ascii="华文新魏" w:hAnsi="Times New Roman" w:eastAsia="华文新魏" w:cs="Times New Roman"/>
          <w:bCs/>
          <w:color w:val="000000" w:themeColor="text1"/>
          <w:spacing w:val="90"/>
          <w:sz w:val="18"/>
          <w:szCs w:val="24"/>
          <w:highlight w:val="none"/>
          <w14:textFill>
            <w14:solidFill>
              <w14:schemeClr w14:val="tx1"/>
            </w14:solidFill>
          </w14:textFill>
        </w:rPr>
      </w:pPr>
    </w:p>
    <w:p w14:paraId="17E88D2E">
      <w:pPr>
        <w:ind w:right="126" w:rightChars="60"/>
        <w:jc w:val="center"/>
        <w:rPr>
          <w:rFonts w:ascii="华文新魏" w:hAnsi="Times New Roman" w:eastAsia="华文新魏" w:cs="Times New Roman"/>
          <w:bCs/>
          <w:color w:val="000000" w:themeColor="text1"/>
          <w:spacing w:val="90"/>
          <w:sz w:val="84"/>
          <w:szCs w:val="84"/>
          <w:highlight w:val="none"/>
          <w14:textFill>
            <w14:solidFill>
              <w14:schemeClr w14:val="tx1"/>
            </w14:solidFill>
          </w14:textFill>
        </w:rPr>
      </w:pPr>
      <w:r>
        <w:rPr>
          <w:rFonts w:hint="eastAsia" w:ascii="华文新魏" w:hAnsi="Times New Roman" w:eastAsia="华文新魏" w:cs="Times New Roman"/>
          <w:bCs/>
          <w:color w:val="000000" w:themeColor="text1"/>
          <w:spacing w:val="90"/>
          <w:sz w:val="84"/>
          <w:szCs w:val="84"/>
          <w:highlight w:val="none"/>
          <w14:textFill>
            <w14:solidFill>
              <w14:schemeClr w14:val="tx1"/>
            </w14:solidFill>
          </w14:textFill>
        </w:rPr>
        <w:t>政府采购合同</w:t>
      </w:r>
    </w:p>
    <w:p w14:paraId="0B994CDD">
      <w:pPr>
        <w:tabs>
          <w:tab w:val="left" w:pos="5040"/>
        </w:tabs>
        <w:spacing w:line="340" w:lineRule="exact"/>
        <w:jc w:val="center"/>
        <w:rPr>
          <w:rFonts w:ascii="Times New Roman" w:hAnsi="宋体" w:eastAsia="宋体" w:cs="Times New Roman"/>
          <w:color w:val="000000" w:themeColor="text1"/>
          <w:sz w:val="32"/>
          <w:szCs w:val="32"/>
          <w:highlight w:val="none"/>
          <w14:textFill>
            <w14:solidFill>
              <w14:schemeClr w14:val="tx1"/>
            </w14:solidFill>
          </w14:textFill>
        </w:rPr>
      </w:pPr>
    </w:p>
    <w:p w14:paraId="34665E2A">
      <w:pPr>
        <w:tabs>
          <w:tab w:val="left" w:pos="5040"/>
        </w:tabs>
        <w:spacing w:line="340" w:lineRule="exact"/>
        <w:jc w:val="center"/>
        <w:rPr>
          <w:rFonts w:ascii="Times New Roman" w:hAnsi="宋体" w:eastAsia="宋体" w:cs="Times New Roman"/>
          <w:color w:val="000000" w:themeColor="text1"/>
          <w:sz w:val="32"/>
          <w:szCs w:val="32"/>
          <w:highlight w:val="none"/>
          <w14:textFill>
            <w14:solidFill>
              <w14:schemeClr w14:val="tx1"/>
            </w14:solidFill>
          </w14:textFill>
        </w:rPr>
      </w:pPr>
    </w:p>
    <w:p w14:paraId="4A43A834">
      <w:pPr>
        <w:tabs>
          <w:tab w:val="left" w:pos="5040"/>
        </w:tabs>
        <w:spacing w:line="340" w:lineRule="exact"/>
        <w:jc w:val="center"/>
        <w:rPr>
          <w:rFonts w:ascii="Times New Roman" w:hAnsi="宋体" w:eastAsia="宋体" w:cs="Times New Roman"/>
          <w:color w:val="000000" w:themeColor="text1"/>
          <w:sz w:val="32"/>
          <w:szCs w:val="32"/>
          <w:highlight w:val="none"/>
          <w14:textFill>
            <w14:solidFill>
              <w14:schemeClr w14:val="tx1"/>
            </w14:solidFill>
          </w14:textFill>
        </w:rPr>
      </w:pPr>
    </w:p>
    <w:p w14:paraId="31172D97">
      <w:pPr>
        <w:tabs>
          <w:tab w:val="left" w:pos="5040"/>
        </w:tabs>
        <w:spacing w:line="340" w:lineRule="exact"/>
        <w:rPr>
          <w:rFonts w:ascii="Times New Roman" w:hAnsi="宋体" w:eastAsia="宋体" w:cs="Times New Roman"/>
          <w:color w:val="000000" w:themeColor="text1"/>
          <w:sz w:val="32"/>
          <w:szCs w:val="32"/>
          <w:highlight w:val="none"/>
          <w14:textFill>
            <w14:solidFill>
              <w14:schemeClr w14:val="tx1"/>
            </w14:solidFill>
          </w14:textFill>
        </w:rPr>
      </w:pPr>
    </w:p>
    <w:p w14:paraId="33E10384">
      <w:pPr>
        <w:tabs>
          <w:tab w:val="left" w:pos="5040"/>
        </w:tabs>
        <w:spacing w:line="340" w:lineRule="exact"/>
        <w:jc w:val="center"/>
        <w:rPr>
          <w:rFonts w:ascii="Times New Roman" w:hAnsi="宋体" w:eastAsia="宋体" w:cs="Times New Roman"/>
          <w:color w:val="000000" w:themeColor="text1"/>
          <w:sz w:val="32"/>
          <w:szCs w:val="32"/>
          <w:highlight w:val="none"/>
          <w14:textFill>
            <w14:solidFill>
              <w14:schemeClr w14:val="tx1"/>
            </w14:solidFill>
          </w14:textFill>
        </w:rPr>
      </w:pPr>
    </w:p>
    <w:p w14:paraId="069583A9">
      <w:pPr>
        <w:spacing w:line="360" w:lineRule="auto"/>
        <w:ind w:firstLine="560" w:firstLineChars="200"/>
        <w:jc w:val="center"/>
        <w:rPr>
          <w:rFonts w:hint="eastAsia" w:ascii="宋体" w:hAnsi="宋体" w:eastAsia="宋体" w:cs="Times New Roman"/>
          <w:bCs/>
          <w:color w:val="000000" w:themeColor="text1"/>
          <w:sz w:val="28"/>
          <w:szCs w:val="24"/>
          <w:highlight w:val="none"/>
          <w:u w:val="single"/>
          <w:lang w:eastAsia="zh-CN"/>
          <w14:textFill>
            <w14:solidFill>
              <w14:schemeClr w14:val="tx1"/>
            </w14:solidFill>
          </w14:textFill>
        </w:rPr>
      </w:pPr>
      <w:r>
        <w:rPr>
          <w:rFonts w:hint="eastAsia" w:ascii="宋体" w:hAnsi="宋体" w:eastAsia="宋体" w:cs="Times New Roman"/>
          <w:bCs/>
          <w:color w:val="000000" w:themeColor="text1"/>
          <w:sz w:val="28"/>
          <w:szCs w:val="24"/>
          <w:highlight w:val="none"/>
          <w14:textFill>
            <w14:solidFill>
              <w14:schemeClr w14:val="tx1"/>
            </w14:solidFill>
          </w14:textFill>
        </w:rPr>
        <w:t>项目名称：</w:t>
      </w:r>
      <w:r>
        <w:rPr>
          <w:rFonts w:hint="eastAsia" w:ascii="宋体" w:hAnsi="宋体" w:eastAsia="宋体" w:cs="Times New Roman"/>
          <w:bCs/>
          <w:color w:val="000000" w:themeColor="text1"/>
          <w:sz w:val="28"/>
          <w:szCs w:val="24"/>
          <w:highlight w:val="none"/>
          <w:u w:val="single"/>
          <w:lang w:eastAsia="zh-CN"/>
          <w14:textFill>
            <w14:solidFill>
              <w14:schemeClr w14:val="tx1"/>
            </w14:solidFill>
          </w14:textFill>
        </w:rPr>
        <w:t>桂林航天工业学院-体育馆设备采购项目</w:t>
      </w:r>
    </w:p>
    <w:p w14:paraId="45F87E44">
      <w:pPr>
        <w:spacing w:line="360" w:lineRule="auto"/>
        <w:jc w:val="center"/>
        <w:rPr>
          <w:rFonts w:ascii="宋体" w:hAnsi="宋体" w:eastAsia="宋体" w:cs="Times New Roman"/>
          <w:bCs/>
          <w:color w:val="000000" w:themeColor="text1"/>
          <w:sz w:val="28"/>
          <w:szCs w:val="24"/>
          <w:highlight w:val="none"/>
          <w14:textFill>
            <w14:solidFill>
              <w14:schemeClr w14:val="tx1"/>
            </w14:solidFill>
          </w14:textFill>
        </w:rPr>
      </w:pPr>
    </w:p>
    <w:p w14:paraId="74A9C5E5">
      <w:pPr>
        <w:spacing w:line="360" w:lineRule="auto"/>
        <w:jc w:val="center"/>
        <w:rPr>
          <w:rFonts w:hint="eastAsia" w:ascii="宋体" w:hAnsi="宋体" w:eastAsia="宋体" w:cs="Times New Roman"/>
          <w:bCs/>
          <w:color w:val="000000" w:themeColor="text1"/>
          <w:sz w:val="28"/>
          <w:szCs w:val="24"/>
          <w:highlight w:val="none"/>
          <w:u w:val="single"/>
          <w:lang w:eastAsia="zh-CN"/>
          <w14:textFill>
            <w14:solidFill>
              <w14:schemeClr w14:val="tx1"/>
            </w14:solidFill>
          </w14:textFill>
        </w:rPr>
      </w:pPr>
      <w:r>
        <w:rPr>
          <w:rFonts w:hint="eastAsia" w:ascii="宋体" w:hAnsi="宋体" w:eastAsia="宋体" w:cs="Times New Roman"/>
          <w:bCs/>
          <w:color w:val="000000" w:themeColor="text1"/>
          <w:sz w:val="28"/>
          <w:szCs w:val="24"/>
          <w:highlight w:val="none"/>
          <w14:textFill>
            <w14:solidFill>
              <w14:schemeClr w14:val="tx1"/>
            </w14:solidFill>
          </w14:textFill>
        </w:rPr>
        <w:t>项目编号：</w:t>
      </w:r>
      <w:r>
        <w:rPr>
          <w:rFonts w:hint="eastAsia" w:ascii="宋体" w:hAnsi="宋体" w:eastAsia="宋体" w:cs="Times New Roman"/>
          <w:bCs/>
          <w:color w:val="000000" w:themeColor="text1"/>
          <w:sz w:val="28"/>
          <w:szCs w:val="24"/>
          <w:highlight w:val="none"/>
          <w:u w:val="single"/>
          <w:lang w:eastAsia="zh-CN"/>
          <w14:textFill>
            <w14:solidFill>
              <w14:schemeClr w14:val="tx1"/>
            </w14:solidFill>
          </w14:textFill>
        </w:rPr>
        <w:t>GXZC2025-J1-003235-GXZX</w:t>
      </w:r>
    </w:p>
    <w:p w14:paraId="3311E69C">
      <w:pPr>
        <w:spacing w:line="360" w:lineRule="auto"/>
        <w:rPr>
          <w:rFonts w:ascii="宋体" w:hAnsi="宋体" w:eastAsia="宋体" w:cs="Times New Roman"/>
          <w:bCs/>
          <w:color w:val="000000" w:themeColor="text1"/>
          <w:sz w:val="28"/>
          <w:szCs w:val="24"/>
          <w:highlight w:val="none"/>
          <w14:textFill>
            <w14:solidFill>
              <w14:schemeClr w14:val="tx1"/>
            </w14:solidFill>
          </w14:textFill>
        </w:rPr>
      </w:pPr>
    </w:p>
    <w:p w14:paraId="6B1C0D87">
      <w:pPr>
        <w:spacing w:line="360" w:lineRule="auto"/>
        <w:rPr>
          <w:rFonts w:ascii="宋体" w:hAnsi="宋体" w:eastAsia="宋体" w:cs="Times New Roman"/>
          <w:bCs/>
          <w:color w:val="000000" w:themeColor="text1"/>
          <w:sz w:val="28"/>
          <w:szCs w:val="24"/>
          <w:highlight w:val="none"/>
          <w14:textFill>
            <w14:solidFill>
              <w14:schemeClr w14:val="tx1"/>
            </w14:solidFill>
          </w14:textFill>
        </w:rPr>
      </w:pPr>
    </w:p>
    <w:p w14:paraId="06440DB3">
      <w:pPr>
        <w:spacing w:line="360" w:lineRule="auto"/>
        <w:ind w:firstLine="555"/>
        <w:rPr>
          <w:rFonts w:ascii="宋体" w:hAnsi="宋体" w:eastAsia="宋体" w:cs="Times New Roman"/>
          <w:bCs/>
          <w:color w:val="000000" w:themeColor="text1"/>
          <w:sz w:val="28"/>
          <w:szCs w:val="24"/>
          <w:highlight w:val="none"/>
          <w14:textFill>
            <w14:solidFill>
              <w14:schemeClr w14:val="tx1"/>
            </w14:solidFill>
          </w14:textFill>
        </w:rPr>
      </w:pPr>
    </w:p>
    <w:p w14:paraId="3F77183E">
      <w:pPr>
        <w:spacing w:line="360" w:lineRule="auto"/>
        <w:ind w:firstLine="2240" w:firstLineChars="800"/>
        <w:rPr>
          <w:rFonts w:ascii="宋体" w:hAnsi="宋体" w:eastAsia="宋体" w:cs="Times New Roman"/>
          <w:bCs/>
          <w:color w:val="000000" w:themeColor="text1"/>
          <w:sz w:val="28"/>
          <w:szCs w:val="24"/>
          <w:highlight w:val="none"/>
          <w14:textFill>
            <w14:solidFill>
              <w14:schemeClr w14:val="tx1"/>
            </w14:solidFill>
          </w14:textFill>
        </w:rPr>
      </w:pPr>
      <w:r>
        <w:rPr>
          <w:rFonts w:hint="eastAsia" w:ascii="宋体" w:hAnsi="宋体" w:eastAsia="宋体" w:cs="Times New Roman"/>
          <w:bCs/>
          <w:color w:val="000000" w:themeColor="text1"/>
          <w:sz w:val="28"/>
          <w:szCs w:val="24"/>
          <w:highlight w:val="none"/>
          <w14:textFill>
            <w14:solidFill>
              <w14:schemeClr w14:val="tx1"/>
            </w14:solidFill>
          </w14:textFill>
        </w:rPr>
        <w:t>签订合同时间：2025年   月    日</w:t>
      </w:r>
    </w:p>
    <w:p w14:paraId="3EC2086E">
      <w:pPr>
        <w:tabs>
          <w:tab w:val="left" w:pos="5040"/>
        </w:tabs>
        <w:spacing w:line="340" w:lineRule="exact"/>
        <w:jc w:val="center"/>
        <w:rPr>
          <w:rFonts w:ascii="Times New Roman" w:hAnsi="宋体" w:eastAsia="宋体" w:cs="Times New Roman"/>
          <w:color w:val="000000" w:themeColor="text1"/>
          <w:sz w:val="32"/>
          <w:szCs w:val="32"/>
          <w:highlight w:val="none"/>
          <w14:textFill>
            <w14:solidFill>
              <w14:schemeClr w14:val="tx1"/>
            </w14:solidFill>
          </w14:textFill>
        </w:rPr>
      </w:pPr>
    </w:p>
    <w:p w14:paraId="0AF2885C">
      <w:pPr>
        <w:tabs>
          <w:tab w:val="left" w:pos="5040"/>
        </w:tabs>
        <w:spacing w:line="340" w:lineRule="exact"/>
        <w:jc w:val="center"/>
        <w:rPr>
          <w:rFonts w:ascii="Times New Roman" w:hAnsi="宋体" w:eastAsia="宋体" w:cs="Times New Roman"/>
          <w:color w:val="000000" w:themeColor="text1"/>
          <w:sz w:val="32"/>
          <w:szCs w:val="32"/>
          <w:highlight w:val="none"/>
          <w14:textFill>
            <w14:solidFill>
              <w14:schemeClr w14:val="tx1"/>
            </w14:solidFill>
          </w14:textFill>
        </w:rPr>
      </w:pPr>
    </w:p>
    <w:p w14:paraId="70B4247A">
      <w:pPr>
        <w:tabs>
          <w:tab w:val="left" w:pos="5040"/>
        </w:tabs>
        <w:spacing w:line="340" w:lineRule="exact"/>
        <w:jc w:val="center"/>
        <w:rPr>
          <w:rFonts w:ascii="Times New Roman" w:hAnsi="宋体" w:eastAsia="宋体" w:cs="Times New Roman"/>
          <w:color w:val="000000" w:themeColor="text1"/>
          <w:sz w:val="32"/>
          <w:szCs w:val="32"/>
          <w:highlight w:val="none"/>
          <w14:textFill>
            <w14:solidFill>
              <w14:schemeClr w14:val="tx1"/>
            </w14:solidFill>
          </w14:textFill>
        </w:rPr>
      </w:pPr>
    </w:p>
    <w:p w14:paraId="72088DC3">
      <w:pPr>
        <w:snapToGrid w:val="0"/>
        <w:spacing w:line="400" w:lineRule="exact"/>
        <w:jc w:val="both"/>
        <w:rPr>
          <w:rFonts w:ascii="宋体" w:hAnsi="宋体" w:cs="宋体"/>
          <w:b/>
          <w:bCs/>
          <w:color w:val="000000" w:themeColor="text1"/>
          <w:sz w:val="32"/>
          <w:szCs w:val="32"/>
          <w:highlight w:val="none"/>
          <w14:textFill>
            <w14:solidFill>
              <w14:schemeClr w14:val="tx1"/>
            </w14:solidFill>
          </w14:textFill>
        </w:rPr>
      </w:pPr>
      <w:bookmarkStart w:id="42" w:name="_Hlk55381736"/>
      <w:bookmarkStart w:id="43" w:name="_Toc456863728"/>
    </w:p>
    <w:p w14:paraId="3CB6A127">
      <w:pPr>
        <w:snapToGrid w:val="0"/>
        <w:spacing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《广西壮族自治区政府采购合同》</w:t>
      </w:r>
    </w:p>
    <w:p w14:paraId="33B31163">
      <w:pPr>
        <w:snapToGrid w:val="0"/>
        <w:spacing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文本</w:t>
      </w:r>
    </w:p>
    <w:p w14:paraId="18682BC4">
      <w:pPr>
        <w:snapToGrid w:val="0"/>
        <w:spacing w:line="400" w:lineRule="exact"/>
        <w:ind w:right="480" w:firstLine="5250" w:firstLineChars="25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合同编号：</w:t>
      </w:r>
    </w:p>
    <w:p w14:paraId="76F95344">
      <w:pPr>
        <w:snapToGrid w:val="0"/>
        <w:spacing w:line="360" w:lineRule="exact"/>
        <w:rPr>
          <w:rFonts w:ascii="宋体" w:hAnsi="宋体" w:cs="宋体"/>
          <w:color w:val="000000" w:themeColor="text1"/>
          <w:szCs w:val="21"/>
          <w:highlight w:val="none"/>
          <w14:textFill>
            <w14:solidFill>
              <w14:schemeClr w14:val="tx1"/>
            </w14:solidFill>
          </w14:textFill>
        </w:rPr>
      </w:pPr>
    </w:p>
    <w:p w14:paraId="02451AD1">
      <w:pPr>
        <w:snapToGrid w:val="0"/>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采购人（甲方）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采 购 计 划 号</w:t>
      </w:r>
      <w:r>
        <w:rPr>
          <w:rFonts w:hint="eastAsia" w:ascii="宋体" w:hAnsi="宋体" w:cs="宋体"/>
          <w:color w:val="000000" w:themeColor="text1"/>
          <w:sz w:val="24"/>
          <w:highlight w:val="none"/>
          <w:u w:val="single"/>
          <w14:textFill>
            <w14:solidFill>
              <w14:schemeClr w14:val="tx1"/>
            </w14:solidFill>
          </w14:textFill>
        </w:rPr>
        <w:t xml:space="preserve">             </w:t>
      </w:r>
    </w:p>
    <w:p w14:paraId="3BC33F10">
      <w:pPr>
        <w:snapToGrid w:val="0"/>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 应 商（乙方）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招  标  编  号</w:t>
      </w:r>
      <w:r>
        <w:rPr>
          <w:rFonts w:hint="eastAsia" w:ascii="宋体" w:hAnsi="宋体" w:cs="宋体"/>
          <w:color w:val="000000" w:themeColor="text1"/>
          <w:sz w:val="24"/>
          <w:highlight w:val="none"/>
          <w:u w:val="single"/>
          <w14:textFill>
            <w14:solidFill>
              <w14:schemeClr w14:val="tx1"/>
            </w14:solidFill>
          </w14:textFill>
        </w:rPr>
        <w:t xml:space="preserve">             </w:t>
      </w:r>
    </w:p>
    <w:p w14:paraId="17FF5204">
      <w:pPr>
        <w:snapToGrid w:val="0"/>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  订  地  点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签 订 时 间</w:t>
      </w:r>
      <w:r>
        <w:rPr>
          <w:rFonts w:hint="eastAsia" w:ascii="宋体" w:hAnsi="宋体" w:cs="宋体"/>
          <w:color w:val="000000" w:themeColor="text1"/>
          <w:sz w:val="24"/>
          <w:highlight w:val="none"/>
          <w:u w:val="single"/>
          <w14:textFill>
            <w14:solidFill>
              <w14:schemeClr w14:val="tx1"/>
            </w14:solidFill>
          </w14:textFill>
        </w:rPr>
        <w:t xml:space="preserve">             </w:t>
      </w:r>
    </w:p>
    <w:p w14:paraId="54F790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本合同为中小企业预留合同：</w:t>
      </w:r>
      <w:r>
        <w:rPr>
          <w:rFonts w:hint="eastAsia" w:ascii="宋体" w:hAnsi="宋体" w:cs="宋体"/>
          <w:color w:val="000000" w:themeColor="text1"/>
          <w:sz w:val="24"/>
          <w:highlight w:val="none"/>
          <w:u w:val="single"/>
          <w14:textFill>
            <w14:solidFill>
              <w14:schemeClr w14:val="tx1"/>
            </w14:solidFill>
          </w14:textFill>
        </w:rPr>
        <w:t>（是/否）</w:t>
      </w:r>
      <w:r>
        <w:rPr>
          <w:rFonts w:hint="eastAsia" w:ascii="宋体" w:hAnsi="宋体" w:cs="宋体"/>
          <w:color w:val="000000" w:themeColor="text1"/>
          <w:sz w:val="24"/>
          <w:highlight w:val="none"/>
          <w14:textFill>
            <w14:solidFill>
              <w14:schemeClr w14:val="tx1"/>
            </w14:solidFill>
          </w14:textFill>
        </w:rPr>
        <w:t>。</w:t>
      </w:r>
    </w:p>
    <w:p w14:paraId="7C1CF741">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根据《中华人民共和国政府采购法》、《中华人民共和国民法典》等法律、法规规定，按照</w:t>
      </w:r>
      <w:r>
        <w:rPr>
          <w:rFonts w:hint="eastAsia" w:ascii="宋体" w:hAnsi="宋体" w:cs="宋体"/>
          <w:color w:val="000000" w:themeColor="text1"/>
          <w:sz w:val="24"/>
          <w:highlight w:val="none"/>
          <w:lang w:eastAsia="zh-CN"/>
          <w14:textFill>
            <w14:solidFill>
              <w14:schemeClr w14:val="tx1"/>
            </w14:solidFill>
          </w14:textFill>
        </w:rPr>
        <w:t>采购文件</w:t>
      </w:r>
      <w:r>
        <w:rPr>
          <w:rFonts w:hint="eastAsia" w:ascii="宋体" w:hAnsi="宋体" w:cs="宋体"/>
          <w:color w:val="000000" w:themeColor="text1"/>
          <w:sz w:val="24"/>
          <w:highlight w:val="none"/>
          <w14:textFill>
            <w14:solidFill>
              <w14:schemeClr w14:val="tx1"/>
            </w14:solidFill>
          </w14:textFill>
        </w:rPr>
        <w:t>（采购文件）规定条款和中标（成交）供应商承诺，甲乙双方签订本合同。</w:t>
      </w:r>
    </w:p>
    <w:p w14:paraId="645C7681">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第一条　合同标的</w:t>
      </w:r>
    </w:p>
    <w:p w14:paraId="131420A4">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1.供货一览表</w:t>
      </w:r>
    </w:p>
    <w:tbl>
      <w:tblPr>
        <w:tblStyle w:val="53"/>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3B9A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3768DA25">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3" w:type="dxa"/>
            <w:vAlign w:val="center"/>
          </w:tcPr>
          <w:p w14:paraId="09E74731">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产品名称</w:t>
            </w:r>
          </w:p>
        </w:tc>
        <w:tc>
          <w:tcPr>
            <w:tcW w:w="1059" w:type="dxa"/>
            <w:vAlign w:val="center"/>
          </w:tcPr>
          <w:p w14:paraId="6C45CF8C">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商标品牌</w:t>
            </w:r>
          </w:p>
        </w:tc>
        <w:tc>
          <w:tcPr>
            <w:tcW w:w="1233" w:type="dxa"/>
            <w:vAlign w:val="center"/>
          </w:tcPr>
          <w:p w14:paraId="6495117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规格型号</w:t>
            </w:r>
          </w:p>
        </w:tc>
        <w:tc>
          <w:tcPr>
            <w:tcW w:w="1210" w:type="dxa"/>
            <w:vAlign w:val="center"/>
          </w:tcPr>
          <w:p w14:paraId="33339104">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生产厂家</w:t>
            </w:r>
          </w:p>
        </w:tc>
        <w:tc>
          <w:tcPr>
            <w:tcW w:w="908" w:type="dxa"/>
            <w:vAlign w:val="center"/>
          </w:tcPr>
          <w:p w14:paraId="1E48CA73">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  量</w:t>
            </w:r>
          </w:p>
        </w:tc>
        <w:tc>
          <w:tcPr>
            <w:tcW w:w="668" w:type="dxa"/>
            <w:vAlign w:val="center"/>
          </w:tcPr>
          <w:p w14:paraId="2A78EEA2">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947" w:type="dxa"/>
            <w:vAlign w:val="center"/>
          </w:tcPr>
          <w:p w14:paraId="5D2621D5">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  价</w:t>
            </w:r>
          </w:p>
          <w:p w14:paraId="0F602AD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（元）</w:t>
            </w:r>
          </w:p>
        </w:tc>
        <w:tc>
          <w:tcPr>
            <w:tcW w:w="1189" w:type="dxa"/>
            <w:vAlign w:val="center"/>
          </w:tcPr>
          <w:p w14:paraId="43FECBF9">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金  额</w:t>
            </w:r>
          </w:p>
          <w:p w14:paraId="2FCB0432">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（元）</w:t>
            </w:r>
          </w:p>
        </w:tc>
      </w:tr>
      <w:tr w14:paraId="2213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30B4646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233" w:type="dxa"/>
            <w:vAlign w:val="center"/>
          </w:tcPr>
          <w:p w14:paraId="5B782DF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059" w:type="dxa"/>
            <w:vAlign w:val="center"/>
          </w:tcPr>
          <w:p w14:paraId="3668723E">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1FA4B0CA">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10" w:type="dxa"/>
          </w:tcPr>
          <w:p w14:paraId="26A13A3C">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08" w:type="dxa"/>
          </w:tcPr>
          <w:p w14:paraId="0AA253B5">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668" w:type="dxa"/>
          </w:tcPr>
          <w:p w14:paraId="0A2F32B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47" w:type="dxa"/>
            <w:vAlign w:val="center"/>
          </w:tcPr>
          <w:p w14:paraId="62B0EE40">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89" w:type="dxa"/>
            <w:vAlign w:val="center"/>
          </w:tcPr>
          <w:p w14:paraId="7C2371E9">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14:paraId="7755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06D4796B">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233" w:type="dxa"/>
            <w:vAlign w:val="center"/>
          </w:tcPr>
          <w:p w14:paraId="15337E28">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059" w:type="dxa"/>
            <w:vAlign w:val="center"/>
          </w:tcPr>
          <w:p w14:paraId="4E529B9A">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3EC02387">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10" w:type="dxa"/>
          </w:tcPr>
          <w:p w14:paraId="6839A30E">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08" w:type="dxa"/>
          </w:tcPr>
          <w:p w14:paraId="064D11D5">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668" w:type="dxa"/>
          </w:tcPr>
          <w:p w14:paraId="6BA3B340">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47" w:type="dxa"/>
            <w:vAlign w:val="center"/>
          </w:tcPr>
          <w:p w14:paraId="608BEA0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89" w:type="dxa"/>
            <w:vAlign w:val="center"/>
          </w:tcPr>
          <w:p w14:paraId="78DC66A6">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14:paraId="0FFE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068ABC1F">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33" w:type="dxa"/>
            <w:vAlign w:val="center"/>
          </w:tcPr>
          <w:p w14:paraId="1FF6B61C">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059" w:type="dxa"/>
            <w:vAlign w:val="center"/>
          </w:tcPr>
          <w:p w14:paraId="3D832290">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33" w:type="dxa"/>
            <w:vAlign w:val="center"/>
          </w:tcPr>
          <w:p w14:paraId="6FCFC30A">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10" w:type="dxa"/>
          </w:tcPr>
          <w:p w14:paraId="3C49F65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08" w:type="dxa"/>
          </w:tcPr>
          <w:p w14:paraId="43487E8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668" w:type="dxa"/>
          </w:tcPr>
          <w:p w14:paraId="1BB75C51">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947" w:type="dxa"/>
            <w:vAlign w:val="center"/>
          </w:tcPr>
          <w:p w14:paraId="1D2423B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89" w:type="dxa"/>
            <w:vAlign w:val="center"/>
          </w:tcPr>
          <w:p w14:paraId="3D205BAA">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14:paraId="0759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vAlign w:val="center"/>
          </w:tcPr>
          <w:p w14:paraId="1F5DA3A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人民币合计金额（大写）                          （小写）                 </w:t>
            </w:r>
          </w:p>
        </w:tc>
      </w:tr>
    </w:tbl>
    <w:p w14:paraId="385C93EF">
      <w:pPr>
        <w:snapToGrid w:val="0"/>
        <w:spacing w:line="360" w:lineRule="auto"/>
        <w:ind w:right="4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2.合同合计金额包括货物价款，备件、专用工具、安装、调试、检验、技术培训及技术资料和包装、运输等全部费用。</w:t>
      </w:r>
    </w:p>
    <w:p w14:paraId="1D42D307">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第二条　质量要求</w:t>
      </w:r>
    </w:p>
    <w:p w14:paraId="55B90FBE">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1.乙方所提供的产品名称、商标品牌、生产厂家、规格型号、技术参数等质量必须与</w:t>
      </w:r>
      <w:r>
        <w:rPr>
          <w:rFonts w:hint="eastAsia" w:ascii="宋体" w:hAnsi="宋体" w:cs="宋体"/>
          <w:color w:val="000000" w:themeColor="text1"/>
          <w:sz w:val="24"/>
          <w:highlight w:val="none"/>
          <w:lang w:eastAsia="zh-CN"/>
          <w14:textFill>
            <w14:solidFill>
              <w14:schemeClr w14:val="tx1"/>
            </w14:solidFill>
          </w14:textFill>
        </w:rPr>
        <w:t>采购文件</w:t>
      </w:r>
      <w:r>
        <w:rPr>
          <w:rFonts w:hint="eastAsia" w:ascii="宋体" w:hAnsi="宋体" w:cs="宋体"/>
          <w:color w:val="000000" w:themeColor="text1"/>
          <w:sz w:val="24"/>
          <w:highlight w:val="none"/>
          <w14:textFill>
            <w14:solidFill>
              <w14:schemeClr w14:val="tx1"/>
            </w14:solidFill>
          </w14:textFill>
        </w:rPr>
        <w:t>规定及</w:t>
      </w:r>
      <w:r>
        <w:rPr>
          <w:rFonts w:hint="eastAsia" w:ascii="宋体" w:hAnsi="宋体" w:cs="宋体"/>
          <w:color w:val="000000" w:themeColor="text1"/>
          <w:sz w:val="24"/>
          <w:highlight w:val="none"/>
          <w:lang w:val="en-US"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文件承诺相一致。乙方提供的节能和环保产品必须是列入政府采购品目清单的产品。</w:t>
      </w:r>
    </w:p>
    <w:p w14:paraId="6EFC455C">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2.乙方所提供的货物必须是全新、未使用的原装产品，且在正常安装、使用和保养条件下，其使用寿命期内各项指标均达到</w:t>
      </w:r>
      <w:r>
        <w:rPr>
          <w:rFonts w:hint="eastAsia" w:ascii="宋体" w:hAnsi="宋体" w:cs="宋体"/>
          <w:color w:val="000000" w:themeColor="text1"/>
          <w:sz w:val="24"/>
          <w:highlight w:val="none"/>
          <w:lang w:eastAsia="zh-CN"/>
          <w14:textFill>
            <w14:solidFill>
              <w14:schemeClr w14:val="tx1"/>
            </w14:solidFill>
          </w14:textFill>
        </w:rPr>
        <w:t>采购文件</w:t>
      </w:r>
      <w:r>
        <w:rPr>
          <w:rFonts w:hint="eastAsia" w:ascii="宋体" w:hAnsi="宋体" w:cs="宋体"/>
          <w:color w:val="000000" w:themeColor="text1"/>
          <w:sz w:val="24"/>
          <w:highlight w:val="none"/>
          <w14:textFill>
            <w14:solidFill>
              <w14:schemeClr w14:val="tx1"/>
            </w14:solidFill>
          </w14:textFill>
        </w:rPr>
        <w:t>规定或者</w:t>
      </w:r>
      <w:r>
        <w:rPr>
          <w:rFonts w:hint="eastAsia" w:ascii="宋体" w:hAnsi="宋体" w:cs="宋体"/>
          <w:color w:val="000000" w:themeColor="text1"/>
          <w:sz w:val="24"/>
          <w:highlight w:val="none"/>
          <w:lang w:eastAsia="zh-CN"/>
          <w14:textFill>
            <w14:solidFill>
              <w14:schemeClr w14:val="tx1"/>
            </w14:solidFill>
          </w14:textFill>
        </w:rPr>
        <w:t>竞标</w:t>
      </w:r>
      <w:r>
        <w:rPr>
          <w:rFonts w:hint="eastAsia" w:ascii="宋体" w:hAnsi="宋体" w:cs="宋体"/>
          <w:color w:val="000000" w:themeColor="text1"/>
          <w:sz w:val="24"/>
          <w:highlight w:val="none"/>
          <w14:textFill>
            <w14:solidFill>
              <w14:schemeClr w14:val="tx1"/>
            </w14:solidFill>
          </w14:textFill>
        </w:rPr>
        <w:t>文件承诺的质量要求。</w:t>
      </w:r>
    </w:p>
    <w:p w14:paraId="0F8F4807">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第三条　权利保证</w:t>
      </w:r>
    </w:p>
    <w:p w14:paraId="31648740">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1.乙方应保证所提供货物在使用时不会侵犯任何第三方的专利权、商标权、工业设计权或者其他权利。</w:t>
      </w:r>
    </w:p>
    <w:p w14:paraId="6502EB9B">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2.乙方应按</w:t>
      </w:r>
      <w:r>
        <w:rPr>
          <w:rFonts w:hint="eastAsia" w:ascii="宋体" w:hAnsi="宋体" w:cs="宋体"/>
          <w:color w:val="000000" w:themeColor="text1"/>
          <w:sz w:val="24"/>
          <w:highlight w:val="none"/>
          <w:lang w:eastAsia="zh-CN"/>
          <w14:textFill>
            <w14:solidFill>
              <w14:schemeClr w14:val="tx1"/>
            </w14:solidFill>
          </w14:textFill>
        </w:rPr>
        <w:t>采购文件</w:t>
      </w:r>
      <w:r>
        <w:rPr>
          <w:rFonts w:hint="eastAsia" w:ascii="宋体" w:hAnsi="宋体" w:cs="宋体"/>
          <w:color w:val="000000" w:themeColor="text1"/>
          <w:sz w:val="24"/>
          <w:highlight w:val="none"/>
          <w14:textFill>
            <w14:solidFill>
              <w14:schemeClr w14:val="tx1"/>
            </w14:solidFill>
          </w14:textFill>
        </w:rPr>
        <w:t>规定或者</w:t>
      </w:r>
      <w:r>
        <w:rPr>
          <w:rFonts w:hint="eastAsia" w:ascii="宋体" w:hAnsi="宋体" w:cs="宋体"/>
          <w:color w:val="000000" w:themeColor="text1"/>
          <w:sz w:val="24"/>
          <w:highlight w:val="none"/>
          <w:lang w:eastAsia="zh-CN"/>
          <w14:textFill>
            <w14:solidFill>
              <w14:schemeClr w14:val="tx1"/>
            </w14:solidFill>
          </w14:textFill>
        </w:rPr>
        <w:t>竞标</w:t>
      </w:r>
      <w:r>
        <w:rPr>
          <w:rFonts w:hint="eastAsia" w:ascii="宋体" w:hAnsi="宋体" w:cs="宋体"/>
          <w:color w:val="000000" w:themeColor="text1"/>
          <w:sz w:val="24"/>
          <w:highlight w:val="none"/>
          <w14:textFill>
            <w14:solidFill>
              <w14:schemeClr w14:val="tx1"/>
            </w14:solidFill>
          </w14:textFill>
        </w:rPr>
        <w:t>文件承诺的时间向甲方提供使用货物的有关技术资料。</w:t>
      </w:r>
    </w:p>
    <w:p w14:paraId="4A784288">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1FAF2E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4.乙方保证将要交付的货物的所有权完全属于乙方且无任何抵押、质押、查封等产权瑕疵。</w:t>
      </w:r>
    </w:p>
    <w:p w14:paraId="38025323">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第四条　包装和运输</w:t>
      </w:r>
    </w:p>
    <w:p w14:paraId="01F20AB1">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1.乙方提供的货物均应按</w:t>
      </w:r>
      <w:r>
        <w:rPr>
          <w:rFonts w:hint="eastAsia" w:ascii="宋体" w:hAnsi="宋体" w:cs="宋体"/>
          <w:color w:val="000000" w:themeColor="text1"/>
          <w:sz w:val="24"/>
          <w:highlight w:val="none"/>
          <w:lang w:eastAsia="zh-CN"/>
          <w14:textFill>
            <w14:solidFill>
              <w14:schemeClr w14:val="tx1"/>
            </w14:solidFill>
          </w14:textFill>
        </w:rPr>
        <w:t>采购文件</w:t>
      </w:r>
      <w:r>
        <w:rPr>
          <w:rFonts w:hint="eastAsia" w:ascii="宋体" w:hAnsi="宋体" w:cs="宋体"/>
          <w:color w:val="000000" w:themeColor="text1"/>
          <w:sz w:val="24"/>
          <w:highlight w:val="none"/>
          <w14:textFill>
            <w14:solidFill>
              <w14:schemeClr w14:val="tx1"/>
            </w14:solidFill>
          </w14:textFill>
        </w:rPr>
        <w:t>规定或者</w:t>
      </w:r>
      <w:r>
        <w:rPr>
          <w:rFonts w:hint="eastAsia" w:ascii="宋体" w:hAnsi="宋体" w:cs="宋体"/>
          <w:color w:val="000000" w:themeColor="text1"/>
          <w:sz w:val="24"/>
          <w:highlight w:val="none"/>
          <w:lang w:eastAsia="zh-CN"/>
          <w14:textFill>
            <w14:solidFill>
              <w14:schemeClr w14:val="tx1"/>
            </w14:solidFill>
          </w14:textFill>
        </w:rPr>
        <w:t>竞标</w:t>
      </w:r>
      <w:r>
        <w:rPr>
          <w:rFonts w:hint="eastAsia" w:ascii="宋体" w:hAnsi="宋体" w:cs="宋体"/>
          <w:color w:val="000000" w:themeColor="text1"/>
          <w:sz w:val="24"/>
          <w:highlight w:val="none"/>
          <w14:textFill>
            <w14:solidFill>
              <w14:schemeClr w14:val="tx1"/>
            </w14:solidFill>
          </w14:textFill>
        </w:rPr>
        <w:t>文件承诺的要求的包装材料、包装标准、包装方式进行包装，每一包装单元内应附详细的装箱单和质量合格证。</w:t>
      </w:r>
    </w:p>
    <w:p w14:paraId="249A7B0E">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2.货物的运输方式：</w:t>
      </w:r>
      <w:r>
        <w:rPr>
          <w:rFonts w:hint="eastAsia" w:ascii="宋体" w:hAnsi="宋体" w:cs="宋体"/>
          <w:color w:val="000000" w:themeColor="text1"/>
          <w:sz w:val="24"/>
          <w:highlight w:val="none"/>
          <w:u w:val="single"/>
          <w14:textFill>
            <w14:solidFill>
              <w14:schemeClr w14:val="tx1"/>
            </w14:solidFill>
          </w14:textFill>
        </w:rPr>
        <w:t xml:space="preserve">             。</w:t>
      </w:r>
    </w:p>
    <w:p w14:paraId="6FD16F86">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3.乙方负责货物运输，货物运输合理损耗及计算方法：</w:t>
      </w:r>
      <w:r>
        <w:rPr>
          <w:rFonts w:hint="eastAsia" w:ascii="宋体" w:hAnsi="宋体" w:cs="宋体"/>
          <w:color w:val="000000" w:themeColor="text1"/>
          <w:sz w:val="24"/>
          <w:highlight w:val="none"/>
          <w:u w:val="single"/>
          <w14:textFill>
            <w14:solidFill>
              <w14:schemeClr w14:val="tx1"/>
            </w14:solidFill>
          </w14:textFill>
        </w:rPr>
        <w:t xml:space="preserve">                 。</w:t>
      </w:r>
    </w:p>
    <w:p w14:paraId="748B9744">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第五条　交付和验收</w:t>
      </w:r>
    </w:p>
    <w:p w14:paraId="6F498301">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1.交付时间：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；交付地点：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C212C0F">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2.乙方提供不符合</w:t>
      </w:r>
      <w:r>
        <w:rPr>
          <w:rFonts w:hint="eastAsia" w:ascii="宋体" w:hAnsi="宋体" w:cs="宋体"/>
          <w:color w:val="000000" w:themeColor="text1"/>
          <w:sz w:val="24"/>
          <w:highlight w:val="none"/>
          <w:lang w:eastAsia="zh-CN"/>
          <w14:textFill>
            <w14:solidFill>
              <w14:schemeClr w14:val="tx1"/>
            </w14:solidFill>
          </w14:textFill>
        </w:rPr>
        <w:t>采购文件</w:t>
      </w:r>
      <w:r>
        <w:rPr>
          <w:rFonts w:hint="eastAsia" w:ascii="宋体" w:hAnsi="宋体" w:cs="宋体"/>
          <w:color w:val="000000" w:themeColor="text1"/>
          <w:sz w:val="24"/>
          <w:highlight w:val="none"/>
          <w14:textFill>
            <w14:solidFill>
              <w14:schemeClr w14:val="tx1"/>
            </w14:solidFill>
          </w14:textFill>
        </w:rPr>
        <w:t>规定或者</w:t>
      </w:r>
      <w:r>
        <w:rPr>
          <w:rFonts w:hint="eastAsia" w:ascii="宋体" w:hAnsi="宋体" w:cs="宋体"/>
          <w:color w:val="000000" w:themeColor="text1"/>
          <w:sz w:val="24"/>
          <w:highlight w:val="none"/>
          <w:lang w:eastAsia="zh-CN"/>
          <w14:textFill>
            <w14:solidFill>
              <w14:schemeClr w14:val="tx1"/>
            </w14:solidFill>
          </w14:textFill>
        </w:rPr>
        <w:t>竞标</w:t>
      </w:r>
      <w:r>
        <w:rPr>
          <w:rFonts w:hint="eastAsia" w:ascii="宋体" w:hAnsi="宋体" w:cs="宋体"/>
          <w:color w:val="000000" w:themeColor="text1"/>
          <w:sz w:val="24"/>
          <w:highlight w:val="none"/>
          <w14:textFill>
            <w14:solidFill>
              <w14:schemeClr w14:val="tx1"/>
            </w14:solidFill>
          </w14:textFill>
        </w:rPr>
        <w:t>文件承诺的和本合同规定的货物，甲方有权拒绝接受。</w:t>
      </w:r>
    </w:p>
    <w:p w14:paraId="7811AD6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5D19DA69">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4.甲方应当在到货（安装、调试完）后七个工作日内进行验收，逾期不验收的，乙方可视同验收合格。验收合格后由甲乙双方签署货物验收单并加盖采购人公章，甲乙双方各执一份。</w:t>
      </w:r>
    </w:p>
    <w:p w14:paraId="5BA65923">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E9D825A">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6.甲方对验收有异议的，在验收后五个工作日内以书面形式向乙方提出，乙方应自收到甲方书面异议后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日内及时予以解决。</w:t>
      </w:r>
    </w:p>
    <w:p w14:paraId="3093C32F">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第六条　安装和培训</w:t>
      </w:r>
    </w:p>
    <w:p w14:paraId="05524D25">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1.甲方应提供必要安装条件（如场地、电源、水源等）。</w:t>
      </w:r>
    </w:p>
    <w:p w14:paraId="61FCAAC5">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w:t>
      </w:r>
      <w:r>
        <w:rPr>
          <w:rFonts w:hint="eastAsia" w:ascii="宋体" w:hAnsi="宋体" w:cs="宋体"/>
          <w:color w:val="000000" w:themeColor="text1"/>
          <w:sz w:val="24"/>
          <w:highlight w:val="none"/>
          <w:lang w:eastAsia="zh-CN"/>
          <w14:textFill>
            <w14:solidFill>
              <w14:schemeClr w14:val="tx1"/>
            </w14:solidFill>
          </w14:textFill>
        </w:rPr>
        <w:t>竞标</w:t>
      </w:r>
      <w:r>
        <w:rPr>
          <w:rFonts w:hint="eastAsia" w:ascii="宋体" w:hAnsi="宋体" w:cs="宋体"/>
          <w:color w:val="000000" w:themeColor="text1"/>
          <w:sz w:val="24"/>
          <w:highlight w:val="none"/>
          <w14:textFill>
            <w14:solidFill>
              <w14:schemeClr w14:val="tx1"/>
            </w14:solidFill>
          </w14:textFill>
        </w:rPr>
        <w:t>文件承诺负责甲方有关人员的培训。培训时间、地点：</w:t>
      </w:r>
      <w:r>
        <w:rPr>
          <w:rFonts w:hint="eastAsia" w:ascii="宋体" w:hAnsi="宋体" w:cs="宋体"/>
          <w:color w:val="000000" w:themeColor="text1"/>
          <w:sz w:val="24"/>
          <w:highlight w:val="none"/>
          <w:u w:val="single"/>
          <w14:textFill>
            <w14:solidFill>
              <w14:schemeClr w14:val="tx1"/>
            </w14:solidFill>
          </w14:textFill>
        </w:rPr>
        <w:t xml:space="preserve">                   。</w:t>
      </w:r>
    </w:p>
    <w:p w14:paraId="1BE57883">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第七条  售后服务、保修期</w:t>
      </w:r>
    </w:p>
    <w:p w14:paraId="396CB56C">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1.乙方应按照国家有关法律法规和“三包”规定以及本合同所附的《服务承诺》，为甲方提供售后服务。</w:t>
      </w:r>
    </w:p>
    <w:p w14:paraId="37E2E187">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2.货物保修期：</w:t>
      </w:r>
      <w:r>
        <w:rPr>
          <w:rFonts w:hint="eastAsia" w:ascii="宋体" w:hAnsi="宋体" w:cs="宋体"/>
          <w:color w:val="000000" w:themeColor="text1"/>
          <w:sz w:val="24"/>
          <w:highlight w:val="none"/>
          <w:u w:val="single"/>
          <w14:textFill>
            <w14:solidFill>
              <w14:schemeClr w14:val="tx1"/>
            </w14:solidFill>
          </w14:textFill>
        </w:rPr>
        <w:t xml:space="preserve">                                          。</w:t>
      </w:r>
    </w:p>
    <w:p w14:paraId="32B249CB">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3.乙方提供的服务承诺和售后服务及保修期责任等其它具体约定事项。（见合同附件）</w:t>
      </w:r>
    </w:p>
    <w:p w14:paraId="2CB0586E">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第八条　付款方式</w:t>
      </w:r>
    </w:p>
    <w:p w14:paraId="2769A223">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w:t>
      </w:r>
      <w:r>
        <w:rPr>
          <w:rFonts w:hint="eastAsia" w:hAnsi="宋体" w:cs="宋体"/>
          <w:color w:val="000000" w:themeColor="text1"/>
          <w:sz w:val="24"/>
          <w:szCs w:val="24"/>
          <w:highlight w:val="none"/>
          <w14:textFill>
            <w14:solidFill>
              <w14:schemeClr w14:val="tx1"/>
            </w14:solidFill>
          </w14:textFill>
        </w:rPr>
        <w:t>.当采购数量与实际使用数量不一致时，乙方应根据实际使用量供货，合同的最终结算金额按实际使用量乘以成交单价进行计算，但不得超出合同价的10%。</w:t>
      </w:r>
    </w:p>
    <w:p w14:paraId="60B8B1FA">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付款方式：中标供应商按合同约定交货验收合格后采购人支付合同总金额的100%（无息）。</w:t>
      </w:r>
    </w:p>
    <w:p w14:paraId="6C980172">
      <w:pPr>
        <w:snapToGrid w:val="0"/>
        <w:spacing w:line="360" w:lineRule="auto"/>
        <w:ind w:left="-61" w:leftChars="-29" w:firstLine="590" w:firstLineChars="245"/>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第九条　履约保证金</w:t>
      </w:r>
    </w:p>
    <w:p w14:paraId="189438B8">
      <w:pPr>
        <w:snapToGrid w:val="0"/>
        <w:spacing w:line="460" w:lineRule="exact"/>
        <w:ind w:firstLine="588" w:firstLineChars="24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履约保证金金额：合同金额的</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w:t>
      </w:r>
    </w:p>
    <w:p w14:paraId="4FE12563">
      <w:pPr>
        <w:snapToGrid w:val="0"/>
        <w:spacing w:line="460" w:lineRule="exact"/>
        <w:ind w:firstLine="588" w:firstLineChars="24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开户名称：桂林航天工业学院</w:t>
      </w:r>
    </w:p>
    <w:p w14:paraId="66D7C5C0">
      <w:pPr>
        <w:snapToGrid w:val="0"/>
        <w:spacing w:line="460" w:lineRule="exact"/>
        <w:ind w:firstLine="588" w:firstLineChars="24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中国建设银行股份有限公司桂林高新技术开发区支行</w:t>
      </w:r>
    </w:p>
    <w:p w14:paraId="04A0FFEF">
      <w:pPr>
        <w:snapToGrid w:val="0"/>
        <w:spacing w:line="460" w:lineRule="exact"/>
        <w:ind w:firstLine="588" w:firstLineChars="24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4500 1635 4130 5050 0589</w:t>
      </w:r>
    </w:p>
    <w:p w14:paraId="5DC67EF9">
      <w:pPr>
        <w:snapToGrid w:val="0"/>
        <w:spacing w:line="460" w:lineRule="exact"/>
        <w:ind w:firstLine="588" w:firstLineChars="24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履约保证金递交方式：支票、汇票、本票等非现金方式。</w:t>
      </w:r>
    </w:p>
    <w:p w14:paraId="276DFD75">
      <w:pPr>
        <w:snapToGrid w:val="0"/>
        <w:spacing w:line="460" w:lineRule="exact"/>
        <w:ind w:firstLine="588" w:firstLineChars="24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履约保证金退付方式、时间及条件：履行完合同约定的权利义务事项，乙方承诺质保期（免费保修、维护、升级期）满3年后，且不存在争议的，甲方收到乙方提交退还履约保证金申请书30个工作日内无息返还履约保证金。</w:t>
      </w:r>
    </w:p>
    <w:p w14:paraId="1849A2E2">
      <w:pPr>
        <w:snapToGrid w:val="0"/>
        <w:spacing w:line="460" w:lineRule="exact"/>
        <w:ind w:firstLine="588" w:firstLineChars="24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签订合同后，如乙方不按双方签订的合同规定履约，则没收其全部履约保证金，履约保证金不足以赔偿损失的，按实际损失赔偿。</w:t>
      </w:r>
    </w:p>
    <w:p w14:paraId="1EDF51CC">
      <w:pPr>
        <w:snapToGrid w:val="0"/>
        <w:spacing w:line="360" w:lineRule="auto"/>
        <w:ind w:left="-61" w:firstLine="51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第十条  税费</w:t>
      </w:r>
    </w:p>
    <w:p w14:paraId="399810D3">
      <w:pPr>
        <w:snapToGrid w:val="0"/>
        <w:spacing w:line="360" w:lineRule="auto"/>
        <w:ind w:left="-61" w:firstLine="51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本合同执行中相关的一切税费均由乙方负担，合同另有约定的除外。</w:t>
      </w:r>
    </w:p>
    <w:p w14:paraId="01EB2C42">
      <w:pPr>
        <w:snapToGrid w:val="0"/>
        <w:spacing w:line="360" w:lineRule="auto"/>
        <w:ind w:left="-61" w:firstLine="514"/>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第十一条  质量保证及售后服务</w:t>
      </w:r>
    </w:p>
    <w:p w14:paraId="709895A5">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1.</w:t>
      </w:r>
      <w:r>
        <w:rPr>
          <w:rFonts w:hint="eastAsia" w:hAnsi="宋体" w:cs="宋体"/>
          <w:color w:val="000000" w:themeColor="text1"/>
          <w:sz w:val="24"/>
          <w:szCs w:val="24"/>
          <w:highlight w:val="none"/>
          <w14:textFill>
            <w14:solidFill>
              <w14:schemeClr w14:val="tx1"/>
            </w14:solidFill>
          </w14:textFill>
        </w:rPr>
        <w:t>乙方应按</w:t>
      </w:r>
      <w:r>
        <w:rPr>
          <w:rFonts w:hint="eastAsia" w:hAnsi="宋体" w:cs="宋体"/>
          <w:color w:val="000000" w:themeColor="text1"/>
          <w:sz w:val="24"/>
          <w:szCs w:val="24"/>
          <w:highlight w:val="none"/>
          <w:lang w:eastAsia="zh-CN"/>
          <w14:textFill>
            <w14:solidFill>
              <w14:schemeClr w14:val="tx1"/>
            </w14:solidFill>
          </w14:textFill>
        </w:rPr>
        <w:t>采购文件</w:t>
      </w:r>
      <w:r>
        <w:rPr>
          <w:rFonts w:hint="eastAsia" w:hAnsi="宋体" w:cs="宋体"/>
          <w:color w:val="000000" w:themeColor="text1"/>
          <w:sz w:val="24"/>
          <w:szCs w:val="24"/>
          <w:highlight w:val="none"/>
          <w14:textFill>
            <w14:solidFill>
              <w14:schemeClr w14:val="tx1"/>
            </w14:solidFill>
          </w14:textFill>
        </w:rPr>
        <w:t>规定的产品名称、商标品牌、生产厂家、规格型号、技术参数、质量标准向甲方提供未经使用的全新产品。不符合要求的，根据实际情况，经双方协商，可按以下办法处理：</w:t>
      </w:r>
    </w:p>
    <w:p w14:paraId="1F032B5B">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⑴更换：由乙方承担所发生的全部费用。</w:t>
      </w:r>
    </w:p>
    <w:p w14:paraId="353D831F">
      <w:pPr>
        <w:pStyle w:val="29"/>
        <w:snapToGrid w:val="0"/>
        <w:spacing w:line="360" w:lineRule="auto"/>
        <w:ind w:firstLine="42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⑵贬值处理：由甲乙双方合议定价。</w:t>
      </w:r>
    </w:p>
    <w:p w14:paraId="703336D5">
      <w:pPr>
        <w:pStyle w:val="29"/>
        <w:snapToGrid w:val="0"/>
        <w:spacing w:line="360" w:lineRule="auto"/>
        <w:ind w:firstLine="42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⑶退货处理：乙方应退还甲方支付的合同款，同时应承担该货物的直接费用（运输、保险、检验、货款利息及银行手续费等）。</w:t>
      </w:r>
    </w:p>
    <w:p w14:paraId="539FCDA2">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2.如在使用过程中发生质量问题，乙方在接到甲方通知后到达甲方现场处理的时间（</w:t>
      </w:r>
      <w:r>
        <w:rPr>
          <w:rFonts w:hint="eastAsia" w:hAnsi="宋体" w:cs="宋体"/>
          <w:color w:val="000000" w:themeColor="text1"/>
          <w:sz w:val="24"/>
          <w:szCs w:val="24"/>
          <w:highlight w:val="none"/>
          <w:u w:val="single"/>
          <w14:textFill>
            <w14:solidFill>
              <w14:schemeClr w14:val="tx1"/>
            </w14:solidFill>
          </w14:textFill>
        </w:rPr>
        <w:t>按</w:t>
      </w:r>
      <w:r>
        <w:rPr>
          <w:rFonts w:hint="eastAsia" w:hAnsi="宋体" w:cs="宋体"/>
          <w:color w:val="000000" w:themeColor="text1"/>
          <w:sz w:val="24"/>
          <w:szCs w:val="24"/>
          <w:highlight w:val="none"/>
          <w:u w:val="single"/>
          <w:lang w:eastAsia="zh-CN"/>
          <w14:textFill>
            <w14:solidFill>
              <w14:schemeClr w14:val="tx1"/>
            </w14:solidFill>
          </w14:textFill>
        </w:rPr>
        <w:t>竞标</w:t>
      </w:r>
      <w:r>
        <w:rPr>
          <w:rFonts w:hint="eastAsia" w:hAnsi="宋体" w:cs="宋体"/>
          <w:color w:val="000000" w:themeColor="text1"/>
          <w:sz w:val="24"/>
          <w:szCs w:val="24"/>
          <w:highlight w:val="none"/>
          <w:u w:val="single"/>
          <w14:textFill>
            <w14:solidFill>
              <w14:schemeClr w14:val="tx1"/>
            </w14:solidFill>
          </w14:textFill>
        </w:rPr>
        <w:t>文件承诺的数据填写</w:t>
      </w:r>
      <w:r>
        <w:rPr>
          <w:rFonts w:hint="eastAsia" w:hAnsi="宋体" w:cs="宋体"/>
          <w:color w:val="000000" w:themeColor="text1"/>
          <w:sz w:val="24"/>
          <w:szCs w:val="24"/>
          <w:highlight w:val="none"/>
          <w14:textFill>
            <w14:solidFill>
              <w14:schemeClr w14:val="tx1"/>
            </w14:solidFill>
          </w14:textFill>
        </w:rPr>
        <w:t>）小时内。</w:t>
      </w:r>
    </w:p>
    <w:p w14:paraId="43493C59">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3.在保修期内，乙方应对货物出现的质量及安全问题负责处理解决并承担一切费用。</w:t>
      </w:r>
    </w:p>
    <w:p w14:paraId="04C85D1D">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4.上述的货物保修期为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年，因人为因素出现的故障不在免费保修范围内。超过保修期的机器设备，终生维修，维修时只收部件成本费。</w:t>
      </w:r>
    </w:p>
    <w:p w14:paraId="2F484D94">
      <w:pPr>
        <w:snapToGrid w:val="0"/>
        <w:spacing w:line="360" w:lineRule="auto"/>
        <w:ind w:left="-61" w:firstLine="514"/>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第十二条  调试和验收（本条款适用于甲方自行验收，委托第三方验收的另行规定）</w:t>
      </w:r>
    </w:p>
    <w:p w14:paraId="1CD60D22">
      <w:pPr>
        <w:pStyle w:val="29"/>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1.甲方对乙方提交的货物依据</w:t>
      </w:r>
      <w:r>
        <w:rPr>
          <w:rFonts w:hint="eastAsia" w:hAnsi="宋体" w:cs="宋体"/>
          <w:color w:val="000000" w:themeColor="text1"/>
          <w:sz w:val="24"/>
          <w:szCs w:val="24"/>
          <w:highlight w:val="none"/>
          <w:lang w:eastAsia="zh-CN"/>
          <w14:textFill>
            <w14:solidFill>
              <w14:schemeClr w14:val="tx1"/>
            </w14:solidFill>
          </w14:textFill>
        </w:rPr>
        <w:t>采购文件</w:t>
      </w:r>
      <w:r>
        <w:rPr>
          <w:rFonts w:hint="eastAsia" w:hAnsi="宋体" w:cs="宋体"/>
          <w:color w:val="000000" w:themeColor="text1"/>
          <w:sz w:val="24"/>
          <w:szCs w:val="24"/>
          <w:highlight w:val="none"/>
          <w14:textFill>
            <w14:solidFill>
              <w14:schemeClr w14:val="tx1"/>
            </w14:solidFill>
          </w14:textFill>
        </w:rPr>
        <w:t>上的技术规格要求和国家有关质量标准进行现场初步验收，外观、说明书符合</w:t>
      </w:r>
      <w:r>
        <w:rPr>
          <w:rFonts w:hint="eastAsia" w:hAnsi="宋体" w:cs="宋体"/>
          <w:color w:val="000000" w:themeColor="text1"/>
          <w:sz w:val="24"/>
          <w:szCs w:val="24"/>
          <w:highlight w:val="none"/>
          <w:lang w:eastAsia="zh-CN"/>
          <w14:textFill>
            <w14:solidFill>
              <w14:schemeClr w14:val="tx1"/>
            </w14:solidFill>
          </w14:textFill>
        </w:rPr>
        <w:t>采购文件</w:t>
      </w:r>
      <w:r>
        <w:rPr>
          <w:rFonts w:hint="eastAsia" w:hAnsi="宋体" w:cs="宋体"/>
          <w:color w:val="000000" w:themeColor="text1"/>
          <w:sz w:val="24"/>
          <w:szCs w:val="24"/>
          <w:highlight w:val="none"/>
          <w14:textFill>
            <w14:solidFill>
              <w14:schemeClr w14:val="tx1"/>
            </w14:solidFill>
          </w14:textFill>
        </w:rPr>
        <w:t>技术要求的，给予签收，初步验收不合格的不予签收。货到后，甲方应当在到货（安装、调试完）后七个工作日内进行验收。</w:t>
      </w:r>
    </w:p>
    <w:p w14:paraId="12C8F938">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2.乙方交货前应对产品作出全面检查和对验收文件进行整理，并列出清单，作为甲方收货验收和使用的技术条件依据，检验的结果应随货物交甲方。</w:t>
      </w:r>
    </w:p>
    <w:p w14:paraId="6689FBF1">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14:paraId="3A0E34D3">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4.对技术复杂的货物，甲方应请国家认可的专业检测机构参与初步验收及最终验收，并由其出具质量检测报告。</w:t>
      </w:r>
    </w:p>
    <w:p w14:paraId="19D34355">
      <w:pPr>
        <w:snapToGrid w:val="0"/>
        <w:spacing w:line="360" w:lineRule="auto"/>
        <w:ind w:left="-61" w:firstLine="51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 验收时乙方必须在现场，验收完毕后作出验收结果报告；验收费用按</w:t>
      </w:r>
      <w:r>
        <w:rPr>
          <w:rFonts w:hint="eastAsia" w:ascii="宋体" w:hAnsi="宋体" w:cs="宋体"/>
          <w:color w:val="000000" w:themeColor="text1"/>
          <w:sz w:val="24"/>
          <w:highlight w:val="none"/>
          <w:lang w:eastAsia="zh-CN"/>
          <w14:textFill>
            <w14:solidFill>
              <w14:schemeClr w14:val="tx1"/>
            </w14:solidFill>
          </w14:textFill>
        </w:rPr>
        <w:t>采购文件</w:t>
      </w:r>
      <w:r>
        <w:rPr>
          <w:rFonts w:hint="eastAsia" w:ascii="宋体" w:hAnsi="宋体" w:cs="宋体"/>
          <w:color w:val="000000" w:themeColor="text1"/>
          <w:sz w:val="24"/>
          <w:highlight w:val="none"/>
          <w14:textFill>
            <w14:solidFill>
              <w14:schemeClr w14:val="tx1"/>
            </w14:solidFill>
          </w14:textFill>
        </w:rPr>
        <w:t>约定承担方负责。</w:t>
      </w:r>
    </w:p>
    <w:p w14:paraId="372A2799">
      <w:pPr>
        <w:pStyle w:val="29"/>
        <w:snapToGrid w:val="0"/>
        <w:spacing w:line="360" w:lineRule="auto"/>
        <w:ind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第十三条  货物包装、发运及运输</w:t>
      </w:r>
    </w:p>
    <w:p w14:paraId="2DB59EBC">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1.乙方应在货物发运前对其进行满足运输距离、防潮、防震、防锈和防破损装卸等要求包装，以保证货物安全运达甲方指定地点。</w:t>
      </w:r>
    </w:p>
    <w:p w14:paraId="23531A52">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 使用说明书（货物属于进口产品的，供货时应同时附上中文使用说明书）、质量检验证明书、随配附件和工具以及清单一并附于货物内。</w:t>
      </w:r>
    </w:p>
    <w:p w14:paraId="7528BE7F">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3.乙方在货物发运手续办理完毕后二十四小时内或者货到甲方四十八小时前通知甲方，以准备接货。</w:t>
      </w:r>
    </w:p>
    <w:p w14:paraId="05F25C4E">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4.货物在交付甲方前发生的风险均由乙方负责。</w:t>
      </w:r>
    </w:p>
    <w:p w14:paraId="5C62679B">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5.货物在规</w:t>
      </w:r>
      <w:r>
        <w:rPr>
          <w:rFonts w:hint="eastAsia" w:hAnsi="宋体" w:cs="宋体"/>
          <w:color w:val="000000" w:themeColor="text1"/>
          <w:spacing w:val="-8"/>
          <w:sz w:val="24"/>
          <w:szCs w:val="24"/>
          <w:highlight w:val="none"/>
          <w14:textFill>
            <w14:solidFill>
              <w14:schemeClr w14:val="tx1"/>
            </w14:solidFill>
          </w14:textFill>
        </w:rPr>
        <w:t>定的交付期限内由乙方送达甲方指定的地点视为交付，乙方同时需通知甲方货物已送达。</w:t>
      </w:r>
    </w:p>
    <w:p w14:paraId="118370A2">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第十四条　违约责任</w:t>
      </w:r>
    </w:p>
    <w:p w14:paraId="7C1FD969">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40114F80">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2.乙方提供的货物如侵犯了第三方合法权益而引发的任何纠纷或者诉讼，均由乙方负责交涉并承担全部责任。</w:t>
      </w:r>
    </w:p>
    <w:p w14:paraId="0388E5FA">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3.因包装、运输引起的货物损坏，按质量不合格处罚。</w:t>
      </w:r>
    </w:p>
    <w:p w14:paraId="45D3ADFC">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4.甲方无故延期接收货物、乙方逾期交货的，每天向对方偿付违约货款额3‰违约金，但违约金累计不得超过违约货款额5%，超过</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76CA4B21">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 乙方未按本合同和</w:t>
      </w:r>
      <w:r>
        <w:rPr>
          <w:rFonts w:hint="eastAsia" w:hAnsi="宋体" w:cs="宋体"/>
          <w:color w:val="000000" w:themeColor="text1"/>
          <w:sz w:val="24"/>
          <w:szCs w:val="24"/>
          <w:highlight w:val="none"/>
          <w:lang w:eastAsia="zh-CN"/>
          <w14:textFill>
            <w14:solidFill>
              <w14:schemeClr w14:val="tx1"/>
            </w14:solidFill>
          </w14:textFill>
        </w:rPr>
        <w:t>竞标</w:t>
      </w:r>
      <w:r>
        <w:rPr>
          <w:rFonts w:hint="eastAsia" w:hAnsi="宋体" w:cs="宋体"/>
          <w:color w:val="000000" w:themeColor="text1"/>
          <w:sz w:val="24"/>
          <w:szCs w:val="24"/>
          <w:highlight w:val="none"/>
          <w14:textFill>
            <w14:solidFill>
              <w14:schemeClr w14:val="tx1"/>
            </w14:solidFill>
          </w14:textFill>
        </w:rPr>
        <w:t>文件中规定的服务承诺提供售后服务的，乙方应按本合同合计金额 5%向甲方支付违约金。</w:t>
      </w:r>
    </w:p>
    <w:p w14:paraId="5765CEFE">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 乙方提供的货物在质量保证期内，因设计、工艺或者材料的缺陷和其它质量原因造成的问题，由乙方负责，费用从余款或者履约保证金中扣除，不足另补。</w:t>
      </w:r>
    </w:p>
    <w:p w14:paraId="108D34C3">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 甲乙双方有其它违约行为的，由违约方向对方支付违约内容涉及货款额的5%，违约内容涉及货款额的5%不足以赔偿经济损失的按实际赔偿。</w:t>
      </w:r>
    </w:p>
    <w:p w14:paraId="6E68C538">
      <w:pPr>
        <w:pStyle w:val="29"/>
        <w:snapToGrid w:val="0"/>
        <w:spacing w:line="360" w:lineRule="auto"/>
        <w:ind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第十五条  不可抗力事件处理</w:t>
      </w:r>
    </w:p>
    <w:p w14:paraId="6F9CB428">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1.在合同有效期内，任何一方因不可抗力事件导致不能履行合同，则合同履行期可延长，其延长期与不可抗力影响期相同。</w:t>
      </w:r>
    </w:p>
    <w:p w14:paraId="7F7463CF">
      <w:pPr>
        <w:pStyle w:val="29"/>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2.不可抗力事件发生后，应立即通知对方，并寄送有关权威机构出具的证明。</w:t>
      </w:r>
    </w:p>
    <w:p w14:paraId="4F3B7252">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3.不可抗力事件延续一百二十天以上，双方应通过友好协商，确定是否继续履行合同。</w:t>
      </w:r>
    </w:p>
    <w:p w14:paraId="3019A1B2">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第十六条  合同争议解决</w:t>
      </w:r>
    </w:p>
    <w:p w14:paraId="5D451447">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572F3D5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因履行本合同引起的或者与本</w:t>
      </w:r>
      <w:bookmarkStart w:id="44" w:name="OLE_LINK1"/>
      <w:r>
        <w:rPr>
          <w:rFonts w:hint="eastAsia" w:ascii="宋体" w:hAnsi="宋体" w:cs="宋体"/>
          <w:color w:val="000000" w:themeColor="text1"/>
          <w:sz w:val="24"/>
          <w:highlight w:val="none"/>
          <w14:textFill>
            <w14:solidFill>
              <w14:schemeClr w14:val="tx1"/>
            </w14:solidFill>
          </w14:textFill>
        </w:rPr>
        <w:t>合同有关的争议，甲乙双方应首先通过友好协商解决，如果协商不能解决，可向甲方所在地有管辖权的人民法</w:t>
      </w:r>
      <w:bookmarkEnd w:id="44"/>
      <w:r>
        <w:rPr>
          <w:rFonts w:hint="eastAsia" w:ascii="宋体" w:hAnsi="宋体" w:cs="宋体"/>
          <w:color w:val="000000" w:themeColor="text1"/>
          <w:sz w:val="24"/>
          <w:highlight w:val="none"/>
          <w14:textFill>
            <w14:solidFill>
              <w14:schemeClr w14:val="tx1"/>
            </w14:solidFill>
          </w14:textFill>
        </w:rPr>
        <w:t>院提起诉讼。</w:t>
      </w:r>
      <w:r>
        <w:rPr>
          <w:rFonts w:ascii="宋体" w:hAnsi="宋体" w:cs="宋体"/>
          <w:color w:val="000000" w:themeColor="text1"/>
          <w:sz w:val="24"/>
          <w:highlight w:val="none"/>
          <w14:textFill>
            <w14:solidFill>
              <w14:schemeClr w14:val="tx1"/>
            </w14:solidFill>
          </w14:textFill>
        </w:rPr>
        <w:t>违约方承担包括但是不限于诉讼费、鉴定费、保全费、律师费等实现债权的费用。</w:t>
      </w:r>
    </w:p>
    <w:p w14:paraId="78C728FC">
      <w:pPr>
        <w:snapToGrid w:val="0"/>
        <w:spacing w:line="360" w:lineRule="auto"/>
        <w:ind w:left="-61" w:firstLine="51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3.诉讼期间，本合同继续履行。</w:t>
      </w:r>
    </w:p>
    <w:p w14:paraId="4198D94E">
      <w:pPr>
        <w:pStyle w:val="29"/>
        <w:snapToGrid w:val="0"/>
        <w:spacing w:line="360" w:lineRule="auto"/>
        <w:ind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第十七条  合同生效及其它</w:t>
      </w:r>
    </w:p>
    <w:p w14:paraId="48A9119A">
      <w:pPr>
        <w:pStyle w:val="29"/>
        <w:snapToGrid w:val="0"/>
        <w:spacing w:line="360" w:lineRule="auto"/>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 合同经双方法定代表人或者委托代理人签字并加盖单位公章后生效（委托代理人签字的需后附授权委托书，格式自拟）。</w:t>
      </w:r>
    </w:p>
    <w:p w14:paraId="355AC836">
      <w:pPr>
        <w:pStyle w:val="29"/>
        <w:snapToGrid w:val="0"/>
        <w:spacing w:line="360" w:lineRule="auto"/>
        <w:ind w:firstLine="482" w:firstLine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5EFB82BE">
      <w:pPr>
        <w:pStyle w:val="14"/>
        <w:ind w:left="0" w:leftChars="0" w:firstLine="400" w:firstLineChars="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w:t>
      </w:r>
      <w:r>
        <w:rPr>
          <w:rFonts w:ascii="宋体" w:hAnsi="宋体" w:cs="宋体"/>
          <w:b/>
          <w:color w:val="000000" w:themeColor="text1"/>
          <w:kern w:val="0"/>
          <w:sz w:val="24"/>
          <w:highlight w:val="none"/>
          <w14:textFill>
            <w14:solidFill>
              <w14:schemeClr w14:val="tx1"/>
            </w14:solidFill>
          </w14:textFill>
        </w:rPr>
        <w:t xml:space="preserve"> 双方确认本合同所载联系方式真实有效。一方向对方发出的有关本合同的书面通知，以合同所载联系方式为准。收到通知一方对通知内容有异议的，应在收到通知后7个工作日内回复对方，逾期回复的，视为无异议。一方变更前述联系方式的，应在变更发生后的7个工作日内通知对方。双方一致确认前述联系方式亦为双方解决合同争议时接收法院、仲裁机构的诉讼、仲裁文书之送达地址，适用至争议进入民事诉讼程序的一审、二审、再审和执行程序，以及仲裁程序。</w:t>
      </w:r>
    </w:p>
    <w:p w14:paraId="2D617EBB">
      <w:pPr>
        <w:pStyle w:val="29"/>
        <w:snapToGrid w:val="0"/>
        <w:spacing w:line="360" w:lineRule="auto"/>
        <w:ind w:left="420" w:leftChars="200"/>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4.本合同未尽事宜，遵照《中华人民共和国民法典》有关条文执行。</w:t>
      </w:r>
    </w:p>
    <w:p w14:paraId="5737DA08">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第十八条　合同的变更、终止与转让</w:t>
      </w:r>
    </w:p>
    <w:p w14:paraId="1AC61833">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除《中华人民共和国政府采购法》第五十条规定的情形外，本合同一经签订，甲乙双方不得擅自变更、中止或者终止。</w:t>
      </w:r>
    </w:p>
    <w:p w14:paraId="1447B9EA">
      <w:pPr>
        <w:snapToGrid w:val="0"/>
        <w:spacing w:line="360" w:lineRule="auto"/>
        <w:ind w:left="-61" w:firstLine="51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乙方不得擅自转让（无进口资格的供应商委托进口货物除外）其应履行的合同义务。</w:t>
      </w:r>
    </w:p>
    <w:p w14:paraId="1C2DD1AF">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第十九条　</w:t>
      </w:r>
      <w:r>
        <w:rPr>
          <w:rFonts w:hint="eastAsia" w:ascii="宋体" w:hAnsi="宋体" w:cs="宋体"/>
          <w:color w:val="000000" w:themeColor="text1"/>
          <w:spacing w:val="-2"/>
          <w:kern w:val="0"/>
          <w:sz w:val="24"/>
          <w:highlight w:val="none"/>
          <w14:textFill>
            <w14:solidFill>
              <w14:schemeClr w14:val="tx1"/>
            </w14:solidFill>
          </w14:textFill>
        </w:rPr>
        <w:t>本</w:t>
      </w:r>
      <w:r>
        <w:rPr>
          <w:rFonts w:hint="eastAsia" w:ascii="宋体" w:hAnsi="宋体" w:cs="宋体"/>
          <w:color w:val="000000" w:themeColor="text1"/>
          <w:kern w:val="0"/>
          <w:sz w:val="24"/>
          <w:highlight w:val="none"/>
          <w14:textFill>
            <w14:solidFill>
              <w14:schemeClr w14:val="tx1"/>
            </w14:solidFill>
          </w14:textFill>
        </w:rPr>
        <w:t>合同书</w:t>
      </w:r>
      <w:r>
        <w:rPr>
          <w:rFonts w:hint="eastAsia" w:ascii="宋体" w:hAnsi="宋体" w:cs="宋体"/>
          <w:color w:val="000000" w:themeColor="text1"/>
          <w:spacing w:val="-2"/>
          <w:kern w:val="0"/>
          <w:sz w:val="24"/>
          <w:highlight w:val="none"/>
          <w14:textFill>
            <w14:solidFill>
              <w14:schemeClr w14:val="tx1"/>
            </w14:solidFill>
          </w14:textFill>
        </w:rPr>
        <w:t>与</w:t>
      </w:r>
      <w:r>
        <w:rPr>
          <w:rFonts w:hint="eastAsia" w:ascii="宋体" w:hAnsi="宋体" w:cs="宋体"/>
          <w:color w:val="000000" w:themeColor="text1"/>
          <w:kern w:val="0"/>
          <w:sz w:val="24"/>
          <w:highlight w:val="none"/>
          <w14:textFill>
            <w14:solidFill>
              <w14:schemeClr w14:val="tx1"/>
            </w14:solidFill>
          </w14:textFill>
        </w:rPr>
        <w:t>下</w:t>
      </w:r>
      <w:r>
        <w:rPr>
          <w:rFonts w:hint="eastAsia" w:ascii="宋体" w:hAnsi="宋体" w:cs="宋体"/>
          <w:color w:val="000000" w:themeColor="text1"/>
          <w:spacing w:val="-2"/>
          <w:kern w:val="0"/>
          <w:sz w:val="24"/>
          <w:highlight w:val="none"/>
          <w14:textFill>
            <w14:solidFill>
              <w14:schemeClr w14:val="tx1"/>
            </w14:solidFill>
          </w14:textFill>
        </w:rPr>
        <w:t>列</w:t>
      </w:r>
      <w:r>
        <w:rPr>
          <w:rFonts w:hint="eastAsia" w:ascii="宋体" w:hAnsi="宋体" w:cs="宋体"/>
          <w:color w:val="000000" w:themeColor="text1"/>
          <w:kern w:val="0"/>
          <w:sz w:val="24"/>
          <w:highlight w:val="none"/>
          <w14:textFill>
            <w14:solidFill>
              <w14:schemeClr w14:val="tx1"/>
            </w14:solidFill>
          </w14:textFill>
        </w:rPr>
        <w:t>文</w:t>
      </w:r>
      <w:r>
        <w:rPr>
          <w:rFonts w:hint="eastAsia" w:ascii="宋体" w:hAnsi="宋体" w:cs="宋体"/>
          <w:color w:val="000000" w:themeColor="text1"/>
          <w:spacing w:val="-2"/>
          <w:kern w:val="0"/>
          <w:sz w:val="24"/>
          <w:highlight w:val="none"/>
          <w14:textFill>
            <w14:solidFill>
              <w14:schemeClr w14:val="tx1"/>
            </w14:solidFill>
          </w14:textFill>
        </w:rPr>
        <w:t>件一</w:t>
      </w:r>
      <w:r>
        <w:rPr>
          <w:rFonts w:hint="eastAsia" w:ascii="宋体" w:hAnsi="宋体" w:cs="宋体"/>
          <w:color w:val="000000" w:themeColor="text1"/>
          <w:kern w:val="0"/>
          <w:sz w:val="24"/>
          <w:highlight w:val="none"/>
          <w14:textFill>
            <w14:solidFill>
              <w14:schemeClr w14:val="tx1"/>
            </w14:solidFill>
          </w14:textFill>
        </w:rPr>
        <w:t>起构</w:t>
      </w:r>
      <w:r>
        <w:rPr>
          <w:rFonts w:hint="eastAsia" w:ascii="宋体" w:hAnsi="宋体" w:cs="宋体"/>
          <w:color w:val="000000" w:themeColor="text1"/>
          <w:spacing w:val="-2"/>
          <w:kern w:val="0"/>
          <w:sz w:val="24"/>
          <w:highlight w:val="none"/>
          <w14:textFill>
            <w14:solidFill>
              <w14:schemeClr w14:val="tx1"/>
            </w14:solidFill>
          </w14:textFill>
        </w:rPr>
        <w:t>成</w:t>
      </w:r>
      <w:r>
        <w:rPr>
          <w:rFonts w:hint="eastAsia" w:ascii="宋体" w:hAnsi="宋体" w:cs="宋体"/>
          <w:color w:val="000000" w:themeColor="text1"/>
          <w:kern w:val="0"/>
          <w:sz w:val="24"/>
          <w:highlight w:val="none"/>
          <w14:textFill>
            <w14:solidFill>
              <w14:schemeClr w14:val="tx1"/>
            </w14:solidFill>
          </w14:textFill>
        </w:rPr>
        <w:t>合</w:t>
      </w:r>
      <w:r>
        <w:rPr>
          <w:rFonts w:hint="eastAsia" w:ascii="宋体" w:hAnsi="宋体" w:cs="宋体"/>
          <w:color w:val="000000" w:themeColor="text1"/>
          <w:spacing w:val="-2"/>
          <w:kern w:val="0"/>
          <w:sz w:val="24"/>
          <w:highlight w:val="none"/>
          <w14:textFill>
            <w14:solidFill>
              <w14:schemeClr w14:val="tx1"/>
            </w14:solidFill>
          </w14:textFill>
        </w:rPr>
        <w:t>同</w:t>
      </w:r>
      <w:r>
        <w:rPr>
          <w:rFonts w:hint="eastAsia" w:ascii="宋体" w:hAnsi="宋体" w:cs="宋体"/>
          <w:color w:val="000000" w:themeColor="text1"/>
          <w:kern w:val="0"/>
          <w:sz w:val="24"/>
          <w:highlight w:val="none"/>
          <w14:textFill>
            <w14:solidFill>
              <w14:schemeClr w14:val="tx1"/>
            </w14:solidFill>
          </w14:textFill>
        </w:rPr>
        <w:t>文</w:t>
      </w:r>
      <w:r>
        <w:rPr>
          <w:rFonts w:hint="eastAsia" w:ascii="宋体" w:hAnsi="宋体" w:cs="宋体"/>
          <w:color w:val="000000" w:themeColor="text1"/>
          <w:spacing w:val="-2"/>
          <w:kern w:val="0"/>
          <w:sz w:val="24"/>
          <w:highlight w:val="none"/>
          <w14:textFill>
            <w14:solidFill>
              <w14:schemeClr w14:val="tx1"/>
            </w14:solidFill>
          </w14:textFill>
        </w:rPr>
        <w:t>件</w:t>
      </w:r>
    </w:p>
    <w:p w14:paraId="6C862E95">
      <w:pPr>
        <w:pStyle w:val="29"/>
        <w:snapToGrid w:val="0"/>
        <w:spacing w:line="360" w:lineRule="auto"/>
        <w:ind w:left="420" w:left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1.中标通知书；</w:t>
      </w:r>
    </w:p>
    <w:p w14:paraId="45D1141E">
      <w:pPr>
        <w:pStyle w:val="29"/>
        <w:snapToGrid w:val="0"/>
        <w:spacing w:line="360" w:lineRule="auto"/>
        <w:ind w:left="420" w:left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eastAsia="zh-CN"/>
          <w14:textFill>
            <w14:solidFill>
              <w14:schemeClr w14:val="tx1"/>
            </w14:solidFill>
          </w14:textFill>
        </w:rPr>
        <w:t>竞标</w:t>
      </w:r>
      <w:r>
        <w:rPr>
          <w:rFonts w:hint="eastAsia" w:hAnsi="宋体" w:cs="宋体"/>
          <w:color w:val="000000" w:themeColor="text1"/>
          <w:sz w:val="24"/>
          <w:szCs w:val="24"/>
          <w:highlight w:val="none"/>
          <w14:textFill>
            <w14:solidFill>
              <w14:schemeClr w14:val="tx1"/>
            </w14:solidFill>
          </w14:textFill>
        </w:rPr>
        <w:t>函；</w:t>
      </w:r>
    </w:p>
    <w:p w14:paraId="42454615">
      <w:pPr>
        <w:pStyle w:val="29"/>
        <w:snapToGrid w:val="0"/>
        <w:spacing w:line="360" w:lineRule="auto"/>
        <w:ind w:left="420" w:left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3.商务要求偏离表和技术要求偏离表；</w:t>
      </w:r>
    </w:p>
    <w:p w14:paraId="7385D0F2">
      <w:pPr>
        <w:pStyle w:val="29"/>
        <w:snapToGrid w:val="0"/>
        <w:spacing w:line="360" w:lineRule="auto"/>
        <w:ind w:left="420" w:left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4.采购需求；</w:t>
      </w:r>
    </w:p>
    <w:p w14:paraId="07D75345">
      <w:pPr>
        <w:pStyle w:val="29"/>
        <w:snapToGrid w:val="0"/>
        <w:spacing w:line="360" w:lineRule="auto"/>
        <w:ind w:left="420" w:left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5.开标一览表；</w:t>
      </w:r>
    </w:p>
    <w:p w14:paraId="25B03C74">
      <w:pPr>
        <w:pStyle w:val="29"/>
        <w:snapToGrid w:val="0"/>
        <w:spacing w:line="360" w:lineRule="auto"/>
        <w:ind w:left="420" w:left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6.设备性能配置清单；</w:t>
      </w:r>
    </w:p>
    <w:p w14:paraId="6FFDE3D2">
      <w:pPr>
        <w:pStyle w:val="29"/>
        <w:snapToGrid w:val="0"/>
        <w:spacing w:line="360" w:lineRule="auto"/>
        <w:ind w:left="420" w:left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w:t>
      </w:r>
    </w:p>
    <w:p w14:paraId="11B306CB">
      <w:pPr>
        <w:pStyle w:val="29"/>
        <w:snapToGrid w:val="0"/>
        <w:spacing w:line="360" w:lineRule="auto"/>
        <w:ind w:left="420" w:left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8.其他合同文件。</w:t>
      </w:r>
    </w:p>
    <w:p w14:paraId="19D8BF48">
      <w:pPr>
        <w:pStyle w:val="29"/>
        <w:snapToGrid w:val="0"/>
        <w:spacing w:line="360" w:lineRule="auto"/>
        <w:ind w:left="420" w:leftChars="20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9.上述合同文件互相补充和解释。如果合同文件之间存在矛盾或者不一致之处，以上述文件 的排列顺序在先者为准。</w:t>
      </w:r>
    </w:p>
    <w:p w14:paraId="1EE091B0">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第二十条　</w:t>
      </w:r>
      <w:r>
        <w:rPr>
          <w:rFonts w:hint="eastAsia" w:ascii="宋体" w:hAnsi="宋体" w:cs="宋体"/>
          <w:color w:val="000000" w:themeColor="text1"/>
          <w:sz w:val="24"/>
          <w:highlight w:val="none"/>
          <w14:textFill>
            <w14:solidFill>
              <w14:schemeClr w14:val="tx1"/>
            </w14:solidFill>
          </w14:textFill>
        </w:rPr>
        <w:t>本合同一式四份，具有同等法律效力，财政部门（政府采购监管部门）、采购代理机构各一份，甲乙双方各一份（可根据需要另增加）。</w:t>
      </w:r>
    </w:p>
    <w:p w14:paraId="1EDEEC82">
      <w:pPr>
        <w:snapToGrid w:val="0"/>
        <w:spacing w:line="360" w:lineRule="auto"/>
        <w:ind w:left="-61" w:firstLine="51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本合同甲乙双方签字盖章后生效，自签订之日起七个工作日内，甲方应当将合同副本报同级财政部门备案。</w:t>
      </w:r>
    </w:p>
    <w:p w14:paraId="5CF396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本合同自签订之日起2个工作日内，甲方应当将采购合同在广西壮族自治区财政厅指定的媒体上公告。</w:t>
      </w:r>
    </w:p>
    <w:p w14:paraId="135B02C4">
      <w:pPr>
        <w:snapToGrid w:val="0"/>
        <w:spacing w:line="360" w:lineRule="auto"/>
        <w:rPr>
          <w:rFonts w:ascii="宋体" w:hAnsi="宋体" w:cs="宋体"/>
          <w:color w:val="000000" w:themeColor="text1"/>
          <w:sz w:val="24"/>
          <w:highlight w:val="none"/>
          <w14:textFill>
            <w14:solidFill>
              <w14:schemeClr w14:val="tx1"/>
            </w14:solidFill>
          </w14:textFill>
        </w:rPr>
      </w:pPr>
    </w:p>
    <w:tbl>
      <w:tblPr>
        <w:tblStyle w:val="53"/>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8ED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5B6BB5A4">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甲方（章）           </w:t>
            </w:r>
          </w:p>
          <w:p w14:paraId="29149BF3">
            <w:pPr>
              <w:snapToGrid w:val="0"/>
              <w:spacing w:line="360" w:lineRule="auto"/>
              <w:rPr>
                <w:rFonts w:ascii="宋体" w:hAnsi="宋体" w:cs="宋体"/>
                <w:color w:val="000000" w:themeColor="text1"/>
                <w:sz w:val="24"/>
                <w:highlight w:val="none"/>
                <w14:textFill>
                  <w14:solidFill>
                    <w14:schemeClr w14:val="tx1"/>
                  </w14:solidFill>
                </w14:textFill>
              </w:rPr>
            </w:pPr>
          </w:p>
          <w:p w14:paraId="379369E2">
            <w:pPr>
              <w:snapToGrid w:val="0"/>
              <w:spacing w:line="360" w:lineRule="auto"/>
              <w:ind w:firstLine="1080" w:firstLineChars="45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tc>
        <w:tc>
          <w:tcPr>
            <w:tcW w:w="4517" w:type="dxa"/>
            <w:vAlign w:val="center"/>
          </w:tcPr>
          <w:p w14:paraId="7A72607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乙方（章）              </w:t>
            </w:r>
          </w:p>
          <w:p w14:paraId="7E22A3D0">
            <w:pPr>
              <w:snapToGrid w:val="0"/>
              <w:spacing w:line="360" w:lineRule="auto"/>
              <w:rPr>
                <w:rFonts w:ascii="宋体" w:hAnsi="宋体" w:cs="宋体"/>
                <w:color w:val="000000" w:themeColor="text1"/>
                <w:sz w:val="24"/>
                <w:highlight w:val="none"/>
                <w14:textFill>
                  <w14:solidFill>
                    <w14:schemeClr w14:val="tx1"/>
                  </w14:solidFill>
                </w14:textFill>
              </w:rPr>
            </w:pPr>
          </w:p>
          <w:p w14:paraId="001A7DC6">
            <w:pPr>
              <w:snapToGrid w:val="0"/>
              <w:spacing w:line="360" w:lineRule="auto"/>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tc>
      </w:tr>
      <w:tr w14:paraId="73B1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465103A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单位地址：</w:t>
            </w:r>
          </w:p>
        </w:tc>
        <w:tc>
          <w:tcPr>
            <w:tcW w:w="4517" w:type="dxa"/>
            <w:vAlign w:val="center"/>
          </w:tcPr>
          <w:p w14:paraId="12049C5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单位地址：</w:t>
            </w:r>
          </w:p>
        </w:tc>
      </w:tr>
      <w:tr w14:paraId="08D4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14:paraId="4366808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p>
        </w:tc>
        <w:tc>
          <w:tcPr>
            <w:tcW w:w="4517" w:type="dxa"/>
          </w:tcPr>
          <w:p w14:paraId="16B73947">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p>
        </w:tc>
      </w:tr>
      <w:tr w14:paraId="0867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6D508FB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c>
          <w:tcPr>
            <w:tcW w:w="4517" w:type="dxa"/>
            <w:vAlign w:val="center"/>
          </w:tcPr>
          <w:p w14:paraId="1D7CFDD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r>
      <w:tr w14:paraId="3AC3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26B1CFD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电子邮箱：</w:t>
            </w:r>
          </w:p>
        </w:tc>
        <w:tc>
          <w:tcPr>
            <w:tcW w:w="4517" w:type="dxa"/>
            <w:vAlign w:val="center"/>
          </w:tcPr>
          <w:p w14:paraId="7B572357">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电子邮箱：</w:t>
            </w:r>
          </w:p>
        </w:tc>
      </w:tr>
      <w:tr w14:paraId="38FB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5E3570FD">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p>
        </w:tc>
        <w:tc>
          <w:tcPr>
            <w:tcW w:w="4517" w:type="dxa"/>
            <w:vAlign w:val="center"/>
          </w:tcPr>
          <w:p w14:paraId="2A9D0EC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p>
        </w:tc>
      </w:tr>
      <w:tr w14:paraId="376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1625758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tc>
        <w:tc>
          <w:tcPr>
            <w:tcW w:w="4517" w:type="dxa"/>
            <w:vAlign w:val="center"/>
          </w:tcPr>
          <w:p w14:paraId="0861BAA9">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tc>
      </w:tr>
      <w:tr w14:paraId="3AF2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104DB19">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p>
        </w:tc>
        <w:tc>
          <w:tcPr>
            <w:tcW w:w="4517" w:type="dxa"/>
            <w:vAlign w:val="center"/>
          </w:tcPr>
          <w:p w14:paraId="6F4600C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p>
        </w:tc>
      </w:tr>
    </w:tbl>
    <w:p w14:paraId="656055D7">
      <w:pPr>
        <w:snapToGrid w:val="0"/>
        <w:spacing w:line="360" w:lineRule="auto"/>
        <w:ind w:left="420" w:hanging="420" w:hangingChars="200"/>
        <w:rPr>
          <w:rFonts w:ascii="宋体" w:hAnsi="宋体" w:cs="宋体"/>
          <w:color w:val="000000" w:themeColor="text1"/>
          <w:szCs w:val="21"/>
          <w:highlight w:val="none"/>
          <w14:textFill>
            <w14:solidFill>
              <w14:schemeClr w14:val="tx1"/>
            </w14:solidFill>
          </w14:textFill>
        </w:rPr>
      </w:pPr>
    </w:p>
    <w:p w14:paraId="0EC2E50A">
      <w:pPr>
        <w:snapToGrid w:val="0"/>
        <w:spacing w:line="360" w:lineRule="auto"/>
        <w:jc w:val="center"/>
        <w:rPr>
          <w:rFonts w:ascii="宋体" w:hAnsi="宋体" w:cs="宋体"/>
          <w:color w:val="000000" w:themeColor="text1"/>
          <w:szCs w:val="21"/>
          <w:highlight w:val="none"/>
          <w14:textFill>
            <w14:solidFill>
              <w14:schemeClr w14:val="tx1"/>
            </w14:solidFill>
          </w14:textFill>
        </w:rPr>
      </w:pPr>
    </w:p>
    <w:p w14:paraId="3F2D6BB5">
      <w:pPr>
        <w:snapToGrid w:val="0"/>
        <w:spacing w:line="360" w:lineRule="auto"/>
        <w:jc w:val="left"/>
        <w:rPr>
          <w:rFonts w:ascii="宋体" w:hAnsi="宋体" w:cs="宋体"/>
          <w:color w:val="000000" w:themeColor="text1"/>
          <w:szCs w:val="21"/>
          <w:highlight w:val="none"/>
          <w14:textFill>
            <w14:solidFill>
              <w14:schemeClr w14:val="tx1"/>
            </w14:solidFill>
          </w14:textFill>
        </w:rPr>
      </w:pPr>
    </w:p>
    <w:p w14:paraId="4B43EC16">
      <w:pPr>
        <w:snapToGrid w:val="0"/>
        <w:spacing w:line="480" w:lineRule="auto"/>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bookmarkEnd w:id="42"/>
    </w:p>
    <w:p w14:paraId="2A93F4FB">
      <w:pPr>
        <w:rPr>
          <w:rFonts w:ascii="金山简黑体" w:hAnsi="Courier New" w:eastAsia="金山简黑体" w:cs="Times New Roman"/>
          <w:b/>
          <w:color w:val="000000" w:themeColor="text1"/>
          <w:spacing w:val="-8"/>
          <w:sz w:val="24"/>
          <w:szCs w:val="24"/>
          <w:highlight w:val="none"/>
          <w14:textFill>
            <w14:solidFill>
              <w14:schemeClr w14:val="tx1"/>
            </w14:solidFill>
          </w14:textFill>
        </w:rPr>
      </w:pPr>
    </w:p>
    <w:p w14:paraId="0B6C0E6E">
      <w:pPr>
        <w:keepNext/>
        <w:keepLines/>
        <w:spacing w:before="260" w:after="260" w:line="0" w:lineRule="atLeast"/>
        <w:jc w:val="center"/>
        <w:outlineLvl w:val="1"/>
        <w:rPr>
          <w:rFonts w:ascii="宋体" w:hAnsi="宋体" w:eastAsia="宋体" w:cs="Times New Roman"/>
          <w:b/>
          <w:bCs/>
          <w:color w:val="000000" w:themeColor="text1"/>
          <w:sz w:val="36"/>
          <w:szCs w:val="36"/>
          <w:highlight w:val="none"/>
          <w14:textFill>
            <w14:solidFill>
              <w14:schemeClr w14:val="tx1"/>
            </w14:solidFill>
          </w14:textFill>
        </w:rPr>
      </w:pPr>
      <w:bookmarkStart w:id="45" w:name="_Toc12363"/>
      <w:r>
        <w:rPr>
          <w:rFonts w:hint="eastAsia" w:ascii="宋体" w:hAnsi="宋体" w:eastAsia="宋体" w:cs="Times New Roman"/>
          <w:b/>
          <w:bCs/>
          <w:color w:val="000000" w:themeColor="text1"/>
          <w:sz w:val="36"/>
          <w:szCs w:val="36"/>
          <w:highlight w:val="none"/>
          <w14:textFill>
            <w14:solidFill>
              <w14:schemeClr w14:val="tx1"/>
            </w14:solidFill>
          </w14:textFill>
        </w:rPr>
        <w:t>第六章、响应文件格式</w:t>
      </w:r>
      <w:bookmarkEnd w:id="43"/>
      <w:bookmarkEnd w:id="45"/>
    </w:p>
    <w:p w14:paraId="022F93FC">
      <w:pPr>
        <w:spacing w:line="440" w:lineRule="atLeast"/>
        <w:rPr>
          <w:rFonts w:ascii="宋体" w:hAnsi="宋体" w:eastAsia="宋体" w:cs="Times New Roman"/>
          <w:b/>
          <w:color w:val="000000" w:themeColor="text1"/>
          <w:sz w:val="28"/>
          <w:szCs w:val="28"/>
          <w:highlight w:val="none"/>
          <w14:textFill>
            <w14:solidFill>
              <w14:schemeClr w14:val="tx1"/>
            </w14:solidFill>
          </w14:textFill>
        </w:rPr>
      </w:pPr>
    </w:p>
    <w:p w14:paraId="3E189BC0">
      <w:pPr>
        <w:spacing w:line="440" w:lineRule="atLeast"/>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一、资格性响应证明材料：</w:t>
      </w:r>
    </w:p>
    <w:p w14:paraId="561E17C7">
      <w:pPr>
        <w:rPr>
          <w:rFonts w:ascii="Times New Roman" w:hAnsi="Times New Roman" w:eastAsia="宋体" w:cs="Times New Roman"/>
          <w:color w:val="000000" w:themeColor="text1"/>
          <w:szCs w:val="24"/>
          <w:highlight w:val="none"/>
          <w14:textFill>
            <w14:solidFill>
              <w14:schemeClr w14:val="tx1"/>
            </w14:solidFill>
          </w14:textFill>
        </w:rPr>
      </w:pPr>
    </w:p>
    <w:p w14:paraId="36530DF5">
      <w:pPr>
        <w:spacing w:line="440" w:lineRule="atLeast"/>
        <w:rPr>
          <w:rFonts w:ascii="宋体" w:hAnsi="宋体" w:eastAsia="宋体" w:cs="Times New Roman"/>
          <w:b/>
          <w:color w:val="000000" w:themeColor="text1"/>
          <w:sz w:val="28"/>
          <w:szCs w:val="28"/>
          <w:highlight w:val="none"/>
          <w14:textFill>
            <w14:solidFill>
              <w14:schemeClr w14:val="tx1"/>
            </w14:solidFill>
          </w14:textFill>
        </w:rPr>
      </w:pPr>
    </w:p>
    <w:p w14:paraId="5053EC48">
      <w:pPr>
        <w:rPr>
          <w:rFonts w:ascii="Times New Roman" w:hAnsi="Times New Roman" w:eastAsia="宋体" w:cs="Times New Roman"/>
          <w:bCs/>
          <w:color w:val="000000" w:themeColor="text1"/>
          <w:sz w:val="32"/>
          <w:szCs w:val="32"/>
          <w:highlight w:val="none"/>
          <w14:textFill>
            <w14:solidFill>
              <w14:schemeClr w14:val="tx1"/>
            </w14:solidFill>
          </w14:textFill>
        </w:rPr>
      </w:pPr>
      <w:r>
        <w:rPr>
          <w:rFonts w:hint="eastAsia" w:ascii="Times New Roman" w:hAnsi="Times New Roman" w:eastAsia="宋体" w:cs="Times New Roman"/>
          <w:bCs/>
          <w:color w:val="000000" w:themeColor="text1"/>
          <w:sz w:val="32"/>
          <w:szCs w:val="32"/>
          <w:highlight w:val="none"/>
          <w14:textFill>
            <w14:solidFill>
              <w14:schemeClr w14:val="tx1"/>
            </w14:solidFill>
          </w14:textFill>
        </w:rPr>
        <w:t>资格性响应证明文件封面格式</w:t>
      </w:r>
    </w:p>
    <w:p w14:paraId="3364B832">
      <w:pPr>
        <w:snapToGrid w:val="0"/>
        <w:spacing w:before="120" w:beforeLines="50" w:after="50"/>
        <w:jc w:val="center"/>
        <w:rPr>
          <w:rFonts w:ascii="Times New Roman" w:hAnsi="Times New Roman" w:eastAsia="宋体" w:cs="Times New Roman"/>
          <w:bCs/>
          <w:color w:val="000000" w:themeColor="text1"/>
          <w:sz w:val="32"/>
          <w:szCs w:val="32"/>
          <w:highlight w:val="none"/>
          <w14:textFill>
            <w14:solidFill>
              <w14:schemeClr w14:val="tx1"/>
            </w14:solidFill>
          </w14:textFill>
        </w:rPr>
      </w:pPr>
    </w:p>
    <w:p w14:paraId="0A39657A">
      <w:pPr>
        <w:keepNext/>
        <w:keepLines/>
        <w:spacing w:before="280" w:after="290" w:line="376" w:lineRule="auto"/>
        <w:outlineLvl w:val="3"/>
        <w:rPr>
          <w:rFonts w:ascii="Arial" w:hAnsi="Arial" w:eastAsia="黑体" w:cs="Times New Roman"/>
          <w:bCs/>
          <w:color w:val="000000" w:themeColor="text1"/>
          <w:sz w:val="28"/>
          <w:szCs w:val="28"/>
          <w:highlight w:val="none"/>
          <w14:textFill>
            <w14:solidFill>
              <w14:schemeClr w14:val="tx1"/>
            </w14:solidFill>
          </w14:textFill>
        </w:rPr>
      </w:pPr>
    </w:p>
    <w:p w14:paraId="75D4145C">
      <w:pPr>
        <w:snapToGrid w:val="0"/>
        <w:spacing w:before="120" w:beforeLines="50" w:after="50"/>
        <w:jc w:val="center"/>
        <w:rPr>
          <w:rFonts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响 应 文 件</w:t>
      </w:r>
    </w:p>
    <w:p w14:paraId="6F26D77E">
      <w:pPr>
        <w:snapToGrid w:val="0"/>
        <w:spacing w:before="120" w:beforeLines="50" w:after="50"/>
        <w:rPr>
          <w:rFonts w:ascii="宋体" w:hAnsi="宋体" w:eastAsia="宋体" w:cs="宋体"/>
          <w:color w:val="000000" w:themeColor="text1"/>
          <w:sz w:val="28"/>
          <w:szCs w:val="28"/>
          <w:highlight w:val="none"/>
          <w14:textFill>
            <w14:solidFill>
              <w14:schemeClr w14:val="tx1"/>
            </w14:solidFill>
          </w14:textFill>
        </w:rPr>
      </w:pPr>
    </w:p>
    <w:p w14:paraId="27F7664E">
      <w:pPr>
        <w:snapToGrid w:val="0"/>
        <w:spacing w:before="120" w:beforeLines="50" w:after="50"/>
        <w:ind w:firstLine="480" w:firstLineChars="15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（资格性响应证明文件）</w:t>
      </w:r>
    </w:p>
    <w:p w14:paraId="19E2D43E">
      <w:pPr>
        <w:snapToGrid w:val="0"/>
        <w:spacing w:before="120" w:beforeLines="50" w:after="50"/>
        <w:ind w:firstLine="420" w:firstLineChars="150"/>
        <w:rPr>
          <w:rFonts w:ascii="宋体" w:hAnsi="宋体" w:eastAsia="宋体" w:cs="宋体"/>
          <w:color w:val="000000" w:themeColor="text1"/>
          <w:sz w:val="28"/>
          <w:szCs w:val="28"/>
          <w:highlight w:val="none"/>
          <w14:textFill>
            <w14:solidFill>
              <w14:schemeClr w14:val="tx1"/>
            </w14:solidFill>
          </w14:textFill>
        </w:rPr>
      </w:pPr>
    </w:p>
    <w:p w14:paraId="3E20CD26">
      <w:pPr>
        <w:snapToGrid w:val="0"/>
        <w:spacing w:before="120" w:beforeLines="50" w:after="50"/>
        <w:ind w:firstLine="420" w:firstLineChars="150"/>
        <w:rPr>
          <w:rFonts w:ascii="宋体" w:hAnsi="宋体" w:eastAsia="宋体" w:cs="宋体"/>
          <w:color w:val="000000" w:themeColor="text1"/>
          <w:sz w:val="28"/>
          <w:szCs w:val="28"/>
          <w:highlight w:val="none"/>
          <w14:textFill>
            <w14:solidFill>
              <w14:schemeClr w14:val="tx1"/>
            </w14:solidFill>
          </w14:textFill>
        </w:rPr>
      </w:pPr>
    </w:p>
    <w:p w14:paraId="64CAECD2">
      <w:pPr>
        <w:snapToGrid w:val="0"/>
        <w:spacing w:before="120" w:beforeLines="50" w:after="50"/>
        <w:jc w:val="center"/>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桂林航天工业学院-体育馆设备采购项目</w:t>
      </w:r>
    </w:p>
    <w:p w14:paraId="4CE804AC">
      <w:pPr>
        <w:snapToGrid w:val="0"/>
        <w:spacing w:before="120" w:beforeLines="50" w:after="50"/>
        <w:ind w:firstLine="2520" w:firstLineChars="900"/>
        <w:rPr>
          <w:rFonts w:ascii="宋体" w:hAnsi="宋体" w:eastAsia="宋体" w:cs="宋体"/>
          <w:color w:val="000000" w:themeColor="text1"/>
          <w:sz w:val="28"/>
          <w:szCs w:val="28"/>
          <w:highlight w:val="none"/>
          <w14:textFill>
            <w14:solidFill>
              <w14:schemeClr w14:val="tx1"/>
            </w14:solidFill>
          </w14:textFill>
        </w:rPr>
      </w:pPr>
    </w:p>
    <w:p w14:paraId="60ABEFBE">
      <w:pPr>
        <w:snapToGrid w:val="0"/>
        <w:spacing w:before="120" w:beforeLines="50" w:after="50"/>
        <w:ind w:firstLine="2520" w:firstLineChars="900"/>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GXZC2025-J1-003235-GXZX</w:t>
      </w:r>
    </w:p>
    <w:p w14:paraId="74CCB472">
      <w:pPr>
        <w:snapToGrid w:val="0"/>
        <w:spacing w:before="120" w:beforeLines="50" w:after="50"/>
        <w:ind w:firstLine="2520" w:firstLineChars="900"/>
        <w:rPr>
          <w:rFonts w:ascii="宋体" w:hAnsi="宋体" w:eastAsia="宋体" w:cs="宋体"/>
          <w:color w:val="000000" w:themeColor="text1"/>
          <w:sz w:val="28"/>
          <w:szCs w:val="28"/>
          <w:highlight w:val="none"/>
          <w14:textFill>
            <w14:solidFill>
              <w14:schemeClr w14:val="tx1"/>
            </w14:solidFill>
          </w14:textFill>
        </w:rPr>
      </w:pPr>
    </w:p>
    <w:p w14:paraId="255F5BD8">
      <w:pPr>
        <w:snapToGrid w:val="0"/>
        <w:spacing w:before="120" w:beforeLines="50" w:after="50"/>
        <w:ind w:firstLine="1897" w:firstLineChars="900"/>
        <w:rPr>
          <w:rFonts w:ascii="宋体" w:hAnsi="宋体" w:eastAsia="宋体" w:cs="宋体"/>
          <w:b/>
          <w:bCs/>
          <w:color w:val="000000" w:themeColor="text1"/>
          <w:szCs w:val="24"/>
          <w:highlight w:val="none"/>
          <w:u w:val="single"/>
          <w14:textFill>
            <w14:solidFill>
              <w14:schemeClr w14:val="tx1"/>
            </w14:solidFill>
          </w14:textFill>
        </w:rPr>
      </w:pPr>
    </w:p>
    <w:p w14:paraId="77677374">
      <w:pPr>
        <w:rPr>
          <w:rFonts w:ascii="Times New Roman" w:hAnsi="Times New Roman" w:eastAsia="宋体" w:cs="Times New Roman"/>
          <w:color w:val="000000" w:themeColor="text1"/>
          <w:szCs w:val="24"/>
          <w:highlight w:val="none"/>
          <w14:textFill>
            <w14:solidFill>
              <w14:schemeClr w14:val="tx1"/>
            </w14:solidFill>
          </w14:textFill>
        </w:rPr>
      </w:pPr>
    </w:p>
    <w:p w14:paraId="084337C8">
      <w:pPr>
        <w:rPr>
          <w:rFonts w:ascii="Times New Roman" w:hAnsi="Times New Roman" w:eastAsia="宋体" w:cs="Times New Roman"/>
          <w:color w:val="000000" w:themeColor="text1"/>
          <w:szCs w:val="24"/>
          <w:highlight w:val="none"/>
          <w14:textFill>
            <w14:solidFill>
              <w14:schemeClr w14:val="tx1"/>
            </w14:solidFill>
          </w14:textFill>
        </w:rPr>
      </w:pPr>
    </w:p>
    <w:p w14:paraId="7CDD3F84">
      <w:pPr>
        <w:rPr>
          <w:rFonts w:ascii="Times New Roman" w:hAnsi="Times New Roman" w:eastAsia="宋体" w:cs="Times New Roman"/>
          <w:color w:val="000000" w:themeColor="text1"/>
          <w:szCs w:val="24"/>
          <w:highlight w:val="none"/>
          <w14:textFill>
            <w14:solidFill>
              <w14:schemeClr w14:val="tx1"/>
            </w14:solidFill>
          </w14:textFill>
        </w:rPr>
      </w:pPr>
    </w:p>
    <w:p w14:paraId="19CEA080">
      <w:pPr>
        <w:wordWrap w:val="0"/>
        <w:snapToGrid w:val="0"/>
        <w:spacing w:before="120" w:beforeLines="50" w:after="50"/>
        <w:jc w:val="center"/>
        <w:rPr>
          <w:rFonts w:ascii="宋体" w:hAnsi="宋体" w:eastAsia="宋体" w:cs="宋体"/>
          <w:color w:val="000000" w:themeColor="text1"/>
          <w:sz w:val="28"/>
          <w:szCs w:val="28"/>
          <w:highlight w:val="none"/>
          <w:u w:val="single"/>
          <w14:textFill>
            <w14:solidFill>
              <w14:schemeClr w14:val="tx1"/>
            </w14:solidFill>
          </w14:textFill>
        </w:rPr>
      </w:pPr>
      <w:bookmarkStart w:id="46" w:name="OLE_LINK7"/>
      <w:r>
        <w:rPr>
          <w:rFonts w:hint="eastAsia" w:ascii="宋体" w:hAnsi="宋体" w:eastAsia="宋体" w:cs="宋体"/>
          <w:color w:val="000000" w:themeColor="text1"/>
          <w:sz w:val="28"/>
          <w:szCs w:val="28"/>
          <w:highlight w:val="none"/>
          <w14:textFill>
            <w14:solidFill>
              <w14:schemeClr w14:val="tx1"/>
            </w14:solidFill>
          </w14:textFill>
        </w:rPr>
        <w:t>采购代理机构：</w:t>
      </w:r>
      <w:r>
        <w:rPr>
          <w:rFonts w:hint="eastAsia" w:ascii="宋体" w:hAnsi="宋体" w:eastAsia="宋体" w:cs="宋体"/>
          <w:color w:val="000000" w:themeColor="text1"/>
          <w:sz w:val="28"/>
          <w:szCs w:val="28"/>
          <w:highlight w:val="none"/>
          <w:u w:val="single"/>
          <w14:textFill>
            <w14:solidFill>
              <w14:schemeClr w14:val="tx1"/>
            </w14:solidFill>
          </w14:textFill>
        </w:rPr>
        <w:t>广西中信恒泰工程顾问有限公司</w:t>
      </w:r>
    </w:p>
    <w:p w14:paraId="61AF6988">
      <w:pPr>
        <w:wordWrap w:val="0"/>
        <w:spacing w:line="500" w:lineRule="exact"/>
        <w:ind w:firstLine="1496" w:firstLineChars="550"/>
        <w:rPr>
          <w:rFonts w:ascii="宋体" w:hAnsi="宋体" w:eastAsia="宋体" w:cs="宋体"/>
          <w:bCs/>
          <w:color w:val="000000" w:themeColor="text1"/>
          <w:spacing w:val="-4"/>
          <w:sz w:val="28"/>
          <w:szCs w:val="28"/>
          <w:highlight w:val="none"/>
          <w:u w:val="single"/>
          <w14:textFill>
            <w14:solidFill>
              <w14:schemeClr w14:val="tx1"/>
            </w14:solidFill>
          </w14:textFill>
        </w:rPr>
      </w:pPr>
      <w:r>
        <w:rPr>
          <w:rFonts w:hint="eastAsia" w:ascii="宋体" w:hAnsi="宋体" w:eastAsia="宋体" w:cs="宋体"/>
          <w:bCs/>
          <w:color w:val="000000" w:themeColor="text1"/>
          <w:spacing w:val="-4"/>
          <w:sz w:val="28"/>
          <w:szCs w:val="28"/>
          <w:highlight w:val="none"/>
          <w14:textFill>
            <w14:solidFill>
              <w14:schemeClr w14:val="tx1"/>
            </w14:solidFill>
          </w14:textFill>
        </w:rPr>
        <w:t>供应商名称：</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p>
    <w:p w14:paraId="2AD60D55">
      <w:pPr>
        <w:wordWrap w:val="0"/>
        <w:spacing w:line="500" w:lineRule="exact"/>
        <w:ind w:left="544" w:hanging="544" w:hangingChars="200"/>
        <w:rPr>
          <w:rFonts w:ascii="宋体" w:hAnsi="宋体" w:eastAsia="宋体" w:cs="宋体"/>
          <w:bCs/>
          <w:color w:val="000000" w:themeColor="text1"/>
          <w:spacing w:val="-4"/>
          <w:sz w:val="28"/>
          <w:szCs w:val="28"/>
          <w:highlight w:val="none"/>
          <w:u w:val="single"/>
          <w14:textFill>
            <w14:solidFill>
              <w14:schemeClr w14:val="tx1"/>
            </w14:solidFill>
          </w14:textFill>
        </w:rPr>
      </w:pPr>
      <w:bookmarkStart w:id="47" w:name="_Toc32056_WPSOffice_Level2"/>
      <w:bookmarkStart w:id="48" w:name="_Toc9622_WPSOffice_Level2"/>
      <w:r>
        <w:rPr>
          <w:rFonts w:hint="eastAsia" w:ascii="宋体" w:hAnsi="宋体" w:eastAsia="宋体" w:cs="宋体"/>
          <w:bCs/>
          <w:color w:val="000000" w:themeColor="text1"/>
          <w:spacing w:val="-4"/>
          <w:sz w:val="28"/>
          <w:szCs w:val="28"/>
          <w:highlight w:val="none"/>
          <w14:textFill>
            <w14:solidFill>
              <w14:schemeClr w14:val="tx1"/>
            </w14:solidFill>
          </w14:textFill>
        </w:rPr>
        <w:t xml:space="preserve">            联系电话：</w:t>
      </w:r>
      <w:bookmarkEnd w:id="47"/>
      <w:bookmarkEnd w:id="48"/>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p>
    <w:p w14:paraId="22069327">
      <w:pPr>
        <w:wordWrap w:val="0"/>
        <w:spacing w:line="500" w:lineRule="exact"/>
        <w:ind w:left="544" w:hanging="544" w:hangingChars="200"/>
        <w:rPr>
          <w:rFonts w:ascii="宋体" w:hAnsi="宋体" w:eastAsia="宋体" w:cs="宋体"/>
          <w:color w:val="000000" w:themeColor="text1"/>
          <w:spacing w:val="-4"/>
          <w:sz w:val="18"/>
          <w:szCs w:val="32"/>
          <w:highlight w:val="none"/>
          <w14:textFill>
            <w14:solidFill>
              <w14:schemeClr w14:val="tx1"/>
            </w14:solidFill>
          </w14:textFill>
        </w:rPr>
      </w:pPr>
      <w:bookmarkStart w:id="49" w:name="_Toc15933_WPSOffice_Level2"/>
      <w:bookmarkStart w:id="50" w:name="_Toc26465_WPSOffice_Level2"/>
      <w:r>
        <w:rPr>
          <w:rFonts w:hint="eastAsia" w:ascii="宋体" w:hAnsi="宋体" w:eastAsia="宋体" w:cs="宋体"/>
          <w:bCs/>
          <w:color w:val="000000" w:themeColor="text1"/>
          <w:spacing w:val="-4"/>
          <w:sz w:val="28"/>
          <w:szCs w:val="28"/>
          <w:highlight w:val="none"/>
          <w14:textFill>
            <w14:solidFill>
              <w14:schemeClr w14:val="tx1"/>
            </w14:solidFill>
          </w14:textFill>
        </w:rPr>
        <w:t xml:space="preserve">            日  期：</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年</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月</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日</w:t>
      </w:r>
      <w:bookmarkEnd w:id="49"/>
      <w:bookmarkEnd w:id="50"/>
    </w:p>
    <w:bookmarkEnd w:id="46"/>
    <w:p w14:paraId="41D412C6">
      <w:pPr>
        <w:spacing w:line="440" w:lineRule="atLeast"/>
        <w:rPr>
          <w:rFonts w:ascii="宋体" w:hAnsi="宋体" w:eastAsia="宋体" w:cs="Times New Roman"/>
          <w:b/>
          <w:color w:val="000000" w:themeColor="text1"/>
          <w:sz w:val="28"/>
          <w:szCs w:val="28"/>
          <w:highlight w:val="none"/>
          <w14:textFill>
            <w14:solidFill>
              <w14:schemeClr w14:val="tx1"/>
            </w14:solidFill>
          </w14:textFill>
        </w:rPr>
      </w:pPr>
    </w:p>
    <w:p w14:paraId="61152459">
      <w:pPr>
        <w:spacing w:line="340" w:lineRule="exact"/>
        <w:rPr>
          <w:rFonts w:ascii="宋体" w:hAnsi="宋体" w:eastAsia="宋体" w:cs="Times New Roman"/>
          <w:color w:val="000000" w:themeColor="text1"/>
          <w:szCs w:val="24"/>
          <w:highlight w:val="none"/>
          <w14:textFill>
            <w14:solidFill>
              <w14:schemeClr w14:val="tx1"/>
            </w14:solidFill>
          </w14:textFill>
        </w:rPr>
      </w:pPr>
    </w:p>
    <w:p w14:paraId="377C916C">
      <w:pPr>
        <w:spacing w:line="34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p>
    <w:p w14:paraId="7E855A8A">
      <w:pPr>
        <w:ind w:firstLine="562" w:firstLineChars="200"/>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1.供应商的法人或者其他组织营业执照等证明文件扫描件（必须提供，自然人除外）；</w:t>
      </w:r>
    </w:p>
    <w:p w14:paraId="19D8B196">
      <w:pPr>
        <w:overflowPunct w:val="0"/>
        <w:spacing w:line="360" w:lineRule="auto"/>
        <w:ind w:firstLine="643"/>
        <w:jc w:val="left"/>
        <w:rPr>
          <w:rFonts w:ascii="宋体" w:hAnsi="宋体" w:eastAsia="宋体" w:cs="Times New Roman"/>
          <w:color w:val="000000" w:themeColor="text1"/>
          <w:szCs w:val="20"/>
          <w:highlight w:val="none"/>
          <w14:textFill>
            <w14:solidFill>
              <w14:schemeClr w14:val="tx1"/>
            </w14:solidFill>
          </w14:textFill>
        </w:rPr>
      </w:pPr>
    </w:p>
    <w:p w14:paraId="3E466304">
      <w:pPr>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AD96087">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1494446C">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2E647CB5">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6D3BE46D">
      <w:pPr>
        <w:pStyle w:val="2"/>
        <w:rPr>
          <w:color w:val="000000" w:themeColor="text1"/>
          <w:highlight w:val="none"/>
          <w14:textFill>
            <w14:solidFill>
              <w14:schemeClr w14:val="tx1"/>
            </w14:solidFill>
          </w14:textFill>
        </w:rPr>
      </w:pPr>
    </w:p>
    <w:p w14:paraId="3B53AF4B">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350784C5">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06957A44">
      <w:pPr>
        <w:spacing w:line="400" w:lineRule="exact"/>
        <w:ind w:firstLine="562" w:firstLineChars="200"/>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2.供应商的2024年的财务状况报告或供应商开户行出具的银行资信证明文件复印件或扫描件（格式自拟。财务状况报告的内容应包括：资产负债表、利润表、现金流量表，三缺一不可，三表可以是供应商自行编制也可以是第三方的审计报告。若为新成立的企业，请根据实际情况提供）（必须提供）</w:t>
      </w:r>
      <w:r>
        <w:rPr>
          <w:rFonts w:hint="eastAsia" w:ascii="宋体" w:hAnsi="宋体" w:cs="宋体"/>
          <w:b/>
          <w:bCs/>
          <w:color w:val="000000" w:themeColor="text1"/>
          <w:kern w:val="0"/>
          <w:sz w:val="28"/>
          <w:szCs w:val="28"/>
          <w:highlight w:val="none"/>
          <w14:textFill>
            <w14:solidFill>
              <w14:schemeClr w14:val="tx1"/>
            </w14:solidFill>
          </w14:textFill>
        </w:rPr>
        <w:t>；</w:t>
      </w:r>
    </w:p>
    <w:p w14:paraId="60BF11E8">
      <w:pPr>
        <w:snapToGrid w:val="0"/>
        <w:spacing w:line="400" w:lineRule="exact"/>
        <w:ind w:firstLine="411" w:firstLineChars="196"/>
        <w:rPr>
          <w:rFonts w:ascii="宋体" w:hAnsi="宋体" w:cs="宋体"/>
          <w:color w:val="000000" w:themeColor="text1"/>
          <w:kern w:val="0"/>
          <w:szCs w:val="21"/>
          <w:highlight w:val="none"/>
          <w14:textFill>
            <w14:solidFill>
              <w14:schemeClr w14:val="tx1"/>
            </w14:solidFill>
          </w14:textFill>
        </w:rPr>
      </w:pPr>
    </w:p>
    <w:p w14:paraId="395C7C0D">
      <w:pPr>
        <w:snapToGrid w:val="0"/>
        <w:spacing w:line="400" w:lineRule="exact"/>
        <w:ind w:firstLine="411" w:firstLineChars="196"/>
        <w:rPr>
          <w:rFonts w:ascii="宋体" w:hAnsi="宋体" w:cs="宋体"/>
          <w:color w:val="000000" w:themeColor="text1"/>
          <w:kern w:val="0"/>
          <w:szCs w:val="21"/>
          <w:highlight w:val="none"/>
          <w14:textFill>
            <w14:solidFill>
              <w14:schemeClr w14:val="tx1"/>
            </w14:solidFill>
          </w14:textFill>
        </w:rPr>
      </w:pPr>
    </w:p>
    <w:p w14:paraId="61ED1B80">
      <w:pPr>
        <w:pStyle w:val="2"/>
        <w:rPr>
          <w:color w:val="000000" w:themeColor="text1"/>
          <w:highlight w:val="none"/>
          <w14:textFill>
            <w14:solidFill>
              <w14:schemeClr w14:val="tx1"/>
            </w14:solidFill>
          </w14:textFill>
        </w:rPr>
      </w:pPr>
    </w:p>
    <w:p w14:paraId="49730C24">
      <w:pPr>
        <w:snapToGrid w:val="0"/>
        <w:spacing w:line="400" w:lineRule="exact"/>
        <w:ind w:firstLine="411" w:firstLineChars="196"/>
        <w:rPr>
          <w:rFonts w:ascii="宋体" w:hAnsi="宋体" w:cs="宋体"/>
          <w:color w:val="000000" w:themeColor="text1"/>
          <w:kern w:val="0"/>
          <w:szCs w:val="21"/>
          <w:highlight w:val="none"/>
          <w14:textFill>
            <w14:solidFill>
              <w14:schemeClr w14:val="tx1"/>
            </w14:solidFill>
          </w14:textFill>
        </w:rPr>
      </w:pPr>
    </w:p>
    <w:p w14:paraId="7679524F">
      <w:pPr>
        <w:snapToGrid w:val="0"/>
        <w:spacing w:line="400" w:lineRule="exact"/>
        <w:ind w:firstLine="562" w:firstLineChars="200"/>
        <w:rPr>
          <w:rFonts w:ascii="宋体" w:hAnsi="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3.供应商2025年1月以来任意一个月的依法缴纳社保费的缴费凭证或依法免缴社保的证明复印件或扫描件</w:t>
      </w:r>
      <w:r>
        <w:rPr>
          <w:rFonts w:hint="eastAsia" w:ascii="宋体" w:hAnsi="宋体"/>
          <w:b/>
          <w:color w:val="000000" w:themeColor="text1"/>
          <w:sz w:val="28"/>
          <w:szCs w:val="28"/>
          <w:highlight w:val="none"/>
          <w14:textFill>
            <w14:solidFill>
              <w14:schemeClr w14:val="tx1"/>
            </w14:solidFill>
          </w14:textFill>
        </w:rPr>
        <w:t>（无缴费记录的，应提供由供应商所在地社保部门出具的《依法免缴社保费证明》；若为新成立的企业，请根据实际情况提供。格式自拟）（必须提供）；</w:t>
      </w:r>
    </w:p>
    <w:p w14:paraId="64B9FDE4">
      <w:pPr>
        <w:pStyle w:val="2"/>
        <w:rPr>
          <w:color w:val="000000" w:themeColor="text1"/>
          <w:sz w:val="21"/>
          <w:szCs w:val="21"/>
          <w:highlight w:val="none"/>
          <w14:textFill>
            <w14:solidFill>
              <w14:schemeClr w14:val="tx1"/>
            </w14:solidFill>
          </w14:textFill>
        </w:rPr>
      </w:pPr>
    </w:p>
    <w:p w14:paraId="27C5DA5E">
      <w:pPr>
        <w:snapToGrid w:val="0"/>
        <w:spacing w:line="400" w:lineRule="exact"/>
        <w:ind w:firstLine="562" w:firstLineChars="200"/>
        <w:rPr>
          <w:rFonts w:ascii="宋体" w:hAnsi="宋体"/>
          <w:b/>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4.供应商2025年1月以来任意一个月的依法纳税的依法缴纳税费凭证或依法免缴税费的证明复印件或扫描件</w:t>
      </w:r>
      <w:r>
        <w:rPr>
          <w:rFonts w:hint="eastAsia" w:hAnsi="宋体"/>
          <w:b/>
          <w:color w:val="000000" w:themeColor="text1"/>
          <w:sz w:val="28"/>
          <w:szCs w:val="28"/>
          <w:highlight w:val="none"/>
          <w14:textFill>
            <w14:solidFill>
              <w14:schemeClr w14:val="tx1"/>
            </w14:solidFill>
          </w14:textFill>
        </w:rPr>
        <w:t>（证明材料为：供应商缴纳的增值税或营业税或企业所得税的凭据或完税证明等材料；无纳税记录的，应提供由供应商所在地主管国税或地税部门出具的《依法免税证明》；若为新成立的企业，请根据实际情况提供。</w:t>
      </w:r>
      <w:r>
        <w:rPr>
          <w:rFonts w:hint="eastAsia" w:ascii="宋体" w:hAnsi="宋体"/>
          <w:b/>
          <w:color w:val="000000" w:themeColor="text1"/>
          <w:sz w:val="28"/>
          <w:szCs w:val="28"/>
          <w:highlight w:val="none"/>
          <w14:textFill>
            <w14:solidFill>
              <w14:schemeClr w14:val="tx1"/>
            </w14:solidFill>
          </w14:textFill>
        </w:rPr>
        <w:t>格式自拟</w:t>
      </w:r>
      <w:r>
        <w:rPr>
          <w:rFonts w:hint="eastAsia" w:hAnsi="宋体"/>
          <w:b/>
          <w:color w:val="000000" w:themeColor="text1"/>
          <w:sz w:val="28"/>
          <w:szCs w:val="28"/>
          <w:highlight w:val="none"/>
          <w14:textFill>
            <w14:solidFill>
              <w14:schemeClr w14:val="tx1"/>
            </w14:solidFill>
          </w14:textFill>
        </w:rPr>
        <w:t>）</w:t>
      </w:r>
      <w:r>
        <w:rPr>
          <w:rFonts w:hint="eastAsia" w:ascii="宋体" w:hAnsi="宋体"/>
          <w:b/>
          <w:color w:val="000000" w:themeColor="text1"/>
          <w:sz w:val="28"/>
          <w:szCs w:val="28"/>
          <w:highlight w:val="none"/>
          <w14:textFill>
            <w14:solidFill>
              <w14:schemeClr w14:val="tx1"/>
            </w14:solidFill>
          </w14:textFill>
        </w:rPr>
        <w:t>（必须提供）；</w:t>
      </w:r>
    </w:p>
    <w:p w14:paraId="53ED91AC">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24B0ADE7">
      <w:pPr>
        <w:spacing w:line="400" w:lineRule="exact"/>
        <w:rPr>
          <w:rFonts w:ascii="宋体" w:hAnsi="宋体" w:eastAsia="宋体" w:cs="Times New Roman"/>
          <w:b/>
          <w:color w:val="000000" w:themeColor="text1"/>
          <w:sz w:val="28"/>
          <w:szCs w:val="28"/>
          <w:highlight w:val="none"/>
          <w14:textFill>
            <w14:solidFill>
              <w14:schemeClr w14:val="tx1"/>
            </w14:solidFill>
          </w14:textFill>
        </w:rPr>
      </w:pPr>
    </w:p>
    <w:p w14:paraId="71D32D32">
      <w:pPr>
        <w:spacing w:line="400" w:lineRule="exact"/>
        <w:rPr>
          <w:rFonts w:ascii="宋体" w:hAnsi="宋体" w:eastAsia="宋体" w:cs="Times New Roman"/>
          <w:b/>
          <w:color w:val="000000" w:themeColor="text1"/>
          <w:sz w:val="28"/>
          <w:szCs w:val="28"/>
          <w:highlight w:val="none"/>
          <w14:textFill>
            <w14:solidFill>
              <w14:schemeClr w14:val="tx1"/>
            </w14:solidFill>
          </w14:textFill>
        </w:rPr>
      </w:pPr>
    </w:p>
    <w:p w14:paraId="5F8A6E36">
      <w:pPr>
        <w:spacing w:line="400" w:lineRule="exact"/>
        <w:rPr>
          <w:rFonts w:ascii="宋体" w:hAnsi="宋体" w:eastAsia="宋体" w:cs="Times New Roman"/>
          <w:b/>
          <w:color w:val="000000" w:themeColor="text1"/>
          <w:sz w:val="28"/>
          <w:szCs w:val="28"/>
          <w:highlight w:val="none"/>
          <w14:textFill>
            <w14:solidFill>
              <w14:schemeClr w14:val="tx1"/>
            </w14:solidFill>
          </w14:textFill>
        </w:rPr>
      </w:pPr>
    </w:p>
    <w:p w14:paraId="57D6A1B1">
      <w:pPr>
        <w:spacing w:line="400" w:lineRule="exact"/>
        <w:ind w:firstLine="562" w:firstLineChars="200"/>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5.供应商参加政府采购活动前3年内在经营活动中没有重大违法记录及有关信用信息、前期服务情况的书面声明（必须提供）</w:t>
      </w:r>
    </w:p>
    <w:p w14:paraId="6733CA69">
      <w:pPr>
        <w:spacing w:line="400" w:lineRule="exact"/>
        <w:ind w:left="420" w:leftChars="200" w:firstLine="138" w:firstLineChars="49"/>
        <w:rPr>
          <w:rFonts w:ascii="宋体" w:hAnsi="宋体" w:eastAsia="宋体" w:cs="Times New Roman"/>
          <w:b/>
          <w:color w:val="000000" w:themeColor="text1"/>
          <w:sz w:val="28"/>
          <w:szCs w:val="28"/>
          <w:highlight w:val="none"/>
          <w14:textFill>
            <w14:solidFill>
              <w14:schemeClr w14:val="tx1"/>
            </w14:solidFill>
          </w14:textFill>
        </w:rPr>
      </w:pPr>
    </w:p>
    <w:p w14:paraId="7CB67840">
      <w:pPr>
        <w:spacing w:line="400" w:lineRule="exact"/>
        <w:ind w:left="420" w:leftChars="200" w:firstLine="138" w:firstLineChars="49"/>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附件：</w:t>
      </w:r>
    </w:p>
    <w:p w14:paraId="1C74C37C">
      <w:pPr>
        <w:spacing w:line="400" w:lineRule="exact"/>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声   明（格式）</w:t>
      </w:r>
    </w:p>
    <w:p w14:paraId="259C8B78">
      <w:pPr>
        <w:snapToGrid w:val="0"/>
        <w:spacing w:line="400" w:lineRule="exact"/>
        <w:outlineLvl w:val="4"/>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致</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u w:val="single"/>
          <w14:textFill>
            <w14:solidFill>
              <w14:schemeClr w14:val="tx1"/>
            </w14:solidFill>
          </w14:textFill>
        </w:rPr>
        <w:t>广西中信恒泰工程顾问有限公司</w:t>
      </w:r>
    </w:p>
    <w:p w14:paraId="2C5C676D">
      <w:pPr>
        <w:snapToGrid w:val="0"/>
        <w:spacing w:line="400" w:lineRule="exact"/>
        <w:outlineLvl w:val="4"/>
        <w:rPr>
          <w:rFonts w:ascii="宋体" w:hAnsi="宋体" w:eastAsia="宋体" w:cs="Times New Roman"/>
          <w:color w:val="000000" w:themeColor="text1"/>
          <w:szCs w:val="21"/>
          <w:highlight w:val="none"/>
          <w:u w:val="single"/>
          <w14:textFill>
            <w14:solidFill>
              <w14:schemeClr w14:val="tx1"/>
            </w14:solidFill>
          </w14:textFill>
        </w:rPr>
      </w:pPr>
    </w:p>
    <w:p w14:paraId="6A40827C">
      <w:pPr>
        <w:spacing w:line="400" w:lineRule="exact"/>
        <w:ind w:firstLine="420" w:firstLineChars="200"/>
        <w:rPr>
          <w:rFonts w:ascii="宋体" w:hAnsi="Courier New" w:eastAsia="宋体" w:cs="Times New Roman"/>
          <w:color w:val="000000" w:themeColor="text1"/>
          <w:szCs w:val="21"/>
          <w:highlight w:val="none"/>
          <w14:textFill>
            <w14:solidFill>
              <w14:schemeClr w14:val="tx1"/>
            </w14:solidFill>
          </w14:textFill>
        </w:rPr>
      </w:pPr>
      <w:r>
        <w:rPr>
          <w:rFonts w:hint="eastAsia" w:ascii="宋体" w:hAnsi="Courier New" w:eastAsia="宋体" w:cs="Times New Roman"/>
          <w:color w:val="000000" w:themeColor="text1"/>
          <w:szCs w:val="21"/>
          <w:highlight w:val="none"/>
          <w14:textFill>
            <w14:solidFill>
              <w14:schemeClr w14:val="tx1"/>
            </w14:solidFill>
          </w14:textFill>
        </w:rPr>
        <w:t>我公司郑重声明：</w:t>
      </w:r>
    </w:p>
    <w:p w14:paraId="14519EEE">
      <w:pPr>
        <w:spacing w:line="44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hAnsi="宋体" w:eastAsia="宋体" w:cs="Times New Roman"/>
          <w:color w:val="000000" w:themeColor="text1"/>
          <w:szCs w:val="24"/>
          <w:highlight w:val="none"/>
          <w14:textFill>
            <w14:solidFill>
              <w14:schemeClr w14:val="tx1"/>
            </w14:solidFill>
          </w14:textFill>
        </w:rPr>
        <w:t>，未被列入失信被执行人、重大税收违法失信主体、政府采购严重违法失信行为记录名单，我方对此声明负全部法律责任。</w:t>
      </w:r>
    </w:p>
    <w:p w14:paraId="3783AAA7">
      <w:pPr>
        <w:spacing w:line="440" w:lineRule="exact"/>
        <w:ind w:firstLine="420" w:firstLineChars="20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2.在参加本项目政府采购活动前不属于</w:t>
      </w:r>
      <w:r>
        <w:rPr>
          <w:rFonts w:hint="eastAsia" w:ascii="宋体" w:hAnsi="宋体" w:eastAsia="宋体" w:cs="Arial"/>
          <w:color w:val="000000" w:themeColor="text1"/>
          <w:szCs w:val="20"/>
          <w:highlight w:val="none"/>
          <w14:textFill>
            <w14:solidFill>
              <w14:schemeClr w14:val="tx1"/>
            </w14:solidFill>
          </w14:textFill>
        </w:rPr>
        <w:t>为本采购项目提供整体设计、规范编制或者项目管理、监理、检测等服务的供应商。</w:t>
      </w:r>
    </w:p>
    <w:p w14:paraId="581240DD">
      <w:pPr>
        <w:snapToGrid w:val="0"/>
        <w:spacing w:line="400" w:lineRule="exact"/>
        <w:outlineLvl w:val="4"/>
        <w:rPr>
          <w:rFonts w:ascii="宋体" w:hAnsi="宋体" w:eastAsia="宋体" w:cs="Times New Roman"/>
          <w:color w:val="000000" w:themeColor="text1"/>
          <w:szCs w:val="21"/>
          <w:highlight w:val="none"/>
          <w14:textFill>
            <w14:solidFill>
              <w14:schemeClr w14:val="tx1"/>
            </w14:solidFill>
          </w14:textFill>
        </w:rPr>
      </w:pPr>
    </w:p>
    <w:p w14:paraId="7EC95DBC">
      <w:pPr>
        <w:snapToGrid w:val="0"/>
        <w:spacing w:line="40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p>
    <w:p w14:paraId="103F80B6">
      <w:pPr>
        <w:snapToGrid w:val="0"/>
        <w:spacing w:line="40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p>
    <w:p w14:paraId="6C5600B1">
      <w:pPr>
        <w:wordWrap w:val="0"/>
        <w:snapToGrid w:val="0"/>
        <w:spacing w:line="600" w:lineRule="exact"/>
        <w:ind w:firstLine="3150" w:firstLineChars="1500"/>
        <w:outlineLvl w:val="4"/>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供应商名称（加盖供应商CA证书签章，自然人除外）：</w:t>
      </w:r>
    </w:p>
    <w:p w14:paraId="697A159A">
      <w:pPr>
        <w:wordWrap w:val="0"/>
        <w:spacing w:line="600" w:lineRule="exact"/>
        <w:ind w:firstLine="3360" w:firstLineChars="160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法定代表人或负责人或自然人或相应的委托代理人</w:t>
      </w:r>
    </w:p>
    <w:p w14:paraId="463728F5">
      <w:pPr>
        <w:wordWrap w:val="0"/>
        <w:spacing w:line="600" w:lineRule="exact"/>
        <w:ind w:firstLine="3675" w:firstLineChars="1750"/>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签字或加盖个人CA证书签章：</w:t>
      </w:r>
    </w:p>
    <w:p w14:paraId="17BF485B">
      <w:pPr>
        <w:wordWrap w:val="0"/>
        <w:spacing w:line="340" w:lineRule="exact"/>
        <w:ind w:firstLine="5565" w:firstLineChars="265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日   期：</w:t>
      </w:r>
    </w:p>
    <w:p w14:paraId="1AA02E5D">
      <w:pPr>
        <w:rPr>
          <w:rFonts w:ascii="宋体" w:hAnsi="宋体" w:eastAsia="宋体" w:cs="Times New Roman"/>
          <w:b/>
          <w:color w:val="000000" w:themeColor="text1"/>
          <w:sz w:val="32"/>
          <w:szCs w:val="20"/>
          <w:highlight w:val="none"/>
          <w14:textFill>
            <w14:solidFill>
              <w14:schemeClr w14:val="tx1"/>
            </w14:solidFill>
          </w14:textFill>
        </w:rPr>
      </w:pPr>
    </w:p>
    <w:p w14:paraId="7218AF69">
      <w:pPr>
        <w:rPr>
          <w:rFonts w:ascii="宋体" w:hAnsi="宋体" w:eastAsia="宋体" w:cs="Times New Roman"/>
          <w:b/>
          <w:bCs/>
          <w:color w:val="000000" w:themeColor="text1"/>
          <w:sz w:val="32"/>
          <w:szCs w:val="32"/>
          <w:highlight w:val="none"/>
          <w14:textFill>
            <w14:solidFill>
              <w14:schemeClr w14:val="tx1"/>
            </w14:solidFill>
          </w14:textFill>
        </w:rPr>
      </w:pPr>
    </w:p>
    <w:p w14:paraId="68163FCA">
      <w:pPr>
        <w:spacing w:line="440" w:lineRule="atLeast"/>
        <w:rPr>
          <w:rFonts w:ascii="宋体" w:hAnsi="宋体" w:eastAsia="宋体" w:cs="Times New Roman"/>
          <w:b/>
          <w:color w:val="000000" w:themeColor="text1"/>
          <w:sz w:val="28"/>
          <w:szCs w:val="28"/>
          <w:highlight w:val="none"/>
          <w14:textFill>
            <w14:solidFill>
              <w14:schemeClr w14:val="tx1"/>
            </w14:solidFill>
          </w14:textFill>
        </w:rPr>
      </w:pPr>
    </w:p>
    <w:p w14:paraId="2E6B3C4E">
      <w:pPr>
        <w:spacing w:line="440" w:lineRule="atLeast"/>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二、商务、技术响应证明材料</w:t>
      </w:r>
    </w:p>
    <w:p w14:paraId="722DCE90">
      <w:pPr>
        <w:spacing w:line="320" w:lineRule="exact"/>
        <w:ind w:firstLine="562" w:firstLineChars="200"/>
        <w:rPr>
          <w:rFonts w:ascii="宋体" w:hAnsi="宋体" w:eastAsia="宋体" w:cs="Times New Roman"/>
          <w:b/>
          <w:color w:val="000000" w:themeColor="text1"/>
          <w:sz w:val="28"/>
          <w:szCs w:val="28"/>
          <w:highlight w:val="none"/>
          <w14:textFill>
            <w14:solidFill>
              <w14:schemeClr w14:val="tx1"/>
            </w14:solidFill>
          </w14:textFill>
        </w:rPr>
      </w:pPr>
    </w:p>
    <w:p w14:paraId="7872858A">
      <w:pPr>
        <w:spacing w:line="440" w:lineRule="atLeast"/>
        <w:rPr>
          <w:rFonts w:ascii="宋体" w:hAnsi="宋体" w:eastAsia="宋体" w:cs="Times New Roman"/>
          <w:b/>
          <w:color w:val="000000" w:themeColor="text1"/>
          <w:sz w:val="28"/>
          <w:szCs w:val="28"/>
          <w:highlight w:val="none"/>
          <w14:textFill>
            <w14:solidFill>
              <w14:schemeClr w14:val="tx1"/>
            </w14:solidFill>
          </w14:textFill>
        </w:rPr>
      </w:pPr>
    </w:p>
    <w:p w14:paraId="4E42DDE8">
      <w:pPr>
        <w:rPr>
          <w:rFonts w:ascii="Times New Roman" w:hAnsi="Times New Roman" w:eastAsia="宋体" w:cs="Times New Roman"/>
          <w:bCs/>
          <w:color w:val="000000" w:themeColor="text1"/>
          <w:sz w:val="32"/>
          <w:szCs w:val="32"/>
          <w:highlight w:val="none"/>
          <w14:textFill>
            <w14:solidFill>
              <w14:schemeClr w14:val="tx1"/>
            </w14:solidFill>
          </w14:textFill>
        </w:rPr>
      </w:pPr>
      <w:r>
        <w:rPr>
          <w:rFonts w:hint="eastAsia" w:ascii="Times New Roman" w:hAnsi="Times New Roman" w:eastAsia="宋体" w:cs="Times New Roman"/>
          <w:bCs/>
          <w:color w:val="000000" w:themeColor="text1"/>
          <w:sz w:val="32"/>
          <w:szCs w:val="32"/>
          <w:highlight w:val="none"/>
          <w14:textFill>
            <w14:solidFill>
              <w14:schemeClr w14:val="tx1"/>
            </w14:solidFill>
          </w14:textFill>
        </w:rPr>
        <w:t>商务、技术响应证明文件封面格式</w:t>
      </w:r>
    </w:p>
    <w:p w14:paraId="7A418802">
      <w:pPr>
        <w:snapToGrid w:val="0"/>
        <w:spacing w:before="120" w:beforeLines="50" w:after="50"/>
        <w:jc w:val="center"/>
        <w:rPr>
          <w:rFonts w:ascii="Times New Roman" w:hAnsi="Times New Roman" w:eastAsia="宋体" w:cs="Times New Roman"/>
          <w:bCs/>
          <w:color w:val="000000" w:themeColor="text1"/>
          <w:sz w:val="32"/>
          <w:szCs w:val="32"/>
          <w:highlight w:val="none"/>
          <w14:textFill>
            <w14:solidFill>
              <w14:schemeClr w14:val="tx1"/>
            </w14:solidFill>
          </w14:textFill>
        </w:rPr>
      </w:pPr>
    </w:p>
    <w:p w14:paraId="54BDF322">
      <w:pPr>
        <w:keepNext/>
        <w:keepLines/>
        <w:spacing w:before="280" w:after="290" w:line="376" w:lineRule="auto"/>
        <w:outlineLvl w:val="3"/>
        <w:rPr>
          <w:rFonts w:ascii="Arial" w:hAnsi="Arial" w:eastAsia="黑体" w:cs="Times New Roman"/>
          <w:bCs/>
          <w:color w:val="000000" w:themeColor="text1"/>
          <w:sz w:val="28"/>
          <w:szCs w:val="28"/>
          <w:highlight w:val="none"/>
          <w14:textFill>
            <w14:solidFill>
              <w14:schemeClr w14:val="tx1"/>
            </w14:solidFill>
          </w14:textFill>
        </w:rPr>
      </w:pPr>
    </w:p>
    <w:p w14:paraId="264ADE08">
      <w:pPr>
        <w:snapToGrid w:val="0"/>
        <w:spacing w:before="120" w:beforeLines="50" w:after="50"/>
        <w:jc w:val="center"/>
        <w:rPr>
          <w:rFonts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14:textFill>
            <w14:solidFill>
              <w14:schemeClr w14:val="tx1"/>
            </w14:solidFill>
          </w14:textFill>
        </w:rPr>
        <w:t>响 应 文 件</w:t>
      </w:r>
    </w:p>
    <w:p w14:paraId="520A4DE4">
      <w:pPr>
        <w:snapToGrid w:val="0"/>
        <w:spacing w:before="120" w:beforeLines="50" w:after="50"/>
        <w:rPr>
          <w:rFonts w:ascii="宋体" w:hAnsi="宋体" w:eastAsia="宋体" w:cs="宋体"/>
          <w:color w:val="000000" w:themeColor="text1"/>
          <w:sz w:val="28"/>
          <w:szCs w:val="28"/>
          <w:highlight w:val="none"/>
          <w14:textFill>
            <w14:solidFill>
              <w14:schemeClr w14:val="tx1"/>
            </w14:solidFill>
          </w14:textFill>
        </w:rPr>
      </w:pPr>
    </w:p>
    <w:p w14:paraId="0FA1E37A">
      <w:pPr>
        <w:snapToGrid w:val="0"/>
        <w:spacing w:before="120" w:beforeLines="50" w:after="50"/>
        <w:ind w:firstLine="480" w:firstLineChars="150"/>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（商务、技术响应证明文件）</w:t>
      </w:r>
    </w:p>
    <w:p w14:paraId="39230387">
      <w:pPr>
        <w:snapToGrid w:val="0"/>
        <w:spacing w:before="120" w:beforeLines="50" w:after="50"/>
        <w:ind w:firstLine="420" w:firstLineChars="150"/>
        <w:rPr>
          <w:rFonts w:ascii="宋体" w:hAnsi="宋体" w:eastAsia="宋体" w:cs="宋体"/>
          <w:color w:val="000000" w:themeColor="text1"/>
          <w:sz w:val="28"/>
          <w:szCs w:val="28"/>
          <w:highlight w:val="none"/>
          <w14:textFill>
            <w14:solidFill>
              <w14:schemeClr w14:val="tx1"/>
            </w14:solidFill>
          </w14:textFill>
        </w:rPr>
      </w:pPr>
    </w:p>
    <w:p w14:paraId="3C080C30">
      <w:pPr>
        <w:snapToGrid w:val="0"/>
        <w:spacing w:before="120" w:beforeLines="50" w:after="50"/>
        <w:ind w:firstLine="420" w:firstLineChars="150"/>
        <w:rPr>
          <w:rFonts w:ascii="宋体" w:hAnsi="宋体" w:eastAsia="宋体" w:cs="宋体"/>
          <w:color w:val="000000" w:themeColor="text1"/>
          <w:sz w:val="28"/>
          <w:szCs w:val="28"/>
          <w:highlight w:val="none"/>
          <w14:textFill>
            <w14:solidFill>
              <w14:schemeClr w14:val="tx1"/>
            </w14:solidFill>
          </w14:textFill>
        </w:rPr>
      </w:pPr>
    </w:p>
    <w:p w14:paraId="6C15234F">
      <w:pPr>
        <w:snapToGrid w:val="0"/>
        <w:spacing w:before="120" w:beforeLines="50" w:after="50"/>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桂林航天工业学院-体育馆设备采购项目</w:t>
      </w:r>
    </w:p>
    <w:p w14:paraId="338B4FE8">
      <w:pPr>
        <w:snapToGrid w:val="0"/>
        <w:spacing w:before="120" w:beforeLines="50" w:after="50"/>
        <w:ind w:firstLine="2520" w:firstLineChars="900"/>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GXZC2025-J1-003235-GXZX</w:t>
      </w:r>
    </w:p>
    <w:p w14:paraId="1FFB73AE">
      <w:pPr>
        <w:spacing w:line="400" w:lineRule="exact"/>
        <w:ind w:firstLine="2693" w:firstLineChars="962"/>
        <w:rPr>
          <w:rFonts w:ascii="宋体" w:hAnsi="宋体" w:eastAsia="宋体" w:cs="宋体"/>
          <w:color w:val="000000" w:themeColor="text1"/>
          <w:sz w:val="28"/>
          <w:szCs w:val="28"/>
          <w:highlight w:val="none"/>
          <w14:textFill>
            <w14:solidFill>
              <w14:schemeClr w14:val="tx1"/>
            </w14:solidFill>
          </w14:textFill>
        </w:rPr>
      </w:pPr>
    </w:p>
    <w:p w14:paraId="4A35A2B9">
      <w:pPr>
        <w:spacing w:line="400" w:lineRule="exact"/>
        <w:ind w:firstLine="2693" w:firstLineChars="962"/>
        <w:rPr>
          <w:rFonts w:ascii="宋体" w:hAnsi="宋体" w:eastAsia="宋体" w:cs="宋体"/>
          <w:color w:val="000000" w:themeColor="text1"/>
          <w:sz w:val="28"/>
          <w:szCs w:val="28"/>
          <w:highlight w:val="none"/>
          <w14:textFill>
            <w14:solidFill>
              <w14:schemeClr w14:val="tx1"/>
            </w14:solidFill>
          </w14:textFill>
        </w:rPr>
      </w:pPr>
    </w:p>
    <w:p w14:paraId="529A5165">
      <w:pPr>
        <w:spacing w:line="400" w:lineRule="exact"/>
        <w:ind w:firstLine="2693" w:firstLineChars="962"/>
        <w:rPr>
          <w:rFonts w:ascii="宋体" w:hAnsi="宋体" w:eastAsia="宋体" w:cs="宋体"/>
          <w:color w:val="000000" w:themeColor="text1"/>
          <w:sz w:val="28"/>
          <w:szCs w:val="28"/>
          <w:highlight w:val="none"/>
          <w14:textFill>
            <w14:solidFill>
              <w14:schemeClr w14:val="tx1"/>
            </w14:solidFill>
          </w14:textFill>
        </w:rPr>
      </w:pPr>
    </w:p>
    <w:p w14:paraId="16DD9D7C">
      <w:pPr>
        <w:spacing w:line="400" w:lineRule="exact"/>
        <w:ind w:firstLine="2693" w:firstLineChars="962"/>
        <w:rPr>
          <w:rFonts w:ascii="宋体" w:hAnsi="宋体" w:eastAsia="宋体" w:cs="宋体"/>
          <w:color w:val="000000" w:themeColor="text1"/>
          <w:sz w:val="28"/>
          <w:szCs w:val="28"/>
          <w:highlight w:val="none"/>
          <w14:textFill>
            <w14:solidFill>
              <w14:schemeClr w14:val="tx1"/>
            </w14:solidFill>
          </w14:textFill>
        </w:rPr>
      </w:pPr>
    </w:p>
    <w:p w14:paraId="54FDCFEB">
      <w:pPr>
        <w:spacing w:line="400" w:lineRule="exact"/>
        <w:ind w:firstLine="2693" w:firstLineChars="962"/>
        <w:rPr>
          <w:rFonts w:ascii="宋体" w:hAnsi="宋体" w:eastAsia="宋体" w:cs="宋体"/>
          <w:color w:val="000000" w:themeColor="text1"/>
          <w:sz w:val="28"/>
          <w:szCs w:val="28"/>
          <w:highlight w:val="none"/>
          <w14:textFill>
            <w14:solidFill>
              <w14:schemeClr w14:val="tx1"/>
            </w14:solidFill>
          </w14:textFill>
        </w:rPr>
      </w:pPr>
    </w:p>
    <w:p w14:paraId="1EE500F0">
      <w:pPr>
        <w:wordWrap w:val="0"/>
        <w:snapToGrid w:val="0"/>
        <w:spacing w:before="120" w:beforeLines="50" w:after="50"/>
        <w:jc w:val="center"/>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采购代理机构：</w:t>
      </w:r>
      <w:r>
        <w:rPr>
          <w:rFonts w:hint="eastAsia" w:ascii="宋体" w:hAnsi="宋体" w:eastAsia="宋体" w:cs="宋体"/>
          <w:color w:val="000000" w:themeColor="text1"/>
          <w:sz w:val="28"/>
          <w:szCs w:val="28"/>
          <w:highlight w:val="none"/>
          <w:u w:val="single"/>
          <w14:textFill>
            <w14:solidFill>
              <w14:schemeClr w14:val="tx1"/>
            </w14:solidFill>
          </w14:textFill>
        </w:rPr>
        <w:t>广西中信恒泰工程顾问有限公司</w:t>
      </w:r>
    </w:p>
    <w:p w14:paraId="046C9E08">
      <w:pPr>
        <w:wordWrap w:val="0"/>
        <w:spacing w:line="500" w:lineRule="exact"/>
        <w:ind w:firstLine="1496" w:firstLineChars="550"/>
        <w:rPr>
          <w:rFonts w:ascii="宋体" w:hAnsi="宋体" w:eastAsia="宋体" w:cs="宋体"/>
          <w:bCs/>
          <w:color w:val="000000" w:themeColor="text1"/>
          <w:spacing w:val="-4"/>
          <w:sz w:val="28"/>
          <w:szCs w:val="28"/>
          <w:highlight w:val="none"/>
          <w:u w:val="single"/>
          <w14:textFill>
            <w14:solidFill>
              <w14:schemeClr w14:val="tx1"/>
            </w14:solidFill>
          </w14:textFill>
        </w:rPr>
      </w:pPr>
      <w:r>
        <w:rPr>
          <w:rFonts w:hint="eastAsia" w:ascii="宋体" w:hAnsi="宋体" w:eastAsia="宋体" w:cs="宋体"/>
          <w:bCs/>
          <w:color w:val="000000" w:themeColor="text1"/>
          <w:spacing w:val="-4"/>
          <w:sz w:val="28"/>
          <w:szCs w:val="28"/>
          <w:highlight w:val="none"/>
          <w14:textFill>
            <w14:solidFill>
              <w14:schemeClr w14:val="tx1"/>
            </w14:solidFill>
          </w14:textFill>
        </w:rPr>
        <w:t>供应商名称：</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p>
    <w:p w14:paraId="130C7BA6">
      <w:pPr>
        <w:wordWrap w:val="0"/>
        <w:spacing w:line="500" w:lineRule="exact"/>
        <w:ind w:left="544" w:hanging="544" w:hangingChars="200"/>
        <w:rPr>
          <w:rFonts w:ascii="宋体" w:hAnsi="宋体" w:eastAsia="宋体" w:cs="宋体"/>
          <w:bCs/>
          <w:color w:val="000000" w:themeColor="text1"/>
          <w:spacing w:val="-4"/>
          <w:sz w:val="28"/>
          <w:szCs w:val="28"/>
          <w:highlight w:val="none"/>
          <w:u w:val="single"/>
          <w14:textFill>
            <w14:solidFill>
              <w14:schemeClr w14:val="tx1"/>
            </w14:solidFill>
          </w14:textFill>
        </w:rPr>
      </w:pPr>
      <w:r>
        <w:rPr>
          <w:rFonts w:hint="eastAsia" w:ascii="宋体" w:hAnsi="宋体" w:eastAsia="宋体" w:cs="宋体"/>
          <w:bCs/>
          <w:color w:val="000000" w:themeColor="text1"/>
          <w:spacing w:val="-4"/>
          <w:sz w:val="28"/>
          <w:szCs w:val="28"/>
          <w:highlight w:val="none"/>
          <w14:textFill>
            <w14:solidFill>
              <w14:schemeClr w14:val="tx1"/>
            </w14:solidFill>
          </w14:textFill>
        </w:rPr>
        <w:t xml:space="preserve">            联系电话：</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p>
    <w:p w14:paraId="4B6FCD2B">
      <w:pPr>
        <w:wordWrap w:val="0"/>
        <w:spacing w:line="500" w:lineRule="exact"/>
        <w:ind w:left="544" w:hanging="544" w:hangingChars="200"/>
        <w:rPr>
          <w:rFonts w:ascii="宋体" w:hAnsi="宋体" w:eastAsia="宋体" w:cs="宋体"/>
          <w:color w:val="000000" w:themeColor="text1"/>
          <w:spacing w:val="-4"/>
          <w:sz w:val="18"/>
          <w:szCs w:val="32"/>
          <w:highlight w:val="none"/>
          <w14:textFill>
            <w14:solidFill>
              <w14:schemeClr w14:val="tx1"/>
            </w14:solidFill>
          </w14:textFill>
        </w:rPr>
      </w:pPr>
      <w:r>
        <w:rPr>
          <w:rFonts w:hint="eastAsia" w:ascii="宋体" w:hAnsi="宋体" w:eastAsia="宋体" w:cs="宋体"/>
          <w:bCs/>
          <w:color w:val="000000" w:themeColor="text1"/>
          <w:spacing w:val="-4"/>
          <w:sz w:val="28"/>
          <w:szCs w:val="28"/>
          <w:highlight w:val="none"/>
          <w14:textFill>
            <w14:solidFill>
              <w14:schemeClr w14:val="tx1"/>
            </w14:solidFill>
          </w14:textFill>
        </w:rPr>
        <w:t xml:space="preserve">            日  期：</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年</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月</w:t>
      </w:r>
      <w:r>
        <w:rPr>
          <w:rFonts w:hint="eastAsia" w:ascii="宋体" w:hAnsi="宋体" w:eastAsia="宋体" w:cs="宋体"/>
          <w:bCs/>
          <w:color w:val="000000" w:themeColor="text1"/>
          <w:spacing w:val="-4"/>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日</w:t>
      </w:r>
    </w:p>
    <w:p w14:paraId="674CFDB8">
      <w:pPr>
        <w:wordWrap w:val="0"/>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504ADFBD">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57FB589D">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5CCFAC5A">
      <w:pPr>
        <w:tabs>
          <w:tab w:val="left" w:pos="1305"/>
        </w:tabs>
        <w:spacing w:line="380" w:lineRule="exact"/>
        <w:ind w:firstLine="562" w:firstLineChars="200"/>
        <w:rPr>
          <w:rFonts w:hint="eastAsia" w:ascii="宋体" w:hAnsi="宋体" w:eastAsia="宋体" w:cs="Times New Roman"/>
          <w:b/>
          <w:color w:val="000000" w:themeColor="text1"/>
          <w:sz w:val="28"/>
          <w:szCs w:val="28"/>
          <w:highlight w:val="none"/>
          <w14:textFill>
            <w14:solidFill>
              <w14:schemeClr w14:val="tx1"/>
            </w14:solidFill>
          </w14:textFill>
        </w:rPr>
      </w:pPr>
    </w:p>
    <w:p w14:paraId="30CFE960">
      <w:pPr>
        <w:tabs>
          <w:tab w:val="left" w:pos="1305"/>
        </w:tabs>
        <w:spacing w:line="380" w:lineRule="exact"/>
        <w:ind w:firstLine="562" w:firstLineChars="200"/>
        <w:rPr>
          <w:rFonts w:hint="eastAsia" w:ascii="宋体" w:hAnsi="宋体" w:eastAsia="宋体" w:cs="Times New Roman"/>
          <w:b/>
          <w:color w:val="000000" w:themeColor="text1"/>
          <w:sz w:val="28"/>
          <w:szCs w:val="28"/>
          <w:highlight w:val="none"/>
          <w14:textFill>
            <w14:solidFill>
              <w14:schemeClr w14:val="tx1"/>
            </w14:solidFill>
          </w14:textFill>
        </w:rPr>
      </w:pPr>
    </w:p>
    <w:p w14:paraId="0A50F4B5">
      <w:pPr>
        <w:tabs>
          <w:tab w:val="left" w:pos="1305"/>
        </w:tabs>
        <w:spacing w:line="380" w:lineRule="exact"/>
        <w:ind w:firstLine="562" w:firstLineChars="200"/>
        <w:rPr>
          <w:rFonts w:hint="eastAsia" w:ascii="宋体" w:hAnsi="宋体" w:eastAsia="宋体" w:cs="Times New Roman"/>
          <w:b/>
          <w:color w:val="000000" w:themeColor="text1"/>
          <w:sz w:val="28"/>
          <w:szCs w:val="28"/>
          <w:highlight w:val="none"/>
          <w14:textFill>
            <w14:solidFill>
              <w14:schemeClr w14:val="tx1"/>
            </w14:solidFill>
          </w14:textFill>
        </w:rPr>
      </w:pPr>
    </w:p>
    <w:p w14:paraId="394C1BED">
      <w:pPr>
        <w:tabs>
          <w:tab w:val="left" w:pos="1305"/>
        </w:tabs>
        <w:spacing w:line="380" w:lineRule="exact"/>
        <w:ind w:firstLine="562" w:firstLineChars="200"/>
        <w:rPr>
          <w:rFonts w:hint="eastAsia" w:ascii="宋体" w:hAnsi="宋体" w:eastAsia="宋体" w:cs="Times New Roman"/>
          <w:b/>
          <w:color w:val="000000" w:themeColor="text1"/>
          <w:sz w:val="28"/>
          <w:szCs w:val="28"/>
          <w:highlight w:val="none"/>
          <w14:textFill>
            <w14:solidFill>
              <w14:schemeClr w14:val="tx1"/>
            </w14:solidFill>
          </w14:textFill>
        </w:rPr>
      </w:pPr>
    </w:p>
    <w:p w14:paraId="68C9CD34">
      <w:pPr>
        <w:tabs>
          <w:tab w:val="left" w:pos="1305"/>
        </w:tabs>
        <w:spacing w:line="380" w:lineRule="exact"/>
        <w:ind w:firstLine="562"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1.供应商相应的法定代表人或负责人或自然人身份证正反两面扫描件（必须提供）；</w:t>
      </w:r>
    </w:p>
    <w:p w14:paraId="0873F611">
      <w:pPr>
        <w:rPr>
          <w:rFonts w:ascii="宋体" w:hAnsi="宋体" w:eastAsia="宋体" w:cs="Times New Roman"/>
          <w:b/>
          <w:color w:val="000000" w:themeColor="text1"/>
          <w:sz w:val="32"/>
          <w:szCs w:val="20"/>
          <w:highlight w:val="none"/>
          <w14:textFill>
            <w14:solidFill>
              <w14:schemeClr w14:val="tx1"/>
            </w14:solidFill>
          </w14:textFill>
        </w:rPr>
      </w:pPr>
    </w:p>
    <w:p w14:paraId="225EC23C">
      <w:pPr>
        <w:ind w:firstLine="551" w:firstLineChars="196"/>
        <w:rPr>
          <w:rFonts w:ascii="宋体" w:hAnsi="宋体" w:eastAsia="宋体" w:cs="Times New Roman"/>
          <w:b/>
          <w:color w:val="000000" w:themeColor="text1"/>
          <w:sz w:val="28"/>
          <w:szCs w:val="28"/>
          <w:highlight w:val="none"/>
          <w14:textFill>
            <w14:solidFill>
              <w14:schemeClr w14:val="tx1"/>
            </w14:solidFill>
          </w14:textFill>
        </w:rPr>
      </w:pPr>
    </w:p>
    <w:p w14:paraId="024E568D">
      <w:pPr>
        <w:spacing w:line="300" w:lineRule="exact"/>
        <w:ind w:firstLine="551" w:firstLineChars="196"/>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2.供应商的授权委托书、委托代理人身份证正反面扫描件以及由县级以上（含县级）社会养老保险经办机构出具的供应商为委托代理人交纳2025年1月以来任意一个月的社保证明扫描件【属自然人的应提供由县级以上（含县级）社会养老保险经办机构出具的自然人本人及委托代理人所交纳2025年1月以来任意连续一个月的社保证明扫描件】（委托代理时必须提供）；</w:t>
      </w:r>
    </w:p>
    <w:p w14:paraId="02BEF7EF">
      <w:pPr>
        <w:ind w:firstLine="551" w:firstLineChars="196"/>
        <w:rPr>
          <w:rFonts w:ascii="宋体" w:hAnsi="宋体" w:eastAsia="宋体" w:cs="Times New Roman"/>
          <w:b/>
          <w:color w:val="000000" w:themeColor="text1"/>
          <w:sz w:val="28"/>
          <w:szCs w:val="28"/>
          <w:highlight w:val="none"/>
          <w14:textFill>
            <w14:solidFill>
              <w14:schemeClr w14:val="tx1"/>
            </w14:solidFill>
          </w14:textFill>
        </w:rPr>
      </w:pPr>
    </w:p>
    <w:p w14:paraId="04D56D3C">
      <w:pPr>
        <w:ind w:firstLine="551" w:firstLineChars="196"/>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 xml:space="preserve">附件：            </w:t>
      </w:r>
    </w:p>
    <w:p w14:paraId="2BBDE871">
      <w:pPr>
        <w:ind w:firstLine="551" w:firstLineChars="196"/>
        <w:jc w:val="center"/>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授权委托书（格式一）</w:t>
      </w:r>
    </w:p>
    <w:p w14:paraId="10C94CA4">
      <w:pPr>
        <w:rPr>
          <w:rFonts w:ascii="宋体" w:hAnsi="宋体" w:eastAsia="宋体" w:cs="Times New Roman"/>
          <w:color w:val="000000" w:themeColor="text1"/>
          <w:szCs w:val="20"/>
          <w:highlight w:val="none"/>
          <w14:textFill>
            <w14:solidFill>
              <w14:schemeClr w14:val="tx1"/>
            </w14:solidFill>
          </w14:textFill>
        </w:rPr>
      </w:pPr>
    </w:p>
    <w:p w14:paraId="5AB084A5">
      <w:pPr>
        <w:spacing w:line="400" w:lineRule="exact"/>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致：</w:t>
      </w:r>
      <w:r>
        <w:rPr>
          <w:rFonts w:hint="eastAsia" w:ascii="宋体" w:hAnsi="宋体" w:eastAsia="宋体" w:cs="Times New Roman"/>
          <w:color w:val="000000" w:themeColor="text1"/>
          <w:szCs w:val="21"/>
          <w:highlight w:val="none"/>
          <w:u w:val="single"/>
          <w14:textFill>
            <w14:solidFill>
              <w14:schemeClr w14:val="tx1"/>
            </w14:solidFill>
          </w14:textFill>
        </w:rPr>
        <w:t xml:space="preserve"> 广西中信恒泰工程顾问有限公司</w:t>
      </w:r>
    </w:p>
    <w:p w14:paraId="2D35518F">
      <w:pPr>
        <w:spacing w:line="400" w:lineRule="exact"/>
        <w:rPr>
          <w:rFonts w:ascii="宋体" w:hAnsi="宋体" w:eastAsia="宋体" w:cs="Times New Roman"/>
          <w:color w:val="000000" w:themeColor="text1"/>
          <w:szCs w:val="21"/>
          <w:highlight w:val="none"/>
          <w14:textFill>
            <w14:solidFill>
              <w14:schemeClr w14:val="tx1"/>
            </w14:solidFill>
          </w14:textFill>
        </w:rPr>
      </w:pPr>
    </w:p>
    <w:p w14:paraId="1F236A50">
      <w:pPr>
        <w:spacing w:line="400" w:lineRule="exact"/>
        <w:ind w:firstLine="420" w:firstLineChars="20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kern w:val="0"/>
          <w:szCs w:val="20"/>
          <w:highlight w:val="none"/>
          <w14:textFill>
            <w14:solidFill>
              <w14:schemeClr w14:val="tx1"/>
            </w14:solidFill>
          </w14:textFill>
        </w:rPr>
        <w:t>我（姓名）系（供应商名称）的法定代表人（负责人），现授权委托本单位在职职工（姓 名）以我公司名义参加</w:t>
      </w:r>
      <w:r>
        <w:rPr>
          <w:rFonts w:hint="eastAsia" w:ascii="宋体" w:hAnsi="宋体" w:eastAsia="宋体" w:cs="Times New Roman"/>
          <w:color w:val="000000" w:themeColor="text1"/>
          <w:szCs w:val="20"/>
          <w:highlight w:val="none"/>
          <w:u w:val="single"/>
          <w14:textFill>
            <w14:solidFill>
              <w14:schemeClr w14:val="tx1"/>
            </w14:solidFill>
          </w14:textFill>
        </w:rPr>
        <w:t xml:space="preserve">（项目名称及项目编号）        </w:t>
      </w:r>
      <w:r>
        <w:rPr>
          <w:rFonts w:hint="eastAsia" w:ascii="宋体" w:hAnsi="宋体" w:eastAsia="宋体" w:cs="Times New Roman"/>
          <w:color w:val="000000" w:themeColor="text1"/>
          <w:szCs w:val="20"/>
          <w:highlight w:val="none"/>
          <w14:textFill>
            <w14:solidFill>
              <w14:schemeClr w14:val="tx1"/>
            </w14:solidFill>
          </w14:textFill>
        </w:rPr>
        <w:t>项目的谈判活动，并代表我方全权办理针对上述项目的谈判、签约等具体事务和签署相关文件。</w:t>
      </w:r>
    </w:p>
    <w:p w14:paraId="0F4AB49B">
      <w:pPr>
        <w:spacing w:line="400" w:lineRule="exact"/>
        <w:ind w:firstLine="420" w:firstLineChars="20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我方对被授权人的签字事项负全部责任。</w:t>
      </w:r>
    </w:p>
    <w:p w14:paraId="7BA13461">
      <w:pPr>
        <w:spacing w:line="400" w:lineRule="exact"/>
        <w:ind w:firstLine="420" w:firstLineChars="200"/>
        <w:rPr>
          <w:rFonts w:ascii="宋体" w:hAnsi="宋体" w:eastAsia="宋体" w:cs="Times New Roman"/>
          <w:color w:val="000000" w:themeColor="text1"/>
          <w:szCs w:val="20"/>
          <w:highlight w:val="none"/>
          <w:u w:val="singl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授权委托代理期限：从年月  日起至年月 日止。</w:t>
      </w:r>
    </w:p>
    <w:p w14:paraId="1E6F42CB">
      <w:pPr>
        <w:spacing w:line="400" w:lineRule="exact"/>
        <w:rPr>
          <w:rFonts w:ascii="宋体" w:hAnsi="宋体" w:eastAsia="宋体" w:cs="Times New Roman"/>
          <w:color w:val="000000" w:themeColor="text1"/>
          <w:szCs w:val="20"/>
          <w:highlight w:val="none"/>
          <w:u w:val="single"/>
          <w14:textFill>
            <w14:solidFill>
              <w14:schemeClr w14:val="tx1"/>
            </w14:solidFill>
          </w14:textFill>
        </w:rPr>
      </w:pPr>
    </w:p>
    <w:p w14:paraId="1A229445">
      <w:pPr>
        <w:spacing w:line="400" w:lineRule="exact"/>
        <w:ind w:firstLine="420" w:firstLineChars="200"/>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代理人无转委托权,特此委托。</w:t>
      </w:r>
    </w:p>
    <w:p w14:paraId="7C47CE10">
      <w:pPr>
        <w:snapToGrid w:val="0"/>
        <w:spacing w:line="400" w:lineRule="exact"/>
        <w:ind w:firstLine="525"/>
        <w:outlineLvl w:val="4"/>
        <w:rPr>
          <w:rFonts w:ascii="宋体" w:hAnsi="宋体" w:eastAsia="宋体" w:cs="Times New Roman"/>
          <w:color w:val="000000" w:themeColor="text1"/>
          <w:szCs w:val="21"/>
          <w:highlight w:val="none"/>
          <w14:textFill>
            <w14:solidFill>
              <w14:schemeClr w14:val="tx1"/>
            </w14:solidFill>
          </w14:textFill>
        </w:rPr>
      </w:pPr>
    </w:p>
    <w:p w14:paraId="120A7D9D">
      <w:pPr>
        <w:snapToGrid w:val="0"/>
        <w:spacing w:line="40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我已在下面签字，以资证明。</w:t>
      </w:r>
    </w:p>
    <w:p w14:paraId="6DF8ECF0">
      <w:pPr>
        <w:snapToGrid w:val="0"/>
        <w:spacing w:line="40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p>
    <w:p w14:paraId="42F60E3E">
      <w:pPr>
        <w:wordWrap w:val="0"/>
        <w:snapToGrid w:val="0"/>
        <w:spacing w:line="40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p>
    <w:p w14:paraId="2C227C19">
      <w:pPr>
        <w:wordWrap w:val="0"/>
        <w:snapToGrid w:val="0"/>
        <w:spacing w:line="400" w:lineRule="exact"/>
        <w:ind w:firstLine="420"/>
        <w:outlineLvl w:val="4"/>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供应商名称（加盖供应商CA证书签章）：</w:t>
      </w:r>
      <w:r>
        <w:rPr>
          <w:rFonts w:hint="eastAsia" w:ascii="宋体" w:hAnsi="宋体" w:eastAsia="宋体" w:cs="Times New Roman"/>
          <w:b/>
          <w:color w:val="000000" w:themeColor="text1"/>
          <w:szCs w:val="21"/>
          <w:highlight w:val="none"/>
          <w:u w:val="single"/>
          <w14:textFill>
            <w14:solidFill>
              <w14:schemeClr w14:val="tx1"/>
            </w14:solidFill>
          </w14:textFill>
        </w:rPr>
        <w:t xml:space="preserve">                               </w:t>
      </w:r>
    </w:p>
    <w:p w14:paraId="72843D79">
      <w:pPr>
        <w:wordWrap w:val="0"/>
        <w:snapToGrid w:val="0"/>
        <w:spacing w:line="40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p>
    <w:p w14:paraId="556B67E4">
      <w:pPr>
        <w:wordWrap w:val="0"/>
        <w:snapToGrid w:val="0"/>
        <w:spacing w:line="40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法定代表人（负责人）签字或加盖个人CA证书签章：</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p>
    <w:p w14:paraId="5B4E3D8D">
      <w:pPr>
        <w:wordWrap w:val="0"/>
        <w:snapToGrid w:val="0"/>
        <w:spacing w:line="400" w:lineRule="exact"/>
        <w:ind w:firstLine="1260" w:firstLineChars="600"/>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年     月     日</w:t>
      </w:r>
    </w:p>
    <w:p w14:paraId="6B90D24C">
      <w:pPr>
        <w:snapToGrid w:val="0"/>
        <w:spacing w:line="400" w:lineRule="exact"/>
        <w:outlineLvl w:val="4"/>
        <w:rPr>
          <w:rFonts w:ascii="宋体" w:hAnsi="宋体" w:eastAsia="宋体" w:cs="Times New Roman"/>
          <w:b/>
          <w:color w:val="000000" w:themeColor="text1"/>
          <w:sz w:val="28"/>
          <w:szCs w:val="28"/>
          <w:highlight w:val="none"/>
          <w14:textFill>
            <w14:solidFill>
              <w14:schemeClr w14:val="tx1"/>
            </w14:solidFill>
          </w14:textFill>
        </w:rPr>
      </w:pPr>
    </w:p>
    <w:p w14:paraId="5EAF9FE4">
      <w:pPr>
        <w:snapToGrid w:val="0"/>
        <w:spacing w:line="400" w:lineRule="exact"/>
        <w:outlineLvl w:val="4"/>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附：委托代理人有效的身份证正反两面扫描件以及由县级以上（含县级）社会养老保险经办机构出具的供应商为委托代理人交纳2025年1月以来任意一个月的社保证明扫描件；</w:t>
      </w:r>
    </w:p>
    <w:p w14:paraId="7AFC5239">
      <w:pPr>
        <w:jc w:val="center"/>
        <w:rPr>
          <w:rFonts w:ascii="宋体" w:hAnsi="宋体" w:eastAsia="宋体" w:cs="Times New Roman"/>
          <w:b/>
          <w:color w:val="000000" w:themeColor="text1"/>
          <w:sz w:val="32"/>
          <w:szCs w:val="20"/>
          <w:highlight w:val="none"/>
          <w14:textFill>
            <w14:solidFill>
              <w14:schemeClr w14:val="tx1"/>
            </w14:solidFill>
          </w14:textFill>
        </w:rPr>
      </w:pPr>
      <w:r>
        <w:rPr>
          <w:rFonts w:ascii="宋体" w:hAnsi="宋体" w:eastAsia="宋体" w:cs="Times New Roman"/>
          <w:b/>
          <w:color w:val="000000" w:themeColor="text1"/>
          <w:sz w:val="32"/>
          <w:szCs w:val="20"/>
          <w:highlight w:val="none"/>
          <w14:textFill>
            <w14:solidFill>
              <w14:schemeClr w14:val="tx1"/>
            </w14:solidFill>
          </w14:textFill>
        </w:rPr>
        <w:br w:type="page"/>
      </w:r>
    </w:p>
    <w:p w14:paraId="00EFCCB2">
      <w:pPr>
        <w:jc w:val="center"/>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授权委托书（格式二）</w:t>
      </w:r>
    </w:p>
    <w:p w14:paraId="5B367B1A">
      <w:pPr>
        <w:rPr>
          <w:rFonts w:ascii="宋体" w:hAnsi="宋体" w:eastAsia="宋体" w:cs="Times New Roman"/>
          <w:b/>
          <w:color w:val="000000" w:themeColor="text1"/>
          <w:sz w:val="32"/>
          <w:szCs w:val="20"/>
          <w:highlight w:val="none"/>
          <w14:textFill>
            <w14:solidFill>
              <w14:schemeClr w14:val="tx1"/>
            </w14:solidFill>
          </w14:textFill>
        </w:rPr>
      </w:pPr>
    </w:p>
    <w:p w14:paraId="203E5938">
      <w:pPr>
        <w:rPr>
          <w:rFonts w:ascii="宋体" w:hAnsi="宋体" w:eastAsia="宋体" w:cs="Times New Roman"/>
          <w:b/>
          <w:color w:val="000000" w:themeColor="text1"/>
          <w:sz w:val="32"/>
          <w:szCs w:val="20"/>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致：</w:t>
      </w:r>
      <w:r>
        <w:rPr>
          <w:rFonts w:hint="eastAsia" w:ascii="宋体" w:hAnsi="宋体" w:eastAsia="宋体" w:cs="Times New Roman"/>
          <w:color w:val="000000" w:themeColor="text1"/>
          <w:szCs w:val="21"/>
          <w:highlight w:val="none"/>
          <w:u w:val="single"/>
          <w14:textFill>
            <w14:solidFill>
              <w14:schemeClr w14:val="tx1"/>
            </w14:solidFill>
          </w14:textFill>
        </w:rPr>
        <w:t xml:space="preserve"> 广西中信恒泰工程顾问有限公司</w:t>
      </w:r>
    </w:p>
    <w:p w14:paraId="23DED141">
      <w:pPr>
        <w:rPr>
          <w:rFonts w:ascii="宋体" w:hAnsi="宋体" w:eastAsia="宋体" w:cs="Times New Roman"/>
          <w:b/>
          <w:color w:val="000000" w:themeColor="text1"/>
          <w:sz w:val="32"/>
          <w:szCs w:val="20"/>
          <w:highlight w:val="none"/>
          <w14:textFill>
            <w14:solidFill>
              <w14:schemeClr w14:val="tx1"/>
            </w14:solidFill>
          </w14:textFill>
        </w:rPr>
      </w:pPr>
    </w:p>
    <w:p w14:paraId="3E1D3EA6">
      <w:pPr>
        <w:spacing w:line="340" w:lineRule="exact"/>
        <w:ind w:firstLine="420" w:firstLineChars="20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kern w:val="0"/>
          <w:szCs w:val="20"/>
          <w:highlight w:val="none"/>
          <w14:textFill>
            <w14:solidFill>
              <w14:schemeClr w14:val="tx1"/>
            </w14:solidFill>
          </w14:textFill>
        </w:rPr>
        <w:t>我（姓名）系自然人，现授权委托（姓 名）以本人名义参加</w:t>
      </w:r>
      <w:r>
        <w:rPr>
          <w:rFonts w:hint="eastAsia" w:ascii="宋体" w:hAnsi="宋体" w:eastAsia="宋体" w:cs="Times New Roman"/>
          <w:color w:val="000000" w:themeColor="text1"/>
          <w:szCs w:val="20"/>
          <w:highlight w:val="none"/>
          <w:u w:val="single"/>
          <w14:textFill>
            <w14:solidFill>
              <w14:schemeClr w14:val="tx1"/>
            </w14:solidFill>
          </w14:textFill>
        </w:rPr>
        <w:t xml:space="preserve">（项目名称及项目编号）        </w:t>
      </w:r>
      <w:r>
        <w:rPr>
          <w:rFonts w:hint="eastAsia" w:ascii="宋体" w:hAnsi="宋体" w:eastAsia="宋体" w:cs="Times New Roman"/>
          <w:color w:val="000000" w:themeColor="text1"/>
          <w:szCs w:val="20"/>
          <w:highlight w:val="none"/>
          <w14:textFill>
            <w14:solidFill>
              <w14:schemeClr w14:val="tx1"/>
            </w14:solidFill>
          </w14:textFill>
        </w:rPr>
        <w:t>项目的谈判活动，并代表本人全权办理针对上述项目的谈判、签约等具体事务和签署相关文件。</w:t>
      </w:r>
    </w:p>
    <w:p w14:paraId="1B1B8637">
      <w:pPr>
        <w:spacing w:line="340" w:lineRule="exact"/>
        <w:ind w:firstLine="420" w:firstLineChars="20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本人对被授权人的签字事项负全部责任。</w:t>
      </w:r>
    </w:p>
    <w:p w14:paraId="20E715C4">
      <w:pPr>
        <w:spacing w:line="340" w:lineRule="exact"/>
        <w:ind w:firstLine="420" w:firstLineChars="200"/>
        <w:rPr>
          <w:rFonts w:ascii="宋体" w:hAnsi="宋体" w:eastAsia="宋体" w:cs="Times New Roman"/>
          <w:color w:val="000000" w:themeColor="text1"/>
          <w:szCs w:val="20"/>
          <w:highlight w:val="none"/>
          <w:u w:val="singl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授权委托代理期限：从年月  日起至年月 日止。</w:t>
      </w:r>
    </w:p>
    <w:p w14:paraId="0E52C292">
      <w:pPr>
        <w:spacing w:line="340" w:lineRule="exact"/>
        <w:rPr>
          <w:rFonts w:ascii="宋体" w:hAnsi="宋体" w:eastAsia="宋体" w:cs="Times New Roman"/>
          <w:color w:val="000000" w:themeColor="text1"/>
          <w:szCs w:val="20"/>
          <w:highlight w:val="none"/>
          <w:u w:val="single"/>
          <w14:textFill>
            <w14:solidFill>
              <w14:schemeClr w14:val="tx1"/>
            </w14:solidFill>
          </w14:textFill>
        </w:rPr>
      </w:pPr>
    </w:p>
    <w:p w14:paraId="1EB5389C">
      <w:pPr>
        <w:wordWrap w:val="0"/>
        <w:spacing w:line="340" w:lineRule="exact"/>
        <w:ind w:firstLine="420" w:firstLineChars="200"/>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代理人无转委托权,特此委托。</w:t>
      </w:r>
    </w:p>
    <w:p w14:paraId="43759DC4">
      <w:pPr>
        <w:wordWrap w:val="0"/>
        <w:snapToGrid w:val="0"/>
        <w:spacing w:line="340" w:lineRule="exact"/>
        <w:ind w:firstLine="525"/>
        <w:outlineLvl w:val="4"/>
        <w:rPr>
          <w:rFonts w:ascii="宋体" w:hAnsi="宋体" w:eastAsia="宋体" w:cs="Times New Roman"/>
          <w:color w:val="000000" w:themeColor="text1"/>
          <w:szCs w:val="21"/>
          <w:highlight w:val="none"/>
          <w14:textFill>
            <w14:solidFill>
              <w14:schemeClr w14:val="tx1"/>
            </w14:solidFill>
          </w14:textFill>
        </w:rPr>
      </w:pPr>
    </w:p>
    <w:p w14:paraId="13BE245E">
      <w:pPr>
        <w:wordWrap w:val="0"/>
        <w:snapToGrid w:val="0"/>
        <w:spacing w:line="34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我已在下面签字，以资证明。</w:t>
      </w:r>
    </w:p>
    <w:p w14:paraId="73AF5D6E">
      <w:pPr>
        <w:wordWrap w:val="0"/>
        <w:snapToGrid w:val="0"/>
        <w:spacing w:line="340" w:lineRule="exact"/>
        <w:ind w:firstLine="420"/>
        <w:outlineLvl w:val="4"/>
        <w:rPr>
          <w:rFonts w:ascii="宋体" w:hAnsi="宋体" w:eastAsia="宋体" w:cs="Times New Roman"/>
          <w:color w:val="000000" w:themeColor="text1"/>
          <w:szCs w:val="21"/>
          <w:highlight w:val="none"/>
          <w14:textFill>
            <w14:solidFill>
              <w14:schemeClr w14:val="tx1"/>
            </w14:solidFill>
          </w14:textFill>
        </w:rPr>
      </w:pPr>
    </w:p>
    <w:p w14:paraId="2E20EBA6">
      <w:pPr>
        <w:wordWrap w:val="0"/>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自然人签字或加盖个人CA证书签章：</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年    月     日</w:t>
      </w:r>
    </w:p>
    <w:p w14:paraId="671E7A84">
      <w:pPr>
        <w:rPr>
          <w:rFonts w:ascii="宋体" w:hAnsi="宋体" w:eastAsia="宋体" w:cs="Times New Roman"/>
          <w:b/>
          <w:color w:val="000000" w:themeColor="text1"/>
          <w:sz w:val="32"/>
          <w:szCs w:val="20"/>
          <w:highlight w:val="none"/>
          <w14:textFill>
            <w14:solidFill>
              <w14:schemeClr w14:val="tx1"/>
            </w14:solidFill>
          </w14:textFill>
        </w:rPr>
      </w:pPr>
    </w:p>
    <w:p w14:paraId="358FE8F4">
      <w:pPr>
        <w:spacing w:line="340" w:lineRule="exact"/>
        <w:ind w:firstLine="422" w:firstLineChars="200"/>
        <w:rPr>
          <w:rFonts w:ascii="宋体" w:hAnsi="宋体" w:eastAsia="宋体" w:cs="Times New Roman"/>
          <w:b/>
          <w:color w:val="000000" w:themeColor="text1"/>
          <w:szCs w:val="24"/>
          <w:highlight w:val="none"/>
          <w14:textFill>
            <w14:solidFill>
              <w14:schemeClr w14:val="tx1"/>
            </w14:solidFill>
          </w14:textFill>
        </w:rPr>
      </w:pPr>
      <w:r>
        <w:rPr>
          <w:rFonts w:hint="eastAsia" w:ascii="宋体" w:hAnsi="宋体" w:eastAsia="宋体" w:cs="Times New Roman"/>
          <w:b/>
          <w:color w:val="000000" w:themeColor="text1"/>
          <w:szCs w:val="24"/>
          <w:highlight w:val="none"/>
          <w14:textFill>
            <w14:solidFill>
              <w14:schemeClr w14:val="tx1"/>
            </w14:solidFill>
          </w14:textFill>
        </w:rPr>
        <w:t>附：</w:t>
      </w:r>
      <w:r>
        <w:rPr>
          <w:rFonts w:hint="eastAsia" w:ascii="宋体" w:hAnsi="宋体" w:eastAsia="宋体" w:cs="Times New Roman"/>
          <w:b/>
          <w:color w:val="000000" w:themeColor="text1"/>
          <w:szCs w:val="21"/>
          <w:highlight w:val="none"/>
          <w14:textFill>
            <w14:solidFill>
              <w14:schemeClr w14:val="tx1"/>
            </w14:solidFill>
          </w14:textFill>
        </w:rPr>
        <w:t>由县级以上（含县级）社会养老保险经办机构出具的自然人本人及委托代理人所交纳2025年1月以来任意一个月的社保证明扫描件。</w:t>
      </w:r>
    </w:p>
    <w:p w14:paraId="3EDA0E8C">
      <w:pPr>
        <w:spacing w:line="34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p>
    <w:p w14:paraId="593FE685">
      <w:pPr>
        <w:spacing w:line="340" w:lineRule="exact"/>
        <w:ind w:firstLine="420" w:firstLineChars="200"/>
        <w:rPr>
          <w:rFonts w:ascii="宋体" w:hAnsi="宋体" w:eastAsia="宋体" w:cs="Times New Roman"/>
          <w:color w:val="000000" w:themeColor="text1"/>
          <w:szCs w:val="24"/>
          <w:highlight w:val="none"/>
          <w14:textFill>
            <w14:solidFill>
              <w14:schemeClr w14:val="tx1"/>
            </w14:solidFill>
          </w14:textFill>
        </w:rPr>
      </w:pPr>
    </w:p>
    <w:p w14:paraId="26619B31">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37505895">
      <w:pPr>
        <w:pStyle w:val="2"/>
        <w:rPr>
          <w:rFonts w:ascii="宋体" w:hAnsi="宋体"/>
          <w:color w:val="000000" w:themeColor="text1"/>
          <w:szCs w:val="21"/>
          <w:highlight w:val="none"/>
          <w14:textFill>
            <w14:solidFill>
              <w14:schemeClr w14:val="tx1"/>
            </w14:solidFill>
          </w14:textFill>
        </w:rPr>
      </w:pPr>
    </w:p>
    <w:p w14:paraId="4C33EBF4">
      <w:pPr>
        <w:rPr>
          <w:rFonts w:ascii="宋体" w:hAnsi="宋体" w:eastAsia="宋体" w:cs="Times New Roman"/>
          <w:b/>
          <w:color w:val="000000" w:themeColor="text1"/>
          <w:szCs w:val="21"/>
          <w:highlight w:val="none"/>
          <w14:textFill>
            <w14:solidFill>
              <w14:schemeClr w14:val="tx1"/>
            </w14:solidFill>
          </w14:textFill>
        </w:rPr>
      </w:pPr>
    </w:p>
    <w:p w14:paraId="62436B8B">
      <w:pPr>
        <w:pStyle w:val="2"/>
        <w:rPr>
          <w:rFonts w:ascii="宋体" w:hAnsi="宋体"/>
          <w:color w:val="000000" w:themeColor="text1"/>
          <w:szCs w:val="21"/>
          <w:highlight w:val="none"/>
          <w14:textFill>
            <w14:solidFill>
              <w14:schemeClr w14:val="tx1"/>
            </w14:solidFill>
          </w14:textFill>
        </w:rPr>
      </w:pPr>
    </w:p>
    <w:p w14:paraId="4AB108AD">
      <w:pPr>
        <w:rPr>
          <w:rFonts w:ascii="宋体" w:hAnsi="宋体" w:eastAsia="宋体" w:cs="Times New Roman"/>
          <w:b/>
          <w:color w:val="000000" w:themeColor="text1"/>
          <w:szCs w:val="21"/>
          <w:highlight w:val="none"/>
          <w14:textFill>
            <w14:solidFill>
              <w14:schemeClr w14:val="tx1"/>
            </w14:solidFill>
          </w14:textFill>
        </w:rPr>
      </w:pPr>
    </w:p>
    <w:p w14:paraId="6F283E74">
      <w:pPr>
        <w:pStyle w:val="2"/>
        <w:rPr>
          <w:rFonts w:ascii="宋体" w:hAnsi="宋体"/>
          <w:color w:val="000000" w:themeColor="text1"/>
          <w:szCs w:val="21"/>
          <w:highlight w:val="none"/>
          <w14:textFill>
            <w14:solidFill>
              <w14:schemeClr w14:val="tx1"/>
            </w14:solidFill>
          </w14:textFill>
        </w:rPr>
      </w:pPr>
    </w:p>
    <w:p w14:paraId="1549F9D0">
      <w:pPr>
        <w:rPr>
          <w:rFonts w:ascii="宋体" w:hAnsi="宋体" w:eastAsia="宋体" w:cs="Times New Roman"/>
          <w:b/>
          <w:color w:val="000000" w:themeColor="text1"/>
          <w:szCs w:val="21"/>
          <w:highlight w:val="none"/>
          <w14:textFill>
            <w14:solidFill>
              <w14:schemeClr w14:val="tx1"/>
            </w14:solidFill>
          </w14:textFill>
        </w:rPr>
      </w:pPr>
    </w:p>
    <w:p w14:paraId="47BBC3AA">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77F5AFBF">
      <w:pPr>
        <w:spacing w:line="440" w:lineRule="atLeast"/>
        <w:ind w:firstLine="703" w:firstLineChars="250"/>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3.响应函（格式见附件）（必须提供）；</w:t>
      </w:r>
    </w:p>
    <w:p w14:paraId="6E2C2EC9">
      <w:pPr>
        <w:spacing w:line="440" w:lineRule="atLeast"/>
        <w:ind w:firstLine="141" w:firstLineChars="50"/>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附件：</w:t>
      </w:r>
    </w:p>
    <w:p w14:paraId="4187646E">
      <w:pPr>
        <w:ind w:firstLine="703" w:firstLineChars="250"/>
        <w:jc w:val="center"/>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响 应 函 （格 式）</w:t>
      </w:r>
    </w:p>
    <w:p w14:paraId="2AE0160D">
      <w:pPr>
        <w:spacing w:line="400" w:lineRule="exact"/>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致</w:t>
      </w:r>
      <w:r>
        <w:rPr>
          <w:rFonts w:hint="eastAsia" w:ascii="宋体" w:hAnsi="宋体" w:eastAsia="宋体" w:cs="Times New Roman"/>
          <w:color w:val="000000" w:themeColor="text1"/>
          <w:szCs w:val="21"/>
          <w:highlight w:val="none"/>
          <w:u w:val="single"/>
          <w14:textFill>
            <w14:solidFill>
              <w14:schemeClr w14:val="tx1"/>
            </w14:solidFill>
          </w14:textFill>
        </w:rPr>
        <w:t xml:space="preserve">：广西中信恒泰工程顾问有限公司  </w:t>
      </w:r>
    </w:p>
    <w:p w14:paraId="52B81CC4">
      <w:pPr>
        <w:spacing w:line="400" w:lineRule="exact"/>
        <w:rPr>
          <w:rFonts w:ascii="宋体" w:hAnsi="宋体" w:eastAsia="宋体" w:cs="Times New Roman"/>
          <w:color w:val="000000" w:themeColor="text1"/>
          <w:szCs w:val="21"/>
          <w:highlight w:val="none"/>
          <w14:textFill>
            <w14:solidFill>
              <w14:schemeClr w14:val="tx1"/>
            </w14:solidFill>
          </w14:textFill>
        </w:rPr>
      </w:pPr>
    </w:p>
    <w:p w14:paraId="3AC4B690">
      <w:pPr>
        <w:spacing w:line="360" w:lineRule="exact"/>
        <w:ind w:firstLine="420"/>
        <w:rPr>
          <w:rFonts w:ascii="宋体" w:hAnsi="宋体" w:eastAsia="宋体" w:cs="Times New Roman"/>
          <w:color w:val="000000" w:themeColor="text1"/>
          <w:szCs w:val="20"/>
          <w:highlight w:val="none"/>
          <w:u w:val="singl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根据贵方</w:t>
      </w:r>
      <w:r>
        <w:rPr>
          <w:rFonts w:hint="eastAsia" w:ascii="宋体" w:hAnsi="宋体" w:eastAsia="宋体" w:cs="Times New Roman"/>
          <w:color w:val="000000" w:themeColor="text1"/>
          <w:szCs w:val="20"/>
          <w:highlight w:val="none"/>
          <w:u w:val="single"/>
          <w:lang w:eastAsia="zh-CN"/>
          <w14:textFill>
            <w14:solidFill>
              <w14:schemeClr w14:val="tx1"/>
            </w14:solidFill>
          </w14:textFill>
        </w:rPr>
        <w:t>桂林航天工业学院-体育馆设备采购项目</w:t>
      </w:r>
      <w:r>
        <w:rPr>
          <w:rFonts w:hint="eastAsia" w:ascii="宋体" w:hAnsi="宋体" w:eastAsia="宋体" w:cs="Times New Roman"/>
          <w:color w:val="000000" w:themeColor="text1"/>
          <w:szCs w:val="20"/>
          <w:highlight w:val="none"/>
          <w14:textFill>
            <w14:solidFill>
              <w14:schemeClr w14:val="tx1"/>
            </w14:solidFill>
          </w14:textFill>
        </w:rPr>
        <w:t>竞争性谈判文件，项目编号：</w:t>
      </w:r>
      <w:r>
        <w:rPr>
          <w:rFonts w:hint="eastAsia" w:ascii="宋体" w:hAnsi="宋体" w:eastAsia="宋体" w:cs="Times New Roman"/>
          <w:color w:val="000000" w:themeColor="text1"/>
          <w:szCs w:val="20"/>
          <w:highlight w:val="none"/>
          <w:u w:val="single"/>
          <w:lang w:eastAsia="zh-CN"/>
          <w14:textFill>
            <w14:solidFill>
              <w14:schemeClr w14:val="tx1"/>
            </w14:solidFill>
          </w14:textFill>
        </w:rPr>
        <w:t>GXZC2025-J1-003235-GXZX</w:t>
      </w:r>
      <w:r>
        <w:rPr>
          <w:rFonts w:hint="eastAsia" w:ascii="宋体" w:hAnsi="宋体" w:eastAsia="宋体" w:cs="Times New Roman"/>
          <w:color w:val="000000" w:themeColor="text1"/>
          <w:szCs w:val="21"/>
          <w:highlight w:val="none"/>
          <w14:textFill>
            <w14:solidFill>
              <w14:schemeClr w14:val="tx1"/>
            </w14:solidFill>
          </w14:textFill>
        </w:rPr>
        <w:t>，签字代表</w:t>
      </w:r>
      <w:r>
        <w:rPr>
          <w:rFonts w:hint="eastAsia" w:ascii="宋体" w:hAnsi="宋体" w:eastAsia="宋体" w:cs="Times New Roman"/>
          <w:color w:val="000000" w:themeColor="text1"/>
          <w:szCs w:val="20"/>
          <w:highlight w:val="none"/>
          <w:u w:val="single"/>
          <w14:textFill>
            <w14:solidFill>
              <w14:schemeClr w14:val="tx1"/>
            </w14:solidFill>
          </w14:textFill>
        </w:rPr>
        <w:t>（姓名）</w:t>
      </w:r>
      <w:r>
        <w:rPr>
          <w:rFonts w:hint="eastAsia" w:ascii="宋体" w:hAnsi="宋体" w:eastAsia="宋体" w:cs="Times New Roman"/>
          <w:color w:val="000000" w:themeColor="text1"/>
          <w:szCs w:val="20"/>
          <w:highlight w:val="none"/>
          <w14:textFill>
            <w14:solidFill>
              <w14:schemeClr w14:val="tx1"/>
            </w14:solidFill>
          </w14:textFill>
        </w:rPr>
        <w:t>经正式授权并代表供应商</w:t>
      </w:r>
      <w:r>
        <w:rPr>
          <w:rFonts w:hint="eastAsia" w:ascii="宋体" w:hAnsi="宋体" w:eastAsia="宋体" w:cs="Times New Roman"/>
          <w:color w:val="000000" w:themeColor="text1"/>
          <w:szCs w:val="20"/>
          <w:highlight w:val="none"/>
          <w:u w:val="single"/>
          <w14:textFill>
            <w14:solidFill>
              <w14:schemeClr w14:val="tx1"/>
            </w14:solidFill>
          </w14:textFill>
        </w:rPr>
        <w:t xml:space="preserve">                   （</w:t>
      </w:r>
      <w:r>
        <w:rPr>
          <w:rFonts w:hint="eastAsia" w:ascii="宋体" w:hAnsi="宋体" w:eastAsia="宋体" w:cs="Times New Roman"/>
          <w:color w:val="000000" w:themeColor="text1"/>
          <w:szCs w:val="20"/>
          <w:highlight w:val="none"/>
          <w14:textFill>
            <w14:solidFill>
              <w14:schemeClr w14:val="tx1"/>
            </w14:solidFill>
          </w14:textFill>
        </w:rPr>
        <w:t>供应商单位名称），提交电子响应文件一份。</w:t>
      </w:r>
    </w:p>
    <w:p w14:paraId="5FD80247">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据此函，签字代表宣布同意如下：</w:t>
      </w:r>
    </w:p>
    <w:p w14:paraId="714C64DE">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1. 按竞争性谈判文件货物采购需求和谈判报价表：谈判总报价（大写）元人民币(￥)。</w:t>
      </w:r>
    </w:p>
    <w:p w14:paraId="030A0787">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2.我方承诺已具备谈判文件规定的供应商资格条件。</w:t>
      </w:r>
    </w:p>
    <w:p w14:paraId="6F6FF72E">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3.我方已详细审核谈判文件，包括修改文件（如有的话）和有关附件，将自行承担因对全部谈判文件理解不正确或误解而产生的相应后果。</w:t>
      </w:r>
    </w:p>
    <w:p w14:paraId="34224E2E">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4. 响应文件有效期为</w:t>
      </w:r>
      <w:r>
        <w:rPr>
          <w:rFonts w:hint="eastAsia" w:ascii="宋体" w:hAnsi="宋体" w:eastAsia="宋体" w:cs="Times New Roman"/>
          <w:color w:val="000000" w:themeColor="text1"/>
          <w:szCs w:val="21"/>
          <w:highlight w:val="none"/>
          <w14:textFill>
            <w14:solidFill>
              <w14:schemeClr w14:val="tx1"/>
            </w14:solidFill>
          </w14:textFill>
        </w:rPr>
        <w:t>响应文件递交截止时间之日起</w:t>
      </w:r>
      <w:r>
        <w:rPr>
          <w:rFonts w:hint="eastAsia" w:ascii="宋体" w:hAnsi="宋体" w:eastAsia="宋体" w:cs="Times New Roman"/>
          <w:color w:val="000000" w:themeColor="text1"/>
          <w:szCs w:val="21"/>
          <w:highlight w:val="none"/>
          <w:u w:val="single"/>
          <w14:textFill>
            <w14:solidFill>
              <w14:schemeClr w14:val="tx1"/>
            </w14:solidFill>
          </w14:textFill>
        </w:rPr>
        <w:t>90</w:t>
      </w:r>
      <w:r>
        <w:rPr>
          <w:rFonts w:hint="eastAsia" w:ascii="宋体" w:hAnsi="宋体" w:eastAsia="宋体" w:cs="Times New Roman"/>
          <w:color w:val="000000" w:themeColor="text1"/>
          <w:szCs w:val="21"/>
          <w:highlight w:val="none"/>
          <w14:textFill>
            <w14:solidFill>
              <w14:schemeClr w14:val="tx1"/>
            </w14:solidFill>
          </w14:textFill>
        </w:rPr>
        <w:t>天。</w:t>
      </w:r>
    </w:p>
    <w:p w14:paraId="0BA4CB34">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5. 如我方成交：</w:t>
      </w:r>
    </w:p>
    <w:p w14:paraId="0FCEAB20">
      <w:pPr>
        <w:spacing w:line="360" w:lineRule="exact"/>
        <w:ind w:firstLine="420"/>
        <w:rPr>
          <w:rFonts w:ascii="宋体" w:hAnsi="Courier New" w:eastAsia="宋体" w:cs="Times New Roman"/>
          <w:color w:val="000000" w:themeColor="text1"/>
          <w:szCs w:val="20"/>
          <w:highlight w:val="non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（1）我方承诺，若我方成交，承诺按本项目谈判文件的规定及标准向贵单位一次性足额支付代理服务费。代理服务费发票我方选择开具：□增值税普通发票、□增值税专用发票，开票信息如下:</w:t>
      </w:r>
    </w:p>
    <w:p w14:paraId="3C1D54D9">
      <w:pPr>
        <w:spacing w:line="360" w:lineRule="exact"/>
        <w:ind w:firstLine="420"/>
        <w:rPr>
          <w:rFonts w:ascii="宋体" w:hAnsi="Courier New" w:eastAsia="宋体" w:cs="Times New Roman"/>
          <w:b/>
          <w:color w:val="000000" w:themeColor="text1"/>
          <w:szCs w:val="20"/>
          <w:highlight w:val="none"/>
          <w14:textFill>
            <w14:solidFill>
              <w14:schemeClr w14:val="tx1"/>
            </w14:solidFill>
          </w14:textFill>
        </w:rPr>
      </w:pPr>
      <w:r>
        <w:rPr>
          <w:rFonts w:hint="eastAsia" w:ascii="宋体" w:hAnsi="Courier New" w:eastAsia="宋体" w:cs="Times New Roman"/>
          <w:b/>
          <w:color w:val="000000" w:themeColor="text1"/>
          <w:szCs w:val="20"/>
          <w:highlight w:val="none"/>
          <w14:textFill>
            <w14:solidFill>
              <w14:schemeClr w14:val="tx1"/>
            </w14:solidFill>
          </w14:textFill>
        </w:rPr>
        <w:t>开具增值税普通发票开票信息:</w:t>
      </w:r>
    </w:p>
    <w:p w14:paraId="1B3CA4DF">
      <w:pPr>
        <w:wordWrap w:val="0"/>
        <w:spacing w:line="360" w:lineRule="exact"/>
        <w:ind w:firstLine="420"/>
        <w:rPr>
          <w:rFonts w:ascii="宋体" w:hAnsi="Courier New" w:eastAsia="宋体" w:cs="Times New Roman"/>
          <w:color w:val="000000" w:themeColor="text1"/>
          <w:szCs w:val="20"/>
          <w:highlight w:val="none"/>
          <w:u w:val="singl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①公司名称：</w:t>
      </w:r>
      <w:r>
        <w:rPr>
          <w:rFonts w:hint="eastAsia" w:ascii="宋体" w:hAnsi="Courier New" w:eastAsia="宋体" w:cs="Times New Roman"/>
          <w:color w:val="000000" w:themeColor="text1"/>
          <w:szCs w:val="20"/>
          <w:highlight w:val="none"/>
          <w:u w:val="single"/>
          <w14:textFill>
            <w14:solidFill>
              <w14:schemeClr w14:val="tx1"/>
            </w14:solidFill>
          </w14:textFill>
        </w:rPr>
        <w:t xml:space="preserve">                             </w:t>
      </w:r>
    </w:p>
    <w:p w14:paraId="0ED6EECC">
      <w:pPr>
        <w:wordWrap w:val="0"/>
        <w:spacing w:line="360" w:lineRule="exact"/>
        <w:ind w:firstLine="420"/>
        <w:rPr>
          <w:rFonts w:ascii="宋体" w:hAnsi="Courier New" w:eastAsia="宋体" w:cs="Times New Roman"/>
          <w:color w:val="000000" w:themeColor="text1"/>
          <w:szCs w:val="20"/>
          <w:highlight w:val="none"/>
          <w:u w:val="singl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②纳税人识别号：</w:t>
      </w:r>
      <w:r>
        <w:rPr>
          <w:rFonts w:hint="eastAsia" w:ascii="宋体" w:hAnsi="Courier New" w:eastAsia="宋体" w:cs="Times New Roman"/>
          <w:color w:val="000000" w:themeColor="text1"/>
          <w:szCs w:val="20"/>
          <w:highlight w:val="none"/>
          <w:u w:val="single"/>
          <w14:textFill>
            <w14:solidFill>
              <w14:schemeClr w14:val="tx1"/>
            </w14:solidFill>
          </w14:textFill>
        </w:rPr>
        <w:t xml:space="preserve">                          </w:t>
      </w:r>
    </w:p>
    <w:p w14:paraId="73B36804">
      <w:pPr>
        <w:wordWrap w:val="0"/>
        <w:spacing w:line="360" w:lineRule="exact"/>
        <w:ind w:firstLine="420"/>
        <w:rPr>
          <w:rFonts w:ascii="宋体" w:hAnsi="Courier New" w:eastAsia="宋体" w:cs="Times New Roman"/>
          <w:b/>
          <w:color w:val="000000" w:themeColor="text1"/>
          <w:szCs w:val="20"/>
          <w:highlight w:val="none"/>
          <w14:textFill>
            <w14:solidFill>
              <w14:schemeClr w14:val="tx1"/>
            </w14:solidFill>
          </w14:textFill>
        </w:rPr>
      </w:pPr>
      <w:r>
        <w:rPr>
          <w:rFonts w:hint="eastAsia" w:ascii="宋体" w:hAnsi="Courier New" w:eastAsia="宋体" w:cs="Times New Roman"/>
          <w:b/>
          <w:color w:val="000000" w:themeColor="text1"/>
          <w:szCs w:val="20"/>
          <w:highlight w:val="none"/>
          <w14:textFill>
            <w14:solidFill>
              <w14:schemeClr w14:val="tx1"/>
            </w14:solidFill>
          </w14:textFill>
        </w:rPr>
        <w:t>开具增值税专用发票开票信息:</w:t>
      </w:r>
    </w:p>
    <w:p w14:paraId="15DCDB93">
      <w:pPr>
        <w:wordWrap w:val="0"/>
        <w:spacing w:line="360" w:lineRule="exact"/>
        <w:ind w:firstLine="420"/>
        <w:rPr>
          <w:rFonts w:ascii="宋体" w:hAnsi="Courier New" w:eastAsia="宋体" w:cs="Times New Roman"/>
          <w:color w:val="000000" w:themeColor="text1"/>
          <w:szCs w:val="20"/>
          <w:highlight w:val="none"/>
          <w:u w:val="singl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①公司名称：</w:t>
      </w:r>
      <w:r>
        <w:rPr>
          <w:rFonts w:hint="eastAsia" w:ascii="宋体" w:hAnsi="Courier New" w:eastAsia="宋体" w:cs="Times New Roman"/>
          <w:color w:val="000000" w:themeColor="text1"/>
          <w:szCs w:val="20"/>
          <w:highlight w:val="none"/>
          <w:u w:val="single"/>
          <w14:textFill>
            <w14:solidFill>
              <w14:schemeClr w14:val="tx1"/>
            </w14:solidFill>
          </w14:textFill>
        </w:rPr>
        <w:t xml:space="preserve">                                 </w:t>
      </w:r>
    </w:p>
    <w:p w14:paraId="1BB8BEC4">
      <w:pPr>
        <w:wordWrap w:val="0"/>
        <w:spacing w:line="360" w:lineRule="exact"/>
        <w:ind w:firstLine="420"/>
        <w:rPr>
          <w:rFonts w:ascii="宋体" w:hAnsi="Courier New" w:eastAsia="宋体" w:cs="Times New Roman"/>
          <w:color w:val="000000" w:themeColor="text1"/>
          <w:szCs w:val="20"/>
          <w:highlight w:val="none"/>
          <w:u w:val="singl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②纳税人识别号：</w:t>
      </w:r>
      <w:r>
        <w:rPr>
          <w:rFonts w:hint="eastAsia" w:ascii="宋体" w:hAnsi="Courier New" w:eastAsia="宋体" w:cs="Times New Roman"/>
          <w:color w:val="000000" w:themeColor="text1"/>
          <w:szCs w:val="20"/>
          <w:highlight w:val="none"/>
          <w:u w:val="single"/>
          <w14:textFill>
            <w14:solidFill>
              <w14:schemeClr w14:val="tx1"/>
            </w14:solidFill>
          </w14:textFill>
        </w:rPr>
        <w:t xml:space="preserve">                                </w:t>
      </w:r>
    </w:p>
    <w:p w14:paraId="7C00E573">
      <w:pPr>
        <w:wordWrap w:val="0"/>
        <w:spacing w:line="360" w:lineRule="exact"/>
        <w:ind w:firstLine="420"/>
        <w:rPr>
          <w:rFonts w:ascii="宋体" w:hAnsi="Courier New" w:eastAsia="宋体" w:cs="Times New Roman"/>
          <w:color w:val="000000" w:themeColor="text1"/>
          <w:szCs w:val="20"/>
          <w:highlight w:val="none"/>
          <w:u w:val="singl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 xml:space="preserve">③税局登记地址： </w:t>
      </w:r>
      <w:r>
        <w:rPr>
          <w:rFonts w:hint="eastAsia" w:ascii="宋体" w:hAnsi="Courier New" w:eastAsia="宋体" w:cs="Times New Roman"/>
          <w:color w:val="000000" w:themeColor="text1"/>
          <w:szCs w:val="20"/>
          <w:highlight w:val="none"/>
          <w:u w:val="single"/>
          <w14:textFill>
            <w14:solidFill>
              <w14:schemeClr w14:val="tx1"/>
            </w14:solidFill>
          </w14:textFill>
        </w:rPr>
        <w:t xml:space="preserve">                              </w:t>
      </w:r>
    </w:p>
    <w:p w14:paraId="5A2D1B1C">
      <w:pPr>
        <w:wordWrap w:val="0"/>
        <w:spacing w:line="360" w:lineRule="exact"/>
        <w:ind w:firstLine="420"/>
        <w:rPr>
          <w:rFonts w:ascii="宋体" w:hAnsi="Courier New" w:eastAsia="宋体" w:cs="Times New Roman"/>
          <w:color w:val="000000" w:themeColor="text1"/>
          <w:szCs w:val="20"/>
          <w:highlight w:val="none"/>
          <w:u w:val="singl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 xml:space="preserve">④税局登记电话： </w:t>
      </w:r>
      <w:r>
        <w:rPr>
          <w:rFonts w:hint="eastAsia" w:ascii="宋体" w:hAnsi="Courier New" w:eastAsia="宋体" w:cs="Times New Roman"/>
          <w:color w:val="000000" w:themeColor="text1"/>
          <w:szCs w:val="20"/>
          <w:highlight w:val="none"/>
          <w:u w:val="single"/>
          <w14:textFill>
            <w14:solidFill>
              <w14:schemeClr w14:val="tx1"/>
            </w14:solidFill>
          </w14:textFill>
        </w:rPr>
        <w:t xml:space="preserve">                                  </w:t>
      </w:r>
    </w:p>
    <w:p w14:paraId="68360C13">
      <w:pPr>
        <w:wordWrap w:val="0"/>
        <w:spacing w:line="360" w:lineRule="exact"/>
        <w:ind w:firstLine="420"/>
        <w:rPr>
          <w:rFonts w:ascii="宋体" w:hAnsi="Courier New" w:eastAsia="宋体" w:cs="Times New Roman"/>
          <w:color w:val="000000" w:themeColor="text1"/>
          <w:szCs w:val="20"/>
          <w:highlight w:val="none"/>
          <w:u w:val="singl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⑤开户银行：</w:t>
      </w:r>
      <w:r>
        <w:rPr>
          <w:rFonts w:hint="eastAsia" w:ascii="宋体" w:hAnsi="Courier New" w:eastAsia="宋体" w:cs="Times New Roman"/>
          <w:color w:val="000000" w:themeColor="text1"/>
          <w:szCs w:val="20"/>
          <w:highlight w:val="none"/>
          <w:u w:val="single"/>
          <w14:textFill>
            <w14:solidFill>
              <w14:schemeClr w14:val="tx1"/>
            </w14:solidFill>
          </w14:textFill>
        </w:rPr>
        <w:t xml:space="preserve">                                     </w:t>
      </w:r>
    </w:p>
    <w:p w14:paraId="2D081529">
      <w:pPr>
        <w:wordWrap w:val="0"/>
        <w:spacing w:line="360" w:lineRule="exact"/>
        <w:ind w:firstLine="420"/>
        <w:rPr>
          <w:rFonts w:ascii="宋体" w:hAnsi="Courier New" w:eastAsia="宋体" w:cs="Times New Roman"/>
          <w:color w:val="000000" w:themeColor="text1"/>
          <w:szCs w:val="20"/>
          <w:highlight w:val="none"/>
          <w:u w:val="single"/>
          <w14:textFill>
            <w14:solidFill>
              <w14:schemeClr w14:val="tx1"/>
            </w14:solidFill>
          </w14:textFill>
        </w:rPr>
      </w:pPr>
      <w:r>
        <w:rPr>
          <w:rFonts w:hint="eastAsia" w:ascii="宋体" w:hAnsi="Courier New" w:eastAsia="宋体" w:cs="Times New Roman"/>
          <w:color w:val="000000" w:themeColor="text1"/>
          <w:szCs w:val="20"/>
          <w:highlight w:val="none"/>
          <w14:textFill>
            <w14:solidFill>
              <w14:schemeClr w14:val="tx1"/>
            </w14:solidFill>
          </w14:textFill>
        </w:rPr>
        <w:t>⑥银行账户：</w:t>
      </w:r>
      <w:r>
        <w:rPr>
          <w:rFonts w:hint="eastAsia" w:ascii="宋体" w:hAnsi="Courier New" w:eastAsia="宋体" w:cs="Times New Roman"/>
          <w:color w:val="000000" w:themeColor="text1"/>
          <w:szCs w:val="20"/>
          <w:highlight w:val="none"/>
          <w:u w:val="single"/>
          <w14:textFill>
            <w14:solidFill>
              <w14:schemeClr w14:val="tx1"/>
            </w14:solidFill>
          </w14:textFill>
        </w:rPr>
        <w:t xml:space="preserve">                                        </w:t>
      </w:r>
    </w:p>
    <w:p w14:paraId="455F4FF9">
      <w:pPr>
        <w:wordWrap w:val="0"/>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（2）我方承诺在收到成交通知书后，在成交通知书规定的期限内与采购人签订合同。</w:t>
      </w:r>
    </w:p>
    <w:p w14:paraId="5E668A03">
      <w:pPr>
        <w:wordWrap w:val="0"/>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（3）我方承诺按照谈判文件规定递交履约担保。</w:t>
      </w:r>
    </w:p>
    <w:p w14:paraId="12BDA9F9">
      <w:pPr>
        <w:wordWrap w:val="0"/>
        <w:spacing w:line="360" w:lineRule="exact"/>
        <w:ind w:firstLine="42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（4）我方承诺本响应文件至本项目合同履行完毕止均保持有效，按谈判文件及政府采购法律、法规的规定履行合同责任和义务。</w:t>
      </w:r>
    </w:p>
    <w:p w14:paraId="2981C0CA">
      <w:pPr>
        <w:wordWrap w:val="0"/>
        <w:spacing w:line="360" w:lineRule="exact"/>
        <w:ind w:firstLine="420"/>
        <w:rPr>
          <w:rFonts w:ascii="宋体" w:hAnsi="宋体" w:eastAsia="宋体" w:cs="Times New Roman"/>
          <w:color w:val="000000" w:themeColor="text1"/>
          <w:szCs w:val="20"/>
          <w:highlight w:val="none"/>
          <w14:textFill>
            <w14:solidFill>
              <w14:schemeClr w14:val="tx1"/>
            </w14:solidFill>
          </w14:textFill>
        </w:rPr>
      </w:pPr>
    </w:p>
    <w:p w14:paraId="558889C7">
      <w:pPr>
        <w:wordWrap w:val="0"/>
        <w:spacing w:line="360" w:lineRule="exact"/>
        <w:ind w:firstLine="420"/>
        <w:rPr>
          <w:rFonts w:ascii="宋体" w:hAnsi="宋体" w:eastAsia="宋体" w:cs="Times New Roman"/>
          <w:color w:val="000000" w:themeColor="text1"/>
          <w:szCs w:val="20"/>
          <w:highlight w:val="none"/>
          <w:u w:val="singl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与本项目有关的正式通讯地址为：</w:t>
      </w:r>
      <w:r>
        <w:rPr>
          <w:rFonts w:hint="eastAsia" w:ascii="宋体" w:hAnsi="宋体" w:eastAsia="宋体" w:cs="Times New Roman"/>
          <w:color w:val="000000" w:themeColor="text1"/>
          <w:szCs w:val="20"/>
          <w:highlight w:val="none"/>
          <w:u w:val="single"/>
          <w14:textFill>
            <w14:solidFill>
              <w14:schemeClr w14:val="tx1"/>
            </w14:solidFill>
          </w14:textFill>
        </w:rPr>
        <w:t xml:space="preserve">                        </w:t>
      </w:r>
    </w:p>
    <w:p w14:paraId="484D06C2">
      <w:pPr>
        <w:wordWrap w:val="0"/>
        <w:spacing w:line="400" w:lineRule="exact"/>
        <w:ind w:firstLine="420"/>
        <w:rPr>
          <w:rFonts w:ascii="宋体" w:hAnsi="宋体" w:eastAsia="宋体" w:cs="Times New Roman"/>
          <w:color w:val="000000" w:themeColor="text1"/>
          <w:szCs w:val="20"/>
          <w:highlight w:val="none"/>
          <w:u w:val="singl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地址：</w:t>
      </w:r>
      <w:r>
        <w:rPr>
          <w:rFonts w:hint="eastAsia" w:ascii="宋体" w:hAnsi="宋体" w:eastAsia="宋体" w:cs="Times New Roman"/>
          <w:color w:val="000000" w:themeColor="text1"/>
          <w:szCs w:val="20"/>
          <w:highlight w:val="none"/>
          <w:u w:val="single"/>
          <w14:textFill>
            <w14:solidFill>
              <w14:schemeClr w14:val="tx1"/>
            </w14:solidFill>
          </w14:textFill>
        </w:rPr>
        <w:t xml:space="preserve">                </w:t>
      </w:r>
      <w:r>
        <w:rPr>
          <w:rFonts w:hint="eastAsia" w:ascii="宋体" w:hAnsi="宋体" w:eastAsia="宋体" w:cs="Times New Roman"/>
          <w:color w:val="000000" w:themeColor="text1"/>
          <w:szCs w:val="20"/>
          <w:highlight w:val="none"/>
          <w14:textFill>
            <w14:solidFill>
              <w14:schemeClr w14:val="tx1"/>
            </w14:solidFill>
          </w14:textFill>
        </w:rPr>
        <w:t xml:space="preserve"> 邮编：</w:t>
      </w:r>
      <w:r>
        <w:rPr>
          <w:rFonts w:hint="eastAsia" w:ascii="宋体" w:hAnsi="宋体" w:eastAsia="宋体" w:cs="Times New Roman"/>
          <w:color w:val="000000" w:themeColor="text1"/>
          <w:szCs w:val="20"/>
          <w:highlight w:val="none"/>
          <w:u w:val="single"/>
          <w14:textFill>
            <w14:solidFill>
              <w14:schemeClr w14:val="tx1"/>
            </w14:solidFill>
          </w14:textFill>
        </w:rPr>
        <w:t xml:space="preserve">                    </w:t>
      </w:r>
      <w:r>
        <w:rPr>
          <w:rFonts w:hint="eastAsia" w:ascii="宋体" w:hAnsi="宋体" w:eastAsia="宋体" w:cs="Times New Roman"/>
          <w:color w:val="000000" w:themeColor="text1"/>
          <w:szCs w:val="20"/>
          <w:highlight w:val="none"/>
          <w14:textFill>
            <w14:solidFill>
              <w14:schemeClr w14:val="tx1"/>
            </w14:solidFill>
          </w14:textFill>
        </w:rPr>
        <w:t xml:space="preserve"> 电话、传真：</w:t>
      </w:r>
      <w:r>
        <w:rPr>
          <w:rFonts w:hint="eastAsia" w:ascii="宋体" w:hAnsi="宋体" w:eastAsia="宋体" w:cs="Times New Roman"/>
          <w:color w:val="000000" w:themeColor="text1"/>
          <w:szCs w:val="20"/>
          <w:highlight w:val="none"/>
          <w:u w:val="single"/>
          <w14:textFill>
            <w14:solidFill>
              <w14:schemeClr w14:val="tx1"/>
            </w14:solidFill>
          </w14:textFill>
        </w:rPr>
        <w:t xml:space="preserve">                </w:t>
      </w:r>
    </w:p>
    <w:p w14:paraId="38A23B13">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p>
    <w:p w14:paraId="79C8BC06">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p>
    <w:p w14:paraId="625DC075">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p>
    <w:p w14:paraId="6DA05BA6">
      <w:pPr>
        <w:spacing w:line="360" w:lineRule="exact"/>
        <w:ind w:firstLine="420"/>
        <w:rPr>
          <w:rFonts w:ascii="宋体" w:hAnsi="宋体" w:eastAsia="宋体" w:cs="Times New Roman"/>
          <w:color w:val="000000" w:themeColor="text1"/>
          <w:szCs w:val="20"/>
          <w:highlight w:val="none"/>
          <w14:textFill>
            <w14:solidFill>
              <w14:schemeClr w14:val="tx1"/>
            </w14:solidFill>
          </w14:textFill>
        </w:rPr>
      </w:pPr>
    </w:p>
    <w:p w14:paraId="366728F8">
      <w:pPr>
        <w:wordWrap w:val="0"/>
        <w:spacing w:line="360" w:lineRule="exact"/>
        <w:ind w:firstLine="420"/>
        <w:rPr>
          <w:rFonts w:ascii="宋体" w:hAnsi="宋体" w:eastAsia="宋体" w:cs="Times New Roman"/>
          <w:color w:val="000000" w:themeColor="text1"/>
          <w:szCs w:val="20"/>
          <w:highlight w:val="none"/>
          <w:u w:val="singl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供应商名称（加盖供应商CA证书签章，自然人除外）：</w:t>
      </w:r>
    </w:p>
    <w:p w14:paraId="3764DE9B">
      <w:pPr>
        <w:wordWrap w:val="0"/>
        <w:spacing w:line="360" w:lineRule="exact"/>
        <w:ind w:firstLine="420"/>
        <w:jc w:val="left"/>
        <w:rPr>
          <w:rFonts w:ascii="宋体" w:hAnsi="宋体" w:eastAsia="宋体" w:cs="Times New Roman"/>
          <w:color w:val="000000" w:themeColor="text1"/>
          <w:szCs w:val="20"/>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法定代表人或负责人或自然人或相应的委托代理人签字或加盖个人CA证书签章</w:t>
      </w:r>
      <w:r>
        <w:rPr>
          <w:rFonts w:hint="eastAsia" w:ascii="宋体" w:hAnsi="宋体" w:eastAsia="宋体" w:cs="Times New Roman"/>
          <w:color w:val="000000" w:themeColor="text1"/>
          <w:szCs w:val="20"/>
          <w:highlight w:val="none"/>
          <w14:textFill>
            <w14:solidFill>
              <w14:schemeClr w14:val="tx1"/>
            </w14:solidFill>
          </w14:textFill>
        </w:rPr>
        <w:t>：</w:t>
      </w:r>
    </w:p>
    <w:p w14:paraId="2CE12C06">
      <w:pPr>
        <w:wordWrap w:val="0"/>
        <w:spacing w:line="400" w:lineRule="exact"/>
        <w:ind w:firstLine="420"/>
        <w:rPr>
          <w:rFonts w:ascii="宋体" w:hAnsi="宋体" w:eastAsia="宋体" w:cs="Times New Roman"/>
          <w:color w:val="000000" w:themeColor="text1"/>
          <w:szCs w:val="20"/>
          <w:highlight w:val="none"/>
          <w:u w:val="single"/>
          <w14:textFill>
            <w14:solidFill>
              <w14:schemeClr w14:val="tx1"/>
            </w14:solidFill>
          </w14:textFill>
        </w:rPr>
      </w:pPr>
      <w:r>
        <w:rPr>
          <w:rFonts w:hint="eastAsia" w:ascii="宋体" w:hAnsi="宋体" w:eastAsia="宋体" w:cs="Times New Roman"/>
          <w:bCs/>
          <w:color w:val="000000" w:themeColor="text1"/>
          <w:szCs w:val="20"/>
          <w:highlight w:val="none"/>
          <w14:textFill>
            <w14:solidFill>
              <w14:schemeClr w14:val="tx1"/>
            </w14:solidFill>
          </w14:textFill>
        </w:rPr>
        <w:t>响应</w:t>
      </w:r>
      <w:r>
        <w:rPr>
          <w:rFonts w:hint="eastAsia" w:ascii="宋体" w:hAnsi="宋体" w:eastAsia="宋体" w:cs="Times New Roman"/>
          <w:color w:val="000000" w:themeColor="text1"/>
          <w:szCs w:val="20"/>
          <w:highlight w:val="none"/>
          <w14:textFill>
            <w14:solidFill>
              <w14:schemeClr w14:val="tx1"/>
            </w14:solidFill>
          </w14:textFill>
        </w:rPr>
        <w:t>日期： 202</w:t>
      </w:r>
      <w:r>
        <w:rPr>
          <w:rFonts w:hint="eastAsia" w:ascii="宋体" w:hAnsi="宋体" w:eastAsia="宋体" w:cs="Times New Roman"/>
          <w:color w:val="000000" w:themeColor="text1"/>
          <w:szCs w:val="20"/>
          <w:highlight w:val="none"/>
          <w:u w:val="single"/>
          <w14:textFill>
            <w14:solidFill>
              <w14:schemeClr w14:val="tx1"/>
            </w14:solidFill>
          </w14:textFill>
        </w:rPr>
        <w:t xml:space="preserve">5年   月    日 </w:t>
      </w:r>
    </w:p>
    <w:p w14:paraId="1D1A8B8D">
      <w:pPr>
        <w:spacing w:line="400" w:lineRule="exact"/>
        <w:ind w:firstLine="420" w:firstLineChars="200"/>
        <w:rPr>
          <w:rFonts w:ascii="宋体" w:hAnsi="宋体" w:eastAsia="宋体" w:cs="Times New Roman"/>
          <w:bCs/>
          <w:color w:val="000000" w:themeColor="text1"/>
          <w:szCs w:val="20"/>
          <w:highlight w:val="none"/>
          <w14:textFill>
            <w14:solidFill>
              <w14:schemeClr w14:val="tx1"/>
            </w14:solidFill>
          </w14:textFill>
        </w:rPr>
      </w:pPr>
    </w:p>
    <w:p w14:paraId="155B883E">
      <w:pPr>
        <w:spacing w:line="400" w:lineRule="exact"/>
        <w:ind w:firstLine="420" w:firstLineChars="200"/>
        <w:rPr>
          <w:rFonts w:ascii="宋体" w:hAnsi="宋体" w:eastAsia="宋体" w:cs="Times New Roman"/>
          <w:bCs/>
          <w:color w:val="000000" w:themeColor="text1"/>
          <w:szCs w:val="20"/>
          <w:highlight w:val="none"/>
          <w14:textFill>
            <w14:solidFill>
              <w14:schemeClr w14:val="tx1"/>
            </w14:solidFill>
          </w14:textFill>
        </w:rPr>
      </w:pPr>
    </w:p>
    <w:p w14:paraId="4549A696">
      <w:pPr>
        <w:spacing w:line="400" w:lineRule="exact"/>
        <w:ind w:firstLine="422" w:firstLineChars="200"/>
        <w:rPr>
          <w:rFonts w:ascii="宋体" w:hAnsi="宋体" w:eastAsia="宋体" w:cs="Times New Roman"/>
          <w:b/>
          <w:bCs/>
          <w:color w:val="000000" w:themeColor="text1"/>
          <w:szCs w:val="20"/>
          <w:highlight w:val="none"/>
          <w14:textFill>
            <w14:solidFill>
              <w14:schemeClr w14:val="tx1"/>
            </w14:solidFill>
          </w14:textFill>
        </w:rPr>
      </w:pPr>
      <w:r>
        <w:rPr>
          <w:rFonts w:hint="eastAsia" w:ascii="宋体" w:hAnsi="宋体" w:eastAsia="宋体" w:cs="Times New Roman"/>
          <w:b/>
          <w:bCs/>
          <w:color w:val="000000" w:themeColor="text1"/>
          <w:szCs w:val="20"/>
          <w:highlight w:val="none"/>
          <w14:textFill>
            <w14:solidFill>
              <w14:schemeClr w14:val="tx1"/>
            </w14:solidFill>
          </w14:textFill>
        </w:rPr>
        <w:t>注：</w:t>
      </w:r>
    </w:p>
    <w:p w14:paraId="140269E6">
      <w:pPr>
        <w:spacing w:line="400" w:lineRule="exact"/>
        <w:ind w:firstLine="422" w:firstLineChars="200"/>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0"/>
          <w:highlight w:val="none"/>
          <w14:textFill>
            <w14:solidFill>
              <w14:schemeClr w14:val="tx1"/>
            </w14:solidFill>
          </w14:textFill>
        </w:rPr>
        <w:t>响应函</w:t>
      </w:r>
      <w:r>
        <w:rPr>
          <w:rFonts w:hint="eastAsia" w:ascii="宋体" w:hAnsi="宋体" w:eastAsia="宋体" w:cs="Times New Roman"/>
          <w:b/>
          <w:bCs/>
          <w:color w:val="000000" w:themeColor="text1"/>
          <w:szCs w:val="21"/>
          <w:highlight w:val="none"/>
          <w14:textFill>
            <w14:solidFill>
              <w14:schemeClr w14:val="tx1"/>
            </w14:solidFill>
          </w14:textFill>
        </w:rPr>
        <w:t>须</w:t>
      </w:r>
      <w:r>
        <w:rPr>
          <w:rFonts w:hint="eastAsia" w:ascii="宋体" w:hAnsi="宋体" w:eastAsia="宋体" w:cs="Times New Roman"/>
          <w:b/>
          <w:bCs/>
          <w:color w:val="000000" w:themeColor="text1"/>
          <w:szCs w:val="20"/>
          <w:highlight w:val="none"/>
          <w14:textFill>
            <w14:solidFill>
              <w14:schemeClr w14:val="tx1"/>
            </w14:solidFill>
          </w14:textFill>
        </w:rPr>
        <w:t>由</w:t>
      </w:r>
      <w:r>
        <w:rPr>
          <w:rFonts w:hint="eastAsia" w:ascii="宋体" w:hAnsi="宋体" w:eastAsia="宋体" w:cs="Times New Roman"/>
          <w:b/>
          <w:bCs/>
          <w:color w:val="000000" w:themeColor="text1"/>
          <w:szCs w:val="21"/>
          <w:highlight w:val="none"/>
          <w14:textFill>
            <w14:solidFill>
              <w14:schemeClr w14:val="tx1"/>
            </w14:solidFill>
          </w14:textFill>
        </w:rPr>
        <w:t>法定代表人（负责人或自然人）或委托代理人签字</w:t>
      </w:r>
      <w:r>
        <w:rPr>
          <w:rFonts w:hint="eastAsia" w:ascii="宋体" w:hAnsi="宋体" w:eastAsia="宋体" w:cs="Times New Roman"/>
          <w:b/>
          <w:color w:val="000000" w:themeColor="text1"/>
          <w:szCs w:val="20"/>
          <w:highlight w:val="none"/>
          <w14:textFill>
            <w14:solidFill>
              <w14:schemeClr w14:val="tx1"/>
            </w14:solidFill>
          </w14:textFill>
        </w:rPr>
        <w:t>或加盖个人CA证书签章</w:t>
      </w:r>
      <w:r>
        <w:rPr>
          <w:rFonts w:hint="eastAsia" w:ascii="宋体" w:hAnsi="宋体" w:eastAsia="宋体" w:cs="Times New Roman"/>
          <w:b/>
          <w:bCs/>
          <w:color w:val="000000" w:themeColor="text1"/>
          <w:szCs w:val="21"/>
          <w:highlight w:val="none"/>
          <w14:textFill>
            <w14:solidFill>
              <w14:schemeClr w14:val="tx1"/>
            </w14:solidFill>
          </w14:textFill>
        </w:rPr>
        <w:t>并加盖供应商CA证书签章（自然人除外）。</w:t>
      </w:r>
    </w:p>
    <w:p w14:paraId="628EE841">
      <w:pPr>
        <w:tabs>
          <w:tab w:val="left" w:pos="1305"/>
        </w:tabs>
        <w:spacing w:line="380" w:lineRule="exact"/>
        <w:rPr>
          <w:rFonts w:ascii="宋体" w:hAnsi="宋体" w:eastAsia="宋体" w:cs="Times New Roman"/>
          <w:b/>
          <w:color w:val="000000" w:themeColor="text1"/>
          <w:sz w:val="28"/>
          <w:szCs w:val="28"/>
          <w:highlight w:val="none"/>
          <w14:textFill>
            <w14:solidFill>
              <w14:schemeClr w14:val="tx1"/>
            </w14:solidFill>
          </w14:textFill>
        </w:rPr>
      </w:pPr>
    </w:p>
    <w:p w14:paraId="1C3A0E50">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45FD3947">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616F72A7">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35C12776">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4414B4C8">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0F5DAAE3">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074903E3">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699CD13B">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4AC6F6A3">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6A64F427">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0BBB1CB8">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502CDEB7">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01019ED1">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739BAFA4">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28C63C4F">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0A99CEF6">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6807DDA3">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04E896F2">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63F4A9E0">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1B2FF36F">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3180E0F9">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74AD6568">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35A4EDF0">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667B6409">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375E9A33">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012EB1AA">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24BCE72F">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37E3F3F9">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65449773">
      <w:pPr>
        <w:ind w:firstLine="422" w:firstLineChars="200"/>
        <w:rPr>
          <w:rFonts w:ascii="宋体" w:hAnsi="宋体" w:eastAsia="宋体" w:cs="Times New Roman"/>
          <w:b/>
          <w:color w:val="000000" w:themeColor="text1"/>
          <w:szCs w:val="21"/>
          <w:highlight w:val="none"/>
          <w14:textFill>
            <w14:solidFill>
              <w14:schemeClr w14:val="tx1"/>
            </w14:solidFill>
          </w14:textFill>
        </w:rPr>
      </w:pPr>
    </w:p>
    <w:p w14:paraId="3DD66D92">
      <w:pPr>
        <w:pStyle w:val="2"/>
        <w:rPr>
          <w:rFonts w:ascii="宋体" w:hAnsi="宋体" w:eastAsia="宋体" w:cs="Times New Roman"/>
          <w:b/>
          <w:color w:val="000000" w:themeColor="text1"/>
          <w:szCs w:val="21"/>
          <w:highlight w:val="none"/>
          <w14:textFill>
            <w14:solidFill>
              <w14:schemeClr w14:val="tx1"/>
            </w14:solidFill>
          </w14:textFill>
        </w:rPr>
      </w:pPr>
    </w:p>
    <w:p w14:paraId="04431931">
      <w:pPr>
        <w:rPr>
          <w:rFonts w:ascii="宋体" w:hAnsi="宋体" w:eastAsia="宋体" w:cs="Times New Roman"/>
          <w:b/>
          <w:color w:val="000000" w:themeColor="text1"/>
          <w:szCs w:val="21"/>
          <w:highlight w:val="none"/>
          <w14:textFill>
            <w14:solidFill>
              <w14:schemeClr w14:val="tx1"/>
            </w14:solidFill>
          </w14:textFill>
        </w:rPr>
      </w:pPr>
    </w:p>
    <w:p w14:paraId="3DEDBA38">
      <w:pPr>
        <w:rPr>
          <w:rFonts w:ascii="宋体" w:hAnsi="宋体" w:eastAsia="宋体" w:cs="Times New Roman"/>
          <w:b/>
          <w:color w:val="000000" w:themeColor="text1"/>
          <w:szCs w:val="21"/>
          <w:highlight w:val="none"/>
          <w14:textFill>
            <w14:solidFill>
              <w14:schemeClr w14:val="tx1"/>
            </w14:solidFill>
          </w14:textFill>
        </w:rPr>
      </w:pPr>
    </w:p>
    <w:p w14:paraId="222BF7E2">
      <w:pPr>
        <w:spacing w:line="320" w:lineRule="exact"/>
        <w:ind w:firstLine="703" w:firstLineChars="250"/>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4.谈判报价明细表（格式见附件）（必须提供）；</w:t>
      </w:r>
    </w:p>
    <w:p w14:paraId="6FC5EB30">
      <w:pPr>
        <w:spacing w:line="500" w:lineRule="exact"/>
        <w:ind w:left="420"/>
        <w:jc w:val="left"/>
        <w:rPr>
          <w:rFonts w:ascii="宋体" w:hAnsi="宋体" w:eastAsia="宋体" w:cs="Times New Roman"/>
          <w:b/>
          <w:color w:val="000000" w:themeColor="text1"/>
          <w:sz w:val="24"/>
          <w:szCs w:val="24"/>
          <w:highlight w:val="none"/>
          <w14:textFill>
            <w14:solidFill>
              <w14:schemeClr w14:val="tx1"/>
            </w14:solidFill>
          </w14:textFill>
        </w:rPr>
      </w:pPr>
    </w:p>
    <w:p w14:paraId="2CFA66FB">
      <w:pPr>
        <w:spacing w:line="500" w:lineRule="exact"/>
        <w:ind w:left="420"/>
        <w:jc w:val="left"/>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附件：               </w:t>
      </w:r>
    </w:p>
    <w:p w14:paraId="3AD9010E">
      <w:pPr>
        <w:spacing w:line="500" w:lineRule="exact"/>
        <w:jc w:val="center"/>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谈判报价明细表（格式）</w:t>
      </w:r>
    </w:p>
    <w:tbl>
      <w:tblPr>
        <w:tblStyle w:val="53"/>
        <w:tblW w:w="96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
        <w:gridCol w:w="992"/>
        <w:gridCol w:w="991"/>
        <w:gridCol w:w="1274"/>
        <w:gridCol w:w="707"/>
        <w:gridCol w:w="566"/>
        <w:gridCol w:w="708"/>
        <w:gridCol w:w="1416"/>
        <w:gridCol w:w="2436"/>
      </w:tblGrid>
      <w:tr w14:paraId="1539C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2" w:hRule="atLeast"/>
        </w:trPr>
        <w:tc>
          <w:tcPr>
            <w:tcW w:w="566" w:type="dxa"/>
            <w:tcBorders>
              <w:top w:val="single" w:color="auto" w:sz="4" w:space="0"/>
              <w:left w:val="single" w:color="auto" w:sz="4" w:space="0"/>
              <w:bottom w:val="single" w:color="auto" w:sz="4" w:space="0"/>
              <w:right w:val="single" w:color="auto" w:sz="4" w:space="0"/>
            </w:tcBorders>
            <w:vAlign w:val="center"/>
          </w:tcPr>
          <w:p w14:paraId="03CBCFE1">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项号</w:t>
            </w:r>
          </w:p>
        </w:tc>
        <w:tc>
          <w:tcPr>
            <w:tcW w:w="992" w:type="dxa"/>
            <w:tcBorders>
              <w:top w:val="single" w:color="auto" w:sz="4" w:space="0"/>
              <w:left w:val="single" w:color="auto" w:sz="4" w:space="0"/>
              <w:bottom w:val="single" w:color="auto" w:sz="4" w:space="0"/>
              <w:right w:val="single" w:color="auto" w:sz="4" w:space="0"/>
            </w:tcBorders>
            <w:vAlign w:val="center"/>
          </w:tcPr>
          <w:p w14:paraId="0B11FF4C">
            <w:pPr>
              <w:spacing w:line="28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标的名称</w:t>
            </w:r>
          </w:p>
        </w:tc>
        <w:tc>
          <w:tcPr>
            <w:tcW w:w="991" w:type="dxa"/>
            <w:tcBorders>
              <w:top w:val="single" w:color="auto" w:sz="4" w:space="0"/>
              <w:left w:val="single" w:color="auto" w:sz="4" w:space="0"/>
              <w:bottom w:val="single" w:color="auto" w:sz="4" w:space="0"/>
              <w:right w:val="single" w:color="auto" w:sz="4" w:space="0"/>
            </w:tcBorders>
            <w:vAlign w:val="center"/>
          </w:tcPr>
          <w:p w14:paraId="41E4FF43">
            <w:pPr>
              <w:spacing w:line="280" w:lineRule="exact"/>
              <w:jc w:val="center"/>
              <w:rPr>
                <w:rFonts w:ascii="Times New Roman" w:hAnsi="宋体" w:eastAsia="宋体" w:cs="Times New Roman"/>
                <w:color w:val="000000" w:themeColor="text1"/>
                <w:szCs w:val="24"/>
                <w:highlight w:val="none"/>
                <w14:textFill>
                  <w14:solidFill>
                    <w14:schemeClr w14:val="tx1"/>
                  </w14:solidFill>
                </w14:textFill>
              </w:rPr>
            </w:pPr>
            <w:bookmarkStart w:id="51" w:name="OLE_LINK92"/>
            <w:bookmarkStart w:id="52" w:name="OLE_LINK91"/>
            <w:r>
              <w:rPr>
                <w:rFonts w:hint="eastAsia" w:ascii="宋体" w:hAnsi="Times New Roman" w:eastAsia="宋体" w:cs="Times New Roman"/>
                <w:color w:val="000000" w:themeColor="text1"/>
                <w:szCs w:val="21"/>
                <w:highlight w:val="none"/>
                <w14:textFill>
                  <w14:solidFill>
                    <w14:schemeClr w14:val="tx1"/>
                  </w14:solidFill>
                </w14:textFill>
              </w:rPr>
              <w:t>品牌、规格型号</w:t>
            </w:r>
            <w:bookmarkEnd w:id="51"/>
            <w:bookmarkEnd w:id="52"/>
          </w:p>
        </w:tc>
        <w:tc>
          <w:tcPr>
            <w:tcW w:w="1274" w:type="dxa"/>
            <w:tcBorders>
              <w:top w:val="single" w:color="auto" w:sz="4" w:space="0"/>
              <w:left w:val="single" w:color="auto" w:sz="4" w:space="0"/>
              <w:bottom w:val="single" w:color="auto" w:sz="4" w:space="0"/>
              <w:right w:val="single" w:color="auto" w:sz="4" w:space="0"/>
            </w:tcBorders>
            <w:vAlign w:val="center"/>
          </w:tcPr>
          <w:p w14:paraId="2DBBB1CB">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生产厂家或软件开发商</w:t>
            </w:r>
          </w:p>
        </w:tc>
        <w:tc>
          <w:tcPr>
            <w:tcW w:w="707" w:type="dxa"/>
            <w:tcBorders>
              <w:top w:val="single" w:color="auto" w:sz="4" w:space="0"/>
              <w:left w:val="single" w:color="auto" w:sz="4" w:space="0"/>
              <w:bottom w:val="single" w:color="auto" w:sz="4" w:space="0"/>
              <w:right w:val="single" w:color="auto" w:sz="4" w:space="0"/>
            </w:tcBorders>
            <w:vAlign w:val="center"/>
          </w:tcPr>
          <w:p w14:paraId="61CA8FB2">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数量</w:t>
            </w:r>
          </w:p>
          <w:p w14:paraId="18FF98FF">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①</w:t>
            </w:r>
          </w:p>
        </w:tc>
        <w:tc>
          <w:tcPr>
            <w:tcW w:w="566" w:type="dxa"/>
            <w:tcBorders>
              <w:top w:val="single" w:color="auto" w:sz="4" w:space="0"/>
              <w:left w:val="single" w:color="auto" w:sz="4" w:space="0"/>
              <w:bottom w:val="single" w:color="auto" w:sz="4" w:space="0"/>
              <w:right w:val="single" w:color="auto" w:sz="4" w:space="0"/>
            </w:tcBorders>
            <w:vAlign w:val="center"/>
          </w:tcPr>
          <w:p w14:paraId="2291AAB8">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262C26F3">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单价</w:t>
            </w:r>
          </w:p>
          <w:p w14:paraId="05C1727B">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②</w:t>
            </w:r>
          </w:p>
        </w:tc>
        <w:tc>
          <w:tcPr>
            <w:tcW w:w="1416" w:type="dxa"/>
            <w:tcBorders>
              <w:top w:val="single" w:color="auto" w:sz="4" w:space="0"/>
              <w:left w:val="single" w:color="auto" w:sz="4" w:space="0"/>
              <w:bottom w:val="single" w:color="auto" w:sz="4" w:space="0"/>
              <w:right w:val="single" w:color="auto" w:sz="4" w:space="0"/>
            </w:tcBorders>
            <w:vAlign w:val="center"/>
          </w:tcPr>
          <w:p w14:paraId="28B823C9">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单项合计=数量×单价</w:t>
            </w:r>
            <w:r>
              <w:rPr>
                <w:rFonts w:hint="eastAsia" w:ascii="宋体" w:hAnsi="宋体" w:eastAsia="宋体" w:cs="Times New Roman"/>
                <w:color w:val="000000" w:themeColor="text1"/>
                <w:szCs w:val="21"/>
                <w:highlight w:val="none"/>
                <w14:textFill>
                  <w14:solidFill>
                    <w14:schemeClr w14:val="tx1"/>
                  </w14:solidFill>
                </w14:textFill>
              </w:rPr>
              <w:t>③＝①×②</w:t>
            </w:r>
          </w:p>
        </w:tc>
        <w:tc>
          <w:tcPr>
            <w:tcW w:w="2436" w:type="dxa"/>
            <w:tcBorders>
              <w:bottom w:val="single" w:color="auto" w:sz="4" w:space="0"/>
            </w:tcBorders>
            <w:vAlign w:val="center"/>
          </w:tcPr>
          <w:p w14:paraId="2A347504">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备注</w:t>
            </w:r>
          </w:p>
        </w:tc>
      </w:tr>
      <w:tr w14:paraId="507F9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566" w:type="dxa"/>
            <w:tcBorders>
              <w:top w:val="single" w:color="auto" w:sz="4" w:space="0"/>
              <w:left w:val="single" w:color="auto" w:sz="4" w:space="0"/>
              <w:bottom w:val="single" w:color="auto" w:sz="4" w:space="0"/>
              <w:right w:val="single" w:color="auto" w:sz="4" w:space="0"/>
            </w:tcBorders>
            <w:vAlign w:val="center"/>
          </w:tcPr>
          <w:p w14:paraId="5DAD02C9">
            <w:pPr>
              <w:spacing w:line="300" w:lineRule="exact"/>
              <w:jc w:val="center"/>
              <w:rPr>
                <w:rFonts w:ascii="Times New Roman" w:hAnsi="宋体" w:eastAsia="宋体" w:cs="Times New Roman"/>
                <w:bCs/>
                <w:color w:val="000000" w:themeColor="text1"/>
                <w:szCs w:val="24"/>
                <w:highlight w:val="none"/>
                <w14:textFill>
                  <w14:solidFill>
                    <w14:schemeClr w14:val="tx1"/>
                  </w14:solidFill>
                </w14:textFill>
              </w:rPr>
            </w:pPr>
            <w:r>
              <w:rPr>
                <w:rFonts w:hint="eastAsia" w:ascii="Times New Roman" w:hAnsi="宋体" w:eastAsia="宋体" w:cs="Times New Roman"/>
                <w:bCs/>
                <w:color w:val="000000" w:themeColor="text1"/>
                <w:szCs w:val="24"/>
                <w:highlight w:val="none"/>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vAlign w:val="center"/>
          </w:tcPr>
          <w:p w14:paraId="3818E924">
            <w:pPr>
              <w:spacing w:line="300" w:lineRule="exact"/>
              <w:jc w:val="center"/>
              <w:rPr>
                <w:rFonts w:ascii="Times New Roman" w:hAnsi="宋体" w:eastAsia="宋体" w:cs="Times New Roman"/>
                <w:bCs/>
                <w:color w:val="000000" w:themeColor="text1"/>
                <w:szCs w:val="24"/>
                <w:highlight w:val="none"/>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14:paraId="00CF1498">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vAlign w:val="center"/>
          </w:tcPr>
          <w:p w14:paraId="7125B0BB">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p>
        </w:tc>
        <w:tc>
          <w:tcPr>
            <w:tcW w:w="707" w:type="dxa"/>
            <w:tcBorders>
              <w:top w:val="single" w:color="auto" w:sz="4" w:space="0"/>
              <w:left w:val="single" w:color="auto" w:sz="4" w:space="0"/>
              <w:bottom w:val="single" w:color="auto" w:sz="4" w:space="0"/>
              <w:right w:val="single" w:color="auto" w:sz="4" w:space="0"/>
            </w:tcBorders>
            <w:vAlign w:val="center"/>
          </w:tcPr>
          <w:p w14:paraId="5F4C01A1">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566" w:type="dxa"/>
            <w:tcBorders>
              <w:top w:val="single" w:color="auto" w:sz="4" w:space="0"/>
              <w:left w:val="single" w:color="auto" w:sz="4" w:space="0"/>
              <w:bottom w:val="single" w:color="auto" w:sz="4" w:space="0"/>
              <w:right w:val="single" w:color="auto" w:sz="4" w:space="0"/>
            </w:tcBorders>
            <w:vAlign w:val="center"/>
          </w:tcPr>
          <w:p w14:paraId="263565B4">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5BB17FA7">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vAlign w:val="center"/>
          </w:tcPr>
          <w:p w14:paraId="7A8D9B42">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2436" w:type="dxa"/>
            <w:tcBorders>
              <w:top w:val="single" w:color="auto" w:sz="4" w:space="0"/>
              <w:bottom w:val="single" w:color="auto" w:sz="4" w:space="0"/>
            </w:tcBorders>
            <w:vAlign w:val="center"/>
          </w:tcPr>
          <w:p w14:paraId="74175CD5">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r>
      <w:tr w14:paraId="1835C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566" w:type="dxa"/>
            <w:tcBorders>
              <w:top w:val="single" w:color="auto" w:sz="4" w:space="0"/>
              <w:left w:val="single" w:color="auto" w:sz="4" w:space="0"/>
              <w:right w:val="single" w:color="auto" w:sz="4" w:space="0"/>
            </w:tcBorders>
            <w:vAlign w:val="center"/>
          </w:tcPr>
          <w:p w14:paraId="6EB7FA68">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2</w:t>
            </w:r>
          </w:p>
        </w:tc>
        <w:tc>
          <w:tcPr>
            <w:tcW w:w="992" w:type="dxa"/>
            <w:tcBorders>
              <w:top w:val="single" w:color="auto" w:sz="4" w:space="0"/>
              <w:left w:val="single" w:color="auto" w:sz="4" w:space="0"/>
              <w:right w:val="single" w:color="auto" w:sz="4" w:space="0"/>
            </w:tcBorders>
            <w:vAlign w:val="center"/>
          </w:tcPr>
          <w:p w14:paraId="6445C9BE">
            <w:pPr>
              <w:spacing w:line="300" w:lineRule="exact"/>
              <w:jc w:val="center"/>
              <w:rPr>
                <w:rFonts w:ascii="宋体" w:hAnsi="宋体" w:eastAsia="宋体" w:cs="Times New Roman"/>
                <w:color w:val="000000" w:themeColor="text1"/>
                <w:szCs w:val="24"/>
                <w:highlight w:val="none"/>
                <w14:textFill>
                  <w14:solidFill>
                    <w14:schemeClr w14:val="tx1"/>
                  </w14:solidFill>
                </w14:textFill>
              </w:rPr>
            </w:pPr>
          </w:p>
        </w:tc>
        <w:tc>
          <w:tcPr>
            <w:tcW w:w="991" w:type="dxa"/>
            <w:tcBorders>
              <w:top w:val="single" w:color="auto" w:sz="4" w:space="0"/>
              <w:left w:val="single" w:color="auto" w:sz="4" w:space="0"/>
              <w:right w:val="single" w:color="auto" w:sz="4" w:space="0"/>
            </w:tcBorders>
            <w:vAlign w:val="center"/>
          </w:tcPr>
          <w:p w14:paraId="25353721">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p>
        </w:tc>
        <w:tc>
          <w:tcPr>
            <w:tcW w:w="1274" w:type="dxa"/>
            <w:tcBorders>
              <w:top w:val="single" w:color="auto" w:sz="4" w:space="0"/>
              <w:left w:val="single" w:color="auto" w:sz="4" w:space="0"/>
              <w:right w:val="single" w:color="auto" w:sz="4" w:space="0"/>
            </w:tcBorders>
            <w:vAlign w:val="center"/>
          </w:tcPr>
          <w:p w14:paraId="7A0F3811">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p>
        </w:tc>
        <w:tc>
          <w:tcPr>
            <w:tcW w:w="707" w:type="dxa"/>
            <w:tcBorders>
              <w:top w:val="single" w:color="auto" w:sz="4" w:space="0"/>
              <w:left w:val="single" w:color="auto" w:sz="4" w:space="0"/>
              <w:right w:val="single" w:color="auto" w:sz="4" w:space="0"/>
            </w:tcBorders>
            <w:vAlign w:val="center"/>
          </w:tcPr>
          <w:p w14:paraId="5BFD4A2F">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566" w:type="dxa"/>
            <w:tcBorders>
              <w:top w:val="single" w:color="auto" w:sz="4" w:space="0"/>
              <w:left w:val="single" w:color="auto" w:sz="4" w:space="0"/>
              <w:right w:val="single" w:color="auto" w:sz="4" w:space="0"/>
            </w:tcBorders>
            <w:vAlign w:val="center"/>
          </w:tcPr>
          <w:p w14:paraId="2F6A9254">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708" w:type="dxa"/>
            <w:tcBorders>
              <w:top w:val="single" w:color="auto" w:sz="4" w:space="0"/>
              <w:left w:val="single" w:color="auto" w:sz="4" w:space="0"/>
              <w:right w:val="single" w:color="auto" w:sz="4" w:space="0"/>
            </w:tcBorders>
            <w:vAlign w:val="center"/>
          </w:tcPr>
          <w:p w14:paraId="7C1CEA2C">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1416" w:type="dxa"/>
            <w:tcBorders>
              <w:top w:val="single" w:color="auto" w:sz="4" w:space="0"/>
              <w:left w:val="single" w:color="auto" w:sz="4" w:space="0"/>
              <w:right w:val="single" w:color="auto" w:sz="4" w:space="0"/>
            </w:tcBorders>
            <w:vAlign w:val="center"/>
          </w:tcPr>
          <w:p w14:paraId="1C8C40E2">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2436" w:type="dxa"/>
            <w:tcBorders>
              <w:top w:val="single" w:color="auto" w:sz="4" w:space="0"/>
            </w:tcBorders>
            <w:vAlign w:val="center"/>
          </w:tcPr>
          <w:p w14:paraId="4EC752D4">
            <w:pPr>
              <w:spacing w:line="300" w:lineRule="exact"/>
              <w:jc w:val="center"/>
              <w:rPr>
                <w:rFonts w:cs="Times New Roman" w:asciiTheme="minorEastAsia" w:hAnsiTheme="minorEastAsia"/>
                <w:bCs/>
                <w:color w:val="000000" w:themeColor="text1"/>
                <w:szCs w:val="24"/>
                <w:highlight w:val="none"/>
                <w14:textFill>
                  <w14:solidFill>
                    <w14:schemeClr w14:val="tx1"/>
                  </w14:solidFill>
                </w14:textFill>
              </w:rPr>
            </w:pPr>
          </w:p>
        </w:tc>
      </w:tr>
      <w:tr w14:paraId="6CDC9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566" w:type="dxa"/>
            <w:tcBorders>
              <w:top w:val="single" w:color="auto" w:sz="4" w:space="0"/>
              <w:left w:val="single" w:color="auto" w:sz="4" w:space="0"/>
              <w:right w:val="single" w:color="auto" w:sz="4" w:space="0"/>
            </w:tcBorders>
            <w:vAlign w:val="center"/>
          </w:tcPr>
          <w:p w14:paraId="01A83A33">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3</w:t>
            </w:r>
          </w:p>
        </w:tc>
        <w:tc>
          <w:tcPr>
            <w:tcW w:w="992" w:type="dxa"/>
            <w:tcBorders>
              <w:top w:val="single" w:color="auto" w:sz="4" w:space="0"/>
              <w:left w:val="single" w:color="auto" w:sz="4" w:space="0"/>
              <w:right w:val="single" w:color="auto" w:sz="4" w:space="0"/>
            </w:tcBorders>
            <w:vAlign w:val="center"/>
          </w:tcPr>
          <w:p w14:paraId="1E13DB30">
            <w:pPr>
              <w:spacing w:line="300" w:lineRule="exact"/>
              <w:jc w:val="center"/>
              <w:rPr>
                <w:rFonts w:ascii="宋体" w:hAnsi="宋体" w:cs="宋体"/>
                <w:color w:val="000000" w:themeColor="text1"/>
                <w:kern w:val="0"/>
                <w:szCs w:val="21"/>
                <w:highlight w:val="none"/>
                <w14:textFill>
                  <w14:solidFill>
                    <w14:schemeClr w14:val="tx1"/>
                  </w14:solidFill>
                </w14:textFill>
              </w:rPr>
            </w:pPr>
          </w:p>
        </w:tc>
        <w:tc>
          <w:tcPr>
            <w:tcW w:w="991" w:type="dxa"/>
            <w:tcBorders>
              <w:top w:val="single" w:color="auto" w:sz="4" w:space="0"/>
              <w:left w:val="single" w:color="auto" w:sz="4" w:space="0"/>
              <w:right w:val="single" w:color="auto" w:sz="4" w:space="0"/>
            </w:tcBorders>
            <w:vAlign w:val="center"/>
          </w:tcPr>
          <w:p w14:paraId="239ADED3">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p>
        </w:tc>
        <w:tc>
          <w:tcPr>
            <w:tcW w:w="1274" w:type="dxa"/>
            <w:tcBorders>
              <w:top w:val="single" w:color="auto" w:sz="4" w:space="0"/>
              <w:left w:val="single" w:color="auto" w:sz="4" w:space="0"/>
              <w:right w:val="single" w:color="auto" w:sz="4" w:space="0"/>
            </w:tcBorders>
            <w:vAlign w:val="center"/>
          </w:tcPr>
          <w:p w14:paraId="24FF9BB1">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p>
        </w:tc>
        <w:tc>
          <w:tcPr>
            <w:tcW w:w="707" w:type="dxa"/>
            <w:tcBorders>
              <w:top w:val="single" w:color="auto" w:sz="4" w:space="0"/>
              <w:left w:val="single" w:color="auto" w:sz="4" w:space="0"/>
              <w:right w:val="single" w:color="auto" w:sz="4" w:space="0"/>
            </w:tcBorders>
            <w:vAlign w:val="center"/>
          </w:tcPr>
          <w:p w14:paraId="506E6500">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566" w:type="dxa"/>
            <w:tcBorders>
              <w:top w:val="single" w:color="auto" w:sz="4" w:space="0"/>
              <w:left w:val="single" w:color="auto" w:sz="4" w:space="0"/>
              <w:right w:val="single" w:color="auto" w:sz="4" w:space="0"/>
            </w:tcBorders>
            <w:vAlign w:val="center"/>
          </w:tcPr>
          <w:p w14:paraId="712DD817">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708" w:type="dxa"/>
            <w:tcBorders>
              <w:top w:val="single" w:color="auto" w:sz="4" w:space="0"/>
              <w:left w:val="single" w:color="auto" w:sz="4" w:space="0"/>
              <w:right w:val="single" w:color="auto" w:sz="4" w:space="0"/>
            </w:tcBorders>
            <w:vAlign w:val="center"/>
          </w:tcPr>
          <w:p w14:paraId="6282C904">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1416" w:type="dxa"/>
            <w:tcBorders>
              <w:top w:val="single" w:color="auto" w:sz="4" w:space="0"/>
              <w:left w:val="single" w:color="auto" w:sz="4" w:space="0"/>
              <w:right w:val="single" w:color="auto" w:sz="4" w:space="0"/>
            </w:tcBorders>
            <w:vAlign w:val="center"/>
          </w:tcPr>
          <w:p w14:paraId="42F17B5A">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2436" w:type="dxa"/>
            <w:tcBorders>
              <w:top w:val="single" w:color="auto" w:sz="4" w:space="0"/>
            </w:tcBorders>
            <w:vAlign w:val="center"/>
          </w:tcPr>
          <w:p w14:paraId="5B87A4D2">
            <w:pPr>
              <w:spacing w:line="300" w:lineRule="exact"/>
              <w:jc w:val="center"/>
              <w:rPr>
                <w:rFonts w:cs="Times New Roman" w:asciiTheme="minorEastAsia" w:hAnsiTheme="minorEastAsia"/>
                <w:bCs/>
                <w:color w:val="000000" w:themeColor="text1"/>
                <w:szCs w:val="24"/>
                <w:highlight w:val="none"/>
                <w14:textFill>
                  <w14:solidFill>
                    <w14:schemeClr w14:val="tx1"/>
                  </w14:solidFill>
                </w14:textFill>
              </w:rPr>
            </w:pPr>
          </w:p>
        </w:tc>
      </w:tr>
      <w:tr w14:paraId="618B2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566" w:type="dxa"/>
            <w:tcBorders>
              <w:top w:val="single" w:color="auto" w:sz="4" w:space="0"/>
              <w:left w:val="single" w:color="auto" w:sz="4" w:space="0"/>
              <w:right w:val="single" w:color="auto" w:sz="4" w:space="0"/>
            </w:tcBorders>
            <w:vAlign w:val="center"/>
          </w:tcPr>
          <w:p w14:paraId="046FDA09">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p>
        </w:tc>
        <w:tc>
          <w:tcPr>
            <w:tcW w:w="992" w:type="dxa"/>
            <w:tcBorders>
              <w:top w:val="single" w:color="auto" w:sz="4" w:space="0"/>
              <w:left w:val="single" w:color="auto" w:sz="4" w:space="0"/>
              <w:right w:val="single" w:color="auto" w:sz="4" w:space="0"/>
            </w:tcBorders>
            <w:vAlign w:val="center"/>
          </w:tcPr>
          <w:p w14:paraId="3947C8A1">
            <w:pPr>
              <w:spacing w:line="300" w:lineRule="exact"/>
              <w:jc w:val="center"/>
              <w:rPr>
                <w:rFonts w:ascii="宋体" w:hAnsi="宋体" w:cs="宋体"/>
                <w:color w:val="000000" w:themeColor="text1"/>
                <w:kern w:val="0"/>
                <w:szCs w:val="21"/>
                <w:highlight w:val="none"/>
                <w14:textFill>
                  <w14:solidFill>
                    <w14:schemeClr w14:val="tx1"/>
                  </w14:solidFill>
                </w14:textFill>
              </w:rPr>
            </w:pPr>
          </w:p>
        </w:tc>
        <w:tc>
          <w:tcPr>
            <w:tcW w:w="991" w:type="dxa"/>
            <w:tcBorders>
              <w:top w:val="single" w:color="auto" w:sz="4" w:space="0"/>
              <w:left w:val="single" w:color="auto" w:sz="4" w:space="0"/>
              <w:right w:val="single" w:color="auto" w:sz="4" w:space="0"/>
            </w:tcBorders>
            <w:vAlign w:val="center"/>
          </w:tcPr>
          <w:p w14:paraId="67BA4CB7">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p>
        </w:tc>
        <w:tc>
          <w:tcPr>
            <w:tcW w:w="1274" w:type="dxa"/>
            <w:tcBorders>
              <w:top w:val="single" w:color="auto" w:sz="4" w:space="0"/>
              <w:left w:val="single" w:color="auto" w:sz="4" w:space="0"/>
              <w:right w:val="single" w:color="auto" w:sz="4" w:space="0"/>
            </w:tcBorders>
            <w:vAlign w:val="center"/>
          </w:tcPr>
          <w:p w14:paraId="7A9660E1">
            <w:pPr>
              <w:spacing w:line="300" w:lineRule="exact"/>
              <w:jc w:val="center"/>
              <w:rPr>
                <w:rFonts w:ascii="Times New Roman" w:hAnsi="宋体" w:eastAsia="宋体" w:cs="Times New Roman"/>
                <w:color w:val="000000" w:themeColor="text1"/>
                <w:szCs w:val="24"/>
                <w:highlight w:val="none"/>
                <w14:textFill>
                  <w14:solidFill>
                    <w14:schemeClr w14:val="tx1"/>
                  </w14:solidFill>
                </w14:textFill>
              </w:rPr>
            </w:pPr>
          </w:p>
        </w:tc>
        <w:tc>
          <w:tcPr>
            <w:tcW w:w="707" w:type="dxa"/>
            <w:tcBorders>
              <w:top w:val="single" w:color="auto" w:sz="4" w:space="0"/>
              <w:left w:val="single" w:color="auto" w:sz="4" w:space="0"/>
              <w:right w:val="single" w:color="auto" w:sz="4" w:space="0"/>
            </w:tcBorders>
            <w:vAlign w:val="center"/>
          </w:tcPr>
          <w:p w14:paraId="5E68FF0E">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566" w:type="dxa"/>
            <w:tcBorders>
              <w:top w:val="single" w:color="auto" w:sz="4" w:space="0"/>
              <w:left w:val="single" w:color="auto" w:sz="4" w:space="0"/>
              <w:right w:val="single" w:color="auto" w:sz="4" w:space="0"/>
            </w:tcBorders>
            <w:vAlign w:val="center"/>
          </w:tcPr>
          <w:p w14:paraId="68FDF529">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708" w:type="dxa"/>
            <w:tcBorders>
              <w:top w:val="single" w:color="auto" w:sz="4" w:space="0"/>
              <w:left w:val="single" w:color="auto" w:sz="4" w:space="0"/>
              <w:right w:val="single" w:color="auto" w:sz="4" w:space="0"/>
            </w:tcBorders>
            <w:vAlign w:val="center"/>
          </w:tcPr>
          <w:p w14:paraId="2FA891D2">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1416" w:type="dxa"/>
            <w:tcBorders>
              <w:top w:val="single" w:color="auto" w:sz="4" w:space="0"/>
              <w:left w:val="single" w:color="auto" w:sz="4" w:space="0"/>
              <w:right w:val="single" w:color="auto" w:sz="4" w:space="0"/>
            </w:tcBorders>
            <w:vAlign w:val="center"/>
          </w:tcPr>
          <w:p w14:paraId="340A5A26">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c>
          <w:tcPr>
            <w:tcW w:w="2436" w:type="dxa"/>
            <w:tcBorders>
              <w:top w:val="single" w:color="auto" w:sz="4" w:space="0"/>
            </w:tcBorders>
            <w:vAlign w:val="center"/>
          </w:tcPr>
          <w:p w14:paraId="40DCFCB8">
            <w:pPr>
              <w:spacing w:line="300" w:lineRule="exact"/>
              <w:jc w:val="center"/>
              <w:rPr>
                <w:rFonts w:cs="Times New Roman" w:asciiTheme="minorEastAsia" w:hAnsiTheme="minorEastAsia"/>
                <w:bCs/>
                <w:color w:val="000000" w:themeColor="text1"/>
                <w:szCs w:val="24"/>
                <w:highlight w:val="none"/>
                <w14:textFill>
                  <w14:solidFill>
                    <w14:schemeClr w14:val="tx1"/>
                  </w14:solidFill>
                </w14:textFill>
              </w:rPr>
            </w:pPr>
          </w:p>
        </w:tc>
      </w:tr>
      <w:tr w14:paraId="1533B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atLeast"/>
        </w:trPr>
        <w:tc>
          <w:tcPr>
            <w:tcW w:w="5804" w:type="dxa"/>
            <w:gridSpan w:val="7"/>
            <w:tcBorders>
              <w:top w:val="single" w:color="auto" w:sz="4" w:space="0"/>
              <w:left w:val="single" w:color="auto" w:sz="4" w:space="0"/>
              <w:right w:val="single" w:color="auto" w:sz="4" w:space="0"/>
            </w:tcBorders>
            <w:vAlign w:val="center"/>
          </w:tcPr>
          <w:p w14:paraId="74211704">
            <w:pPr>
              <w:spacing w:line="300" w:lineRule="exact"/>
              <w:ind w:right="315"/>
              <w:jc w:val="right"/>
              <w:rPr>
                <w:rFonts w:ascii="Times New Roman" w:hAnsi="宋体" w:eastAsia="宋体" w:cs="Times New Roman"/>
                <w:bCs/>
                <w:color w:val="000000" w:themeColor="text1"/>
                <w:szCs w:val="24"/>
                <w:highlight w:val="none"/>
                <w14:textFill>
                  <w14:solidFill>
                    <w14:schemeClr w14:val="tx1"/>
                  </w14:solidFill>
                </w14:textFill>
              </w:rPr>
            </w:pPr>
            <w:r>
              <w:rPr>
                <w:rFonts w:hint="eastAsia" w:ascii="Times New Roman" w:hAnsi="宋体" w:eastAsia="宋体" w:cs="Times New Roman"/>
                <w:bCs/>
                <w:color w:val="000000" w:themeColor="text1"/>
                <w:szCs w:val="24"/>
                <w:highlight w:val="none"/>
                <w14:textFill>
                  <w14:solidFill>
                    <w14:schemeClr w14:val="tx1"/>
                  </w14:solidFill>
                </w14:textFill>
              </w:rPr>
              <w:t>合计金额</w:t>
            </w:r>
          </w:p>
        </w:tc>
        <w:tc>
          <w:tcPr>
            <w:tcW w:w="3852" w:type="dxa"/>
            <w:gridSpan w:val="2"/>
            <w:tcBorders>
              <w:top w:val="single" w:color="auto" w:sz="4" w:space="0"/>
              <w:left w:val="single" w:color="auto" w:sz="4" w:space="0"/>
              <w:bottom w:val="single" w:color="auto" w:sz="4" w:space="0"/>
            </w:tcBorders>
            <w:vAlign w:val="center"/>
          </w:tcPr>
          <w:p w14:paraId="5060508F">
            <w:pPr>
              <w:spacing w:line="300" w:lineRule="exact"/>
              <w:jc w:val="center"/>
              <w:rPr>
                <w:rFonts w:ascii="Times New Roman" w:hAnsi="宋体" w:eastAsia="宋体" w:cs="Times New Roman"/>
                <w:b/>
                <w:bCs/>
                <w:color w:val="000000" w:themeColor="text1"/>
                <w:szCs w:val="24"/>
                <w:highlight w:val="none"/>
                <w14:textFill>
                  <w14:solidFill>
                    <w14:schemeClr w14:val="tx1"/>
                  </w14:solidFill>
                </w14:textFill>
              </w:rPr>
            </w:pPr>
          </w:p>
        </w:tc>
      </w:tr>
      <w:tr w14:paraId="2CC87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9656" w:type="dxa"/>
            <w:gridSpan w:val="9"/>
            <w:tcBorders>
              <w:top w:val="single" w:color="auto" w:sz="4" w:space="0"/>
              <w:left w:val="single" w:color="auto" w:sz="4" w:space="0"/>
              <w:bottom w:val="single" w:color="auto" w:sz="4" w:space="0"/>
            </w:tcBorders>
            <w:vAlign w:val="center"/>
          </w:tcPr>
          <w:p w14:paraId="58B9596D">
            <w:pPr>
              <w:spacing w:line="300" w:lineRule="exact"/>
              <w:rPr>
                <w:rFonts w:ascii="Times New Roman" w:hAnsi="宋体" w:eastAsia="宋体" w:cs="Times New Roman"/>
                <w:b/>
                <w:bCs/>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pacing w:val="-6"/>
                <w:szCs w:val="24"/>
                <w:highlight w:val="none"/>
                <w14:textFill>
                  <w14:solidFill>
                    <w14:schemeClr w14:val="tx1"/>
                  </w14:solidFill>
                </w14:textFill>
              </w:rPr>
              <w:t>谈判总</w:t>
            </w:r>
            <w:r>
              <w:rPr>
                <w:rFonts w:ascii="宋体" w:hAnsi="宋体" w:eastAsia="宋体" w:cs="Times New Roman"/>
                <w:color w:val="000000" w:themeColor="text1"/>
                <w:spacing w:val="-6"/>
                <w:szCs w:val="24"/>
                <w:highlight w:val="none"/>
                <w14:textFill>
                  <w14:solidFill>
                    <w14:schemeClr w14:val="tx1"/>
                  </w14:solidFill>
                </w14:textFill>
              </w:rPr>
              <w:t xml:space="preserve">报价（大写）：                         </w:t>
            </w:r>
            <w:r>
              <w:rPr>
                <w:rFonts w:hint="eastAsia" w:ascii="宋体" w:hAnsi="宋体" w:eastAsia="宋体" w:cs="Times New Roman"/>
                <w:color w:val="000000" w:themeColor="text1"/>
                <w:spacing w:val="-6"/>
                <w:szCs w:val="24"/>
                <w:highlight w:val="none"/>
                <w14:textFill>
                  <w14:solidFill>
                    <w14:schemeClr w14:val="tx1"/>
                  </w14:solidFill>
                </w14:textFill>
              </w:rPr>
              <w:t>元</w:t>
            </w:r>
            <w:r>
              <w:rPr>
                <w:rFonts w:ascii="宋体" w:hAnsi="宋体" w:eastAsia="宋体" w:cs="Times New Roman"/>
                <w:color w:val="000000" w:themeColor="text1"/>
                <w:spacing w:val="-6"/>
                <w:szCs w:val="24"/>
                <w:highlight w:val="none"/>
                <w14:textFill>
                  <w14:solidFill>
                    <w14:schemeClr w14:val="tx1"/>
                  </w14:solidFill>
                </w14:textFill>
              </w:rPr>
              <w:t>人民币（￥                      ）</w:t>
            </w:r>
          </w:p>
        </w:tc>
      </w:tr>
      <w:tr w14:paraId="512C1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trPr>
        <w:tc>
          <w:tcPr>
            <w:tcW w:w="9656" w:type="dxa"/>
            <w:gridSpan w:val="9"/>
            <w:tcBorders>
              <w:top w:val="single" w:color="auto" w:sz="4" w:space="0"/>
              <w:left w:val="single" w:color="auto" w:sz="4" w:space="0"/>
              <w:bottom w:val="single" w:color="auto" w:sz="4" w:space="0"/>
            </w:tcBorders>
            <w:vAlign w:val="center"/>
          </w:tcPr>
          <w:p w14:paraId="78EC0FFA">
            <w:pPr>
              <w:spacing w:line="300" w:lineRule="exact"/>
              <w:rPr>
                <w:rFonts w:ascii="宋体" w:hAnsi="宋体" w:eastAsia="宋体" w:cs="Times New Roman"/>
                <w:color w:val="000000" w:themeColor="text1"/>
                <w:spacing w:val="-6"/>
                <w:szCs w:val="24"/>
                <w:highlight w:val="none"/>
                <w14:textFill>
                  <w14:solidFill>
                    <w14:schemeClr w14:val="tx1"/>
                  </w14:solidFill>
                </w14:textFill>
              </w:rPr>
            </w:pPr>
            <w:r>
              <w:rPr>
                <w:rFonts w:hint="eastAsia" w:ascii="宋体" w:hAnsi="宋体" w:eastAsia="宋体" w:cs="Times New Roman"/>
                <w:color w:val="000000" w:themeColor="text1"/>
                <w:spacing w:val="-6"/>
                <w:szCs w:val="24"/>
                <w:highlight w:val="none"/>
                <w14:textFill>
                  <w14:solidFill>
                    <w14:schemeClr w14:val="tx1"/>
                  </w14:solidFill>
                </w14:textFill>
              </w:rPr>
              <w:t>交付使用期:</w:t>
            </w:r>
          </w:p>
        </w:tc>
      </w:tr>
      <w:tr w14:paraId="1544A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trPr>
        <w:tc>
          <w:tcPr>
            <w:tcW w:w="9656" w:type="dxa"/>
            <w:gridSpan w:val="9"/>
            <w:tcBorders>
              <w:top w:val="single" w:color="auto" w:sz="4" w:space="0"/>
              <w:left w:val="single" w:color="auto" w:sz="4" w:space="0"/>
              <w:bottom w:val="single" w:color="auto" w:sz="4" w:space="0"/>
            </w:tcBorders>
            <w:vAlign w:val="center"/>
          </w:tcPr>
          <w:p w14:paraId="0A2650F9">
            <w:pPr>
              <w:spacing w:line="300" w:lineRule="exact"/>
              <w:rPr>
                <w:rFonts w:ascii="宋体" w:hAnsi="宋体" w:eastAsia="宋体" w:cs="Times New Roman"/>
                <w:color w:val="000000" w:themeColor="text1"/>
                <w:spacing w:val="-6"/>
                <w:szCs w:val="24"/>
                <w:highlight w:val="none"/>
                <w14:textFill>
                  <w14:solidFill>
                    <w14:schemeClr w14:val="tx1"/>
                  </w14:solidFill>
                </w14:textFill>
              </w:rPr>
            </w:pPr>
            <w:r>
              <w:rPr>
                <w:rFonts w:hint="eastAsia" w:ascii="宋体" w:hAnsi="宋体" w:eastAsia="宋体" w:cs="Times New Roman"/>
                <w:color w:val="000000" w:themeColor="text1"/>
                <w:spacing w:val="-6"/>
                <w:szCs w:val="24"/>
                <w:highlight w:val="none"/>
                <w14:textFill>
                  <w14:solidFill>
                    <w14:schemeClr w14:val="tx1"/>
                  </w14:solidFill>
                </w14:textFill>
              </w:rPr>
              <w:t>免费质保期:</w:t>
            </w:r>
          </w:p>
        </w:tc>
      </w:tr>
      <w:tr w14:paraId="6ABCC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trPr>
        <w:tc>
          <w:tcPr>
            <w:tcW w:w="9656" w:type="dxa"/>
            <w:gridSpan w:val="9"/>
            <w:tcBorders>
              <w:top w:val="single" w:color="auto" w:sz="4" w:space="0"/>
              <w:left w:val="single" w:color="auto" w:sz="4" w:space="0"/>
              <w:bottom w:val="single" w:color="auto" w:sz="4" w:space="0"/>
            </w:tcBorders>
            <w:vAlign w:val="center"/>
          </w:tcPr>
          <w:p w14:paraId="10B1F63C">
            <w:pPr>
              <w:widowControl/>
              <w:adjustRightInd w:val="0"/>
              <w:spacing w:line="400" w:lineRule="exac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说明：</w:t>
            </w:r>
            <w:r>
              <w:rPr>
                <w:rFonts w:hint="eastAsia" w:ascii="宋体" w:hAnsi="宋体" w:eastAsia="宋体" w:cs="Times New Roman"/>
                <w:color w:val="000000" w:themeColor="text1"/>
                <w:kern w:val="0"/>
                <w:szCs w:val="21"/>
                <w:highlight w:val="none"/>
                <w14:textFill>
                  <w14:solidFill>
                    <w14:schemeClr w14:val="tx1"/>
                  </w14:solidFill>
                </w14:textFill>
              </w:rPr>
              <w:t>谈判报价应包括本次采购范围内货物及标准附件、备品备件、专用工具价格、运输、装卸、设备安装、设备调试、售后服务、技术支持、培训、项目验收（聘请相关专家的费用）、税金、不可预见费、合理利润及其它成本费等所有费用。供应商综合考虑在报价中，采购人不再支付任何费用。</w:t>
            </w:r>
          </w:p>
        </w:tc>
      </w:tr>
    </w:tbl>
    <w:p w14:paraId="1335B10E">
      <w:pPr>
        <w:snapToGrid w:val="0"/>
        <w:spacing w:line="400" w:lineRule="exact"/>
        <w:outlineLvl w:val="4"/>
        <w:rPr>
          <w:rFonts w:ascii="宋体" w:hAnsi="宋体" w:eastAsia="宋体" w:cs="Times New Roman"/>
          <w:color w:val="000000" w:themeColor="text1"/>
          <w:szCs w:val="21"/>
          <w:highlight w:val="none"/>
          <w14:textFill>
            <w14:solidFill>
              <w14:schemeClr w14:val="tx1"/>
            </w14:solidFill>
          </w14:textFill>
        </w:rPr>
      </w:pPr>
    </w:p>
    <w:p w14:paraId="6760FD90">
      <w:pPr>
        <w:wordWrap w:val="0"/>
        <w:snapToGrid w:val="0"/>
        <w:spacing w:line="600" w:lineRule="exact"/>
        <w:ind w:firstLine="2835" w:firstLineChars="1350"/>
        <w:outlineLvl w:val="4"/>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供应商名称（加盖供应商CA证书签章，自然人除外）：</w:t>
      </w:r>
    </w:p>
    <w:p w14:paraId="33FA2F63">
      <w:pPr>
        <w:wordWrap w:val="0"/>
        <w:spacing w:line="600" w:lineRule="exact"/>
        <w:ind w:firstLine="3465" w:firstLineChars="1650"/>
        <w:rPr>
          <w:rFonts w:ascii="宋体" w:hAnsi="宋体" w:eastAsia="宋体" w:cs="Times New Roman"/>
          <w:color w:val="000000" w:themeColor="text1"/>
          <w:szCs w:val="20"/>
          <w:highlight w:val="non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法定代表人或负责人或自然人或相应的委托代理人</w:t>
      </w:r>
    </w:p>
    <w:p w14:paraId="3BB92ED7">
      <w:pPr>
        <w:wordWrap w:val="0"/>
        <w:spacing w:line="600" w:lineRule="exact"/>
        <w:ind w:firstLine="3885" w:firstLineChars="1850"/>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0"/>
          <w:highlight w:val="none"/>
          <w14:textFill>
            <w14:solidFill>
              <w14:schemeClr w14:val="tx1"/>
            </w14:solidFill>
          </w14:textFill>
        </w:rPr>
        <w:t>签字或加盖个人CA证书签章：</w:t>
      </w:r>
    </w:p>
    <w:p w14:paraId="76B78B3C">
      <w:pPr>
        <w:wordWrap w:val="0"/>
        <w:spacing w:line="600" w:lineRule="exact"/>
        <w:ind w:firstLine="5775" w:firstLineChars="2750"/>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日   期：</w:t>
      </w:r>
    </w:p>
    <w:p w14:paraId="154C48CB">
      <w:pPr>
        <w:tabs>
          <w:tab w:val="left" w:pos="1305"/>
        </w:tabs>
        <w:spacing w:line="440" w:lineRule="exact"/>
        <w:ind w:firstLine="207" w:firstLineChars="98"/>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注：（1）各供应商</w:t>
      </w:r>
      <w:r>
        <w:rPr>
          <w:rFonts w:hint="eastAsia" w:ascii="宋体" w:hAnsi="宋体" w:eastAsia="宋体" w:cs="Times New Roman"/>
          <w:b/>
          <w:color w:val="000000" w:themeColor="text1"/>
          <w:szCs w:val="21"/>
          <w:highlight w:val="none"/>
          <w14:textFill>
            <w14:solidFill>
              <w14:schemeClr w14:val="tx1"/>
            </w14:solidFill>
          </w14:textFill>
        </w:rPr>
        <w:t>必须就“货物采购需求”中所有货物和服务内容作完整唯一报价，否则，其响应文件无效。响应文件只允许有一个报价，有选择的或有条件的报价将不予接受；</w:t>
      </w:r>
    </w:p>
    <w:p w14:paraId="07A19757">
      <w:pPr>
        <w:tabs>
          <w:tab w:val="left" w:pos="1305"/>
        </w:tabs>
        <w:spacing w:line="440" w:lineRule="exact"/>
        <w:ind w:firstLine="207" w:firstLineChars="98"/>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4"/>
          <w:highlight w:val="none"/>
          <w14:textFill>
            <w14:solidFill>
              <w14:schemeClr w14:val="tx1"/>
            </w14:solidFill>
          </w14:textFill>
        </w:rPr>
        <w:t>（2）供应商应根据所竞货物如实填写谈判报价表</w:t>
      </w:r>
      <w:r>
        <w:rPr>
          <w:rFonts w:hint="eastAsia" w:ascii="宋体" w:hAnsi="宋体" w:eastAsia="宋体" w:cs="Times New Roman"/>
          <w:b/>
          <w:bCs/>
          <w:color w:val="000000" w:themeColor="text1"/>
          <w:szCs w:val="21"/>
          <w:highlight w:val="none"/>
          <w14:textFill>
            <w14:solidFill>
              <w14:schemeClr w14:val="tx1"/>
            </w14:solidFill>
          </w14:textFill>
        </w:rPr>
        <w:t>的各项内容。</w:t>
      </w:r>
    </w:p>
    <w:p w14:paraId="4CF2349F">
      <w:pPr>
        <w:tabs>
          <w:tab w:val="left" w:pos="1305"/>
        </w:tabs>
        <w:spacing w:line="440" w:lineRule="exact"/>
        <w:ind w:firstLine="207" w:firstLineChars="98"/>
        <w:rPr>
          <w:rFonts w:ascii="宋体" w:hAnsi="宋体" w:eastAsia="宋体" w:cs="Times New Roman"/>
          <w:b/>
          <w:color w:val="000000" w:themeColor="text1"/>
          <w:szCs w:val="24"/>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（3）本表须由法定代表人（或负责人或自然人）或相应的委托代理人签字（或加盖个人CA证书签章）并加盖供应商CA证书签章，自然人除外。当本表由多页构成时，需逐页加盖供应商CA证书签章。</w:t>
      </w:r>
    </w:p>
    <w:p w14:paraId="5C39D323">
      <w:pPr>
        <w:spacing w:line="320" w:lineRule="exact"/>
        <w:rPr>
          <w:rFonts w:ascii="宋体" w:hAnsi="宋体" w:eastAsia="宋体" w:cs="Times New Roman"/>
          <w:b/>
          <w:color w:val="000000" w:themeColor="text1"/>
          <w:sz w:val="28"/>
          <w:szCs w:val="28"/>
          <w:highlight w:val="none"/>
          <w14:textFill>
            <w14:solidFill>
              <w14:schemeClr w14:val="tx1"/>
            </w14:solidFill>
          </w14:textFill>
        </w:rPr>
      </w:pPr>
    </w:p>
    <w:p w14:paraId="6A910D12">
      <w:pPr>
        <w:spacing w:line="320" w:lineRule="exact"/>
        <w:ind w:firstLine="703" w:firstLineChars="250"/>
        <w:rPr>
          <w:rFonts w:ascii="宋体" w:hAnsi="宋体" w:eastAsia="宋体" w:cs="Times New Roman"/>
          <w:b/>
          <w:color w:val="000000" w:themeColor="text1"/>
          <w:sz w:val="28"/>
          <w:szCs w:val="28"/>
          <w:highlight w:val="none"/>
          <w14:textFill>
            <w14:solidFill>
              <w14:schemeClr w14:val="tx1"/>
            </w14:solidFill>
          </w14:textFill>
        </w:rPr>
      </w:pPr>
    </w:p>
    <w:p w14:paraId="2B918965">
      <w:pPr>
        <w:spacing w:line="320" w:lineRule="exact"/>
        <w:ind w:firstLine="703" w:firstLineChars="250"/>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5.技术响应偏离表（必须提供）；</w:t>
      </w:r>
    </w:p>
    <w:p w14:paraId="59A15138">
      <w:pPr>
        <w:spacing w:line="400" w:lineRule="exact"/>
        <w:rPr>
          <w:rFonts w:ascii="宋体" w:hAnsi="宋体" w:eastAsia="宋体" w:cs="宋体"/>
          <w:b/>
          <w:color w:val="000000" w:themeColor="text1"/>
          <w:sz w:val="30"/>
          <w:szCs w:val="30"/>
          <w:highlight w:val="none"/>
          <w14:textFill>
            <w14:solidFill>
              <w14:schemeClr w14:val="tx1"/>
            </w14:solidFill>
          </w14:textFill>
        </w:rPr>
      </w:pPr>
    </w:p>
    <w:p w14:paraId="5525320E">
      <w:pPr>
        <w:spacing w:line="400" w:lineRule="exact"/>
        <w:ind w:firstLine="361" w:firstLineChars="15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p>
    <w:p w14:paraId="09997202">
      <w:pPr>
        <w:jc w:val="center"/>
        <w:rPr>
          <w:rFonts w:ascii="宋体" w:hAnsi="宋体" w:eastAsia="宋体" w:cs="宋体"/>
          <w:b/>
          <w:bCs/>
          <w:color w:val="000000" w:themeColor="text1"/>
          <w:sz w:val="28"/>
          <w:szCs w:val="28"/>
          <w:highlight w:val="none"/>
          <w14:textFill>
            <w14:solidFill>
              <w14:schemeClr w14:val="tx1"/>
            </w14:solidFill>
          </w14:textFill>
        </w:rPr>
      </w:pPr>
    </w:p>
    <w:p w14:paraId="413D52B4">
      <w:pPr>
        <w:ind w:firstLine="472" w:firstLineChars="147"/>
        <w:jc w:val="center"/>
        <w:rPr>
          <w:rFonts w:ascii="宋体" w:hAnsi="Courier New" w:eastAsia="宋体" w:cs="Times New Roman"/>
          <w:b/>
          <w:bCs/>
          <w:color w:val="000000" w:themeColor="text1"/>
          <w:sz w:val="32"/>
          <w:szCs w:val="20"/>
          <w:highlight w:val="none"/>
          <w14:textFill>
            <w14:solidFill>
              <w14:schemeClr w14:val="tx1"/>
            </w14:solidFill>
          </w14:textFill>
        </w:rPr>
      </w:pPr>
      <w:r>
        <w:rPr>
          <w:rFonts w:hint="eastAsia" w:ascii="宋体" w:hAnsi="Courier New" w:eastAsia="宋体" w:cs="Times New Roman"/>
          <w:b/>
          <w:bCs/>
          <w:color w:val="000000" w:themeColor="text1"/>
          <w:sz w:val="32"/>
          <w:szCs w:val="20"/>
          <w:highlight w:val="none"/>
          <w14:textFill>
            <w14:solidFill>
              <w14:schemeClr w14:val="tx1"/>
            </w14:solidFill>
          </w14:textFill>
        </w:rPr>
        <w:t>技术响应偏离表（格式）</w:t>
      </w:r>
    </w:p>
    <w:p w14:paraId="5E9C72DD">
      <w:pPr>
        <w:rPr>
          <w:rFonts w:ascii="宋体" w:hAnsi="宋体" w:eastAsia="宋体" w:cs="宋体"/>
          <w:b/>
          <w:bCs/>
          <w:color w:val="000000" w:themeColor="text1"/>
          <w:sz w:val="28"/>
          <w:szCs w:val="28"/>
          <w:highlight w:val="none"/>
          <w14:textFill>
            <w14:solidFill>
              <w14:schemeClr w14:val="tx1"/>
            </w14:solidFill>
          </w14:textFil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34"/>
        <w:gridCol w:w="1842"/>
        <w:gridCol w:w="3177"/>
        <w:gridCol w:w="992"/>
        <w:gridCol w:w="1007"/>
      </w:tblGrid>
      <w:tr w14:paraId="2EB5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45BA7ED3">
            <w:pPr>
              <w:spacing w:line="40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序号</w:t>
            </w:r>
          </w:p>
        </w:tc>
        <w:tc>
          <w:tcPr>
            <w:tcW w:w="1134" w:type="dxa"/>
            <w:vAlign w:val="center"/>
          </w:tcPr>
          <w:p w14:paraId="7F6FD694">
            <w:pPr>
              <w:spacing w:line="40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标的名称</w:t>
            </w:r>
          </w:p>
        </w:tc>
        <w:tc>
          <w:tcPr>
            <w:tcW w:w="1842" w:type="dxa"/>
            <w:vAlign w:val="center"/>
          </w:tcPr>
          <w:p w14:paraId="2C3D8C97">
            <w:pPr>
              <w:spacing w:line="40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谈判文件要求</w:t>
            </w:r>
          </w:p>
        </w:tc>
        <w:tc>
          <w:tcPr>
            <w:tcW w:w="3177" w:type="dxa"/>
            <w:vAlign w:val="center"/>
          </w:tcPr>
          <w:p w14:paraId="6DBB004D">
            <w:pPr>
              <w:spacing w:line="34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响应文件的响应情况（对技术参数、性能及配置要求的承诺）</w:t>
            </w:r>
          </w:p>
        </w:tc>
        <w:tc>
          <w:tcPr>
            <w:tcW w:w="992" w:type="dxa"/>
            <w:vAlign w:val="center"/>
          </w:tcPr>
          <w:p w14:paraId="5AFBC6D9">
            <w:pPr>
              <w:spacing w:line="34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响应偏离情况</w:t>
            </w:r>
          </w:p>
        </w:tc>
        <w:tc>
          <w:tcPr>
            <w:tcW w:w="1007" w:type="dxa"/>
            <w:vAlign w:val="center"/>
          </w:tcPr>
          <w:p w14:paraId="06550C14">
            <w:pPr>
              <w:spacing w:line="34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偏离情况说明</w:t>
            </w:r>
          </w:p>
        </w:tc>
      </w:tr>
      <w:tr w14:paraId="1497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719D3DA9">
            <w:pPr>
              <w:spacing w:line="36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1</w:t>
            </w:r>
          </w:p>
        </w:tc>
        <w:tc>
          <w:tcPr>
            <w:tcW w:w="1134" w:type="dxa"/>
            <w:vAlign w:val="center"/>
          </w:tcPr>
          <w:p w14:paraId="2B85D4D7">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1842" w:type="dxa"/>
            <w:vAlign w:val="center"/>
          </w:tcPr>
          <w:p w14:paraId="585F22B6">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3177" w:type="dxa"/>
            <w:vAlign w:val="center"/>
          </w:tcPr>
          <w:p w14:paraId="35AF395A">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992" w:type="dxa"/>
            <w:vAlign w:val="center"/>
          </w:tcPr>
          <w:p w14:paraId="64B1C684">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1007" w:type="dxa"/>
            <w:vAlign w:val="center"/>
          </w:tcPr>
          <w:p w14:paraId="24C8910F">
            <w:pPr>
              <w:spacing w:line="360" w:lineRule="exact"/>
              <w:jc w:val="center"/>
              <w:rPr>
                <w:rFonts w:ascii="宋体" w:hAnsi="宋体" w:eastAsia="宋体" w:cs="宋体"/>
                <w:color w:val="000000" w:themeColor="text1"/>
                <w:szCs w:val="20"/>
                <w:highlight w:val="none"/>
                <w14:textFill>
                  <w14:solidFill>
                    <w14:schemeClr w14:val="tx1"/>
                  </w14:solidFill>
                </w14:textFill>
              </w:rPr>
            </w:pPr>
          </w:p>
        </w:tc>
      </w:tr>
      <w:tr w14:paraId="5C34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412F80A4">
            <w:pPr>
              <w:adjustRightInd w:val="0"/>
              <w:snapToGrid w:val="0"/>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134" w:type="dxa"/>
            <w:vAlign w:val="center"/>
          </w:tcPr>
          <w:p w14:paraId="0230C14D">
            <w:pPr>
              <w:adjustRightInd w:val="0"/>
              <w:snapToGrid w:val="0"/>
              <w:spacing w:line="360" w:lineRule="exact"/>
              <w:jc w:val="center"/>
              <w:rPr>
                <w:rFonts w:ascii="宋体" w:hAnsi="宋体" w:eastAsia="宋体" w:cs="宋体"/>
                <w:color w:val="000000" w:themeColor="text1"/>
                <w:szCs w:val="21"/>
                <w:highlight w:val="none"/>
                <w14:textFill>
                  <w14:solidFill>
                    <w14:schemeClr w14:val="tx1"/>
                  </w14:solidFill>
                </w14:textFill>
              </w:rPr>
            </w:pPr>
          </w:p>
        </w:tc>
        <w:tc>
          <w:tcPr>
            <w:tcW w:w="1842" w:type="dxa"/>
            <w:vAlign w:val="center"/>
          </w:tcPr>
          <w:p w14:paraId="426B67D9">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3177" w:type="dxa"/>
            <w:vAlign w:val="center"/>
          </w:tcPr>
          <w:p w14:paraId="6687E7D2">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992" w:type="dxa"/>
            <w:vAlign w:val="center"/>
          </w:tcPr>
          <w:p w14:paraId="5E9C62CD">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1007" w:type="dxa"/>
            <w:vAlign w:val="center"/>
          </w:tcPr>
          <w:p w14:paraId="27388B70">
            <w:pPr>
              <w:spacing w:line="360" w:lineRule="exact"/>
              <w:jc w:val="center"/>
              <w:rPr>
                <w:rFonts w:ascii="宋体" w:hAnsi="宋体" w:eastAsia="宋体" w:cs="宋体"/>
                <w:color w:val="000000" w:themeColor="text1"/>
                <w:szCs w:val="20"/>
                <w:highlight w:val="none"/>
                <w14:textFill>
                  <w14:solidFill>
                    <w14:schemeClr w14:val="tx1"/>
                  </w14:solidFill>
                </w14:textFill>
              </w:rPr>
            </w:pPr>
          </w:p>
        </w:tc>
      </w:tr>
      <w:tr w14:paraId="013F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182B2171">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134" w:type="dxa"/>
            <w:vAlign w:val="center"/>
          </w:tcPr>
          <w:p w14:paraId="4E349AA7">
            <w:pPr>
              <w:spacing w:line="360" w:lineRule="exact"/>
              <w:jc w:val="center"/>
              <w:rPr>
                <w:rFonts w:ascii="宋体" w:hAnsi="宋体" w:eastAsia="宋体" w:cs="宋体"/>
                <w:color w:val="000000" w:themeColor="text1"/>
                <w:szCs w:val="21"/>
                <w:highlight w:val="none"/>
                <w14:textFill>
                  <w14:solidFill>
                    <w14:schemeClr w14:val="tx1"/>
                  </w14:solidFill>
                </w14:textFill>
              </w:rPr>
            </w:pPr>
          </w:p>
        </w:tc>
        <w:tc>
          <w:tcPr>
            <w:tcW w:w="1842" w:type="dxa"/>
            <w:vAlign w:val="center"/>
          </w:tcPr>
          <w:p w14:paraId="6F7EB90A">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3177" w:type="dxa"/>
            <w:vAlign w:val="center"/>
          </w:tcPr>
          <w:p w14:paraId="12FB0D92">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992" w:type="dxa"/>
            <w:vAlign w:val="center"/>
          </w:tcPr>
          <w:p w14:paraId="0DF42645">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1007" w:type="dxa"/>
            <w:vAlign w:val="center"/>
          </w:tcPr>
          <w:p w14:paraId="58258DAB">
            <w:pPr>
              <w:spacing w:line="360" w:lineRule="exact"/>
              <w:jc w:val="center"/>
              <w:rPr>
                <w:rFonts w:ascii="宋体" w:hAnsi="宋体" w:eastAsia="宋体" w:cs="宋体"/>
                <w:color w:val="000000" w:themeColor="text1"/>
                <w:szCs w:val="20"/>
                <w:highlight w:val="none"/>
                <w14:textFill>
                  <w14:solidFill>
                    <w14:schemeClr w14:val="tx1"/>
                  </w14:solidFill>
                </w14:textFill>
              </w:rPr>
            </w:pPr>
          </w:p>
        </w:tc>
      </w:tr>
      <w:tr w14:paraId="2E0E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2053AF2A">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134" w:type="dxa"/>
            <w:vAlign w:val="center"/>
          </w:tcPr>
          <w:p w14:paraId="57C37D66">
            <w:pPr>
              <w:spacing w:line="360" w:lineRule="exact"/>
              <w:jc w:val="center"/>
              <w:rPr>
                <w:rFonts w:ascii="宋体" w:hAnsi="宋体" w:eastAsia="宋体" w:cs="宋体"/>
                <w:color w:val="000000" w:themeColor="text1"/>
                <w:szCs w:val="21"/>
                <w:highlight w:val="none"/>
                <w14:textFill>
                  <w14:solidFill>
                    <w14:schemeClr w14:val="tx1"/>
                  </w14:solidFill>
                </w14:textFill>
              </w:rPr>
            </w:pPr>
          </w:p>
        </w:tc>
        <w:tc>
          <w:tcPr>
            <w:tcW w:w="1842" w:type="dxa"/>
            <w:vAlign w:val="center"/>
          </w:tcPr>
          <w:p w14:paraId="09DC708B">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3177" w:type="dxa"/>
            <w:vAlign w:val="center"/>
          </w:tcPr>
          <w:p w14:paraId="40FB3F81">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992" w:type="dxa"/>
            <w:vAlign w:val="center"/>
          </w:tcPr>
          <w:p w14:paraId="6AC51334">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1007" w:type="dxa"/>
            <w:vAlign w:val="center"/>
          </w:tcPr>
          <w:p w14:paraId="0FAD006C">
            <w:pPr>
              <w:spacing w:line="360" w:lineRule="exact"/>
              <w:jc w:val="center"/>
              <w:rPr>
                <w:rFonts w:ascii="宋体" w:hAnsi="宋体" w:eastAsia="宋体" w:cs="宋体"/>
                <w:color w:val="000000" w:themeColor="text1"/>
                <w:szCs w:val="20"/>
                <w:highlight w:val="none"/>
                <w14:textFill>
                  <w14:solidFill>
                    <w14:schemeClr w14:val="tx1"/>
                  </w14:solidFill>
                </w14:textFill>
              </w:rPr>
            </w:pPr>
          </w:p>
        </w:tc>
      </w:tr>
      <w:tr w14:paraId="4667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6A06B55">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1134" w:type="dxa"/>
            <w:vAlign w:val="center"/>
          </w:tcPr>
          <w:p w14:paraId="716FC3BC">
            <w:pPr>
              <w:spacing w:line="360" w:lineRule="exact"/>
              <w:jc w:val="center"/>
              <w:rPr>
                <w:rFonts w:ascii="宋体" w:hAnsi="宋体" w:eastAsia="宋体" w:cs="宋体"/>
                <w:color w:val="000000" w:themeColor="text1"/>
                <w:szCs w:val="21"/>
                <w:highlight w:val="none"/>
                <w14:textFill>
                  <w14:solidFill>
                    <w14:schemeClr w14:val="tx1"/>
                  </w14:solidFill>
                </w14:textFill>
              </w:rPr>
            </w:pPr>
          </w:p>
        </w:tc>
        <w:tc>
          <w:tcPr>
            <w:tcW w:w="1842" w:type="dxa"/>
            <w:vAlign w:val="center"/>
          </w:tcPr>
          <w:p w14:paraId="44C4D6C0">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3177" w:type="dxa"/>
            <w:vAlign w:val="center"/>
          </w:tcPr>
          <w:p w14:paraId="062FCDC5">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992" w:type="dxa"/>
            <w:vAlign w:val="center"/>
          </w:tcPr>
          <w:p w14:paraId="4CF821E7">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1007" w:type="dxa"/>
            <w:vAlign w:val="center"/>
          </w:tcPr>
          <w:p w14:paraId="2FACCA17">
            <w:pPr>
              <w:spacing w:line="360" w:lineRule="exact"/>
              <w:jc w:val="center"/>
              <w:rPr>
                <w:rFonts w:ascii="宋体" w:hAnsi="宋体" w:eastAsia="宋体" w:cs="宋体"/>
                <w:color w:val="000000" w:themeColor="text1"/>
                <w:szCs w:val="20"/>
                <w:highlight w:val="none"/>
                <w14:textFill>
                  <w14:solidFill>
                    <w14:schemeClr w14:val="tx1"/>
                  </w14:solidFill>
                </w14:textFill>
              </w:rPr>
            </w:pPr>
          </w:p>
        </w:tc>
      </w:tr>
      <w:tr w14:paraId="7CB9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77E5BCBC">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134" w:type="dxa"/>
            <w:vAlign w:val="center"/>
          </w:tcPr>
          <w:p w14:paraId="73F57F14">
            <w:pPr>
              <w:spacing w:line="360" w:lineRule="exact"/>
              <w:jc w:val="center"/>
              <w:rPr>
                <w:rFonts w:ascii="宋体" w:hAnsi="宋体" w:eastAsia="宋体" w:cs="宋体"/>
                <w:color w:val="000000" w:themeColor="text1"/>
                <w:szCs w:val="21"/>
                <w:highlight w:val="none"/>
                <w14:textFill>
                  <w14:solidFill>
                    <w14:schemeClr w14:val="tx1"/>
                  </w14:solidFill>
                </w14:textFill>
              </w:rPr>
            </w:pPr>
          </w:p>
        </w:tc>
        <w:tc>
          <w:tcPr>
            <w:tcW w:w="1842" w:type="dxa"/>
            <w:vAlign w:val="center"/>
          </w:tcPr>
          <w:p w14:paraId="660BB04B">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3177" w:type="dxa"/>
            <w:vAlign w:val="center"/>
          </w:tcPr>
          <w:p w14:paraId="2824240A">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992" w:type="dxa"/>
            <w:vAlign w:val="center"/>
          </w:tcPr>
          <w:p w14:paraId="5A37FD9B">
            <w:pPr>
              <w:spacing w:line="360" w:lineRule="exact"/>
              <w:jc w:val="center"/>
              <w:rPr>
                <w:rFonts w:ascii="宋体" w:hAnsi="宋体" w:eastAsia="宋体" w:cs="宋体"/>
                <w:color w:val="000000" w:themeColor="text1"/>
                <w:szCs w:val="20"/>
                <w:highlight w:val="none"/>
                <w14:textFill>
                  <w14:solidFill>
                    <w14:schemeClr w14:val="tx1"/>
                  </w14:solidFill>
                </w14:textFill>
              </w:rPr>
            </w:pPr>
          </w:p>
        </w:tc>
        <w:tc>
          <w:tcPr>
            <w:tcW w:w="1007" w:type="dxa"/>
            <w:vAlign w:val="center"/>
          </w:tcPr>
          <w:p w14:paraId="4325063E">
            <w:pPr>
              <w:spacing w:line="360" w:lineRule="exact"/>
              <w:jc w:val="center"/>
              <w:rPr>
                <w:rFonts w:ascii="宋体" w:hAnsi="宋体" w:eastAsia="宋体" w:cs="宋体"/>
                <w:color w:val="000000" w:themeColor="text1"/>
                <w:szCs w:val="20"/>
                <w:highlight w:val="none"/>
                <w14:textFill>
                  <w14:solidFill>
                    <w14:schemeClr w14:val="tx1"/>
                  </w14:solidFill>
                </w14:textFill>
              </w:rPr>
            </w:pPr>
          </w:p>
        </w:tc>
      </w:tr>
    </w:tbl>
    <w:p w14:paraId="25C31C12">
      <w:pPr>
        <w:rPr>
          <w:rFonts w:ascii="宋体" w:hAnsi="Courier New" w:eastAsia="宋体" w:cs="Times New Roman"/>
          <w:color w:val="000000" w:themeColor="text1"/>
          <w:szCs w:val="20"/>
          <w:highlight w:val="none"/>
          <w14:textFill>
            <w14:solidFill>
              <w14:schemeClr w14:val="tx1"/>
            </w14:solidFill>
          </w14:textFill>
        </w:rPr>
      </w:pPr>
    </w:p>
    <w:p w14:paraId="2758943B">
      <w:pPr>
        <w:spacing w:line="300" w:lineRule="exact"/>
        <w:ind w:firstLine="3465" w:firstLineChars="1650"/>
        <w:rPr>
          <w:rFonts w:ascii="宋体" w:hAnsi="Courier New" w:eastAsia="宋体" w:cs="Times New Roman"/>
          <w:color w:val="000000" w:themeColor="text1"/>
          <w:szCs w:val="20"/>
          <w:highlight w:val="none"/>
          <w14:textFill>
            <w14:solidFill>
              <w14:schemeClr w14:val="tx1"/>
            </w14:solidFill>
          </w14:textFill>
        </w:rPr>
      </w:pPr>
    </w:p>
    <w:p w14:paraId="1A002CD4">
      <w:pPr>
        <w:wordWrap w:val="0"/>
        <w:snapToGrid w:val="0"/>
        <w:spacing w:line="600" w:lineRule="exact"/>
        <w:ind w:firstLine="2835" w:firstLineChars="1350"/>
        <w:outlineLvl w:val="4"/>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供应商名称（加盖供应商CA证书签章，自然人除外）：</w:t>
      </w:r>
    </w:p>
    <w:p w14:paraId="038C90B8">
      <w:pPr>
        <w:wordWrap w:val="0"/>
        <w:spacing w:line="600" w:lineRule="exact"/>
        <w:ind w:firstLine="5775" w:firstLineChars="2750"/>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日   期：</w:t>
      </w:r>
    </w:p>
    <w:p w14:paraId="6777DA37">
      <w:pPr>
        <w:widowControl/>
        <w:spacing w:line="300" w:lineRule="exact"/>
        <w:jc w:val="left"/>
        <w:rPr>
          <w:rFonts w:ascii="Times New Roman" w:hAnsi="Times New Roman" w:eastAsia="宋体" w:cs="Times New Roman"/>
          <w:color w:val="000000" w:themeColor="text1"/>
          <w:szCs w:val="24"/>
          <w:highlight w:val="none"/>
          <w14:textFill>
            <w14:solidFill>
              <w14:schemeClr w14:val="tx1"/>
            </w14:solidFill>
          </w14:textFill>
        </w:rPr>
      </w:pPr>
    </w:p>
    <w:p w14:paraId="13113EC6">
      <w:pPr>
        <w:spacing w:line="400" w:lineRule="atLeast"/>
        <w:ind w:firstLine="422" w:firstLineChars="200"/>
        <w:jc w:val="left"/>
        <w:rPr>
          <w:rFonts w:ascii="宋体" w:hAnsi="宋体" w:eastAsia="宋体" w:cs="Times New Roman"/>
          <w:b/>
          <w:bCs/>
          <w:color w:val="000000" w:themeColor="text1"/>
          <w:szCs w:val="21"/>
          <w:highlight w:val="none"/>
          <w14:textFill>
            <w14:solidFill>
              <w14:schemeClr w14:val="tx1"/>
            </w14:solidFill>
          </w14:textFill>
        </w:rPr>
      </w:pPr>
    </w:p>
    <w:p w14:paraId="3325B7BF">
      <w:pPr>
        <w:spacing w:line="400" w:lineRule="atLeast"/>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注：①供应商应对照《货物采购需求》表第一条“技术参数、性能及配置要求” 中的内容在本表的“响应文件的响应情况（对技术参数、性能及配置要求的承诺）”栏中进行逐条内容响应，并在“响应偏离情况”栏注明无偏离、正偏离、负偏离，当出现“正偏离”情况时应对应填写偏离情况说明。</w:t>
      </w:r>
    </w:p>
    <w:p w14:paraId="1FB0AFA5">
      <w:pPr>
        <w:spacing w:line="400" w:lineRule="atLeast"/>
        <w:ind w:firstLine="422" w:firstLineChars="200"/>
        <w:jc w:val="left"/>
        <w:rPr>
          <w:rFonts w:ascii="宋体" w:hAnsi="宋体" w:eastAsia="宋体" w:cs="Times New Roman"/>
          <w:b/>
          <w:color w:val="000000" w:themeColor="text1"/>
          <w:sz w:val="32"/>
          <w:szCs w:val="20"/>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440" w:right="1080" w:bottom="1440" w:left="1080" w:header="720" w:footer="720" w:gutter="0"/>
          <w:cols w:space="720" w:num="1"/>
          <w:titlePg/>
          <w:docGrid w:linePitch="331" w:charSpace="0"/>
        </w:sectPr>
      </w:pPr>
      <w:r>
        <w:rPr>
          <w:rFonts w:hint="eastAsia" w:ascii="宋体" w:hAnsi="宋体" w:eastAsia="宋体" w:cs="宋体"/>
          <w:b/>
          <w:color w:val="000000" w:themeColor="text1"/>
          <w:szCs w:val="21"/>
          <w:highlight w:val="none"/>
          <w14:textFill>
            <w14:solidFill>
              <w14:schemeClr w14:val="tx1"/>
            </w14:solidFill>
          </w14:textFill>
        </w:rPr>
        <w:t>②</w:t>
      </w:r>
      <w:r>
        <w:rPr>
          <w:rFonts w:hint="eastAsia" w:ascii="宋体" w:hAnsi="宋体" w:eastAsia="宋体" w:cs="Times New Roman"/>
          <w:b/>
          <w:bCs/>
          <w:color w:val="000000" w:themeColor="text1"/>
          <w:szCs w:val="21"/>
          <w:highlight w:val="none"/>
          <w14:textFill>
            <w14:solidFill>
              <w14:schemeClr w14:val="tx1"/>
            </w14:solidFill>
          </w14:textFill>
        </w:rPr>
        <w:t>本表须由法定代表人（或负责人或自然人）或相应的委托代理人签字（或加盖个人CA证书签章）并加盖供应商CA证书签章，自然人除外。当本表由多页构成时，需逐页加盖供应商CA证书签章。</w:t>
      </w:r>
    </w:p>
    <w:p w14:paraId="74A856F1">
      <w:pPr>
        <w:ind w:firstLine="354" w:firstLineChars="147"/>
        <w:rPr>
          <w:rFonts w:ascii="宋体" w:hAnsi="宋体" w:eastAsia="宋体" w:cs="Times New Roman"/>
          <w:b/>
          <w:color w:val="000000" w:themeColor="text1"/>
          <w:sz w:val="24"/>
          <w:szCs w:val="24"/>
          <w:highlight w:val="none"/>
          <w14:textFill>
            <w14:solidFill>
              <w14:schemeClr w14:val="tx1"/>
            </w14:solidFill>
          </w14:textFill>
        </w:rPr>
      </w:pPr>
    </w:p>
    <w:p w14:paraId="64F94DF4">
      <w:pPr>
        <w:spacing w:line="320" w:lineRule="exact"/>
        <w:rPr>
          <w:rFonts w:ascii="宋体" w:hAnsi="宋体" w:eastAsia="宋体" w:cs="Times New Roman"/>
          <w:b/>
          <w:color w:val="000000" w:themeColor="text1"/>
          <w:sz w:val="28"/>
          <w:szCs w:val="28"/>
          <w:highlight w:val="none"/>
          <w14:textFill>
            <w14:solidFill>
              <w14:schemeClr w14:val="tx1"/>
            </w14:solidFill>
          </w14:textFill>
        </w:rPr>
      </w:pPr>
    </w:p>
    <w:p w14:paraId="00D514BF">
      <w:pPr>
        <w:spacing w:line="320" w:lineRule="exact"/>
        <w:ind w:firstLine="703" w:firstLineChars="250"/>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6.商务要求响应偏离表（格式见附件）（必须提供）；</w:t>
      </w:r>
    </w:p>
    <w:p w14:paraId="3160CC62">
      <w:pPr>
        <w:jc w:val="center"/>
        <w:rPr>
          <w:rFonts w:ascii="宋体" w:hAnsi="宋体" w:eastAsia="宋体" w:cs="宋体"/>
          <w:b/>
          <w:bCs/>
          <w:color w:val="000000" w:themeColor="text1"/>
          <w:sz w:val="32"/>
          <w:szCs w:val="32"/>
          <w:highlight w:val="none"/>
          <w14:textFill>
            <w14:solidFill>
              <w14:schemeClr w14:val="tx1"/>
            </w14:solidFill>
          </w14:textFill>
        </w:rPr>
      </w:pPr>
    </w:p>
    <w:p w14:paraId="62DDA7EC">
      <w:pPr>
        <w:ind w:firstLine="422" w:firstLineChars="150"/>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p>
    <w:p w14:paraId="65907C29">
      <w:pPr>
        <w:jc w:val="center"/>
        <w:rPr>
          <w:rFonts w:ascii="宋体" w:hAnsi="宋体" w:eastAsia="宋体" w:cs="宋体"/>
          <w:b/>
          <w:bCs/>
          <w:color w:val="000000" w:themeColor="text1"/>
          <w:sz w:val="32"/>
          <w:szCs w:val="32"/>
          <w:highlight w:val="none"/>
          <w14:textFill>
            <w14:solidFill>
              <w14:schemeClr w14:val="tx1"/>
            </w14:solidFill>
          </w14:textFill>
        </w:rPr>
      </w:pPr>
    </w:p>
    <w:p w14:paraId="0DE623F9">
      <w:pPr>
        <w:jc w:val="center"/>
        <w:rPr>
          <w:rFonts w:ascii="宋体" w:hAnsi="宋体" w:eastAsia="宋体" w:cs="宋体"/>
          <w:b/>
          <w:bCs/>
          <w:color w:val="000000" w:themeColor="text1"/>
          <w:sz w:val="32"/>
          <w:szCs w:val="20"/>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商务要求响应偏离表</w:t>
      </w:r>
      <w:r>
        <w:rPr>
          <w:rFonts w:hint="eastAsia" w:ascii="宋体" w:hAnsi="宋体" w:eastAsia="宋体" w:cs="宋体"/>
          <w:b/>
          <w:bCs/>
          <w:color w:val="000000" w:themeColor="text1"/>
          <w:sz w:val="32"/>
          <w:szCs w:val="20"/>
          <w:highlight w:val="none"/>
          <w14:textFill>
            <w14:solidFill>
              <w14:schemeClr w14:val="tx1"/>
            </w14:solidFill>
          </w14:textFill>
        </w:rPr>
        <w:t>（格式）</w:t>
      </w:r>
    </w:p>
    <w:p w14:paraId="7DB6A702">
      <w:pPr>
        <w:snapToGrid w:val="0"/>
        <w:spacing w:line="400" w:lineRule="exact"/>
        <w:rPr>
          <w:rFonts w:ascii="宋体" w:hAnsi="宋体" w:eastAsia="宋体" w:cs="宋体"/>
          <w:color w:val="000000" w:themeColor="text1"/>
          <w:szCs w:val="21"/>
          <w:highlight w:val="none"/>
          <w14:textFill>
            <w14:solidFill>
              <w14:schemeClr w14:val="tx1"/>
            </w14:solidFill>
          </w14:textFill>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1843"/>
        <w:gridCol w:w="3284"/>
        <w:gridCol w:w="993"/>
        <w:gridCol w:w="870"/>
      </w:tblGrid>
      <w:tr w14:paraId="7C0E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57" w:type="dxa"/>
            <w:vAlign w:val="center"/>
          </w:tcPr>
          <w:p w14:paraId="61438E2B">
            <w:pPr>
              <w:spacing w:line="40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条款名称</w:t>
            </w:r>
          </w:p>
        </w:tc>
        <w:tc>
          <w:tcPr>
            <w:tcW w:w="1843" w:type="dxa"/>
            <w:vAlign w:val="center"/>
          </w:tcPr>
          <w:p w14:paraId="77FC2CA6">
            <w:pPr>
              <w:spacing w:line="40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谈判文件要求</w:t>
            </w:r>
          </w:p>
        </w:tc>
        <w:tc>
          <w:tcPr>
            <w:tcW w:w="3284" w:type="dxa"/>
            <w:vAlign w:val="center"/>
          </w:tcPr>
          <w:p w14:paraId="55E876CD">
            <w:pPr>
              <w:spacing w:line="34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响应文件的响应情况（对商务要求的承诺）</w:t>
            </w:r>
          </w:p>
        </w:tc>
        <w:tc>
          <w:tcPr>
            <w:tcW w:w="993" w:type="dxa"/>
            <w:vAlign w:val="center"/>
          </w:tcPr>
          <w:p w14:paraId="4488C20E">
            <w:pPr>
              <w:spacing w:line="34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响应偏离情况</w:t>
            </w:r>
          </w:p>
        </w:tc>
        <w:tc>
          <w:tcPr>
            <w:tcW w:w="870" w:type="dxa"/>
            <w:vAlign w:val="center"/>
          </w:tcPr>
          <w:p w14:paraId="367494AC">
            <w:pPr>
              <w:spacing w:line="340" w:lineRule="exact"/>
              <w:jc w:val="center"/>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偏离情况说明</w:t>
            </w:r>
          </w:p>
        </w:tc>
      </w:tr>
      <w:tr w14:paraId="6E49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4EA5B809">
            <w:pPr>
              <w:adjustRightInd w:val="0"/>
              <w:snapToGrid w:val="0"/>
              <w:spacing w:line="34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843" w:type="dxa"/>
            <w:vAlign w:val="center"/>
          </w:tcPr>
          <w:p w14:paraId="6DD0FCEA">
            <w:pPr>
              <w:spacing w:line="400" w:lineRule="exact"/>
              <w:rPr>
                <w:rFonts w:ascii="宋体" w:hAnsi="宋体" w:eastAsia="宋体" w:cs="宋体"/>
                <w:color w:val="000000" w:themeColor="text1"/>
                <w:szCs w:val="20"/>
                <w:highlight w:val="none"/>
                <w14:textFill>
                  <w14:solidFill>
                    <w14:schemeClr w14:val="tx1"/>
                  </w14:solidFill>
                </w14:textFill>
              </w:rPr>
            </w:pPr>
          </w:p>
        </w:tc>
        <w:tc>
          <w:tcPr>
            <w:tcW w:w="3284" w:type="dxa"/>
            <w:vAlign w:val="center"/>
          </w:tcPr>
          <w:p w14:paraId="06579951">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993" w:type="dxa"/>
            <w:vAlign w:val="center"/>
          </w:tcPr>
          <w:p w14:paraId="6F53EFDF">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870" w:type="dxa"/>
            <w:vAlign w:val="center"/>
          </w:tcPr>
          <w:p w14:paraId="38242F70">
            <w:pPr>
              <w:spacing w:line="400" w:lineRule="exact"/>
              <w:jc w:val="center"/>
              <w:rPr>
                <w:rFonts w:ascii="宋体" w:hAnsi="宋体" w:eastAsia="宋体" w:cs="宋体"/>
                <w:color w:val="000000" w:themeColor="text1"/>
                <w:szCs w:val="20"/>
                <w:highlight w:val="none"/>
                <w14:textFill>
                  <w14:solidFill>
                    <w14:schemeClr w14:val="tx1"/>
                  </w14:solidFill>
                </w14:textFill>
              </w:rPr>
            </w:pPr>
          </w:p>
        </w:tc>
      </w:tr>
      <w:tr w14:paraId="7965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62AD18E3">
            <w:pPr>
              <w:adjustRightInd w:val="0"/>
              <w:snapToGrid w:val="0"/>
              <w:spacing w:line="340" w:lineRule="exact"/>
              <w:jc w:val="center"/>
              <w:rPr>
                <w:rFonts w:ascii="宋体" w:hAnsi="宋体" w:eastAsia="宋体" w:cs="宋体"/>
                <w:color w:val="000000" w:themeColor="text1"/>
                <w:szCs w:val="24"/>
                <w:highlight w:val="none"/>
                <w14:textFill>
                  <w14:solidFill>
                    <w14:schemeClr w14:val="tx1"/>
                  </w14:solidFill>
                </w14:textFill>
              </w:rPr>
            </w:pPr>
          </w:p>
        </w:tc>
        <w:tc>
          <w:tcPr>
            <w:tcW w:w="1843" w:type="dxa"/>
            <w:vAlign w:val="center"/>
          </w:tcPr>
          <w:p w14:paraId="05EB2797">
            <w:pPr>
              <w:spacing w:line="400" w:lineRule="exact"/>
              <w:rPr>
                <w:rFonts w:ascii="宋体" w:hAnsi="宋体" w:eastAsia="宋体" w:cs="宋体"/>
                <w:color w:val="000000" w:themeColor="text1"/>
                <w:szCs w:val="20"/>
                <w:highlight w:val="none"/>
                <w14:textFill>
                  <w14:solidFill>
                    <w14:schemeClr w14:val="tx1"/>
                  </w14:solidFill>
                </w14:textFill>
              </w:rPr>
            </w:pPr>
          </w:p>
        </w:tc>
        <w:tc>
          <w:tcPr>
            <w:tcW w:w="3284" w:type="dxa"/>
            <w:vAlign w:val="center"/>
          </w:tcPr>
          <w:p w14:paraId="4252C713">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993" w:type="dxa"/>
            <w:vAlign w:val="center"/>
          </w:tcPr>
          <w:p w14:paraId="3BBA3543">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870" w:type="dxa"/>
            <w:vAlign w:val="center"/>
          </w:tcPr>
          <w:p w14:paraId="4D3E6F6C">
            <w:pPr>
              <w:spacing w:line="400" w:lineRule="exact"/>
              <w:jc w:val="center"/>
              <w:rPr>
                <w:rFonts w:ascii="宋体" w:hAnsi="宋体" w:eastAsia="宋体" w:cs="宋体"/>
                <w:color w:val="000000" w:themeColor="text1"/>
                <w:szCs w:val="20"/>
                <w:highlight w:val="none"/>
                <w14:textFill>
                  <w14:solidFill>
                    <w14:schemeClr w14:val="tx1"/>
                  </w14:solidFill>
                </w14:textFill>
              </w:rPr>
            </w:pPr>
          </w:p>
        </w:tc>
      </w:tr>
      <w:tr w14:paraId="7E93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6D3F01F1">
            <w:pPr>
              <w:spacing w:line="360" w:lineRule="exact"/>
              <w:jc w:val="center"/>
              <w:rPr>
                <w:rFonts w:ascii="宋体" w:hAnsi="宋体" w:eastAsia="宋体" w:cs="宋体"/>
                <w:color w:val="000000" w:themeColor="text1"/>
                <w:szCs w:val="21"/>
                <w:highlight w:val="none"/>
                <w14:textFill>
                  <w14:solidFill>
                    <w14:schemeClr w14:val="tx1"/>
                  </w14:solidFill>
                </w14:textFill>
              </w:rPr>
            </w:pPr>
          </w:p>
        </w:tc>
        <w:tc>
          <w:tcPr>
            <w:tcW w:w="1843" w:type="dxa"/>
            <w:vAlign w:val="center"/>
          </w:tcPr>
          <w:p w14:paraId="66EFAF49">
            <w:pPr>
              <w:spacing w:line="400" w:lineRule="exact"/>
              <w:rPr>
                <w:rFonts w:ascii="宋体" w:hAnsi="宋体" w:eastAsia="宋体" w:cs="宋体"/>
                <w:color w:val="000000" w:themeColor="text1"/>
                <w:szCs w:val="20"/>
                <w:highlight w:val="none"/>
                <w14:textFill>
                  <w14:solidFill>
                    <w14:schemeClr w14:val="tx1"/>
                  </w14:solidFill>
                </w14:textFill>
              </w:rPr>
            </w:pPr>
          </w:p>
        </w:tc>
        <w:tc>
          <w:tcPr>
            <w:tcW w:w="3284" w:type="dxa"/>
            <w:vAlign w:val="center"/>
          </w:tcPr>
          <w:p w14:paraId="1CBC3DEC">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993" w:type="dxa"/>
            <w:vAlign w:val="center"/>
          </w:tcPr>
          <w:p w14:paraId="2A52CAA6">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870" w:type="dxa"/>
            <w:vAlign w:val="center"/>
          </w:tcPr>
          <w:p w14:paraId="42F66264">
            <w:pPr>
              <w:spacing w:line="400" w:lineRule="exact"/>
              <w:jc w:val="center"/>
              <w:rPr>
                <w:rFonts w:ascii="宋体" w:hAnsi="宋体" w:eastAsia="宋体" w:cs="宋体"/>
                <w:color w:val="000000" w:themeColor="text1"/>
                <w:szCs w:val="20"/>
                <w:highlight w:val="none"/>
                <w14:textFill>
                  <w14:solidFill>
                    <w14:schemeClr w14:val="tx1"/>
                  </w14:solidFill>
                </w14:textFill>
              </w:rPr>
            </w:pPr>
          </w:p>
        </w:tc>
      </w:tr>
      <w:tr w14:paraId="2A87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61F815DF">
            <w:pPr>
              <w:spacing w:line="360" w:lineRule="exact"/>
              <w:jc w:val="center"/>
              <w:rPr>
                <w:rFonts w:ascii="宋体" w:hAnsi="宋体" w:eastAsia="宋体" w:cs="宋体"/>
                <w:color w:val="000000" w:themeColor="text1"/>
                <w:szCs w:val="21"/>
                <w:highlight w:val="none"/>
                <w14:textFill>
                  <w14:solidFill>
                    <w14:schemeClr w14:val="tx1"/>
                  </w14:solidFill>
                </w14:textFill>
              </w:rPr>
            </w:pPr>
          </w:p>
        </w:tc>
        <w:tc>
          <w:tcPr>
            <w:tcW w:w="1843" w:type="dxa"/>
            <w:vAlign w:val="center"/>
          </w:tcPr>
          <w:p w14:paraId="146AEA51">
            <w:pPr>
              <w:spacing w:line="400" w:lineRule="exact"/>
              <w:rPr>
                <w:rFonts w:ascii="宋体" w:hAnsi="宋体" w:eastAsia="宋体" w:cs="宋体"/>
                <w:color w:val="000000" w:themeColor="text1"/>
                <w:szCs w:val="20"/>
                <w:highlight w:val="none"/>
                <w14:textFill>
                  <w14:solidFill>
                    <w14:schemeClr w14:val="tx1"/>
                  </w14:solidFill>
                </w14:textFill>
              </w:rPr>
            </w:pPr>
          </w:p>
        </w:tc>
        <w:tc>
          <w:tcPr>
            <w:tcW w:w="3284" w:type="dxa"/>
            <w:vAlign w:val="center"/>
          </w:tcPr>
          <w:p w14:paraId="34DC4805">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993" w:type="dxa"/>
            <w:vAlign w:val="center"/>
          </w:tcPr>
          <w:p w14:paraId="7160DBD5">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870" w:type="dxa"/>
            <w:vAlign w:val="center"/>
          </w:tcPr>
          <w:p w14:paraId="19F04802">
            <w:pPr>
              <w:spacing w:line="400" w:lineRule="exact"/>
              <w:jc w:val="center"/>
              <w:rPr>
                <w:rFonts w:ascii="宋体" w:hAnsi="宋体" w:eastAsia="宋体" w:cs="宋体"/>
                <w:color w:val="000000" w:themeColor="text1"/>
                <w:szCs w:val="20"/>
                <w:highlight w:val="none"/>
                <w14:textFill>
                  <w14:solidFill>
                    <w14:schemeClr w14:val="tx1"/>
                  </w14:solidFill>
                </w14:textFill>
              </w:rPr>
            </w:pPr>
          </w:p>
        </w:tc>
      </w:tr>
      <w:tr w14:paraId="3F2E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18CD2AAE">
            <w:pPr>
              <w:spacing w:line="360" w:lineRule="exact"/>
              <w:jc w:val="center"/>
              <w:rPr>
                <w:rFonts w:ascii="宋体" w:hAnsi="宋体" w:eastAsia="宋体" w:cs="宋体"/>
                <w:color w:val="000000" w:themeColor="text1"/>
                <w:szCs w:val="21"/>
                <w:highlight w:val="none"/>
                <w14:textFill>
                  <w14:solidFill>
                    <w14:schemeClr w14:val="tx1"/>
                  </w14:solidFill>
                </w14:textFill>
              </w:rPr>
            </w:pPr>
          </w:p>
        </w:tc>
        <w:tc>
          <w:tcPr>
            <w:tcW w:w="1843" w:type="dxa"/>
            <w:vAlign w:val="center"/>
          </w:tcPr>
          <w:p w14:paraId="23E8A1E1">
            <w:pPr>
              <w:spacing w:line="400" w:lineRule="exact"/>
              <w:rPr>
                <w:rFonts w:ascii="宋体" w:hAnsi="宋体" w:eastAsia="宋体" w:cs="宋体"/>
                <w:color w:val="000000" w:themeColor="text1"/>
                <w:szCs w:val="20"/>
                <w:highlight w:val="none"/>
                <w14:textFill>
                  <w14:solidFill>
                    <w14:schemeClr w14:val="tx1"/>
                  </w14:solidFill>
                </w14:textFill>
              </w:rPr>
            </w:pPr>
          </w:p>
        </w:tc>
        <w:tc>
          <w:tcPr>
            <w:tcW w:w="3284" w:type="dxa"/>
            <w:vAlign w:val="center"/>
          </w:tcPr>
          <w:p w14:paraId="6F3E031D">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993" w:type="dxa"/>
            <w:vAlign w:val="center"/>
          </w:tcPr>
          <w:p w14:paraId="3A94C9C4">
            <w:pPr>
              <w:spacing w:line="400" w:lineRule="exact"/>
              <w:jc w:val="center"/>
              <w:rPr>
                <w:rFonts w:ascii="宋体" w:hAnsi="宋体" w:eastAsia="宋体" w:cs="宋体"/>
                <w:color w:val="000000" w:themeColor="text1"/>
                <w:szCs w:val="20"/>
                <w:highlight w:val="none"/>
                <w14:textFill>
                  <w14:solidFill>
                    <w14:schemeClr w14:val="tx1"/>
                  </w14:solidFill>
                </w14:textFill>
              </w:rPr>
            </w:pPr>
          </w:p>
        </w:tc>
        <w:tc>
          <w:tcPr>
            <w:tcW w:w="870" w:type="dxa"/>
            <w:vAlign w:val="center"/>
          </w:tcPr>
          <w:p w14:paraId="57AA2235">
            <w:pPr>
              <w:spacing w:line="400" w:lineRule="exact"/>
              <w:jc w:val="center"/>
              <w:rPr>
                <w:rFonts w:ascii="宋体" w:hAnsi="宋体" w:eastAsia="宋体" w:cs="宋体"/>
                <w:color w:val="000000" w:themeColor="text1"/>
                <w:szCs w:val="20"/>
                <w:highlight w:val="none"/>
                <w14:textFill>
                  <w14:solidFill>
                    <w14:schemeClr w14:val="tx1"/>
                  </w14:solidFill>
                </w14:textFill>
              </w:rPr>
            </w:pPr>
          </w:p>
        </w:tc>
      </w:tr>
    </w:tbl>
    <w:p w14:paraId="3D0A4F45">
      <w:pPr>
        <w:rPr>
          <w:rFonts w:ascii="宋体" w:hAnsi="宋体" w:eastAsia="宋体" w:cs="Times New Roman"/>
          <w:b/>
          <w:color w:val="000000" w:themeColor="text1"/>
          <w:sz w:val="32"/>
          <w:szCs w:val="20"/>
          <w:highlight w:val="none"/>
          <w14:textFill>
            <w14:solidFill>
              <w14:schemeClr w14:val="tx1"/>
            </w14:solidFill>
          </w14:textFill>
        </w:rPr>
      </w:pPr>
    </w:p>
    <w:p w14:paraId="3E4E0B4B">
      <w:pPr>
        <w:wordWrap w:val="0"/>
        <w:snapToGrid w:val="0"/>
        <w:spacing w:line="600" w:lineRule="exact"/>
        <w:ind w:firstLine="2835" w:firstLineChars="1350"/>
        <w:outlineLvl w:val="4"/>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供应商名称（加盖供应商CA证书签章，自然人除外）：</w:t>
      </w:r>
    </w:p>
    <w:p w14:paraId="25E94050">
      <w:pPr>
        <w:wordWrap w:val="0"/>
        <w:spacing w:line="600" w:lineRule="exact"/>
        <w:ind w:firstLine="5775" w:firstLineChars="2750"/>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日   期：</w:t>
      </w:r>
    </w:p>
    <w:p w14:paraId="642D7191">
      <w:pPr>
        <w:rPr>
          <w:rFonts w:ascii="宋体" w:hAnsi="宋体" w:eastAsia="宋体" w:cs="Times New Roman"/>
          <w:b/>
          <w:color w:val="000000" w:themeColor="text1"/>
          <w:sz w:val="32"/>
          <w:szCs w:val="20"/>
          <w:highlight w:val="none"/>
          <w14:textFill>
            <w14:solidFill>
              <w14:schemeClr w14:val="tx1"/>
            </w14:solidFill>
          </w14:textFill>
        </w:rPr>
      </w:pPr>
    </w:p>
    <w:p w14:paraId="34727B48">
      <w:pPr>
        <w:spacing w:line="400" w:lineRule="atLeast"/>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注：①供应商应对照《货物采购需求》表 第二条“商务要求” 中的内容在本表的“响应文件的响应情况（对商务要求的承诺）”栏中进行逐条内容响应，并在“响应偏离情况”栏注明无偏离、正偏离、负偏离，当出现“正偏离”情况时应对应填写偏离情况说明。</w:t>
      </w:r>
    </w:p>
    <w:p w14:paraId="60C24FD0">
      <w:pPr>
        <w:spacing w:line="400" w:lineRule="atLeast"/>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②</w:t>
      </w:r>
      <w:r>
        <w:rPr>
          <w:rFonts w:hint="eastAsia" w:ascii="宋体" w:hAnsi="宋体" w:eastAsia="宋体" w:cs="Times New Roman"/>
          <w:b/>
          <w:bCs/>
          <w:color w:val="000000" w:themeColor="text1"/>
          <w:szCs w:val="21"/>
          <w:highlight w:val="none"/>
          <w14:textFill>
            <w14:solidFill>
              <w14:schemeClr w14:val="tx1"/>
            </w14:solidFill>
          </w14:textFill>
        </w:rPr>
        <w:t>本表须由法定代表人（或负责人或自然人）或相应的委托代理人签字（或加盖个人CA证书签章）并加盖供应商CA证书签章，自然人除外。当本表由多页构成时，需逐页加盖供应商CA证书签章。</w:t>
      </w:r>
    </w:p>
    <w:p w14:paraId="21A3859E">
      <w:pPr>
        <w:spacing w:line="500" w:lineRule="exact"/>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43A6126E">
      <w:pPr>
        <w:spacing w:line="500" w:lineRule="exact"/>
        <w:rPr>
          <w:rFonts w:ascii="宋体" w:hAnsi="宋体" w:eastAsia="宋体" w:cs="Times New Roman"/>
          <w:b/>
          <w:bCs/>
          <w:color w:val="000000" w:themeColor="text1"/>
          <w:sz w:val="28"/>
          <w:szCs w:val="28"/>
          <w:highlight w:val="none"/>
          <w14:textFill>
            <w14:solidFill>
              <w14:schemeClr w14:val="tx1"/>
            </w14:solidFill>
          </w14:textFill>
        </w:rPr>
      </w:pPr>
    </w:p>
    <w:p w14:paraId="2B200D7A">
      <w:pPr>
        <w:spacing w:line="500" w:lineRule="exact"/>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2C473FEC">
      <w:pPr>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0A34E9CD">
      <w:pPr>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7255C7DC">
      <w:pPr>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64F77C15">
      <w:pPr>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254C8E2A">
      <w:pPr>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755E5D24">
      <w:pPr>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39B6EFF4">
      <w:pPr>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7.供应商的售后服务承诺书（技术服务、技术培训、售后服务的内容和措施等，格式自拟。）（必须提供）；</w:t>
      </w:r>
    </w:p>
    <w:p w14:paraId="13F9F07F">
      <w:pPr>
        <w:ind w:firstLine="643" w:firstLineChars="200"/>
        <w:rPr>
          <w:rFonts w:ascii="宋体" w:hAnsi="宋体" w:eastAsia="宋体" w:cs="Times New Roman"/>
          <w:b/>
          <w:bCs/>
          <w:color w:val="000000" w:themeColor="text1"/>
          <w:sz w:val="32"/>
          <w:szCs w:val="32"/>
          <w:highlight w:val="none"/>
          <w14:textFill>
            <w14:solidFill>
              <w14:schemeClr w14:val="tx1"/>
            </w14:solidFill>
          </w14:textFill>
        </w:rPr>
      </w:pPr>
    </w:p>
    <w:p w14:paraId="0830EC50">
      <w:pPr>
        <w:ind w:firstLine="643" w:firstLineChars="200"/>
        <w:rPr>
          <w:rFonts w:ascii="宋体" w:hAnsi="宋体" w:eastAsia="宋体" w:cs="Times New Roman"/>
          <w:b/>
          <w:bCs/>
          <w:color w:val="000000" w:themeColor="text1"/>
          <w:sz w:val="32"/>
          <w:szCs w:val="32"/>
          <w:highlight w:val="none"/>
          <w14:textFill>
            <w14:solidFill>
              <w14:schemeClr w14:val="tx1"/>
            </w14:solidFill>
          </w14:textFill>
        </w:rPr>
      </w:pPr>
    </w:p>
    <w:p w14:paraId="369A085C">
      <w:pPr>
        <w:ind w:firstLine="643" w:firstLineChars="200"/>
        <w:rPr>
          <w:rFonts w:ascii="宋体" w:hAnsi="宋体" w:eastAsia="宋体" w:cs="Times New Roman"/>
          <w:b/>
          <w:bCs/>
          <w:color w:val="000000" w:themeColor="text1"/>
          <w:sz w:val="32"/>
          <w:szCs w:val="32"/>
          <w:highlight w:val="none"/>
          <w14:textFill>
            <w14:solidFill>
              <w14:schemeClr w14:val="tx1"/>
            </w14:solidFill>
          </w14:textFill>
        </w:rPr>
      </w:pPr>
    </w:p>
    <w:p w14:paraId="0B1B1C1C">
      <w:pPr>
        <w:ind w:firstLine="643" w:firstLineChars="200"/>
        <w:rPr>
          <w:rFonts w:ascii="宋体" w:hAnsi="宋体" w:eastAsia="宋体" w:cs="Times New Roman"/>
          <w:b/>
          <w:bCs/>
          <w:color w:val="000000" w:themeColor="text1"/>
          <w:sz w:val="32"/>
          <w:szCs w:val="32"/>
          <w:highlight w:val="none"/>
          <w14:textFill>
            <w14:solidFill>
              <w14:schemeClr w14:val="tx1"/>
            </w14:solidFill>
          </w14:textFill>
        </w:rPr>
      </w:pPr>
    </w:p>
    <w:p w14:paraId="469CAA44">
      <w:pPr>
        <w:rPr>
          <w:rFonts w:ascii="宋体" w:hAnsi="宋体" w:eastAsia="宋体" w:cs="Times New Roman"/>
          <w:b/>
          <w:bCs/>
          <w:color w:val="000000" w:themeColor="text1"/>
          <w:sz w:val="32"/>
          <w:szCs w:val="32"/>
          <w:highlight w:val="none"/>
          <w14:textFill>
            <w14:solidFill>
              <w14:schemeClr w14:val="tx1"/>
            </w14:solidFill>
          </w14:textFill>
        </w:rPr>
      </w:pPr>
    </w:p>
    <w:p w14:paraId="459DDEF7">
      <w:pPr>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8.“货物采购需求”中要求必须提供的有效证明文件（属于必须提供的，应当按其要求提供）；</w:t>
      </w:r>
    </w:p>
    <w:p w14:paraId="2163B9BC">
      <w:pPr>
        <w:rPr>
          <w:rFonts w:ascii="宋体" w:hAnsi="宋体" w:eastAsia="宋体" w:cs="Times New Roman"/>
          <w:b/>
          <w:bCs/>
          <w:color w:val="000000" w:themeColor="text1"/>
          <w:sz w:val="32"/>
          <w:szCs w:val="32"/>
          <w:highlight w:val="none"/>
          <w14:textFill>
            <w14:solidFill>
              <w14:schemeClr w14:val="tx1"/>
            </w14:solidFill>
          </w14:textFill>
        </w:rPr>
      </w:pPr>
    </w:p>
    <w:p w14:paraId="3911E360">
      <w:pPr>
        <w:rPr>
          <w:rFonts w:ascii="宋体" w:hAnsi="宋体" w:eastAsia="宋体" w:cs="Times New Roman"/>
          <w:b/>
          <w:bCs/>
          <w:color w:val="000000" w:themeColor="text1"/>
          <w:sz w:val="32"/>
          <w:szCs w:val="32"/>
          <w:highlight w:val="none"/>
          <w14:textFill>
            <w14:solidFill>
              <w14:schemeClr w14:val="tx1"/>
            </w14:solidFill>
          </w14:textFill>
        </w:rPr>
      </w:pPr>
    </w:p>
    <w:p w14:paraId="38451724">
      <w:pPr>
        <w:rPr>
          <w:rFonts w:ascii="宋体" w:hAnsi="宋体" w:eastAsia="宋体" w:cs="Times New Roman"/>
          <w:b/>
          <w:bCs/>
          <w:color w:val="000000" w:themeColor="text1"/>
          <w:sz w:val="32"/>
          <w:szCs w:val="32"/>
          <w:highlight w:val="none"/>
          <w14:textFill>
            <w14:solidFill>
              <w14:schemeClr w14:val="tx1"/>
            </w14:solidFill>
          </w14:textFill>
        </w:rPr>
      </w:pPr>
    </w:p>
    <w:p w14:paraId="5D21262D">
      <w:pPr>
        <w:spacing w:line="500" w:lineRule="exact"/>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7509EF84">
      <w:pPr>
        <w:spacing w:line="500" w:lineRule="exact"/>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9.项目实施人员一览表（格式自拟，如有，请提供）；</w:t>
      </w:r>
    </w:p>
    <w:p w14:paraId="7A1B328E">
      <w:pPr>
        <w:spacing w:line="500" w:lineRule="exact"/>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37D8AFEE">
      <w:pPr>
        <w:spacing w:line="500" w:lineRule="exact"/>
        <w:rPr>
          <w:rFonts w:ascii="宋体" w:hAnsi="宋体" w:eastAsia="宋体" w:cs="Times New Roman"/>
          <w:b/>
          <w:bCs/>
          <w:color w:val="000000" w:themeColor="text1"/>
          <w:sz w:val="28"/>
          <w:szCs w:val="28"/>
          <w:highlight w:val="none"/>
          <w14:textFill>
            <w14:solidFill>
              <w14:schemeClr w14:val="tx1"/>
            </w14:solidFill>
          </w14:textFill>
        </w:rPr>
      </w:pPr>
    </w:p>
    <w:p w14:paraId="4C94A9D9">
      <w:pPr>
        <w:spacing w:line="500" w:lineRule="exact"/>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p>
    <w:p w14:paraId="56AC2C68">
      <w:pPr>
        <w:spacing w:line="500" w:lineRule="exact"/>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10.供应商具有同类产品的销售业绩的相关证明材料（如有，请提供）；</w:t>
      </w:r>
    </w:p>
    <w:p w14:paraId="3F791BE5">
      <w:pPr>
        <w:rPr>
          <w:rFonts w:ascii="宋体" w:hAnsi="宋体" w:eastAsia="宋体" w:cs="Times New Roman"/>
          <w:b/>
          <w:bCs/>
          <w:color w:val="000000" w:themeColor="text1"/>
          <w:sz w:val="32"/>
          <w:szCs w:val="32"/>
          <w:highlight w:val="none"/>
          <w14:textFill>
            <w14:solidFill>
              <w14:schemeClr w14:val="tx1"/>
            </w14:solidFill>
          </w14:textFill>
        </w:rPr>
      </w:pPr>
    </w:p>
    <w:p w14:paraId="328F657D">
      <w:pPr>
        <w:rPr>
          <w:rFonts w:ascii="宋体" w:hAnsi="宋体" w:eastAsia="宋体" w:cs="Times New Roman"/>
          <w:b/>
          <w:bCs/>
          <w:color w:val="000000" w:themeColor="text1"/>
          <w:sz w:val="32"/>
          <w:szCs w:val="32"/>
          <w:highlight w:val="none"/>
          <w14:textFill>
            <w14:solidFill>
              <w14:schemeClr w14:val="tx1"/>
            </w14:solidFill>
          </w14:textFill>
        </w:rPr>
      </w:pPr>
    </w:p>
    <w:p w14:paraId="4C114514">
      <w:pPr>
        <w:rPr>
          <w:rFonts w:ascii="宋体" w:hAnsi="宋体" w:eastAsia="宋体" w:cs="Times New Roman"/>
          <w:b/>
          <w:bCs/>
          <w:color w:val="000000" w:themeColor="text1"/>
          <w:sz w:val="32"/>
          <w:szCs w:val="32"/>
          <w:highlight w:val="none"/>
          <w14:textFill>
            <w14:solidFill>
              <w14:schemeClr w14:val="tx1"/>
            </w14:solidFill>
          </w14:textFill>
        </w:rPr>
      </w:pPr>
    </w:p>
    <w:p w14:paraId="1C26498B">
      <w:pPr>
        <w:rPr>
          <w:rFonts w:ascii="宋体" w:hAnsi="宋体" w:eastAsia="宋体" w:cs="Times New Roman"/>
          <w:b/>
          <w:bCs/>
          <w:color w:val="000000" w:themeColor="text1"/>
          <w:sz w:val="32"/>
          <w:szCs w:val="32"/>
          <w:highlight w:val="none"/>
          <w14:textFill>
            <w14:solidFill>
              <w14:schemeClr w14:val="tx1"/>
            </w14:solidFill>
          </w14:textFill>
        </w:rPr>
      </w:pPr>
    </w:p>
    <w:p w14:paraId="2991CE81">
      <w:pPr>
        <w:rPr>
          <w:rFonts w:ascii="宋体" w:hAnsi="宋体" w:eastAsia="宋体" w:cs="Times New Roman"/>
          <w:b/>
          <w:bCs/>
          <w:color w:val="000000" w:themeColor="text1"/>
          <w:sz w:val="32"/>
          <w:szCs w:val="32"/>
          <w:highlight w:val="none"/>
          <w14:textFill>
            <w14:solidFill>
              <w14:schemeClr w14:val="tx1"/>
            </w14:solidFill>
          </w14:textFill>
        </w:rPr>
      </w:pPr>
    </w:p>
    <w:p w14:paraId="2F7E56BE">
      <w:pPr>
        <w:rPr>
          <w:rFonts w:ascii="宋体" w:hAnsi="宋体" w:eastAsia="宋体" w:cs="Times New Roman"/>
          <w:b/>
          <w:bCs/>
          <w:color w:val="000000" w:themeColor="text1"/>
          <w:sz w:val="32"/>
          <w:szCs w:val="32"/>
          <w:highlight w:val="none"/>
          <w14:textFill>
            <w14:solidFill>
              <w14:schemeClr w14:val="tx1"/>
            </w14:solidFill>
          </w14:textFill>
        </w:rPr>
      </w:pPr>
    </w:p>
    <w:p w14:paraId="16D19499">
      <w:pPr>
        <w:rPr>
          <w:rFonts w:ascii="宋体" w:hAnsi="宋体" w:eastAsia="宋体" w:cs="Times New Roman"/>
          <w:b/>
          <w:bCs/>
          <w:color w:val="000000" w:themeColor="text1"/>
          <w:sz w:val="32"/>
          <w:szCs w:val="32"/>
          <w:highlight w:val="none"/>
          <w14:textFill>
            <w14:solidFill>
              <w14:schemeClr w14:val="tx1"/>
            </w14:solidFill>
          </w14:textFill>
        </w:rPr>
      </w:pPr>
    </w:p>
    <w:p w14:paraId="06582857">
      <w:pPr>
        <w:rPr>
          <w:rFonts w:ascii="宋体" w:hAnsi="宋体" w:eastAsia="宋体" w:cs="Times New Roman"/>
          <w:b/>
          <w:bCs/>
          <w:color w:val="000000" w:themeColor="text1"/>
          <w:sz w:val="32"/>
          <w:szCs w:val="32"/>
          <w:highlight w:val="none"/>
          <w14:textFill>
            <w14:solidFill>
              <w14:schemeClr w14:val="tx1"/>
            </w14:solidFill>
          </w14:textFill>
        </w:rPr>
      </w:pPr>
    </w:p>
    <w:p w14:paraId="21F3138E">
      <w:pPr>
        <w:rPr>
          <w:rFonts w:ascii="宋体" w:hAnsi="宋体" w:eastAsia="宋体" w:cs="Times New Roman"/>
          <w:b/>
          <w:bCs/>
          <w:color w:val="000000" w:themeColor="text1"/>
          <w:sz w:val="32"/>
          <w:szCs w:val="32"/>
          <w:highlight w:val="none"/>
          <w14:textFill>
            <w14:solidFill>
              <w14:schemeClr w14:val="tx1"/>
            </w14:solidFill>
          </w14:textFill>
        </w:rPr>
      </w:pPr>
    </w:p>
    <w:p w14:paraId="2F161B12">
      <w:pPr>
        <w:rPr>
          <w:rFonts w:ascii="宋体" w:hAnsi="宋体" w:eastAsia="宋体" w:cs="Times New Roman"/>
          <w:b/>
          <w:bCs/>
          <w:color w:val="000000" w:themeColor="text1"/>
          <w:sz w:val="32"/>
          <w:szCs w:val="32"/>
          <w:highlight w:val="none"/>
          <w14:textFill>
            <w14:solidFill>
              <w14:schemeClr w14:val="tx1"/>
            </w14:solidFill>
          </w14:textFill>
        </w:rPr>
      </w:pPr>
    </w:p>
    <w:p w14:paraId="2ABFEBDF">
      <w:pPr>
        <w:rPr>
          <w:rFonts w:ascii="宋体" w:hAnsi="宋体" w:eastAsia="宋体" w:cs="Times New Roman"/>
          <w:b/>
          <w:bCs/>
          <w:color w:val="000000" w:themeColor="text1"/>
          <w:sz w:val="32"/>
          <w:szCs w:val="32"/>
          <w:highlight w:val="none"/>
          <w14:textFill>
            <w14:solidFill>
              <w14:schemeClr w14:val="tx1"/>
            </w14:solidFill>
          </w14:textFill>
        </w:rPr>
      </w:pPr>
    </w:p>
    <w:p w14:paraId="7F396D8B">
      <w:pPr>
        <w:rPr>
          <w:rFonts w:ascii="宋体" w:hAnsi="宋体" w:eastAsia="宋体" w:cs="Times New Roman"/>
          <w:b/>
          <w:bCs/>
          <w:color w:val="000000" w:themeColor="text1"/>
          <w:sz w:val="32"/>
          <w:szCs w:val="32"/>
          <w:highlight w:val="none"/>
          <w14:textFill>
            <w14:solidFill>
              <w14:schemeClr w14:val="tx1"/>
            </w14:solidFill>
          </w14:textFill>
        </w:rPr>
      </w:pPr>
    </w:p>
    <w:p w14:paraId="4A4DB36F">
      <w:pPr>
        <w:rPr>
          <w:rFonts w:ascii="宋体" w:hAnsi="宋体" w:eastAsia="宋体" w:cs="Times New Roman"/>
          <w:b/>
          <w:bCs/>
          <w:color w:val="000000" w:themeColor="text1"/>
          <w:sz w:val="32"/>
          <w:szCs w:val="32"/>
          <w:highlight w:val="none"/>
          <w14:textFill>
            <w14:solidFill>
              <w14:schemeClr w14:val="tx1"/>
            </w14:solidFill>
          </w14:textFill>
        </w:rPr>
      </w:pPr>
    </w:p>
    <w:p w14:paraId="6AA38F77">
      <w:pPr>
        <w:rPr>
          <w:rFonts w:ascii="宋体" w:hAnsi="宋体" w:eastAsia="宋体" w:cs="Times New Roman"/>
          <w:b/>
          <w:bCs/>
          <w:color w:val="000000" w:themeColor="text1"/>
          <w:sz w:val="32"/>
          <w:szCs w:val="32"/>
          <w:highlight w:val="none"/>
          <w14:textFill>
            <w14:solidFill>
              <w14:schemeClr w14:val="tx1"/>
            </w14:solidFill>
          </w14:textFill>
        </w:rPr>
      </w:pPr>
    </w:p>
    <w:p w14:paraId="04055FED">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lang w:val="en-US" w:eastAsia="zh-CN"/>
          <w14:textFill>
            <w14:solidFill>
              <w14:schemeClr w14:val="tx1"/>
            </w14:solidFill>
          </w14:textFill>
        </w:rPr>
        <w:t>11</w:t>
      </w:r>
      <w:r>
        <w:rPr>
          <w:rFonts w:hint="eastAsia" w:ascii="宋体" w:hAnsi="宋体" w:eastAsia="宋体" w:cs="Times New Roman"/>
          <w:b/>
          <w:bCs/>
          <w:color w:val="000000" w:themeColor="text1"/>
          <w:sz w:val="28"/>
          <w:szCs w:val="28"/>
          <w14:textFill>
            <w14:solidFill>
              <w14:schemeClr w14:val="tx1"/>
            </w14:solidFill>
          </w14:textFill>
        </w:rPr>
        <w:t>.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如有，请提供）；</w:t>
      </w:r>
    </w:p>
    <w:p w14:paraId="4F1C91C8">
      <w:pPr>
        <w:spacing w:line="400" w:lineRule="exact"/>
        <w:ind w:firstLine="361" w:firstLineChars="150"/>
        <w:rPr>
          <w:rFonts w:ascii="宋体" w:hAnsi="宋体" w:eastAsia="宋体" w:cs="Times New Roman"/>
          <w:b/>
          <w:color w:val="000000" w:themeColor="text1"/>
          <w:sz w:val="24"/>
          <w:szCs w:val="24"/>
          <w14:textFill>
            <w14:solidFill>
              <w14:schemeClr w14:val="tx1"/>
            </w14:solidFill>
          </w14:textFill>
        </w:rPr>
      </w:pPr>
    </w:p>
    <w:p w14:paraId="18E274B3">
      <w:pPr>
        <w:spacing w:line="400" w:lineRule="exact"/>
        <w:ind w:firstLine="361" w:firstLineChars="15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附件</w:t>
      </w:r>
    </w:p>
    <w:p w14:paraId="33068F60">
      <w:pPr>
        <w:spacing w:line="400" w:lineRule="exact"/>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中小企业声明函(货物类，格式)</w:t>
      </w:r>
    </w:p>
    <w:p w14:paraId="35987063">
      <w:pPr>
        <w:spacing w:line="400" w:lineRule="exact"/>
        <w:jc w:val="center"/>
        <w:rPr>
          <w:rFonts w:ascii="宋体" w:hAnsi="宋体" w:eastAsia="宋体" w:cs="宋体"/>
          <w:color w:val="000000" w:themeColor="text1"/>
          <w:kern w:val="0"/>
          <w:sz w:val="24"/>
          <w:szCs w:val="24"/>
          <w14:textFill>
            <w14:solidFill>
              <w14:schemeClr w14:val="tx1"/>
            </w14:solidFill>
          </w14:textFill>
        </w:rPr>
      </w:pPr>
    </w:p>
    <w:p w14:paraId="10F1CB9F">
      <w:pPr>
        <w:spacing w:line="400" w:lineRule="exact"/>
        <w:ind w:firstLine="6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本公司（联合体）郑重声明，根据《政府采购促进中小企业发展管理办法》（财库〔2020〕46号）的规定，本公司 （联合体）参加</w:t>
      </w:r>
      <w:r>
        <w:rPr>
          <w:rFonts w:hint="eastAsia" w:ascii="宋体" w:hAnsi="宋体" w:eastAsia="宋体" w:cs="宋体"/>
          <w:color w:val="000000" w:themeColor="text1"/>
          <w:kern w:val="0"/>
          <w:sz w:val="24"/>
          <w:szCs w:val="24"/>
          <w:u w:val="single"/>
          <w14:textFill>
            <w14:solidFill>
              <w14:schemeClr w14:val="tx1"/>
            </w14:solidFill>
          </w14:textFill>
        </w:rPr>
        <w:t>（单位名称）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14:textFill>
            <w14:solidFill>
              <w14:schemeClr w14:val="tx1"/>
            </w14:solidFill>
          </w14:textFill>
        </w:rPr>
        <w:t>釆购活动,提供的货物全部由符合政策要求的中小企业制造。相关企业（含联合体中的中小企业、签订分包意向协议的中小企业）的具体情况如下</w:t>
      </w:r>
      <w:bookmarkStart w:id="53" w:name="bookmark1"/>
      <w:bookmarkEnd w:id="53"/>
      <w:r>
        <w:rPr>
          <w:rFonts w:hint="eastAsia" w:ascii="宋体" w:hAnsi="宋体" w:eastAsia="宋体" w:cs="宋体"/>
          <w:color w:val="000000" w:themeColor="text1"/>
          <w:kern w:val="0"/>
          <w:sz w:val="24"/>
          <w:szCs w:val="24"/>
          <w14:textFill>
            <w14:solidFill>
              <w14:schemeClr w14:val="tx1"/>
            </w14:solidFill>
          </w14:textFill>
        </w:rPr>
        <w:t>：</w:t>
      </w:r>
    </w:p>
    <w:p w14:paraId="58795C39">
      <w:pPr>
        <w:spacing w:line="400" w:lineRule="exact"/>
        <w:ind w:firstLine="6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 xml:space="preserve">     （</w:t>
      </w:r>
      <w:bookmarkStart w:id="54" w:name="OLE_LINK2"/>
      <w:r>
        <w:rPr>
          <w:rFonts w:hint="eastAsia" w:ascii="宋体" w:hAnsi="宋体" w:eastAsia="宋体" w:cs="宋体"/>
          <w:color w:val="000000" w:themeColor="text1"/>
          <w:kern w:val="0"/>
          <w:sz w:val="24"/>
          <w:szCs w:val="24"/>
          <w:u w:val="single"/>
          <w14:textFill>
            <w14:solidFill>
              <w14:schemeClr w14:val="tx1"/>
            </w14:solidFill>
          </w14:textFill>
        </w:rPr>
        <w:t>标的名称</w:t>
      </w:r>
      <w:bookmarkEnd w:id="54"/>
      <w:r>
        <w:rPr>
          <w:rFonts w:hint="eastAsia" w:ascii="宋体" w:hAnsi="宋体" w:eastAsia="宋体" w:cs="宋体"/>
          <w:color w:val="000000" w:themeColor="text1"/>
          <w:kern w:val="0"/>
          <w:sz w:val="24"/>
          <w:szCs w:val="24"/>
          <w:u w:val="single"/>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，属于</w:t>
      </w:r>
      <w:r>
        <w:rPr>
          <w:rFonts w:hint="eastAsia" w:ascii="宋体" w:hAnsi="宋体" w:eastAsia="宋体" w:cs="宋体"/>
          <w:color w:val="000000" w:themeColor="text1"/>
          <w:kern w:val="0"/>
          <w:sz w:val="24"/>
          <w:szCs w:val="24"/>
          <w:u w:val="single"/>
          <w14:textFill>
            <w14:solidFill>
              <w14:schemeClr w14:val="tx1"/>
            </w14:solidFill>
          </w14:textFill>
        </w:rPr>
        <w:t xml:space="preserve">     （釆购文件中明确的所属行业）行业</w:t>
      </w:r>
      <w:r>
        <w:rPr>
          <w:rFonts w:hint="eastAsia" w:ascii="宋体" w:hAnsi="宋体" w:eastAsia="宋体" w:cs="宋体"/>
          <w:color w:val="000000" w:themeColor="text1"/>
          <w:kern w:val="0"/>
          <w:sz w:val="24"/>
          <w:szCs w:val="24"/>
          <w14:textFill>
            <w14:solidFill>
              <w14:schemeClr w14:val="tx1"/>
            </w14:solidFill>
          </w14:textFill>
        </w:rPr>
        <w:t>；制造商为</w:t>
      </w:r>
      <w:r>
        <w:rPr>
          <w:rFonts w:hint="eastAsia" w:ascii="宋体" w:hAnsi="宋体" w:eastAsia="宋体" w:cs="宋体"/>
          <w:color w:val="000000" w:themeColor="text1"/>
          <w:kern w:val="0"/>
          <w:sz w:val="24"/>
          <w:szCs w:val="24"/>
          <w:u w:val="single"/>
          <w14:textFill>
            <w14:solidFill>
              <w14:schemeClr w14:val="tx1"/>
            </w14:solidFill>
          </w14:textFill>
        </w:rPr>
        <w:t>（企业名称）</w:t>
      </w:r>
      <w:r>
        <w:rPr>
          <w:rFonts w:hint="eastAsia" w:ascii="宋体" w:hAnsi="宋体" w:eastAsia="宋体" w:cs="宋体"/>
          <w:color w:val="000000" w:themeColor="text1"/>
          <w:kern w:val="0"/>
          <w:sz w:val="24"/>
          <w:szCs w:val="24"/>
          <w14:textFill>
            <w14:solidFill>
              <w14:schemeClr w14:val="tx1"/>
            </w14:solidFill>
          </w14:textFill>
        </w:rPr>
        <w:t>，从业人员</w:t>
      </w:r>
      <w:r>
        <w:rPr>
          <w:rFonts w:hint="eastAsia" w:ascii="宋体" w:hAnsi="宋体" w:eastAsia="宋体" w:cs="宋体"/>
          <w:color w:val="000000" w:themeColor="text1"/>
          <w:kern w:val="0"/>
          <w:sz w:val="24"/>
          <w:szCs w:val="24"/>
          <w:u w:val="single"/>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人，营业收入为万元，资产总额为万元，属于</w:t>
      </w:r>
      <w:r>
        <w:rPr>
          <w:rFonts w:hint="eastAsia" w:ascii="宋体" w:hAnsi="宋体" w:eastAsia="宋体" w:cs="宋体"/>
          <w:color w:val="000000" w:themeColor="text1"/>
          <w:kern w:val="0"/>
          <w:sz w:val="24"/>
          <w:szCs w:val="24"/>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14:textFill>
            <w14:solidFill>
              <w14:schemeClr w14:val="tx1"/>
            </w14:solidFill>
          </w14:textFill>
        </w:rPr>
        <w:t xml:space="preserve">； </w:t>
      </w:r>
    </w:p>
    <w:p w14:paraId="5B29B9DB">
      <w:pPr>
        <w:spacing w:line="400" w:lineRule="exact"/>
        <w:ind w:firstLine="6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 xml:space="preserve">    （标的名称）</w:t>
      </w:r>
      <w:r>
        <w:rPr>
          <w:rFonts w:hint="eastAsia" w:ascii="宋体" w:hAnsi="宋体" w:eastAsia="宋体" w:cs="宋体"/>
          <w:color w:val="000000" w:themeColor="text1"/>
          <w:kern w:val="0"/>
          <w:sz w:val="24"/>
          <w:szCs w:val="24"/>
          <w14:textFill>
            <w14:solidFill>
              <w14:schemeClr w14:val="tx1"/>
            </w14:solidFill>
          </w14:textFill>
        </w:rPr>
        <w:t>，属于</w:t>
      </w:r>
      <w:r>
        <w:rPr>
          <w:rFonts w:hint="eastAsia" w:ascii="宋体" w:hAnsi="宋体" w:eastAsia="宋体" w:cs="宋体"/>
          <w:color w:val="000000" w:themeColor="text1"/>
          <w:kern w:val="0"/>
          <w:sz w:val="24"/>
          <w:szCs w:val="24"/>
          <w:u w:val="single"/>
          <w14:textFill>
            <w14:solidFill>
              <w14:schemeClr w14:val="tx1"/>
            </w14:solidFill>
          </w14:textFill>
        </w:rPr>
        <w:t xml:space="preserve">     （釆购文件中明确的所属行业）行业</w:t>
      </w:r>
      <w:r>
        <w:rPr>
          <w:rFonts w:hint="eastAsia" w:ascii="宋体" w:hAnsi="宋体" w:eastAsia="宋体" w:cs="宋体"/>
          <w:color w:val="000000" w:themeColor="text1"/>
          <w:kern w:val="0"/>
          <w:sz w:val="24"/>
          <w:szCs w:val="24"/>
          <w14:textFill>
            <w14:solidFill>
              <w14:schemeClr w14:val="tx1"/>
            </w14:solidFill>
          </w14:textFill>
        </w:rPr>
        <w:t>；制造商为</w:t>
      </w:r>
      <w:r>
        <w:rPr>
          <w:rFonts w:hint="eastAsia" w:ascii="宋体" w:hAnsi="宋体" w:eastAsia="宋体" w:cs="宋体"/>
          <w:color w:val="000000" w:themeColor="text1"/>
          <w:kern w:val="0"/>
          <w:sz w:val="24"/>
          <w:szCs w:val="24"/>
          <w:u w:val="single"/>
          <w14:textFill>
            <w14:solidFill>
              <w14:schemeClr w14:val="tx1"/>
            </w14:solidFill>
          </w14:textFill>
        </w:rPr>
        <w:t>（企业名称）</w:t>
      </w:r>
      <w:r>
        <w:rPr>
          <w:rFonts w:hint="eastAsia" w:ascii="宋体" w:hAnsi="宋体" w:eastAsia="宋体" w:cs="宋体"/>
          <w:color w:val="000000" w:themeColor="text1"/>
          <w:kern w:val="0"/>
          <w:sz w:val="24"/>
          <w:szCs w:val="24"/>
          <w14:textFill>
            <w14:solidFill>
              <w14:schemeClr w14:val="tx1"/>
            </w14:solidFill>
          </w14:textFill>
        </w:rPr>
        <w:t>、从业人员</w:t>
      </w:r>
      <w:r>
        <w:rPr>
          <w:rFonts w:hint="eastAsia" w:ascii="宋体" w:hAnsi="宋体" w:eastAsia="宋体" w:cs="宋体"/>
          <w:color w:val="000000" w:themeColor="text1"/>
          <w:kern w:val="0"/>
          <w:sz w:val="24"/>
          <w:szCs w:val="24"/>
          <w:u w:val="single"/>
          <w14:textFill>
            <w14:solidFill>
              <w14:schemeClr w14:val="tx1"/>
            </w14:solidFill>
          </w14:textFill>
        </w:rPr>
        <w:tab/>
      </w:r>
      <w:r>
        <w:rPr>
          <w:rFonts w:hint="eastAsia" w:ascii="宋体" w:hAnsi="宋体" w:eastAsia="宋体" w:cs="宋体"/>
          <w:color w:val="000000" w:themeColor="text1"/>
          <w:kern w:val="0"/>
          <w:sz w:val="24"/>
          <w:szCs w:val="24"/>
          <w14:textFill>
            <w14:solidFill>
              <w14:schemeClr w14:val="tx1"/>
            </w14:solidFill>
          </w14:textFill>
        </w:rPr>
        <w:t>人，营业收入为万元，资产总额为万元，属于</w:t>
      </w:r>
      <w:r>
        <w:rPr>
          <w:rFonts w:hint="eastAsia" w:ascii="宋体" w:hAnsi="宋体" w:eastAsia="宋体" w:cs="宋体"/>
          <w:color w:val="000000" w:themeColor="text1"/>
          <w:kern w:val="0"/>
          <w:sz w:val="24"/>
          <w:szCs w:val="24"/>
          <w:u w:val="single"/>
          <w14:textFill>
            <w14:solidFill>
              <w14:schemeClr w14:val="tx1"/>
            </w14:solidFill>
          </w14:textFill>
        </w:rPr>
        <w:t>（中型企业、小型 企业、微型企业）</w:t>
      </w:r>
      <w:r>
        <w:rPr>
          <w:rFonts w:hint="eastAsia" w:ascii="宋体" w:hAnsi="宋体" w:eastAsia="宋体" w:cs="宋体"/>
          <w:color w:val="000000" w:themeColor="text1"/>
          <w:kern w:val="0"/>
          <w:sz w:val="24"/>
          <w:szCs w:val="24"/>
          <w14:textFill>
            <w14:solidFill>
              <w14:schemeClr w14:val="tx1"/>
            </w14:solidFill>
          </w14:textFill>
        </w:rPr>
        <w:t>；</w:t>
      </w:r>
    </w:p>
    <w:p w14:paraId="3A05B14B">
      <w:pPr>
        <w:spacing w:line="400" w:lineRule="exact"/>
        <w:ind w:firstLine="6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p w14:paraId="66E3D800">
      <w:pPr>
        <w:spacing w:line="400" w:lineRule="exact"/>
        <w:ind w:firstLine="6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以上企业，不属于大企业的分支机构，不存在控股股东为大企业的情形，也不存在与大企业的负责人为同一人的情形。</w:t>
      </w:r>
    </w:p>
    <w:p w14:paraId="1B23A281">
      <w:pPr>
        <w:spacing w:after="40" w:line="400" w:lineRule="exact"/>
        <w:ind w:firstLine="6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本企业对上述声明内容的真实性负责。如有虚假，将依法承担相应责任。</w:t>
      </w:r>
    </w:p>
    <w:p w14:paraId="4FFAA661">
      <w:pPr>
        <w:spacing w:after="40" w:line="400" w:lineRule="exact"/>
        <w:ind w:firstLine="640"/>
        <w:rPr>
          <w:rFonts w:ascii="宋体" w:hAnsi="宋体" w:eastAsia="宋体" w:cs="宋体"/>
          <w:color w:val="000000" w:themeColor="text1"/>
          <w:kern w:val="0"/>
          <w:sz w:val="24"/>
          <w:szCs w:val="24"/>
          <w14:textFill>
            <w14:solidFill>
              <w14:schemeClr w14:val="tx1"/>
            </w14:solidFill>
          </w14:textFill>
        </w:rPr>
      </w:pPr>
    </w:p>
    <w:p w14:paraId="7369271A">
      <w:pPr>
        <w:spacing w:line="400" w:lineRule="exact"/>
        <w:ind w:firstLine="640"/>
        <w:rPr>
          <w:rFonts w:ascii="宋体" w:hAnsi="宋体" w:eastAsia="宋体" w:cs="Times New Roman"/>
          <w:color w:val="000000" w:themeColor="text1"/>
          <w:kern w:val="0"/>
          <w:sz w:val="24"/>
          <w:szCs w:val="24"/>
          <w14:textFill>
            <w14:solidFill>
              <w14:schemeClr w14:val="tx1"/>
            </w14:solidFill>
          </w14:textFill>
        </w:rPr>
      </w:pPr>
    </w:p>
    <w:p w14:paraId="5FD17BC9">
      <w:pPr>
        <w:widowControl/>
        <w:shd w:val="clear" w:color="auto" w:fill="FFFFFF"/>
        <w:wordWrap w:val="0"/>
        <w:spacing w:after="240" w:line="360" w:lineRule="atLeast"/>
        <w:ind w:firstLine="3960" w:firstLineChars="1650"/>
        <w:jc w:val="left"/>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企业名称（加盖供应商CA证书签章）：</w:t>
      </w:r>
    </w:p>
    <w:p w14:paraId="505ECA6A">
      <w:pPr>
        <w:wordWrap w:val="0"/>
        <w:spacing w:line="360" w:lineRule="atLeas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日期：</w:t>
      </w:r>
    </w:p>
    <w:p w14:paraId="6413C6C8">
      <w:pPr>
        <w:spacing w:line="360" w:lineRule="auto"/>
        <w:rPr>
          <w:rFonts w:ascii="宋体" w:hAnsi="Courier New" w:eastAsia="宋体" w:cs="宋体"/>
          <w:b/>
          <w:color w:val="000000" w:themeColor="text1"/>
          <w:kern w:val="0"/>
          <w:szCs w:val="21"/>
          <w14:textFill>
            <w14:solidFill>
              <w14:schemeClr w14:val="tx1"/>
            </w14:solidFill>
          </w14:textFill>
        </w:rPr>
      </w:pPr>
    </w:p>
    <w:p w14:paraId="7FE0E406">
      <w:pPr>
        <w:pStyle w:val="29"/>
        <w:ind w:firstLine="413" w:firstLineChars="196"/>
        <w:rPr>
          <w:rFonts w:eastAsia="宋体" w:cs="宋体"/>
          <w:b/>
          <w:color w:val="000000" w:themeColor="text1"/>
          <w:kern w:val="0"/>
          <w:szCs w:val="20"/>
          <w14:textFill>
            <w14:solidFill>
              <w14:schemeClr w14:val="tx1"/>
            </w14:solidFill>
          </w14:textFill>
        </w:rPr>
      </w:pPr>
      <w:r>
        <w:rPr>
          <w:rFonts w:hint="eastAsia" w:eastAsia="宋体" w:cs="宋体"/>
          <w:b/>
          <w:color w:val="000000" w:themeColor="text1"/>
          <w:kern w:val="0"/>
          <w:szCs w:val="21"/>
          <w14:textFill>
            <w14:solidFill>
              <w14:schemeClr w14:val="tx1"/>
            </w14:solidFill>
          </w14:textFill>
        </w:rPr>
        <w:t>注：</w:t>
      </w:r>
      <w:r>
        <w:rPr>
          <w:rFonts w:hint="eastAsia" w:eastAsia="宋体" w:cs="宋体"/>
          <w:b/>
          <w:color w:val="000000" w:themeColor="text1"/>
          <w:kern w:val="0"/>
          <w:szCs w:val="20"/>
          <w14:textFill>
            <w14:solidFill>
              <w14:schemeClr w14:val="tx1"/>
            </w14:solidFill>
          </w14:textFill>
        </w:rPr>
        <w:t>①从业人员、营业收入、资产总额填报上一年度数据，无上一年度数据的新成立企业可不填报。</w:t>
      </w:r>
    </w:p>
    <w:p w14:paraId="07FB7E69">
      <w:pPr>
        <w:spacing w:line="400" w:lineRule="exact"/>
        <w:ind w:firstLine="422" w:firstLineChars="200"/>
        <w:rPr>
          <w:rFonts w:ascii="宋体" w:hAnsi="宋体" w:eastAsia="宋体" w:cs="宋体"/>
          <w:b/>
          <w:color w:val="000000" w:themeColor="text1"/>
          <w:kern w:val="0"/>
          <w:szCs w:val="21"/>
          <w:u w:val="single"/>
          <w14:textFill>
            <w14:solidFill>
              <w14:schemeClr w14:val="tx1"/>
            </w14:solidFill>
          </w14:textFill>
        </w:rPr>
      </w:pPr>
      <w:r>
        <w:rPr>
          <w:rFonts w:hint="eastAsia" w:ascii="Calibri" w:hAnsi="Calibri" w:eastAsia="宋体" w:cs="宋体"/>
          <w:b/>
          <w:color w:val="000000" w:themeColor="text1"/>
          <w:kern w:val="0"/>
          <w:szCs w:val="24"/>
          <w14:textFill>
            <w14:solidFill>
              <w14:schemeClr w14:val="tx1"/>
            </w14:solidFill>
          </w14:textFill>
        </w:rPr>
        <w:t>②</w:t>
      </w:r>
      <w:r>
        <w:rPr>
          <w:rFonts w:hint="eastAsia" w:ascii="宋体" w:hAnsi="宋体" w:eastAsia="宋体" w:cs="Times New Roman"/>
          <w:b/>
          <w:color w:val="000000" w:themeColor="text1"/>
          <w:szCs w:val="21"/>
          <w14:textFill>
            <w14:solidFill>
              <w14:schemeClr w14:val="tx1"/>
            </w14:solidFill>
          </w14:textFill>
        </w:rPr>
        <w:t>所属行业依照《中小企业划型标准规定》（工信部联企业〔2011〕300号）及《国民经济行业分类》（GB/T4754-2017）的有关规定执行，</w:t>
      </w:r>
      <w:r>
        <w:rPr>
          <w:rFonts w:hint="eastAsia" w:ascii="宋体" w:hAnsi="宋体" w:eastAsia="宋体" w:cs="宋体"/>
          <w:b/>
          <w:color w:val="000000" w:themeColor="text1"/>
          <w:kern w:val="0"/>
          <w:szCs w:val="21"/>
          <w14:textFill>
            <w14:solidFill>
              <w14:schemeClr w14:val="tx1"/>
            </w14:solidFill>
          </w14:textFill>
        </w:rPr>
        <w:t>本项目货物在《统计上大中小微型企业划分标准》中所属行业为：</w:t>
      </w:r>
      <w:r>
        <w:rPr>
          <w:rFonts w:hint="eastAsia" w:ascii="宋体" w:hAnsi="宋体" w:eastAsia="宋体" w:cs="宋体"/>
          <w:b/>
          <w:color w:val="000000" w:themeColor="text1"/>
          <w:kern w:val="0"/>
          <w:szCs w:val="21"/>
          <w:u w:val="single"/>
          <w14:textFill>
            <w14:solidFill>
              <w14:schemeClr w14:val="tx1"/>
            </w14:solidFill>
          </w14:textFill>
        </w:rPr>
        <w:t>工业。</w:t>
      </w:r>
    </w:p>
    <w:p w14:paraId="34DEBBC9">
      <w:pPr>
        <w:adjustRightInd w:val="0"/>
        <w:spacing w:line="390" w:lineRule="exact"/>
        <w:contextualSpacing/>
        <w:rPr>
          <w:rFonts w:ascii="宋体" w:hAnsi="Courier New" w:eastAsia="宋体" w:cs="Times New Roman"/>
          <w:b/>
          <w:bCs/>
          <w:color w:val="000000" w:themeColor="text1"/>
          <w:szCs w:val="20"/>
          <w14:textFill>
            <w14:solidFill>
              <w14:schemeClr w14:val="tx1"/>
            </w14:solidFill>
          </w14:textFill>
        </w:rPr>
      </w:pPr>
    </w:p>
    <w:p w14:paraId="4484DAE0">
      <w:pPr>
        <w:adjustRightInd w:val="0"/>
        <w:spacing w:line="390" w:lineRule="exact"/>
        <w:contextualSpacing/>
        <w:rPr>
          <w:rFonts w:ascii="宋体" w:hAnsi="宋体" w:eastAsia="宋体" w:cs="宋体"/>
          <w:b/>
          <w:bCs/>
          <w:color w:val="000000" w:themeColor="text1"/>
          <w:szCs w:val="20"/>
          <w14:textFill>
            <w14:solidFill>
              <w14:schemeClr w14:val="tx1"/>
            </w14:solidFill>
          </w14:textFill>
        </w:rPr>
      </w:pPr>
      <w:r>
        <w:rPr>
          <w:rFonts w:hint="eastAsia" w:ascii="宋体" w:hAnsi="Courier New" w:eastAsia="宋体" w:cs="Times New Roman"/>
          <w:b/>
          <w:bCs/>
          <w:color w:val="000000" w:themeColor="text1"/>
          <w:szCs w:val="20"/>
          <w14:textFill>
            <w14:solidFill>
              <w14:schemeClr w14:val="tx1"/>
            </w14:solidFill>
          </w14:textFill>
        </w:rPr>
        <w:t>附表</w:t>
      </w:r>
    </w:p>
    <w:p w14:paraId="25FDDD91">
      <w:pPr>
        <w:widowControl/>
        <w:spacing w:beforeLines="50" w:afterLines="50" w:line="400" w:lineRule="exact"/>
        <w:jc w:val="center"/>
        <w:rPr>
          <w:rFonts w:ascii="宋体" w:hAnsi="宋体" w:eastAsia="宋体" w:cs="宋体"/>
          <w:b/>
          <w:bCs/>
          <w:color w:val="000000" w:themeColor="text1"/>
          <w:kern w:val="0"/>
          <w:sz w:val="30"/>
          <w:szCs w:val="30"/>
          <w14:textFill>
            <w14:solidFill>
              <w14:schemeClr w14:val="tx1"/>
            </w14:solidFill>
          </w14:textFill>
        </w:rPr>
      </w:pPr>
      <w:bookmarkStart w:id="55" w:name="_Toc28361_WPSOffice_Level2"/>
      <w:r>
        <w:rPr>
          <w:rFonts w:hint="eastAsia" w:ascii="宋体" w:hAnsi="宋体" w:eastAsia="宋体" w:cs="宋体"/>
          <w:b/>
          <w:bCs/>
          <w:color w:val="000000" w:themeColor="text1"/>
          <w:kern w:val="0"/>
          <w:sz w:val="30"/>
          <w:szCs w:val="30"/>
          <w14:textFill>
            <w14:solidFill>
              <w14:schemeClr w14:val="tx1"/>
            </w14:solidFill>
          </w14:textFill>
        </w:rPr>
        <w:t>统计上大中小微型企业划分标准</w:t>
      </w:r>
      <w:bookmarkEnd w:id="55"/>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28C2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682B8183">
            <w:pPr>
              <w:widowControl/>
              <w:spacing w:line="240" w:lineRule="exact"/>
              <w:jc w:val="center"/>
              <w:rPr>
                <w:rFonts w:ascii="宋体" w:hAnsi="宋体" w:eastAsia="宋体" w:cs="宋体"/>
                <w:b/>
                <w:bCs/>
                <w:color w:val="000000" w:themeColor="text1"/>
                <w:kern w:val="0"/>
                <w:sz w:val="18"/>
                <w:szCs w:val="21"/>
                <w14:textFill>
                  <w14:solidFill>
                    <w14:schemeClr w14:val="tx1"/>
                  </w14:solidFill>
                </w14:textFill>
              </w:rPr>
            </w:pPr>
            <w:r>
              <w:rPr>
                <w:rFonts w:hint="eastAsia" w:ascii="宋体" w:hAnsi="宋体" w:eastAsia="宋体" w:cs="宋体"/>
                <w:b/>
                <w:bCs/>
                <w:color w:val="000000" w:themeColor="text1"/>
                <w:kern w:val="0"/>
                <w:sz w:val="18"/>
                <w:szCs w:val="21"/>
                <w14:textFill>
                  <w14:solidFill>
                    <w14:schemeClr w14:val="tx1"/>
                  </w14:solidFill>
                </w14:textFill>
              </w:rPr>
              <w:t>行业名称</w:t>
            </w:r>
          </w:p>
        </w:tc>
        <w:tc>
          <w:tcPr>
            <w:tcW w:w="1451" w:type="dxa"/>
            <w:shd w:val="clear" w:color="auto" w:fill="8DB3E2"/>
            <w:vAlign w:val="center"/>
          </w:tcPr>
          <w:p w14:paraId="4DE8FDA7">
            <w:pPr>
              <w:widowControl/>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指标名称</w:t>
            </w:r>
          </w:p>
        </w:tc>
        <w:tc>
          <w:tcPr>
            <w:tcW w:w="750" w:type="dxa"/>
            <w:shd w:val="clear" w:color="auto" w:fill="8DB3E2"/>
            <w:vAlign w:val="center"/>
          </w:tcPr>
          <w:p w14:paraId="35E8B084">
            <w:pPr>
              <w:widowControl/>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计量</w:t>
            </w:r>
          </w:p>
          <w:p w14:paraId="756A8815">
            <w:pPr>
              <w:widowControl/>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单位</w:t>
            </w:r>
          </w:p>
        </w:tc>
        <w:tc>
          <w:tcPr>
            <w:tcW w:w="1191" w:type="dxa"/>
            <w:shd w:val="clear" w:color="auto" w:fill="8DB3E2"/>
            <w:vAlign w:val="center"/>
          </w:tcPr>
          <w:p w14:paraId="61485E42">
            <w:pPr>
              <w:widowControl/>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大型</w:t>
            </w:r>
          </w:p>
        </w:tc>
        <w:tc>
          <w:tcPr>
            <w:tcW w:w="1803" w:type="dxa"/>
            <w:shd w:val="clear" w:color="auto" w:fill="8DB3E2"/>
            <w:vAlign w:val="center"/>
          </w:tcPr>
          <w:p w14:paraId="0697AC35">
            <w:pPr>
              <w:widowControl/>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中型</w:t>
            </w:r>
          </w:p>
        </w:tc>
        <w:tc>
          <w:tcPr>
            <w:tcW w:w="1511" w:type="dxa"/>
            <w:shd w:val="clear" w:color="auto" w:fill="8DB3E2"/>
            <w:vAlign w:val="center"/>
          </w:tcPr>
          <w:p w14:paraId="62174FB4">
            <w:pPr>
              <w:widowControl/>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小型</w:t>
            </w:r>
          </w:p>
        </w:tc>
        <w:tc>
          <w:tcPr>
            <w:tcW w:w="1049" w:type="dxa"/>
            <w:shd w:val="clear" w:color="auto" w:fill="8DB3E2"/>
            <w:vAlign w:val="center"/>
          </w:tcPr>
          <w:p w14:paraId="3DAA14EC">
            <w:pPr>
              <w:widowControl/>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微型</w:t>
            </w:r>
          </w:p>
        </w:tc>
      </w:tr>
      <w:tr w14:paraId="3B05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6E4E0BD9">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农、林、牧、渔业</w:t>
            </w:r>
          </w:p>
        </w:tc>
        <w:tc>
          <w:tcPr>
            <w:tcW w:w="1451" w:type="dxa"/>
            <w:vAlign w:val="center"/>
          </w:tcPr>
          <w:p w14:paraId="7BE2905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75FAC23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157A0C9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Y≥20000</w:t>
            </w:r>
          </w:p>
        </w:tc>
        <w:tc>
          <w:tcPr>
            <w:tcW w:w="1803" w:type="dxa"/>
            <w:vAlign w:val="center"/>
          </w:tcPr>
          <w:p w14:paraId="2B5BF515">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500≤Y＜20000</w:t>
            </w:r>
          </w:p>
        </w:tc>
        <w:tc>
          <w:tcPr>
            <w:tcW w:w="1511" w:type="dxa"/>
            <w:vAlign w:val="center"/>
          </w:tcPr>
          <w:p w14:paraId="2C5BAD9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50≤Y＜500</w:t>
            </w:r>
          </w:p>
        </w:tc>
        <w:tc>
          <w:tcPr>
            <w:tcW w:w="1049" w:type="dxa"/>
            <w:vAlign w:val="center"/>
          </w:tcPr>
          <w:p w14:paraId="26FDA18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Y＜50</w:t>
            </w:r>
          </w:p>
        </w:tc>
      </w:tr>
      <w:tr w14:paraId="124D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611182A">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工业 *</w:t>
            </w:r>
          </w:p>
        </w:tc>
        <w:tc>
          <w:tcPr>
            <w:tcW w:w="1451" w:type="dxa"/>
            <w:vAlign w:val="center"/>
          </w:tcPr>
          <w:p w14:paraId="56F1C32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70D7EE0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635ABD7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X≥1000</w:t>
            </w:r>
          </w:p>
        </w:tc>
        <w:tc>
          <w:tcPr>
            <w:tcW w:w="1803" w:type="dxa"/>
            <w:vAlign w:val="center"/>
          </w:tcPr>
          <w:p w14:paraId="4DAE68F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300≤X＜1000</w:t>
            </w:r>
          </w:p>
        </w:tc>
        <w:tc>
          <w:tcPr>
            <w:tcW w:w="1511" w:type="dxa"/>
            <w:vAlign w:val="center"/>
          </w:tcPr>
          <w:p w14:paraId="7B7584E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20≤X＜300</w:t>
            </w:r>
          </w:p>
        </w:tc>
        <w:tc>
          <w:tcPr>
            <w:tcW w:w="1049" w:type="dxa"/>
            <w:vAlign w:val="center"/>
          </w:tcPr>
          <w:p w14:paraId="6ABAB4F5">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w:t>
            </w:r>
          </w:p>
        </w:tc>
      </w:tr>
      <w:tr w14:paraId="7E2D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54CF1FD3">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6AB4C93F">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072AAEFE">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2AEB3E2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Y≥40000</w:t>
            </w:r>
          </w:p>
        </w:tc>
        <w:tc>
          <w:tcPr>
            <w:tcW w:w="1803" w:type="dxa"/>
            <w:vAlign w:val="center"/>
          </w:tcPr>
          <w:p w14:paraId="02C186D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2000≤Y＜40000</w:t>
            </w:r>
          </w:p>
        </w:tc>
        <w:tc>
          <w:tcPr>
            <w:tcW w:w="1511" w:type="dxa"/>
            <w:vAlign w:val="center"/>
          </w:tcPr>
          <w:p w14:paraId="04E82AA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300≤Y＜2000</w:t>
            </w:r>
          </w:p>
        </w:tc>
        <w:tc>
          <w:tcPr>
            <w:tcW w:w="1049" w:type="dxa"/>
            <w:vAlign w:val="center"/>
          </w:tcPr>
          <w:p w14:paraId="411921C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w:t>
            </w:r>
          </w:p>
        </w:tc>
      </w:tr>
      <w:tr w14:paraId="041F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2462BFC">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建筑业</w:t>
            </w:r>
          </w:p>
        </w:tc>
        <w:tc>
          <w:tcPr>
            <w:tcW w:w="1451" w:type="dxa"/>
            <w:vAlign w:val="center"/>
          </w:tcPr>
          <w:p w14:paraId="4D4B0C7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452EF14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606CA0A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Y≥80000</w:t>
            </w:r>
          </w:p>
        </w:tc>
        <w:tc>
          <w:tcPr>
            <w:tcW w:w="1803" w:type="dxa"/>
            <w:vAlign w:val="center"/>
          </w:tcPr>
          <w:p w14:paraId="75AA97E8">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6000≤Y＜80000</w:t>
            </w:r>
          </w:p>
        </w:tc>
        <w:tc>
          <w:tcPr>
            <w:tcW w:w="1511" w:type="dxa"/>
            <w:vAlign w:val="center"/>
          </w:tcPr>
          <w:p w14:paraId="06663CC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300≤Y＜6000</w:t>
            </w:r>
          </w:p>
        </w:tc>
        <w:tc>
          <w:tcPr>
            <w:tcW w:w="1049" w:type="dxa"/>
            <w:vAlign w:val="center"/>
          </w:tcPr>
          <w:p w14:paraId="29226B2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w:t>
            </w:r>
          </w:p>
        </w:tc>
      </w:tr>
      <w:tr w14:paraId="2461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8DF48CD">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3EBBFA3B">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资产总额(Z)</w:t>
            </w:r>
          </w:p>
        </w:tc>
        <w:tc>
          <w:tcPr>
            <w:tcW w:w="750" w:type="dxa"/>
            <w:vAlign w:val="center"/>
          </w:tcPr>
          <w:p w14:paraId="6D5559C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09DCF6A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Z≥80000</w:t>
            </w:r>
          </w:p>
        </w:tc>
        <w:tc>
          <w:tcPr>
            <w:tcW w:w="1803" w:type="dxa"/>
            <w:vAlign w:val="center"/>
          </w:tcPr>
          <w:p w14:paraId="3740549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5000≤Z＜80000</w:t>
            </w:r>
          </w:p>
        </w:tc>
        <w:tc>
          <w:tcPr>
            <w:tcW w:w="1511" w:type="dxa"/>
            <w:vAlign w:val="center"/>
          </w:tcPr>
          <w:p w14:paraId="2E8DDCB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300≤Z＜5000</w:t>
            </w:r>
          </w:p>
        </w:tc>
        <w:tc>
          <w:tcPr>
            <w:tcW w:w="1049" w:type="dxa"/>
            <w:vAlign w:val="center"/>
          </w:tcPr>
          <w:p w14:paraId="1419C40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Z＜300</w:t>
            </w:r>
          </w:p>
        </w:tc>
      </w:tr>
      <w:tr w14:paraId="4FE2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AE95C6E">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批发业</w:t>
            </w:r>
          </w:p>
        </w:tc>
        <w:tc>
          <w:tcPr>
            <w:tcW w:w="1451" w:type="dxa"/>
            <w:vAlign w:val="center"/>
          </w:tcPr>
          <w:p w14:paraId="2A5B593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73B71B2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1020C50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X≥200</w:t>
            </w:r>
          </w:p>
        </w:tc>
        <w:tc>
          <w:tcPr>
            <w:tcW w:w="1803" w:type="dxa"/>
            <w:vAlign w:val="center"/>
          </w:tcPr>
          <w:p w14:paraId="01908F4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20≤X＜200</w:t>
            </w:r>
          </w:p>
        </w:tc>
        <w:tc>
          <w:tcPr>
            <w:tcW w:w="1511" w:type="dxa"/>
            <w:vAlign w:val="center"/>
          </w:tcPr>
          <w:p w14:paraId="01B5BE2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5≤X＜20</w:t>
            </w:r>
          </w:p>
        </w:tc>
        <w:tc>
          <w:tcPr>
            <w:tcW w:w="1049" w:type="dxa"/>
            <w:vAlign w:val="center"/>
          </w:tcPr>
          <w:p w14:paraId="0B52B8B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X＜5</w:t>
            </w:r>
          </w:p>
        </w:tc>
      </w:tr>
      <w:tr w14:paraId="7B71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CBC99A5">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59E86057">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1917D9A8">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0BF3E9A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Y≥40000</w:t>
            </w:r>
          </w:p>
        </w:tc>
        <w:tc>
          <w:tcPr>
            <w:tcW w:w="1803" w:type="dxa"/>
            <w:vAlign w:val="center"/>
          </w:tcPr>
          <w:p w14:paraId="45EDC95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5000≤Y＜40000</w:t>
            </w:r>
          </w:p>
        </w:tc>
        <w:tc>
          <w:tcPr>
            <w:tcW w:w="1511" w:type="dxa"/>
            <w:vAlign w:val="center"/>
          </w:tcPr>
          <w:p w14:paraId="7C7F227D">
            <w:pPr>
              <w:widowControl/>
              <w:ind w:left="-1" w:leftChars="-1" w:hanging="1"/>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1000≤Y＜5000</w:t>
            </w:r>
          </w:p>
        </w:tc>
        <w:tc>
          <w:tcPr>
            <w:tcW w:w="1049" w:type="dxa"/>
            <w:vAlign w:val="center"/>
          </w:tcPr>
          <w:p w14:paraId="34674E3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w:t>
            </w:r>
          </w:p>
        </w:tc>
      </w:tr>
      <w:tr w14:paraId="5A59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206AA76">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零售业</w:t>
            </w:r>
          </w:p>
        </w:tc>
        <w:tc>
          <w:tcPr>
            <w:tcW w:w="1451" w:type="dxa"/>
            <w:vAlign w:val="center"/>
          </w:tcPr>
          <w:p w14:paraId="6EBBF7E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5B97EA3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587ADA5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803" w:type="dxa"/>
            <w:vAlign w:val="center"/>
          </w:tcPr>
          <w:p w14:paraId="7348C0E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50≤X＜300</w:t>
            </w:r>
          </w:p>
        </w:tc>
        <w:tc>
          <w:tcPr>
            <w:tcW w:w="1511" w:type="dxa"/>
            <w:vAlign w:val="center"/>
          </w:tcPr>
          <w:p w14:paraId="66E66811">
            <w:pPr>
              <w:widowControl/>
              <w:ind w:left="-1" w:leftChars="-1" w:hanging="1"/>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10≤X＜50 </w:t>
            </w:r>
          </w:p>
        </w:tc>
        <w:tc>
          <w:tcPr>
            <w:tcW w:w="1049" w:type="dxa"/>
            <w:vAlign w:val="center"/>
          </w:tcPr>
          <w:p w14:paraId="7FAEC2EE">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14:paraId="2FFD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AF5879E">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775761DC">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5E58DF2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245011C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Y≥20000</w:t>
            </w:r>
          </w:p>
        </w:tc>
        <w:tc>
          <w:tcPr>
            <w:tcW w:w="1803" w:type="dxa"/>
            <w:vAlign w:val="center"/>
          </w:tcPr>
          <w:p w14:paraId="431C5A9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500≤Y＜20000</w:t>
            </w:r>
          </w:p>
        </w:tc>
        <w:tc>
          <w:tcPr>
            <w:tcW w:w="1511" w:type="dxa"/>
            <w:vAlign w:val="center"/>
          </w:tcPr>
          <w:p w14:paraId="130B8941">
            <w:pPr>
              <w:widowControl/>
              <w:ind w:left="-1" w:leftChars="-1" w:hanging="1"/>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100≤Y＜500</w:t>
            </w:r>
          </w:p>
        </w:tc>
        <w:tc>
          <w:tcPr>
            <w:tcW w:w="1049" w:type="dxa"/>
            <w:vAlign w:val="center"/>
          </w:tcPr>
          <w:p w14:paraId="2386E8C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14:paraId="293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2065F80">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交通运输业 *</w:t>
            </w:r>
          </w:p>
        </w:tc>
        <w:tc>
          <w:tcPr>
            <w:tcW w:w="1451" w:type="dxa"/>
            <w:vAlign w:val="center"/>
          </w:tcPr>
          <w:p w14:paraId="6FAA65C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6A871D1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2BE7514E">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X≥1000</w:t>
            </w:r>
          </w:p>
        </w:tc>
        <w:tc>
          <w:tcPr>
            <w:tcW w:w="1803" w:type="dxa"/>
            <w:vAlign w:val="center"/>
          </w:tcPr>
          <w:p w14:paraId="319A265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300≤X＜1000</w:t>
            </w:r>
          </w:p>
        </w:tc>
        <w:tc>
          <w:tcPr>
            <w:tcW w:w="1511" w:type="dxa"/>
            <w:vAlign w:val="center"/>
          </w:tcPr>
          <w:p w14:paraId="7F5CBE4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20≤X＜300</w:t>
            </w:r>
          </w:p>
        </w:tc>
        <w:tc>
          <w:tcPr>
            <w:tcW w:w="1049" w:type="dxa"/>
            <w:vAlign w:val="center"/>
          </w:tcPr>
          <w:p w14:paraId="2D12222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w:t>
            </w:r>
          </w:p>
        </w:tc>
      </w:tr>
      <w:tr w14:paraId="4D55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8514A9D">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4946E35A">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1292081E">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3226656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Y≥30000</w:t>
            </w:r>
          </w:p>
        </w:tc>
        <w:tc>
          <w:tcPr>
            <w:tcW w:w="1803" w:type="dxa"/>
            <w:vAlign w:val="center"/>
          </w:tcPr>
          <w:p w14:paraId="3AA7216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3000≤Y＜30000</w:t>
            </w:r>
          </w:p>
        </w:tc>
        <w:tc>
          <w:tcPr>
            <w:tcW w:w="1511" w:type="dxa"/>
            <w:vAlign w:val="center"/>
          </w:tcPr>
          <w:p w14:paraId="5041046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200≤Y＜3000</w:t>
            </w:r>
          </w:p>
        </w:tc>
        <w:tc>
          <w:tcPr>
            <w:tcW w:w="1049" w:type="dxa"/>
            <w:vAlign w:val="center"/>
          </w:tcPr>
          <w:p w14:paraId="5EF4F69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Y＜200</w:t>
            </w:r>
          </w:p>
        </w:tc>
      </w:tr>
      <w:tr w14:paraId="3FC4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690CFD3">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仓储业*</w:t>
            </w:r>
          </w:p>
        </w:tc>
        <w:tc>
          <w:tcPr>
            <w:tcW w:w="1451" w:type="dxa"/>
            <w:vAlign w:val="center"/>
          </w:tcPr>
          <w:p w14:paraId="688EAA5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6BC6A8C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5E7CE4A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X≥200</w:t>
            </w:r>
          </w:p>
        </w:tc>
        <w:tc>
          <w:tcPr>
            <w:tcW w:w="1803" w:type="dxa"/>
            <w:vAlign w:val="center"/>
          </w:tcPr>
          <w:p w14:paraId="2DCCB515">
            <w:pPr>
              <w:widowControl/>
              <w:ind w:left="1" w:leftChars="-51" w:hanging="108" w:hangingChars="6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100≤X＜200</w:t>
            </w:r>
          </w:p>
        </w:tc>
        <w:tc>
          <w:tcPr>
            <w:tcW w:w="1511" w:type="dxa"/>
            <w:vAlign w:val="center"/>
          </w:tcPr>
          <w:p w14:paraId="13B1767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20≤X＜100</w:t>
            </w:r>
          </w:p>
        </w:tc>
        <w:tc>
          <w:tcPr>
            <w:tcW w:w="1049" w:type="dxa"/>
            <w:vAlign w:val="center"/>
          </w:tcPr>
          <w:p w14:paraId="41DF5A7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w:t>
            </w:r>
          </w:p>
        </w:tc>
      </w:tr>
      <w:tr w14:paraId="737B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5AB32DED">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53CDC64C">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1BEF0B7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0972307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Y≥30000</w:t>
            </w:r>
          </w:p>
        </w:tc>
        <w:tc>
          <w:tcPr>
            <w:tcW w:w="1803" w:type="dxa"/>
            <w:vAlign w:val="center"/>
          </w:tcPr>
          <w:p w14:paraId="47BC861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1000≤Y＜30000</w:t>
            </w:r>
          </w:p>
        </w:tc>
        <w:tc>
          <w:tcPr>
            <w:tcW w:w="1511" w:type="dxa"/>
            <w:vAlign w:val="center"/>
          </w:tcPr>
          <w:p w14:paraId="6653346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100≤Y＜1000</w:t>
            </w:r>
          </w:p>
        </w:tc>
        <w:tc>
          <w:tcPr>
            <w:tcW w:w="1049" w:type="dxa"/>
            <w:vAlign w:val="center"/>
          </w:tcPr>
          <w:p w14:paraId="177025C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14:paraId="6EB7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AEEAE0A">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邮政业</w:t>
            </w:r>
          </w:p>
        </w:tc>
        <w:tc>
          <w:tcPr>
            <w:tcW w:w="1451" w:type="dxa"/>
            <w:vAlign w:val="center"/>
          </w:tcPr>
          <w:p w14:paraId="66B036E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680CBA2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4E8D247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X≥1000</w:t>
            </w:r>
          </w:p>
        </w:tc>
        <w:tc>
          <w:tcPr>
            <w:tcW w:w="1803" w:type="dxa"/>
            <w:vAlign w:val="center"/>
          </w:tcPr>
          <w:p w14:paraId="11FB41CE">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300≤X＜1000</w:t>
            </w:r>
          </w:p>
        </w:tc>
        <w:tc>
          <w:tcPr>
            <w:tcW w:w="1511" w:type="dxa"/>
            <w:vAlign w:val="center"/>
          </w:tcPr>
          <w:p w14:paraId="7BDE0F1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20≤X＜300</w:t>
            </w:r>
          </w:p>
        </w:tc>
        <w:tc>
          <w:tcPr>
            <w:tcW w:w="1049" w:type="dxa"/>
            <w:vAlign w:val="center"/>
          </w:tcPr>
          <w:p w14:paraId="38B52B4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w:t>
            </w:r>
          </w:p>
        </w:tc>
      </w:tr>
      <w:tr w14:paraId="3D9B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F5C3CC9">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3AE908CC">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2AC1AFB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34D3F60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Y≥30000</w:t>
            </w:r>
          </w:p>
        </w:tc>
        <w:tc>
          <w:tcPr>
            <w:tcW w:w="1803" w:type="dxa"/>
            <w:vAlign w:val="center"/>
          </w:tcPr>
          <w:p w14:paraId="44175AD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2000≤Y＜30000</w:t>
            </w:r>
          </w:p>
        </w:tc>
        <w:tc>
          <w:tcPr>
            <w:tcW w:w="1511" w:type="dxa"/>
            <w:vAlign w:val="center"/>
          </w:tcPr>
          <w:p w14:paraId="672AE5D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100≤Y＜2000</w:t>
            </w:r>
          </w:p>
        </w:tc>
        <w:tc>
          <w:tcPr>
            <w:tcW w:w="1049" w:type="dxa"/>
            <w:vAlign w:val="center"/>
          </w:tcPr>
          <w:p w14:paraId="4F6F517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14:paraId="2ACA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974AC3A">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住宿业</w:t>
            </w:r>
          </w:p>
        </w:tc>
        <w:tc>
          <w:tcPr>
            <w:tcW w:w="1451" w:type="dxa"/>
            <w:vAlign w:val="center"/>
          </w:tcPr>
          <w:p w14:paraId="5F2E3E9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4B6C90A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5FB2E99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803" w:type="dxa"/>
            <w:vAlign w:val="center"/>
          </w:tcPr>
          <w:p w14:paraId="562D5661">
            <w:pPr>
              <w:widowControl/>
              <w:ind w:left="1" w:leftChars="-51" w:hanging="108" w:hangingChars="6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100≤X＜300</w:t>
            </w:r>
          </w:p>
        </w:tc>
        <w:tc>
          <w:tcPr>
            <w:tcW w:w="1511" w:type="dxa"/>
            <w:vAlign w:val="center"/>
          </w:tcPr>
          <w:p w14:paraId="5D6A13B5">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1049" w:type="dxa"/>
            <w:vAlign w:val="center"/>
          </w:tcPr>
          <w:p w14:paraId="6DC2BF0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14:paraId="1E0B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EB041F8">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490F393D">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573F185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3A1B654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Y≥10000</w:t>
            </w:r>
          </w:p>
        </w:tc>
        <w:tc>
          <w:tcPr>
            <w:tcW w:w="1803" w:type="dxa"/>
            <w:vAlign w:val="center"/>
          </w:tcPr>
          <w:p w14:paraId="3C99B6B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2000≤Y＜10000</w:t>
            </w:r>
          </w:p>
        </w:tc>
        <w:tc>
          <w:tcPr>
            <w:tcW w:w="1511" w:type="dxa"/>
            <w:vAlign w:val="center"/>
          </w:tcPr>
          <w:p w14:paraId="03D5096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100≤Y＜2000</w:t>
            </w:r>
          </w:p>
        </w:tc>
        <w:tc>
          <w:tcPr>
            <w:tcW w:w="1049" w:type="dxa"/>
            <w:vAlign w:val="center"/>
          </w:tcPr>
          <w:p w14:paraId="38B11C2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14:paraId="3D56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908E16B">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餐饮业</w:t>
            </w:r>
          </w:p>
        </w:tc>
        <w:tc>
          <w:tcPr>
            <w:tcW w:w="1451" w:type="dxa"/>
            <w:vAlign w:val="center"/>
          </w:tcPr>
          <w:p w14:paraId="54C1E63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1980906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7860F1F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803" w:type="dxa"/>
            <w:vAlign w:val="center"/>
          </w:tcPr>
          <w:p w14:paraId="5FB84CD4">
            <w:pPr>
              <w:widowControl/>
              <w:ind w:left="1" w:leftChars="-51" w:hanging="108" w:hangingChars="6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100≤X＜300 </w:t>
            </w:r>
          </w:p>
        </w:tc>
        <w:tc>
          <w:tcPr>
            <w:tcW w:w="1511" w:type="dxa"/>
            <w:vAlign w:val="center"/>
          </w:tcPr>
          <w:p w14:paraId="7B2A9D3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1049" w:type="dxa"/>
            <w:vAlign w:val="center"/>
          </w:tcPr>
          <w:p w14:paraId="0B758DD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14:paraId="4B32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01A80E2">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6A2BF347">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6B61CE4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1C469DF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Y≥10000</w:t>
            </w:r>
          </w:p>
        </w:tc>
        <w:tc>
          <w:tcPr>
            <w:tcW w:w="1803" w:type="dxa"/>
            <w:vAlign w:val="center"/>
          </w:tcPr>
          <w:p w14:paraId="05EE606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2000≤Y＜10000</w:t>
            </w:r>
          </w:p>
        </w:tc>
        <w:tc>
          <w:tcPr>
            <w:tcW w:w="1511" w:type="dxa"/>
            <w:vAlign w:val="center"/>
          </w:tcPr>
          <w:p w14:paraId="75A30E7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100≤Y＜2000</w:t>
            </w:r>
          </w:p>
        </w:tc>
        <w:tc>
          <w:tcPr>
            <w:tcW w:w="1049" w:type="dxa"/>
            <w:vAlign w:val="center"/>
          </w:tcPr>
          <w:p w14:paraId="4D757BC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14:paraId="0EA0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92A24D8">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信息传输业 *</w:t>
            </w:r>
          </w:p>
        </w:tc>
        <w:tc>
          <w:tcPr>
            <w:tcW w:w="1451" w:type="dxa"/>
            <w:vAlign w:val="center"/>
          </w:tcPr>
          <w:p w14:paraId="66C3CBE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718BB08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6BC108A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X≥2000</w:t>
            </w:r>
          </w:p>
        </w:tc>
        <w:tc>
          <w:tcPr>
            <w:tcW w:w="1803" w:type="dxa"/>
            <w:vAlign w:val="center"/>
          </w:tcPr>
          <w:p w14:paraId="74F5B23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100≤X＜2000</w:t>
            </w:r>
          </w:p>
        </w:tc>
        <w:tc>
          <w:tcPr>
            <w:tcW w:w="1511" w:type="dxa"/>
            <w:vAlign w:val="center"/>
          </w:tcPr>
          <w:p w14:paraId="36C0456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1049" w:type="dxa"/>
            <w:vAlign w:val="center"/>
          </w:tcPr>
          <w:p w14:paraId="30EFECC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14:paraId="14C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A1D266F">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45BDFD21">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46D62AD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1744E1C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Y≥100000</w:t>
            </w:r>
          </w:p>
        </w:tc>
        <w:tc>
          <w:tcPr>
            <w:tcW w:w="1803" w:type="dxa"/>
            <w:vAlign w:val="center"/>
          </w:tcPr>
          <w:p w14:paraId="7064226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1000≤Y＜100000</w:t>
            </w:r>
          </w:p>
        </w:tc>
        <w:tc>
          <w:tcPr>
            <w:tcW w:w="1511" w:type="dxa"/>
            <w:vAlign w:val="center"/>
          </w:tcPr>
          <w:p w14:paraId="25CCC9C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100≤Y＜1000</w:t>
            </w:r>
          </w:p>
        </w:tc>
        <w:tc>
          <w:tcPr>
            <w:tcW w:w="1049" w:type="dxa"/>
            <w:vAlign w:val="center"/>
          </w:tcPr>
          <w:p w14:paraId="48D9038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14:paraId="4E9A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0EDB77BE">
            <w:pPr>
              <w:widowControl/>
              <w:spacing w:line="240" w:lineRule="exact"/>
              <w:jc w:val="left"/>
              <w:rPr>
                <w:rFonts w:ascii="宋体" w:hAnsi="宋体" w:eastAsia="宋体" w:cs="宋体"/>
                <w:color w:val="000000" w:themeColor="text1"/>
                <w:spacing w:val="-12"/>
                <w:kern w:val="0"/>
                <w:sz w:val="18"/>
                <w:szCs w:val="18"/>
                <w14:textFill>
                  <w14:solidFill>
                    <w14:schemeClr w14:val="tx1"/>
                  </w14:solidFill>
                </w14:textFill>
              </w:rPr>
            </w:pPr>
            <w:r>
              <w:rPr>
                <w:rFonts w:hint="eastAsia" w:ascii="宋体" w:hAnsi="宋体" w:eastAsia="宋体" w:cs="宋体"/>
                <w:color w:val="000000" w:themeColor="text1"/>
                <w:spacing w:val="-12"/>
                <w:kern w:val="0"/>
                <w:sz w:val="18"/>
                <w:szCs w:val="18"/>
                <w14:textFill>
                  <w14:solidFill>
                    <w14:schemeClr w14:val="tx1"/>
                  </w14:solidFill>
                </w14:textFill>
              </w:rPr>
              <w:t>软件和信息技术服</w:t>
            </w:r>
            <w:r>
              <w:rPr>
                <w:rFonts w:hint="eastAsia" w:ascii="宋体" w:hAnsi="宋体" w:eastAsia="宋体" w:cs="宋体"/>
                <w:color w:val="000000" w:themeColor="text1"/>
                <w:kern w:val="0"/>
                <w:sz w:val="18"/>
                <w:szCs w:val="18"/>
                <w14:textFill>
                  <w14:solidFill>
                    <w14:schemeClr w14:val="tx1"/>
                  </w14:solidFill>
                </w14:textFill>
              </w:rPr>
              <w:t>务业</w:t>
            </w:r>
          </w:p>
        </w:tc>
        <w:tc>
          <w:tcPr>
            <w:tcW w:w="1451" w:type="dxa"/>
            <w:vAlign w:val="center"/>
          </w:tcPr>
          <w:p w14:paraId="5364A098">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400BF92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3C85181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803" w:type="dxa"/>
            <w:vAlign w:val="center"/>
          </w:tcPr>
          <w:p w14:paraId="76604064">
            <w:pPr>
              <w:widowControl/>
              <w:ind w:left="1" w:leftChars="-51" w:hanging="108" w:hangingChars="6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100≤X＜300 </w:t>
            </w:r>
          </w:p>
        </w:tc>
        <w:tc>
          <w:tcPr>
            <w:tcW w:w="1511" w:type="dxa"/>
            <w:vAlign w:val="center"/>
          </w:tcPr>
          <w:p w14:paraId="517D5F4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1049" w:type="dxa"/>
            <w:vAlign w:val="center"/>
          </w:tcPr>
          <w:p w14:paraId="09CB902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14:paraId="7C14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73974255">
            <w:pPr>
              <w:widowControl/>
              <w:jc w:val="left"/>
              <w:rPr>
                <w:rFonts w:ascii="宋体" w:hAnsi="宋体" w:eastAsia="宋体" w:cs="宋体"/>
                <w:color w:val="000000" w:themeColor="text1"/>
                <w:spacing w:val="-12"/>
                <w:kern w:val="0"/>
                <w:sz w:val="18"/>
                <w:szCs w:val="18"/>
                <w14:textFill>
                  <w14:solidFill>
                    <w14:schemeClr w14:val="tx1"/>
                  </w14:solidFill>
                </w14:textFill>
              </w:rPr>
            </w:pPr>
          </w:p>
        </w:tc>
        <w:tc>
          <w:tcPr>
            <w:tcW w:w="1451" w:type="dxa"/>
            <w:vAlign w:val="center"/>
          </w:tcPr>
          <w:p w14:paraId="3534F6A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65E06315">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0378354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Y≥10000</w:t>
            </w:r>
          </w:p>
        </w:tc>
        <w:tc>
          <w:tcPr>
            <w:tcW w:w="1803" w:type="dxa"/>
            <w:vAlign w:val="center"/>
          </w:tcPr>
          <w:p w14:paraId="166B274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1000≤Y＜10000</w:t>
            </w:r>
          </w:p>
        </w:tc>
        <w:tc>
          <w:tcPr>
            <w:tcW w:w="1511" w:type="dxa"/>
            <w:vAlign w:val="center"/>
          </w:tcPr>
          <w:p w14:paraId="79A50C0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50≤Y＜1000</w:t>
            </w:r>
          </w:p>
        </w:tc>
        <w:tc>
          <w:tcPr>
            <w:tcW w:w="1049" w:type="dxa"/>
            <w:vAlign w:val="center"/>
          </w:tcPr>
          <w:p w14:paraId="1A613C8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Y＜50</w:t>
            </w:r>
          </w:p>
        </w:tc>
      </w:tr>
      <w:tr w14:paraId="7628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1DD938C3">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房地产开发经营</w:t>
            </w:r>
          </w:p>
        </w:tc>
        <w:tc>
          <w:tcPr>
            <w:tcW w:w="1451" w:type="dxa"/>
            <w:vAlign w:val="center"/>
          </w:tcPr>
          <w:p w14:paraId="08859B7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3BC8179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5AD80D2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Y≥200000</w:t>
            </w:r>
          </w:p>
        </w:tc>
        <w:tc>
          <w:tcPr>
            <w:tcW w:w="1803" w:type="dxa"/>
            <w:vAlign w:val="center"/>
          </w:tcPr>
          <w:p w14:paraId="10EC446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1000≤Y＜200000</w:t>
            </w:r>
          </w:p>
        </w:tc>
        <w:tc>
          <w:tcPr>
            <w:tcW w:w="1511" w:type="dxa"/>
            <w:vAlign w:val="center"/>
          </w:tcPr>
          <w:p w14:paraId="04B77B85">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100≤Y＜1000</w:t>
            </w:r>
          </w:p>
        </w:tc>
        <w:tc>
          <w:tcPr>
            <w:tcW w:w="1049" w:type="dxa"/>
            <w:vAlign w:val="center"/>
          </w:tcPr>
          <w:p w14:paraId="5BB5731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Y＜100</w:t>
            </w:r>
          </w:p>
        </w:tc>
      </w:tr>
      <w:tr w14:paraId="3DE4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5C9244C2">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4F79C25A">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资产总额(Z)</w:t>
            </w:r>
          </w:p>
        </w:tc>
        <w:tc>
          <w:tcPr>
            <w:tcW w:w="750" w:type="dxa"/>
            <w:vAlign w:val="center"/>
          </w:tcPr>
          <w:p w14:paraId="317DFC7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66831B7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Z≥10000</w:t>
            </w:r>
          </w:p>
        </w:tc>
        <w:tc>
          <w:tcPr>
            <w:tcW w:w="1803" w:type="dxa"/>
            <w:vAlign w:val="center"/>
          </w:tcPr>
          <w:p w14:paraId="0D22543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5000≤Z＜10000</w:t>
            </w:r>
          </w:p>
        </w:tc>
        <w:tc>
          <w:tcPr>
            <w:tcW w:w="1511" w:type="dxa"/>
            <w:vAlign w:val="center"/>
          </w:tcPr>
          <w:p w14:paraId="1AA60608">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2000≤Z＜5000</w:t>
            </w:r>
          </w:p>
        </w:tc>
        <w:tc>
          <w:tcPr>
            <w:tcW w:w="1049" w:type="dxa"/>
            <w:vAlign w:val="center"/>
          </w:tcPr>
          <w:p w14:paraId="3182D1C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Z＜2000</w:t>
            </w:r>
          </w:p>
        </w:tc>
      </w:tr>
      <w:tr w14:paraId="5CC6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4CAFC5EA">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物业管理</w:t>
            </w:r>
          </w:p>
        </w:tc>
        <w:tc>
          <w:tcPr>
            <w:tcW w:w="1451" w:type="dxa"/>
            <w:vAlign w:val="center"/>
          </w:tcPr>
          <w:p w14:paraId="51D62958">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203D267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1D2C2BD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X≥1000</w:t>
            </w:r>
          </w:p>
        </w:tc>
        <w:tc>
          <w:tcPr>
            <w:tcW w:w="1803" w:type="dxa"/>
            <w:vAlign w:val="center"/>
          </w:tcPr>
          <w:p w14:paraId="40E54D11">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300≤X＜1000</w:t>
            </w:r>
          </w:p>
        </w:tc>
        <w:tc>
          <w:tcPr>
            <w:tcW w:w="1511" w:type="dxa"/>
            <w:vAlign w:val="center"/>
          </w:tcPr>
          <w:p w14:paraId="258BD20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100≤X＜300</w:t>
            </w:r>
          </w:p>
        </w:tc>
        <w:tc>
          <w:tcPr>
            <w:tcW w:w="1049" w:type="dxa"/>
            <w:vAlign w:val="center"/>
          </w:tcPr>
          <w:p w14:paraId="411E7BD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X＜100</w:t>
            </w:r>
          </w:p>
        </w:tc>
      </w:tr>
      <w:tr w14:paraId="0481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60318B3E">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022D9271">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营业收入(Y)</w:t>
            </w:r>
          </w:p>
        </w:tc>
        <w:tc>
          <w:tcPr>
            <w:tcW w:w="750" w:type="dxa"/>
            <w:vAlign w:val="center"/>
          </w:tcPr>
          <w:p w14:paraId="5DA7656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2F67146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Y≥5000</w:t>
            </w:r>
          </w:p>
        </w:tc>
        <w:tc>
          <w:tcPr>
            <w:tcW w:w="1803" w:type="dxa"/>
            <w:vAlign w:val="center"/>
          </w:tcPr>
          <w:p w14:paraId="43896691">
            <w:pPr>
              <w:widowControl/>
              <w:ind w:left="1" w:leftChars="-51" w:hanging="108" w:hangingChars="6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1000≤Y＜5000</w:t>
            </w:r>
          </w:p>
        </w:tc>
        <w:tc>
          <w:tcPr>
            <w:tcW w:w="1511" w:type="dxa"/>
            <w:vAlign w:val="center"/>
          </w:tcPr>
          <w:p w14:paraId="79E40378">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500≤Y＜1000</w:t>
            </w:r>
          </w:p>
        </w:tc>
        <w:tc>
          <w:tcPr>
            <w:tcW w:w="1049" w:type="dxa"/>
            <w:vAlign w:val="center"/>
          </w:tcPr>
          <w:p w14:paraId="0508776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Y＜500</w:t>
            </w:r>
          </w:p>
        </w:tc>
      </w:tr>
      <w:tr w14:paraId="3EB6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7196E13">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租赁和商务服务业</w:t>
            </w:r>
          </w:p>
        </w:tc>
        <w:tc>
          <w:tcPr>
            <w:tcW w:w="1451" w:type="dxa"/>
            <w:vAlign w:val="center"/>
          </w:tcPr>
          <w:p w14:paraId="77E8389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342D368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5553D88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803" w:type="dxa"/>
            <w:vAlign w:val="center"/>
          </w:tcPr>
          <w:p w14:paraId="1EA5A568">
            <w:pPr>
              <w:widowControl/>
              <w:ind w:left="1" w:leftChars="-51" w:hanging="108" w:hangingChars="6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100≤X＜300</w:t>
            </w:r>
          </w:p>
        </w:tc>
        <w:tc>
          <w:tcPr>
            <w:tcW w:w="1511" w:type="dxa"/>
            <w:vAlign w:val="center"/>
          </w:tcPr>
          <w:p w14:paraId="309E277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1049" w:type="dxa"/>
            <w:vAlign w:val="center"/>
          </w:tcPr>
          <w:p w14:paraId="5CE1C5E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r w14:paraId="2F05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265B3B54">
            <w:pPr>
              <w:widowControl/>
              <w:jc w:val="left"/>
              <w:rPr>
                <w:rFonts w:ascii="宋体" w:hAnsi="宋体" w:eastAsia="宋体" w:cs="宋体"/>
                <w:color w:val="000000" w:themeColor="text1"/>
                <w:kern w:val="0"/>
                <w:sz w:val="18"/>
                <w:szCs w:val="18"/>
                <w14:textFill>
                  <w14:solidFill>
                    <w14:schemeClr w14:val="tx1"/>
                  </w14:solidFill>
                </w14:textFill>
              </w:rPr>
            </w:pPr>
          </w:p>
        </w:tc>
        <w:tc>
          <w:tcPr>
            <w:tcW w:w="1451" w:type="dxa"/>
            <w:vAlign w:val="center"/>
          </w:tcPr>
          <w:p w14:paraId="4E817853">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资产总额(Z)</w:t>
            </w:r>
          </w:p>
        </w:tc>
        <w:tc>
          <w:tcPr>
            <w:tcW w:w="750" w:type="dxa"/>
            <w:vAlign w:val="center"/>
          </w:tcPr>
          <w:p w14:paraId="6778AACE">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万元</w:t>
            </w:r>
          </w:p>
        </w:tc>
        <w:tc>
          <w:tcPr>
            <w:tcW w:w="1191" w:type="dxa"/>
            <w:vAlign w:val="center"/>
          </w:tcPr>
          <w:p w14:paraId="3DC64F4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Z≥120000</w:t>
            </w:r>
          </w:p>
        </w:tc>
        <w:tc>
          <w:tcPr>
            <w:tcW w:w="1803" w:type="dxa"/>
            <w:vAlign w:val="center"/>
          </w:tcPr>
          <w:p w14:paraId="48A44BC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8000≤Z＜120000</w:t>
            </w:r>
          </w:p>
        </w:tc>
        <w:tc>
          <w:tcPr>
            <w:tcW w:w="1511" w:type="dxa"/>
            <w:vAlign w:val="center"/>
          </w:tcPr>
          <w:p w14:paraId="2C65075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100≤Z＜8000</w:t>
            </w:r>
          </w:p>
        </w:tc>
        <w:tc>
          <w:tcPr>
            <w:tcW w:w="1049" w:type="dxa"/>
            <w:vAlign w:val="center"/>
          </w:tcPr>
          <w:p w14:paraId="2674EE9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Z＜100</w:t>
            </w:r>
          </w:p>
        </w:tc>
      </w:tr>
      <w:tr w14:paraId="1762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2196EA2D">
            <w:pPr>
              <w:widowControl/>
              <w:spacing w:line="240" w:lineRule="exac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其他未列明行业 *</w:t>
            </w:r>
          </w:p>
        </w:tc>
        <w:tc>
          <w:tcPr>
            <w:tcW w:w="1451" w:type="dxa"/>
            <w:vAlign w:val="center"/>
          </w:tcPr>
          <w:p w14:paraId="10684B9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从业人员(X)</w:t>
            </w:r>
          </w:p>
        </w:tc>
        <w:tc>
          <w:tcPr>
            <w:tcW w:w="750" w:type="dxa"/>
            <w:vAlign w:val="center"/>
          </w:tcPr>
          <w:p w14:paraId="30418C9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人</w:t>
            </w:r>
          </w:p>
        </w:tc>
        <w:tc>
          <w:tcPr>
            <w:tcW w:w="1191" w:type="dxa"/>
            <w:vAlign w:val="center"/>
          </w:tcPr>
          <w:p w14:paraId="1FC4F187">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X≥300</w:t>
            </w:r>
          </w:p>
        </w:tc>
        <w:tc>
          <w:tcPr>
            <w:tcW w:w="1803" w:type="dxa"/>
            <w:vAlign w:val="center"/>
          </w:tcPr>
          <w:p w14:paraId="7ACA8549">
            <w:pPr>
              <w:widowControl/>
              <w:ind w:left="1" w:leftChars="-51" w:hanging="108" w:hangingChars="6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100≤X＜300</w:t>
            </w:r>
          </w:p>
        </w:tc>
        <w:tc>
          <w:tcPr>
            <w:tcW w:w="1511" w:type="dxa"/>
            <w:vAlign w:val="center"/>
          </w:tcPr>
          <w:p w14:paraId="367A12E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10≤X＜100</w:t>
            </w:r>
          </w:p>
        </w:tc>
        <w:tc>
          <w:tcPr>
            <w:tcW w:w="1049" w:type="dxa"/>
            <w:vAlign w:val="center"/>
          </w:tcPr>
          <w:p w14:paraId="2D168B3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X＜10</w:t>
            </w:r>
          </w:p>
        </w:tc>
      </w:tr>
    </w:tbl>
    <w:p w14:paraId="5F8E8499">
      <w:pPr>
        <w:widowControl/>
        <w:spacing w:line="540" w:lineRule="exact"/>
        <w:rPr>
          <w:rFonts w:ascii="宋体" w:hAnsi="宋体" w:eastAsia="宋体" w:cs="宋体"/>
          <w:color w:val="000000" w:themeColor="text1"/>
          <w:spacing w:val="8"/>
          <w:kern w:val="0"/>
          <w:sz w:val="24"/>
          <w:szCs w:val="24"/>
          <w14:textFill>
            <w14:solidFill>
              <w14:schemeClr w14:val="tx1"/>
            </w14:solidFill>
          </w14:textFill>
        </w:rPr>
      </w:pPr>
    </w:p>
    <w:p w14:paraId="22DE2A9A">
      <w:pPr>
        <w:widowControl/>
        <w:spacing w:line="540" w:lineRule="exact"/>
        <w:rPr>
          <w:rFonts w:ascii="宋体" w:hAnsi="宋体"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 w:val="24"/>
          <w:szCs w:val="24"/>
          <w14:textFill>
            <w14:solidFill>
              <w14:schemeClr w14:val="tx1"/>
            </w14:solidFill>
          </w14:textFill>
        </w:rPr>
        <w:t>说明：</w:t>
      </w:r>
    </w:p>
    <w:p w14:paraId="08DEDA31">
      <w:pPr>
        <w:adjustRightInd w:val="0"/>
        <w:spacing w:line="380" w:lineRule="exact"/>
        <w:ind w:firstLine="512" w:firstLineChars="200"/>
        <w:contextualSpacing/>
        <w:rPr>
          <w:rFonts w:ascii="宋体" w:hAnsi="宋体"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 w:val="24"/>
          <w:szCs w:val="24"/>
          <w14:textFill>
            <w14:solidFill>
              <w14:schemeClr w14:val="tx1"/>
            </w14:solidFill>
          </w14:textFill>
        </w:rPr>
        <w:t>1.大型、中型和小型企业须同时满足所列指标的下限，否则下划一档；微型企业只须满足所列指标中的一项即可。</w:t>
      </w:r>
    </w:p>
    <w:p w14:paraId="02AFFCCE">
      <w:pPr>
        <w:adjustRightInd w:val="0"/>
        <w:spacing w:line="380" w:lineRule="exact"/>
        <w:ind w:firstLine="512" w:firstLineChars="200"/>
        <w:contextualSpacing/>
        <w:rPr>
          <w:rFonts w:ascii="宋体" w:hAnsi="宋体" w:eastAsia="宋体" w:cs="宋体"/>
          <w:color w:val="000000" w:themeColor="text1"/>
          <w:spacing w:val="8"/>
          <w:kern w:val="0"/>
          <w:sz w:val="24"/>
          <w:szCs w:val="24"/>
          <w14:textFill>
            <w14:solidFill>
              <w14:schemeClr w14:val="tx1"/>
            </w14:solidFill>
          </w14:textFill>
        </w:rPr>
      </w:pPr>
      <w:r>
        <w:rPr>
          <w:rFonts w:hint="eastAsia" w:ascii="宋体" w:hAnsi="宋体" w:eastAsia="宋体" w:cs="宋体"/>
          <w:color w:val="000000" w:themeColor="text1"/>
          <w:spacing w:val="8"/>
          <w:kern w:val="0"/>
          <w:sz w:val="24"/>
          <w:szCs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2D4D49C">
      <w:pPr>
        <w:adjustRightInd w:val="0"/>
        <w:spacing w:line="380" w:lineRule="exact"/>
        <w:ind w:firstLine="512" w:firstLineChars="200"/>
        <w:contextualSpacing/>
        <w:rPr>
          <w:rFonts w:ascii="宋体" w:hAnsi="宋体" w:eastAsia="宋体" w:cs="宋体"/>
          <w:bCs/>
          <w:color w:val="000000" w:themeColor="text1"/>
          <w:szCs w:val="20"/>
          <w14:textFill>
            <w14:solidFill>
              <w14:schemeClr w14:val="tx1"/>
            </w14:solidFill>
          </w14:textFill>
        </w:rPr>
      </w:pPr>
      <w:r>
        <w:rPr>
          <w:rFonts w:hint="eastAsia" w:ascii="宋体" w:hAnsi="宋体" w:eastAsia="宋体" w:cs="宋体"/>
          <w:color w:val="000000" w:themeColor="text1"/>
          <w:spacing w:val="8"/>
          <w:kern w:val="0"/>
          <w:sz w:val="24"/>
          <w:szCs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BB7D7AB">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0200E0EB">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6931A2FA">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35F657EB">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1</w:t>
      </w:r>
      <w:r>
        <w:rPr>
          <w:rFonts w:hint="eastAsia" w:ascii="宋体" w:hAnsi="宋体" w:eastAsia="宋体" w:cs="Times New Roman"/>
          <w:b/>
          <w:bCs/>
          <w:color w:val="000000" w:themeColor="text1"/>
          <w:sz w:val="28"/>
          <w:szCs w:val="28"/>
          <w:lang w:val="en-US" w:eastAsia="zh-CN"/>
          <w14:textFill>
            <w14:solidFill>
              <w14:schemeClr w14:val="tx1"/>
            </w14:solidFill>
          </w14:textFill>
        </w:rPr>
        <w:t>2</w:t>
      </w:r>
      <w:r>
        <w:rPr>
          <w:rFonts w:hint="eastAsia" w:ascii="宋体" w:hAnsi="宋体" w:eastAsia="宋体" w:cs="Times New Roman"/>
          <w:b/>
          <w:bCs/>
          <w:color w:val="000000" w:themeColor="text1"/>
          <w:sz w:val="28"/>
          <w:szCs w:val="28"/>
          <w14:textFill>
            <w14:solidFill>
              <w14:schemeClr w14:val="tx1"/>
            </w14:solidFill>
          </w14:textFill>
        </w:rPr>
        <w:t>.监狱企业的证明文件【如货物由监狱企业制造，供应商应当提供由省级以上监狱管理局、戒毒管理局（含新疆生产建设兵团）出具的属于监狱企业的证明文件，否则不予享受中小企业政策】（如有，请提供）；</w:t>
      </w:r>
    </w:p>
    <w:p w14:paraId="2C76FD7F">
      <w:pPr>
        <w:spacing w:line="500" w:lineRule="exact"/>
        <w:rPr>
          <w:rFonts w:ascii="宋体" w:hAnsi="宋体" w:eastAsia="宋体" w:cs="Times New Roman"/>
          <w:b/>
          <w:bCs/>
          <w:color w:val="000000" w:themeColor="text1"/>
          <w:sz w:val="28"/>
          <w:szCs w:val="28"/>
          <w14:textFill>
            <w14:solidFill>
              <w14:schemeClr w14:val="tx1"/>
            </w14:solidFill>
          </w14:textFill>
        </w:rPr>
      </w:pPr>
    </w:p>
    <w:p w14:paraId="11D0722A">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12A478D1">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2D8B0EFA">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50ED4CB1">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4B8222D8">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66CAD936">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p>
    <w:p w14:paraId="5AF618BE">
      <w:pPr>
        <w:spacing w:line="500" w:lineRule="exact"/>
        <w:ind w:firstLine="562" w:firstLineChars="200"/>
        <w:rPr>
          <w:rFonts w:hint="eastAsia" w:ascii="宋体" w:hAnsi="宋体" w:eastAsia="宋体" w:cs="Times New Roman"/>
          <w:b/>
          <w:bCs/>
          <w:color w:val="000000" w:themeColor="text1"/>
          <w:sz w:val="28"/>
          <w:szCs w:val="28"/>
          <w14:textFill>
            <w14:solidFill>
              <w14:schemeClr w14:val="tx1"/>
            </w14:solidFill>
          </w14:textFill>
        </w:rPr>
      </w:pPr>
    </w:p>
    <w:p w14:paraId="10D33029">
      <w:pPr>
        <w:spacing w:line="500" w:lineRule="exact"/>
        <w:ind w:firstLine="562" w:firstLineChars="200"/>
        <w:rPr>
          <w:rFonts w:ascii="宋体" w:hAnsi="宋体" w:eastAsia="宋体" w:cs="Times New Roman"/>
          <w:b/>
          <w:bCs/>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1</w:t>
      </w:r>
      <w:r>
        <w:rPr>
          <w:rFonts w:hint="eastAsia" w:ascii="宋体" w:hAnsi="宋体" w:eastAsia="宋体" w:cs="Times New Roman"/>
          <w:b/>
          <w:bCs/>
          <w:color w:val="000000" w:themeColor="text1"/>
          <w:sz w:val="28"/>
          <w:szCs w:val="28"/>
          <w:lang w:val="en-US" w:eastAsia="zh-CN"/>
          <w14:textFill>
            <w14:solidFill>
              <w14:schemeClr w14:val="tx1"/>
            </w14:solidFill>
          </w14:textFill>
        </w:rPr>
        <w:t>3</w:t>
      </w:r>
      <w:r>
        <w:rPr>
          <w:rFonts w:hint="eastAsia" w:ascii="宋体" w:hAnsi="宋体" w:eastAsia="宋体" w:cs="Times New Roman"/>
          <w:b/>
          <w:bCs/>
          <w:color w:val="000000" w:themeColor="text1"/>
          <w:sz w:val="28"/>
          <w:szCs w:val="28"/>
          <w14:textFill>
            <w14:solidFill>
              <w14:schemeClr w14:val="tx1"/>
            </w14:solidFill>
          </w14:textFill>
        </w:rPr>
        <w:t>.《残疾人福利性单位声明函》【符合条件的残疾人福利性单位在参加政府采购活动时，供应商应如实声明并对出具的声明函（格式见附件）真实性负责，否则不予享受中小企业政策】。</w:t>
      </w:r>
    </w:p>
    <w:p w14:paraId="7AF41FFF">
      <w:pPr>
        <w:adjustRightInd w:val="0"/>
        <w:spacing w:line="380" w:lineRule="exact"/>
        <w:ind w:firstLine="420" w:firstLineChars="200"/>
        <w:contextualSpacing/>
        <w:rPr>
          <w:rFonts w:ascii="宋体" w:hAnsi="宋体" w:eastAsia="宋体" w:cs="宋体"/>
          <w:bCs/>
          <w:color w:val="000000" w:themeColor="text1"/>
          <w:szCs w:val="20"/>
          <w14:textFill>
            <w14:solidFill>
              <w14:schemeClr w14:val="tx1"/>
            </w14:solidFill>
          </w14:textFill>
        </w:rPr>
      </w:pPr>
    </w:p>
    <w:p w14:paraId="22EF7A0A">
      <w:pPr>
        <w:spacing w:line="588" w:lineRule="exact"/>
        <w:rPr>
          <w:rFonts w:ascii="宋体" w:hAnsi="宋体" w:eastAsia="宋体" w:cs="Times New Roman"/>
          <w:b/>
          <w:color w:val="000000" w:themeColor="text1"/>
          <w:spacing w:val="6"/>
          <w:sz w:val="28"/>
          <w:szCs w:val="28"/>
          <w14:textFill>
            <w14:solidFill>
              <w14:schemeClr w14:val="tx1"/>
            </w14:solidFill>
          </w14:textFill>
        </w:rPr>
      </w:pPr>
      <w:bookmarkStart w:id="56" w:name="OLE_LINK14"/>
      <w:bookmarkStart w:id="57" w:name="OLE_LINK13"/>
      <w:r>
        <w:rPr>
          <w:rFonts w:hint="eastAsia" w:ascii="宋体" w:hAnsi="宋体" w:eastAsia="宋体" w:cs="Times New Roman"/>
          <w:b/>
          <w:color w:val="000000" w:themeColor="text1"/>
          <w:spacing w:val="6"/>
          <w:sz w:val="28"/>
          <w:szCs w:val="28"/>
          <w14:textFill>
            <w14:solidFill>
              <w14:schemeClr w14:val="tx1"/>
            </w14:solidFill>
          </w14:textFill>
        </w:rPr>
        <w:t>附件：</w:t>
      </w:r>
    </w:p>
    <w:p w14:paraId="48DDF4AA">
      <w:pPr>
        <w:spacing w:line="588" w:lineRule="exact"/>
        <w:jc w:val="center"/>
        <w:rPr>
          <w:rFonts w:ascii="宋体" w:hAnsi="宋体" w:eastAsia="宋体" w:cs="Times New Roman"/>
          <w:b/>
          <w:color w:val="000000" w:themeColor="text1"/>
          <w:spacing w:val="6"/>
          <w:sz w:val="28"/>
          <w:szCs w:val="28"/>
          <w14:textFill>
            <w14:solidFill>
              <w14:schemeClr w14:val="tx1"/>
            </w14:solidFill>
          </w14:textFill>
        </w:rPr>
      </w:pPr>
      <w:r>
        <w:rPr>
          <w:rFonts w:hint="eastAsia" w:ascii="宋体" w:hAnsi="宋体" w:eastAsia="宋体" w:cs="Times New Roman"/>
          <w:b/>
          <w:color w:val="000000" w:themeColor="text1"/>
          <w:spacing w:val="6"/>
          <w:sz w:val="28"/>
          <w:szCs w:val="28"/>
          <w14:textFill>
            <w14:solidFill>
              <w14:schemeClr w14:val="tx1"/>
            </w14:solidFill>
          </w14:textFill>
        </w:rPr>
        <w:t>残疾人福利性单位声明函（格式）</w:t>
      </w:r>
    </w:p>
    <w:bookmarkEnd w:id="56"/>
    <w:bookmarkEnd w:id="57"/>
    <w:p w14:paraId="02A08D17">
      <w:pPr>
        <w:spacing w:line="588" w:lineRule="exact"/>
        <w:rPr>
          <w:rFonts w:ascii="宋体" w:hAnsi="宋体" w:eastAsia="宋体" w:cs="Times New Roman"/>
          <w:b/>
          <w:color w:val="000000" w:themeColor="text1"/>
          <w:spacing w:val="6"/>
          <w:sz w:val="30"/>
          <w:szCs w:val="30"/>
          <w14:textFill>
            <w14:solidFill>
              <w14:schemeClr w14:val="tx1"/>
            </w14:solidFill>
          </w14:textFill>
        </w:rPr>
      </w:pPr>
    </w:p>
    <w:p w14:paraId="45E29140">
      <w:pPr>
        <w:spacing w:line="588" w:lineRule="exact"/>
        <w:ind w:firstLine="504" w:firstLineChars="200"/>
        <w:rPr>
          <w:rFonts w:ascii="宋体" w:hAnsi="宋体" w:eastAsia="宋体" w:cs="Times New Roman"/>
          <w:color w:val="000000" w:themeColor="text1"/>
          <w:spacing w:val="6"/>
          <w:sz w:val="24"/>
          <w:szCs w:val="24"/>
          <w14:textFill>
            <w14:solidFill>
              <w14:schemeClr w14:val="tx1"/>
            </w14:solidFill>
          </w14:textFill>
        </w:rPr>
      </w:pPr>
      <w:r>
        <w:rPr>
          <w:rFonts w:hint="eastAsia" w:ascii="宋体" w:hAnsi="宋体" w:eastAsia="宋体" w:cs="Times New Roman"/>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Times New Roman"/>
          <w:color w:val="000000" w:themeColor="text1"/>
          <w:sz w:val="24"/>
          <w:szCs w:val="24"/>
          <w14:textFill>
            <w14:solidFill>
              <w14:schemeClr w14:val="tx1"/>
            </w14:solidFill>
          </w14:textFill>
        </w:rPr>
        <w:t>〔2017〕 141</w:t>
      </w:r>
      <w:r>
        <w:rPr>
          <w:rFonts w:hint="eastAsia" w:ascii="宋体" w:hAnsi="宋体" w:eastAsia="宋体" w:cs="Times New Roman"/>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FD59374">
      <w:pPr>
        <w:spacing w:line="588" w:lineRule="exact"/>
        <w:ind w:firstLine="504" w:firstLineChars="200"/>
        <w:rPr>
          <w:rFonts w:ascii="宋体" w:hAnsi="宋体" w:eastAsia="宋体" w:cs="Times New Roman"/>
          <w:color w:val="000000" w:themeColor="text1"/>
          <w:spacing w:val="6"/>
          <w:sz w:val="24"/>
          <w:szCs w:val="24"/>
          <w14:textFill>
            <w14:solidFill>
              <w14:schemeClr w14:val="tx1"/>
            </w14:solidFill>
          </w14:textFill>
        </w:rPr>
      </w:pPr>
      <w:r>
        <w:rPr>
          <w:rFonts w:hint="eastAsia" w:ascii="宋体" w:hAnsi="宋体" w:eastAsia="宋体" w:cs="Times New Roman"/>
          <w:color w:val="000000" w:themeColor="text1"/>
          <w:spacing w:val="6"/>
          <w:sz w:val="24"/>
          <w:szCs w:val="24"/>
          <w14:textFill>
            <w14:solidFill>
              <w14:schemeClr w14:val="tx1"/>
            </w14:solidFill>
          </w14:textFill>
        </w:rPr>
        <w:t>本单位对上述声明的真实性负责。如有虚假，将依法承担相应责任。</w:t>
      </w:r>
    </w:p>
    <w:p w14:paraId="5C3AB783">
      <w:pPr>
        <w:spacing w:line="588" w:lineRule="exact"/>
        <w:rPr>
          <w:rFonts w:ascii="宋体" w:hAnsi="宋体" w:eastAsia="宋体" w:cs="Times New Roman"/>
          <w:color w:val="000000" w:themeColor="text1"/>
          <w:spacing w:val="6"/>
          <w:sz w:val="24"/>
          <w:szCs w:val="24"/>
          <w14:textFill>
            <w14:solidFill>
              <w14:schemeClr w14:val="tx1"/>
            </w14:solidFill>
          </w14:textFill>
        </w:rPr>
      </w:pPr>
    </w:p>
    <w:p w14:paraId="73AC53B0">
      <w:pPr>
        <w:tabs>
          <w:tab w:val="left" w:pos="4860"/>
        </w:tabs>
        <w:wordWrap w:val="0"/>
        <w:spacing w:line="588" w:lineRule="exact"/>
        <w:ind w:right="1559" w:firstLine="504" w:firstLineChars="200"/>
        <w:jc w:val="center"/>
        <w:rPr>
          <w:rFonts w:ascii="宋体" w:hAnsi="宋体" w:eastAsia="宋体" w:cs="Times New Roman"/>
          <w:color w:val="000000" w:themeColor="text1"/>
          <w:spacing w:val="6"/>
          <w:sz w:val="24"/>
          <w:szCs w:val="24"/>
          <w14:textFill>
            <w14:solidFill>
              <w14:schemeClr w14:val="tx1"/>
            </w14:solidFill>
          </w14:textFill>
        </w:rPr>
      </w:pPr>
      <w:r>
        <w:rPr>
          <w:rFonts w:hint="eastAsia" w:ascii="宋体" w:hAnsi="宋体" w:eastAsia="宋体" w:cs="Times New Roman"/>
          <w:color w:val="000000" w:themeColor="text1"/>
          <w:spacing w:val="6"/>
          <w:sz w:val="24"/>
          <w:szCs w:val="24"/>
          <w14:textFill>
            <w14:solidFill>
              <w14:schemeClr w14:val="tx1"/>
            </w14:solidFill>
          </w14:textFill>
        </w:rPr>
        <w:t xml:space="preserve">            单位名称（加盖供应商CA证书签章）：</w:t>
      </w:r>
    </w:p>
    <w:p w14:paraId="4FAD2404">
      <w:pPr>
        <w:tabs>
          <w:tab w:val="left" w:pos="4860"/>
        </w:tabs>
        <w:wordWrap w:val="0"/>
        <w:spacing w:line="588" w:lineRule="exact"/>
        <w:ind w:right="1559" w:firstLine="504" w:firstLineChars="200"/>
        <w:jc w:val="center"/>
        <w:rPr>
          <w:rFonts w:ascii="宋体" w:hAnsi="宋体" w:eastAsia="宋体" w:cs="Times New Roman"/>
          <w:color w:val="000000" w:themeColor="text1"/>
          <w:spacing w:val="6"/>
          <w:sz w:val="24"/>
          <w:szCs w:val="24"/>
          <w:u w:val="single"/>
          <w14:textFill>
            <w14:solidFill>
              <w14:schemeClr w14:val="tx1"/>
            </w14:solidFill>
          </w14:textFill>
        </w:rPr>
      </w:pPr>
      <w:r>
        <w:rPr>
          <w:rFonts w:hint="eastAsia" w:ascii="宋体" w:hAnsi="宋体" w:eastAsia="宋体" w:cs="Times New Roman"/>
          <w:color w:val="000000" w:themeColor="text1"/>
          <w:spacing w:val="6"/>
          <w:sz w:val="24"/>
          <w:szCs w:val="24"/>
          <w14:textFill>
            <w14:solidFill>
              <w14:schemeClr w14:val="tx1"/>
            </w14:solidFill>
          </w14:textFill>
        </w:rPr>
        <w:t>日  期：</w:t>
      </w:r>
    </w:p>
    <w:p w14:paraId="0CE830FF">
      <w:pPr>
        <w:rPr>
          <w:rFonts w:ascii="宋体" w:hAnsi="宋体" w:eastAsia="宋体" w:cs="Times New Roman"/>
          <w:b/>
          <w:bCs/>
          <w:color w:val="000000" w:themeColor="text1"/>
          <w:sz w:val="32"/>
          <w:szCs w:val="32"/>
          <w14:textFill>
            <w14:solidFill>
              <w14:schemeClr w14:val="tx1"/>
            </w14:solidFill>
          </w14:textFill>
        </w:rPr>
      </w:pPr>
    </w:p>
    <w:p w14:paraId="053F2524">
      <w:pPr>
        <w:spacing w:line="400" w:lineRule="exact"/>
        <w:ind w:firstLine="361" w:firstLineChars="150"/>
        <w:rPr>
          <w:rFonts w:ascii="宋体" w:hAnsi="宋体" w:eastAsia="宋体" w:cs="Times New Roman"/>
          <w:b/>
          <w:color w:val="000000" w:themeColor="text1"/>
          <w:sz w:val="24"/>
          <w:szCs w:val="24"/>
          <w:highlight w:val="none"/>
          <w14:textFill>
            <w14:solidFill>
              <w14:schemeClr w14:val="tx1"/>
            </w14:solidFill>
          </w14:textFill>
        </w:rPr>
      </w:pPr>
    </w:p>
    <w:p w14:paraId="0F53F4C3">
      <w:pPr>
        <w:rPr>
          <w:rFonts w:ascii="宋体" w:hAnsi="宋体" w:eastAsia="宋体" w:cs="Times New Roman"/>
          <w:b/>
          <w:bCs/>
          <w:color w:val="000000" w:themeColor="text1"/>
          <w:sz w:val="32"/>
          <w:szCs w:val="32"/>
          <w:highlight w:val="none"/>
          <w14:textFill>
            <w14:solidFill>
              <w14:schemeClr w14:val="tx1"/>
            </w14:solidFill>
          </w14:textFill>
        </w:rPr>
      </w:pPr>
    </w:p>
    <w:p w14:paraId="565A8977">
      <w:pPr>
        <w:spacing w:line="500" w:lineRule="exact"/>
        <w:ind w:firstLine="562" w:firstLineChars="200"/>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1</w:t>
      </w:r>
      <w:r>
        <w:rPr>
          <w:rFonts w:hint="eastAsia" w:ascii="宋体" w:hAnsi="宋体" w:eastAsia="宋体" w:cs="Times New Roman"/>
          <w:b/>
          <w:bCs/>
          <w:color w:val="000000" w:themeColor="text1"/>
          <w:sz w:val="28"/>
          <w:szCs w:val="28"/>
          <w:highlight w:val="none"/>
          <w:lang w:val="en-US" w:eastAsia="zh-CN"/>
          <w14:textFill>
            <w14:solidFill>
              <w14:schemeClr w14:val="tx1"/>
            </w14:solidFill>
          </w14:textFill>
        </w:rPr>
        <w:t>4</w:t>
      </w:r>
      <w:r>
        <w:rPr>
          <w:rFonts w:hint="eastAsia" w:ascii="宋体" w:hAnsi="宋体" w:eastAsia="宋体" w:cs="Times New Roman"/>
          <w:b/>
          <w:bCs/>
          <w:color w:val="000000" w:themeColor="text1"/>
          <w:sz w:val="28"/>
          <w:szCs w:val="28"/>
          <w:highlight w:val="none"/>
          <w14:textFill>
            <w14:solidFill>
              <w14:schemeClr w14:val="tx1"/>
            </w14:solidFill>
          </w14:textFill>
        </w:rPr>
        <w:t>.供应商相关获奖证书、认证证书等复印件（如有，请提供）；</w:t>
      </w:r>
    </w:p>
    <w:p w14:paraId="4545D494">
      <w:pPr>
        <w:rPr>
          <w:rFonts w:ascii="宋体" w:hAnsi="宋体" w:eastAsia="宋体" w:cs="Times New Roman"/>
          <w:b/>
          <w:bCs/>
          <w:color w:val="000000" w:themeColor="text1"/>
          <w:sz w:val="32"/>
          <w:szCs w:val="32"/>
          <w:highlight w:val="none"/>
          <w14:textFill>
            <w14:solidFill>
              <w14:schemeClr w14:val="tx1"/>
            </w14:solidFill>
          </w14:textFill>
        </w:rPr>
      </w:pPr>
    </w:p>
    <w:p w14:paraId="0BA031CB">
      <w:pPr>
        <w:rPr>
          <w:rFonts w:ascii="宋体" w:hAnsi="宋体" w:eastAsia="宋体" w:cs="Times New Roman"/>
          <w:b/>
          <w:bCs/>
          <w:color w:val="000000" w:themeColor="text1"/>
          <w:sz w:val="32"/>
          <w:szCs w:val="32"/>
          <w:highlight w:val="none"/>
          <w14:textFill>
            <w14:solidFill>
              <w14:schemeClr w14:val="tx1"/>
            </w14:solidFill>
          </w14:textFill>
        </w:rPr>
      </w:pPr>
    </w:p>
    <w:p w14:paraId="35F2677E">
      <w:pPr>
        <w:ind w:firstLine="562" w:firstLineChars="200"/>
        <w:rPr>
          <w:rFonts w:ascii="宋体" w:hAnsi="宋体" w:eastAsia="宋体" w:cs="Times New Roman"/>
          <w:b/>
          <w:color w:val="000000" w:themeColor="text1"/>
          <w:sz w:val="28"/>
          <w:szCs w:val="28"/>
          <w:highlight w:val="none"/>
          <w14:textFill>
            <w14:solidFill>
              <w14:schemeClr w14:val="tx1"/>
            </w14:solidFill>
          </w14:textFill>
        </w:rPr>
      </w:pPr>
    </w:p>
    <w:p w14:paraId="4BAAF35D">
      <w:pPr>
        <w:ind w:firstLine="562" w:firstLineChars="200"/>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1</w:t>
      </w: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5</w:t>
      </w:r>
      <w:r>
        <w:rPr>
          <w:rFonts w:hint="eastAsia" w:ascii="宋体" w:hAnsi="宋体" w:eastAsia="宋体" w:cs="Times New Roman"/>
          <w:b/>
          <w:color w:val="000000" w:themeColor="text1"/>
          <w:sz w:val="28"/>
          <w:szCs w:val="28"/>
          <w:highlight w:val="none"/>
          <w14:textFill>
            <w14:solidFill>
              <w14:schemeClr w14:val="tx1"/>
            </w14:solidFill>
          </w14:textFill>
        </w:rPr>
        <w:t>.供应商可结合本项目自身情况自行提交其它相关证明材料。</w:t>
      </w:r>
    </w:p>
    <w:p w14:paraId="442D6EF1">
      <w:pPr>
        <w:rPr>
          <w:rFonts w:ascii="宋体" w:hAnsi="宋体" w:eastAsia="宋体" w:cs="Times New Roman"/>
          <w:b/>
          <w:color w:val="000000" w:themeColor="text1"/>
          <w:sz w:val="32"/>
          <w:szCs w:val="32"/>
          <w:highlight w:val="none"/>
          <w14:textFill>
            <w14:solidFill>
              <w14:schemeClr w14:val="tx1"/>
            </w14:solidFill>
          </w14:textFill>
        </w:rPr>
      </w:pPr>
    </w:p>
    <w:p w14:paraId="707BB842">
      <w:pPr>
        <w:rPr>
          <w:rFonts w:ascii="宋体" w:hAnsi="宋体" w:eastAsia="宋体" w:cs="Times New Roman"/>
          <w:b/>
          <w:color w:val="000000" w:themeColor="text1"/>
          <w:sz w:val="32"/>
          <w:szCs w:val="32"/>
          <w:highlight w:val="none"/>
          <w14:textFill>
            <w14:solidFill>
              <w14:schemeClr w14:val="tx1"/>
            </w14:solidFill>
          </w14:textFill>
        </w:rPr>
      </w:pPr>
    </w:p>
    <w:p w14:paraId="123CF68E">
      <w:pPr>
        <w:rPr>
          <w:rFonts w:ascii="宋体" w:hAnsi="宋体" w:eastAsia="宋体" w:cs="Times New Roman"/>
          <w:b/>
          <w:color w:val="000000" w:themeColor="text1"/>
          <w:sz w:val="32"/>
          <w:szCs w:val="32"/>
          <w:highlight w:val="none"/>
          <w14:textFill>
            <w14:solidFill>
              <w14:schemeClr w14:val="tx1"/>
            </w14:solidFill>
          </w14:textFill>
        </w:rPr>
      </w:pPr>
    </w:p>
    <w:p w14:paraId="2A55305C">
      <w:pPr>
        <w:rPr>
          <w:rFonts w:ascii="宋体" w:hAnsi="宋体" w:eastAsia="宋体" w:cs="Times New Roman"/>
          <w:b/>
          <w:color w:val="000000" w:themeColor="text1"/>
          <w:sz w:val="32"/>
          <w:szCs w:val="32"/>
          <w:highlight w:val="none"/>
          <w14:textFill>
            <w14:solidFill>
              <w14:schemeClr w14:val="tx1"/>
            </w14:solidFill>
          </w14:textFill>
        </w:rPr>
      </w:pPr>
    </w:p>
    <w:p w14:paraId="446B98E1">
      <w:pP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附件：</w:t>
      </w:r>
    </w:p>
    <w:p w14:paraId="7224DDA5">
      <w:pPr>
        <w:jc w:val="center"/>
        <w:rPr>
          <w:rFonts w:ascii="宋体" w:hAnsi="宋体" w:eastAsia="宋体" w:cs="仿宋"/>
          <w:b/>
          <w:bCs/>
          <w:color w:val="000000" w:themeColor="text1"/>
          <w:sz w:val="24"/>
          <w:szCs w:val="24"/>
          <w:highlight w:val="none"/>
          <w14:textFill>
            <w14:solidFill>
              <w14:schemeClr w14:val="tx1"/>
            </w14:solidFill>
          </w14:textFill>
        </w:rPr>
      </w:pPr>
    </w:p>
    <w:p w14:paraId="6BA90BDA">
      <w:pPr>
        <w:jc w:val="center"/>
        <w:rPr>
          <w:rFonts w:ascii="宋体" w:hAnsi="宋体" w:eastAsia="宋体" w:cs="仿宋"/>
          <w:b/>
          <w:bCs/>
          <w:color w:val="000000" w:themeColor="text1"/>
          <w:sz w:val="32"/>
          <w:szCs w:val="32"/>
          <w:highlight w:val="none"/>
          <w14:textFill>
            <w14:solidFill>
              <w14:schemeClr w14:val="tx1"/>
            </w14:solidFill>
          </w14:textFill>
        </w:rPr>
      </w:pPr>
    </w:p>
    <w:p w14:paraId="6BD96B10">
      <w:pPr>
        <w:jc w:val="center"/>
        <w:rPr>
          <w:rFonts w:ascii="宋体" w:hAnsi="宋体" w:eastAsia="宋体" w:cs="仿宋"/>
          <w:b/>
          <w:bCs/>
          <w:color w:val="000000" w:themeColor="text1"/>
          <w:sz w:val="32"/>
          <w:szCs w:val="32"/>
          <w:highlight w:val="none"/>
          <w14:textFill>
            <w14:solidFill>
              <w14:schemeClr w14:val="tx1"/>
            </w14:solidFill>
          </w14:textFill>
        </w:rPr>
      </w:pPr>
      <w:r>
        <w:rPr>
          <w:rFonts w:hint="eastAsia" w:ascii="宋体" w:hAnsi="宋体" w:eastAsia="宋体" w:cs="仿宋"/>
          <w:b/>
          <w:bCs/>
          <w:color w:val="000000" w:themeColor="text1"/>
          <w:sz w:val="32"/>
          <w:szCs w:val="32"/>
          <w:highlight w:val="none"/>
          <w14:textFill>
            <w14:solidFill>
              <w14:schemeClr w14:val="tx1"/>
            </w14:solidFill>
          </w14:textFill>
        </w:rPr>
        <w:t>质疑函范本</w:t>
      </w:r>
    </w:p>
    <w:p w14:paraId="4B410642">
      <w:pPr>
        <w:adjustRightInd w:val="0"/>
        <w:snapToGrid w:val="0"/>
        <w:spacing w:before="240" w:beforeLines="100" w:line="360" w:lineRule="auto"/>
        <w:rPr>
          <w:rFonts w:ascii="宋体" w:hAnsi="宋体" w:eastAsia="宋体" w:cs="仿宋"/>
          <w:bCs/>
          <w:color w:val="000000" w:themeColor="text1"/>
          <w:sz w:val="24"/>
          <w:szCs w:val="24"/>
          <w:highlight w:val="none"/>
          <w14:textFill>
            <w14:solidFill>
              <w14:schemeClr w14:val="tx1"/>
            </w14:solidFill>
          </w14:textFill>
        </w:rPr>
      </w:pPr>
      <w:r>
        <w:rPr>
          <w:rFonts w:hint="eastAsia" w:ascii="宋体" w:hAnsi="宋体" w:eastAsia="宋体" w:cs="仿宋"/>
          <w:bCs/>
          <w:color w:val="000000" w:themeColor="text1"/>
          <w:sz w:val="24"/>
          <w:szCs w:val="24"/>
          <w:highlight w:val="none"/>
          <w14:textFill>
            <w14:solidFill>
              <w14:schemeClr w14:val="tx1"/>
            </w14:solidFill>
          </w14:textFill>
        </w:rPr>
        <w:t>一、质疑供应商基本信息</w:t>
      </w:r>
    </w:p>
    <w:p w14:paraId="36221819">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质疑供应商：</w:t>
      </w:r>
    </w:p>
    <w:p w14:paraId="53C02064">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地址：邮编：</w:t>
      </w:r>
    </w:p>
    <w:p w14:paraId="4A29643F">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联系人：联系电话：</w:t>
      </w:r>
    </w:p>
    <w:p w14:paraId="695F7682">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授权代表：</w:t>
      </w:r>
    </w:p>
    <w:p w14:paraId="764C4D60">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联系电话：</w:t>
      </w:r>
    </w:p>
    <w:p w14:paraId="635AE4B4">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地址：邮编：</w:t>
      </w:r>
    </w:p>
    <w:p w14:paraId="75DBF57A">
      <w:pPr>
        <w:adjustRightInd w:val="0"/>
        <w:snapToGrid w:val="0"/>
        <w:spacing w:line="360" w:lineRule="auto"/>
        <w:rPr>
          <w:rFonts w:ascii="宋体" w:hAnsi="宋体" w:eastAsia="宋体" w:cs="仿宋"/>
          <w:bCs/>
          <w:color w:val="000000" w:themeColor="text1"/>
          <w:sz w:val="24"/>
          <w:szCs w:val="24"/>
          <w:highlight w:val="none"/>
          <w14:textFill>
            <w14:solidFill>
              <w14:schemeClr w14:val="tx1"/>
            </w14:solidFill>
          </w14:textFill>
        </w:rPr>
      </w:pPr>
      <w:r>
        <w:rPr>
          <w:rFonts w:hint="eastAsia" w:ascii="宋体" w:hAnsi="宋体" w:eastAsia="宋体" w:cs="仿宋"/>
          <w:bCs/>
          <w:color w:val="000000" w:themeColor="text1"/>
          <w:sz w:val="24"/>
          <w:szCs w:val="24"/>
          <w:highlight w:val="none"/>
          <w14:textFill>
            <w14:solidFill>
              <w14:schemeClr w14:val="tx1"/>
            </w14:solidFill>
          </w14:textFill>
        </w:rPr>
        <w:t>二、质疑项目基本情况</w:t>
      </w:r>
    </w:p>
    <w:p w14:paraId="7E495542">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质疑项目的名称：</w:t>
      </w:r>
    </w:p>
    <w:p w14:paraId="2758E448">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质疑项目的编号：包号：</w:t>
      </w:r>
    </w:p>
    <w:p w14:paraId="7EF873C4">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采购人名称：</w:t>
      </w:r>
    </w:p>
    <w:p w14:paraId="6D7C1264">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采购文件获取日期：</w:t>
      </w:r>
    </w:p>
    <w:p w14:paraId="0B9E94F7">
      <w:pPr>
        <w:adjustRightInd w:val="0"/>
        <w:snapToGrid w:val="0"/>
        <w:spacing w:line="360" w:lineRule="auto"/>
        <w:rPr>
          <w:rFonts w:ascii="宋体" w:hAnsi="宋体" w:eastAsia="宋体" w:cs="仿宋"/>
          <w:bCs/>
          <w:color w:val="000000" w:themeColor="text1"/>
          <w:sz w:val="24"/>
          <w:szCs w:val="24"/>
          <w:highlight w:val="none"/>
          <w14:textFill>
            <w14:solidFill>
              <w14:schemeClr w14:val="tx1"/>
            </w14:solidFill>
          </w14:textFill>
        </w:rPr>
      </w:pPr>
      <w:r>
        <w:rPr>
          <w:rFonts w:hint="eastAsia" w:ascii="宋体" w:hAnsi="宋体" w:eastAsia="宋体" w:cs="仿宋"/>
          <w:bCs/>
          <w:color w:val="000000" w:themeColor="text1"/>
          <w:sz w:val="24"/>
          <w:szCs w:val="24"/>
          <w:highlight w:val="none"/>
          <w14:textFill>
            <w14:solidFill>
              <w14:schemeClr w14:val="tx1"/>
            </w14:solidFill>
          </w14:textFill>
        </w:rPr>
        <w:t>三、质疑事项具体内容</w:t>
      </w:r>
    </w:p>
    <w:p w14:paraId="0A3FB44E">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质疑事项1：</w:t>
      </w:r>
    </w:p>
    <w:p w14:paraId="68F06422">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事实依据：</w:t>
      </w:r>
    </w:p>
    <w:p w14:paraId="2B899BC9">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p>
    <w:p w14:paraId="615EDD26">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法律依据：</w:t>
      </w:r>
    </w:p>
    <w:p w14:paraId="735CA3DE">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p>
    <w:p w14:paraId="0A42A118">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质疑事项2</w:t>
      </w:r>
    </w:p>
    <w:p w14:paraId="215A1B1F">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w:t>
      </w:r>
    </w:p>
    <w:p w14:paraId="0C6E9059">
      <w:pPr>
        <w:adjustRightInd w:val="0"/>
        <w:snapToGrid w:val="0"/>
        <w:spacing w:line="360" w:lineRule="auto"/>
        <w:rPr>
          <w:rFonts w:ascii="宋体" w:hAnsi="宋体" w:eastAsia="宋体" w:cs="仿宋"/>
          <w:bCs/>
          <w:color w:val="000000" w:themeColor="text1"/>
          <w:sz w:val="24"/>
          <w:szCs w:val="24"/>
          <w:highlight w:val="none"/>
          <w14:textFill>
            <w14:solidFill>
              <w14:schemeClr w14:val="tx1"/>
            </w14:solidFill>
          </w14:textFill>
        </w:rPr>
      </w:pPr>
      <w:r>
        <w:rPr>
          <w:rFonts w:hint="eastAsia" w:ascii="宋体" w:hAnsi="宋体" w:eastAsia="宋体" w:cs="仿宋"/>
          <w:bCs/>
          <w:color w:val="000000" w:themeColor="text1"/>
          <w:sz w:val="24"/>
          <w:szCs w:val="24"/>
          <w:highlight w:val="none"/>
          <w14:textFill>
            <w14:solidFill>
              <w14:schemeClr w14:val="tx1"/>
            </w14:solidFill>
          </w14:textFill>
        </w:rPr>
        <w:t>四、与质疑事项相关的质疑请求</w:t>
      </w:r>
    </w:p>
    <w:p w14:paraId="500E33A2">
      <w:pPr>
        <w:adjustRightInd w:val="0"/>
        <w:snapToGrid w:val="0"/>
        <w:spacing w:line="360" w:lineRule="auto"/>
        <w:rPr>
          <w:rFonts w:ascii="宋体" w:hAnsi="宋体" w:eastAsia="宋体" w:cs="仿宋"/>
          <w:color w:val="000000" w:themeColor="text1"/>
          <w:sz w:val="24"/>
          <w:szCs w:val="24"/>
          <w:highlight w:val="none"/>
          <w:u w:val="dotted"/>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请求：</w:t>
      </w:r>
    </w:p>
    <w:p w14:paraId="57074A0B">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签字(签章)：                   公章：                      </w:t>
      </w:r>
    </w:p>
    <w:p w14:paraId="3A3CB12E">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日期：    </w:t>
      </w:r>
    </w:p>
    <w:p w14:paraId="473E8206">
      <w:pPr>
        <w:adjustRightInd w:val="0"/>
        <w:snapToGrid w:val="0"/>
        <w:spacing w:line="360" w:lineRule="auto"/>
        <w:rPr>
          <w:rFonts w:ascii="宋体" w:hAnsi="宋体" w:eastAsia="宋体" w:cs="仿宋"/>
          <w:color w:val="000000" w:themeColor="text1"/>
          <w:sz w:val="24"/>
          <w:szCs w:val="24"/>
          <w:highlight w:val="none"/>
          <w14:textFill>
            <w14:solidFill>
              <w14:schemeClr w14:val="tx1"/>
            </w14:solidFill>
          </w14:textFill>
        </w:rPr>
      </w:pPr>
    </w:p>
    <w:p w14:paraId="265453AA">
      <w:pPr>
        <w:adjustRightInd w:val="0"/>
        <w:snapToGrid w:val="0"/>
        <w:spacing w:line="360" w:lineRule="auto"/>
        <w:rPr>
          <w:rFonts w:ascii="宋体" w:hAnsi="宋体" w:eastAsia="宋体" w:cs="仿宋"/>
          <w:color w:val="000000" w:themeColor="text1"/>
          <w:sz w:val="32"/>
          <w:szCs w:val="32"/>
          <w:highlight w:val="none"/>
          <w14:textFill>
            <w14:solidFill>
              <w14:schemeClr w14:val="tx1"/>
            </w14:solidFill>
          </w14:textFill>
        </w:rPr>
      </w:pPr>
    </w:p>
    <w:p w14:paraId="1C99193A">
      <w:pPr>
        <w:rPr>
          <w:rFonts w:ascii="宋体" w:hAnsi="宋体" w:eastAsia="宋体" w:cs="Times New Roman"/>
          <w:b/>
          <w:color w:val="000000" w:themeColor="text1"/>
          <w:sz w:val="32"/>
          <w:szCs w:val="32"/>
          <w:highlight w:val="none"/>
          <w14:textFill>
            <w14:solidFill>
              <w14:schemeClr w14:val="tx1"/>
            </w14:solidFill>
          </w14:textFill>
        </w:rPr>
      </w:pPr>
    </w:p>
    <w:p w14:paraId="16D07B78">
      <w:pPr>
        <w:rPr>
          <w:rFonts w:ascii="宋体" w:hAnsi="宋体" w:eastAsia="宋体" w:cs="Times New Roman"/>
          <w:b/>
          <w:color w:val="000000" w:themeColor="text1"/>
          <w:sz w:val="32"/>
          <w:szCs w:val="32"/>
          <w:highlight w:val="none"/>
          <w14:textFill>
            <w14:solidFill>
              <w14:schemeClr w14:val="tx1"/>
            </w14:solidFill>
          </w14:textFill>
        </w:rPr>
      </w:pPr>
    </w:p>
    <w:p w14:paraId="111BF602">
      <w:pP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质疑函制作说明：</w:t>
      </w:r>
    </w:p>
    <w:p w14:paraId="6B09B853">
      <w:pPr>
        <w:widowControl/>
        <w:spacing w:line="500" w:lineRule="exact"/>
        <w:ind w:firstLine="600" w:firstLineChars="200"/>
        <w:jc w:val="left"/>
        <w:rPr>
          <w:rFonts w:ascii="宋体" w:hAnsi="宋体" w:eastAsia="宋体" w:cs="Times New Roman"/>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14:textFill>
            <w14:solidFill>
              <w14:schemeClr w14:val="tx1"/>
            </w14:solidFill>
          </w14:textFill>
        </w:rPr>
        <w:t>1.供应商提出质疑时，应提交质疑函和必要的证明材料。</w:t>
      </w:r>
    </w:p>
    <w:p w14:paraId="0D31F81A">
      <w:pPr>
        <w:widowControl/>
        <w:spacing w:line="500" w:lineRule="exact"/>
        <w:ind w:firstLine="600" w:firstLineChars="200"/>
        <w:jc w:val="left"/>
        <w:rPr>
          <w:rFonts w:ascii="宋体" w:hAnsi="宋体" w:eastAsia="宋体" w:cs="Times New Roman"/>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30"/>
          <w:szCs w:val="30"/>
          <w:highlight w:val="none"/>
          <w14:textFill>
            <w14:solidFill>
              <w14:schemeClr w14:val="tx1"/>
            </w14:solidFill>
          </w14:textFill>
        </w:rPr>
        <w:t>供应商签署的授权委托书。授权委托书应载明代理人的姓名或者名称、代理事项、具体权限、期限和相关事项。</w:t>
      </w:r>
    </w:p>
    <w:p w14:paraId="3B9749B3">
      <w:pPr>
        <w:widowControl/>
        <w:spacing w:line="500" w:lineRule="exact"/>
        <w:ind w:firstLine="600" w:firstLineChars="200"/>
        <w:jc w:val="left"/>
        <w:rPr>
          <w:rFonts w:ascii="宋体" w:hAnsi="宋体" w:eastAsia="宋体" w:cs="Times New Roman"/>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14:textFill>
            <w14:solidFill>
              <w14:schemeClr w14:val="tx1"/>
            </w14:solidFill>
          </w14:textFill>
        </w:rPr>
        <w:t>3.质疑供应商若对项目的某一分包进行质疑，质疑函中应列明具体分包号。</w:t>
      </w:r>
    </w:p>
    <w:p w14:paraId="35B87A60">
      <w:pPr>
        <w:widowControl/>
        <w:spacing w:line="500" w:lineRule="exact"/>
        <w:ind w:firstLine="600" w:firstLineChars="200"/>
        <w:jc w:val="left"/>
        <w:rPr>
          <w:rFonts w:ascii="宋体" w:hAnsi="宋体" w:eastAsia="宋体" w:cs="Times New Roman"/>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14:textFill>
            <w14:solidFill>
              <w14:schemeClr w14:val="tx1"/>
            </w14:solidFill>
          </w14:textFill>
        </w:rPr>
        <w:t>4.质疑函的质疑事项应具体、明确，并有必要的事实依据和法律依据。</w:t>
      </w:r>
    </w:p>
    <w:p w14:paraId="0CF0D801">
      <w:pPr>
        <w:widowControl/>
        <w:spacing w:line="500" w:lineRule="exact"/>
        <w:ind w:firstLine="600" w:firstLineChars="200"/>
        <w:jc w:val="left"/>
        <w:rPr>
          <w:rFonts w:ascii="宋体" w:hAnsi="宋体" w:eastAsia="宋体" w:cs="Times New Roman"/>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14:textFill>
            <w14:solidFill>
              <w14:schemeClr w14:val="tx1"/>
            </w14:solidFill>
          </w14:textFill>
        </w:rPr>
        <w:t>5.质疑函的质疑请求应与质疑事项相关。</w:t>
      </w:r>
    </w:p>
    <w:p w14:paraId="2761A223">
      <w:pPr>
        <w:spacing w:line="500" w:lineRule="exact"/>
        <w:rPr>
          <w:rFonts w:ascii="宋体" w:hAnsi="宋体" w:eastAsia="宋体" w:cs="Times New Roman"/>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0F78739">
      <w:pPr>
        <w:spacing w:line="500" w:lineRule="exact"/>
        <w:rPr>
          <w:rFonts w:ascii="宋体" w:hAnsi="宋体" w:eastAsia="宋体" w:cs="Times New Roman"/>
          <w:b/>
          <w:color w:val="000000" w:themeColor="text1"/>
          <w:sz w:val="30"/>
          <w:szCs w:val="30"/>
          <w:highlight w:val="none"/>
          <w14:textFill>
            <w14:solidFill>
              <w14:schemeClr w14:val="tx1"/>
            </w14:solidFill>
          </w14:textFill>
        </w:rPr>
      </w:pPr>
    </w:p>
    <w:p w14:paraId="3288A0EA">
      <w:pPr>
        <w:spacing w:line="500" w:lineRule="exact"/>
        <w:rPr>
          <w:rFonts w:ascii="宋体" w:hAnsi="宋体" w:eastAsia="宋体" w:cs="Times New Roman"/>
          <w:b/>
          <w:color w:val="000000" w:themeColor="text1"/>
          <w:sz w:val="30"/>
          <w:szCs w:val="30"/>
          <w:highlight w:val="none"/>
          <w14:textFill>
            <w14:solidFill>
              <w14:schemeClr w14:val="tx1"/>
            </w14:solidFill>
          </w14:textFill>
        </w:rPr>
      </w:pPr>
    </w:p>
    <w:p w14:paraId="42D848B1">
      <w:pPr>
        <w:spacing w:line="500" w:lineRule="exact"/>
        <w:rPr>
          <w:rFonts w:ascii="宋体" w:hAnsi="宋体" w:eastAsia="宋体" w:cs="Times New Roman"/>
          <w:b/>
          <w:color w:val="000000" w:themeColor="text1"/>
          <w:sz w:val="30"/>
          <w:szCs w:val="30"/>
          <w:highlight w:val="none"/>
          <w14:textFill>
            <w14:solidFill>
              <w14:schemeClr w14:val="tx1"/>
            </w14:solidFill>
          </w14:textFill>
        </w:rPr>
      </w:pPr>
    </w:p>
    <w:p w14:paraId="74008718">
      <w:pPr>
        <w:spacing w:line="500" w:lineRule="exact"/>
        <w:rPr>
          <w:rFonts w:ascii="宋体" w:hAnsi="宋体" w:eastAsia="宋体" w:cs="Times New Roman"/>
          <w:b/>
          <w:color w:val="000000" w:themeColor="text1"/>
          <w:sz w:val="30"/>
          <w:szCs w:val="30"/>
          <w:highlight w:val="none"/>
          <w14:textFill>
            <w14:solidFill>
              <w14:schemeClr w14:val="tx1"/>
            </w14:solidFill>
          </w14:textFill>
        </w:rPr>
      </w:pPr>
    </w:p>
    <w:p w14:paraId="3469B099">
      <w:pPr>
        <w:spacing w:line="440" w:lineRule="atLeast"/>
        <w:rPr>
          <w:rFonts w:ascii="Times New Roman" w:hAnsi="Times New Roman" w:eastAsia="宋体" w:cs="Times New Roman"/>
          <w:b/>
          <w:color w:val="000000" w:themeColor="text1"/>
          <w:sz w:val="32"/>
          <w:szCs w:val="32"/>
          <w:highlight w:val="none"/>
          <w14:textFill>
            <w14:solidFill>
              <w14:schemeClr w14:val="tx1"/>
            </w14:solidFill>
          </w14:textFill>
        </w:rPr>
      </w:pPr>
    </w:p>
    <w:p w14:paraId="77B4BD4B">
      <w:pPr>
        <w:rPr>
          <w:color w:val="000000" w:themeColor="text1"/>
          <w:highlight w:val="none"/>
          <w14:textFill>
            <w14:solidFill>
              <w14:schemeClr w14:val="tx1"/>
            </w14:solidFill>
          </w14:textFill>
        </w:rPr>
      </w:pPr>
    </w:p>
    <w:sectPr>
      <w:headerReference r:id="rId7" w:type="default"/>
      <w:footerReference r:id="rId8" w:type="default"/>
      <w:pgSz w:w="11906" w:h="16838"/>
      <w:pgMar w:top="1134" w:right="1134" w:bottom="1276" w:left="1276"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4241">
    <w:pPr>
      <w:pStyle w:val="33"/>
      <w:framePr w:wrap="around" w:vAnchor="text" w:hAnchor="margin" w:xAlign="center" w:y="1"/>
      <w:rPr>
        <w:rStyle w:val="57"/>
      </w:rPr>
    </w:pPr>
    <w:r>
      <w:fldChar w:fldCharType="begin"/>
    </w:r>
    <w:r>
      <w:rPr>
        <w:rStyle w:val="57"/>
      </w:rPr>
      <w:instrText xml:space="preserve">PAGE  </w:instrText>
    </w:r>
    <w:r>
      <w:fldChar w:fldCharType="separate"/>
    </w:r>
    <w:r>
      <w:rPr>
        <w:rStyle w:val="57"/>
      </w:rPr>
      <w:t>55</w:t>
    </w:r>
    <w:r>
      <w:fldChar w:fldCharType="end"/>
    </w:r>
  </w:p>
  <w:p w14:paraId="6FE4BE58">
    <w:pPr>
      <w:pStyle w:val="3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C9B7">
    <w:pPr>
      <w:pStyle w:val="33"/>
      <w:framePr w:wrap="around" w:vAnchor="text" w:hAnchor="margin" w:xAlign="center" w:y="1"/>
      <w:rPr>
        <w:rStyle w:val="57"/>
      </w:rPr>
    </w:pPr>
    <w:r>
      <w:fldChar w:fldCharType="begin"/>
    </w:r>
    <w:r>
      <w:rPr>
        <w:rStyle w:val="57"/>
      </w:rPr>
      <w:instrText xml:space="preserve">PAGE  </w:instrText>
    </w:r>
    <w:r>
      <w:fldChar w:fldCharType="separate"/>
    </w:r>
    <w:r>
      <w:rPr>
        <w:rStyle w:val="57"/>
      </w:rPr>
      <w:t>1</w:t>
    </w:r>
    <w:r>
      <w:fldChar w:fldCharType="end"/>
    </w:r>
  </w:p>
  <w:p w14:paraId="5A7A8652">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90E4">
    <w:pPr>
      <w:pStyle w:val="33"/>
      <w:jc w:val="center"/>
    </w:pPr>
    <w:r>
      <w:fldChar w:fldCharType="begin"/>
    </w:r>
    <w:r>
      <w:instrText xml:space="preserve"> PAGE   \* MERGEFORMAT </w:instrText>
    </w:r>
    <w:r>
      <w:fldChar w:fldCharType="separate"/>
    </w:r>
    <w:r>
      <w:rPr>
        <w:lang w:val="zh-CN"/>
      </w:rPr>
      <w:t>66</w:t>
    </w:r>
    <w:r>
      <w:rPr>
        <w:lang w:val="zh-CN"/>
      </w:rPr>
      <w:fldChar w:fldCharType="end"/>
    </w:r>
  </w:p>
  <w:p w14:paraId="1A1AE28A">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CFA8">
    <w:pPr>
      <w:pStyle w:val="33"/>
      <w:jc w:val="center"/>
    </w:pPr>
    <w:r>
      <w:fldChar w:fldCharType="begin"/>
    </w:r>
    <w:r>
      <w:instrText xml:space="preserve"> PAGE   \* MERGEFORMAT </w:instrText>
    </w:r>
    <w:r>
      <w:fldChar w:fldCharType="separate"/>
    </w:r>
    <w:r>
      <w:rPr>
        <w:lang w:val="zh-CN"/>
      </w:rPr>
      <w:t>70</w:t>
    </w:r>
    <w:r>
      <w:rPr>
        <w:lang w:val="zh-CN"/>
      </w:rPr>
      <w:fldChar w:fldCharType="end"/>
    </w:r>
  </w:p>
  <w:p w14:paraId="7948D8DF">
    <w:pPr>
      <w:pStyle w:val="33"/>
      <w:spacing w:before="120" w:after="1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2656">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9F34">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FD0C2"/>
    <w:multiLevelType w:val="singleLevel"/>
    <w:tmpl w:val="8F5FD0C2"/>
    <w:lvl w:ilvl="0" w:tentative="0">
      <w:start w:val="2"/>
      <w:numFmt w:val="chineseCounting"/>
      <w:suff w:val="nothing"/>
      <w:lvlText w:val="%1、"/>
      <w:lvlJc w:val="left"/>
      <w:rPr>
        <w:rFonts w:hint="eastAsia"/>
      </w:rPr>
    </w:lvl>
  </w:abstractNum>
  <w:abstractNum w:abstractNumId="1">
    <w:nsid w:val="EFE9386D"/>
    <w:multiLevelType w:val="singleLevel"/>
    <w:tmpl w:val="EFE9386D"/>
    <w:lvl w:ilvl="0" w:tentative="0">
      <w:start w:val="9"/>
      <w:numFmt w:val="decimal"/>
      <w:lvlText w:val="%1."/>
      <w:lvlJc w:val="left"/>
      <w:pPr>
        <w:tabs>
          <w:tab w:val="left" w:pos="312"/>
        </w:tabs>
      </w:pPr>
    </w:lvl>
  </w:abstractNum>
  <w:abstractNum w:abstractNumId="2">
    <w:nsid w:val="F980F0B8"/>
    <w:multiLevelType w:val="singleLevel"/>
    <w:tmpl w:val="F980F0B8"/>
    <w:lvl w:ilvl="0" w:tentative="0">
      <w:start w:val="1"/>
      <w:numFmt w:val="decimal"/>
      <w:lvlText w:val="%1."/>
      <w:lvlJc w:val="left"/>
      <w:pPr>
        <w:tabs>
          <w:tab w:val="left" w:pos="312"/>
        </w:tabs>
      </w:pPr>
    </w:lvl>
  </w:abstractNum>
  <w:abstractNum w:abstractNumId="3">
    <w:nsid w:val="55C8E779"/>
    <w:multiLevelType w:val="singleLevel"/>
    <w:tmpl w:val="55C8E779"/>
    <w:lvl w:ilvl="0" w:tentative="0">
      <w:start w:val="1"/>
      <w:numFmt w:val="decimal"/>
      <w:lvlText w:val="%1."/>
      <w:lvlJc w:val="left"/>
      <w:pPr>
        <w:tabs>
          <w:tab w:val="left" w:pos="312"/>
        </w:tabs>
      </w:pPr>
    </w:lvl>
  </w:abstractNum>
  <w:abstractNum w:abstractNumId="4">
    <w:nsid w:val="7E97B8C1"/>
    <w:multiLevelType w:val="singleLevel"/>
    <w:tmpl w:val="7E97B8C1"/>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B8"/>
    <w:rsid w:val="000022B8"/>
    <w:rsid w:val="0000648E"/>
    <w:rsid w:val="00013D8D"/>
    <w:rsid w:val="00014089"/>
    <w:rsid w:val="00021585"/>
    <w:rsid w:val="00033792"/>
    <w:rsid w:val="00037220"/>
    <w:rsid w:val="00052105"/>
    <w:rsid w:val="000600A7"/>
    <w:rsid w:val="0007222E"/>
    <w:rsid w:val="000915B0"/>
    <w:rsid w:val="0009303F"/>
    <w:rsid w:val="00094330"/>
    <w:rsid w:val="00094974"/>
    <w:rsid w:val="00095249"/>
    <w:rsid w:val="00103CAA"/>
    <w:rsid w:val="00114630"/>
    <w:rsid w:val="001221D3"/>
    <w:rsid w:val="001337C2"/>
    <w:rsid w:val="00136BAC"/>
    <w:rsid w:val="0014424C"/>
    <w:rsid w:val="00145519"/>
    <w:rsid w:val="00146231"/>
    <w:rsid w:val="00163AF4"/>
    <w:rsid w:val="001674A2"/>
    <w:rsid w:val="00195655"/>
    <w:rsid w:val="001B1640"/>
    <w:rsid w:val="001B6E10"/>
    <w:rsid w:val="001C047D"/>
    <w:rsid w:val="001C24FF"/>
    <w:rsid w:val="001C3F8C"/>
    <w:rsid w:val="001D0E65"/>
    <w:rsid w:val="001F2080"/>
    <w:rsid w:val="002039E2"/>
    <w:rsid w:val="00243896"/>
    <w:rsid w:val="00246D0B"/>
    <w:rsid w:val="00250823"/>
    <w:rsid w:val="0025191C"/>
    <w:rsid w:val="00277E58"/>
    <w:rsid w:val="002843B8"/>
    <w:rsid w:val="002B27E2"/>
    <w:rsid w:val="002D5E59"/>
    <w:rsid w:val="002E679A"/>
    <w:rsid w:val="002E6D74"/>
    <w:rsid w:val="002F2E6D"/>
    <w:rsid w:val="00304DFE"/>
    <w:rsid w:val="00331369"/>
    <w:rsid w:val="003469AB"/>
    <w:rsid w:val="003571F0"/>
    <w:rsid w:val="0037597E"/>
    <w:rsid w:val="00381490"/>
    <w:rsid w:val="003816AF"/>
    <w:rsid w:val="003E59A4"/>
    <w:rsid w:val="00405DCA"/>
    <w:rsid w:val="00420F29"/>
    <w:rsid w:val="00471E24"/>
    <w:rsid w:val="004A04A6"/>
    <w:rsid w:val="004A0886"/>
    <w:rsid w:val="004B43EC"/>
    <w:rsid w:val="004B5FC9"/>
    <w:rsid w:val="004B729A"/>
    <w:rsid w:val="004C0A5A"/>
    <w:rsid w:val="004E1A03"/>
    <w:rsid w:val="0050328B"/>
    <w:rsid w:val="00516009"/>
    <w:rsid w:val="005246BF"/>
    <w:rsid w:val="005359E6"/>
    <w:rsid w:val="00536EF2"/>
    <w:rsid w:val="00537390"/>
    <w:rsid w:val="0054396D"/>
    <w:rsid w:val="005634B5"/>
    <w:rsid w:val="00566AA0"/>
    <w:rsid w:val="00583A69"/>
    <w:rsid w:val="005A2BA8"/>
    <w:rsid w:val="005D570C"/>
    <w:rsid w:val="005E070F"/>
    <w:rsid w:val="005E6151"/>
    <w:rsid w:val="00605208"/>
    <w:rsid w:val="00613358"/>
    <w:rsid w:val="006146B8"/>
    <w:rsid w:val="006151CF"/>
    <w:rsid w:val="00623004"/>
    <w:rsid w:val="00655706"/>
    <w:rsid w:val="00660029"/>
    <w:rsid w:val="00662D4F"/>
    <w:rsid w:val="00671209"/>
    <w:rsid w:val="006736BC"/>
    <w:rsid w:val="006737C9"/>
    <w:rsid w:val="00675C7C"/>
    <w:rsid w:val="0067645E"/>
    <w:rsid w:val="00686D18"/>
    <w:rsid w:val="006C0001"/>
    <w:rsid w:val="006C28B4"/>
    <w:rsid w:val="006C6B6A"/>
    <w:rsid w:val="006D3AFD"/>
    <w:rsid w:val="006E0BA6"/>
    <w:rsid w:val="006F5B50"/>
    <w:rsid w:val="007316C2"/>
    <w:rsid w:val="00760599"/>
    <w:rsid w:val="0076484C"/>
    <w:rsid w:val="007735B9"/>
    <w:rsid w:val="00774AE2"/>
    <w:rsid w:val="0078000D"/>
    <w:rsid w:val="00782596"/>
    <w:rsid w:val="00796A0C"/>
    <w:rsid w:val="007A15FB"/>
    <w:rsid w:val="007C4455"/>
    <w:rsid w:val="007C6494"/>
    <w:rsid w:val="00810EA4"/>
    <w:rsid w:val="00812484"/>
    <w:rsid w:val="00816F38"/>
    <w:rsid w:val="008414C0"/>
    <w:rsid w:val="008455D1"/>
    <w:rsid w:val="00863752"/>
    <w:rsid w:val="00866622"/>
    <w:rsid w:val="00886E72"/>
    <w:rsid w:val="008A7140"/>
    <w:rsid w:val="008B0CC8"/>
    <w:rsid w:val="008E4EAB"/>
    <w:rsid w:val="008F39C0"/>
    <w:rsid w:val="008F58CB"/>
    <w:rsid w:val="008F68AD"/>
    <w:rsid w:val="00900F41"/>
    <w:rsid w:val="00903715"/>
    <w:rsid w:val="00912703"/>
    <w:rsid w:val="00935D1B"/>
    <w:rsid w:val="00945C58"/>
    <w:rsid w:val="00963522"/>
    <w:rsid w:val="0096506C"/>
    <w:rsid w:val="009867AC"/>
    <w:rsid w:val="009954E5"/>
    <w:rsid w:val="009A29A8"/>
    <w:rsid w:val="009B7909"/>
    <w:rsid w:val="009C05F3"/>
    <w:rsid w:val="009F3B92"/>
    <w:rsid w:val="00A024A1"/>
    <w:rsid w:val="00A0539C"/>
    <w:rsid w:val="00A05547"/>
    <w:rsid w:val="00A07A8D"/>
    <w:rsid w:val="00A35D52"/>
    <w:rsid w:val="00A50E48"/>
    <w:rsid w:val="00A672AD"/>
    <w:rsid w:val="00A75D50"/>
    <w:rsid w:val="00A774B9"/>
    <w:rsid w:val="00AB1223"/>
    <w:rsid w:val="00AB5C87"/>
    <w:rsid w:val="00AC27A4"/>
    <w:rsid w:val="00AC62BB"/>
    <w:rsid w:val="00B05EDC"/>
    <w:rsid w:val="00B36A03"/>
    <w:rsid w:val="00B92F8D"/>
    <w:rsid w:val="00BA7FD6"/>
    <w:rsid w:val="00BD0885"/>
    <w:rsid w:val="00BF49EA"/>
    <w:rsid w:val="00C0433E"/>
    <w:rsid w:val="00C10137"/>
    <w:rsid w:val="00C14FC1"/>
    <w:rsid w:val="00C20509"/>
    <w:rsid w:val="00C274A0"/>
    <w:rsid w:val="00C33F80"/>
    <w:rsid w:val="00C35EC6"/>
    <w:rsid w:val="00C4762A"/>
    <w:rsid w:val="00C51132"/>
    <w:rsid w:val="00C60E34"/>
    <w:rsid w:val="00C65136"/>
    <w:rsid w:val="00C72443"/>
    <w:rsid w:val="00C73449"/>
    <w:rsid w:val="00C80340"/>
    <w:rsid w:val="00C81D29"/>
    <w:rsid w:val="00C84C2F"/>
    <w:rsid w:val="00CA6D65"/>
    <w:rsid w:val="00CB06AA"/>
    <w:rsid w:val="00CB0898"/>
    <w:rsid w:val="00CB3C78"/>
    <w:rsid w:val="00CC2F65"/>
    <w:rsid w:val="00CC76FD"/>
    <w:rsid w:val="00D114EF"/>
    <w:rsid w:val="00D12155"/>
    <w:rsid w:val="00D27373"/>
    <w:rsid w:val="00D36CCA"/>
    <w:rsid w:val="00D405C6"/>
    <w:rsid w:val="00D42C61"/>
    <w:rsid w:val="00D47EDF"/>
    <w:rsid w:val="00D52269"/>
    <w:rsid w:val="00D55A24"/>
    <w:rsid w:val="00D60C11"/>
    <w:rsid w:val="00D7245D"/>
    <w:rsid w:val="00D84470"/>
    <w:rsid w:val="00D877CB"/>
    <w:rsid w:val="00D96995"/>
    <w:rsid w:val="00DA6636"/>
    <w:rsid w:val="00DA70C2"/>
    <w:rsid w:val="00DC460E"/>
    <w:rsid w:val="00DC5680"/>
    <w:rsid w:val="00DD1520"/>
    <w:rsid w:val="00DE727A"/>
    <w:rsid w:val="00E12D22"/>
    <w:rsid w:val="00E17089"/>
    <w:rsid w:val="00E45655"/>
    <w:rsid w:val="00E53C1B"/>
    <w:rsid w:val="00E639BC"/>
    <w:rsid w:val="00E74D7D"/>
    <w:rsid w:val="00E8172B"/>
    <w:rsid w:val="00EB3A6D"/>
    <w:rsid w:val="00EC46BF"/>
    <w:rsid w:val="00EE1197"/>
    <w:rsid w:val="00EE4ED1"/>
    <w:rsid w:val="00EE4FFE"/>
    <w:rsid w:val="00EF3BA4"/>
    <w:rsid w:val="00EF7DE7"/>
    <w:rsid w:val="00F0387F"/>
    <w:rsid w:val="00F10CF1"/>
    <w:rsid w:val="00F140EF"/>
    <w:rsid w:val="00F4263A"/>
    <w:rsid w:val="00F674D8"/>
    <w:rsid w:val="00F92E99"/>
    <w:rsid w:val="00F97278"/>
    <w:rsid w:val="00FA20AC"/>
    <w:rsid w:val="00FA37C2"/>
    <w:rsid w:val="00FE40DB"/>
    <w:rsid w:val="00FF48B6"/>
    <w:rsid w:val="01B57086"/>
    <w:rsid w:val="026E4DFC"/>
    <w:rsid w:val="05BC343B"/>
    <w:rsid w:val="0765435D"/>
    <w:rsid w:val="09152EA8"/>
    <w:rsid w:val="10AC665A"/>
    <w:rsid w:val="1321035B"/>
    <w:rsid w:val="13677A29"/>
    <w:rsid w:val="141319BD"/>
    <w:rsid w:val="1626390B"/>
    <w:rsid w:val="1AAC2533"/>
    <w:rsid w:val="1C0C5A28"/>
    <w:rsid w:val="1E0F0D09"/>
    <w:rsid w:val="1E1C6CAC"/>
    <w:rsid w:val="1E8C282B"/>
    <w:rsid w:val="1F62545B"/>
    <w:rsid w:val="234D2904"/>
    <w:rsid w:val="235439E4"/>
    <w:rsid w:val="23BF43F4"/>
    <w:rsid w:val="246D0A09"/>
    <w:rsid w:val="2578253B"/>
    <w:rsid w:val="273C1D07"/>
    <w:rsid w:val="27CA0577"/>
    <w:rsid w:val="284358C7"/>
    <w:rsid w:val="29BB1E01"/>
    <w:rsid w:val="2AF103E2"/>
    <w:rsid w:val="2BCD0048"/>
    <w:rsid w:val="2D021ECA"/>
    <w:rsid w:val="300A22DD"/>
    <w:rsid w:val="305F1B4D"/>
    <w:rsid w:val="30FF56C1"/>
    <w:rsid w:val="33C00B55"/>
    <w:rsid w:val="355A28E3"/>
    <w:rsid w:val="35B879B7"/>
    <w:rsid w:val="37F94729"/>
    <w:rsid w:val="3F0B2B26"/>
    <w:rsid w:val="407C3957"/>
    <w:rsid w:val="408829FA"/>
    <w:rsid w:val="41326D3A"/>
    <w:rsid w:val="443F1622"/>
    <w:rsid w:val="46FA34B9"/>
    <w:rsid w:val="47CB1DB0"/>
    <w:rsid w:val="47EC3B58"/>
    <w:rsid w:val="4A042957"/>
    <w:rsid w:val="4CF0343A"/>
    <w:rsid w:val="52D945C0"/>
    <w:rsid w:val="535501FA"/>
    <w:rsid w:val="54373341"/>
    <w:rsid w:val="55006BAB"/>
    <w:rsid w:val="579B57CA"/>
    <w:rsid w:val="57E0768C"/>
    <w:rsid w:val="5C3F70F9"/>
    <w:rsid w:val="5CF50DF8"/>
    <w:rsid w:val="5E5667CA"/>
    <w:rsid w:val="5F740E47"/>
    <w:rsid w:val="63534C92"/>
    <w:rsid w:val="660D4A4B"/>
    <w:rsid w:val="69336095"/>
    <w:rsid w:val="6C187C3F"/>
    <w:rsid w:val="6E192634"/>
    <w:rsid w:val="6E3A4840"/>
    <w:rsid w:val="72BE7A43"/>
    <w:rsid w:val="735F4FF4"/>
    <w:rsid w:val="73F53915"/>
    <w:rsid w:val="78E57335"/>
    <w:rsid w:val="7A210E8A"/>
    <w:rsid w:val="7B6F0CD0"/>
    <w:rsid w:val="7D6D6DD4"/>
    <w:rsid w:val="7E527BC8"/>
    <w:rsid w:val="7F6F6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1"/>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2"/>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3"/>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4"/>
    <w:qFormat/>
    <w:uiPriority w:val="0"/>
    <w:pPr>
      <w:keepNext/>
      <w:keepLines/>
      <w:spacing w:before="240" w:after="64" w:line="320" w:lineRule="auto"/>
      <w:outlineLvl w:val="8"/>
    </w:pPr>
    <w:rPr>
      <w:rFonts w:ascii="Arial" w:hAnsi="Arial" w:eastAsia="黑体" w:cs="Times New Roman"/>
      <w:sz w:val="28"/>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unhideWhenUsed/>
    <w:qFormat/>
    <w:uiPriority w:val="0"/>
    <w:pPr>
      <w:ind w:left="1260"/>
      <w:jc w:val="left"/>
    </w:pPr>
    <w:rPr>
      <w:rFonts w:ascii="Calibri" w:hAnsi="Calibri" w:eastAsia="宋体" w:cs="Times New Roman"/>
      <w:sz w:val="18"/>
      <w:szCs w:val="18"/>
    </w:rPr>
  </w:style>
  <w:style w:type="paragraph" w:styleId="13">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14">
    <w:name w:val="index 8"/>
    <w:basedOn w:val="1"/>
    <w:next w:val="1"/>
    <w:qFormat/>
    <w:uiPriority w:val="0"/>
    <w:pPr>
      <w:ind w:left="2940"/>
    </w:pPr>
    <w:rPr>
      <w:rFonts w:ascii="Times New Roman" w:hAnsi="Times New Roman" w:eastAsia="宋体" w:cs="Times New Roman"/>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Normal Indent"/>
    <w:basedOn w:val="1"/>
    <w:link w:val="147"/>
    <w:qFormat/>
    <w:uiPriority w:val="0"/>
    <w:pPr>
      <w:ind w:firstLine="420"/>
    </w:p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197"/>
    <w:qFormat/>
    <w:uiPriority w:val="0"/>
    <w:pPr>
      <w:shd w:val="clear" w:color="auto" w:fill="000080"/>
    </w:pPr>
    <w:rPr>
      <w:szCs w:val="24"/>
    </w:rPr>
  </w:style>
  <w:style w:type="paragraph" w:styleId="19">
    <w:name w:val="annotation text"/>
    <w:basedOn w:val="1"/>
    <w:link w:val="193"/>
    <w:qFormat/>
    <w:uiPriority w:val="99"/>
    <w:pPr>
      <w:jc w:val="left"/>
    </w:pPr>
    <w:rPr>
      <w:szCs w:val="24"/>
    </w:rPr>
  </w:style>
  <w:style w:type="paragraph" w:styleId="20">
    <w:name w:val="Body Text 3"/>
    <w:basedOn w:val="1"/>
    <w:link w:val="196"/>
    <w:qFormat/>
    <w:uiPriority w:val="0"/>
    <w:rPr>
      <w:b/>
      <w:bCs/>
      <w:szCs w:val="24"/>
    </w:rPr>
  </w:style>
  <w:style w:type="paragraph" w:styleId="21">
    <w:name w:val="Body Text"/>
    <w:basedOn w:val="1"/>
    <w:next w:val="22"/>
    <w:link w:val="195"/>
    <w:qFormat/>
    <w:uiPriority w:val="0"/>
    <w:rPr>
      <w:rFonts w:ascii="金山简黑体" w:hAnsi="Courier New" w:eastAsia="金山简黑体"/>
      <w:b/>
      <w:spacing w:val="-8"/>
      <w:sz w:val="44"/>
    </w:rPr>
  </w:style>
  <w:style w:type="paragraph" w:styleId="22">
    <w:name w:val="Date"/>
    <w:basedOn w:val="1"/>
    <w:next w:val="1"/>
    <w:link w:val="191"/>
    <w:qFormat/>
    <w:uiPriority w:val="0"/>
    <w:pPr>
      <w:ind w:left="100" w:leftChars="2500"/>
    </w:pPr>
    <w:rPr>
      <w:rFonts w:ascii="宋体" w:hAnsi="Courier New"/>
      <w:bCs/>
      <w:sz w:val="24"/>
    </w:rPr>
  </w:style>
  <w:style w:type="paragraph" w:styleId="23">
    <w:name w:val="Body Text Indent"/>
    <w:basedOn w:val="1"/>
    <w:link w:val="198"/>
    <w:qFormat/>
    <w:uiPriority w:val="0"/>
    <w:pPr>
      <w:spacing w:line="200" w:lineRule="exact"/>
      <w:ind w:firstLine="301"/>
    </w:pPr>
    <w:rPr>
      <w:rFonts w:ascii="宋体" w:hAnsi="Courier New"/>
      <w:spacing w:val="-4"/>
      <w:sz w:val="18"/>
    </w:rPr>
  </w:style>
  <w:style w:type="paragraph" w:styleId="24">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5">
    <w:name w:val="List 2"/>
    <w:basedOn w:val="1"/>
    <w:qFormat/>
    <w:uiPriority w:val="0"/>
    <w:pPr>
      <w:ind w:left="100" w:leftChars="200" w:hanging="200" w:hangingChars="200"/>
    </w:pPr>
    <w:rPr>
      <w:rFonts w:ascii="宋体" w:hAnsi="Courier New" w:eastAsia="宋体" w:cs="Times New Roman"/>
      <w:szCs w:val="20"/>
    </w:rPr>
  </w:style>
  <w:style w:type="paragraph" w:styleId="26">
    <w:name w:val="Block Text"/>
    <w:basedOn w:val="1"/>
    <w:qFormat/>
    <w:uiPriority w:val="0"/>
    <w:pPr>
      <w:autoSpaceDE w:val="0"/>
      <w:autoSpaceDN w:val="0"/>
      <w:spacing w:line="500" w:lineRule="exact"/>
      <w:ind w:left="391" w:right="246"/>
    </w:pPr>
    <w:rPr>
      <w:rFonts w:ascii="仿宋_GB2312" w:hAnsi="Times New Roman" w:eastAsia="仿宋_GB2312" w:cs="仿宋_GB2312"/>
      <w:sz w:val="24"/>
      <w:szCs w:val="24"/>
    </w:rPr>
  </w:style>
  <w:style w:type="paragraph" w:styleId="27">
    <w:name w:val="toc 5"/>
    <w:basedOn w:val="1"/>
    <w:next w:val="1"/>
    <w:unhideWhenUsed/>
    <w:qFormat/>
    <w:uiPriority w:val="0"/>
    <w:pPr>
      <w:ind w:left="840"/>
      <w:jc w:val="left"/>
    </w:pPr>
    <w:rPr>
      <w:rFonts w:ascii="Calibri" w:hAnsi="Calibri" w:eastAsia="宋体" w:cs="Times New Roman"/>
      <w:sz w:val="18"/>
      <w:szCs w:val="18"/>
    </w:rPr>
  </w:style>
  <w:style w:type="paragraph" w:styleId="28">
    <w:name w:val="toc 3"/>
    <w:basedOn w:val="1"/>
    <w:next w:val="1"/>
    <w:qFormat/>
    <w:uiPriority w:val="0"/>
    <w:pPr>
      <w:ind w:left="840" w:leftChars="400"/>
    </w:pPr>
    <w:rPr>
      <w:rFonts w:ascii="Times New Roman" w:hAnsi="Times New Roman" w:eastAsia="宋体" w:cs="Times New Roman"/>
      <w:szCs w:val="24"/>
    </w:rPr>
  </w:style>
  <w:style w:type="paragraph" w:styleId="29">
    <w:name w:val="Plain Text"/>
    <w:basedOn w:val="1"/>
    <w:link w:val="203"/>
    <w:qFormat/>
    <w:uiPriority w:val="99"/>
    <w:rPr>
      <w:rFonts w:ascii="宋体" w:hAnsi="Courier New"/>
    </w:rPr>
  </w:style>
  <w:style w:type="paragraph" w:styleId="30">
    <w:name w:val="toc 8"/>
    <w:basedOn w:val="1"/>
    <w:next w:val="1"/>
    <w:unhideWhenUsed/>
    <w:qFormat/>
    <w:uiPriority w:val="0"/>
    <w:pPr>
      <w:ind w:left="1470"/>
      <w:jc w:val="left"/>
    </w:pPr>
    <w:rPr>
      <w:rFonts w:ascii="Calibri" w:hAnsi="Calibri" w:eastAsia="宋体" w:cs="Times New Roman"/>
      <w:sz w:val="18"/>
      <w:szCs w:val="18"/>
    </w:rPr>
  </w:style>
  <w:style w:type="paragraph" w:styleId="31">
    <w:name w:val="Body Text Indent 2"/>
    <w:basedOn w:val="1"/>
    <w:link w:val="202"/>
    <w:qFormat/>
    <w:uiPriority w:val="0"/>
    <w:pPr>
      <w:ind w:firstLine="412" w:firstLineChars="196"/>
    </w:pPr>
    <w:rPr>
      <w:szCs w:val="24"/>
    </w:rPr>
  </w:style>
  <w:style w:type="paragraph" w:styleId="32">
    <w:name w:val="Balloon Text"/>
    <w:basedOn w:val="1"/>
    <w:link w:val="206"/>
    <w:qFormat/>
    <w:uiPriority w:val="0"/>
    <w:rPr>
      <w:sz w:val="18"/>
      <w:szCs w:val="18"/>
    </w:rPr>
  </w:style>
  <w:style w:type="paragraph" w:styleId="33">
    <w:name w:val="footer"/>
    <w:basedOn w:val="1"/>
    <w:link w:val="65"/>
    <w:unhideWhenUsed/>
    <w:qFormat/>
    <w:uiPriority w:val="0"/>
    <w:pPr>
      <w:tabs>
        <w:tab w:val="center" w:pos="4153"/>
        <w:tab w:val="right" w:pos="8306"/>
      </w:tabs>
      <w:snapToGrid w:val="0"/>
      <w:jc w:val="left"/>
    </w:pPr>
    <w:rPr>
      <w:sz w:val="18"/>
      <w:szCs w:val="18"/>
    </w:rPr>
  </w:style>
  <w:style w:type="paragraph" w:styleId="34">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rPr>
      <w:rFonts w:ascii="Times New Roman" w:hAnsi="Times New Roman" w:eastAsia="宋体" w:cs="Times New Roman"/>
      <w:szCs w:val="24"/>
    </w:rPr>
  </w:style>
  <w:style w:type="paragraph" w:styleId="36">
    <w:name w:val="toc 4"/>
    <w:basedOn w:val="1"/>
    <w:next w:val="1"/>
    <w:unhideWhenUsed/>
    <w:qFormat/>
    <w:uiPriority w:val="0"/>
    <w:pPr>
      <w:ind w:left="630"/>
      <w:jc w:val="left"/>
    </w:pPr>
    <w:rPr>
      <w:rFonts w:ascii="Calibri" w:hAnsi="Calibri" w:eastAsia="宋体" w:cs="Times New Roman"/>
      <w:sz w:val="18"/>
      <w:szCs w:val="18"/>
    </w:rPr>
  </w:style>
  <w:style w:type="paragraph" w:styleId="37">
    <w:name w:val="List"/>
    <w:basedOn w:val="1"/>
    <w:qFormat/>
    <w:uiPriority w:val="0"/>
    <w:pPr>
      <w:ind w:left="200" w:hanging="200" w:hangingChars="200"/>
    </w:pPr>
    <w:rPr>
      <w:rFonts w:ascii="Times New Roman" w:hAnsi="Times New Roman" w:eastAsia="宋体" w:cs="Times New Roman"/>
      <w:sz w:val="28"/>
      <w:szCs w:val="24"/>
    </w:rPr>
  </w:style>
  <w:style w:type="paragraph" w:styleId="38">
    <w:name w:val="toc 6"/>
    <w:basedOn w:val="1"/>
    <w:next w:val="1"/>
    <w:unhideWhenUsed/>
    <w:qFormat/>
    <w:uiPriority w:val="0"/>
    <w:pPr>
      <w:ind w:left="1050"/>
      <w:jc w:val="left"/>
    </w:pPr>
    <w:rPr>
      <w:rFonts w:ascii="Calibri" w:hAnsi="Calibri" w:eastAsia="宋体" w:cs="Times New Roman"/>
      <w:sz w:val="18"/>
      <w:szCs w:val="18"/>
    </w:rPr>
  </w:style>
  <w:style w:type="paragraph" w:styleId="39">
    <w:name w:val="List 5"/>
    <w:basedOn w:val="1"/>
    <w:qFormat/>
    <w:uiPriority w:val="0"/>
    <w:pPr>
      <w:ind w:left="2100" w:hanging="420"/>
    </w:pPr>
    <w:rPr>
      <w:rFonts w:ascii="Times New Roman" w:hAnsi="Times New Roman" w:eastAsia="宋体" w:cs="Times New Roman"/>
      <w:szCs w:val="20"/>
    </w:rPr>
  </w:style>
  <w:style w:type="paragraph" w:styleId="40">
    <w:name w:val="Body Text Indent 3"/>
    <w:basedOn w:val="1"/>
    <w:link w:val="192"/>
    <w:qFormat/>
    <w:uiPriority w:val="0"/>
    <w:pPr>
      <w:ind w:firstLine="420"/>
    </w:pPr>
    <w:rPr>
      <w:color w:val="000000"/>
      <w:szCs w:val="24"/>
    </w:rPr>
  </w:style>
  <w:style w:type="paragraph" w:styleId="41">
    <w:name w:val="toc 2"/>
    <w:basedOn w:val="1"/>
    <w:next w:val="1"/>
    <w:qFormat/>
    <w:uiPriority w:val="0"/>
    <w:pPr>
      <w:ind w:left="420" w:leftChars="200"/>
    </w:pPr>
    <w:rPr>
      <w:rFonts w:ascii="Times New Roman" w:hAnsi="Times New Roman" w:eastAsia="宋体" w:cs="Times New Roman"/>
      <w:szCs w:val="24"/>
    </w:rPr>
  </w:style>
  <w:style w:type="paragraph" w:styleId="42">
    <w:name w:val="toc 9"/>
    <w:basedOn w:val="1"/>
    <w:next w:val="1"/>
    <w:unhideWhenUsed/>
    <w:qFormat/>
    <w:uiPriority w:val="0"/>
    <w:pPr>
      <w:ind w:left="1680"/>
      <w:jc w:val="left"/>
    </w:pPr>
    <w:rPr>
      <w:rFonts w:ascii="Calibri" w:hAnsi="Calibri" w:eastAsia="宋体" w:cs="Times New Roman"/>
      <w:sz w:val="18"/>
      <w:szCs w:val="18"/>
    </w:rPr>
  </w:style>
  <w:style w:type="paragraph" w:styleId="43">
    <w:name w:val="Body Text 2"/>
    <w:basedOn w:val="1"/>
    <w:link w:val="200"/>
    <w:qFormat/>
    <w:uiPriority w:val="0"/>
    <w:pPr>
      <w:jc w:val="center"/>
    </w:pPr>
    <w:rPr>
      <w:rFonts w:ascii="宋体" w:hAnsi="宋体"/>
      <w:color w:val="0000FF"/>
      <w:szCs w:val="18"/>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HTML Preformatted"/>
    <w:basedOn w:val="1"/>
    <w:link w:val="2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47">
    <w:name w:val="Normal (Web)"/>
    <w:basedOn w:val="1"/>
    <w:qFormat/>
    <w:uiPriority w:val="0"/>
    <w:pPr>
      <w:spacing w:line="360" w:lineRule="auto"/>
    </w:pPr>
    <w:rPr>
      <w:rFonts w:ascii="Times New Roman" w:hAnsi="Times New Roman" w:eastAsia="仿宋_GB2312" w:cs="Times New Roman"/>
      <w:sz w:val="24"/>
      <w:szCs w:val="24"/>
    </w:rPr>
  </w:style>
  <w:style w:type="paragraph" w:styleId="48">
    <w:name w:val="index 1"/>
    <w:basedOn w:val="1"/>
    <w:next w:val="1"/>
    <w:qFormat/>
    <w:uiPriority w:val="0"/>
    <w:pPr>
      <w:spacing w:line="240" w:lineRule="exact"/>
      <w:ind w:firstLine="420" w:firstLineChars="200"/>
    </w:pPr>
    <w:rPr>
      <w:rFonts w:ascii="宋体" w:hAnsi="宋体" w:eastAsia="宋体" w:cs="Times New Roman"/>
      <w:bCs/>
      <w:szCs w:val="21"/>
    </w:rPr>
  </w:style>
  <w:style w:type="paragraph" w:styleId="49">
    <w:name w:val="Title"/>
    <w:basedOn w:val="1"/>
    <w:next w:val="1"/>
    <w:link w:val="199"/>
    <w:qFormat/>
    <w:uiPriority w:val="0"/>
    <w:pPr>
      <w:spacing w:before="240" w:after="60"/>
      <w:jc w:val="center"/>
      <w:outlineLvl w:val="0"/>
    </w:pPr>
    <w:rPr>
      <w:rFonts w:ascii="Cambria" w:hAnsi="Cambria"/>
      <w:b/>
      <w:bCs/>
      <w:sz w:val="32"/>
      <w:szCs w:val="32"/>
    </w:rPr>
  </w:style>
  <w:style w:type="paragraph" w:styleId="50">
    <w:name w:val="annotation subject"/>
    <w:basedOn w:val="19"/>
    <w:next w:val="19"/>
    <w:link w:val="194"/>
    <w:qFormat/>
    <w:uiPriority w:val="0"/>
  </w:style>
  <w:style w:type="paragraph" w:styleId="51">
    <w:name w:val="Body Text First Indent"/>
    <w:basedOn w:val="1"/>
    <w:link w:val="201"/>
    <w:unhideWhenUsed/>
    <w:qFormat/>
    <w:uiPriority w:val="0"/>
    <w:pPr>
      <w:spacing w:after="120"/>
      <w:ind w:firstLine="420" w:firstLineChars="100"/>
    </w:pPr>
    <w:rPr>
      <w:rFonts w:ascii="金山简黑体" w:hAnsi="Courier New" w:eastAsia="金山简黑体"/>
      <w:b/>
      <w:spacing w:val="-8"/>
      <w:szCs w:val="24"/>
    </w:rPr>
  </w:style>
  <w:style w:type="paragraph" w:styleId="52">
    <w:name w:val="Body Text First Indent 2"/>
    <w:basedOn w:val="23"/>
    <w:next w:val="1"/>
    <w:link w:val="204"/>
    <w:qFormat/>
    <w:uiPriority w:val="0"/>
    <w:pPr>
      <w:spacing w:after="120" w:line="240" w:lineRule="auto"/>
      <w:ind w:left="420" w:leftChars="200" w:firstLine="420" w:firstLineChars="200"/>
    </w:pPr>
    <w:rPr>
      <w:sz w:val="21"/>
      <w:szCs w:val="24"/>
    </w:rPr>
  </w:style>
  <w:style w:type="table" w:styleId="54">
    <w:name w:val="Table Grid"/>
    <w:basedOn w:val="53"/>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line number"/>
    <w:basedOn w:val="55"/>
    <w:qFormat/>
    <w:uiPriority w:val="0"/>
  </w:style>
  <w:style w:type="character" w:styleId="61">
    <w:name w:val="Hyperlink"/>
    <w:qFormat/>
    <w:uiPriority w:val="0"/>
    <w:rPr>
      <w:rFonts w:hint="default" w:ascii="Arial" w:hAnsi="Arial" w:cs="Arial"/>
      <w:color w:val="003399"/>
      <w:sz w:val="18"/>
      <w:szCs w:val="18"/>
      <w:u w:val="none"/>
    </w:rPr>
  </w:style>
  <w:style w:type="character" w:styleId="62">
    <w:name w:val="HTML Code"/>
    <w:qFormat/>
    <w:uiPriority w:val="0"/>
    <w:rPr>
      <w:rFonts w:ascii="宋体" w:hAnsi="宋体" w:eastAsia="宋体" w:cs="宋体"/>
      <w:sz w:val="24"/>
      <w:szCs w:val="24"/>
    </w:rPr>
  </w:style>
  <w:style w:type="character" w:styleId="63">
    <w:name w:val="annotation reference"/>
    <w:qFormat/>
    <w:uiPriority w:val="99"/>
    <w:rPr>
      <w:sz w:val="21"/>
      <w:szCs w:val="21"/>
    </w:rPr>
  </w:style>
  <w:style w:type="character" w:customStyle="1" w:styleId="64">
    <w:name w:val="页眉 Char"/>
    <w:basedOn w:val="55"/>
    <w:link w:val="34"/>
    <w:qFormat/>
    <w:uiPriority w:val="0"/>
    <w:rPr>
      <w:sz w:val="18"/>
      <w:szCs w:val="18"/>
    </w:rPr>
  </w:style>
  <w:style w:type="character" w:customStyle="1" w:styleId="65">
    <w:name w:val="页脚 Char"/>
    <w:basedOn w:val="55"/>
    <w:link w:val="33"/>
    <w:qFormat/>
    <w:uiPriority w:val="0"/>
    <w:rPr>
      <w:sz w:val="18"/>
      <w:szCs w:val="18"/>
    </w:rPr>
  </w:style>
  <w:style w:type="character" w:customStyle="1" w:styleId="66">
    <w:name w:val="标题 1 Char"/>
    <w:basedOn w:val="55"/>
    <w:link w:val="2"/>
    <w:qFormat/>
    <w:uiPriority w:val="0"/>
    <w:rPr>
      <w:rFonts w:ascii="Times New Roman" w:hAnsi="Times New Roman" w:eastAsia="宋体" w:cs="Times New Roman"/>
      <w:b/>
      <w:bCs/>
      <w:kern w:val="44"/>
      <w:sz w:val="44"/>
      <w:szCs w:val="44"/>
    </w:rPr>
  </w:style>
  <w:style w:type="character" w:customStyle="1" w:styleId="67">
    <w:name w:val="标题 2 Char"/>
    <w:basedOn w:val="55"/>
    <w:link w:val="3"/>
    <w:qFormat/>
    <w:uiPriority w:val="0"/>
    <w:rPr>
      <w:rFonts w:ascii="Arial" w:hAnsi="Arial" w:eastAsia="黑体" w:cs="Times New Roman"/>
      <w:b/>
      <w:bCs/>
      <w:sz w:val="32"/>
      <w:szCs w:val="32"/>
    </w:rPr>
  </w:style>
  <w:style w:type="character" w:customStyle="1" w:styleId="68">
    <w:name w:val="标题 3 Char"/>
    <w:basedOn w:val="55"/>
    <w:link w:val="4"/>
    <w:qFormat/>
    <w:uiPriority w:val="0"/>
    <w:rPr>
      <w:rFonts w:ascii="Times New Roman" w:hAnsi="Times New Roman" w:eastAsia="宋体" w:cs="Times New Roman"/>
      <w:b/>
      <w:bCs/>
      <w:sz w:val="32"/>
      <w:szCs w:val="32"/>
    </w:rPr>
  </w:style>
  <w:style w:type="character" w:customStyle="1" w:styleId="69">
    <w:name w:val="标题 4 Char"/>
    <w:basedOn w:val="55"/>
    <w:link w:val="5"/>
    <w:qFormat/>
    <w:uiPriority w:val="0"/>
    <w:rPr>
      <w:rFonts w:ascii="Arial" w:hAnsi="Arial" w:eastAsia="黑体" w:cs="Times New Roman"/>
      <w:b/>
      <w:bCs/>
      <w:sz w:val="28"/>
      <w:szCs w:val="28"/>
    </w:rPr>
  </w:style>
  <w:style w:type="character" w:customStyle="1" w:styleId="70">
    <w:name w:val="标题 5 Char"/>
    <w:basedOn w:val="55"/>
    <w:link w:val="6"/>
    <w:qFormat/>
    <w:uiPriority w:val="0"/>
    <w:rPr>
      <w:rFonts w:ascii="Times New Roman" w:hAnsi="Times New Roman" w:eastAsia="宋体" w:cs="Times New Roman"/>
      <w:b/>
      <w:bCs/>
      <w:sz w:val="28"/>
      <w:szCs w:val="28"/>
    </w:rPr>
  </w:style>
  <w:style w:type="character" w:customStyle="1" w:styleId="71">
    <w:name w:val="标题 6 Char"/>
    <w:basedOn w:val="55"/>
    <w:link w:val="7"/>
    <w:qFormat/>
    <w:uiPriority w:val="0"/>
    <w:rPr>
      <w:rFonts w:ascii="Arial" w:hAnsi="Arial" w:eastAsia="黑体" w:cs="Times New Roman"/>
      <w:b/>
      <w:bCs/>
      <w:sz w:val="24"/>
      <w:szCs w:val="24"/>
    </w:rPr>
  </w:style>
  <w:style w:type="character" w:customStyle="1" w:styleId="72">
    <w:name w:val="标题 7 Char"/>
    <w:basedOn w:val="55"/>
    <w:link w:val="8"/>
    <w:qFormat/>
    <w:uiPriority w:val="0"/>
    <w:rPr>
      <w:rFonts w:ascii="Times New Roman" w:hAnsi="Times New Roman" w:eastAsia="宋体" w:cs="Times New Roman"/>
      <w:b/>
      <w:bCs/>
      <w:sz w:val="24"/>
      <w:szCs w:val="24"/>
    </w:rPr>
  </w:style>
  <w:style w:type="character" w:customStyle="1" w:styleId="73">
    <w:name w:val="标题 8 Char"/>
    <w:basedOn w:val="55"/>
    <w:link w:val="9"/>
    <w:qFormat/>
    <w:uiPriority w:val="0"/>
    <w:rPr>
      <w:rFonts w:ascii="Arial" w:hAnsi="Arial" w:eastAsia="黑体" w:cs="Times New Roman"/>
      <w:sz w:val="24"/>
      <w:szCs w:val="24"/>
    </w:rPr>
  </w:style>
  <w:style w:type="character" w:customStyle="1" w:styleId="74">
    <w:name w:val="标题 9 Char"/>
    <w:basedOn w:val="55"/>
    <w:link w:val="10"/>
    <w:qFormat/>
    <w:uiPriority w:val="0"/>
    <w:rPr>
      <w:rFonts w:ascii="Arial" w:hAnsi="Arial" w:eastAsia="黑体" w:cs="Times New Roman"/>
      <w:sz w:val="28"/>
      <w:szCs w:val="21"/>
    </w:rPr>
  </w:style>
  <w:style w:type="character" w:customStyle="1" w:styleId="75">
    <w:name w:val="wj1"/>
    <w:qFormat/>
    <w:uiPriority w:val="0"/>
    <w:rPr>
      <w:color w:val="000000"/>
      <w:sz w:val="18"/>
      <w:szCs w:val="18"/>
      <w:u w:val="none"/>
    </w:rPr>
  </w:style>
  <w:style w:type="character" w:customStyle="1" w:styleId="76">
    <w:name w:val="gray s"/>
    <w:basedOn w:val="55"/>
    <w:qFormat/>
    <w:uiPriority w:val="0"/>
  </w:style>
  <w:style w:type="character" w:customStyle="1" w:styleId="77">
    <w:name w:val="无间隔 Char"/>
    <w:link w:val="78"/>
    <w:qFormat/>
    <w:uiPriority w:val="1"/>
    <w:rPr>
      <w:szCs w:val="24"/>
    </w:rPr>
  </w:style>
  <w:style w:type="paragraph" w:styleId="78">
    <w:name w:val="No Spacing"/>
    <w:link w:val="77"/>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79">
    <w:name w:val="Char Char10"/>
    <w:qFormat/>
    <w:uiPriority w:val="0"/>
    <w:rPr>
      <w:rFonts w:ascii="Times New Roman" w:hAnsi="Times New Roman" w:eastAsia="宋体" w:cs="Times New Roman"/>
      <w:kern w:val="2"/>
      <w:sz w:val="21"/>
      <w:szCs w:val="24"/>
      <w:lang w:val="en-US" w:eastAsia="zh-CN" w:bidi="ar-SA"/>
    </w:rPr>
  </w:style>
  <w:style w:type="character" w:customStyle="1" w:styleId="80">
    <w:name w:val="style91"/>
    <w:qFormat/>
    <w:uiPriority w:val="0"/>
    <w:rPr>
      <w:color w:val="000000"/>
    </w:rPr>
  </w:style>
  <w:style w:type="character" w:customStyle="1" w:styleId="81">
    <w:name w:val="font61"/>
    <w:qFormat/>
    <w:uiPriority w:val="0"/>
    <w:rPr>
      <w:rFonts w:hint="eastAsia" w:ascii="宋体" w:hAnsi="宋体" w:eastAsia="宋体" w:cs="宋体"/>
      <w:color w:val="000000"/>
      <w:sz w:val="24"/>
      <w:szCs w:val="24"/>
      <w:u w:val="none"/>
      <w:vertAlign w:val="superscript"/>
    </w:rPr>
  </w:style>
  <w:style w:type="character" w:customStyle="1" w:styleId="82">
    <w:name w:val="正文缩进 Char1"/>
    <w:qFormat/>
    <w:uiPriority w:val="0"/>
    <w:rPr>
      <w:rFonts w:ascii="Times New Roman" w:hAnsi="Times New Roman" w:eastAsia="宋体" w:cs="Times New Roman"/>
      <w:kern w:val="2"/>
      <w:sz w:val="21"/>
      <w:lang w:val="en-US" w:eastAsia="zh-CN" w:bidi="ar-SA"/>
    </w:rPr>
  </w:style>
  <w:style w:type="character" w:customStyle="1" w:styleId="83">
    <w:name w:val="style1"/>
    <w:basedOn w:val="55"/>
    <w:qFormat/>
    <w:uiPriority w:val="0"/>
  </w:style>
  <w:style w:type="character" w:customStyle="1" w:styleId="84">
    <w:name w:val="apple-style-span"/>
    <w:basedOn w:val="55"/>
    <w:qFormat/>
    <w:uiPriority w:val="0"/>
  </w:style>
  <w:style w:type="character" w:customStyle="1" w:styleId="85">
    <w:name w:val="正文文本缩进 Char"/>
    <w:qFormat/>
    <w:uiPriority w:val="0"/>
    <w:rPr>
      <w:rFonts w:ascii="宋体" w:hAnsi="Courier New"/>
      <w:spacing w:val="-4"/>
      <w:sz w:val="18"/>
    </w:rPr>
  </w:style>
  <w:style w:type="character" w:customStyle="1" w:styleId="86">
    <w:name w:val="HTML 预设格式 Char2"/>
    <w:semiHidden/>
    <w:qFormat/>
    <w:uiPriority w:val="0"/>
    <w:rPr>
      <w:rFonts w:ascii="Courier New" w:hAnsi="Courier New" w:cs="Courier New"/>
      <w:kern w:val="2"/>
    </w:rPr>
  </w:style>
  <w:style w:type="character" w:customStyle="1" w:styleId="87">
    <w:name w:val="正文文本 Char1"/>
    <w:qFormat/>
    <w:uiPriority w:val="0"/>
    <w:rPr>
      <w:rFonts w:ascii="金山简黑体" w:hAnsi="Courier New" w:eastAsia="金山简黑体"/>
      <w:b/>
      <w:spacing w:val="-8"/>
      <w:sz w:val="44"/>
    </w:rPr>
  </w:style>
  <w:style w:type="character" w:customStyle="1" w:styleId="88">
    <w:name w:val="正文文本缩进 3 Char Char"/>
    <w:link w:val="89"/>
    <w:qFormat/>
    <w:uiPriority w:val="0"/>
    <w:rPr>
      <w:sz w:val="16"/>
      <w:szCs w:val="16"/>
    </w:rPr>
  </w:style>
  <w:style w:type="paragraph" w:customStyle="1" w:styleId="89">
    <w:name w:val="正文文本缩进 31"/>
    <w:basedOn w:val="1"/>
    <w:link w:val="88"/>
    <w:qFormat/>
    <w:uiPriority w:val="0"/>
    <w:pPr>
      <w:spacing w:after="120"/>
      <w:ind w:left="420" w:leftChars="200"/>
    </w:pPr>
    <w:rPr>
      <w:sz w:val="16"/>
      <w:szCs w:val="16"/>
    </w:rPr>
  </w:style>
  <w:style w:type="character" w:customStyle="1" w:styleId="90">
    <w:name w:val="普通文字1 Char1"/>
    <w:qFormat/>
    <w:uiPriority w:val="0"/>
    <w:rPr>
      <w:rFonts w:ascii="宋体" w:hAnsi="Courier New"/>
      <w:kern w:val="2"/>
      <w:sz w:val="24"/>
    </w:rPr>
  </w:style>
  <w:style w:type="character" w:customStyle="1" w:styleId="91">
    <w:name w:val="日期 Char1"/>
    <w:qFormat/>
    <w:uiPriority w:val="0"/>
    <w:rPr>
      <w:kern w:val="2"/>
      <w:sz w:val="21"/>
      <w:szCs w:val="24"/>
    </w:rPr>
  </w:style>
  <w:style w:type="character" w:customStyle="1" w:styleId="92">
    <w:name w:val="批注主题 Char"/>
    <w:qFormat/>
    <w:uiPriority w:val="0"/>
    <w:rPr>
      <w:szCs w:val="24"/>
    </w:rPr>
  </w:style>
  <w:style w:type="character" w:customStyle="1" w:styleId="93">
    <w:name w:val="062"/>
    <w:qFormat/>
    <w:uiPriority w:val="0"/>
    <w:rPr>
      <w:rFonts w:ascii="宋体" w:hAnsi="宋体"/>
      <w:b/>
      <w:bCs/>
      <w:sz w:val="32"/>
    </w:rPr>
  </w:style>
  <w:style w:type="character" w:customStyle="1" w:styleId="94">
    <w:name w:val="正文文本 Char"/>
    <w:qFormat/>
    <w:uiPriority w:val="0"/>
    <w:rPr>
      <w:rFonts w:eastAsia="宋体"/>
      <w:sz w:val="30"/>
      <w:szCs w:val="24"/>
      <w:lang w:bidi="ar-SA"/>
    </w:rPr>
  </w:style>
  <w:style w:type="character" w:customStyle="1" w:styleId="95">
    <w:name w:val="正文文本 2 Char"/>
    <w:qFormat/>
    <w:uiPriority w:val="0"/>
    <w:rPr>
      <w:rFonts w:ascii="宋体" w:hAnsi="宋体"/>
      <w:color w:val="0000FF"/>
      <w:szCs w:val="18"/>
    </w:rPr>
  </w:style>
  <w:style w:type="character" w:customStyle="1" w:styleId="96">
    <w:name w:val="text11"/>
    <w:qFormat/>
    <w:uiPriority w:val="0"/>
    <w:rPr>
      <w:rFonts w:hint="default" w:ascii="Verdana" w:hAnsi="Verdana"/>
      <w:color w:val="4E4E4E"/>
      <w:sz w:val="18"/>
      <w:szCs w:val="18"/>
    </w:rPr>
  </w:style>
  <w:style w:type="character" w:customStyle="1" w:styleId="97">
    <w:name w:val="text"/>
    <w:basedOn w:val="55"/>
    <w:qFormat/>
    <w:uiPriority w:val="0"/>
  </w:style>
  <w:style w:type="character" w:customStyle="1" w:styleId="98">
    <w:name w:val="普通文字 Char Char3"/>
    <w:qFormat/>
    <w:uiPriority w:val="0"/>
    <w:rPr>
      <w:rFonts w:ascii="宋体" w:hAnsi="Courier New" w:eastAsia="宋体" w:cs="Courier New"/>
      <w:kern w:val="2"/>
      <w:sz w:val="21"/>
      <w:szCs w:val="21"/>
      <w:lang w:val="en-US" w:eastAsia="zh-CN" w:bidi="ar-SA"/>
    </w:rPr>
  </w:style>
  <w:style w:type="character" w:customStyle="1" w:styleId="99">
    <w:name w:val="A正文小四 Char"/>
    <w:link w:val="100"/>
    <w:qFormat/>
    <w:locked/>
    <w:uiPriority w:val="0"/>
    <w:rPr>
      <w:sz w:val="24"/>
      <w:szCs w:val="24"/>
    </w:rPr>
  </w:style>
  <w:style w:type="paragraph" w:customStyle="1" w:styleId="100">
    <w:name w:val="A正文小四"/>
    <w:basedOn w:val="1"/>
    <w:link w:val="99"/>
    <w:qFormat/>
    <w:uiPriority w:val="0"/>
    <w:pPr>
      <w:spacing w:line="360" w:lineRule="auto"/>
      <w:ind w:firstLine="200" w:firstLineChars="200"/>
    </w:pPr>
    <w:rPr>
      <w:sz w:val="24"/>
      <w:szCs w:val="24"/>
    </w:rPr>
  </w:style>
  <w:style w:type="character" w:customStyle="1" w:styleId="101">
    <w:name w:val="正文文本 Char2"/>
    <w:semiHidden/>
    <w:qFormat/>
    <w:uiPriority w:val="0"/>
    <w:rPr>
      <w:kern w:val="2"/>
      <w:sz w:val="21"/>
      <w:szCs w:val="24"/>
    </w:rPr>
  </w:style>
  <w:style w:type="character" w:customStyle="1" w:styleId="102">
    <w:name w:val="正文文本缩进 2 Char"/>
    <w:qFormat/>
    <w:locked/>
    <w:uiPriority w:val="0"/>
    <w:rPr>
      <w:szCs w:val="24"/>
    </w:rPr>
  </w:style>
  <w:style w:type="character" w:customStyle="1" w:styleId="103">
    <w:name w:val="style21"/>
    <w:qFormat/>
    <w:uiPriority w:val="0"/>
    <w:rPr>
      <w:sz w:val="17"/>
      <w:szCs w:val="17"/>
    </w:rPr>
  </w:style>
  <w:style w:type="character" w:customStyle="1" w:styleId="104">
    <w:name w:val="u3"/>
    <w:basedOn w:val="55"/>
    <w:qFormat/>
    <w:uiPriority w:val="0"/>
  </w:style>
  <w:style w:type="character" w:customStyle="1" w:styleId="105">
    <w:name w:val="正文文本 3 Char"/>
    <w:qFormat/>
    <w:uiPriority w:val="0"/>
    <w:rPr>
      <w:b/>
      <w:bCs/>
      <w:szCs w:val="24"/>
    </w:rPr>
  </w:style>
  <w:style w:type="character" w:customStyle="1" w:styleId="106">
    <w:name w:val="标题 Char"/>
    <w:qFormat/>
    <w:uiPriority w:val="0"/>
    <w:rPr>
      <w:rFonts w:ascii="Cambria" w:hAnsi="Cambria"/>
      <w:b/>
      <w:bCs/>
      <w:sz w:val="32"/>
      <w:szCs w:val="32"/>
    </w:rPr>
  </w:style>
  <w:style w:type="character" w:customStyle="1" w:styleId="107">
    <w:name w:val="正文（雅黑四号） Char"/>
    <w:link w:val="108"/>
    <w:qFormat/>
    <w:uiPriority w:val="0"/>
    <w:rPr>
      <w:rFonts w:ascii="微软雅黑" w:hAnsi="微软雅黑" w:eastAsia="微软雅黑"/>
      <w:sz w:val="24"/>
      <w:szCs w:val="28"/>
    </w:rPr>
  </w:style>
  <w:style w:type="paragraph" w:customStyle="1" w:styleId="108">
    <w:name w:val="正文（雅黑四号）"/>
    <w:basedOn w:val="1"/>
    <w:link w:val="107"/>
    <w:qFormat/>
    <w:uiPriority w:val="0"/>
    <w:pPr>
      <w:autoSpaceDE w:val="0"/>
      <w:autoSpaceDN w:val="0"/>
      <w:adjustRightInd w:val="0"/>
      <w:spacing w:line="240" w:lineRule="atLeast"/>
      <w:ind w:firstLine="200" w:firstLineChars="200"/>
      <w:jc w:val="left"/>
    </w:pPr>
    <w:rPr>
      <w:rFonts w:ascii="微软雅黑" w:hAnsi="微软雅黑" w:eastAsia="微软雅黑"/>
      <w:sz w:val="24"/>
      <w:szCs w:val="28"/>
    </w:rPr>
  </w:style>
  <w:style w:type="character" w:customStyle="1" w:styleId="109">
    <w:name w:val="H1 Char"/>
    <w:qFormat/>
    <w:uiPriority w:val="0"/>
    <w:rPr>
      <w:rFonts w:eastAsia="黑体"/>
      <w:b/>
      <w:kern w:val="44"/>
      <w:sz w:val="28"/>
      <w:lang w:val="en-US" w:eastAsia="zh-CN" w:bidi="ar-SA"/>
    </w:rPr>
  </w:style>
  <w:style w:type="character" w:customStyle="1" w:styleId="110">
    <w:name w:val="标题 3 Char1"/>
    <w:qFormat/>
    <w:uiPriority w:val="0"/>
    <w:rPr>
      <w:rFonts w:eastAsia="宋体"/>
      <w:b/>
      <w:bCs/>
      <w:kern w:val="2"/>
      <w:sz w:val="32"/>
      <w:szCs w:val="32"/>
      <w:lang w:val="en-US" w:eastAsia="zh-CN" w:bidi="ar-SA"/>
    </w:rPr>
  </w:style>
  <w:style w:type="character" w:customStyle="1" w:styleId="111">
    <w:name w:val="纯文本 Char1"/>
    <w:qFormat/>
    <w:uiPriority w:val="0"/>
    <w:rPr>
      <w:rFonts w:ascii="宋体" w:hAnsi="Courier New" w:eastAsia="宋体"/>
      <w:kern w:val="2"/>
      <w:sz w:val="21"/>
      <w:lang w:val="en-US" w:eastAsia="zh-CN" w:bidi="ar-SA"/>
    </w:rPr>
  </w:style>
  <w:style w:type="character" w:customStyle="1" w:styleId="112">
    <w:name w:val="方案正文 Char"/>
    <w:link w:val="113"/>
    <w:qFormat/>
    <w:uiPriority w:val="0"/>
    <w:rPr>
      <w:rFonts w:eastAsia="仿宋_GB2312" w:cs="宋体"/>
      <w:sz w:val="24"/>
    </w:rPr>
  </w:style>
  <w:style w:type="paragraph" w:customStyle="1" w:styleId="113">
    <w:name w:val="方案正文"/>
    <w:basedOn w:val="1"/>
    <w:link w:val="112"/>
    <w:qFormat/>
    <w:uiPriority w:val="0"/>
    <w:pPr>
      <w:spacing w:line="360" w:lineRule="auto"/>
      <w:ind w:firstLine="420"/>
      <w:jc w:val="left"/>
    </w:pPr>
    <w:rPr>
      <w:rFonts w:eastAsia="仿宋_GB2312" w:cs="宋体"/>
      <w:sz w:val="24"/>
    </w:rPr>
  </w:style>
  <w:style w:type="character" w:customStyle="1" w:styleId="114">
    <w:name w:val="unnamed3"/>
    <w:basedOn w:val="55"/>
    <w:qFormat/>
    <w:uiPriority w:val="0"/>
  </w:style>
  <w:style w:type="character" w:customStyle="1" w:styleId="115">
    <w:name w:val="apple-converted-space"/>
    <w:basedOn w:val="55"/>
    <w:qFormat/>
    <w:uiPriority w:val="0"/>
  </w:style>
  <w:style w:type="character" w:customStyle="1" w:styleId="116">
    <w:name w:val="marklong"/>
    <w:basedOn w:val="55"/>
    <w:qFormat/>
    <w:uiPriority w:val="0"/>
  </w:style>
  <w:style w:type="character" w:customStyle="1" w:styleId="117">
    <w:name w:val="style141"/>
    <w:qFormat/>
    <w:uiPriority w:val="0"/>
    <w:rPr>
      <w:color w:val="76738E"/>
      <w:sz w:val="18"/>
      <w:szCs w:val="18"/>
    </w:rPr>
  </w:style>
  <w:style w:type="character" w:customStyle="1" w:styleId="118">
    <w:name w:val="f151"/>
    <w:qFormat/>
    <w:uiPriority w:val="0"/>
    <w:rPr>
      <w:sz w:val="23"/>
      <w:szCs w:val="23"/>
    </w:rPr>
  </w:style>
  <w:style w:type="character" w:customStyle="1" w:styleId="119">
    <w:name w:val="正文文本缩进 2 Char1"/>
    <w:semiHidden/>
    <w:qFormat/>
    <w:uiPriority w:val="0"/>
    <w:rPr>
      <w:kern w:val="2"/>
      <w:sz w:val="21"/>
      <w:szCs w:val="24"/>
    </w:rPr>
  </w:style>
  <w:style w:type="character" w:customStyle="1" w:styleId="120">
    <w:name w:val="ca-71"/>
    <w:qFormat/>
    <w:uiPriority w:val="0"/>
    <w:rPr>
      <w:rFonts w:hint="default" w:ascii="Times New Roman" w:hAnsi="Times New Roman" w:cs="Times New Roman"/>
      <w:b/>
      <w:bCs/>
      <w:spacing w:val="-20"/>
      <w:sz w:val="21"/>
      <w:szCs w:val="21"/>
    </w:rPr>
  </w:style>
  <w:style w:type="character" w:customStyle="1" w:styleId="121">
    <w:name w:val="white"/>
    <w:basedOn w:val="55"/>
    <w:qFormat/>
    <w:uiPriority w:val="0"/>
  </w:style>
  <w:style w:type="character" w:customStyle="1" w:styleId="122">
    <w:name w:val="ca-61"/>
    <w:qFormat/>
    <w:uiPriority w:val="0"/>
    <w:rPr>
      <w:rFonts w:hint="eastAsia" w:ascii="宋体" w:hAnsi="宋体" w:eastAsia="宋体"/>
      <w:b/>
      <w:bCs/>
      <w:spacing w:val="-20"/>
      <w:sz w:val="21"/>
      <w:szCs w:val="21"/>
    </w:rPr>
  </w:style>
  <w:style w:type="character" w:customStyle="1" w:styleId="123">
    <w:name w:val="style11"/>
    <w:qFormat/>
    <w:uiPriority w:val="0"/>
    <w:rPr>
      <w:rFonts w:hint="default" w:ascii="Arial" w:hAnsi="Arial" w:cs="Arial"/>
    </w:rPr>
  </w:style>
  <w:style w:type="character" w:customStyle="1" w:styleId="124">
    <w:name w:val="PIM 4 Char"/>
    <w:qFormat/>
    <w:uiPriority w:val="0"/>
    <w:rPr>
      <w:rFonts w:ascii="Arial" w:hAnsi="Times New Roman" w:eastAsia="黑体"/>
      <w:sz w:val="28"/>
    </w:rPr>
  </w:style>
  <w:style w:type="character" w:customStyle="1" w:styleId="125">
    <w:name w:val="fontstyle11"/>
    <w:qFormat/>
    <w:uiPriority w:val="0"/>
    <w:rPr>
      <w:rFonts w:hint="eastAsia" w:ascii="宋体" w:hAnsi="宋体" w:eastAsia="宋体"/>
      <w:color w:val="000000"/>
      <w:sz w:val="22"/>
      <w:szCs w:val="22"/>
    </w:rPr>
  </w:style>
  <w:style w:type="character" w:customStyle="1" w:styleId="126">
    <w:name w:val="at_4"/>
    <w:qFormat/>
    <w:uiPriority w:val="0"/>
    <w:rPr>
      <w:rFonts w:ascii="Times New Roman" w:hAnsi="Times New Roman" w:eastAsia="宋体" w:cs="Times New Roman"/>
    </w:rPr>
  </w:style>
  <w:style w:type="character" w:customStyle="1" w:styleId="127">
    <w:name w:val="Body text (7)"/>
    <w:qFormat/>
    <w:uiPriority w:val="0"/>
    <w:rPr>
      <w:rFonts w:ascii="宋体"/>
      <w:sz w:val="22"/>
      <w:szCs w:val="22"/>
      <w:shd w:val="clear" w:color="auto" w:fill="FFFFFF"/>
    </w:rPr>
  </w:style>
  <w:style w:type="character" w:customStyle="1" w:styleId="128">
    <w:name w:val="headline-content"/>
    <w:basedOn w:val="55"/>
    <w:qFormat/>
    <w:uiPriority w:val="0"/>
  </w:style>
  <w:style w:type="character" w:customStyle="1" w:styleId="129">
    <w:name w:val="ca-21"/>
    <w:qFormat/>
    <w:uiPriority w:val="0"/>
    <w:rPr>
      <w:rFonts w:hint="eastAsia" w:ascii="宋体" w:hAnsi="宋体" w:eastAsia="宋体"/>
      <w:sz w:val="21"/>
      <w:szCs w:val="21"/>
    </w:rPr>
  </w:style>
  <w:style w:type="character" w:customStyle="1" w:styleId="130">
    <w:name w:val="正文首行缩进 2 Char"/>
    <w:qFormat/>
    <w:uiPriority w:val="0"/>
    <w:rPr>
      <w:rFonts w:ascii="宋体" w:hAnsi="Courier New"/>
      <w:spacing w:val="-4"/>
      <w:szCs w:val="24"/>
    </w:rPr>
  </w:style>
  <w:style w:type="character" w:customStyle="1" w:styleId="131">
    <w:name w:val="无间距字符"/>
    <w:link w:val="132"/>
    <w:qFormat/>
    <w:uiPriority w:val="0"/>
    <w:rPr>
      <w:szCs w:val="32"/>
    </w:rPr>
  </w:style>
  <w:style w:type="paragraph" w:customStyle="1" w:styleId="132">
    <w:name w:val="无间距"/>
    <w:basedOn w:val="1"/>
    <w:link w:val="131"/>
    <w:qFormat/>
    <w:uiPriority w:val="0"/>
    <w:rPr>
      <w:szCs w:val="32"/>
    </w:rPr>
  </w:style>
  <w:style w:type="character" w:customStyle="1" w:styleId="133">
    <w:name w:val="font21"/>
    <w:qFormat/>
    <w:uiPriority w:val="0"/>
    <w:rPr>
      <w:rFonts w:hint="eastAsia" w:ascii="宋体" w:hAnsi="宋体" w:eastAsia="宋体" w:cs="宋体"/>
      <w:color w:val="000000"/>
      <w:sz w:val="20"/>
      <w:szCs w:val="20"/>
      <w:u w:val="none"/>
    </w:rPr>
  </w:style>
  <w:style w:type="character" w:customStyle="1" w:styleId="134">
    <w:name w:val="mark13"/>
    <w:basedOn w:val="55"/>
    <w:qFormat/>
    <w:uiPriority w:val="0"/>
  </w:style>
  <w:style w:type="character" w:customStyle="1" w:styleId="135">
    <w:name w:val="标题 Char2"/>
    <w:qFormat/>
    <w:uiPriority w:val="0"/>
    <w:rPr>
      <w:rFonts w:ascii="Cambria" w:hAnsi="Cambria" w:cs="Times New Roman"/>
      <w:b/>
      <w:bCs/>
      <w:kern w:val="2"/>
      <w:sz w:val="32"/>
      <w:szCs w:val="32"/>
    </w:rPr>
  </w:style>
  <w:style w:type="character" w:customStyle="1" w:styleId="136">
    <w:name w:val="Body text (7)_"/>
    <w:link w:val="137"/>
    <w:qFormat/>
    <w:locked/>
    <w:uiPriority w:val="0"/>
    <w:rPr>
      <w:rFonts w:ascii="宋体"/>
      <w:sz w:val="22"/>
      <w:shd w:val="clear" w:color="auto" w:fill="FFFFFF"/>
    </w:rPr>
  </w:style>
  <w:style w:type="paragraph" w:customStyle="1" w:styleId="137">
    <w:name w:val="Body text (7)1"/>
    <w:basedOn w:val="1"/>
    <w:link w:val="136"/>
    <w:qFormat/>
    <w:uiPriority w:val="0"/>
    <w:pPr>
      <w:shd w:val="clear" w:color="auto" w:fill="FFFFFF"/>
      <w:spacing w:line="298" w:lineRule="exact"/>
      <w:jc w:val="distribute"/>
    </w:pPr>
    <w:rPr>
      <w:rFonts w:ascii="宋体"/>
      <w:sz w:val="22"/>
    </w:rPr>
  </w:style>
  <w:style w:type="character" w:customStyle="1" w:styleId="138">
    <w:name w:val="Char Char2"/>
    <w:qFormat/>
    <w:uiPriority w:val="0"/>
    <w:rPr>
      <w:rFonts w:ascii="宋体" w:hAnsi="Courier New" w:eastAsia="宋体" w:cs="Courier New"/>
      <w:kern w:val="2"/>
      <w:sz w:val="21"/>
      <w:szCs w:val="21"/>
      <w:lang w:val="en-US" w:eastAsia="zh-CN" w:bidi="ar-SA"/>
    </w:rPr>
  </w:style>
  <w:style w:type="character" w:customStyle="1" w:styleId="139">
    <w:name w:val="页眉 字符"/>
    <w:qFormat/>
    <w:uiPriority w:val="0"/>
    <w:rPr>
      <w:rFonts w:ascii="Times New Roman" w:hAnsi="Times New Roman" w:eastAsia="宋体" w:cs="Times New Roman"/>
      <w:kern w:val="2"/>
      <w:sz w:val="18"/>
      <w:szCs w:val="18"/>
    </w:rPr>
  </w:style>
  <w:style w:type="character" w:customStyle="1" w:styleId="140">
    <w:name w:val="文档结构图 Char"/>
    <w:qFormat/>
    <w:uiPriority w:val="0"/>
    <w:rPr>
      <w:szCs w:val="24"/>
      <w:shd w:val="clear" w:color="auto" w:fill="000080"/>
    </w:rPr>
  </w:style>
  <w:style w:type="character" w:customStyle="1" w:styleId="141">
    <w:name w:val="1ji Char"/>
    <w:link w:val="142"/>
    <w:qFormat/>
    <w:uiPriority w:val="0"/>
    <w:rPr>
      <w:rFonts w:ascii="宋体" w:hAnsi="宋体"/>
      <w:b/>
      <w:bCs/>
      <w:kern w:val="44"/>
      <w:sz w:val="36"/>
      <w:szCs w:val="44"/>
    </w:rPr>
  </w:style>
  <w:style w:type="paragraph" w:customStyle="1" w:styleId="142">
    <w:name w:val="1ji"/>
    <w:basedOn w:val="2"/>
    <w:link w:val="141"/>
    <w:qFormat/>
    <w:uiPriority w:val="0"/>
    <w:pPr>
      <w:keepLines w:val="0"/>
      <w:widowControl/>
      <w:spacing w:before="0" w:after="0" w:line="240" w:lineRule="auto"/>
      <w:jc w:val="center"/>
    </w:pPr>
    <w:rPr>
      <w:rFonts w:ascii="宋体" w:hAnsi="宋体" w:eastAsiaTheme="minorEastAsia" w:cstheme="minorBidi"/>
      <w:sz w:val="36"/>
    </w:rPr>
  </w:style>
  <w:style w:type="character" w:customStyle="1" w:styleId="143">
    <w:name w:val="标题 1 Char1"/>
    <w:qFormat/>
    <w:uiPriority w:val="0"/>
    <w:rPr>
      <w:rFonts w:eastAsia="宋体"/>
      <w:b/>
      <w:bCs/>
      <w:kern w:val="44"/>
      <w:sz w:val="44"/>
      <w:szCs w:val="44"/>
      <w:lang w:val="en-US" w:eastAsia="zh-CN" w:bidi="ar-SA"/>
    </w:rPr>
  </w:style>
  <w:style w:type="character" w:customStyle="1" w:styleId="144">
    <w:name w:val="content2"/>
    <w:basedOn w:val="55"/>
    <w:qFormat/>
    <w:uiPriority w:val="0"/>
  </w:style>
  <w:style w:type="character" w:customStyle="1" w:styleId="145">
    <w:name w:val="Char Char1"/>
    <w:qFormat/>
    <w:uiPriority w:val="0"/>
    <w:rPr>
      <w:rFonts w:ascii="宋体" w:hAnsi="Courier New" w:eastAsia="宋体" w:cs="Times New Roman"/>
      <w:kern w:val="2"/>
      <w:sz w:val="21"/>
      <w:lang w:val="en-US" w:eastAsia="zh-CN" w:bidi="ar-SA"/>
    </w:rPr>
  </w:style>
  <w:style w:type="character" w:customStyle="1" w:styleId="146">
    <w:name w:val="批注框文本 Char"/>
    <w:qFormat/>
    <w:locked/>
    <w:uiPriority w:val="0"/>
    <w:rPr>
      <w:sz w:val="18"/>
      <w:szCs w:val="18"/>
    </w:rPr>
  </w:style>
  <w:style w:type="character" w:customStyle="1" w:styleId="147">
    <w:name w:val="正文缩进 Char"/>
    <w:link w:val="16"/>
    <w:qFormat/>
    <w:uiPriority w:val="0"/>
  </w:style>
  <w:style w:type="character" w:customStyle="1" w:styleId="148">
    <w:name w:val="gray12"/>
    <w:basedOn w:val="55"/>
    <w:qFormat/>
    <w:uiPriority w:val="0"/>
  </w:style>
  <w:style w:type="character" w:customStyle="1" w:styleId="149">
    <w:name w:val="Char Char11"/>
    <w:qFormat/>
    <w:uiPriority w:val="0"/>
    <w:rPr>
      <w:rFonts w:eastAsia="宋体"/>
      <w:b/>
      <w:kern w:val="44"/>
      <w:sz w:val="44"/>
      <w:lang w:val="en-US" w:eastAsia="zh-CN"/>
    </w:rPr>
  </w:style>
  <w:style w:type="character" w:customStyle="1" w:styleId="150">
    <w:name w:val="font"/>
    <w:basedOn w:val="55"/>
    <w:qFormat/>
    <w:uiPriority w:val="0"/>
  </w:style>
  <w:style w:type="character" w:customStyle="1" w:styleId="151">
    <w:name w:val="正文文本缩进 3 Char1"/>
    <w:semiHidden/>
    <w:qFormat/>
    <w:uiPriority w:val="0"/>
    <w:rPr>
      <w:kern w:val="2"/>
      <w:sz w:val="16"/>
      <w:szCs w:val="16"/>
    </w:rPr>
  </w:style>
  <w:style w:type="character" w:customStyle="1" w:styleId="152">
    <w:name w:val="f141"/>
    <w:qFormat/>
    <w:uiPriority w:val="0"/>
    <w:rPr>
      <w:sz w:val="21"/>
      <w:szCs w:val="21"/>
    </w:rPr>
  </w:style>
  <w:style w:type="character" w:customStyle="1" w:styleId="153">
    <w:name w:val="mark8"/>
    <w:qFormat/>
    <w:uiPriority w:val="0"/>
    <w:rPr>
      <w:b/>
      <w:bCs/>
      <w:sz w:val="21"/>
      <w:szCs w:val="21"/>
    </w:rPr>
  </w:style>
  <w:style w:type="character" w:customStyle="1" w:styleId="154">
    <w:name w:val="font71"/>
    <w:qFormat/>
    <w:uiPriority w:val="0"/>
    <w:rPr>
      <w:rFonts w:hint="eastAsia" w:ascii="宋体" w:hAnsi="宋体" w:eastAsia="宋体" w:cs="宋体"/>
      <w:color w:val="000000"/>
      <w:sz w:val="21"/>
      <w:szCs w:val="21"/>
      <w:u w:val="none"/>
    </w:rPr>
  </w:style>
  <w:style w:type="character" w:customStyle="1" w:styleId="155">
    <w:name w:val="ca-51"/>
    <w:qFormat/>
    <w:uiPriority w:val="0"/>
    <w:rPr>
      <w:rFonts w:hint="default" w:ascii="Times New Roman" w:hAnsi="Times New Roman" w:cs="Times New Roman"/>
      <w:sz w:val="21"/>
      <w:szCs w:val="21"/>
    </w:rPr>
  </w:style>
  <w:style w:type="character" w:customStyle="1" w:styleId="156">
    <w:name w:val="Char Char3"/>
    <w:qFormat/>
    <w:locked/>
    <w:uiPriority w:val="0"/>
    <w:rPr>
      <w:rFonts w:ascii="宋体" w:hAnsi="Courier New"/>
      <w:kern w:val="2"/>
      <w:sz w:val="21"/>
    </w:rPr>
  </w:style>
  <w:style w:type="character" w:customStyle="1" w:styleId="157">
    <w:name w:val="列出段落 Char"/>
    <w:link w:val="158"/>
    <w:qFormat/>
    <w:uiPriority w:val="0"/>
    <w:rPr>
      <w:szCs w:val="24"/>
    </w:rPr>
  </w:style>
  <w:style w:type="paragraph" w:customStyle="1" w:styleId="158">
    <w:name w:val="列出段落1"/>
    <w:basedOn w:val="1"/>
    <w:link w:val="157"/>
    <w:qFormat/>
    <w:uiPriority w:val="34"/>
    <w:pPr>
      <w:ind w:firstLine="420" w:firstLineChars="200"/>
    </w:pPr>
    <w:rPr>
      <w:szCs w:val="24"/>
    </w:rPr>
  </w:style>
  <w:style w:type="character" w:customStyle="1" w:styleId="159">
    <w:name w:val="正文（雅黑四号） Char Char"/>
    <w:qFormat/>
    <w:uiPriority w:val="0"/>
    <w:rPr>
      <w:rFonts w:ascii="微软雅黑" w:hAnsi="微软雅黑" w:eastAsia="微软雅黑"/>
      <w:sz w:val="24"/>
      <w:szCs w:val="28"/>
      <w:lang w:bidi="ar-SA"/>
    </w:rPr>
  </w:style>
  <w:style w:type="character" w:customStyle="1" w:styleId="160">
    <w:name w:val="文档结构图 Char1"/>
    <w:semiHidden/>
    <w:qFormat/>
    <w:uiPriority w:val="0"/>
    <w:rPr>
      <w:rFonts w:ascii="宋体"/>
      <w:kern w:val="2"/>
      <w:sz w:val="18"/>
      <w:szCs w:val="18"/>
    </w:rPr>
  </w:style>
  <w:style w:type="character" w:customStyle="1" w:styleId="161">
    <w:name w:val="blacktext"/>
    <w:basedOn w:val="55"/>
    <w:qFormat/>
    <w:uiPriority w:val="0"/>
  </w:style>
  <w:style w:type="character" w:customStyle="1" w:styleId="162">
    <w:name w:val="profont1"/>
    <w:qFormat/>
    <w:uiPriority w:val="0"/>
    <w:rPr>
      <w:rFonts w:ascii="Verdana" w:cs="Verdana"/>
      <w:b/>
      <w:bCs/>
    </w:rPr>
  </w:style>
  <w:style w:type="character" w:customStyle="1" w:styleId="163">
    <w:name w:val="H2 Char"/>
    <w:qFormat/>
    <w:uiPriority w:val="0"/>
    <w:rPr>
      <w:rFonts w:ascii="Times New Roman" w:hAnsi="Times New Roman" w:eastAsia="黑体" w:cs="Times New Roman"/>
      <w:b/>
      <w:kern w:val="0"/>
      <w:sz w:val="28"/>
      <w:szCs w:val="20"/>
    </w:rPr>
  </w:style>
  <w:style w:type="character" w:customStyle="1" w:styleId="164">
    <w:name w:val="正文文本缩进 3 Char"/>
    <w:qFormat/>
    <w:locked/>
    <w:uiPriority w:val="0"/>
    <w:rPr>
      <w:color w:val="000000"/>
      <w:szCs w:val="24"/>
    </w:rPr>
  </w:style>
  <w:style w:type="character" w:customStyle="1" w:styleId="165">
    <w:name w:val="HTML 预设格式 Char1"/>
    <w:qFormat/>
    <w:uiPriority w:val="0"/>
    <w:rPr>
      <w:rFonts w:ascii="Courier New" w:hAnsi="Courier New" w:cs="Courier New"/>
      <w:kern w:val="2"/>
    </w:rPr>
  </w:style>
  <w:style w:type="character" w:customStyle="1" w:styleId="166">
    <w:name w:val="mark16"/>
    <w:basedOn w:val="55"/>
    <w:qFormat/>
    <w:uiPriority w:val="0"/>
  </w:style>
  <w:style w:type="character" w:customStyle="1" w:styleId="167">
    <w:name w:val="批注文字 Char"/>
    <w:qFormat/>
    <w:uiPriority w:val="99"/>
    <w:rPr>
      <w:kern w:val="2"/>
      <w:sz w:val="21"/>
      <w:szCs w:val="24"/>
    </w:rPr>
  </w:style>
  <w:style w:type="character" w:customStyle="1" w:styleId="168">
    <w:name w:val="Footer Char"/>
    <w:qFormat/>
    <w:locked/>
    <w:uiPriority w:val="0"/>
    <w:rPr>
      <w:rFonts w:cs="Times New Roman"/>
      <w:sz w:val="18"/>
      <w:szCs w:val="18"/>
    </w:rPr>
  </w:style>
  <w:style w:type="character" w:customStyle="1" w:styleId="169">
    <w:name w:val="批注文字 Char1"/>
    <w:qFormat/>
    <w:uiPriority w:val="0"/>
    <w:rPr>
      <w:szCs w:val="24"/>
    </w:rPr>
  </w:style>
  <w:style w:type="character" w:customStyle="1" w:styleId="170">
    <w:name w:val="HTML 预设格式 Char"/>
    <w:qFormat/>
    <w:uiPriority w:val="0"/>
    <w:rPr>
      <w:rFonts w:ascii="Arial" w:hAnsi="Arial" w:cs="Arial"/>
      <w:szCs w:val="21"/>
    </w:rPr>
  </w:style>
  <w:style w:type="character" w:customStyle="1" w:styleId="171">
    <w:name w:val="unnamed11"/>
    <w:qFormat/>
    <w:uiPriority w:val="0"/>
    <w:rPr>
      <w:sz w:val="20"/>
      <w:szCs w:val="20"/>
    </w:rPr>
  </w:style>
  <w:style w:type="character" w:customStyle="1" w:styleId="172">
    <w:name w:val="small"/>
    <w:basedOn w:val="55"/>
    <w:qFormat/>
    <w:uiPriority w:val="0"/>
  </w:style>
  <w:style w:type="character" w:customStyle="1" w:styleId="173">
    <w:name w:val="正文文本缩进 Char1"/>
    <w:semiHidden/>
    <w:qFormat/>
    <w:uiPriority w:val="0"/>
    <w:rPr>
      <w:kern w:val="2"/>
      <w:sz w:val="21"/>
      <w:szCs w:val="24"/>
    </w:rPr>
  </w:style>
  <w:style w:type="character" w:customStyle="1" w:styleId="174">
    <w:name w:val="日期 Char"/>
    <w:qFormat/>
    <w:locked/>
    <w:uiPriority w:val="0"/>
    <w:rPr>
      <w:rFonts w:ascii="宋体" w:hAnsi="Courier New"/>
      <w:bCs/>
      <w:sz w:val="24"/>
    </w:rPr>
  </w:style>
  <w:style w:type="character" w:customStyle="1" w:styleId="175">
    <w:name w:val="Arial Char"/>
    <w:link w:val="176"/>
    <w:qFormat/>
    <w:locked/>
    <w:uiPriority w:val="0"/>
    <w:rPr>
      <w:rFonts w:ascii="Arial" w:hAnsi="Arial"/>
      <w:sz w:val="24"/>
      <w:szCs w:val="24"/>
    </w:rPr>
  </w:style>
  <w:style w:type="paragraph" w:customStyle="1" w:styleId="176">
    <w:name w:val="Arial"/>
    <w:basedOn w:val="1"/>
    <w:link w:val="175"/>
    <w:qFormat/>
    <w:uiPriority w:val="0"/>
    <w:pPr>
      <w:tabs>
        <w:tab w:val="left" w:pos="360"/>
      </w:tabs>
      <w:spacing w:line="400" w:lineRule="exact"/>
      <w:ind w:left="360" w:hanging="360"/>
    </w:pPr>
    <w:rPr>
      <w:rFonts w:ascii="Arial" w:hAnsi="Arial"/>
      <w:sz w:val="24"/>
      <w:szCs w:val="24"/>
    </w:rPr>
  </w:style>
  <w:style w:type="character" w:customStyle="1" w:styleId="177">
    <w:name w:val="批注框文本 Char1"/>
    <w:semiHidden/>
    <w:qFormat/>
    <w:uiPriority w:val="0"/>
    <w:rPr>
      <w:kern w:val="2"/>
      <w:sz w:val="18"/>
      <w:szCs w:val="18"/>
    </w:rPr>
  </w:style>
  <w:style w:type="character" w:customStyle="1" w:styleId="178">
    <w:name w:val="font01"/>
    <w:qFormat/>
    <w:uiPriority w:val="0"/>
    <w:rPr>
      <w:rFonts w:hint="eastAsia" w:ascii="宋体" w:hAnsi="宋体" w:eastAsia="宋体" w:cs="宋体"/>
      <w:color w:val="000000"/>
      <w:sz w:val="22"/>
      <w:szCs w:val="22"/>
      <w:u w:val="none"/>
    </w:rPr>
  </w:style>
  <w:style w:type="character" w:customStyle="1" w:styleId="179">
    <w:name w:val="st"/>
    <w:basedOn w:val="55"/>
    <w:qFormat/>
    <w:uiPriority w:val="0"/>
  </w:style>
  <w:style w:type="character" w:customStyle="1" w:styleId="180">
    <w:name w:val="NormalCharacter"/>
    <w:qFormat/>
    <w:uiPriority w:val="0"/>
  </w:style>
  <w:style w:type="character" w:customStyle="1" w:styleId="181">
    <w:name w:val="纯文本 Char"/>
    <w:qFormat/>
    <w:uiPriority w:val="99"/>
    <w:rPr>
      <w:rFonts w:ascii="宋体" w:hAnsi="Courier New"/>
    </w:rPr>
  </w:style>
  <w:style w:type="character" w:customStyle="1" w:styleId="182">
    <w:name w:val="1051"/>
    <w:qFormat/>
    <w:uiPriority w:val="0"/>
    <w:rPr>
      <w:sz w:val="21"/>
      <w:szCs w:val="21"/>
    </w:rPr>
  </w:style>
  <w:style w:type="character" w:customStyle="1" w:styleId="183">
    <w:name w:val="正文首行缩进 Char"/>
    <w:qFormat/>
    <w:uiPriority w:val="0"/>
    <w:rPr>
      <w:rFonts w:ascii="金山简黑体" w:hAnsi="Courier New" w:eastAsia="金山简黑体"/>
      <w:b/>
      <w:spacing w:val="-8"/>
      <w:szCs w:val="24"/>
    </w:rPr>
  </w:style>
  <w:style w:type="character" w:customStyle="1" w:styleId="184">
    <w:name w:val="style111"/>
    <w:qFormat/>
    <w:uiPriority w:val="0"/>
    <w:rPr>
      <w:sz w:val="22"/>
      <w:szCs w:val="22"/>
    </w:rPr>
  </w:style>
  <w:style w:type="character" w:customStyle="1" w:styleId="185">
    <w:name w:val="纯文本 Char2"/>
    <w:qFormat/>
    <w:uiPriority w:val="0"/>
    <w:rPr>
      <w:rFonts w:ascii="宋体" w:hAnsi="Courier New"/>
      <w:kern w:val="2"/>
      <w:sz w:val="21"/>
    </w:rPr>
  </w:style>
  <w:style w:type="character" w:customStyle="1" w:styleId="186">
    <w:name w:val="bottom1"/>
    <w:qFormat/>
    <w:uiPriority w:val="0"/>
    <w:rPr>
      <w:rFonts w:ascii="??" w:cs="??"/>
      <w:sz w:val="20"/>
      <w:szCs w:val="20"/>
    </w:rPr>
  </w:style>
  <w:style w:type="character" w:customStyle="1" w:styleId="187">
    <w:name w:val="标题 Char1"/>
    <w:qFormat/>
    <w:uiPriority w:val="0"/>
    <w:rPr>
      <w:rFonts w:ascii="Cambria" w:hAnsi="Cambria" w:cs="Times New Roman"/>
      <w:b/>
      <w:bCs/>
      <w:kern w:val="2"/>
      <w:sz w:val="32"/>
      <w:szCs w:val="32"/>
    </w:rPr>
  </w:style>
  <w:style w:type="character" w:customStyle="1" w:styleId="188">
    <w:name w:val="case31"/>
    <w:qFormat/>
    <w:uiPriority w:val="0"/>
    <w:rPr>
      <w:rFonts w:hint="default"/>
      <w:sz w:val="21"/>
      <w:szCs w:val="21"/>
    </w:rPr>
  </w:style>
  <w:style w:type="character" w:customStyle="1" w:styleId="189">
    <w:name w:val="批注主题 Char1"/>
    <w:qFormat/>
    <w:uiPriority w:val="0"/>
    <w:rPr>
      <w:kern w:val="2"/>
      <w:sz w:val="21"/>
      <w:szCs w:val="24"/>
    </w:rPr>
  </w:style>
  <w:style w:type="character" w:customStyle="1" w:styleId="190">
    <w:name w:val="graytext1"/>
    <w:qFormat/>
    <w:uiPriority w:val="0"/>
    <w:rPr>
      <w:color w:val="666666"/>
    </w:rPr>
  </w:style>
  <w:style w:type="character" w:customStyle="1" w:styleId="191">
    <w:name w:val="日期 Char2"/>
    <w:basedOn w:val="55"/>
    <w:link w:val="22"/>
    <w:semiHidden/>
    <w:qFormat/>
    <w:uiPriority w:val="99"/>
  </w:style>
  <w:style w:type="character" w:customStyle="1" w:styleId="192">
    <w:name w:val="正文文本缩进 3 Char2"/>
    <w:basedOn w:val="55"/>
    <w:link w:val="40"/>
    <w:semiHidden/>
    <w:qFormat/>
    <w:uiPriority w:val="99"/>
    <w:rPr>
      <w:sz w:val="16"/>
      <w:szCs w:val="16"/>
    </w:rPr>
  </w:style>
  <w:style w:type="character" w:customStyle="1" w:styleId="193">
    <w:name w:val="批注文字 Char2"/>
    <w:basedOn w:val="55"/>
    <w:link w:val="19"/>
    <w:semiHidden/>
    <w:qFormat/>
    <w:uiPriority w:val="99"/>
  </w:style>
  <w:style w:type="character" w:customStyle="1" w:styleId="194">
    <w:name w:val="批注主题 Char2"/>
    <w:basedOn w:val="193"/>
    <w:link w:val="50"/>
    <w:semiHidden/>
    <w:qFormat/>
    <w:uiPriority w:val="99"/>
    <w:rPr>
      <w:b/>
      <w:bCs/>
    </w:rPr>
  </w:style>
  <w:style w:type="character" w:customStyle="1" w:styleId="195">
    <w:name w:val="正文文本 Char3"/>
    <w:basedOn w:val="55"/>
    <w:link w:val="21"/>
    <w:semiHidden/>
    <w:qFormat/>
    <w:uiPriority w:val="99"/>
  </w:style>
  <w:style w:type="character" w:customStyle="1" w:styleId="196">
    <w:name w:val="正文文本 3 Char1"/>
    <w:basedOn w:val="55"/>
    <w:link w:val="20"/>
    <w:semiHidden/>
    <w:qFormat/>
    <w:uiPriority w:val="99"/>
    <w:rPr>
      <w:sz w:val="16"/>
      <w:szCs w:val="16"/>
    </w:rPr>
  </w:style>
  <w:style w:type="character" w:customStyle="1" w:styleId="197">
    <w:name w:val="文档结构图 Char2"/>
    <w:basedOn w:val="55"/>
    <w:link w:val="18"/>
    <w:semiHidden/>
    <w:qFormat/>
    <w:uiPriority w:val="99"/>
    <w:rPr>
      <w:rFonts w:ascii="宋体" w:eastAsia="宋体"/>
      <w:sz w:val="18"/>
      <w:szCs w:val="18"/>
    </w:rPr>
  </w:style>
  <w:style w:type="character" w:customStyle="1" w:styleId="198">
    <w:name w:val="正文文本缩进 Char2"/>
    <w:basedOn w:val="55"/>
    <w:link w:val="23"/>
    <w:semiHidden/>
    <w:qFormat/>
    <w:uiPriority w:val="99"/>
  </w:style>
  <w:style w:type="character" w:customStyle="1" w:styleId="199">
    <w:name w:val="标题 Char3"/>
    <w:basedOn w:val="55"/>
    <w:link w:val="49"/>
    <w:qFormat/>
    <w:uiPriority w:val="10"/>
    <w:rPr>
      <w:rFonts w:eastAsia="宋体" w:asciiTheme="majorHAnsi" w:hAnsiTheme="majorHAnsi" w:cstheme="majorBidi"/>
      <w:b/>
      <w:bCs/>
      <w:sz w:val="32"/>
      <w:szCs w:val="32"/>
    </w:rPr>
  </w:style>
  <w:style w:type="character" w:customStyle="1" w:styleId="200">
    <w:name w:val="正文文本 2 Char1"/>
    <w:basedOn w:val="55"/>
    <w:link w:val="43"/>
    <w:semiHidden/>
    <w:qFormat/>
    <w:uiPriority w:val="99"/>
  </w:style>
  <w:style w:type="character" w:customStyle="1" w:styleId="201">
    <w:name w:val="正文首行缩进 Char1"/>
    <w:basedOn w:val="195"/>
    <w:link w:val="51"/>
    <w:semiHidden/>
    <w:qFormat/>
    <w:uiPriority w:val="99"/>
  </w:style>
  <w:style w:type="character" w:customStyle="1" w:styleId="202">
    <w:name w:val="正文文本缩进 2 Char2"/>
    <w:basedOn w:val="55"/>
    <w:link w:val="31"/>
    <w:semiHidden/>
    <w:qFormat/>
    <w:uiPriority w:val="99"/>
  </w:style>
  <w:style w:type="character" w:customStyle="1" w:styleId="203">
    <w:name w:val="纯文本 Char3"/>
    <w:basedOn w:val="55"/>
    <w:link w:val="29"/>
    <w:semiHidden/>
    <w:qFormat/>
    <w:uiPriority w:val="99"/>
    <w:rPr>
      <w:rFonts w:ascii="宋体" w:hAnsi="Courier New" w:eastAsia="宋体" w:cs="Courier New"/>
      <w:szCs w:val="21"/>
    </w:rPr>
  </w:style>
  <w:style w:type="character" w:customStyle="1" w:styleId="204">
    <w:name w:val="正文首行缩进 2 Char1"/>
    <w:basedOn w:val="198"/>
    <w:link w:val="52"/>
    <w:semiHidden/>
    <w:qFormat/>
    <w:uiPriority w:val="99"/>
  </w:style>
  <w:style w:type="character" w:customStyle="1" w:styleId="205">
    <w:name w:val="HTML 预设格式 Char3"/>
    <w:basedOn w:val="55"/>
    <w:link w:val="46"/>
    <w:semiHidden/>
    <w:qFormat/>
    <w:uiPriority w:val="99"/>
    <w:rPr>
      <w:rFonts w:ascii="Courier New" w:hAnsi="Courier New" w:cs="Courier New"/>
      <w:sz w:val="20"/>
      <w:szCs w:val="20"/>
    </w:rPr>
  </w:style>
  <w:style w:type="character" w:customStyle="1" w:styleId="206">
    <w:name w:val="批注框文本 Char2"/>
    <w:basedOn w:val="55"/>
    <w:link w:val="32"/>
    <w:semiHidden/>
    <w:qFormat/>
    <w:uiPriority w:val="99"/>
    <w:rPr>
      <w:sz w:val="18"/>
      <w:szCs w:val="18"/>
    </w:rPr>
  </w:style>
  <w:style w:type="paragraph" w:customStyle="1" w:styleId="207">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08">
    <w:name w:val="_Style 29"/>
    <w:basedOn w:val="1"/>
    <w:qFormat/>
    <w:uiPriority w:val="0"/>
    <w:rPr>
      <w:rFonts w:ascii="Tahoma" w:hAnsi="Tahoma" w:eastAsia="宋体" w:cs="Times New Roman"/>
      <w:sz w:val="24"/>
      <w:szCs w:val="20"/>
    </w:rPr>
  </w:style>
  <w:style w:type="paragraph" w:customStyle="1" w:styleId="2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211">
    <w:name w:val="Char Char1 Char Char Char Char"/>
    <w:basedOn w:val="18"/>
    <w:qFormat/>
    <w:uiPriority w:val="0"/>
    <w:rPr>
      <w:rFonts w:ascii="Tahoma" w:hAnsi="Tahoma"/>
      <w:sz w:val="24"/>
    </w:rPr>
  </w:style>
  <w:style w:type="paragraph" w:customStyle="1" w:styleId="21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4">
    <w:name w:val="Char Char Char1 Char Char Char Char Char Char"/>
    <w:basedOn w:val="1"/>
    <w:qFormat/>
    <w:uiPriority w:val="0"/>
    <w:pPr>
      <w:spacing w:line="240" w:lineRule="atLeast"/>
    </w:pPr>
    <w:rPr>
      <w:rFonts w:ascii="Times New Roman" w:hAnsi="Times New Roman" w:eastAsia="宋体" w:cs="Times New Roman"/>
      <w:sz w:val="24"/>
      <w:szCs w:val="20"/>
    </w:rPr>
  </w:style>
  <w:style w:type="paragraph" w:customStyle="1" w:styleId="21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6">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217">
    <w:name w:val="_Style 1"/>
    <w:basedOn w:val="1"/>
    <w:qFormat/>
    <w:uiPriority w:val="0"/>
    <w:pPr>
      <w:ind w:firstLine="420"/>
    </w:pPr>
    <w:rPr>
      <w:rFonts w:ascii="Calibri" w:hAnsi="Calibri" w:eastAsia="宋体" w:cs="Times New Roman"/>
      <w:kern w:val="1"/>
    </w:rPr>
  </w:style>
  <w:style w:type="paragraph" w:customStyle="1" w:styleId="21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1">
    <w:name w:val="Char Char Char"/>
    <w:basedOn w:val="18"/>
    <w:qFormat/>
    <w:uiPriority w:val="0"/>
    <w:rPr>
      <w:rFonts w:ascii="Tahoma" w:hAnsi="Tahoma"/>
      <w:sz w:val="24"/>
    </w:rPr>
  </w:style>
  <w:style w:type="paragraph" w:customStyle="1" w:styleId="22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23">
    <w:name w:val="Char Char Char Char Char Char Char"/>
    <w:basedOn w:val="1"/>
    <w:qFormat/>
    <w:uiPriority w:val="0"/>
    <w:rPr>
      <w:rFonts w:ascii="Times New Roman" w:hAnsi="Times New Roman" w:eastAsia="宋体" w:cs="Times New Roman"/>
      <w:szCs w:val="20"/>
    </w:rPr>
  </w:style>
  <w:style w:type="paragraph" w:customStyle="1" w:styleId="224">
    <w:name w:val="Char1 Char Char Char Char Char Char"/>
    <w:basedOn w:val="1"/>
    <w:qFormat/>
    <w:uiPriority w:val="0"/>
    <w:rPr>
      <w:rFonts w:ascii="Tahoma" w:hAnsi="Tahoma" w:eastAsia="宋体" w:cs="Times New Roman"/>
      <w:sz w:val="24"/>
      <w:szCs w:val="20"/>
    </w:rPr>
  </w:style>
  <w:style w:type="paragraph" w:customStyle="1" w:styleId="225">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226">
    <w:name w:val="tgt1"/>
    <w:basedOn w:val="1"/>
    <w:qFormat/>
    <w:uiPriority w:val="0"/>
    <w:pPr>
      <w:widowControl/>
      <w:spacing w:after="150"/>
      <w:jc w:val="left"/>
    </w:pPr>
    <w:rPr>
      <w:rFonts w:ascii="宋体" w:hAnsi="宋体" w:eastAsia="宋体" w:cs="宋体"/>
      <w:kern w:val="0"/>
      <w:sz w:val="24"/>
      <w:szCs w:val="24"/>
    </w:rPr>
  </w:style>
  <w:style w:type="paragraph" w:customStyle="1" w:styleId="227">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
    <w:name w:val="font6"/>
    <w:basedOn w:val="1"/>
    <w:qFormat/>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229">
    <w:name w:val="Char3"/>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30">
    <w:name w:val="正文 A"/>
    <w:qFormat/>
    <w:uiPriority w:val="0"/>
    <w:pPr>
      <w:widowControl w:val="0"/>
      <w:suppressAutoHyphens/>
      <w:jc w:val="both"/>
    </w:pPr>
    <w:rPr>
      <w:rFonts w:ascii="Times New Roman" w:hAnsi="Arial Unicode MS" w:eastAsia="Arial Unicode MS" w:cs="Arial Unicode MS"/>
      <w:color w:val="000000"/>
      <w:kern w:val="1"/>
      <w:sz w:val="21"/>
      <w:szCs w:val="21"/>
      <w:u w:color="000000"/>
      <w:lang w:val="en-US" w:eastAsia="zh-CN" w:bidi="ar-SA"/>
    </w:rPr>
  </w:style>
  <w:style w:type="paragraph" w:customStyle="1" w:styleId="231">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32">
    <w:name w:val="1"/>
    <w:basedOn w:val="1"/>
    <w:next w:val="29"/>
    <w:qFormat/>
    <w:uiPriority w:val="0"/>
    <w:rPr>
      <w:rFonts w:ascii="宋体" w:hAnsi="Courier New" w:eastAsia="宋体" w:cs="Times New Roman"/>
      <w:szCs w:val="20"/>
    </w:rPr>
  </w:style>
  <w:style w:type="paragraph" w:customStyle="1" w:styleId="233">
    <w:name w:val="List Paragraph1"/>
    <w:basedOn w:val="1"/>
    <w:qFormat/>
    <w:uiPriority w:val="0"/>
    <w:pPr>
      <w:ind w:firstLine="420" w:firstLineChars="200"/>
    </w:pPr>
    <w:rPr>
      <w:rFonts w:ascii="Calibri" w:hAnsi="Calibri" w:eastAsia="宋体" w:cs="Calibri"/>
      <w:szCs w:val="21"/>
    </w:rPr>
  </w:style>
  <w:style w:type="paragraph" w:customStyle="1" w:styleId="2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3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中等深浅网格 21"/>
    <w:basedOn w:val="1"/>
    <w:qFormat/>
    <w:uiPriority w:val="0"/>
    <w:rPr>
      <w:rFonts w:ascii="Times New Roman" w:hAnsi="Times New Roman" w:eastAsia="宋体" w:cs="Times New Roman"/>
      <w:szCs w:val="32"/>
    </w:rPr>
  </w:style>
  <w:style w:type="paragraph" w:customStyle="1" w:styleId="237">
    <w:name w:val="xl31"/>
    <w:basedOn w:val="1"/>
    <w:qFormat/>
    <w:uiPriority w:val="0"/>
    <w:pPr>
      <w:widowControl/>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38">
    <w:name w:val="标题A"/>
    <w:basedOn w:val="1"/>
    <w:qFormat/>
    <w:uiPriority w:val="0"/>
    <w:pPr>
      <w:autoSpaceDE w:val="0"/>
      <w:autoSpaceDN w:val="0"/>
      <w:adjustRightInd w:val="0"/>
      <w:ind w:left="720" w:right="-866"/>
      <w:jc w:val="left"/>
      <w:textAlignment w:val="baseline"/>
    </w:pPr>
    <w:rPr>
      <w:rFonts w:ascii="Times New Roman" w:hAnsi="Arial" w:eastAsia="黑体" w:cs="Times New Roman"/>
      <w:i/>
      <w:kern w:val="0"/>
      <w:sz w:val="28"/>
      <w:szCs w:val="20"/>
    </w:rPr>
  </w:style>
  <w:style w:type="paragraph" w:customStyle="1" w:styleId="239">
    <w:name w:val="纯文本1"/>
    <w:basedOn w:val="1"/>
    <w:qFormat/>
    <w:uiPriority w:val="0"/>
    <w:rPr>
      <w:rFonts w:ascii="宋体" w:hAnsi="Courier New" w:eastAsia="宋体" w:cs="Times New Roman"/>
    </w:rPr>
  </w:style>
  <w:style w:type="paragraph" w:customStyle="1" w:styleId="240">
    <w:name w:val="Char Char"/>
    <w:basedOn w:val="1"/>
    <w:qFormat/>
    <w:uiPriority w:val="0"/>
    <w:rPr>
      <w:rFonts w:ascii="仿宋_GB2312" w:hAnsi="Times New Roman" w:eastAsia="仿宋_GB2312" w:cs="Times New Roman"/>
      <w:b/>
      <w:sz w:val="32"/>
      <w:szCs w:val="32"/>
    </w:rPr>
  </w:style>
  <w:style w:type="paragraph" w:customStyle="1" w:styleId="24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42">
    <w:name w:val="font14"/>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20"/>
      <w:szCs w:val="20"/>
    </w:rPr>
  </w:style>
  <w:style w:type="paragraph" w:customStyle="1" w:styleId="2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246">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
    <w:name w:val="Char Char Char2"/>
    <w:basedOn w:val="1"/>
    <w:qFormat/>
    <w:uiPriority w:val="0"/>
    <w:rPr>
      <w:rFonts w:ascii="Tahoma" w:hAnsi="Tahoma" w:eastAsia="宋体" w:cs="Times New Roman"/>
      <w:sz w:val="24"/>
      <w:szCs w:val="20"/>
    </w:rPr>
  </w:style>
  <w:style w:type="paragraph" w:customStyle="1" w:styleId="2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49">
    <w:name w:val="Char Char1 Char Char Char Char Char Char"/>
    <w:basedOn w:val="1"/>
    <w:qFormat/>
    <w:uiPriority w:val="0"/>
    <w:pPr>
      <w:widowControl/>
      <w:adjustRightInd w:val="0"/>
      <w:snapToGrid w:val="0"/>
      <w:spacing w:beforeLines="25" w:line="240" w:lineRule="exact"/>
      <w:ind w:firstLine="560" w:firstLineChars="192"/>
      <w:jc w:val="left"/>
    </w:pPr>
    <w:rPr>
      <w:rFonts w:ascii="Times New Roman" w:hAnsi="Times New Roman" w:eastAsia="宋体" w:cs="Times New Roman"/>
      <w:szCs w:val="20"/>
    </w:rPr>
  </w:style>
  <w:style w:type="paragraph" w:customStyle="1" w:styleId="2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2">
    <w:name w:val="font19"/>
    <w:basedOn w:val="1"/>
    <w:qFormat/>
    <w:uiPriority w:val="0"/>
    <w:pPr>
      <w:widowControl/>
      <w:spacing w:before="100" w:beforeAutospacing="1" w:after="100" w:afterAutospacing="1"/>
      <w:jc w:val="left"/>
    </w:pPr>
    <w:rPr>
      <w:rFonts w:ascii="Helv" w:hAnsi="Helv" w:eastAsia="宋体" w:cs="Times New Roman"/>
      <w:color w:val="000000"/>
      <w:kern w:val="0"/>
      <w:sz w:val="20"/>
      <w:szCs w:val="20"/>
      <w:u w:val="single"/>
    </w:rPr>
  </w:style>
  <w:style w:type="paragraph" w:customStyle="1" w:styleId="253">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25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宋体" w:cs="Times New Roman"/>
      <w:kern w:val="0"/>
      <w:sz w:val="20"/>
      <w:szCs w:val="20"/>
    </w:rPr>
  </w:style>
  <w:style w:type="paragraph" w:customStyle="1" w:styleId="255">
    <w:name w:val="表 正文 王"/>
    <w:basedOn w:val="1"/>
    <w:qFormat/>
    <w:uiPriority w:val="0"/>
    <w:pPr>
      <w:spacing w:line="300" w:lineRule="auto"/>
    </w:pPr>
    <w:rPr>
      <w:rFonts w:ascii="Times New Roman" w:hAnsi="宋体" w:eastAsia="宋体" w:cs="Times New Roman"/>
      <w:kern w:val="0"/>
      <w:sz w:val="20"/>
      <w:szCs w:val="21"/>
    </w:rPr>
  </w:style>
  <w:style w:type="paragraph" w:customStyle="1" w:styleId="256">
    <w:name w:val="Char"/>
    <w:basedOn w:val="1"/>
    <w:qFormat/>
    <w:uiPriority w:val="0"/>
    <w:pPr>
      <w:widowControl/>
      <w:adjustRightInd w:val="0"/>
      <w:snapToGrid w:val="0"/>
      <w:spacing w:after="160" w:line="240" w:lineRule="exact"/>
      <w:jc w:val="left"/>
    </w:pPr>
    <w:rPr>
      <w:rFonts w:ascii="Times New Roman" w:hAnsi="Times New Roman" w:eastAsia="宋体" w:cs="Times New Roman"/>
      <w:szCs w:val="20"/>
    </w:rPr>
  </w:style>
  <w:style w:type="paragraph" w:customStyle="1" w:styleId="25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60">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261">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26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3">
    <w:name w:val="Char Char Char3"/>
    <w:basedOn w:val="1"/>
    <w:qFormat/>
    <w:uiPriority w:val="0"/>
    <w:rPr>
      <w:rFonts w:ascii="Tahoma" w:hAnsi="Tahoma" w:eastAsia="宋体" w:cs="Times New Roman"/>
      <w:sz w:val="24"/>
      <w:szCs w:val="20"/>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67">
    <w:name w:val="_Style 10"/>
    <w:basedOn w:val="1"/>
    <w:qFormat/>
    <w:uiPriority w:val="0"/>
    <w:rPr>
      <w:rFonts w:ascii="Times New Roman" w:hAnsi="Times New Roman" w:eastAsia="宋体" w:cs="Times New Roman"/>
      <w:szCs w:val="24"/>
    </w:rPr>
  </w:style>
  <w:style w:type="paragraph" w:customStyle="1" w:styleId="268">
    <w:name w:val="xl32"/>
    <w:basedOn w:val="1"/>
    <w:qFormat/>
    <w:uiPriority w:val="0"/>
    <w:pPr>
      <w:widowControl/>
      <w:shd w:val="clear" w:color="auto" w:fill="FFFFFF"/>
      <w:spacing w:before="100" w:beforeAutospacing="1" w:after="100" w:afterAutospacing="1"/>
      <w:jc w:val="center"/>
    </w:pPr>
    <w:rPr>
      <w:rFonts w:ascii="Arial Unicode MS" w:hAnsi="Arial Unicode MS" w:eastAsia="宋体" w:cs="Times New Roman"/>
      <w:kern w:val="0"/>
      <w:sz w:val="20"/>
      <w:szCs w:val="20"/>
    </w:rPr>
  </w:style>
  <w:style w:type="paragraph" w:customStyle="1" w:styleId="269">
    <w:name w:val="style8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70">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271">
    <w:name w:val="List Paragraph"/>
    <w:basedOn w:val="1"/>
    <w:qFormat/>
    <w:uiPriority w:val="99"/>
    <w:pPr>
      <w:ind w:firstLine="420" w:firstLineChars="200"/>
    </w:pPr>
    <w:rPr>
      <w:rFonts w:ascii="Times New Roman" w:hAnsi="Times New Roman" w:eastAsia="宋体" w:cs="Times New Roman"/>
      <w:szCs w:val="24"/>
    </w:rPr>
  </w:style>
  <w:style w:type="paragraph" w:customStyle="1" w:styleId="272">
    <w:name w:val="Char Char Char1"/>
    <w:basedOn w:val="1"/>
    <w:qFormat/>
    <w:uiPriority w:val="0"/>
    <w:rPr>
      <w:rFonts w:ascii="Tahoma" w:hAnsi="Tahoma" w:eastAsia="宋体" w:cs="宋体"/>
      <w:sz w:val="24"/>
      <w:szCs w:val="24"/>
    </w:rPr>
  </w:style>
  <w:style w:type="paragraph" w:customStyle="1" w:styleId="273">
    <w:name w:val="Main_heading"/>
    <w:basedOn w:val="1"/>
    <w:next w:val="1"/>
    <w:qFormat/>
    <w:uiPriority w:val="0"/>
    <w:pPr>
      <w:widowControl/>
      <w:spacing w:before="240" w:after="240" w:line="240" w:lineRule="atLeast"/>
      <w:jc w:val="left"/>
    </w:pPr>
    <w:rPr>
      <w:rFonts w:ascii="Times New Roman" w:hAnsi="Times New Roman" w:eastAsia="MS Mincho" w:cs="Times New Roman"/>
      <w:b/>
      <w:kern w:val="0"/>
      <w:sz w:val="28"/>
      <w:szCs w:val="20"/>
      <w:lang w:eastAsia="ja-JP"/>
    </w:rPr>
  </w:style>
  <w:style w:type="paragraph" w:customStyle="1" w:styleId="274">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7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0"/>
      <w:szCs w:val="20"/>
    </w:rPr>
  </w:style>
  <w:style w:type="paragraph" w:customStyle="1" w:styleId="279">
    <w:name w:val="Char1 Char Char Char"/>
    <w:basedOn w:val="1"/>
    <w:qFormat/>
    <w:uiPriority w:val="0"/>
    <w:rPr>
      <w:rFonts w:ascii="Tahoma" w:hAnsi="Tahoma" w:eastAsia="宋体" w:cs="Times New Roman"/>
      <w:sz w:val="24"/>
      <w:szCs w:val="20"/>
    </w:rPr>
  </w:style>
  <w:style w:type="paragraph" w:customStyle="1" w:styleId="280">
    <w:name w:val="_Style 2"/>
    <w:qFormat/>
    <w:uiPriority w:val="1"/>
    <w:pPr>
      <w:widowControl w:val="0"/>
      <w:jc w:val="both"/>
    </w:pPr>
    <w:rPr>
      <w:rFonts w:ascii="Calibri" w:hAnsi="Calibri" w:eastAsia="宋体" w:cs="Times New Roman"/>
      <w:kern w:val="2"/>
      <w:sz w:val="21"/>
      <w:szCs w:val="24"/>
      <w:lang w:val="en-US" w:eastAsia="zh-CN" w:bidi="ar-SA"/>
    </w:rPr>
  </w:style>
  <w:style w:type="paragraph" w:customStyle="1" w:styleId="2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82">
    <w:name w:val="xl93"/>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283">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8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285">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286">
    <w:name w:val="标题 51"/>
    <w:basedOn w:val="1"/>
    <w:qFormat/>
    <w:uiPriority w:val="1"/>
    <w:pPr>
      <w:spacing w:before="15"/>
      <w:ind w:left="665"/>
      <w:jc w:val="left"/>
      <w:outlineLvl w:val="5"/>
    </w:pPr>
    <w:rPr>
      <w:rFonts w:ascii="宋体" w:hAnsi="宋体" w:eastAsia="宋体" w:cs="宋体"/>
      <w:kern w:val="0"/>
      <w:sz w:val="28"/>
      <w:szCs w:val="28"/>
      <w:lang w:eastAsia="en-US"/>
    </w:rPr>
  </w:style>
  <w:style w:type="paragraph" w:customStyle="1" w:styleId="2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8">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28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90">
    <w:name w:val="三级条标题"/>
    <w:basedOn w:val="291"/>
    <w:next w:val="293"/>
    <w:qFormat/>
    <w:uiPriority w:val="0"/>
    <w:pPr>
      <w:tabs>
        <w:tab w:val="left" w:pos="30"/>
        <w:tab w:val="left" w:pos="1673"/>
        <w:tab w:val="left" w:pos="2933"/>
        <w:tab w:val="left" w:pos="3353"/>
      </w:tabs>
      <w:ind w:left="2940"/>
      <w:outlineLvl w:val="4"/>
    </w:pPr>
  </w:style>
  <w:style w:type="paragraph" w:customStyle="1" w:styleId="291">
    <w:name w:val="二级条标题"/>
    <w:basedOn w:val="292"/>
    <w:next w:val="293"/>
    <w:qFormat/>
    <w:uiPriority w:val="0"/>
    <w:pPr>
      <w:tabs>
        <w:tab w:val="left" w:pos="30"/>
        <w:tab w:val="left" w:pos="1673"/>
        <w:tab w:val="left" w:pos="2933"/>
      </w:tabs>
      <w:ind w:left="2520"/>
      <w:outlineLvl w:val="3"/>
    </w:pPr>
    <w:rPr>
      <w:rFonts w:ascii="Times New Roman" w:eastAsia="宋体"/>
    </w:rPr>
  </w:style>
  <w:style w:type="paragraph" w:customStyle="1" w:styleId="292">
    <w:name w:val="一级条标题"/>
    <w:basedOn w:val="1"/>
    <w:next w:val="293"/>
    <w:qFormat/>
    <w:uiPriority w:val="0"/>
    <w:pPr>
      <w:widowControl/>
      <w:tabs>
        <w:tab w:val="left" w:pos="30"/>
        <w:tab w:val="left" w:pos="1673"/>
      </w:tabs>
      <w:ind w:left="1260" w:hanging="420"/>
      <w:outlineLvl w:val="2"/>
    </w:pPr>
    <w:rPr>
      <w:rFonts w:ascii="黑体" w:hAnsi="Times New Roman" w:eastAsia="黑体" w:cs="Times New Roman"/>
      <w:kern w:val="0"/>
      <w:szCs w:val="20"/>
    </w:rPr>
  </w:style>
  <w:style w:type="paragraph" w:customStyle="1" w:styleId="293">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4">
    <w:name w:val="标题 41"/>
    <w:basedOn w:val="1"/>
    <w:qFormat/>
    <w:uiPriority w:val="1"/>
    <w:pPr>
      <w:spacing w:line="415" w:lineRule="exact"/>
      <w:ind w:left="3237" w:right="144"/>
      <w:jc w:val="left"/>
      <w:outlineLvl w:val="4"/>
    </w:pPr>
    <w:rPr>
      <w:rFonts w:ascii="微软雅黑" w:hAnsi="微软雅黑" w:eastAsia="微软雅黑" w:cs="微软雅黑"/>
      <w:b/>
      <w:bCs/>
      <w:kern w:val="0"/>
      <w:sz w:val="28"/>
      <w:szCs w:val="28"/>
      <w:lang w:eastAsia="en-US"/>
    </w:rPr>
  </w:style>
  <w:style w:type="paragraph" w:customStyle="1" w:styleId="295">
    <w:name w:val="Char Char Char Char Char Char Char2"/>
    <w:basedOn w:val="1"/>
    <w:qFormat/>
    <w:uiPriority w:val="0"/>
    <w:rPr>
      <w:rFonts w:ascii="Times New Roman" w:hAnsi="Times New Roman" w:eastAsia="宋体" w:cs="Times New Roman"/>
      <w:szCs w:val="24"/>
    </w:rPr>
  </w:style>
  <w:style w:type="paragraph" w:customStyle="1" w:styleId="29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97">
    <w:name w:val="font16"/>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29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99">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1">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0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6">
    <w:name w:val="pa-1"/>
    <w:basedOn w:val="1"/>
    <w:qFormat/>
    <w:uiPriority w:val="0"/>
    <w:pPr>
      <w:widowControl/>
      <w:spacing w:line="240" w:lineRule="atLeast"/>
    </w:pPr>
    <w:rPr>
      <w:rFonts w:ascii="宋体" w:hAnsi="宋体" w:eastAsia="宋体" w:cs="宋体"/>
      <w:kern w:val="0"/>
      <w:sz w:val="24"/>
      <w:szCs w:val="24"/>
    </w:rPr>
  </w:style>
  <w:style w:type="paragraph" w:customStyle="1" w:styleId="307">
    <w:name w:val="次小点说明 Char"/>
    <w:basedOn w:val="16"/>
    <w:qFormat/>
    <w:uiPriority w:val="0"/>
    <w:pPr>
      <w:ind w:firstLine="0"/>
    </w:pPr>
    <w:rPr>
      <w:sz w:val="24"/>
      <w:szCs w:val="24"/>
    </w:rPr>
  </w:style>
  <w:style w:type="paragraph" w:customStyle="1" w:styleId="30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309">
    <w:name w:val="正文（绿盟科技）"/>
    <w:qFormat/>
    <w:uiPriority w:val="0"/>
    <w:pPr>
      <w:spacing w:line="300" w:lineRule="auto"/>
    </w:pPr>
    <w:rPr>
      <w:rFonts w:ascii="Arial" w:hAnsi="Arial" w:eastAsia="宋体" w:cs="宋体"/>
      <w:sz w:val="21"/>
      <w:szCs w:val="21"/>
      <w:lang w:val="en-US" w:eastAsia="zh-CN" w:bidi="ar-SA"/>
    </w:rPr>
  </w:style>
  <w:style w:type="paragraph" w:customStyle="1" w:styleId="310">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1">
    <w:name w:val="纯文本11"/>
    <w:basedOn w:val="1"/>
    <w:next w:val="1"/>
    <w:qFormat/>
    <w:uiPriority w:val="0"/>
    <w:pPr>
      <w:shd w:val="clear" w:color="auto" w:fill="FFFFFF"/>
      <w:autoSpaceDE w:val="0"/>
      <w:autoSpaceDN w:val="0"/>
      <w:adjustRightInd w:val="0"/>
      <w:jc w:val="left"/>
    </w:pPr>
    <w:rPr>
      <w:rFonts w:ascii="Arial" w:hAnsi="Arial" w:eastAsia="宋体" w:cs="Arial"/>
      <w:kern w:val="0"/>
      <w:sz w:val="20"/>
      <w:szCs w:val="20"/>
      <w:shd w:val="clear" w:color="auto" w:fill="FFFFFF"/>
    </w:rPr>
  </w:style>
  <w:style w:type="paragraph" w:customStyle="1" w:styleId="312">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13">
    <w:name w:val="Char21"/>
    <w:basedOn w:val="1"/>
    <w:qFormat/>
    <w:uiPriority w:val="0"/>
    <w:rPr>
      <w:rFonts w:ascii="Tahoma" w:hAnsi="Tahoma" w:eastAsia="宋体" w:cs="Times New Roman"/>
      <w:sz w:val="24"/>
      <w:szCs w:val="20"/>
    </w:rPr>
  </w:style>
  <w:style w:type="paragraph" w:customStyle="1" w:styleId="31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6">
    <w:name w:val="Table Paragraph"/>
    <w:basedOn w:val="1"/>
    <w:qFormat/>
    <w:uiPriority w:val="1"/>
    <w:pPr>
      <w:jc w:val="left"/>
    </w:pPr>
    <w:rPr>
      <w:rFonts w:ascii="宋体" w:hAnsi="宋体" w:eastAsia="宋体" w:cs="宋体"/>
      <w:kern w:val="0"/>
      <w:sz w:val="22"/>
      <w:lang w:eastAsia="en-US"/>
    </w:rPr>
  </w:style>
  <w:style w:type="paragraph" w:customStyle="1" w:styleId="317">
    <w:name w:val="标题 11"/>
    <w:basedOn w:val="1"/>
    <w:qFormat/>
    <w:uiPriority w:val="1"/>
    <w:pPr>
      <w:spacing w:line="459" w:lineRule="exact"/>
      <w:ind w:left="3237" w:right="144"/>
      <w:jc w:val="center"/>
      <w:outlineLvl w:val="1"/>
    </w:pPr>
    <w:rPr>
      <w:rFonts w:ascii="微软雅黑" w:hAnsi="微软雅黑" w:eastAsia="微软雅黑" w:cs="微软雅黑"/>
      <w:b/>
      <w:bCs/>
      <w:kern w:val="0"/>
      <w:sz w:val="32"/>
      <w:szCs w:val="32"/>
      <w:lang w:eastAsia="en-US"/>
    </w:rPr>
  </w:style>
  <w:style w:type="paragraph" w:customStyle="1" w:styleId="318">
    <w:name w:val="列出段落11"/>
    <w:basedOn w:val="1"/>
    <w:qFormat/>
    <w:uiPriority w:val="0"/>
    <w:pPr>
      <w:ind w:firstLine="420" w:firstLineChars="200"/>
    </w:pPr>
    <w:rPr>
      <w:rFonts w:ascii="Times New Roman" w:hAnsi="Times New Roman" w:eastAsia="宋体" w:cs="Times New Roman"/>
      <w:szCs w:val="21"/>
    </w:rPr>
  </w:style>
  <w:style w:type="paragraph" w:customStyle="1" w:styleId="319">
    <w:name w:val="style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
    <w:name w:val="表格文字"/>
    <w:basedOn w:val="1"/>
    <w:next w:val="21"/>
    <w:qFormat/>
    <w:uiPriority w:val="0"/>
    <w:pPr>
      <w:spacing w:after="120"/>
      <w:ind w:firstLine="420"/>
    </w:pPr>
    <w:rPr>
      <w:rFonts w:ascii="Times New Roman" w:hAnsi="Times New Roman" w:eastAsia="宋体" w:cs="Times New Roman"/>
      <w:kern w:val="0"/>
      <w:szCs w:val="24"/>
    </w:rPr>
  </w:style>
  <w:style w:type="paragraph" w:customStyle="1" w:styleId="32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32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23">
    <w:name w:val="表格"/>
    <w:basedOn w:val="1"/>
    <w:qFormat/>
    <w:uiPriority w:val="0"/>
    <w:pPr>
      <w:spacing w:line="400" w:lineRule="exact"/>
    </w:pPr>
    <w:rPr>
      <w:rFonts w:ascii="Times New Roman" w:hAnsi="Times New Roman" w:eastAsia="宋体" w:cs="Times New Roman"/>
      <w:sz w:val="24"/>
      <w:szCs w:val="24"/>
    </w:rPr>
  </w:style>
  <w:style w:type="paragraph" w:customStyle="1" w:styleId="32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5">
    <w:name w:val="样式 宋体 三号 加粗 居中 行距: 最小值 12 磅"/>
    <w:basedOn w:val="1"/>
    <w:qFormat/>
    <w:uiPriority w:val="0"/>
    <w:pPr>
      <w:spacing w:line="240" w:lineRule="atLeast"/>
      <w:jc w:val="center"/>
    </w:pPr>
    <w:rPr>
      <w:rFonts w:ascii="宋体" w:hAnsi="宋体" w:eastAsia="宋体" w:cs="宋体"/>
      <w:b/>
      <w:bCs/>
      <w:szCs w:val="21"/>
    </w:rPr>
  </w:style>
  <w:style w:type="paragraph" w:customStyle="1" w:styleId="326">
    <w:name w:val="font18"/>
    <w:basedOn w:val="1"/>
    <w:qFormat/>
    <w:uiPriority w:val="0"/>
    <w:pPr>
      <w:widowControl/>
      <w:spacing w:before="100" w:beforeAutospacing="1" w:after="100" w:afterAutospacing="1"/>
      <w:jc w:val="left"/>
    </w:pPr>
    <w:rPr>
      <w:rFonts w:hint="eastAsia" w:ascii="仿宋_GB2312" w:hAnsi="Arial Unicode MS" w:eastAsia="仿宋_GB2312" w:cs="Times New Roman"/>
      <w:color w:val="FF0000"/>
      <w:kern w:val="0"/>
      <w:sz w:val="20"/>
      <w:szCs w:val="20"/>
    </w:rPr>
  </w:style>
  <w:style w:type="paragraph" w:customStyle="1" w:styleId="327">
    <w:name w:val="彩色列表 - 强调文字颜色 11"/>
    <w:basedOn w:val="1"/>
    <w:qFormat/>
    <w:uiPriority w:val="0"/>
    <w:pPr>
      <w:ind w:firstLine="420" w:firstLineChars="200"/>
    </w:pPr>
    <w:rPr>
      <w:rFonts w:ascii="Times New Roman" w:hAnsi="Times New Roman" w:eastAsia="宋体" w:cs="Times New Roman"/>
      <w:szCs w:val="24"/>
    </w:rPr>
  </w:style>
  <w:style w:type="paragraph" w:customStyle="1" w:styleId="32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29">
    <w:name w:val="Char1 Char Char Char Char Char Char1"/>
    <w:basedOn w:val="1"/>
    <w:qFormat/>
    <w:uiPriority w:val="0"/>
    <w:rPr>
      <w:rFonts w:ascii="Tahoma" w:hAnsi="Tahoma" w:eastAsia="宋体" w:cs="Times New Roman"/>
      <w:sz w:val="24"/>
      <w:szCs w:val="20"/>
    </w:rPr>
  </w:style>
  <w:style w:type="paragraph" w:customStyle="1" w:styleId="33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31">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2">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3">
    <w:name w:val="font17"/>
    <w:basedOn w:val="1"/>
    <w:qFormat/>
    <w:uiPriority w:val="0"/>
    <w:pPr>
      <w:widowControl/>
      <w:spacing w:before="100" w:beforeAutospacing="1" w:after="100" w:afterAutospacing="1"/>
      <w:jc w:val="left"/>
    </w:pPr>
    <w:rPr>
      <w:rFonts w:ascii="Arial" w:hAnsi="Arial" w:eastAsia="宋体" w:cs="Arial"/>
      <w:color w:val="FF0000"/>
      <w:kern w:val="0"/>
      <w:sz w:val="20"/>
      <w:szCs w:val="20"/>
    </w:rPr>
  </w:style>
  <w:style w:type="paragraph" w:customStyle="1" w:styleId="33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5">
    <w:name w:val="font7"/>
    <w:basedOn w:val="1"/>
    <w:qFormat/>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3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7">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39">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340">
    <w:name w:val="Char Char8"/>
    <w:basedOn w:val="1"/>
    <w:qFormat/>
    <w:uiPriority w:val="0"/>
    <w:pPr>
      <w:widowControl/>
      <w:spacing w:after="160" w:line="240" w:lineRule="exact"/>
      <w:jc w:val="left"/>
    </w:pPr>
    <w:rPr>
      <w:rFonts w:ascii="Verdana" w:hAnsi="Verdana" w:eastAsia="仿宋_GB2312" w:cs="仿宋_GB2312"/>
      <w:sz w:val="24"/>
      <w:szCs w:val="24"/>
      <w:lang w:eastAsia="en-US"/>
    </w:rPr>
  </w:style>
  <w:style w:type="paragraph" w:customStyle="1" w:styleId="3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344">
    <w:name w:val="表 数值 王"/>
    <w:basedOn w:val="1"/>
    <w:qFormat/>
    <w:uiPriority w:val="0"/>
    <w:pPr>
      <w:spacing w:line="288" w:lineRule="auto"/>
      <w:jc w:val="right"/>
    </w:pPr>
    <w:rPr>
      <w:rFonts w:ascii="Times New Roman" w:hAnsi="宋体" w:eastAsia="宋体" w:cs="Times New Roman"/>
      <w:szCs w:val="21"/>
    </w:rPr>
  </w:style>
  <w:style w:type="paragraph" w:customStyle="1" w:styleId="34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6">
    <w:name w:val="Char Char Char1 Char Char Char Char"/>
    <w:basedOn w:val="18"/>
    <w:qFormat/>
    <w:uiPriority w:val="0"/>
    <w:pPr>
      <w:spacing w:line="360" w:lineRule="auto"/>
    </w:pPr>
    <w:rPr>
      <w:sz w:val="24"/>
      <w:szCs w:val="20"/>
    </w:rPr>
  </w:style>
  <w:style w:type="paragraph" w:customStyle="1" w:styleId="347">
    <w:name w:val="p121"/>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customStyle="1" w:styleId="348">
    <w:name w:val="px12blac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34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50">
    <w:name w:val="-"/>
    <w:basedOn w:val="1"/>
    <w:qFormat/>
    <w:uiPriority w:val="0"/>
    <w:pPr>
      <w:spacing w:line="360" w:lineRule="auto"/>
    </w:pPr>
    <w:rPr>
      <w:rFonts w:ascii="Arial" w:hAnsi="Arial" w:eastAsia="宋体" w:cs="Arial"/>
      <w:b/>
      <w:bCs/>
      <w:sz w:val="24"/>
      <w:szCs w:val="32"/>
    </w:rPr>
  </w:style>
  <w:style w:type="paragraph" w:customStyle="1" w:styleId="351">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35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355">
    <w:name w:val="表右1"/>
    <w:basedOn w:val="1"/>
    <w:qFormat/>
    <w:uiPriority w:val="0"/>
    <w:pPr>
      <w:ind w:firstLine="320" w:firstLineChars="100"/>
      <w:jc w:val="left"/>
    </w:pPr>
    <w:rPr>
      <w:rFonts w:ascii="宋体-简" w:hAnsi="宋体-简" w:eastAsia="宋体" w:cs="宋体-简"/>
      <w:szCs w:val="21"/>
    </w:rPr>
  </w:style>
  <w:style w:type="paragraph" w:customStyle="1" w:styleId="3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5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5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60">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361">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362">
    <w:name w:val="Char Char Char Char Char Char"/>
    <w:basedOn w:val="1"/>
    <w:qFormat/>
    <w:uiPriority w:val="0"/>
    <w:rPr>
      <w:rFonts w:ascii="仿宋_GB2312" w:hAnsi="Times New Roman" w:eastAsia="仿宋_GB2312" w:cs="仿宋_GB2312"/>
      <w:b/>
      <w:bCs/>
      <w:sz w:val="32"/>
      <w:szCs w:val="32"/>
    </w:rPr>
  </w:style>
  <w:style w:type="paragraph" w:customStyle="1" w:styleId="363">
    <w:name w:val="*正文"/>
    <w:basedOn w:val="1"/>
    <w:qFormat/>
    <w:uiPriority w:val="99"/>
    <w:pPr>
      <w:widowControl/>
      <w:ind w:firstLine="200" w:firstLineChars="200"/>
      <w:jc w:val="left"/>
    </w:pPr>
    <w:rPr>
      <w:rFonts w:ascii="仿宋_GB2312" w:hAnsi="Calibri" w:eastAsia="仿宋_GB2312" w:cs="Times New Roman"/>
      <w:kern w:val="0"/>
      <w:sz w:val="24"/>
      <w:szCs w:val="28"/>
    </w:rPr>
  </w:style>
  <w:style w:type="paragraph" w:customStyle="1" w:styleId="364">
    <w:name w:val="列出段落2"/>
    <w:basedOn w:val="1"/>
    <w:qFormat/>
    <w:uiPriority w:val="0"/>
    <w:pPr>
      <w:ind w:firstLine="420" w:firstLineChars="200"/>
    </w:pPr>
    <w:rPr>
      <w:rFonts w:ascii="Calibri" w:hAnsi="Calibri" w:eastAsia="宋体" w:cs="Times New Roman"/>
    </w:rPr>
  </w:style>
  <w:style w:type="paragraph" w:customStyle="1" w:styleId="365">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66">
    <w:name w:val="font11"/>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367">
    <w:name w:val="p0"/>
    <w:basedOn w:val="1"/>
    <w:qFormat/>
    <w:uiPriority w:val="0"/>
    <w:pPr>
      <w:widowControl/>
    </w:pPr>
    <w:rPr>
      <w:rFonts w:hint="eastAsia" w:ascii="Times New Roman" w:hAnsi="Times New Roman" w:eastAsia="宋体" w:cs="Times New Roman"/>
      <w:szCs w:val="20"/>
    </w:rPr>
  </w:style>
  <w:style w:type="paragraph" w:customStyle="1" w:styleId="368">
    <w:name w:val="font13"/>
    <w:basedOn w:val="1"/>
    <w:qFormat/>
    <w:uiPriority w:val="0"/>
    <w:pPr>
      <w:widowControl/>
      <w:spacing w:before="100" w:beforeAutospacing="1" w:after="100" w:afterAutospacing="1"/>
      <w:jc w:val="left"/>
    </w:pPr>
    <w:rPr>
      <w:rFonts w:hint="eastAsia" w:ascii="宋体" w:hAnsi="宋体" w:eastAsia="宋体" w:cs="Times New Roman"/>
      <w:color w:val="FF0000"/>
      <w:kern w:val="0"/>
      <w:sz w:val="20"/>
      <w:szCs w:val="20"/>
    </w:rPr>
  </w:style>
  <w:style w:type="paragraph" w:customStyle="1" w:styleId="369">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0">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1">
    <w:name w:val="首行缩进"/>
    <w:basedOn w:val="1"/>
    <w:qFormat/>
    <w:uiPriority w:val="0"/>
    <w:pPr>
      <w:ind w:firstLine="480" w:firstLineChars="200"/>
    </w:pPr>
    <w:rPr>
      <w:rFonts w:ascii="Times New Roman" w:hAnsi="Times New Roman" w:eastAsia="宋体" w:cs="Times New Roman"/>
      <w:szCs w:val="24"/>
    </w:rPr>
  </w:style>
  <w:style w:type="paragraph" w:customStyle="1" w:styleId="372">
    <w:name w:val="xl92"/>
    <w:basedOn w:val="1"/>
    <w:qFormat/>
    <w:uiPriority w:val="0"/>
    <w:pPr>
      <w:widowControl/>
      <w:spacing w:before="100" w:beforeAutospacing="1" w:after="100" w:afterAutospacing="1"/>
      <w:jc w:val="center"/>
    </w:pPr>
    <w:rPr>
      <w:rFonts w:ascii="新宋体" w:hAnsi="新宋体" w:eastAsia="新宋体" w:cs="宋体"/>
      <w:b/>
      <w:bCs/>
      <w:kern w:val="0"/>
      <w:sz w:val="36"/>
      <w:szCs w:val="36"/>
    </w:rPr>
  </w:style>
  <w:style w:type="paragraph" w:customStyle="1" w:styleId="373">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7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3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7">
    <w:name w:val="标题 21"/>
    <w:basedOn w:val="1"/>
    <w:qFormat/>
    <w:uiPriority w:val="1"/>
    <w:pPr>
      <w:spacing w:before="1"/>
      <w:ind w:left="148" w:right="144"/>
      <w:jc w:val="left"/>
      <w:outlineLvl w:val="2"/>
    </w:pPr>
    <w:rPr>
      <w:rFonts w:ascii="宋体" w:hAnsi="宋体" w:eastAsia="宋体" w:cs="宋体"/>
      <w:kern w:val="0"/>
      <w:sz w:val="32"/>
      <w:szCs w:val="32"/>
      <w:lang w:eastAsia="en-US"/>
    </w:rPr>
  </w:style>
  <w:style w:type="paragraph" w:customStyle="1" w:styleId="37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79">
    <w:name w:val="font9"/>
    <w:basedOn w:val="1"/>
    <w:qFormat/>
    <w:uiPriority w:val="0"/>
    <w:pPr>
      <w:widowControl/>
      <w:spacing w:before="100" w:beforeAutospacing="1" w:after="100" w:afterAutospacing="1"/>
      <w:jc w:val="left"/>
    </w:pPr>
    <w:rPr>
      <w:rFonts w:hint="eastAsia" w:ascii="宋体" w:hAnsi="宋体" w:eastAsia="宋体" w:cs="Times New Roman"/>
      <w:color w:val="000000"/>
      <w:kern w:val="0"/>
      <w:sz w:val="20"/>
      <w:szCs w:val="20"/>
    </w:rPr>
  </w:style>
  <w:style w:type="paragraph" w:customStyle="1" w:styleId="380">
    <w:name w:val="Char Char Char Char Char Char1 Char2"/>
    <w:basedOn w:val="18"/>
    <w:qFormat/>
    <w:uiPriority w:val="0"/>
    <w:rPr>
      <w:rFonts w:ascii="Tahoma" w:hAnsi="Tahoma"/>
      <w:sz w:val="24"/>
    </w:rPr>
  </w:style>
  <w:style w:type="paragraph" w:customStyle="1" w:styleId="38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382">
    <w:name w:val="列出段落3"/>
    <w:basedOn w:val="1"/>
    <w:qFormat/>
    <w:uiPriority w:val="0"/>
    <w:pPr>
      <w:ind w:firstLine="420" w:firstLineChars="200"/>
    </w:pPr>
    <w:rPr>
      <w:rFonts w:ascii="Calibri" w:hAnsi="Calibri" w:eastAsia="宋体" w:cs="宋体"/>
      <w:szCs w:val="21"/>
    </w:rPr>
  </w:style>
  <w:style w:type="paragraph" w:customStyle="1" w:styleId="383">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384">
    <w:name w:val="标题 61"/>
    <w:basedOn w:val="1"/>
    <w:qFormat/>
    <w:uiPriority w:val="1"/>
    <w:pPr>
      <w:ind w:left="148" w:right="144"/>
      <w:jc w:val="left"/>
      <w:outlineLvl w:val="6"/>
    </w:pPr>
    <w:rPr>
      <w:rFonts w:ascii="微软雅黑" w:hAnsi="微软雅黑" w:eastAsia="微软雅黑" w:cs="微软雅黑"/>
      <w:b/>
      <w:bCs/>
      <w:kern w:val="0"/>
      <w:sz w:val="24"/>
      <w:szCs w:val="24"/>
      <w:lang w:eastAsia="en-US"/>
    </w:rPr>
  </w:style>
  <w:style w:type="paragraph" w:customStyle="1" w:styleId="385">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386">
    <w:name w:val="xl94"/>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387">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388">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3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0">
    <w:name w:val="font10"/>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3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2">
    <w:name w:val="Char Char Char Char Char Char Char Char Char Char Char Char Char"/>
    <w:basedOn w:val="18"/>
    <w:qFormat/>
    <w:uiPriority w:val="0"/>
    <w:rPr>
      <w:rFonts w:ascii="Tahoma" w:hAnsi="Tahoma"/>
      <w:sz w:val="24"/>
    </w:rPr>
  </w:style>
  <w:style w:type="paragraph" w:customStyle="1" w:styleId="39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4">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rPr>
  </w:style>
  <w:style w:type="paragraph" w:customStyle="1" w:styleId="39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6">
    <w:name w:val="Char Char Char Char Char Char1 Char1"/>
    <w:basedOn w:val="18"/>
    <w:qFormat/>
    <w:uiPriority w:val="0"/>
    <w:rPr>
      <w:rFonts w:ascii="Tahoma" w:hAnsi="Tahoma"/>
      <w:sz w:val="24"/>
    </w:rPr>
  </w:style>
  <w:style w:type="paragraph" w:customStyle="1" w:styleId="39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8">
    <w:name w:val="font12"/>
    <w:basedOn w:val="1"/>
    <w:qFormat/>
    <w:uiPriority w:val="0"/>
    <w:pPr>
      <w:widowControl/>
      <w:spacing w:before="100" w:beforeAutospacing="1" w:after="100" w:afterAutospacing="1"/>
      <w:jc w:val="left"/>
    </w:pPr>
    <w:rPr>
      <w:rFonts w:hint="eastAsia" w:ascii="宋体" w:hAnsi="宋体" w:eastAsia="宋体" w:cs="Times New Roman"/>
      <w:color w:val="333333"/>
      <w:kern w:val="0"/>
      <w:sz w:val="20"/>
      <w:szCs w:val="20"/>
    </w:rPr>
  </w:style>
  <w:style w:type="paragraph" w:customStyle="1" w:styleId="399">
    <w:name w:val="样式1"/>
    <w:basedOn w:val="1"/>
    <w:qFormat/>
    <w:uiPriority w:val="0"/>
    <w:rPr>
      <w:rFonts w:ascii="Times New Roman" w:hAnsi="Times New Roman" w:eastAsia="宋体" w:cs="Times New Roman"/>
      <w:szCs w:val="20"/>
    </w:rPr>
  </w:style>
  <w:style w:type="paragraph" w:customStyle="1" w:styleId="40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1">
    <w:name w:val="Char Char Char Char Char Char Char Char Char Char Char Char Char1"/>
    <w:basedOn w:val="18"/>
    <w:qFormat/>
    <w:uiPriority w:val="0"/>
    <w:rPr>
      <w:rFonts w:ascii="Tahoma" w:hAnsi="Tahoma"/>
      <w:sz w:val="24"/>
    </w:rPr>
  </w:style>
  <w:style w:type="paragraph" w:customStyle="1" w:styleId="402">
    <w:name w:val="Char Char1 Char Char Char Char1"/>
    <w:basedOn w:val="18"/>
    <w:qFormat/>
    <w:uiPriority w:val="0"/>
    <w:rPr>
      <w:rFonts w:ascii="Tahoma" w:hAnsi="Tahoma"/>
      <w:sz w:val="24"/>
    </w:rPr>
  </w:style>
  <w:style w:type="paragraph" w:customStyle="1" w:styleId="403">
    <w:name w:val="TOC 标题1"/>
    <w:basedOn w:val="2"/>
    <w:next w:val="1"/>
    <w:unhideWhenUsed/>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4">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405">
    <w:name w:val="网格型1"/>
    <w:basedOn w:val="5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6">
    <w:name w:val="Char Char12"/>
    <w:qFormat/>
    <w:uiPriority w:val="0"/>
    <w:rPr>
      <w:rFonts w:ascii="宋体" w:hAnsi="Courier New" w:eastAsia="宋体" w:cs="Times New Roman"/>
      <w:kern w:val="2"/>
      <w:sz w:val="21"/>
      <w:lang w:val="en-US" w:eastAsia="zh-CN" w:bidi="ar-SA"/>
    </w:rPr>
  </w:style>
  <w:style w:type="character" w:customStyle="1" w:styleId="407">
    <w:name w:val="纯文本 Char4"/>
    <w:qFormat/>
    <w:uiPriority w:val="0"/>
    <w:rPr>
      <w:rFonts w:ascii="宋体" w:hAnsi="Courier New" w:eastAsia="宋体" w:cs="Courier New"/>
      <w:kern w:val="2"/>
      <w:sz w:val="21"/>
      <w:szCs w:val="21"/>
      <w:lang w:val="en-US" w:eastAsia="zh-CN" w:bidi="ar-SA"/>
    </w:rPr>
  </w:style>
  <w:style w:type="character" w:customStyle="1" w:styleId="408">
    <w:name w:val="Char Char101"/>
    <w:qFormat/>
    <w:uiPriority w:val="0"/>
    <w:rPr>
      <w:rFonts w:ascii="Times New Roman" w:hAnsi="Times New Roman" w:eastAsia="宋体" w:cs="Times New Roman"/>
      <w:kern w:val="2"/>
      <w:sz w:val="21"/>
      <w:szCs w:val="24"/>
      <w:lang w:val="en-US" w:eastAsia="zh-CN" w:bidi="ar-SA"/>
    </w:rPr>
  </w:style>
  <w:style w:type="paragraph" w:customStyle="1" w:styleId="409">
    <w:name w:val="Body text|3"/>
    <w:basedOn w:val="1"/>
    <w:qFormat/>
    <w:uiPriority w:val="0"/>
    <w:pPr>
      <w:spacing w:after="460"/>
      <w:jc w:val="center"/>
    </w:pPr>
    <w:rPr>
      <w:rFonts w:ascii="宋体" w:hAnsi="宋体" w:eastAsia="宋体" w:cs="宋体"/>
      <w:kern w:val="0"/>
      <w:sz w:val="34"/>
      <w:szCs w:val="34"/>
    </w:rPr>
  </w:style>
  <w:style w:type="paragraph" w:customStyle="1" w:styleId="410">
    <w:name w:val="列出段落4"/>
    <w:basedOn w:val="1"/>
    <w:qFormat/>
    <w:uiPriority w:val="0"/>
    <w:pPr>
      <w:ind w:firstLine="420" w:firstLineChars="200"/>
    </w:pPr>
    <w:rPr>
      <w:rFonts w:ascii="Times New Roman" w:hAnsi="Times New Roman" w:eastAsia="宋体" w:cs="Times New Roman"/>
      <w:szCs w:val="24"/>
    </w:rPr>
  </w:style>
  <w:style w:type="paragraph" w:customStyle="1" w:styleId="411">
    <w:name w:val="Body text|1"/>
    <w:basedOn w:val="1"/>
    <w:qFormat/>
    <w:uiPriority w:val="0"/>
    <w:pPr>
      <w:spacing w:line="350" w:lineRule="auto"/>
      <w:ind w:firstLine="400"/>
      <w:jc w:val="left"/>
    </w:pPr>
    <w:rPr>
      <w:rFonts w:ascii="宋体" w:hAnsi="宋体" w:eastAsia="宋体" w:cs="宋体"/>
      <w:kern w:val="0"/>
      <w:sz w:val="30"/>
      <w:szCs w:val="30"/>
    </w:rPr>
  </w:style>
  <w:style w:type="paragraph" w:customStyle="1" w:styleId="412">
    <w:name w:val="纯文本3"/>
    <w:basedOn w:val="1"/>
    <w:qFormat/>
    <w:uiPriority w:val="0"/>
    <w:pPr>
      <w:adjustRightInd w:val="0"/>
      <w:textAlignment w:val="baseline"/>
    </w:pPr>
    <w:rPr>
      <w:rFonts w:ascii="宋体" w:hAnsi="Courier New" w:eastAsia="楷体_GB2312" w:cs="Times New Roman"/>
      <w:sz w:val="26"/>
      <w:szCs w:val="20"/>
    </w:rPr>
  </w:style>
  <w:style w:type="character" w:customStyle="1" w:styleId="413">
    <w:name w:val="正文文本 字符"/>
    <w:qFormat/>
    <w:uiPriority w:val="0"/>
    <w:rPr>
      <w:rFonts w:ascii="Times New Roman" w:hAnsi="Times New Roman" w:eastAsia="宋体" w:cs="Times New Roman"/>
      <w:kern w:val="2"/>
      <w:sz w:val="21"/>
      <w:szCs w:val="24"/>
    </w:rPr>
  </w:style>
  <w:style w:type="paragraph" w:customStyle="1" w:styleId="41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5">
    <w:name w:val="font51"/>
    <w:basedOn w:val="55"/>
    <w:qFormat/>
    <w:uiPriority w:val="0"/>
    <w:rPr>
      <w:rFonts w:hint="eastAsia" w:ascii="宋体" w:hAnsi="宋体" w:eastAsia="宋体" w:cs="宋体"/>
      <w:b/>
      <w:bCs/>
      <w:color w:val="000000"/>
      <w:sz w:val="20"/>
      <w:szCs w:val="20"/>
      <w:u w:val="none"/>
    </w:rPr>
  </w:style>
  <w:style w:type="paragraph" w:customStyle="1" w:styleId="416">
    <w:name w:val="正文_6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81</Pages>
  <Words>17443</Words>
  <Characters>19105</Characters>
  <Lines>456</Lines>
  <Paragraphs>128</Paragraphs>
  <TotalTime>10</TotalTime>
  <ScaleCrop>false</ScaleCrop>
  <LinksUpToDate>false</LinksUpToDate>
  <CharactersWithSpaces>19293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2025-08-12T04:09:00Z</dcterms:created>
  <dc:creator>11</dc:creator>
  <cp:lastModifiedBy>素年锦时</cp:lastModifiedBy>
  <cp:lastPrinted>2025-08-29T09:30:00Z</cp:lastPrinted>
  <dcterms:modified xsi:type="dcterms:W3CDTF">2025-10-29T06:29:43Z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eyJoZGlkIjoiMTkwMGRiNDgyYzc0MGMxZmIzYTg3MzFhNDFkNzJlMWEiLCJ1c2VySWQiOiIzMDE0NDMxNzQifQ==</vt:lpwstr>
  </property>
  <property fmtid="{D5CDD505-2E9C-101B-9397-08002B2CF9AE}" pid="3" name="KSOProductBuildVer">
    <vt:lpwstr>2052-12.1.0.23125</vt:lpwstr>
  </property>
  <property fmtid="{D5CDD505-2E9C-101B-9397-08002B2CF9AE}" pid="4" name="ICV">
    <vt:lpwstr>A89FF80496D84D46A0791BBF504F9FD3_13</vt:lpwstr>
  </property>
</Properties>
</file>