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23EEC2">
      <w:pPr>
        <w:pStyle w:val="16"/>
        <w:jc w:val="center"/>
        <w:rPr>
          <w:rFonts w:hAnsi="宋体" w:cs="宋体"/>
          <w:b/>
          <w:bCs/>
          <w:color w:val="auto"/>
          <w:sz w:val="72"/>
          <w:szCs w:val="72"/>
          <w:highlight w:val="none"/>
        </w:rPr>
      </w:pPr>
      <w:r>
        <w:rPr>
          <w:color w:val="auto"/>
          <w:highlight w:val="none"/>
        </w:rPr>
        <w:drawing>
          <wp:anchor distT="0" distB="0" distL="114300" distR="114300" simplePos="0" relativeHeight="251659264" behindDoc="0" locked="0" layoutInCell="0" allowOverlap="1">
            <wp:simplePos x="0" y="0"/>
            <wp:positionH relativeFrom="page">
              <wp:posOffset>1250315</wp:posOffset>
            </wp:positionH>
            <wp:positionV relativeFrom="page">
              <wp:posOffset>1391920</wp:posOffset>
            </wp:positionV>
            <wp:extent cx="869950" cy="819150"/>
            <wp:effectExtent l="0" t="0" r="6350" b="0"/>
            <wp:wrapNone/>
            <wp:docPr id="1" name="IM 2"/>
            <wp:cNvGraphicFramePr/>
            <a:graphic xmlns:a="http://schemas.openxmlformats.org/drawingml/2006/main">
              <a:graphicData uri="http://schemas.openxmlformats.org/drawingml/2006/picture">
                <pic:pic xmlns:pic="http://schemas.openxmlformats.org/drawingml/2006/picture">
                  <pic:nvPicPr>
                    <pic:cNvPr id="1" name="IM 2"/>
                    <pic:cNvPicPr/>
                  </pic:nvPicPr>
                  <pic:blipFill>
                    <a:blip r:embed="rId12"/>
                    <a:stretch>
                      <a:fillRect/>
                    </a:stretch>
                  </pic:blipFill>
                  <pic:spPr>
                    <a:xfrm>
                      <a:off x="0" y="0"/>
                      <a:ext cx="869950" cy="819150"/>
                    </a:xfrm>
                    <a:prstGeom prst="rect">
                      <a:avLst/>
                    </a:prstGeom>
                    <a:noFill/>
                    <a:ln>
                      <a:noFill/>
                    </a:ln>
                  </pic:spPr>
                </pic:pic>
              </a:graphicData>
            </a:graphic>
          </wp:anchor>
        </w:drawing>
      </w:r>
    </w:p>
    <w:p w14:paraId="3DAE29C2">
      <w:pPr>
        <w:spacing w:before="156" w:line="222" w:lineRule="auto"/>
        <w:ind w:left="1651"/>
        <w:jc w:val="center"/>
        <w:rPr>
          <w:rFonts w:ascii="黑体" w:hAnsi="黑体" w:eastAsia="黑体" w:cs="黑体"/>
          <w:color w:val="auto"/>
          <w:sz w:val="48"/>
          <w:szCs w:val="48"/>
          <w:highlight w:val="none"/>
        </w:rPr>
      </w:pPr>
      <w:r>
        <w:rPr>
          <w:rFonts w:ascii="黑体" w:hAnsi="黑体" w:eastAsia="黑体" w:cs="黑体"/>
          <w:b/>
          <w:bCs/>
          <w:color w:val="auto"/>
          <w:spacing w:val="-2"/>
          <w:sz w:val="48"/>
          <w:szCs w:val="48"/>
          <w:highlight w:val="none"/>
        </w:rPr>
        <w:t>广西众鑫工程项目管理有限公司</w:t>
      </w:r>
    </w:p>
    <w:p w14:paraId="0CCC3308">
      <w:pPr>
        <w:spacing w:before="12" w:line="189" w:lineRule="auto"/>
        <w:ind w:left="1645"/>
        <w:jc w:val="center"/>
        <w:rPr>
          <w:rFonts w:ascii="Times New Roman" w:hAnsi="Times New Roman" w:eastAsia="Times New Roman" w:cs="Times New Roman"/>
          <w:color w:val="auto"/>
          <w:sz w:val="20"/>
          <w:szCs w:val="20"/>
          <w:highlight w:val="none"/>
        </w:rPr>
      </w:pPr>
      <w:r>
        <w:rPr>
          <w:rFonts w:ascii="Times New Roman" w:hAnsi="Times New Roman" w:eastAsia="Times New Roman" w:cs="Times New Roman"/>
          <w:b/>
          <w:bCs/>
          <w:color w:val="auto"/>
          <w:spacing w:val="-3"/>
          <w:sz w:val="20"/>
          <w:szCs w:val="20"/>
          <w:highlight w:val="none"/>
        </w:rPr>
        <w:t>GUANGXI ZHONGXIN ENGINEERING</w:t>
      </w:r>
      <w:r>
        <w:rPr>
          <w:rFonts w:ascii="Times New Roman" w:hAnsi="Times New Roman" w:eastAsia="Times New Roman" w:cs="Times New Roman"/>
          <w:b/>
          <w:bCs/>
          <w:color w:val="auto"/>
          <w:spacing w:val="-4"/>
          <w:sz w:val="20"/>
          <w:szCs w:val="20"/>
          <w:highlight w:val="none"/>
        </w:rPr>
        <w:t xml:space="preserve"> PROJECT MANAGEMENT CO.LTD</w:t>
      </w:r>
    </w:p>
    <w:p w14:paraId="5B1F1B97">
      <w:pPr>
        <w:pStyle w:val="12"/>
        <w:spacing w:line="249" w:lineRule="auto"/>
        <w:rPr>
          <w:color w:val="auto"/>
          <w:highlight w:val="none"/>
        </w:rPr>
      </w:pPr>
    </w:p>
    <w:p w14:paraId="15627F68">
      <w:pPr>
        <w:pStyle w:val="12"/>
        <w:spacing w:line="249" w:lineRule="auto"/>
        <w:rPr>
          <w:color w:val="auto"/>
          <w:highlight w:val="none"/>
        </w:rPr>
      </w:pPr>
    </w:p>
    <w:p w14:paraId="352DA0B8">
      <w:pPr>
        <w:pStyle w:val="12"/>
        <w:spacing w:line="249" w:lineRule="auto"/>
        <w:rPr>
          <w:color w:val="auto"/>
          <w:highlight w:val="none"/>
        </w:rPr>
      </w:pPr>
    </w:p>
    <w:p w14:paraId="15EBB684">
      <w:pPr>
        <w:spacing w:before="156" w:beforeLines="50"/>
        <w:jc w:val="center"/>
        <w:rPr>
          <w:color w:val="auto"/>
          <w:highlight w:val="none"/>
        </w:rPr>
      </w:pPr>
      <w:r>
        <w:rPr>
          <w:rFonts w:hint="eastAsia" w:hAnsi="宋体" w:cs="宋体"/>
          <w:b/>
          <w:bCs/>
          <w:color w:val="auto"/>
          <w:sz w:val="72"/>
          <w:szCs w:val="72"/>
          <w:highlight w:val="none"/>
        </w:rPr>
        <w:t>竞争性谈判采购文件</w:t>
      </w:r>
    </w:p>
    <w:p w14:paraId="5E5032F4">
      <w:pPr>
        <w:pStyle w:val="12"/>
        <w:spacing w:line="293" w:lineRule="auto"/>
        <w:rPr>
          <w:color w:val="auto"/>
          <w:highlight w:val="none"/>
        </w:rPr>
      </w:pPr>
    </w:p>
    <w:p w14:paraId="62CCF323">
      <w:pPr>
        <w:spacing w:before="98" w:line="220" w:lineRule="auto"/>
        <w:ind w:left="2925" w:firstLine="300" w:firstLineChars="100"/>
        <w:rPr>
          <w:rFonts w:ascii="宋体" w:hAnsi="宋体" w:eastAsia="宋体" w:cs="宋体"/>
          <w:color w:val="auto"/>
          <w:spacing w:val="0"/>
          <w:sz w:val="30"/>
          <w:szCs w:val="30"/>
          <w:highlight w:val="none"/>
        </w:rPr>
      </w:pPr>
      <w:r>
        <w:rPr>
          <w:rFonts w:ascii="宋体" w:hAnsi="宋体" w:eastAsia="宋体" w:cs="宋体"/>
          <w:color w:val="auto"/>
          <w:spacing w:val="0"/>
          <w:sz w:val="30"/>
          <w:szCs w:val="30"/>
          <w:highlight w:val="none"/>
        </w:rPr>
        <w:t>(全流程电子化评标)</w:t>
      </w:r>
    </w:p>
    <w:p w14:paraId="04FE2D60">
      <w:pPr>
        <w:pStyle w:val="12"/>
        <w:spacing w:line="266" w:lineRule="auto"/>
        <w:rPr>
          <w:color w:val="auto"/>
          <w:highlight w:val="none"/>
        </w:rPr>
      </w:pPr>
    </w:p>
    <w:p w14:paraId="61A23C38">
      <w:pPr>
        <w:pStyle w:val="12"/>
        <w:spacing w:line="266" w:lineRule="auto"/>
        <w:rPr>
          <w:color w:val="auto"/>
          <w:highlight w:val="none"/>
        </w:rPr>
      </w:pPr>
    </w:p>
    <w:p w14:paraId="394362B6">
      <w:pPr>
        <w:pStyle w:val="16"/>
        <w:jc w:val="center"/>
        <w:rPr>
          <w:rFonts w:hint="eastAsia" w:hAnsi="宋体" w:eastAsia="宋体" w:cs="宋体"/>
          <w:b/>
          <w:color w:val="auto"/>
          <w:sz w:val="30"/>
          <w:szCs w:val="72"/>
          <w:highlight w:val="none"/>
          <w:lang w:eastAsia="zh-CN"/>
        </w:rPr>
      </w:pPr>
      <w:r>
        <w:rPr>
          <w:rFonts w:hint="eastAsia" w:hAnsi="宋体" w:cs="宋体"/>
          <w:b/>
          <w:color w:val="auto"/>
          <w:sz w:val="30"/>
          <w:szCs w:val="72"/>
          <w:highlight w:val="none"/>
        </w:rPr>
        <w:t>项目名称：</w:t>
      </w:r>
      <w:r>
        <w:rPr>
          <w:rFonts w:hint="eastAsia" w:hAnsi="宋体" w:cs="宋体"/>
          <w:b/>
          <w:color w:val="auto"/>
          <w:sz w:val="30"/>
          <w:szCs w:val="72"/>
          <w:highlight w:val="none"/>
          <w:lang w:eastAsia="zh-CN"/>
        </w:rPr>
        <w:t>地质矿产勘查虚拟仿真实训室建设项目</w:t>
      </w:r>
    </w:p>
    <w:p w14:paraId="70B6EDC8">
      <w:pPr>
        <w:spacing w:before="98" w:line="219" w:lineRule="auto"/>
        <w:ind w:left="39" w:firstLine="1205" w:firstLineChars="400"/>
        <w:rPr>
          <w:rFonts w:hint="eastAsia" w:ascii="宋体" w:hAnsi="宋体" w:eastAsia="宋体" w:cs="宋体"/>
          <w:color w:val="auto"/>
          <w:sz w:val="30"/>
          <w:szCs w:val="30"/>
          <w:highlight w:val="none"/>
          <w:lang w:eastAsia="zh-CN"/>
        </w:rPr>
      </w:pPr>
      <w:r>
        <w:rPr>
          <w:rFonts w:hint="eastAsia" w:hAnsi="宋体" w:cs="宋体"/>
          <w:b/>
          <w:color w:val="auto"/>
          <w:sz w:val="30"/>
          <w:szCs w:val="72"/>
          <w:highlight w:val="none"/>
        </w:rPr>
        <w:t>项目编号：</w:t>
      </w:r>
      <w:r>
        <w:rPr>
          <w:rFonts w:hint="eastAsia" w:hAnsi="宋体" w:cs="宋体"/>
          <w:b/>
          <w:color w:val="auto"/>
          <w:sz w:val="30"/>
          <w:szCs w:val="72"/>
          <w:highlight w:val="none"/>
          <w:lang w:eastAsia="zh-CN"/>
        </w:rPr>
        <w:t xml:space="preserve"> GXZC2025-J2-003118-ZXXM</w:t>
      </w:r>
      <w:r>
        <w:rPr>
          <w:rFonts w:ascii="宋体" w:hAnsi="宋体" w:eastAsia="宋体" w:cs="宋体"/>
          <w:color w:val="auto"/>
          <w:spacing w:val="64"/>
          <w:sz w:val="30"/>
          <w:szCs w:val="30"/>
          <w:highlight w:val="none"/>
        </w:rPr>
        <w:t xml:space="preserve"> </w:t>
      </w:r>
      <w:r>
        <w:rPr>
          <w:rFonts w:hint="eastAsia" w:ascii="宋体" w:hAnsi="宋体" w:eastAsia="宋体" w:cs="宋体"/>
          <w:b/>
          <w:bCs/>
          <w:color w:val="auto"/>
          <w:spacing w:val="-9"/>
          <w:sz w:val="30"/>
          <w:szCs w:val="30"/>
          <w:highlight w:val="none"/>
          <w:lang w:val="en-US" w:eastAsia="zh-CN"/>
        </w:rPr>
        <w:t xml:space="preserve"> </w:t>
      </w:r>
    </w:p>
    <w:p w14:paraId="75B424C4">
      <w:pPr>
        <w:spacing w:before="98" w:line="199" w:lineRule="auto"/>
        <w:ind w:left="39" w:firstLine="371" w:firstLineChars="100"/>
        <w:rPr>
          <w:rFonts w:ascii="宋体" w:hAnsi="宋体" w:eastAsia="宋体" w:cs="宋体"/>
          <w:b/>
          <w:bCs/>
          <w:color w:val="auto"/>
          <w:spacing w:val="35"/>
          <w:sz w:val="30"/>
          <w:szCs w:val="30"/>
          <w:highlight w:val="none"/>
        </w:rPr>
      </w:pPr>
    </w:p>
    <w:p w14:paraId="10192EA5">
      <w:pPr>
        <w:spacing w:before="98" w:line="199" w:lineRule="auto"/>
        <w:ind w:left="39" w:firstLine="371" w:firstLineChars="100"/>
        <w:rPr>
          <w:rFonts w:ascii="宋体" w:hAnsi="宋体" w:eastAsia="宋体" w:cs="宋体"/>
          <w:b/>
          <w:bCs/>
          <w:color w:val="auto"/>
          <w:spacing w:val="35"/>
          <w:sz w:val="30"/>
          <w:szCs w:val="30"/>
          <w:highlight w:val="none"/>
        </w:rPr>
      </w:pPr>
    </w:p>
    <w:p w14:paraId="44B0B00A">
      <w:pPr>
        <w:pStyle w:val="25"/>
        <w:rPr>
          <w:color w:val="auto"/>
          <w:highlight w:val="none"/>
        </w:rPr>
      </w:pPr>
    </w:p>
    <w:p w14:paraId="31DD5E2E">
      <w:pPr>
        <w:pStyle w:val="25"/>
        <w:rPr>
          <w:color w:val="auto"/>
          <w:highlight w:val="none"/>
        </w:rPr>
      </w:pPr>
    </w:p>
    <w:p w14:paraId="4224C36D">
      <w:pPr>
        <w:spacing w:before="98" w:line="199" w:lineRule="auto"/>
        <w:ind w:left="39" w:firstLine="371" w:firstLineChars="100"/>
        <w:rPr>
          <w:rFonts w:hint="eastAsia" w:ascii="宋体" w:hAnsi="宋体" w:eastAsia="宋体" w:cs="宋体"/>
          <w:color w:val="auto"/>
          <w:sz w:val="30"/>
          <w:szCs w:val="30"/>
          <w:highlight w:val="none"/>
          <w:lang w:eastAsia="zh-CN"/>
        </w:rPr>
      </w:pPr>
      <w:r>
        <w:rPr>
          <w:rFonts w:ascii="宋体" w:hAnsi="宋体" w:eastAsia="宋体" w:cs="宋体"/>
          <w:b/>
          <w:bCs/>
          <w:color w:val="auto"/>
          <w:spacing w:val="35"/>
          <w:sz w:val="30"/>
          <w:szCs w:val="30"/>
          <w:highlight w:val="none"/>
        </w:rPr>
        <w:t>采购人：广西自然资源职业技术学院</w:t>
      </w:r>
    </w:p>
    <w:p w14:paraId="735BA10F">
      <w:pPr>
        <w:spacing w:before="97" w:line="184" w:lineRule="auto"/>
        <w:ind w:left="39" w:firstLine="335" w:firstLineChars="100"/>
        <w:rPr>
          <w:rFonts w:ascii="宋体" w:hAnsi="宋体" w:eastAsia="宋体" w:cs="宋体"/>
          <w:b/>
          <w:bCs/>
          <w:color w:val="auto"/>
          <w:spacing w:val="17"/>
          <w:sz w:val="30"/>
          <w:szCs w:val="30"/>
          <w:highlight w:val="none"/>
        </w:rPr>
      </w:pPr>
    </w:p>
    <w:p w14:paraId="1A8480C2">
      <w:pPr>
        <w:spacing w:before="97" w:line="184" w:lineRule="auto"/>
        <w:ind w:left="39" w:firstLine="335" w:firstLineChars="100"/>
        <w:rPr>
          <w:rFonts w:ascii="宋体" w:hAnsi="宋体" w:eastAsia="宋体" w:cs="宋体"/>
          <w:color w:val="auto"/>
          <w:sz w:val="30"/>
          <w:szCs w:val="30"/>
          <w:highlight w:val="none"/>
        </w:rPr>
      </w:pPr>
      <w:r>
        <w:rPr>
          <w:rFonts w:ascii="宋体" w:hAnsi="宋体" w:eastAsia="宋体" w:cs="宋体"/>
          <w:b/>
          <w:bCs/>
          <w:color w:val="auto"/>
          <w:spacing w:val="17"/>
          <w:sz w:val="30"/>
          <w:szCs w:val="30"/>
          <w:highlight w:val="none"/>
        </w:rPr>
        <w:t>采购代理机构：广西众鑫工程项目管理有限公司</w:t>
      </w:r>
    </w:p>
    <w:p w14:paraId="77D3784A">
      <w:pPr>
        <w:pStyle w:val="16"/>
        <w:jc w:val="center"/>
        <w:rPr>
          <w:rFonts w:hAnsi="宋体" w:cs="宋体"/>
          <w:color w:val="auto"/>
          <w:highlight w:val="none"/>
        </w:rPr>
        <w:sectPr>
          <w:headerReference r:id="rId3" w:type="default"/>
          <w:footerReference r:id="rId5" w:type="default"/>
          <w:headerReference r:id="rId4" w:type="even"/>
          <w:footerReference r:id="rId6" w:type="even"/>
          <w:pgSz w:w="11905" w:h="16838"/>
          <w:pgMar w:top="1417" w:right="1417" w:bottom="1417" w:left="1417" w:header="850" w:footer="992" w:gutter="0"/>
          <w:pgNumType w:start="0"/>
          <w:cols w:space="720" w:num="1"/>
          <w:titlePg/>
          <w:docGrid w:type="lines" w:linePitch="318" w:charSpace="0"/>
        </w:sectPr>
      </w:pPr>
      <w:r>
        <w:rPr>
          <w:rFonts w:hAnsi="宋体" w:cs="宋体"/>
          <w:b/>
          <w:color w:val="auto"/>
          <w:sz w:val="30"/>
          <w:szCs w:val="72"/>
          <w:highlight w:val="none"/>
        </w:rPr>
        <w:t>2025</w:t>
      </w:r>
      <w:r>
        <w:rPr>
          <w:rFonts w:hint="eastAsia" w:hAnsi="宋体" w:cs="宋体"/>
          <w:b/>
          <w:color w:val="auto"/>
          <w:sz w:val="30"/>
          <w:szCs w:val="72"/>
          <w:highlight w:val="none"/>
        </w:rPr>
        <w:t>年</w:t>
      </w:r>
      <w:r>
        <w:rPr>
          <w:rFonts w:hint="eastAsia" w:hAnsi="宋体" w:cs="宋体"/>
          <w:b/>
          <w:color w:val="auto"/>
          <w:sz w:val="30"/>
          <w:szCs w:val="72"/>
          <w:highlight w:val="none"/>
          <w:lang w:val="en-US" w:eastAsia="zh-CN"/>
        </w:rPr>
        <w:t>10</w:t>
      </w:r>
      <w:r>
        <w:rPr>
          <w:rFonts w:hint="eastAsia" w:hAnsi="宋体" w:cs="宋体"/>
          <w:b/>
          <w:color w:val="auto"/>
          <w:sz w:val="30"/>
          <w:szCs w:val="72"/>
          <w:highlight w:val="none"/>
        </w:rPr>
        <w:t>月</w:t>
      </w:r>
      <w:r>
        <w:rPr>
          <w:rFonts w:hint="eastAsia" w:hAnsi="宋体" w:cs="宋体"/>
          <w:b/>
          <w:color w:val="auto"/>
          <w:sz w:val="30"/>
          <w:szCs w:val="72"/>
          <w:highlight w:val="none"/>
          <w:lang w:val="en-US" w:eastAsia="zh-CN"/>
        </w:rPr>
        <w:t>17</w:t>
      </w:r>
      <w:r>
        <w:rPr>
          <w:rFonts w:hint="eastAsia" w:hAnsi="宋体" w:cs="宋体"/>
          <w:b/>
          <w:color w:val="auto"/>
          <w:sz w:val="30"/>
          <w:szCs w:val="72"/>
          <w:highlight w:val="none"/>
        </w:rPr>
        <w:t>日</w:t>
      </w:r>
      <w:r>
        <w:rPr>
          <w:rFonts w:hAnsi="宋体" w:cs="宋体"/>
          <w:b/>
          <w:color w:val="auto"/>
          <w:sz w:val="30"/>
          <w:szCs w:val="72"/>
          <w:highlight w:val="none"/>
        </w:rPr>
        <w:t xml:space="preserve">  </w:t>
      </w:r>
    </w:p>
    <w:p w14:paraId="06BAA69F">
      <w:pPr>
        <w:spacing w:line="360" w:lineRule="auto"/>
        <w:rPr>
          <w:rFonts w:ascii="宋体" w:hAnsi="宋体" w:cs="宋体"/>
          <w:b/>
          <w:color w:val="auto"/>
          <w:sz w:val="44"/>
          <w:szCs w:val="44"/>
          <w:highlight w:val="none"/>
        </w:rPr>
      </w:pPr>
    </w:p>
    <w:p w14:paraId="4196DF6E">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目  录</w:t>
      </w:r>
    </w:p>
    <w:p w14:paraId="5406453E">
      <w:pPr>
        <w:spacing w:line="400" w:lineRule="exact"/>
        <w:jc w:val="center"/>
        <w:rPr>
          <w:rFonts w:ascii="宋体" w:hAnsi="宋体" w:cs="宋体"/>
          <w:b/>
          <w:color w:val="auto"/>
          <w:sz w:val="44"/>
          <w:szCs w:val="44"/>
          <w:highlight w:val="none"/>
        </w:rPr>
      </w:pPr>
    </w:p>
    <w:p w14:paraId="63E50017">
      <w:pPr>
        <w:pStyle w:val="21"/>
        <w:tabs>
          <w:tab w:val="right" w:leader="dot" w:pos="9061"/>
        </w:tabs>
        <w:rPr>
          <w:rFonts w:ascii="宋体" w:hAnsi="宋体" w:cstheme="minorBidi"/>
          <w:color w:val="auto"/>
          <w:sz w:val="28"/>
          <w:szCs w:val="32"/>
          <w:highlight w:val="none"/>
        </w:rPr>
      </w:pPr>
      <w:r>
        <w:rPr>
          <w:rFonts w:hint="eastAsia" w:ascii="宋体" w:hAnsi="宋体" w:cs="宋体"/>
          <w:b/>
          <w:color w:val="auto"/>
          <w:sz w:val="24"/>
          <w:highlight w:val="none"/>
        </w:rPr>
        <w:fldChar w:fldCharType="begin"/>
      </w:r>
      <w:r>
        <w:rPr>
          <w:rFonts w:hint="eastAsia" w:ascii="宋体" w:hAnsi="宋体" w:cs="宋体"/>
          <w:b/>
          <w:color w:val="auto"/>
          <w:sz w:val="24"/>
          <w:highlight w:val="none"/>
        </w:rPr>
        <w:instrText xml:space="preserve"> TOC \o "1-3" \h \z \u </w:instrText>
      </w:r>
      <w:r>
        <w:rPr>
          <w:rFonts w:hint="eastAsia" w:ascii="宋体" w:hAnsi="宋体" w:cs="宋体"/>
          <w:b/>
          <w:color w:val="auto"/>
          <w:sz w:val="24"/>
          <w:highlight w:val="none"/>
        </w:rPr>
        <w:fldChar w:fldCharType="separate"/>
      </w:r>
      <w:r>
        <w:rPr>
          <w:color w:val="auto"/>
          <w:highlight w:val="none"/>
        </w:rPr>
        <w:fldChar w:fldCharType="begin"/>
      </w:r>
      <w:r>
        <w:rPr>
          <w:color w:val="auto"/>
          <w:highlight w:val="none"/>
        </w:rPr>
        <w:instrText xml:space="preserve"> HYPERLINK \l "_Toc207390926" </w:instrText>
      </w:r>
      <w:r>
        <w:rPr>
          <w:color w:val="auto"/>
          <w:highlight w:val="none"/>
        </w:rPr>
        <w:fldChar w:fldCharType="separate"/>
      </w:r>
      <w:r>
        <w:rPr>
          <w:rStyle w:val="33"/>
          <w:rFonts w:ascii="宋体" w:hAnsi="宋体" w:cs="宋体"/>
          <w:color w:val="auto"/>
          <w:sz w:val="28"/>
          <w:szCs w:val="36"/>
          <w:highlight w:val="none"/>
        </w:rPr>
        <w:t>第一章</w:t>
      </w:r>
      <w:r>
        <w:rPr>
          <w:rFonts w:ascii="宋体" w:hAnsi="宋体" w:cstheme="minorBidi"/>
          <w:color w:val="auto"/>
          <w:sz w:val="28"/>
          <w:szCs w:val="32"/>
          <w:highlight w:val="none"/>
        </w:rPr>
        <w:t xml:space="preserve">  </w:t>
      </w:r>
      <w:r>
        <w:rPr>
          <w:rStyle w:val="33"/>
          <w:rFonts w:ascii="宋体" w:hAnsi="宋体" w:cs="宋体"/>
          <w:color w:val="auto"/>
          <w:sz w:val="28"/>
          <w:szCs w:val="36"/>
          <w:highlight w:val="none"/>
        </w:rPr>
        <w:t>竞争性谈判公告</w:t>
      </w:r>
      <w:r>
        <w:rPr>
          <w:rFonts w:ascii="宋体" w:hAnsi="宋体"/>
          <w:color w:val="auto"/>
          <w:sz w:val="28"/>
          <w:szCs w:val="36"/>
          <w:highlight w:val="none"/>
        </w:rPr>
        <w:tab/>
      </w:r>
      <w:r>
        <w:rPr>
          <w:rFonts w:ascii="宋体" w:hAnsi="宋体"/>
          <w:color w:val="auto"/>
          <w:sz w:val="28"/>
          <w:szCs w:val="36"/>
          <w:highlight w:val="none"/>
        </w:rPr>
        <w:fldChar w:fldCharType="begin"/>
      </w:r>
      <w:r>
        <w:rPr>
          <w:rFonts w:ascii="宋体" w:hAnsi="宋体"/>
          <w:color w:val="auto"/>
          <w:sz w:val="28"/>
          <w:szCs w:val="36"/>
          <w:highlight w:val="none"/>
        </w:rPr>
        <w:instrText xml:space="preserve"> PAGEREF _Toc207390926 \h </w:instrText>
      </w:r>
      <w:r>
        <w:rPr>
          <w:rFonts w:ascii="宋体" w:hAnsi="宋体"/>
          <w:color w:val="auto"/>
          <w:sz w:val="28"/>
          <w:szCs w:val="36"/>
          <w:highlight w:val="none"/>
        </w:rPr>
        <w:fldChar w:fldCharType="separate"/>
      </w:r>
      <w:r>
        <w:rPr>
          <w:rFonts w:ascii="宋体" w:hAnsi="宋体"/>
          <w:color w:val="auto"/>
          <w:sz w:val="28"/>
          <w:szCs w:val="36"/>
          <w:highlight w:val="none"/>
        </w:rPr>
        <w:t>1</w:t>
      </w:r>
      <w:r>
        <w:rPr>
          <w:rFonts w:ascii="宋体" w:hAnsi="宋体"/>
          <w:color w:val="auto"/>
          <w:sz w:val="28"/>
          <w:szCs w:val="36"/>
          <w:highlight w:val="none"/>
        </w:rPr>
        <w:fldChar w:fldCharType="end"/>
      </w:r>
      <w:r>
        <w:rPr>
          <w:rFonts w:ascii="宋体" w:hAnsi="宋体"/>
          <w:color w:val="auto"/>
          <w:sz w:val="28"/>
          <w:szCs w:val="36"/>
          <w:highlight w:val="none"/>
        </w:rPr>
        <w:fldChar w:fldCharType="end"/>
      </w:r>
    </w:p>
    <w:p w14:paraId="634161C6">
      <w:pPr>
        <w:pStyle w:val="21"/>
        <w:tabs>
          <w:tab w:val="right" w:leader="dot" w:pos="9061"/>
        </w:tabs>
        <w:rPr>
          <w:rFonts w:ascii="宋体" w:hAnsi="宋体" w:cstheme="minorBidi"/>
          <w:color w:val="auto"/>
          <w:sz w:val="28"/>
          <w:szCs w:val="32"/>
          <w:highlight w:val="none"/>
        </w:rPr>
      </w:pPr>
      <w:r>
        <w:rPr>
          <w:color w:val="auto"/>
          <w:highlight w:val="none"/>
        </w:rPr>
        <w:fldChar w:fldCharType="begin"/>
      </w:r>
      <w:r>
        <w:rPr>
          <w:color w:val="auto"/>
          <w:highlight w:val="none"/>
        </w:rPr>
        <w:instrText xml:space="preserve"> HYPERLINK \l "_Toc207390927" </w:instrText>
      </w:r>
      <w:r>
        <w:rPr>
          <w:color w:val="auto"/>
          <w:highlight w:val="none"/>
        </w:rPr>
        <w:fldChar w:fldCharType="separate"/>
      </w:r>
      <w:r>
        <w:rPr>
          <w:rStyle w:val="33"/>
          <w:rFonts w:ascii="宋体" w:hAnsi="宋体"/>
          <w:color w:val="auto"/>
          <w:sz w:val="28"/>
          <w:szCs w:val="36"/>
          <w:highlight w:val="none"/>
        </w:rPr>
        <w:t>第二章  供应商须知</w:t>
      </w:r>
      <w:r>
        <w:rPr>
          <w:rFonts w:ascii="宋体" w:hAnsi="宋体"/>
          <w:color w:val="auto"/>
          <w:sz w:val="28"/>
          <w:szCs w:val="36"/>
          <w:highlight w:val="none"/>
        </w:rPr>
        <w:tab/>
      </w:r>
      <w:r>
        <w:rPr>
          <w:rFonts w:ascii="宋体" w:hAnsi="宋体"/>
          <w:color w:val="auto"/>
          <w:sz w:val="28"/>
          <w:szCs w:val="36"/>
          <w:highlight w:val="none"/>
        </w:rPr>
        <w:fldChar w:fldCharType="begin"/>
      </w:r>
      <w:r>
        <w:rPr>
          <w:rFonts w:ascii="宋体" w:hAnsi="宋体"/>
          <w:color w:val="auto"/>
          <w:sz w:val="28"/>
          <w:szCs w:val="36"/>
          <w:highlight w:val="none"/>
        </w:rPr>
        <w:instrText xml:space="preserve"> PAGEREF _Toc207390927 \h </w:instrText>
      </w:r>
      <w:r>
        <w:rPr>
          <w:rFonts w:ascii="宋体" w:hAnsi="宋体"/>
          <w:color w:val="auto"/>
          <w:sz w:val="28"/>
          <w:szCs w:val="36"/>
          <w:highlight w:val="none"/>
        </w:rPr>
        <w:fldChar w:fldCharType="separate"/>
      </w:r>
      <w:r>
        <w:rPr>
          <w:rFonts w:ascii="宋体" w:hAnsi="宋体"/>
          <w:color w:val="auto"/>
          <w:sz w:val="28"/>
          <w:szCs w:val="36"/>
          <w:highlight w:val="none"/>
        </w:rPr>
        <w:t>5</w:t>
      </w:r>
      <w:r>
        <w:rPr>
          <w:rFonts w:ascii="宋体" w:hAnsi="宋体"/>
          <w:color w:val="auto"/>
          <w:sz w:val="28"/>
          <w:szCs w:val="36"/>
          <w:highlight w:val="none"/>
        </w:rPr>
        <w:fldChar w:fldCharType="end"/>
      </w:r>
      <w:r>
        <w:rPr>
          <w:rFonts w:ascii="宋体" w:hAnsi="宋体"/>
          <w:color w:val="auto"/>
          <w:sz w:val="28"/>
          <w:szCs w:val="36"/>
          <w:highlight w:val="none"/>
        </w:rPr>
        <w:fldChar w:fldCharType="end"/>
      </w:r>
    </w:p>
    <w:p w14:paraId="5E50C697">
      <w:pPr>
        <w:pStyle w:val="21"/>
        <w:tabs>
          <w:tab w:val="right" w:leader="dot" w:pos="9061"/>
        </w:tabs>
        <w:rPr>
          <w:rFonts w:ascii="宋体" w:hAnsi="宋体" w:cstheme="minorBidi"/>
          <w:color w:val="auto"/>
          <w:sz w:val="28"/>
          <w:szCs w:val="32"/>
          <w:highlight w:val="none"/>
        </w:rPr>
      </w:pPr>
      <w:r>
        <w:rPr>
          <w:color w:val="auto"/>
          <w:highlight w:val="none"/>
        </w:rPr>
        <w:fldChar w:fldCharType="begin"/>
      </w:r>
      <w:r>
        <w:rPr>
          <w:color w:val="auto"/>
          <w:highlight w:val="none"/>
        </w:rPr>
        <w:instrText xml:space="preserve"> HYPERLINK \l "_Toc207390928" </w:instrText>
      </w:r>
      <w:r>
        <w:rPr>
          <w:color w:val="auto"/>
          <w:highlight w:val="none"/>
        </w:rPr>
        <w:fldChar w:fldCharType="separate"/>
      </w:r>
      <w:r>
        <w:rPr>
          <w:rStyle w:val="33"/>
          <w:rFonts w:ascii="宋体" w:hAnsi="宋体" w:cs="宋体"/>
          <w:color w:val="auto"/>
          <w:sz w:val="28"/>
          <w:szCs w:val="36"/>
          <w:highlight w:val="none"/>
        </w:rPr>
        <w:t>第三章</w:t>
      </w:r>
      <w:r>
        <w:rPr>
          <w:rStyle w:val="33"/>
          <w:rFonts w:hint="eastAsia" w:ascii="宋体" w:hAnsi="宋体" w:cs="宋体"/>
          <w:color w:val="auto"/>
          <w:sz w:val="28"/>
          <w:szCs w:val="36"/>
          <w:highlight w:val="none"/>
        </w:rPr>
        <w:t xml:space="preserve"> </w:t>
      </w:r>
      <w:r>
        <w:rPr>
          <w:rStyle w:val="33"/>
          <w:rFonts w:ascii="宋体" w:hAnsi="宋体" w:cs="宋体"/>
          <w:color w:val="auto"/>
          <w:sz w:val="28"/>
          <w:szCs w:val="36"/>
          <w:highlight w:val="none"/>
        </w:rPr>
        <w:t xml:space="preserve"> 采购需求</w:t>
      </w:r>
      <w:r>
        <w:rPr>
          <w:rFonts w:ascii="宋体" w:hAnsi="宋体"/>
          <w:color w:val="auto"/>
          <w:sz w:val="28"/>
          <w:szCs w:val="36"/>
          <w:highlight w:val="none"/>
        </w:rPr>
        <w:tab/>
      </w:r>
      <w:bookmarkStart w:id="36" w:name="_GoBack"/>
      <w:bookmarkEnd w:id="36"/>
      <w:r>
        <w:rPr>
          <w:rFonts w:ascii="宋体" w:hAnsi="宋体"/>
          <w:color w:val="auto"/>
          <w:sz w:val="28"/>
          <w:szCs w:val="36"/>
          <w:highlight w:val="none"/>
        </w:rPr>
        <w:fldChar w:fldCharType="begin"/>
      </w:r>
      <w:r>
        <w:rPr>
          <w:rFonts w:ascii="宋体" w:hAnsi="宋体"/>
          <w:color w:val="auto"/>
          <w:sz w:val="28"/>
          <w:szCs w:val="36"/>
          <w:highlight w:val="none"/>
        </w:rPr>
        <w:instrText xml:space="preserve"> PAGEREF _Toc207390928 \h </w:instrText>
      </w:r>
      <w:r>
        <w:rPr>
          <w:rFonts w:ascii="宋体" w:hAnsi="宋体"/>
          <w:color w:val="auto"/>
          <w:sz w:val="28"/>
          <w:szCs w:val="36"/>
          <w:highlight w:val="none"/>
        </w:rPr>
        <w:fldChar w:fldCharType="separate"/>
      </w:r>
      <w:r>
        <w:rPr>
          <w:rFonts w:ascii="宋体" w:hAnsi="宋体"/>
          <w:color w:val="auto"/>
          <w:sz w:val="28"/>
          <w:szCs w:val="36"/>
          <w:highlight w:val="none"/>
        </w:rPr>
        <w:t>27</w:t>
      </w:r>
      <w:r>
        <w:rPr>
          <w:rFonts w:ascii="宋体" w:hAnsi="宋体"/>
          <w:color w:val="auto"/>
          <w:sz w:val="28"/>
          <w:szCs w:val="36"/>
          <w:highlight w:val="none"/>
        </w:rPr>
        <w:fldChar w:fldCharType="end"/>
      </w:r>
      <w:r>
        <w:rPr>
          <w:rFonts w:ascii="宋体" w:hAnsi="宋体"/>
          <w:color w:val="auto"/>
          <w:sz w:val="28"/>
          <w:szCs w:val="36"/>
          <w:highlight w:val="none"/>
        </w:rPr>
        <w:fldChar w:fldCharType="end"/>
      </w:r>
    </w:p>
    <w:p w14:paraId="5BDF6AA4">
      <w:pPr>
        <w:pStyle w:val="21"/>
        <w:tabs>
          <w:tab w:val="right" w:leader="dot" w:pos="9061"/>
        </w:tabs>
        <w:rPr>
          <w:rFonts w:ascii="宋体" w:hAnsi="宋体" w:cstheme="minorBidi"/>
          <w:color w:val="auto"/>
          <w:sz w:val="28"/>
          <w:szCs w:val="32"/>
          <w:highlight w:val="none"/>
        </w:rPr>
      </w:pPr>
      <w:r>
        <w:rPr>
          <w:color w:val="auto"/>
          <w:highlight w:val="none"/>
        </w:rPr>
        <w:fldChar w:fldCharType="begin"/>
      </w:r>
      <w:r>
        <w:rPr>
          <w:color w:val="auto"/>
          <w:highlight w:val="none"/>
        </w:rPr>
        <w:instrText xml:space="preserve"> HYPERLINK \l "_Toc207390929" </w:instrText>
      </w:r>
      <w:r>
        <w:rPr>
          <w:color w:val="auto"/>
          <w:highlight w:val="none"/>
        </w:rPr>
        <w:fldChar w:fldCharType="separate"/>
      </w:r>
      <w:r>
        <w:rPr>
          <w:rStyle w:val="33"/>
          <w:rFonts w:ascii="宋体" w:hAnsi="宋体" w:cs="宋体"/>
          <w:color w:val="auto"/>
          <w:sz w:val="28"/>
          <w:szCs w:val="36"/>
          <w:highlight w:val="none"/>
        </w:rPr>
        <w:t>第四章  评审程序和评定成交的标准</w:t>
      </w:r>
      <w:r>
        <w:rPr>
          <w:rFonts w:ascii="宋体" w:hAnsi="宋体"/>
          <w:color w:val="auto"/>
          <w:sz w:val="28"/>
          <w:szCs w:val="36"/>
          <w:highlight w:val="none"/>
        </w:rPr>
        <w:tab/>
      </w:r>
      <w:r>
        <w:rPr>
          <w:rFonts w:ascii="宋体" w:hAnsi="宋体"/>
          <w:color w:val="auto"/>
          <w:sz w:val="28"/>
          <w:szCs w:val="36"/>
          <w:highlight w:val="none"/>
        </w:rPr>
        <w:fldChar w:fldCharType="begin"/>
      </w:r>
      <w:r>
        <w:rPr>
          <w:rFonts w:ascii="宋体" w:hAnsi="宋体"/>
          <w:color w:val="auto"/>
          <w:sz w:val="28"/>
          <w:szCs w:val="36"/>
          <w:highlight w:val="none"/>
        </w:rPr>
        <w:instrText xml:space="preserve"> PAGEREF _Toc207390929 \h </w:instrText>
      </w:r>
      <w:r>
        <w:rPr>
          <w:rFonts w:ascii="宋体" w:hAnsi="宋体"/>
          <w:color w:val="auto"/>
          <w:sz w:val="28"/>
          <w:szCs w:val="36"/>
          <w:highlight w:val="none"/>
        </w:rPr>
        <w:fldChar w:fldCharType="separate"/>
      </w:r>
      <w:r>
        <w:rPr>
          <w:rFonts w:ascii="宋体" w:hAnsi="宋体"/>
          <w:color w:val="auto"/>
          <w:sz w:val="28"/>
          <w:szCs w:val="36"/>
          <w:highlight w:val="none"/>
        </w:rPr>
        <w:t>69</w:t>
      </w:r>
      <w:r>
        <w:rPr>
          <w:rFonts w:ascii="宋体" w:hAnsi="宋体"/>
          <w:color w:val="auto"/>
          <w:sz w:val="28"/>
          <w:szCs w:val="36"/>
          <w:highlight w:val="none"/>
        </w:rPr>
        <w:fldChar w:fldCharType="end"/>
      </w:r>
      <w:r>
        <w:rPr>
          <w:rFonts w:ascii="宋体" w:hAnsi="宋体"/>
          <w:color w:val="auto"/>
          <w:sz w:val="28"/>
          <w:szCs w:val="36"/>
          <w:highlight w:val="none"/>
        </w:rPr>
        <w:fldChar w:fldCharType="end"/>
      </w:r>
    </w:p>
    <w:p w14:paraId="250B02FA">
      <w:pPr>
        <w:pStyle w:val="21"/>
        <w:tabs>
          <w:tab w:val="right" w:leader="dot" w:pos="9061"/>
        </w:tabs>
        <w:rPr>
          <w:rFonts w:ascii="宋体" w:hAnsi="宋体" w:cstheme="minorBidi"/>
          <w:color w:val="auto"/>
          <w:sz w:val="28"/>
          <w:szCs w:val="32"/>
          <w:highlight w:val="none"/>
        </w:rPr>
      </w:pPr>
      <w:r>
        <w:rPr>
          <w:color w:val="auto"/>
          <w:highlight w:val="none"/>
        </w:rPr>
        <w:fldChar w:fldCharType="begin"/>
      </w:r>
      <w:r>
        <w:rPr>
          <w:color w:val="auto"/>
          <w:highlight w:val="none"/>
        </w:rPr>
        <w:instrText xml:space="preserve"> HYPERLINK \l "_Toc207390930" </w:instrText>
      </w:r>
      <w:r>
        <w:rPr>
          <w:color w:val="auto"/>
          <w:highlight w:val="none"/>
        </w:rPr>
        <w:fldChar w:fldCharType="separate"/>
      </w:r>
      <w:r>
        <w:rPr>
          <w:rStyle w:val="33"/>
          <w:rFonts w:ascii="宋体" w:hAnsi="宋体" w:cs="宋体"/>
          <w:color w:val="auto"/>
          <w:sz w:val="28"/>
          <w:szCs w:val="36"/>
          <w:highlight w:val="none"/>
        </w:rPr>
        <w:t>第五章  响应文件格式</w:t>
      </w:r>
      <w:r>
        <w:rPr>
          <w:rFonts w:ascii="宋体" w:hAnsi="宋体"/>
          <w:color w:val="auto"/>
          <w:sz w:val="28"/>
          <w:szCs w:val="36"/>
          <w:highlight w:val="none"/>
        </w:rPr>
        <w:tab/>
      </w:r>
      <w:r>
        <w:rPr>
          <w:rFonts w:ascii="宋体" w:hAnsi="宋体"/>
          <w:color w:val="auto"/>
          <w:sz w:val="28"/>
          <w:szCs w:val="36"/>
          <w:highlight w:val="none"/>
        </w:rPr>
        <w:fldChar w:fldCharType="begin"/>
      </w:r>
      <w:r>
        <w:rPr>
          <w:rFonts w:ascii="宋体" w:hAnsi="宋体"/>
          <w:color w:val="auto"/>
          <w:sz w:val="28"/>
          <w:szCs w:val="36"/>
          <w:highlight w:val="none"/>
        </w:rPr>
        <w:instrText xml:space="preserve"> PAGEREF _Toc207390930 \h </w:instrText>
      </w:r>
      <w:r>
        <w:rPr>
          <w:rFonts w:ascii="宋体" w:hAnsi="宋体"/>
          <w:color w:val="auto"/>
          <w:sz w:val="28"/>
          <w:szCs w:val="36"/>
          <w:highlight w:val="none"/>
        </w:rPr>
        <w:fldChar w:fldCharType="separate"/>
      </w:r>
      <w:r>
        <w:rPr>
          <w:rFonts w:ascii="宋体" w:hAnsi="宋体"/>
          <w:color w:val="auto"/>
          <w:sz w:val="28"/>
          <w:szCs w:val="36"/>
          <w:highlight w:val="none"/>
        </w:rPr>
        <w:t>75</w:t>
      </w:r>
      <w:r>
        <w:rPr>
          <w:rFonts w:ascii="宋体" w:hAnsi="宋体"/>
          <w:color w:val="auto"/>
          <w:sz w:val="28"/>
          <w:szCs w:val="36"/>
          <w:highlight w:val="none"/>
        </w:rPr>
        <w:fldChar w:fldCharType="end"/>
      </w:r>
      <w:r>
        <w:rPr>
          <w:rFonts w:ascii="宋体" w:hAnsi="宋体"/>
          <w:color w:val="auto"/>
          <w:sz w:val="28"/>
          <w:szCs w:val="36"/>
          <w:highlight w:val="none"/>
        </w:rPr>
        <w:fldChar w:fldCharType="end"/>
      </w:r>
    </w:p>
    <w:p w14:paraId="327DEBCA">
      <w:pPr>
        <w:pStyle w:val="21"/>
        <w:tabs>
          <w:tab w:val="right" w:leader="dot" w:pos="9061"/>
        </w:tabs>
        <w:rPr>
          <w:rFonts w:asciiTheme="minorHAnsi" w:hAnsiTheme="minorHAnsi" w:eastAsiaTheme="minorEastAsia" w:cstheme="minorBidi"/>
          <w:color w:val="auto"/>
          <w:szCs w:val="22"/>
          <w:highlight w:val="none"/>
        </w:rPr>
      </w:pPr>
      <w:r>
        <w:rPr>
          <w:color w:val="auto"/>
          <w:highlight w:val="none"/>
        </w:rPr>
        <w:fldChar w:fldCharType="begin"/>
      </w:r>
      <w:r>
        <w:rPr>
          <w:color w:val="auto"/>
          <w:highlight w:val="none"/>
        </w:rPr>
        <w:instrText xml:space="preserve"> HYPERLINK \l "_Toc207390931" </w:instrText>
      </w:r>
      <w:r>
        <w:rPr>
          <w:color w:val="auto"/>
          <w:highlight w:val="none"/>
        </w:rPr>
        <w:fldChar w:fldCharType="separate"/>
      </w:r>
      <w:r>
        <w:rPr>
          <w:rStyle w:val="33"/>
          <w:rFonts w:ascii="宋体" w:hAnsi="宋体" w:cs="宋体"/>
          <w:color w:val="auto"/>
          <w:sz w:val="28"/>
          <w:szCs w:val="36"/>
          <w:highlight w:val="none"/>
        </w:rPr>
        <w:t>第六章  合同文本</w:t>
      </w:r>
      <w:r>
        <w:rPr>
          <w:rFonts w:ascii="宋体" w:hAnsi="宋体"/>
          <w:color w:val="auto"/>
          <w:sz w:val="28"/>
          <w:szCs w:val="36"/>
          <w:highlight w:val="none"/>
        </w:rPr>
        <w:tab/>
      </w:r>
      <w:r>
        <w:rPr>
          <w:rFonts w:ascii="宋体" w:hAnsi="宋体"/>
          <w:color w:val="auto"/>
          <w:sz w:val="28"/>
          <w:szCs w:val="36"/>
          <w:highlight w:val="none"/>
        </w:rPr>
        <w:fldChar w:fldCharType="begin"/>
      </w:r>
      <w:r>
        <w:rPr>
          <w:rFonts w:ascii="宋体" w:hAnsi="宋体"/>
          <w:color w:val="auto"/>
          <w:sz w:val="28"/>
          <w:szCs w:val="36"/>
          <w:highlight w:val="none"/>
        </w:rPr>
        <w:instrText xml:space="preserve"> PAGEREF _Toc207390931 \h </w:instrText>
      </w:r>
      <w:r>
        <w:rPr>
          <w:rFonts w:ascii="宋体" w:hAnsi="宋体"/>
          <w:color w:val="auto"/>
          <w:sz w:val="28"/>
          <w:szCs w:val="36"/>
          <w:highlight w:val="none"/>
        </w:rPr>
        <w:fldChar w:fldCharType="separate"/>
      </w:r>
      <w:r>
        <w:rPr>
          <w:rFonts w:ascii="宋体" w:hAnsi="宋体"/>
          <w:color w:val="auto"/>
          <w:sz w:val="28"/>
          <w:szCs w:val="36"/>
          <w:highlight w:val="none"/>
        </w:rPr>
        <w:t>98</w:t>
      </w:r>
      <w:r>
        <w:rPr>
          <w:rFonts w:ascii="宋体" w:hAnsi="宋体"/>
          <w:color w:val="auto"/>
          <w:sz w:val="28"/>
          <w:szCs w:val="36"/>
          <w:highlight w:val="none"/>
        </w:rPr>
        <w:fldChar w:fldCharType="end"/>
      </w:r>
      <w:r>
        <w:rPr>
          <w:rFonts w:ascii="宋体" w:hAnsi="宋体"/>
          <w:color w:val="auto"/>
          <w:sz w:val="28"/>
          <w:szCs w:val="36"/>
          <w:highlight w:val="none"/>
        </w:rPr>
        <w:fldChar w:fldCharType="end"/>
      </w:r>
    </w:p>
    <w:p w14:paraId="7C844C1D">
      <w:pPr>
        <w:pStyle w:val="22"/>
        <w:tabs>
          <w:tab w:val="right" w:leader="dot" w:pos="8931"/>
          <w:tab w:val="clear" w:pos="8296"/>
        </w:tabs>
        <w:snapToGrid w:val="0"/>
        <w:spacing w:line="500" w:lineRule="atLeast"/>
        <w:ind w:left="0" w:leftChars="0"/>
        <w:rPr>
          <w:rFonts w:ascii="宋体" w:hAnsi="宋体" w:cs="宋体"/>
          <w:b/>
          <w:color w:val="auto"/>
          <w:sz w:val="24"/>
          <w:highlight w:val="none"/>
        </w:rPr>
      </w:pPr>
      <w:r>
        <w:rPr>
          <w:rFonts w:hint="eastAsia" w:ascii="宋体" w:hAnsi="宋体" w:cs="宋体"/>
          <w:b/>
          <w:color w:val="auto"/>
          <w:sz w:val="24"/>
          <w:highlight w:val="none"/>
        </w:rPr>
        <w:fldChar w:fldCharType="end"/>
      </w:r>
    </w:p>
    <w:p w14:paraId="7A68F0B0">
      <w:pPr>
        <w:spacing w:line="400" w:lineRule="exact"/>
        <w:jc w:val="left"/>
        <w:rPr>
          <w:rFonts w:ascii="宋体" w:hAnsi="宋体" w:cs="宋体"/>
          <w:b/>
          <w:color w:val="auto"/>
          <w:sz w:val="32"/>
          <w:szCs w:val="32"/>
          <w:highlight w:val="none"/>
        </w:rPr>
      </w:pPr>
    </w:p>
    <w:p w14:paraId="26E68F64">
      <w:pPr>
        <w:spacing w:line="400" w:lineRule="exact"/>
        <w:jc w:val="center"/>
        <w:rPr>
          <w:rFonts w:ascii="宋体" w:hAnsi="宋体" w:cs="宋体"/>
          <w:b/>
          <w:color w:val="auto"/>
          <w:sz w:val="32"/>
          <w:szCs w:val="32"/>
          <w:highlight w:val="none"/>
        </w:rPr>
      </w:pPr>
    </w:p>
    <w:p w14:paraId="7617C81D">
      <w:pPr>
        <w:spacing w:line="400" w:lineRule="exact"/>
        <w:jc w:val="center"/>
        <w:rPr>
          <w:rFonts w:ascii="宋体" w:hAnsi="宋体" w:cs="宋体"/>
          <w:b/>
          <w:color w:val="auto"/>
          <w:sz w:val="32"/>
          <w:szCs w:val="32"/>
          <w:highlight w:val="none"/>
        </w:rPr>
      </w:pPr>
    </w:p>
    <w:p w14:paraId="09650A1B">
      <w:pPr>
        <w:spacing w:line="400" w:lineRule="exact"/>
        <w:jc w:val="center"/>
        <w:rPr>
          <w:rFonts w:ascii="宋体" w:hAnsi="宋体" w:cs="宋体"/>
          <w:b/>
          <w:color w:val="auto"/>
          <w:sz w:val="32"/>
          <w:szCs w:val="32"/>
          <w:highlight w:val="none"/>
        </w:rPr>
      </w:pPr>
    </w:p>
    <w:p w14:paraId="0441742C">
      <w:pPr>
        <w:spacing w:line="400" w:lineRule="exact"/>
        <w:jc w:val="center"/>
        <w:rPr>
          <w:rFonts w:ascii="宋体" w:hAnsi="宋体" w:cs="宋体"/>
          <w:b/>
          <w:color w:val="auto"/>
          <w:sz w:val="32"/>
          <w:szCs w:val="32"/>
          <w:highlight w:val="none"/>
        </w:rPr>
      </w:pPr>
    </w:p>
    <w:p w14:paraId="5E125E9A">
      <w:pPr>
        <w:spacing w:line="400" w:lineRule="exact"/>
        <w:rPr>
          <w:rFonts w:ascii="宋体" w:hAnsi="宋体" w:cs="宋体"/>
          <w:b/>
          <w:color w:val="auto"/>
          <w:sz w:val="32"/>
          <w:szCs w:val="32"/>
          <w:highlight w:val="none"/>
        </w:rPr>
        <w:sectPr>
          <w:headerReference r:id="rId7" w:type="default"/>
          <w:footerReference r:id="rId8" w:type="default"/>
          <w:pgSz w:w="11905" w:h="16838"/>
          <w:pgMar w:top="1417" w:right="1417" w:bottom="1417" w:left="1417" w:header="850" w:footer="992" w:gutter="0"/>
          <w:pgNumType w:start="0"/>
          <w:cols w:space="720" w:num="1"/>
          <w:titlePg/>
          <w:docGrid w:type="lines" w:linePitch="318" w:charSpace="0"/>
        </w:sectPr>
      </w:pPr>
    </w:p>
    <w:p w14:paraId="59BF1D1F">
      <w:pPr>
        <w:pStyle w:val="2"/>
        <w:numPr>
          <w:ilvl w:val="0"/>
          <w:numId w:val="1"/>
        </w:numPr>
        <w:spacing w:before="0" w:after="0" w:line="240" w:lineRule="auto"/>
        <w:jc w:val="center"/>
        <w:rPr>
          <w:rFonts w:ascii="宋体" w:hAnsi="宋体" w:cs="宋体"/>
          <w:color w:val="auto"/>
          <w:highlight w:val="none"/>
        </w:rPr>
      </w:pPr>
      <w:bookmarkStart w:id="0" w:name="_Toc207390926"/>
      <w:r>
        <w:rPr>
          <w:rFonts w:hint="eastAsia" w:ascii="宋体" w:hAnsi="宋体" w:cs="宋体"/>
          <w:color w:val="auto"/>
          <w:highlight w:val="none"/>
        </w:rPr>
        <w:t>竞争性谈判公告</w:t>
      </w:r>
      <w:bookmarkEnd w:id="0"/>
    </w:p>
    <w:p w14:paraId="7C671AFD">
      <w:pPr>
        <w:rPr>
          <w:color w:val="auto"/>
          <w:highlight w:val="none"/>
        </w:rPr>
      </w:pPr>
    </w:p>
    <w:p w14:paraId="180D7799">
      <w:pPr>
        <w:jc w:val="center"/>
        <w:rPr>
          <w:rFonts w:ascii="宋体" w:hAnsi="宋体" w:cs="宋体"/>
          <w:b/>
          <w:color w:val="auto"/>
          <w:kern w:val="0"/>
          <w:sz w:val="30"/>
          <w:szCs w:val="30"/>
          <w:highlight w:val="none"/>
        </w:rPr>
      </w:pPr>
      <w:r>
        <w:rPr>
          <w:rFonts w:hint="eastAsia" w:ascii="宋体" w:hAnsi="宋体" w:cs="宋体"/>
          <w:b/>
          <w:color w:val="auto"/>
          <w:kern w:val="0"/>
          <w:sz w:val="30"/>
          <w:szCs w:val="30"/>
          <w:highlight w:val="none"/>
          <w:lang w:eastAsia="zh-CN"/>
        </w:rPr>
        <w:t>广西众鑫工程项目管理有限公司</w:t>
      </w:r>
      <w:r>
        <w:rPr>
          <w:rFonts w:hint="eastAsia" w:ascii="宋体" w:hAnsi="宋体" w:cs="宋体"/>
          <w:b/>
          <w:color w:val="auto"/>
          <w:kern w:val="0"/>
          <w:sz w:val="30"/>
          <w:szCs w:val="30"/>
          <w:highlight w:val="none"/>
          <w:lang w:val="en-US" w:eastAsia="zh-CN"/>
        </w:rPr>
        <w:t>关于</w:t>
      </w:r>
      <w:r>
        <w:rPr>
          <w:rFonts w:hint="eastAsia" w:ascii="宋体" w:hAnsi="宋体" w:cs="宋体"/>
          <w:b/>
          <w:bCs/>
          <w:color w:val="auto"/>
          <w:sz w:val="30"/>
          <w:szCs w:val="30"/>
          <w:highlight w:val="none"/>
          <w:lang w:eastAsia="zh-CN"/>
        </w:rPr>
        <w:t>地质矿产勘查虚拟仿真实训室建设项目</w:t>
      </w:r>
      <w:r>
        <w:rPr>
          <w:rFonts w:hint="eastAsia" w:ascii="宋体" w:hAnsi="宋体" w:cs="宋体"/>
          <w:b/>
          <w:bCs/>
          <w:color w:val="auto"/>
          <w:sz w:val="30"/>
          <w:szCs w:val="30"/>
          <w:highlight w:val="none"/>
        </w:rPr>
        <w:t>（项目编号：</w:t>
      </w:r>
      <w:r>
        <w:rPr>
          <w:rFonts w:hint="eastAsia" w:ascii="宋体" w:hAnsi="宋体" w:cs="宋体"/>
          <w:b/>
          <w:bCs/>
          <w:color w:val="auto"/>
          <w:sz w:val="30"/>
          <w:szCs w:val="30"/>
          <w:highlight w:val="none"/>
          <w:lang w:eastAsia="zh-CN"/>
        </w:rPr>
        <w:t>GXZC2025-J2-003118-ZXXM</w:t>
      </w:r>
      <w:r>
        <w:rPr>
          <w:rFonts w:hint="eastAsia" w:ascii="宋体" w:hAnsi="宋体" w:cs="宋体"/>
          <w:b/>
          <w:bCs/>
          <w:color w:val="auto"/>
          <w:sz w:val="30"/>
          <w:szCs w:val="30"/>
          <w:highlight w:val="none"/>
        </w:rPr>
        <w:t>）</w:t>
      </w:r>
      <w:r>
        <w:rPr>
          <w:rFonts w:hint="eastAsia" w:ascii="宋体" w:hAnsi="宋体" w:cs="宋体"/>
          <w:b/>
          <w:color w:val="auto"/>
          <w:kern w:val="0"/>
          <w:sz w:val="30"/>
          <w:szCs w:val="30"/>
          <w:highlight w:val="none"/>
        </w:rPr>
        <w:t>竞争性谈判公告</w:t>
      </w:r>
    </w:p>
    <w:p w14:paraId="3B25CE72">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bookmarkStart w:id="1" w:name="_Hlk37430271"/>
      <w:r>
        <w:rPr>
          <w:rFonts w:hint="eastAsia" w:ascii="宋体" w:hAnsi="宋体" w:cs="宋体"/>
          <w:color w:val="auto"/>
          <w:sz w:val="24"/>
          <w:highlight w:val="none"/>
        </w:rPr>
        <w:t>项目概况</w:t>
      </w:r>
    </w:p>
    <w:p w14:paraId="346DC34E">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olor w:val="auto"/>
          <w:sz w:val="24"/>
          <w:highlight w:val="none"/>
          <w:u w:val="single"/>
          <w:lang w:eastAsia="zh-CN"/>
        </w:rPr>
        <w:t>地质矿产勘查虚拟仿真实训室建设项目</w:t>
      </w:r>
      <w:r>
        <w:rPr>
          <w:rFonts w:hint="eastAsia" w:ascii="宋体" w:hAnsi="宋体" w:cs="宋体"/>
          <w:color w:val="auto"/>
          <w:sz w:val="24"/>
          <w:highlight w:val="none"/>
        </w:rPr>
        <w:t>的潜在供应商应在广西政府采购云平台（https://www.gcy.zfcg.gxzf.gov.cn/）获取（下载）竞争性谈判采购文件，并于</w:t>
      </w:r>
      <w:r>
        <w:rPr>
          <w:rFonts w:ascii="宋体" w:hAnsi="宋体" w:cs="宋体"/>
          <w:color w:val="auto"/>
          <w:sz w:val="24"/>
          <w:highlight w:val="none"/>
        </w:rPr>
        <w:t>2025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23</w:t>
      </w:r>
      <w:r>
        <w:rPr>
          <w:rFonts w:hint="eastAsia" w:ascii="宋体" w:hAnsi="宋体" w:cs="宋体"/>
          <w:color w:val="auto"/>
          <w:sz w:val="24"/>
          <w:highlight w:val="none"/>
        </w:rPr>
        <w:t>日</w:t>
      </w:r>
      <w:r>
        <w:rPr>
          <w:rFonts w:ascii="宋体" w:hAnsi="宋体" w:cs="宋体"/>
          <w:color w:val="auto"/>
          <w:sz w:val="24"/>
          <w:highlight w:val="none"/>
        </w:rPr>
        <w:t>9</w:t>
      </w:r>
      <w:r>
        <w:rPr>
          <w:rFonts w:hint="eastAsia" w:ascii="宋体" w:hAnsi="宋体" w:cs="宋体"/>
          <w:color w:val="auto"/>
          <w:sz w:val="24"/>
          <w:highlight w:val="none"/>
        </w:rPr>
        <w:t>时</w:t>
      </w:r>
      <w:r>
        <w:rPr>
          <w:rFonts w:ascii="宋体" w:hAnsi="宋体" w:cs="宋体"/>
          <w:color w:val="auto"/>
          <w:sz w:val="24"/>
          <w:highlight w:val="none"/>
        </w:rPr>
        <w:t>30</w:t>
      </w:r>
      <w:r>
        <w:rPr>
          <w:rFonts w:hint="eastAsia" w:ascii="宋体" w:hAnsi="宋体" w:cs="宋体"/>
          <w:color w:val="auto"/>
          <w:sz w:val="24"/>
          <w:highlight w:val="none"/>
        </w:rPr>
        <w:t>分</w:t>
      </w:r>
      <w:r>
        <w:rPr>
          <w:rFonts w:hint="eastAsia" w:ascii="宋体" w:hAnsi="宋体" w:cs="宋体"/>
          <w:bCs/>
          <w:color w:val="auto"/>
          <w:sz w:val="24"/>
          <w:highlight w:val="none"/>
        </w:rPr>
        <w:t>（北京时间）前提交响应文件</w:t>
      </w:r>
      <w:r>
        <w:rPr>
          <w:rFonts w:hint="eastAsia" w:ascii="宋体" w:hAnsi="宋体" w:cs="宋体"/>
          <w:color w:val="auto"/>
          <w:sz w:val="24"/>
          <w:highlight w:val="none"/>
        </w:rPr>
        <w:t>。</w:t>
      </w:r>
    </w:p>
    <w:p w14:paraId="38F0BB68">
      <w:pPr>
        <w:spacing w:line="360" w:lineRule="auto"/>
        <w:ind w:firstLine="361" w:firstLineChars="150"/>
        <w:rPr>
          <w:rFonts w:ascii="宋体" w:hAnsi="宋体" w:cs="宋体"/>
          <w:b/>
          <w:bCs/>
          <w:color w:val="auto"/>
          <w:sz w:val="24"/>
          <w:highlight w:val="none"/>
        </w:rPr>
      </w:pPr>
      <w:bookmarkStart w:id="2" w:name="_Toc71366047"/>
      <w:bookmarkStart w:id="3" w:name="_Toc71365369"/>
      <w:bookmarkStart w:id="4" w:name="_Toc28359095"/>
      <w:bookmarkStart w:id="5" w:name="_Toc35393805"/>
      <w:bookmarkStart w:id="6" w:name="_Toc28359018"/>
      <w:bookmarkStart w:id="7" w:name="_Toc35393636"/>
      <w:r>
        <w:rPr>
          <w:rFonts w:hint="eastAsia" w:ascii="宋体" w:hAnsi="宋体" w:cs="宋体"/>
          <w:b/>
          <w:bCs/>
          <w:color w:val="auto"/>
          <w:sz w:val="24"/>
          <w:highlight w:val="none"/>
        </w:rPr>
        <w:t>一、项目基本情况</w:t>
      </w:r>
    </w:p>
    <w:p w14:paraId="1ECD8D09">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地质矿产勘查虚拟仿真实训室建设项目</w:t>
      </w:r>
    </w:p>
    <w:p w14:paraId="0652569B">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 xml:space="preserve"> GXZC2025-J2-003118-ZXXM</w:t>
      </w:r>
    </w:p>
    <w:p w14:paraId="388EF86A">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采购计划编号：广西政采[2025]17546号-001</w:t>
      </w:r>
      <w:r>
        <w:rPr>
          <w:rFonts w:hint="eastAsia" w:ascii="宋体" w:hAnsi="宋体" w:cs="宋体"/>
          <w:color w:val="auto"/>
          <w:sz w:val="24"/>
          <w:highlight w:val="none"/>
          <w:lang w:eastAsia="zh-CN"/>
        </w:rPr>
        <w:t>、广西政采[2025]17546号-00</w:t>
      </w:r>
      <w:r>
        <w:rPr>
          <w:rFonts w:hint="eastAsia" w:ascii="宋体" w:hAnsi="宋体" w:cs="宋体"/>
          <w:color w:val="auto"/>
          <w:sz w:val="24"/>
          <w:highlight w:val="none"/>
          <w:lang w:val="en-US" w:eastAsia="zh-CN"/>
        </w:rPr>
        <w:t xml:space="preserve">2、广西政采[2025]17546号-003、广西政采[2025]17546号-004、广西政采[2025]17546号-005 </w:t>
      </w:r>
    </w:p>
    <w:p w14:paraId="79CADF6A">
      <w:pPr>
        <w:spacing w:line="360" w:lineRule="auto"/>
        <w:ind w:firstLine="480" w:firstLineChars="200"/>
        <w:rPr>
          <w:rFonts w:hint="default" w:ascii="宋体" w:hAnsi="宋体" w:cs="宋体"/>
          <w:color w:val="auto"/>
          <w:sz w:val="24"/>
          <w:highlight w:val="none"/>
          <w:lang w:val="en-US"/>
        </w:rPr>
      </w:pPr>
      <w:r>
        <w:rPr>
          <w:rFonts w:hint="eastAsia" w:ascii="宋体" w:hAnsi="宋体" w:cs="宋体"/>
          <w:color w:val="auto"/>
          <w:sz w:val="24"/>
          <w:highlight w:val="none"/>
        </w:rPr>
        <w:t>预算金额（人民币）：</w:t>
      </w:r>
      <w:r>
        <w:rPr>
          <w:rFonts w:ascii="宋体" w:hAnsi="宋体" w:cs="宋体"/>
          <w:color w:val="auto"/>
          <w:sz w:val="24"/>
          <w:highlight w:val="none"/>
        </w:rPr>
        <w:t>¥</w:t>
      </w:r>
      <w:r>
        <w:rPr>
          <w:rFonts w:hint="eastAsia" w:ascii="宋体" w:hAnsi="宋体" w:cs="宋体"/>
          <w:color w:val="auto"/>
          <w:sz w:val="24"/>
          <w:highlight w:val="none"/>
          <w:lang w:eastAsia="zh-CN"/>
        </w:rPr>
        <w:t>1090909.24</w:t>
      </w:r>
      <w:r>
        <w:rPr>
          <w:rFonts w:hint="eastAsia" w:ascii="宋体" w:hAnsi="宋体" w:cs="宋体"/>
          <w:color w:val="auto"/>
          <w:sz w:val="24"/>
          <w:highlight w:val="none"/>
          <w:lang w:val="en-US" w:eastAsia="zh-CN"/>
        </w:rPr>
        <w:t>元</w:t>
      </w:r>
    </w:p>
    <w:p w14:paraId="3DE039F0">
      <w:pPr>
        <w:spacing w:line="360" w:lineRule="auto"/>
        <w:ind w:firstLine="480" w:firstLineChars="200"/>
        <w:rPr>
          <w:rFonts w:hint="default" w:ascii="宋体" w:hAnsi="宋体" w:cs="宋体"/>
          <w:color w:val="auto"/>
          <w:sz w:val="24"/>
          <w:highlight w:val="none"/>
          <w:lang w:val="en-US"/>
        </w:rPr>
      </w:pPr>
      <w:r>
        <w:rPr>
          <w:rFonts w:hint="eastAsia" w:ascii="宋体" w:hAnsi="宋体" w:cs="宋体"/>
          <w:color w:val="auto"/>
          <w:sz w:val="24"/>
          <w:highlight w:val="none"/>
        </w:rPr>
        <w:t>最高限价（人民币）</w:t>
      </w:r>
      <w:r>
        <w:rPr>
          <w:rFonts w:hint="eastAsia" w:ascii="宋体" w:hAnsi="宋体" w:cs="宋体"/>
          <w:color w:val="auto"/>
          <w:sz w:val="24"/>
          <w:highlight w:val="none"/>
        </w:rPr>
        <w:t>：</w:t>
      </w:r>
      <w:r>
        <w:rPr>
          <w:rFonts w:ascii="宋体" w:hAnsi="宋体" w:cs="宋体"/>
          <w:color w:val="auto"/>
          <w:sz w:val="24"/>
          <w:highlight w:val="none"/>
        </w:rPr>
        <w:t>¥</w:t>
      </w:r>
      <w:r>
        <w:rPr>
          <w:rFonts w:hint="eastAsia" w:ascii="宋体" w:hAnsi="宋体" w:cs="宋体"/>
          <w:color w:val="auto"/>
          <w:sz w:val="24"/>
          <w:highlight w:val="none"/>
          <w:lang w:eastAsia="zh-CN"/>
        </w:rPr>
        <w:t>1090909.24</w:t>
      </w:r>
      <w:r>
        <w:rPr>
          <w:rFonts w:hint="eastAsia" w:ascii="宋体" w:hAnsi="宋体" w:cs="宋体"/>
          <w:color w:val="auto"/>
          <w:sz w:val="24"/>
          <w:highlight w:val="none"/>
          <w:lang w:val="en-US" w:eastAsia="zh-CN"/>
        </w:rPr>
        <w:t>元</w:t>
      </w:r>
    </w:p>
    <w:p w14:paraId="21AE254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采购需求：</w:t>
      </w:r>
    </w:p>
    <w:tbl>
      <w:tblPr>
        <w:tblStyle w:val="29"/>
        <w:tblW w:w="9647" w:type="dxa"/>
        <w:jc w:val="center"/>
        <w:tblLayout w:type="fixed"/>
        <w:tblCellMar>
          <w:top w:w="0" w:type="dxa"/>
          <w:left w:w="108" w:type="dxa"/>
          <w:bottom w:w="0" w:type="dxa"/>
          <w:right w:w="108" w:type="dxa"/>
        </w:tblCellMar>
      </w:tblPr>
      <w:tblGrid>
        <w:gridCol w:w="777"/>
        <w:gridCol w:w="1295"/>
        <w:gridCol w:w="656"/>
        <w:gridCol w:w="750"/>
        <w:gridCol w:w="3450"/>
        <w:gridCol w:w="1331"/>
        <w:gridCol w:w="1388"/>
      </w:tblGrid>
      <w:tr w14:paraId="7AB584BD">
        <w:tblPrEx>
          <w:tblCellMar>
            <w:top w:w="0" w:type="dxa"/>
            <w:left w:w="108" w:type="dxa"/>
            <w:bottom w:w="0" w:type="dxa"/>
            <w:right w:w="108" w:type="dxa"/>
          </w:tblCellMar>
        </w:tblPrEx>
        <w:trPr>
          <w:trHeight w:val="90" w:hRule="atLeast"/>
          <w:jc w:val="center"/>
        </w:trPr>
        <w:tc>
          <w:tcPr>
            <w:tcW w:w="777" w:type="dxa"/>
            <w:tcBorders>
              <w:top w:val="single" w:color="000000" w:sz="4" w:space="0"/>
              <w:left w:val="single" w:color="000000" w:sz="4" w:space="0"/>
              <w:bottom w:val="single" w:color="000000" w:sz="4" w:space="0"/>
              <w:right w:val="single" w:color="000000" w:sz="4" w:space="0"/>
            </w:tcBorders>
            <w:vAlign w:val="center"/>
          </w:tcPr>
          <w:p w14:paraId="30D7BAAE">
            <w:pPr>
              <w:widowControl/>
              <w:jc w:val="center"/>
              <w:textAlignment w:val="center"/>
              <w:rPr>
                <w:rFonts w:ascii="宋体" w:hAnsi="宋体" w:cs="宋体"/>
                <w:bCs/>
                <w:color w:val="auto"/>
                <w:sz w:val="24"/>
                <w:highlight w:val="none"/>
              </w:rPr>
            </w:pPr>
            <w:r>
              <w:rPr>
                <w:rFonts w:hint="eastAsia" w:ascii="宋体" w:hAnsi="宋体" w:cs="宋体"/>
                <w:bCs/>
                <w:color w:val="auto"/>
                <w:kern w:val="0"/>
                <w:sz w:val="24"/>
                <w:highlight w:val="none"/>
                <w:lang w:bidi="ar"/>
              </w:rPr>
              <w:t>序号</w:t>
            </w:r>
          </w:p>
        </w:tc>
        <w:tc>
          <w:tcPr>
            <w:tcW w:w="1295" w:type="dxa"/>
            <w:tcBorders>
              <w:top w:val="single" w:color="000000" w:sz="4" w:space="0"/>
              <w:left w:val="single" w:color="000000" w:sz="4" w:space="0"/>
              <w:bottom w:val="single" w:color="000000" w:sz="4" w:space="0"/>
              <w:right w:val="single" w:color="000000" w:sz="4" w:space="0"/>
            </w:tcBorders>
            <w:vAlign w:val="center"/>
          </w:tcPr>
          <w:p w14:paraId="5F21620D">
            <w:pPr>
              <w:widowControl/>
              <w:jc w:val="center"/>
              <w:textAlignment w:val="center"/>
              <w:rPr>
                <w:rFonts w:ascii="宋体" w:hAnsi="宋体" w:cs="宋体"/>
                <w:bCs/>
                <w:color w:val="auto"/>
                <w:sz w:val="24"/>
                <w:highlight w:val="none"/>
              </w:rPr>
            </w:pPr>
            <w:r>
              <w:rPr>
                <w:rFonts w:hint="eastAsia" w:ascii="宋体" w:hAnsi="宋体" w:cs="宋体"/>
                <w:bCs/>
                <w:color w:val="auto"/>
                <w:kern w:val="0"/>
                <w:sz w:val="24"/>
                <w:highlight w:val="none"/>
                <w:lang w:bidi="ar"/>
              </w:rPr>
              <w:t>标的名称</w:t>
            </w:r>
          </w:p>
        </w:tc>
        <w:tc>
          <w:tcPr>
            <w:tcW w:w="656" w:type="dxa"/>
            <w:tcBorders>
              <w:top w:val="single" w:color="000000" w:sz="4" w:space="0"/>
              <w:left w:val="single" w:color="000000" w:sz="4" w:space="0"/>
              <w:bottom w:val="single" w:color="000000" w:sz="4" w:space="0"/>
              <w:right w:val="single" w:color="000000" w:sz="4" w:space="0"/>
            </w:tcBorders>
            <w:vAlign w:val="center"/>
          </w:tcPr>
          <w:p w14:paraId="1EBB7972">
            <w:pPr>
              <w:widowControl/>
              <w:jc w:val="center"/>
              <w:textAlignment w:val="center"/>
              <w:rPr>
                <w:rFonts w:ascii="宋体" w:hAnsi="宋体" w:cs="宋体"/>
                <w:bCs/>
                <w:color w:val="auto"/>
                <w:sz w:val="24"/>
                <w:highlight w:val="none"/>
              </w:rPr>
            </w:pPr>
            <w:r>
              <w:rPr>
                <w:rFonts w:hint="eastAsia" w:ascii="宋体" w:hAnsi="宋体" w:cs="宋体"/>
                <w:bCs/>
                <w:color w:val="auto"/>
                <w:kern w:val="0"/>
                <w:sz w:val="24"/>
                <w:highlight w:val="none"/>
                <w:lang w:bidi="ar"/>
              </w:rPr>
              <w:t>数量</w:t>
            </w:r>
          </w:p>
        </w:tc>
        <w:tc>
          <w:tcPr>
            <w:tcW w:w="750" w:type="dxa"/>
            <w:tcBorders>
              <w:top w:val="single" w:color="000000" w:sz="4" w:space="0"/>
              <w:left w:val="single" w:color="000000" w:sz="4" w:space="0"/>
              <w:bottom w:val="single" w:color="000000" w:sz="4" w:space="0"/>
              <w:right w:val="single" w:color="000000" w:sz="4" w:space="0"/>
            </w:tcBorders>
            <w:vAlign w:val="center"/>
          </w:tcPr>
          <w:p w14:paraId="192ED366">
            <w:pPr>
              <w:widowControl/>
              <w:jc w:val="center"/>
              <w:textAlignment w:val="center"/>
              <w:rPr>
                <w:rFonts w:ascii="宋体" w:hAnsi="宋体" w:cs="宋体"/>
                <w:bCs/>
                <w:color w:val="auto"/>
                <w:sz w:val="24"/>
                <w:highlight w:val="none"/>
              </w:rPr>
            </w:pPr>
            <w:r>
              <w:rPr>
                <w:rFonts w:hint="eastAsia" w:ascii="宋体" w:hAnsi="宋体" w:cs="宋体"/>
                <w:bCs/>
                <w:color w:val="auto"/>
                <w:kern w:val="0"/>
                <w:sz w:val="24"/>
                <w:highlight w:val="none"/>
                <w:lang w:bidi="ar"/>
              </w:rPr>
              <w:t>单位</w:t>
            </w:r>
          </w:p>
        </w:tc>
        <w:tc>
          <w:tcPr>
            <w:tcW w:w="3450" w:type="dxa"/>
            <w:tcBorders>
              <w:top w:val="single" w:color="000000" w:sz="4" w:space="0"/>
              <w:left w:val="single" w:color="000000" w:sz="4" w:space="0"/>
              <w:bottom w:val="single" w:color="000000" w:sz="4" w:space="0"/>
              <w:right w:val="single" w:color="000000" w:sz="4" w:space="0"/>
            </w:tcBorders>
            <w:vAlign w:val="center"/>
          </w:tcPr>
          <w:p w14:paraId="3470A062">
            <w:pPr>
              <w:widowControl/>
              <w:jc w:val="center"/>
              <w:textAlignment w:val="center"/>
              <w:rPr>
                <w:rFonts w:ascii="宋体" w:hAnsi="宋体" w:cs="宋体"/>
                <w:bCs/>
                <w:color w:val="auto"/>
                <w:sz w:val="24"/>
                <w:highlight w:val="none"/>
              </w:rPr>
            </w:pPr>
            <w:r>
              <w:rPr>
                <w:rFonts w:hint="eastAsia" w:ascii="宋体" w:hAnsi="宋体" w:cs="宋体"/>
                <w:color w:val="auto"/>
                <w:sz w:val="24"/>
                <w:highlight w:val="none"/>
              </w:rPr>
              <w:t>简要技术需求</w:t>
            </w:r>
          </w:p>
        </w:tc>
        <w:tc>
          <w:tcPr>
            <w:tcW w:w="1331" w:type="dxa"/>
            <w:tcBorders>
              <w:top w:val="single" w:color="000000" w:sz="4" w:space="0"/>
              <w:left w:val="single" w:color="000000" w:sz="4" w:space="0"/>
              <w:bottom w:val="single" w:color="000000" w:sz="4" w:space="0"/>
              <w:right w:val="single" w:color="000000" w:sz="4" w:space="0"/>
            </w:tcBorders>
            <w:vAlign w:val="center"/>
          </w:tcPr>
          <w:p w14:paraId="5FC5AF82">
            <w:pPr>
              <w:widowControl/>
              <w:jc w:val="center"/>
              <w:textAlignment w:val="center"/>
              <w:rPr>
                <w:rFonts w:ascii="宋体" w:hAnsi="宋体" w:cs="宋体"/>
                <w:bCs/>
                <w:color w:val="auto"/>
                <w:sz w:val="24"/>
                <w:highlight w:val="none"/>
              </w:rPr>
            </w:pPr>
            <w:r>
              <w:rPr>
                <w:rFonts w:hint="eastAsia" w:ascii="宋体" w:hAnsi="宋体" w:cs="宋体"/>
                <w:bCs/>
                <w:color w:val="auto"/>
                <w:sz w:val="24"/>
                <w:highlight w:val="none"/>
              </w:rPr>
              <w:t>预算单价（元/人民币）</w:t>
            </w:r>
          </w:p>
        </w:tc>
        <w:tc>
          <w:tcPr>
            <w:tcW w:w="1388" w:type="dxa"/>
            <w:tcBorders>
              <w:top w:val="single" w:color="000000" w:sz="4" w:space="0"/>
              <w:left w:val="single" w:color="000000" w:sz="4" w:space="0"/>
              <w:bottom w:val="single" w:color="000000" w:sz="4" w:space="0"/>
              <w:right w:val="single" w:color="000000" w:sz="4" w:space="0"/>
            </w:tcBorders>
          </w:tcPr>
          <w:p w14:paraId="3DEAFB3F">
            <w:pPr>
              <w:widowControl/>
              <w:jc w:val="center"/>
              <w:textAlignment w:val="center"/>
              <w:rPr>
                <w:rFonts w:ascii="宋体" w:hAnsi="宋体" w:cs="宋体"/>
                <w:bCs/>
                <w:color w:val="auto"/>
                <w:sz w:val="24"/>
                <w:highlight w:val="none"/>
              </w:rPr>
            </w:pPr>
            <w:r>
              <w:rPr>
                <w:rFonts w:hint="eastAsia" w:ascii="宋体" w:hAnsi="宋体" w:cs="宋体"/>
                <w:bCs/>
                <w:color w:val="auto"/>
                <w:sz w:val="24"/>
                <w:highlight w:val="none"/>
              </w:rPr>
              <w:t>单项预算合计（元/人民币）</w:t>
            </w:r>
          </w:p>
        </w:tc>
      </w:tr>
      <w:tr w14:paraId="0C44470B">
        <w:tblPrEx>
          <w:tblCellMar>
            <w:top w:w="0" w:type="dxa"/>
            <w:left w:w="108" w:type="dxa"/>
            <w:bottom w:w="0" w:type="dxa"/>
            <w:right w:w="108" w:type="dxa"/>
          </w:tblCellMar>
        </w:tblPrEx>
        <w:trPr>
          <w:trHeight w:val="161" w:hRule="atLeast"/>
          <w:jc w:val="center"/>
        </w:trPr>
        <w:tc>
          <w:tcPr>
            <w:tcW w:w="777" w:type="dxa"/>
            <w:tcBorders>
              <w:top w:val="single" w:color="000000" w:sz="4" w:space="0"/>
              <w:left w:val="single" w:color="000000" w:sz="4" w:space="0"/>
              <w:bottom w:val="single" w:color="000000" w:sz="4" w:space="0"/>
              <w:right w:val="single" w:color="000000" w:sz="4" w:space="0"/>
            </w:tcBorders>
            <w:vAlign w:val="center"/>
          </w:tcPr>
          <w:p w14:paraId="20B2333C">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1295" w:type="dxa"/>
            <w:tcBorders>
              <w:top w:val="single" w:color="000000" w:sz="4" w:space="0"/>
              <w:left w:val="single" w:color="000000" w:sz="4" w:space="0"/>
              <w:bottom w:val="single" w:color="000000" w:sz="4" w:space="0"/>
              <w:right w:val="single" w:color="000000" w:sz="4" w:space="0"/>
            </w:tcBorders>
            <w:vAlign w:val="center"/>
          </w:tcPr>
          <w:p w14:paraId="6F643FEA">
            <w:pPr>
              <w:spacing w:line="400" w:lineRule="exact"/>
              <w:jc w:val="center"/>
              <w:rPr>
                <w:rFonts w:ascii="宋体" w:hAnsi="宋体" w:cs="宋体"/>
                <w:color w:val="auto"/>
                <w:kern w:val="0"/>
                <w:sz w:val="24"/>
                <w:highlight w:val="none"/>
              </w:rPr>
            </w:pPr>
            <w:r>
              <w:rPr>
                <w:rFonts w:hint="eastAsia" w:ascii="宋体" w:hAnsi="宋体" w:eastAsia="宋体" w:cs="宋体"/>
                <w:i w:val="0"/>
                <w:iCs w:val="0"/>
                <w:color w:val="auto"/>
                <w:kern w:val="0"/>
                <w:sz w:val="24"/>
                <w:szCs w:val="24"/>
                <w:highlight w:val="none"/>
                <w:u w:val="none"/>
                <w:lang w:val="en-US" w:eastAsia="zh-CN" w:bidi="ar"/>
              </w:rPr>
              <w:t>自然地理虚拟仿真课程教学系统</w:t>
            </w:r>
          </w:p>
        </w:tc>
        <w:tc>
          <w:tcPr>
            <w:tcW w:w="656" w:type="dxa"/>
            <w:tcBorders>
              <w:top w:val="single" w:color="000000" w:sz="4" w:space="0"/>
              <w:left w:val="single" w:color="000000" w:sz="4" w:space="0"/>
              <w:bottom w:val="single" w:color="000000" w:sz="4" w:space="0"/>
              <w:right w:val="single" w:color="000000" w:sz="4" w:space="0"/>
            </w:tcBorders>
            <w:vAlign w:val="center"/>
          </w:tcPr>
          <w:p w14:paraId="73F4D9E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vAlign w:val="center"/>
          </w:tcPr>
          <w:p w14:paraId="13589AA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450" w:type="dxa"/>
            <w:tcBorders>
              <w:top w:val="single" w:color="000000" w:sz="4" w:space="0"/>
              <w:left w:val="single" w:color="000000" w:sz="4" w:space="0"/>
              <w:bottom w:val="single" w:color="000000" w:sz="4" w:space="0"/>
              <w:right w:val="single" w:color="000000" w:sz="4" w:space="0"/>
            </w:tcBorders>
            <w:vAlign w:val="center"/>
          </w:tcPr>
          <w:p w14:paraId="68430F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1.实验目的</w:t>
            </w:r>
          </w:p>
          <w:p w14:paraId="4932F9B9">
            <w:pPr>
              <w:spacing w:line="400" w:lineRule="exact"/>
              <w:rPr>
                <w:rFonts w:ascii="宋体" w:hAnsi="宋体" w:cs="Batang"/>
                <w:color w:val="auto"/>
                <w:sz w:val="24"/>
                <w:highlight w:val="none"/>
              </w:rPr>
            </w:pPr>
            <w:r>
              <w:rPr>
                <w:rFonts w:hint="eastAsia" w:ascii="宋体" w:hAnsi="宋体" w:eastAsia="宋体" w:cs="宋体"/>
                <w:i w:val="0"/>
                <w:iCs w:val="0"/>
                <w:color w:val="auto"/>
                <w:sz w:val="24"/>
                <w:szCs w:val="24"/>
                <w:highlight w:val="none"/>
                <w:u w:val="none"/>
              </w:rPr>
              <w:t>定制开发</w:t>
            </w:r>
            <w:r>
              <w:rPr>
                <w:rFonts w:hint="eastAsia" w:ascii="宋体" w:hAnsi="宋体" w:eastAsia="宋体" w:cs="宋体"/>
                <w:i w:val="0"/>
                <w:iCs w:val="0"/>
                <w:color w:val="auto"/>
                <w:kern w:val="0"/>
                <w:sz w:val="24"/>
                <w:szCs w:val="24"/>
                <w:highlight w:val="none"/>
                <w:u w:val="none"/>
                <w:lang w:val="en-US" w:eastAsia="zh-CN" w:bidi="ar"/>
              </w:rPr>
              <w:t>自然地理虚拟仿真课程教学系统</w:t>
            </w:r>
            <w:r>
              <w:rPr>
                <w:rFonts w:hint="eastAsia" w:ascii="宋体" w:hAnsi="宋体" w:eastAsia="宋体" w:cs="宋体"/>
                <w:i w:val="0"/>
                <w:iCs w:val="0"/>
                <w:color w:val="auto"/>
                <w:sz w:val="24"/>
                <w:szCs w:val="24"/>
                <w:highlight w:val="none"/>
                <w:u w:val="none"/>
              </w:rPr>
              <w:t>，为实验教学提供高度仿真的沉浸环境，</w:t>
            </w:r>
            <w:r>
              <w:rPr>
                <w:rFonts w:hint="eastAsia" w:ascii="宋体" w:hAnsi="宋体" w:eastAsia="宋体" w:cs="宋体"/>
                <w:i w:val="0"/>
                <w:iCs w:val="0"/>
                <w:color w:val="auto"/>
                <w:sz w:val="24"/>
                <w:szCs w:val="24"/>
                <w:highlight w:val="none"/>
                <w:u w:val="none"/>
                <w:lang w:val="en-US" w:eastAsia="zh-CN"/>
              </w:rPr>
              <w:t>自然地理虚拟仿真实验帮助学生理解地球表层各自然地理要素的</w:t>
            </w:r>
            <w:r>
              <w:rPr>
                <w:rFonts w:asciiTheme="majorEastAsia" w:hAnsiTheme="majorEastAsia" w:eastAsiaTheme="majorEastAsia"/>
                <w:color w:val="auto"/>
                <w:szCs w:val="21"/>
                <w:highlight w:val="none"/>
              </w:rPr>
              <w:t>…</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3195B">
            <w:pPr>
              <w:spacing w:line="400" w:lineRule="exact"/>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100000.00</w:t>
            </w:r>
          </w:p>
        </w:tc>
        <w:tc>
          <w:tcPr>
            <w:tcW w:w="1388" w:type="dxa"/>
            <w:tcBorders>
              <w:top w:val="single" w:color="000000" w:sz="4" w:space="0"/>
              <w:left w:val="single" w:color="000000" w:sz="4" w:space="0"/>
              <w:bottom w:val="single" w:color="000000" w:sz="4" w:space="0"/>
              <w:right w:val="single" w:color="000000" w:sz="4" w:space="0"/>
            </w:tcBorders>
            <w:vAlign w:val="center"/>
          </w:tcPr>
          <w:p w14:paraId="63108828">
            <w:pPr>
              <w:spacing w:line="400" w:lineRule="exac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100000.00</w:t>
            </w:r>
          </w:p>
        </w:tc>
      </w:tr>
      <w:tr w14:paraId="159A4C2E">
        <w:tblPrEx>
          <w:tblCellMar>
            <w:top w:w="0" w:type="dxa"/>
            <w:left w:w="108" w:type="dxa"/>
            <w:bottom w:w="0" w:type="dxa"/>
            <w:right w:w="108" w:type="dxa"/>
          </w:tblCellMar>
        </w:tblPrEx>
        <w:trPr>
          <w:trHeight w:val="90" w:hRule="atLeast"/>
          <w:jc w:val="center"/>
        </w:trPr>
        <w:tc>
          <w:tcPr>
            <w:tcW w:w="777" w:type="dxa"/>
            <w:tcBorders>
              <w:top w:val="single" w:color="000000" w:sz="4" w:space="0"/>
              <w:left w:val="single" w:color="000000" w:sz="4" w:space="0"/>
              <w:bottom w:val="single" w:color="000000" w:sz="4" w:space="0"/>
              <w:right w:val="single" w:color="000000" w:sz="4" w:space="0"/>
            </w:tcBorders>
            <w:vAlign w:val="center"/>
          </w:tcPr>
          <w:p w14:paraId="326622AD">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2</w:t>
            </w:r>
          </w:p>
        </w:tc>
        <w:tc>
          <w:tcPr>
            <w:tcW w:w="1295" w:type="dxa"/>
            <w:tcBorders>
              <w:top w:val="single" w:color="000000" w:sz="4" w:space="0"/>
              <w:left w:val="single" w:color="000000" w:sz="4" w:space="0"/>
              <w:bottom w:val="single" w:color="000000" w:sz="4" w:space="0"/>
              <w:right w:val="single" w:color="000000" w:sz="4" w:space="0"/>
            </w:tcBorders>
            <w:vAlign w:val="center"/>
          </w:tcPr>
          <w:p w14:paraId="134D0AB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ascii="宋体" w:hAnsi="宋体" w:cs="宋体"/>
                <w:color w:val="auto"/>
                <w:kern w:val="0"/>
                <w:sz w:val="24"/>
                <w:highlight w:val="none"/>
              </w:rPr>
            </w:pPr>
            <w:r>
              <w:rPr>
                <w:rFonts w:hint="eastAsia" w:ascii="宋体" w:hAnsi="宋体" w:eastAsia="宋体" w:cs="宋体"/>
                <w:i w:val="0"/>
                <w:iCs w:val="0"/>
                <w:color w:val="auto"/>
                <w:kern w:val="0"/>
                <w:sz w:val="24"/>
                <w:szCs w:val="24"/>
                <w:highlight w:val="none"/>
                <w:u w:val="none"/>
                <w:lang w:val="en-US" w:eastAsia="zh-CN" w:bidi="ar"/>
              </w:rPr>
              <w:t>矿物岩石鉴定虚拟仿真课程教学系统</w:t>
            </w:r>
          </w:p>
        </w:tc>
        <w:tc>
          <w:tcPr>
            <w:tcW w:w="656" w:type="dxa"/>
            <w:tcBorders>
              <w:top w:val="single" w:color="000000" w:sz="4" w:space="0"/>
              <w:left w:val="single" w:color="000000" w:sz="4" w:space="0"/>
              <w:bottom w:val="single" w:color="000000" w:sz="4" w:space="0"/>
              <w:right w:val="single" w:color="000000" w:sz="4" w:space="0"/>
            </w:tcBorders>
            <w:vAlign w:val="center"/>
          </w:tcPr>
          <w:p w14:paraId="0DA1978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vAlign w:val="center"/>
          </w:tcPr>
          <w:p w14:paraId="0B3DF51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450" w:type="dxa"/>
            <w:tcBorders>
              <w:top w:val="single" w:color="000000" w:sz="4" w:space="0"/>
              <w:left w:val="single" w:color="000000" w:sz="4" w:space="0"/>
              <w:bottom w:val="single" w:color="000000" w:sz="4" w:space="0"/>
              <w:right w:val="single" w:color="000000" w:sz="4" w:space="0"/>
            </w:tcBorders>
            <w:vAlign w:val="center"/>
          </w:tcPr>
          <w:p w14:paraId="1F1DFEC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1.实验目的</w:t>
            </w:r>
          </w:p>
          <w:p w14:paraId="39475956">
            <w:pPr>
              <w:jc w:val="left"/>
              <w:rPr>
                <w:rFonts w:ascii="宋体" w:hAnsi="宋体" w:cs="Batang"/>
                <w:color w:val="auto"/>
                <w:sz w:val="24"/>
                <w:highlight w:val="none"/>
              </w:rPr>
            </w:pPr>
            <w:r>
              <w:rPr>
                <w:rFonts w:hint="eastAsia" w:ascii="宋体" w:hAnsi="宋体" w:eastAsia="宋体" w:cs="宋体"/>
                <w:i w:val="0"/>
                <w:iCs w:val="0"/>
                <w:color w:val="auto"/>
                <w:sz w:val="24"/>
                <w:szCs w:val="24"/>
                <w:highlight w:val="none"/>
                <w:u w:val="none"/>
              </w:rPr>
              <w:t>定制开发</w:t>
            </w:r>
            <w:r>
              <w:rPr>
                <w:rFonts w:hint="eastAsia" w:ascii="宋体" w:hAnsi="宋体" w:eastAsia="宋体" w:cs="宋体"/>
                <w:i w:val="0"/>
                <w:iCs w:val="0"/>
                <w:color w:val="auto"/>
                <w:sz w:val="24"/>
                <w:szCs w:val="24"/>
                <w:highlight w:val="none"/>
                <w:u w:val="none"/>
                <w:lang w:val="en-US" w:eastAsia="zh-CN"/>
              </w:rPr>
              <w:t>矿物岩石鉴定虚拟仿真</w:t>
            </w:r>
            <w:r>
              <w:rPr>
                <w:rFonts w:hint="eastAsia" w:ascii="宋体" w:hAnsi="宋体" w:eastAsia="宋体" w:cs="宋体"/>
                <w:i w:val="0"/>
                <w:iCs w:val="0"/>
                <w:color w:val="auto"/>
                <w:kern w:val="0"/>
                <w:sz w:val="24"/>
                <w:szCs w:val="24"/>
                <w:highlight w:val="none"/>
                <w:u w:val="none"/>
                <w:lang w:val="en-US" w:eastAsia="zh-CN" w:bidi="ar"/>
              </w:rPr>
              <w:t>教学系统</w:t>
            </w:r>
            <w:r>
              <w:rPr>
                <w:rFonts w:hint="eastAsia" w:ascii="宋体" w:hAnsi="宋体" w:eastAsia="宋体" w:cs="宋体"/>
                <w:i w:val="0"/>
                <w:iCs w:val="0"/>
                <w:color w:val="auto"/>
                <w:sz w:val="24"/>
                <w:szCs w:val="24"/>
                <w:highlight w:val="none"/>
                <w:u w:val="none"/>
              </w:rPr>
              <w:t>，为实验教学提供高度仿真的沉浸环境，</w:t>
            </w:r>
            <w:r>
              <w:rPr>
                <w:rFonts w:hint="eastAsia" w:ascii="宋体" w:hAnsi="宋体" w:eastAsia="宋体" w:cs="宋体"/>
                <w:i w:val="0"/>
                <w:iCs w:val="0"/>
                <w:color w:val="auto"/>
                <w:sz w:val="24"/>
                <w:szCs w:val="24"/>
                <w:highlight w:val="none"/>
                <w:u w:val="none"/>
                <w:lang w:val="en-US" w:eastAsia="zh-CN"/>
              </w:rPr>
              <w:t>矿物岩石鉴定虚拟仿真实验掌握矿物岩石的物理性质</w:t>
            </w:r>
            <w:r>
              <w:rPr>
                <w:rFonts w:asciiTheme="majorEastAsia" w:hAnsiTheme="majorEastAsia" w:eastAsiaTheme="majorEastAsia"/>
                <w:color w:val="auto"/>
                <w:szCs w:val="21"/>
                <w:highlight w:val="none"/>
              </w:rPr>
              <w:t>…</w:t>
            </w:r>
          </w:p>
        </w:tc>
        <w:tc>
          <w:tcPr>
            <w:tcW w:w="1331" w:type="dxa"/>
            <w:tcBorders>
              <w:top w:val="single" w:color="000000" w:sz="4" w:space="0"/>
              <w:left w:val="single" w:color="000000" w:sz="4" w:space="0"/>
              <w:bottom w:val="single" w:color="000000" w:sz="4" w:space="0"/>
              <w:right w:val="single" w:color="000000" w:sz="4" w:space="0"/>
            </w:tcBorders>
            <w:vAlign w:val="center"/>
          </w:tcPr>
          <w:p w14:paraId="425C4F45">
            <w:pPr>
              <w:spacing w:line="400" w:lineRule="exac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100000.00</w:t>
            </w:r>
          </w:p>
        </w:tc>
        <w:tc>
          <w:tcPr>
            <w:tcW w:w="1388" w:type="dxa"/>
            <w:tcBorders>
              <w:top w:val="single" w:color="000000" w:sz="4" w:space="0"/>
              <w:left w:val="single" w:color="000000" w:sz="4" w:space="0"/>
              <w:bottom w:val="single" w:color="000000" w:sz="4" w:space="0"/>
              <w:right w:val="single" w:color="000000" w:sz="4" w:space="0"/>
            </w:tcBorders>
            <w:vAlign w:val="center"/>
          </w:tcPr>
          <w:p w14:paraId="6A59E45A">
            <w:pPr>
              <w:spacing w:line="400" w:lineRule="exac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100000.00</w:t>
            </w:r>
          </w:p>
        </w:tc>
      </w:tr>
      <w:tr w14:paraId="6EA8C5E5">
        <w:tblPrEx>
          <w:tblCellMar>
            <w:top w:w="0" w:type="dxa"/>
            <w:left w:w="108" w:type="dxa"/>
            <w:bottom w:w="0" w:type="dxa"/>
            <w:right w:w="108" w:type="dxa"/>
          </w:tblCellMar>
        </w:tblPrEx>
        <w:trPr>
          <w:trHeight w:val="90" w:hRule="atLeast"/>
          <w:jc w:val="center"/>
        </w:trPr>
        <w:tc>
          <w:tcPr>
            <w:tcW w:w="777" w:type="dxa"/>
            <w:tcBorders>
              <w:top w:val="single" w:color="000000" w:sz="4" w:space="0"/>
              <w:left w:val="single" w:color="000000" w:sz="4" w:space="0"/>
              <w:bottom w:val="single" w:color="000000" w:sz="4" w:space="0"/>
              <w:right w:val="single" w:color="000000" w:sz="4" w:space="0"/>
            </w:tcBorders>
            <w:vAlign w:val="center"/>
          </w:tcPr>
          <w:p w14:paraId="1ECBA9AC">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3</w:t>
            </w:r>
          </w:p>
        </w:tc>
        <w:tc>
          <w:tcPr>
            <w:tcW w:w="1295" w:type="dxa"/>
            <w:tcBorders>
              <w:top w:val="single" w:color="000000" w:sz="4" w:space="0"/>
              <w:left w:val="single" w:color="000000" w:sz="4" w:space="0"/>
              <w:bottom w:val="single" w:color="000000" w:sz="4" w:space="0"/>
              <w:right w:val="single" w:color="000000" w:sz="4" w:space="0"/>
            </w:tcBorders>
            <w:vAlign w:val="center"/>
          </w:tcPr>
          <w:p w14:paraId="0638EA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ascii="宋体" w:hAnsi="宋体" w:cs="宋体"/>
                <w:color w:val="auto"/>
                <w:kern w:val="0"/>
                <w:sz w:val="24"/>
                <w:highlight w:val="none"/>
              </w:rPr>
            </w:pPr>
            <w:r>
              <w:rPr>
                <w:rFonts w:hint="eastAsia" w:ascii="宋体" w:hAnsi="宋体" w:eastAsia="宋体" w:cs="宋体"/>
                <w:i w:val="0"/>
                <w:iCs w:val="0"/>
                <w:color w:val="auto"/>
                <w:kern w:val="0"/>
                <w:sz w:val="24"/>
                <w:szCs w:val="24"/>
                <w:highlight w:val="none"/>
                <w:u w:val="none"/>
                <w:lang w:val="en-US" w:eastAsia="zh-CN" w:bidi="ar"/>
              </w:rPr>
              <w:t>地质灾害调查与评价虚拟仿真课程教学系统</w:t>
            </w:r>
          </w:p>
        </w:tc>
        <w:tc>
          <w:tcPr>
            <w:tcW w:w="656" w:type="dxa"/>
            <w:tcBorders>
              <w:top w:val="single" w:color="000000" w:sz="4" w:space="0"/>
              <w:left w:val="single" w:color="000000" w:sz="4" w:space="0"/>
              <w:bottom w:val="single" w:color="000000" w:sz="4" w:space="0"/>
              <w:right w:val="single" w:color="000000" w:sz="4" w:space="0"/>
            </w:tcBorders>
            <w:vAlign w:val="center"/>
          </w:tcPr>
          <w:p w14:paraId="5083416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vAlign w:val="center"/>
          </w:tcPr>
          <w:p w14:paraId="5670196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450" w:type="dxa"/>
            <w:tcBorders>
              <w:top w:val="single" w:color="000000" w:sz="4" w:space="0"/>
              <w:left w:val="single" w:color="000000" w:sz="4" w:space="0"/>
              <w:bottom w:val="single" w:color="000000" w:sz="4" w:space="0"/>
              <w:right w:val="single" w:color="000000" w:sz="4" w:space="0"/>
            </w:tcBorders>
            <w:vAlign w:val="center"/>
          </w:tcPr>
          <w:p w14:paraId="127F58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1.实验目的</w:t>
            </w:r>
          </w:p>
          <w:p w14:paraId="258B653A">
            <w:pPr>
              <w:jc w:val="left"/>
              <w:rPr>
                <w:rFonts w:ascii="宋体" w:hAnsi="宋体" w:cs="Batang"/>
                <w:color w:val="auto"/>
                <w:sz w:val="24"/>
                <w:highlight w:val="none"/>
              </w:rPr>
            </w:pPr>
            <w:r>
              <w:rPr>
                <w:rFonts w:hint="eastAsia" w:ascii="宋体" w:hAnsi="宋体" w:eastAsia="宋体" w:cs="宋体"/>
                <w:i w:val="0"/>
                <w:iCs w:val="0"/>
                <w:color w:val="auto"/>
                <w:sz w:val="24"/>
                <w:szCs w:val="24"/>
                <w:highlight w:val="none"/>
                <w:u w:val="none"/>
              </w:rPr>
              <w:t>定制开发</w:t>
            </w:r>
            <w:r>
              <w:rPr>
                <w:rFonts w:hint="eastAsia" w:ascii="宋体" w:hAnsi="宋体" w:eastAsia="宋体" w:cs="宋体"/>
                <w:i w:val="0"/>
                <w:iCs w:val="0"/>
                <w:color w:val="auto"/>
                <w:kern w:val="0"/>
                <w:sz w:val="24"/>
                <w:szCs w:val="24"/>
                <w:highlight w:val="none"/>
                <w:u w:val="none"/>
                <w:lang w:val="en-US" w:eastAsia="zh-CN" w:bidi="ar"/>
              </w:rPr>
              <w:t>地质灾害调查与评价虚拟仿真课程教学系统</w:t>
            </w:r>
            <w:r>
              <w:rPr>
                <w:rFonts w:hint="eastAsia" w:ascii="宋体" w:hAnsi="宋体" w:eastAsia="宋体" w:cs="宋体"/>
                <w:i w:val="0"/>
                <w:iCs w:val="0"/>
                <w:color w:val="auto"/>
                <w:sz w:val="24"/>
                <w:szCs w:val="24"/>
                <w:highlight w:val="none"/>
                <w:u w:val="none"/>
              </w:rPr>
              <w:t>，为实验教学提供高度仿真的沉浸环境，</w:t>
            </w:r>
            <w:r>
              <w:rPr>
                <w:rFonts w:hint="eastAsia" w:ascii="宋体" w:hAnsi="宋体" w:eastAsia="宋体" w:cs="宋体"/>
                <w:i w:val="0"/>
                <w:iCs w:val="0"/>
                <w:color w:val="auto"/>
                <w:sz w:val="24"/>
                <w:szCs w:val="24"/>
                <w:highlight w:val="none"/>
                <w:u w:val="none"/>
                <w:lang w:val="en-US" w:eastAsia="zh-CN"/>
              </w:rPr>
              <w:t>掌握地质灾害</w:t>
            </w:r>
            <w:r>
              <w:rPr>
                <w:rFonts w:asciiTheme="majorEastAsia" w:hAnsiTheme="majorEastAsia" w:eastAsiaTheme="majorEastAsia"/>
                <w:color w:val="auto"/>
                <w:szCs w:val="21"/>
                <w:highlight w:val="none"/>
              </w:rPr>
              <w:t>…</w:t>
            </w:r>
          </w:p>
        </w:tc>
        <w:tc>
          <w:tcPr>
            <w:tcW w:w="1331" w:type="dxa"/>
            <w:tcBorders>
              <w:top w:val="single" w:color="000000" w:sz="4" w:space="0"/>
              <w:left w:val="single" w:color="000000" w:sz="4" w:space="0"/>
              <w:bottom w:val="single" w:color="000000" w:sz="4" w:space="0"/>
              <w:right w:val="single" w:color="000000" w:sz="4" w:space="0"/>
            </w:tcBorders>
            <w:vAlign w:val="center"/>
          </w:tcPr>
          <w:p w14:paraId="6FB72F9E">
            <w:pPr>
              <w:spacing w:line="400" w:lineRule="exac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100000.00</w:t>
            </w:r>
          </w:p>
        </w:tc>
        <w:tc>
          <w:tcPr>
            <w:tcW w:w="1388" w:type="dxa"/>
            <w:tcBorders>
              <w:top w:val="single" w:color="000000" w:sz="4" w:space="0"/>
              <w:left w:val="single" w:color="000000" w:sz="4" w:space="0"/>
              <w:bottom w:val="single" w:color="000000" w:sz="4" w:space="0"/>
              <w:right w:val="single" w:color="000000" w:sz="4" w:space="0"/>
            </w:tcBorders>
            <w:vAlign w:val="center"/>
          </w:tcPr>
          <w:p w14:paraId="61AAC086">
            <w:pPr>
              <w:spacing w:line="400" w:lineRule="exac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100000.00</w:t>
            </w:r>
          </w:p>
        </w:tc>
      </w:tr>
      <w:tr w14:paraId="0CBCBF89">
        <w:tblPrEx>
          <w:tblCellMar>
            <w:top w:w="0" w:type="dxa"/>
            <w:left w:w="108" w:type="dxa"/>
            <w:bottom w:w="0" w:type="dxa"/>
            <w:right w:w="108" w:type="dxa"/>
          </w:tblCellMar>
        </w:tblPrEx>
        <w:trPr>
          <w:trHeight w:val="90" w:hRule="atLeast"/>
          <w:jc w:val="center"/>
        </w:trPr>
        <w:tc>
          <w:tcPr>
            <w:tcW w:w="777" w:type="dxa"/>
            <w:tcBorders>
              <w:top w:val="single" w:color="000000" w:sz="4" w:space="0"/>
              <w:left w:val="single" w:color="000000" w:sz="4" w:space="0"/>
              <w:bottom w:val="single" w:color="000000" w:sz="4" w:space="0"/>
              <w:right w:val="single" w:color="000000" w:sz="4" w:space="0"/>
            </w:tcBorders>
            <w:vAlign w:val="center"/>
          </w:tcPr>
          <w:p w14:paraId="17643B07">
            <w:pPr>
              <w:spacing w:line="400" w:lineRule="exact"/>
              <w:jc w:val="center"/>
              <w:rPr>
                <w:rFonts w:ascii="宋体" w:hAnsi="宋体" w:cs="宋体"/>
                <w:color w:val="auto"/>
                <w:sz w:val="24"/>
                <w:highlight w:val="none"/>
              </w:rPr>
            </w:pPr>
            <w:r>
              <w:rPr>
                <w:rFonts w:ascii="宋体" w:hAnsi="宋体" w:cs="宋体"/>
                <w:color w:val="auto"/>
                <w:sz w:val="24"/>
                <w:highlight w:val="none"/>
              </w:rPr>
              <w:t>…</w:t>
            </w:r>
          </w:p>
        </w:tc>
        <w:tc>
          <w:tcPr>
            <w:tcW w:w="1295" w:type="dxa"/>
            <w:tcBorders>
              <w:top w:val="single" w:color="000000" w:sz="4" w:space="0"/>
              <w:left w:val="single" w:color="000000" w:sz="4" w:space="0"/>
              <w:bottom w:val="single" w:color="000000" w:sz="4" w:space="0"/>
              <w:right w:val="single" w:color="000000" w:sz="4" w:space="0"/>
            </w:tcBorders>
            <w:vAlign w:val="center"/>
          </w:tcPr>
          <w:p w14:paraId="7B393AEE">
            <w:pPr>
              <w:spacing w:line="400" w:lineRule="exact"/>
              <w:jc w:val="center"/>
              <w:rPr>
                <w:rFonts w:ascii="宋体" w:hAnsi="宋体" w:cs="宋体"/>
                <w:color w:val="auto"/>
                <w:kern w:val="0"/>
                <w:sz w:val="24"/>
                <w:highlight w:val="none"/>
              </w:rPr>
            </w:pPr>
            <w:r>
              <w:rPr>
                <w:rFonts w:ascii="宋体" w:hAnsi="宋体" w:cs="宋体"/>
                <w:color w:val="auto"/>
                <w:kern w:val="0"/>
                <w:sz w:val="24"/>
                <w:highlight w:val="none"/>
              </w:rPr>
              <w:t>…</w:t>
            </w:r>
          </w:p>
        </w:tc>
        <w:tc>
          <w:tcPr>
            <w:tcW w:w="656" w:type="dxa"/>
            <w:tcBorders>
              <w:top w:val="single" w:color="000000" w:sz="4" w:space="0"/>
              <w:left w:val="single" w:color="000000" w:sz="4" w:space="0"/>
              <w:bottom w:val="single" w:color="000000" w:sz="4" w:space="0"/>
              <w:right w:val="single" w:color="000000" w:sz="4" w:space="0"/>
            </w:tcBorders>
            <w:vAlign w:val="center"/>
          </w:tcPr>
          <w:p w14:paraId="5D96AFED">
            <w:pPr>
              <w:spacing w:line="400" w:lineRule="exact"/>
              <w:jc w:val="center"/>
              <w:rPr>
                <w:rFonts w:ascii="宋体" w:hAnsi="宋体" w:cs="宋体"/>
                <w:color w:val="auto"/>
                <w:sz w:val="24"/>
                <w:highlight w:val="none"/>
              </w:rPr>
            </w:pPr>
            <w:r>
              <w:rPr>
                <w:rFonts w:ascii="宋体" w:hAnsi="宋体" w:cs="宋体"/>
                <w:color w:val="auto"/>
                <w:sz w:val="24"/>
                <w:highlight w:val="none"/>
              </w:rPr>
              <w:t>…</w:t>
            </w:r>
          </w:p>
        </w:tc>
        <w:tc>
          <w:tcPr>
            <w:tcW w:w="750" w:type="dxa"/>
            <w:tcBorders>
              <w:top w:val="single" w:color="000000" w:sz="4" w:space="0"/>
              <w:left w:val="single" w:color="000000" w:sz="4" w:space="0"/>
              <w:bottom w:val="single" w:color="000000" w:sz="4" w:space="0"/>
              <w:right w:val="single" w:color="000000" w:sz="4" w:space="0"/>
            </w:tcBorders>
            <w:vAlign w:val="center"/>
          </w:tcPr>
          <w:p w14:paraId="78E7ED7D">
            <w:pPr>
              <w:spacing w:line="400" w:lineRule="exact"/>
              <w:jc w:val="center"/>
              <w:rPr>
                <w:rFonts w:ascii="宋体" w:hAnsi="宋体" w:cs="宋体"/>
                <w:color w:val="auto"/>
                <w:sz w:val="24"/>
                <w:highlight w:val="none"/>
              </w:rPr>
            </w:pPr>
            <w:r>
              <w:rPr>
                <w:rFonts w:ascii="宋体" w:hAnsi="宋体" w:cs="宋体"/>
                <w:color w:val="auto"/>
                <w:sz w:val="24"/>
                <w:highlight w:val="none"/>
              </w:rPr>
              <w:t>…</w:t>
            </w:r>
          </w:p>
        </w:tc>
        <w:tc>
          <w:tcPr>
            <w:tcW w:w="3450" w:type="dxa"/>
            <w:tcBorders>
              <w:top w:val="single" w:color="000000" w:sz="4" w:space="0"/>
              <w:left w:val="single" w:color="000000" w:sz="4" w:space="0"/>
              <w:bottom w:val="single" w:color="000000" w:sz="4" w:space="0"/>
              <w:right w:val="single" w:color="000000" w:sz="4" w:space="0"/>
            </w:tcBorders>
            <w:vAlign w:val="center"/>
          </w:tcPr>
          <w:p w14:paraId="748EBECE">
            <w:pPr>
              <w:jc w:val="left"/>
              <w:rPr>
                <w:rFonts w:ascii="宋体" w:hAnsi="宋体" w:cs="Batang"/>
                <w:color w:val="auto"/>
                <w:sz w:val="24"/>
                <w:highlight w:val="none"/>
              </w:rPr>
            </w:pPr>
            <w:r>
              <w:rPr>
                <w:rFonts w:ascii="宋体" w:hAnsi="宋体" w:cs="Batang"/>
                <w:color w:val="auto"/>
                <w:sz w:val="24"/>
                <w:highlight w:val="none"/>
              </w:rPr>
              <w:t>…</w:t>
            </w:r>
          </w:p>
        </w:tc>
        <w:tc>
          <w:tcPr>
            <w:tcW w:w="1331" w:type="dxa"/>
            <w:tcBorders>
              <w:top w:val="single" w:color="000000" w:sz="4" w:space="0"/>
              <w:left w:val="single" w:color="000000" w:sz="4" w:space="0"/>
              <w:bottom w:val="single" w:color="000000" w:sz="4" w:space="0"/>
              <w:right w:val="single" w:color="000000" w:sz="4" w:space="0"/>
            </w:tcBorders>
            <w:vAlign w:val="center"/>
          </w:tcPr>
          <w:p w14:paraId="233AE258">
            <w:pPr>
              <w:jc w:val="center"/>
              <w:rPr>
                <w:rFonts w:ascii="宋体" w:hAnsi="宋体" w:cs="宋体"/>
                <w:color w:val="auto"/>
                <w:sz w:val="24"/>
                <w:highlight w:val="none"/>
              </w:rPr>
            </w:pPr>
            <w:r>
              <w:rPr>
                <w:rFonts w:ascii="宋体" w:hAnsi="宋体" w:cs="宋体"/>
                <w:color w:val="auto"/>
                <w:sz w:val="24"/>
                <w:highlight w:val="none"/>
              </w:rPr>
              <w:t>…</w:t>
            </w:r>
          </w:p>
        </w:tc>
        <w:tc>
          <w:tcPr>
            <w:tcW w:w="1388" w:type="dxa"/>
            <w:tcBorders>
              <w:top w:val="single" w:color="000000" w:sz="4" w:space="0"/>
              <w:left w:val="single" w:color="000000" w:sz="4" w:space="0"/>
              <w:bottom w:val="single" w:color="000000" w:sz="4" w:space="0"/>
              <w:right w:val="single" w:color="000000" w:sz="4" w:space="0"/>
            </w:tcBorders>
          </w:tcPr>
          <w:p w14:paraId="250A070A">
            <w:pPr>
              <w:jc w:val="center"/>
              <w:rPr>
                <w:rFonts w:ascii="宋体" w:hAnsi="宋体" w:cs="宋体"/>
                <w:color w:val="auto"/>
                <w:sz w:val="24"/>
                <w:highlight w:val="none"/>
              </w:rPr>
            </w:pPr>
            <w:r>
              <w:rPr>
                <w:rFonts w:ascii="宋体" w:hAnsi="宋体" w:cs="宋体"/>
                <w:color w:val="auto"/>
                <w:sz w:val="24"/>
                <w:highlight w:val="none"/>
              </w:rPr>
              <w:t>…</w:t>
            </w:r>
          </w:p>
        </w:tc>
      </w:tr>
    </w:tbl>
    <w:p w14:paraId="32D22D4F">
      <w:pPr>
        <w:spacing w:line="44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详见采购需求表。</w:t>
      </w:r>
    </w:p>
    <w:p w14:paraId="4420F53C">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合同履行期限：详见采购文件《第三章采购需求》“商务要求”。</w:t>
      </w:r>
    </w:p>
    <w:p w14:paraId="3F6CC7DA">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本项目是否接受联合体：否。</w:t>
      </w:r>
    </w:p>
    <w:p w14:paraId="4B3BD3DB">
      <w:pPr>
        <w:spacing w:line="440" w:lineRule="exact"/>
        <w:ind w:firstLine="361" w:firstLineChars="150"/>
        <w:rPr>
          <w:rFonts w:ascii="宋体" w:hAnsi="宋体" w:cs="宋体"/>
          <w:b/>
          <w:bCs/>
          <w:color w:val="auto"/>
          <w:sz w:val="24"/>
          <w:highlight w:val="none"/>
        </w:rPr>
      </w:pPr>
      <w:r>
        <w:rPr>
          <w:rFonts w:hint="eastAsia" w:ascii="宋体" w:hAnsi="宋体" w:cs="宋体"/>
          <w:b/>
          <w:bCs/>
          <w:color w:val="auto"/>
          <w:sz w:val="24"/>
          <w:highlight w:val="none"/>
        </w:rPr>
        <w:t>二、申请人的资格条件：</w:t>
      </w:r>
    </w:p>
    <w:p w14:paraId="513B5458">
      <w:pPr>
        <w:spacing w:line="440" w:lineRule="exact"/>
        <w:ind w:firstLine="480" w:firstLineChars="200"/>
        <w:rPr>
          <w:rFonts w:ascii="宋体" w:hAnsi="宋体" w:cs="宋体"/>
          <w:color w:val="auto"/>
          <w:sz w:val="24"/>
          <w:highlight w:val="none"/>
        </w:rPr>
      </w:pPr>
      <w:bookmarkStart w:id="8" w:name="_Hlk51746371"/>
      <w:r>
        <w:rPr>
          <w:rFonts w:hint="eastAsia" w:ascii="宋体" w:hAnsi="宋体" w:cs="宋体"/>
          <w:color w:val="auto"/>
          <w:sz w:val="24"/>
          <w:highlight w:val="none"/>
        </w:rPr>
        <w:t>1.满足《中华人民共和国政府采购法》第二十二条规定；</w:t>
      </w:r>
    </w:p>
    <w:p w14:paraId="6C1FA15D">
      <w:pPr>
        <w:spacing w:line="440" w:lineRule="exact"/>
        <w:ind w:firstLine="480" w:firstLineChars="200"/>
        <w:rPr>
          <w:rFonts w:ascii="宋体" w:hAnsi="宋体"/>
          <w:color w:val="auto"/>
          <w:sz w:val="24"/>
          <w:highlight w:val="none"/>
        </w:rPr>
      </w:pPr>
      <w:r>
        <w:rPr>
          <w:rFonts w:hint="eastAsia" w:ascii="宋体" w:hAnsi="宋体" w:cs="宋体"/>
          <w:color w:val="auto"/>
          <w:sz w:val="24"/>
          <w:highlight w:val="none"/>
        </w:rPr>
        <w:t>2.落实政府采购政策需满足的资格要求：</w:t>
      </w:r>
      <w:r>
        <w:rPr>
          <w:rFonts w:hint="eastAsia" w:ascii="宋体" w:hAnsi="宋体"/>
          <w:color w:val="auto"/>
          <w:sz w:val="24"/>
          <w:highlight w:val="none"/>
        </w:rPr>
        <w:t>专门面向中小企业采购（</w:t>
      </w:r>
      <w:r>
        <w:rPr>
          <w:rFonts w:hint="eastAsia" w:ascii="宋体" w:hAnsi="宋体"/>
          <w:color w:val="auto"/>
          <w:sz w:val="24"/>
          <w:highlight w:val="none"/>
        </w:rPr>
        <w:sym w:font="Wingdings" w:char="00A8"/>
      </w:r>
      <w:r>
        <w:rPr>
          <w:rFonts w:hint="eastAsia" w:ascii="宋体" w:hAnsi="宋体"/>
          <w:color w:val="auto"/>
          <w:sz w:val="24"/>
          <w:highlight w:val="none"/>
        </w:rPr>
        <w:t>是</w:t>
      </w:r>
      <w:r>
        <w:rPr>
          <w:rFonts w:hint="eastAsia" w:ascii="Segoe UI Symbol" w:hAnsi="Segoe UI Symbol" w:cs="Segoe UI Symbol"/>
          <w:color w:val="auto"/>
          <w:sz w:val="24"/>
          <w:highlight w:val="none"/>
          <w:lang w:eastAsia="zh-CN"/>
        </w:rPr>
        <w:t>☑</w:t>
      </w:r>
      <w:r>
        <w:rPr>
          <w:rFonts w:hint="eastAsia" w:ascii="宋体" w:hAnsi="宋体"/>
          <w:color w:val="auto"/>
          <w:sz w:val="24"/>
          <w:highlight w:val="none"/>
        </w:rPr>
        <w:t>否）；</w:t>
      </w:r>
    </w:p>
    <w:p w14:paraId="147E4E1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3.本项目的特定资格要求：</w:t>
      </w:r>
      <w:bookmarkEnd w:id="8"/>
      <w:r>
        <w:rPr>
          <w:rFonts w:hint="eastAsia" w:ascii="宋体" w:hAnsi="宋体" w:cs="宋体"/>
          <w:color w:val="auto"/>
          <w:sz w:val="24"/>
          <w:highlight w:val="none"/>
        </w:rPr>
        <w:t>无。</w:t>
      </w:r>
    </w:p>
    <w:p w14:paraId="4C87ACF0">
      <w:pPr>
        <w:spacing w:line="440" w:lineRule="exact"/>
        <w:ind w:firstLine="361" w:firstLineChars="150"/>
        <w:rPr>
          <w:rFonts w:ascii="宋体" w:hAnsi="宋体" w:cs="宋体"/>
          <w:b/>
          <w:bCs/>
          <w:color w:val="auto"/>
          <w:sz w:val="24"/>
          <w:highlight w:val="none"/>
        </w:rPr>
      </w:pPr>
      <w:r>
        <w:rPr>
          <w:rFonts w:hint="eastAsia" w:ascii="宋体" w:hAnsi="宋体" w:cs="宋体"/>
          <w:b/>
          <w:bCs/>
          <w:color w:val="auto"/>
          <w:sz w:val="24"/>
          <w:highlight w:val="none"/>
        </w:rPr>
        <w:t>三、获取竞争性谈判采购文件</w:t>
      </w:r>
    </w:p>
    <w:p w14:paraId="0C025D7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时间：</w:t>
      </w:r>
      <w:r>
        <w:rPr>
          <w:rFonts w:ascii="宋体" w:hAnsi="宋体" w:cs="宋体"/>
          <w:color w:val="auto"/>
          <w:sz w:val="24"/>
          <w:highlight w:val="none"/>
        </w:rPr>
        <w:t>2025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日至</w:t>
      </w:r>
      <w:r>
        <w:rPr>
          <w:rFonts w:ascii="宋体" w:hAnsi="宋体" w:cs="宋体"/>
          <w:color w:val="auto"/>
          <w:sz w:val="24"/>
          <w:highlight w:val="none"/>
        </w:rPr>
        <w:t>2025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22</w:t>
      </w:r>
      <w:r>
        <w:rPr>
          <w:rFonts w:hint="eastAsia" w:ascii="宋体" w:hAnsi="宋体" w:cs="宋体"/>
          <w:color w:val="auto"/>
          <w:sz w:val="24"/>
          <w:highlight w:val="none"/>
        </w:rPr>
        <w:t>日</w:t>
      </w:r>
      <w:r>
        <w:rPr>
          <w:rFonts w:hint="eastAsia" w:ascii="宋体" w:hAnsi="宋体" w:cs="宋体"/>
          <w:color w:val="auto"/>
          <w:sz w:val="24"/>
          <w:highlight w:val="none"/>
        </w:rPr>
        <w:t>，每天上午00:00至12:00 ，下午12:00至23:59（北京时间，法定节假日除外）</w:t>
      </w:r>
    </w:p>
    <w:p w14:paraId="51C75AE4">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地点：广西政府采购云平台（https://www.gcy.zfcg.gxzf.gov.cn/）。</w:t>
      </w:r>
    </w:p>
    <w:p w14:paraId="4E4828FC">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方式：网上下载。本项目不发放纸质文件，供应商应自行在</w:t>
      </w:r>
      <w:r>
        <w:rPr>
          <w:color w:val="auto"/>
          <w:highlight w:val="none"/>
        </w:rPr>
        <w:fldChar w:fldCharType="begin"/>
      </w:r>
      <w:r>
        <w:rPr>
          <w:color w:val="auto"/>
          <w:highlight w:val="none"/>
        </w:rPr>
        <w:instrText xml:space="preserve"> HYPERLINK </w:instrText>
      </w:r>
      <w:r>
        <w:rPr>
          <w:color w:val="auto"/>
          <w:highlight w:val="none"/>
        </w:rPr>
        <w:fldChar w:fldCharType="separate"/>
      </w:r>
      <w:r>
        <w:rPr>
          <w:color w:val="auto"/>
          <w:highlight w:val="none"/>
        </w:rPr>
        <w:fldChar w:fldCharType="end"/>
      </w:r>
      <w:r>
        <w:rPr>
          <w:rFonts w:hint="eastAsia" w:ascii="宋体" w:hAnsi="宋体" w:cs="宋体"/>
          <w:color w:val="auto"/>
          <w:sz w:val="24"/>
          <w:highlight w:val="none"/>
        </w:rPr>
        <w:t>广西政府采购云平台（https://www.gcy.zfcg.gxzf.gov.cn/）下载竞争性谈判采购文件（操作路径：登录广西政府采购云平台-项目采购-获取采购文件-找到本项目-点击“申请获取采购文件”），电子响应文件制作需要基于广西政府采购云平台获取的竞争性谈判采购文件编制。</w:t>
      </w:r>
    </w:p>
    <w:p w14:paraId="0173D12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售价：0元。</w:t>
      </w:r>
    </w:p>
    <w:p w14:paraId="532B4039">
      <w:pPr>
        <w:spacing w:line="440" w:lineRule="exact"/>
        <w:ind w:firstLine="361" w:firstLineChars="150"/>
        <w:rPr>
          <w:rFonts w:ascii="宋体" w:hAnsi="宋体" w:cs="宋体"/>
          <w:b/>
          <w:bCs/>
          <w:color w:val="auto"/>
          <w:sz w:val="24"/>
          <w:highlight w:val="none"/>
        </w:rPr>
      </w:pPr>
      <w:r>
        <w:rPr>
          <w:rFonts w:hint="eastAsia" w:ascii="宋体" w:hAnsi="宋体" w:cs="宋体"/>
          <w:b/>
          <w:bCs/>
          <w:color w:val="auto"/>
          <w:sz w:val="24"/>
          <w:highlight w:val="none"/>
        </w:rPr>
        <w:t>四、响应文件提交</w:t>
      </w:r>
    </w:p>
    <w:p w14:paraId="3D4BA4F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1.首次响应文件提交截止时间：</w:t>
      </w:r>
      <w:r>
        <w:rPr>
          <w:rFonts w:ascii="宋体" w:hAnsi="宋体" w:cs="宋体"/>
          <w:color w:val="auto"/>
          <w:sz w:val="24"/>
          <w:highlight w:val="none"/>
        </w:rPr>
        <w:t>2025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23</w:t>
      </w:r>
      <w:r>
        <w:rPr>
          <w:rFonts w:hint="eastAsia" w:ascii="宋体" w:hAnsi="宋体" w:cs="宋体"/>
          <w:color w:val="auto"/>
          <w:sz w:val="24"/>
          <w:highlight w:val="none"/>
        </w:rPr>
        <w:t>日</w:t>
      </w:r>
      <w:r>
        <w:rPr>
          <w:rFonts w:ascii="宋体" w:hAnsi="宋体" w:cs="宋体"/>
          <w:color w:val="auto"/>
          <w:sz w:val="24"/>
          <w:highlight w:val="none"/>
        </w:rPr>
        <w:t>9</w:t>
      </w:r>
      <w:r>
        <w:rPr>
          <w:rFonts w:hint="eastAsia" w:ascii="宋体" w:hAnsi="宋体" w:cs="宋体"/>
          <w:color w:val="auto"/>
          <w:sz w:val="24"/>
          <w:highlight w:val="none"/>
        </w:rPr>
        <w:t>时</w:t>
      </w:r>
      <w:r>
        <w:rPr>
          <w:rFonts w:ascii="宋体" w:hAnsi="宋体" w:cs="宋体"/>
          <w:color w:val="auto"/>
          <w:sz w:val="24"/>
          <w:highlight w:val="none"/>
        </w:rPr>
        <w:t>30</w:t>
      </w:r>
      <w:r>
        <w:rPr>
          <w:rFonts w:hint="eastAsia" w:ascii="宋体" w:hAnsi="宋体" w:cs="宋体"/>
          <w:color w:val="auto"/>
          <w:sz w:val="24"/>
          <w:highlight w:val="none"/>
        </w:rPr>
        <w:t>分</w:t>
      </w:r>
      <w:r>
        <w:rPr>
          <w:rFonts w:hint="eastAsia" w:ascii="宋体" w:hAnsi="宋体" w:cs="宋体"/>
          <w:color w:val="auto"/>
          <w:sz w:val="24"/>
          <w:highlight w:val="none"/>
        </w:rPr>
        <w:t>（北京时间）</w:t>
      </w:r>
    </w:p>
    <w:p w14:paraId="1A05AB39">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2.地点：通过广西政府采购云平台在线提交。</w:t>
      </w:r>
    </w:p>
    <w:p w14:paraId="1D3A45F4">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为全流程电子化项目，没有现场递交响应文件及现场开标环节，通过广西政府采购云平台（https://www.gcy.zfcg.gxzf.gov.cn/）实行在线电子投标，供应商应先安装“广西政府采购云平台投标客户端”（请自行前往广西政府采购云平台进行下载），并按照本项目采购文件和广西政府采购云平台的要求使用CA认证编制、加密响应文件后在首次响应文件提交截止时间前上传至 广西政府采购云平台，供应商在广西政府采购云平台提交电子版响应文件时，请填写参加远程开标活动经办人联系方式，如在谈判评审过程中有电子询标，应在规定的时间内对电子询标函进行澄清回复。</w:t>
      </w:r>
    </w:p>
    <w:p w14:paraId="6686625A">
      <w:pPr>
        <w:spacing w:line="440" w:lineRule="exact"/>
        <w:ind w:firstLine="361" w:firstLineChars="150"/>
        <w:rPr>
          <w:rFonts w:ascii="宋体" w:hAnsi="宋体" w:cs="宋体"/>
          <w:b/>
          <w:bCs/>
          <w:color w:val="auto"/>
          <w:sz w:val="24"/>
          <w:highlight w:val="none"/>
        </w:rPr>
      </w:pPr>
      <w:r>
        <w:rPr>
          <w:rFonts w:hint="eastAsia" w:ascii="宋体" w:hAnsi="宋体" w:cs="宋体"/>
          <w:b/>
          <w:bCs/>
          <w:color w:val="auto"/>
          <w:sz w:val="24"/>
          <w:highlight w:val="none"/>
        </w:rPr>
        <w:t>五、开启</w:t>
      </w:r>
    </w:p>
    <w:p w14:paraId="4C77FCD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1.首次响应文件开启时间：</w:t>
      </w:r>
      <w:r>
        <w:rPr>
          <w:rFonts w:ascii="宋体" w:hAnsi="宋体" w:cs="宋体"/>
          <w:color w:val="auto"/>
          <w:sz w:val="24"/>
          <w:highlight w:val="none"/>
        </w:rPr>
        <w:t>2025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23</w:t>
      </w:r>
      <w:r>
        <w:rPr>
          <w:rFonts w:hint="eastAsia" w:ascii="宋体" w:hAnsi="宋体" w:cs="宋体"/>
          <w:color w:val="auto"/>
          <w:sz w:val="24"/>
          <w:highlight w:val="none"/>
        </w:rPr>
        <w:t>日</w:t>
      </w:r>
      <w:r>
        <w:rPr>
          <w:rFonts w:ascii="宋体" w:hAnsi="宋体" w:cs="宋体"/>
          <w:color w:val="auto"/>
          <w:sz w:val="24"/>
          <w:highlight w:val="none"/>
        </w:rPr>
        <w:t>9</w:t>
      </w:r>
      <w:r>
        <w:rPr>
          <w:rFonts w:hint="eastAsia" w:ascii="宋体" w:hAnsi="宋体" w:cs="宋体"/>
          <w:color w:val="auto"/>
          <w:sz w:val="24"/>
          <w:highlight w:val="none"/>
        </w:rPr>
        <w:t>时</w:t>
      </w:r>
      <w:r>
        <w:rPr>
          <w:rFonts w:ascii="宋体" w:hAnsi="宋体" w:cs="宋体"/>
          <w:color w:val="auto"/>
          <w:sz w:val="24"/>
          <w:highlight w:val="none"/>
        </w:rPr>
        <w:t>30</w:t>
      </w:r>
      <w:r>
        <w:rPr>
          <w:rFonts w:hint="eastAsia" w:ascii="宋体" w:hAnsi="宋体" w:cs="宋体"/>
          <w:color w:val="auto"/>
          <w:sz w:val="24"/>
          <w:highlight w:val="none"/>
        </w:rPr>
        <w:t>分</w:t>
      </w:r>
      <w:r>
        <w:rPr>
          <w:rFonts w:hint="eastAsia" w:ascii="宋体" w:hAnsi="宋体" w:cs="宋体"/>
          <w:color w:val="auto"/>
          <w:sz w:val="24"/>
          <w:highlight w:val="none"/>
        </w:rPr>
        <w:t>（北京时间）</w:t>
      </w:r>
    </w:p>
    <w:p w14:paraId="322AF43C">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2.地点：本项目将在广西政府采购云平台电子开标大厅解密、开启。</w:t>
      </w:r>
    </w:p>
    <w:p w14:paraId="34E86383">
      <w:pPr>
        <w:spacing w:line="440" w:lineRule="exact"/>
        <w:ind w:firstLine="361" w:firstLineChars="150"/>
        <w:rPr>
          <w:rFonts w:ascii="宋体" w:hAnsi="宋体" w:cs="宋体"/>
          <w:b/>
          <w:bCs/>
          <w:color w:val="auto"/>
          <w:sz w:val="24"/>
          <w:highlight w:val="none"/>
        </w:rPr>
      </w:pPr>
      <w:r>
        <w:rPr>
          <w:rFonts w:hint="eastAsia" w:ascii="宋体" w:hAnsi="宋体" w:cs="宋体"/>
          <w:b/>
          <w:bCs/>
          <w:color w:val="auto"/>
          <w:sz w:val="24"/>
          <w:highlight w:val="none"/>
        </w:rPr>
        <w:t>六、公告期限</w:t>
      </w:r>
    </w:p>
    <w:p w14:paraId="523E578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自本公告发布之日起3个工作日。</w:t>
      </w:r>
    </w:p>
    <w:p w14:paraId="71F21D9C">
      <w:pPr>
        <w:spacing w:line="440" w:lineRule="exact"/>
        <w:ind w:firstLine="361" w:firstLineChars="150"/>
        <w:rPr>
          <w:rFonts w:ascii="宋体" w:hAnsi="宋体" w:cs="宋体"/>
          <w:b/>
          <w:bCs/>
          <w:color w:val="auto"/>
          <w:sz w:val="24"/>
          <w:highlight w:val="none"/>
        </w:rPr>
      </w:pPr>
      <w:r>
        <w:rPr>
          <w:rFonts w:hint="eastAsia" w:ascii="宋体" w:hAnsi="宋体" w:cs="宋体"/>
          <w:b/>
          <w:bCs/>
          <w:color w:val="auto"/>
          <w:sz w:val="24"/>
          <w:highlight w:val="none"/>
        </w:rPr>
        <w:t>七、其他补充事宜</w:t>
      </w:r>
    </w:p>
    <w:p w14:paraId="7066E2E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61BB43A">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FDDD5BB">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3.网上查询地址：中国政府采购网（www.ccgp.gov.cn）、广西政府采购网（zfcg.gxzf.gov.cn）。</w:t>
      </w:r>
    </w:p>
    <w:p w14:paraId="5C5D5DC5">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4.本项目需要落实的政府采购政策：</w:t>
      </w:r>
    </w:p>
    <w:p w14:paraId="04E32B8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（1）政府采购促进中小企业发展。</w:t>
      </w:r>
    </w:p>
    <w:p w14:paraId="1A0AAA0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（2）政府采购支持采用本国产品的政策。</w:t>
      </w:r>
    </w:p>
    <w:p w14:paraId="26296DF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（3）强制采购节能产品；优先采购节能产品、环境标志产品。</w:t>
      </w:r>
    </w:p>
    <w:p w14:paraId="1E6B6E2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（4）政府采购促进残疾人就业政策。</w:t>
      </w:r>
    </w:p>
    <w:p w14:paraId="1A6D791B">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（5）政府采购支持监狱企业发展。</w:t>
      </w:r>
    </w:p>
    <w:p w14:paraId="464600E4">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5.谈判注意事项：</w:t>
      </w:r>
    </w:p>
    <w:p w14:paraId="069CF4C9">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响应文件提交方式：本项目为全流程电子化政府采购项目，通过广西政府采购云平台（https://www.gcy.zfcg.gxzf.gov.cn/）实行在线电子竞争性谈判，供应商应先安装“广西政府采购云平台电子交易客户端”（请自行前往广西政府采购云平台进行下载），并按照本项目竞争性谈判采购文件和广西政府采购云平台的要求编制、加密后在首次响应文件提交截止时间前通过网络上传至广西政府采购云平台，</w:t>
      </w:r>
      <w:r>
        <w:rPr>
          <w:rFonts w:hint="eastAsia" w:ascii="宋体" w:hAnsi="宋体" w:cs="宋体"/>
          <w:b/>
          <w:color w:val="auto"/>
          <w:sz w:val="24"/>
          <w:highlight w:val="none"/>
        </w:rPr>
        <w:t>供应商在广西政府采购云平台提交电子版响应文件时，请填写参加远程开标活动经办人联系方式。</w:t>
      </w:r>
    </w:p>
    <w:p w14:paraId="3BE6EFEC">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供应商应及时熟悉掌握电子标系统操作指南（见广西政府采购云平台电子卖场首页右上角—服务中心—帮助文档—项目采购）；及时完成CA申领和绑定（见广西壮族自治区政府采购网—办事服务—下载专区-广西政府采购云平台CA证书办理操作指南）。</w:t>
      </w:r>
    </w:p>
    <w:p w14:paraId="73D4C55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未进行网上注册并办理数字证书（CA认证）的供应商将无法参与本项目政府采购活动，潜在供应商应当在首次响应文件提交截止时间前，完成电子交易平台上的CA数字证书办理及响应文件的提交。完成CA数字证书办理预计7日左右，供应商只需办理其中一家CA数字证书及签章，建议各供应商抓紧时间办理。</w:t>
      </w:r>
    </w:p>
    <w:p w14:paraId="44A27FF4">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（4）为确保网上操作合法、有效和安全，请供应商确保在参与电子竞争性谈判过程中能够对相关数据电文进行加密和使用电子签章，妥善保管CA数字证书并使用有效的CA数字证书参与整个采购活动。</w:t>
      </w:r>
    </w:p>
    <w:p w14:paraId="29139114">
      <w:pPr>
        <w:spacing w:line="440" w:lineRule="exact"/>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注：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广西政府采购云平台将予以拒收。</w:t>
      </w:r>
    </w:p>
    <w:p w14:paraId="6EB17325">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6.CA证书在线解密：首次响应文件开启时，须要供应商携带制作响应文件时用来加密的有效数字证书（CA认证）登录广西政府采购云平台电子开标大厅现场按规定时间对加密的响应文件进行解密，否则后果自负。</w:t>
      </w:r>
    </w:p>
    <w:p w14:paraId="289B4C34">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7.供应商需要在具备有摄像头及语音功能且互联网网络状况良好的电脑登录广西政府采购云平台远程开标大厅参与本次谈判，否则后果自负。</w:t>
      </w:r>
    </w:p>
    <w:p w14:paraId="68C720C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8.若对项目采购电子交易系统操作有疑问，可登录广西政府采购云平台（https://www.gcy.zfcg.gxzf.gov.cn/），点击右侧咨询小采，获取采小蜜智能服务管家帮助，或拨打广西政府采购云平台服务热线</w:t>
      </w:r>
      <w:r>
        <w:rPr>
          <w:rFonts w:ascii="宋体" w:hAnsi="宋体" w:cs="宋体"/>
          <w:color w:val="auto"/>
          <w:sz w:val="24"/>
          <w:highlight w:val="none"/>
        </w:rPr>
        <w:t>95763</w:t>
      </w:r>
      <w:r>
        <w:rPr>
          <w:rFonts w:hint="eastAsia" w:ascii="宋体" w:hAnsi="宋体" w:cs="宋体"/>
          <w:color w:val="auto"/>
          <w:sz w:val="24"/>
          <w:highlight w:val="none"/>
        </w:rPr>
        <w:t>获取热线服务帮助。</w:t>
      </w:r>
    </w:p>
    <w:p w14:paraId="3A428EB3">
      <w:pPr>
        <w:spacing w:line="440" w:lineRule="exact"/>
        <w:ind w:firstLine="361" w:firstLineChars="150"/>
        <w:rPr>
          <w:rFonts w:ascii="宋体" w:hAnsi="宋体" w:cs="宋体"/>
          <w:b/>
          <w:bCs/>
          <w:color w:val="auto"/>
          <w:sz w:val="24"/>
          <w:highlight w:val="none"/>
        </w:rPr>
      </w:pPr>
      <w:r>
        <w:rPr>
          <w:rFonts w:hint="eastAsia" w:ascii="宋体" w:hAnsi="宋体" w:cs="宋体"/>
          <w:b/>
          <w:bCs/>
          <w:color w:val="auto"/>
          <w:sz w:val="24"/>
          <w:highlight w:val="none"/>
        </w:rPr>
        <w:t>八、凡对本次采购提出询问，请按以下方式联系。</w:t>
      </w:r>
      <w:bookmarkEnd w:id="2"/>
      <w:bookmarkEnd w:id="3"/>
      <w:bookmarkEnd w:id="4"/>
      <w:bookmarkEnd w:id="5"/>
      <w:bookmarkEnd w:id="6"/>
      <w:bookmarkEnd w:id="7"/>
    </w:p>
    <w:bookmarkEnd w:id="1"/>
    <w:p w14:paraId="6B173A82">
      <w:pPr>
        <w:spacing w:line="440" w:lineRule="exact"/>
        <w:ind w:firstLine="482" w:firstLineChars="200"/>
        <w:rPr>
          <w:rFonts w:ascii="宋体" w:hAnsi="宋体" w:cs="宋体"/>
          <w:b/>
          <w:bCs/>
          <w:color w:val="auto"/>
          <w:sz w:val="24"/>
          <w:highlight w:val="none"/>
        </w:rPr>
      </w:pPr>
      <w:bookmarkStart w:id="9" w:name="_Toc28359019"/>
      <w:bookmarkStart w:id="10" w:name="_Toc28359096"/>
      <w:bookmarkStart w:id="11" w:name="_Toc35393806"/>
      <w:bookmarkStart w:id="12" w:name="_Toc35393637"/>
      <w:r>
        <w:rPr>
          <w:rFonts w:hint="eastAsia" w:ascii="宋体" w:hAnsi="宋体" w:cs="宋体"/>
          <w:b/>
          <w:bCs/>
          <w:color w:val="auto"/>
          <w:sz w:val="24"/>
          <w:highlight w:val="none"/>
        </w:rPr>
        <w:t>1.采购人信息</w:t>
      </w:r>
    </w:p>
    <w:p w14:paraId="49AF25F1">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称：广西自然资源职业技术学院</w:t>
      </w:r>
    </w:p>
    <w:p w14:paraId="7642CECF">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地址：崇左市扶绥县空港大道东29号广西自然资源职业技术学院 </w:t>
      </w:r>
    </w:p>
    <w:p w14:paraId="77CD1A4F">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项目联系人：李老师   </w:t>
      </w:r>
    </w:p>
    <w:p w14:paraId="792A82B3">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联系方式：0771-5975227  　　　　　　　 </w:t>
      </w:r>
    </w:p>
    <w:p w14:paraId="6EE50B5B">
      <w:pPr>
        <w:spacing w:line="44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2.采购代理机构信息</w:t>
      </w:r>
    </w:p>
    <w:p w14:paraId="3160F044">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lang w:eastAsia="zh-CN"/>
        </w:rPr>
        <w:t>广西众鑫工程项目管理有限公司</w:t>
      </w:r>
    </w:p>
    <w:p w14:paraId="579E7ABB">
      <w:pPr>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lang w:eastAsia="zh-CN"/>
        </w:rPr>
        <w:t>南宁市青秀区葛村路18号9栋五层（整层）</w:t>
      </w:r>
    </w:p>
    <w:p w14:paraId="68D095C9">
      <w:pPr>
        <w:spacing w:line="440" w:lineRule="exact"/>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lang w:eastAsia="zh-CN"/>
        </w:rPr>
        <w:t>陶柳宁、吴波</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联系电话：0771-5613593</w:t>
      </w:r>
    </w:p>
    <w:p w14:paraId="116822C1">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3.项目联系方式</w:t>
      </w:r>
    </w:p>
    <w:p w14:paraId="224489EF">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项目联系人：</w:t>
      </w:r>
      <w:r>
        <w:rPr>
          <w:rFonts w:hint="eastAsia" w:ascii="宋体" w:hAnsi="宋体" w:eastAsia="宋体" w:cs="宋体"/>
          <w:color w:val="auto"/>
          <w:sz w:val="24"/>
          <w:highlight w:val="none"/>
          <w:lang w:val="en-US" w:eastAsia="zh-CN"/>
        </w:rPr>
        <w:t>陶柳宁、吴波</w:t>
      </w:r>
    </w:p>
    <w:p w14:paraId="392D04FF">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电　　话：0771-5613593</w:t>
      </w:r>
    </w:p>
    <w:p w14:paraId="2C6070D7">
      <w:pPr>
        <w:spacing w:line="440" w:lineRule="exact"/>
        <w:ind w:firstLine="480" w:firstLineChars="200"/>
        <w:rPr>
          <w:rFonts w:hint="eastAsia" w:ascii="宋体" w:hAnsi="宋体" w:cs="宋体"/>
          <w:color w:val="auto"/>
          <w:sz w:val="24"/>
          <w:highlight w:val="none"/>
        </w:rPr>
      </w:pPr>
    </w:p>
    <w:p w14:paraId="317EF4C3">
      <w:pPr>
        <w:spacing w:line="440" w:lineRule="exact"/>
        <w:ind w:right="960"/>
        <w:jc w:val="right"/>
        <w:rPr>
          <w:rFonts w:hint="eastAsia" w:ascii="宋体" w:hAnsi="宋体" w:eastAsia="宋体" w:cs="宋体"/>
          <w:color w:val="auto"/>
          <w:sz w:val="24"/>
          <w:highlight w:val="none"/>
          <w:lang w:eastAsia="zh-CN"/>
        </w:rPr>
      </w:pPr>
      <w:r>
        <w:rPr>
          <w:rFonts w:hint="eastAsia" w:ascii="宋体" w:hAnsi="宋体" w:cs="宋体"/>
          <w:color w:val="auto"/>
          <w:sz w:val="24"/>
          <w:highlight w:val="none"/>
        </w:rPr>
        <w:t>　　　　　　　　　　　</w:t>
      </w:r>
      <w:bookmarkEnd w:id="9"/>
      <w:bookmarkEnd w:id="10"/>
      <w:bookmarkEnd w:id="11"/>
      <w:bookmarkEnd w:id="12"/>
      <w:r>
        <w:rPr>
          <w:rFonts w:hint="eastAsia" w:ascii="宋体" w:hAnsi="宋体" w:cs="宋体"/>
          <w:color w:val="auto"/>
          <w:sz w:val="24"/>
          <w:highlight w:val="none"/>
          <w:lang w:eastAsia="zh-CN"/>
        </w:rPr>
        <w:t>广西众鑫工程项目管理有限公司</w:t>
      </w:r>
    </w:p>
    <w:p w14:paraId="50540D42">
      <w:pPr>
        <w:spacing w:line="440" w:lineRule="exact"/>
        <w:ind w:right="960"/>
        <w:jc w:val="right"/>
        <w:rPr>
          <w:rFonts w:ascii="宋体" w:hAnsi="宋体" w:cs="宋体"/>
          <w:color w:val="auto"/>
          <w:sz w:val="24"/>
          <w:highlight w:val="none"/>
        </w:rPr>
      </w:pPr>
      <w:r>
        <w:rPr>
          <w:rFonts w:hint="eastAsia" w:ascii="宋体" w:hAnsi="宋体" w:cs="宋体"/>
          <w:color w:val="auto"/>
          <w:sz w:val="24"/>
          <w:highlight w:val="none"/>
        </w:rPr>
        <w:t>202</w:t>
      </w:r>
      <w:r>
        <w:rPr>
          <w:rFonts w:ascii="宋体" w:hAnsi="宋体" w:cs="宋体"/>
          <w:color w:val="auto"/>
          <w:sz w:val="24"/>
          <w:highlight w:val="none"/>
        </w:rPr>
        <w:t>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日</w:t>
      </w:r>
    </w:p>
    <w:p w14:paraId="25C63995">
      <w:pPr>
        <w:widowControl/>
        <w:jc w:val="left"/>
        <w:rPr>
          <w:rFonts w:ascii="宋体" w:hAnsi="宋体" w:cs="宋体"/>
          <w:color w:val="auto"/>
          <w:sz w:val="24"/>
          <w:highlight w:val="none"/>
        </w:rPr>
      </w:pPr>
      <w:r>
        <w:rPr>
          <w:rFonts w:ascii="宋体" w:hAnsi="宋体" w:cs="宋体"/>
          <w:color w:val="auto"/>
          <w:sz w:val="24"/>
          <w:highlight w:val="none"/>
        </w:rPr>
        <w:br w:type="page"/>
      </w:r>
    </w:p>
    <w:p w14:paraId="0E7B394C">
      <w:pPr>
        <w:spacing w:line="440" w:lineRule="exact"/>
        <w:ind w:right="960"/>
        <w:jc w:val="center"/>
        <w:rPr>
          <w:color w:val="auto"/>
          <w:highlight w:val="none"/>
        </w:rPr>
      </w:pPr>
      <w:r>
        <w:rPr>
          <w:rStyle w:val="36"/>
          <w:rFonts w:hint="eastAsia"/>
          <w:color w:val="auto"/>
          <w:highlight w:val="none"/>
        </w:rPr>
        <w:t xml:space="preserve"> </w:t>
      </w:r>
      <w:r>
        <w:rPr>
          <w:rStyle w:val="36"/>
          <w:color w:val="auto"/>
          <w:highlight w:val="none"/>
        </w:rPr>
        <w:t xml:space="preserve">    </w:t>
      </w:r>
      <w:bookmarkStart w:id="13" w:name="_Toc207390927"/>
      <w:r>
        <w:rPr>
          <w:rStyle w:val="36"/>
          <w:rFonts w:hint="eastAsia"/>
          <w:color w:val="auto"/>
          <w:highlight w:val="none"/>
        </w:rPr>
        <w:t>第二章 供应商须知</w:t>
      </w:r>
      <w:bookmarkEnd w:id="13"/>
    </w:p>
    <w:p w14:paraId="2851DF32">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供应商须知前附表</w:t>
      </w:r>
    </w:p>
    <w:p w14:paraId="67EC38AF">
      <w:pPr>
        <w:spacing w:line="400" w:lineRule="exact"/>
        <w:jc w:val="center"/>
        <w:rPr>
          <w:rFonts w:ascii="宋体" w:hAnsi="宋体" w:cs="宋体"/>
          <w:b/>
          <w:color w:val="auto"/>
          <w:sz w:val="32"/>
          <w:szCs w:val="32"/>
          <w:highlight w:val="none"/>
        </w:rPr>
      </w:pPr>
    </w:p>
    <w:tbl>
      <w:tblPr>
        <w:tblStyle w:val="29"/>
        <w:tblW w:w="91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1"/>
        <w:gridCol w:w="8181"/>
      </w:tblGrid>
      <w:tr w14:paraId="2C2F4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991" w:type="dxa"/>
            <w:vAlign w:val="center"/>
          </w:tcPr>
          <w:p w14:paraId="6C478244">
            <w:pPr>
              <w:spacing w:line="500" w:lineRule="exact"/>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8181" w:type="dxa"/>
            <w:vAlign w:val="center"/>
          </w:tcPr>
          <w:p w14:paraId="0E5D4BBD">
            <w:pPr>
              <w:spacing w:line="500" w:lineRule="exact"/>
              <w:jc w:val="center"/>
              <w:rPr>
                <w:rFonts w:ascii="宋体" w:hAnsi="宋体" w:cs="宋体"/>
                <w:b/>
                <w:color w:val="auto"/>
                <w:sz w:val="24"/>
                <w:highlight w:val="none"/>
              </w:rPr>
            </w:pPr>
            <w:r>
              <w:rPr>
                <w:rFonts w:hint="eastAsia" w:ascii="宋体" w:hAnsi="宋体" w:cs="宋体"/>
                <w:b/>
                <w:color w:val="auto"/>
                <w:sz w:val="24"/>
                <w:highlight w:val="none"/>
              </w:rPr>
              <w:t>内    容</w:t>
            </w:r>
          </w:p>
        </w:tc>
      </w:tr>
      <w:tr w14:paraId="3F8A4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991" w:type="dxa"/>
            <w:vAlign w:val="center"/>
          </w:tcPr>
          <w:p w14:paraId="2DC99263">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3</w:t>
            </w:r>
          </w:p>
        </w:tc>
        <w:tc>
          <w:tcPr>
            <w:tcW w:w="8181" w:type="dxa"/>
            <w:vAlign w:val="center"/>
          </w:tcPr>
          <w:p w14:paraId="2901A7AC">
            <w:pPr>
              <w:spacing w:line="500" w:lineRule="exact"/>
              <w:rPr>
                <w:rFonts w:ascii="宋体" w:hAnsi="宋体" w:cs="宋体"/>
                <w:color w:val="auto"/>
                <w:sz w:val="24"/>
                <w:highlight w:val="none"/>
              </w:rPr>
            </w:pPr>
            <w:r>
              <w:rPr>
                <w:rFonts w:hint="eastAsia" w:ascii="宋体" w:hAnsi="宋体" w:cs="宋体"/>
                <w:color w:val="auto"/>
                <w:sz w:val="24"/>
                <w:highlight w:val="none"/>
              </w:rPr>
              <w:t>供应商的资格条件：详见竞争性谈判公告</w:t>
            </w:r>
          </w:p>
        </w:tc>
      </w:tr>
      <w:tr w14:paraId="79334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991" w:type="dxa"/>
            <w:vAlign w:val="center"/>
          </w:tcPr>
          <w:p w14:paraId="367E6C14">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5.1</w:t>
            </w:r>
          </w:p>
        </w:tc>
        <w:tc>
          <w:tcPr>
            <w:tcW w:w="8181" w:type="dxa"/>
            <w:vAlign w:val="center"/>
          </w:tcPr>
          <w:p w14:paraId="2B04FB8E">
            <w:pPr>
              <w:spacing w:line="500" w:lineRule="exact"/>
              <w:rPr>
                <w:rFonts w:ascii="宋体" w:hAnsi="宋体" w:cs="宋体"/>
                <w:color w:val="auto"/>
                <w:sz w:val="24"/>
                <w:highlight w:val="none"/>
              </w:rPr>
            </w:pPr>
            <w:r>
              <w:rPr>
                <w:rFonts w:hint="eastAsia" w:ascii="宋体" w:hAnsi="宋体" w:cs="宋体"/>
                <w:color w:val="auto"/>
                <w:sz w:val="24"/>
                <w:highlight w:val="none"/>
              </w:rPr>
              <w:t>是否接受联合体参与: 详见竞争性谈判公告</w:t>
            </w:r>
          </w:p>
        </w:tc>
      </w:tr>
      <w:tr w14:paraId="021C7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1" w:type="dxa"/>
            <w:vAlign w:val="center"/>
          </w:tcPr>
          <w:p w14:paraId="3FC1015B">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5.2</w:t>
            </w:r>
          </w:p>
        </w:tc>
        <w:tc>
          <w:tcPr>
            <w:tcW w:w="8181" w:type="dxa"/>
            <w:vAlign w:val="center"/>
          </w:tcPr>
          <w:p w14:paraId="6A5DE7FB">
            <w:pPr>
              <w:spacing w:line="500" w:lineRule="exact"/>
              <w:rPr>
                <w:rFonts w:ascii="宋体" w:hAnsi="宋体" w:cs="宋体"/>
                <w:color w:val="auto"/>
                <w:sz w:val="24"/>
                <w:highlight w:val="none"/>
              </w:rPr>
            </w:pPr>
            <w:r>
              <w:rPr>
                <w:rFonts w:hint="eastAsia" w:ascii="宋体" w:hAnsi="宋体" w:cs="宋体"/>
                <w:color w:val="auto"/>
                <w:sz w:val="24"/>
                <w:highlight w:val="none"/>
              </w:rPr>
              <w:t>如接受联合体参与，要求如下：</w:t>
            </w:r>
          </w:p>
          <w:p w14:paraId="2F9985EA">
            <w:pPr>
              <w:autoSpaceDE w:val="0"/>
              <w:autoSpaceDN w:val="0"/>
              <w:snapToGrid w:val="0"/>
              <w:spacing w:line="500" w:lineRule="exact"/>
              <w:textAlignment w:val="bottom"/>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w:t>
            </w:r>
            <w:r>
              <w:rPr>
                <w:rFonts w:hint="eastAsia" w:ascii="宋体" w:hAnsi="宋体" w:cs="宋体"/>
                <w:color w:val="auto"/>
                <w:sz w:val="24"/>
                <w:highlight w:val="none"/>
              </w:rPr>
              <w:t>两个以上供应商可以组成一个联合体，以一个供应商的身份共同参与竞争性谈判，联合体供应商的名称应统一按“XXX 公司与 XXX 公司的联合体”的规则填写。</w:t>
            </w:r>
            <w:r>
              <w:rPr>
                <w:rFonts w:hint="eastAsia" w:ascii="宋体" w:hAnsi="宋体" w:cs="宋体"/>
                <w:color w:val="auto"/>
                <w:sz w:val="24"/>
                <w:highlight w:val="none"/>
              </w:rPr>
              <w:tab/>
            </w:r>
          </w:p>
          <w:p w14:paraId="2FB333E8">
            <w:pPr>
              <w:autoSpaceDE w:val="0"/>
              <w:autoSpaceDN w:val="0"/>
              <w:snapToGrid w:val="0"/>
              <w:spacing w:line="500" w:lineRule="exact"/>
              <w:textAlignment w:val="bottom"/>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以联合体形式参与竞争性谈判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本项目竞争性谈判公告“申请人的资格条件”第3点 “3、本项目的特定资格要求”的要求。</w:t>
            </w:r>
          </w:p>
          <w:p w14:paraId="08DB1337">
            <w:pPr>
              <w:autoSpaceDE w:val="0"/>
              <w:autoSpaceDN w:val="0"/>
              <w:snapToGrid w:val="0"/>
              <w:spacing w:line="500" w:lineRule="exact"/>
              <w:textAlignment w:val="bottom"/>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bCs/>
                <w:color w:val="auto"/>
                <w:sz w:val="24"/>
                <w:highlight w:val="none"/>
              </w:rPr>
              <w:t>.</w:t>
            </w:r>
            <w:r>
              <w:rPr>
                <w:rFonts w:hint="eastAsia" w:ascii="宋体" w:hAnsi="宋体" w:cs="宋体"/>
                <w:color w:val="auto"/>
                <w:sz w:val="24"/>
                <w:highlight w:val="none"/>
              </w:rPr>
              <w:t>联合体参与竞争性谈判的，须提供《联合体参与竞争性谈判协议书》（格式后附），协议书必须明确主体方（或者牵头方）并明确约定联合体各方承担的工作和相应的责任（各方承担责任与义务的分工必须符合采购需求，否则，联合体响应无效），并将《联合体参与竞争性谈判协议书》放入响应文件。联合体各方必须共同与采购人签订采购合同，就采购合同约定的事项对采购人承担连带责任。</w:t>
            </w:r>
            <w:r>
              <w:rPr>
                <w:rFonts w:hint="eastAsia" w:ascii="宋体" w:hAnsi="宋体" w:cs="宋体"/>
                <w:color w:val="auto"/>
                <w:sz w:val="24"/>
                <w:highlight w:val="none"/>
              </w:rPr>
              <w:tab/>
            </w:r>
          </w:p>
          <w:p w14:paraId="577CE6D7">
            <w:pPr>
              <w:autoSpaceDE w:val="0"/>
              <w:autoSpaceDN w:val="0"/>
              <w:snapToGrid w:val="0"/>
              <w:spacing w:line="500" w:lineRule="exact"/>
              <w:textAlignment w:val="bottom"/>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bCs/>
                <w:color w:val="auto"/>
                <w:sz w:val="24"/>
                <w:highlight w:val="none"/>
              </w:rPr>
              <w:t>.</w:t>
            </w:r>
            <w:r>
              <w:rPr>
                <w:rFonts w:hint="eastAsia" w:ascii="宋体" w:hAnsi="宋体" w:cs="宋体"/>
                <w:color w:val="auto"/>
                <w:sz w:val="24"/>
                <w:highlight w:val="none"/>
              </w:rPr>
              <w:t>以联合体形式参加政府采购活动的，联合体各方不得再单独参加或者与其他供应商另外组成联合体参加同一合同项下的政府采购活动，否则与之相关的响应文件作废。</w:t>
            </w:r>
            <w:r>
              <w:rPr>
                <w:rFonts w:hint="eastAsia" w:ascii="宋体" w:hAnsi="宋体" w:cs="宋体"/>
                <w:color w:val="auto"/>
                <w:sz w:val="24"/>
                <w:highlight w:val="none"/>
              </w:rPr>
              <w:tab/>
            </w:r>
            <w:r>
              <w:rPr>
                <w:rFonts w:hint="eastAsia" w:ascii="宋体" w:hAnsi="宋体" w:cs="宋体"/>
                <w:color w:val="auto"/>
                <w:sz w:val="24"/>
                <w:highlight w:val="none"/>
              </w:rPr>
              <w:tab/>
            </w:r>
          </w:p>
          <w:p w14:paraId="6DB0B958">
            <w:pPr>
              <w:autoSpaceDE w:val="0"/>
              <w:autoSpaceDN w:val="0"/>
              <w:snapToGrid w:val="0"/>
              <w:spacing w:line="500" w:lineRule="exact"/>
              <w:textAlignment w:val="bottom"/>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bCs/>
                <w:color w:val="auto"/>
                <w:sz w:val="24"/>
                <w:highlight w:val="none"/>
              </w:rPr>
              <w:t>.</w:t>
            </w:r>
            <w:r>
              <w:rPr>
                <w:rFonts w:hint="eastAsia" w:ascii="宋体" w:hAnsi="宋体" w:cs="宋体"/>
                <w:color w:val="auto"/>
                <w:sz w:val="24"/>
                <w:highlight w:val="none"/>
              </w:rPr>
              <w:t>联合体中有同类资质的供应商按照联合体分工承担相同工作的，应当按照资质等级较低的供应商确定资质等级。</w:t>
            </w:r>
            <w:r>
              <w:rPr>
                <w:rFonts w:hint="eastAsia" w:ascii="宋体" w:hAnsi="宋体" w:cs="宋体"/>
                <w:color w:val="auto"/>
                <w:sz w:val="24"/>
                <w:highlight w:val="none"/>
              </w:rPr>
              <w:tab/>
            </w:r>
            <w:r>
              <w:rPr>
                <w:rFonts w:hint="eastAsia" w:ascii="宋体" w:hAnsi="宋体" w:cs="宋体"/>
                <w:color w:val="auto"/>
                <w:sz w:val="24"/>
                <w:highlight w:val="none"/>
              </w:rPr>
              <w:tab/>
            </w:r>
          </w:p>
          <w:p w14:paraId="2FC34CBF">
            <w:pPr>
              <w:autoSpaceDE w:val="0"/>
              <w:autoSpaceDN w:val="0"/>
              <w:snapToGrid w:val="0"/>
              <w:spacing w:line="500" w:lineRule="exact"/>
              <w:textAlignment w:val="bottom"/>
              <w:rPr>
                <w:rFonts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bCs/>
                <w:color w:val="auto"/>
                <w:sz w:val="24"/>
                <w:highlight w:val="none"/>
              </w:rPr>
              <w:t>.</w:t>
            </w:r>
            <w:r>
              <w:rPr>
                <w:rFonts w:hint="eastAsia" w:ascii="宋体" w:hAnsi="宋体" w:cs="宋体"/>
                <w:color w:val="auto"/>
                <w:sz w:val="24"/>
                <w:highlight w:val="none"/>
              </w:rPr>
              <w:t>联合体参与竞争性谈判的业绩、履约能力按照联合体各方其中较高的一方认定并计算（竞争性谈判采购文件另有规定的除外）。</w:t>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p>
          <w:p w14:paraId="726404E3">
            <w:pPr>
              <w:spacing w:line="500" w:lineRule="exact"/>
              <w:rPr>
                <w:rFonts w:ascii="宋体" w:hAnsi="宋体" w:cs="宋体"/>
                <w:color w:val="auto"/>
                <w:sz w:val="24"/>
                <w:highlight w:val="none"/>
              </w:rPr>
            </w:pPr>
            <w:r>
              <w:rPr>
                <w:rFonts w:hint="eastAsia" w:ascii="宋体" w:hAnsi="宋体" w:cs="宋体"/>
                <w:color w:val="auto"/>
                <w:sz w:val="24"/>
                <w:highlight w:val="none"/>
              </w:rPr>
              <w:t>7</w:t>
            </w:r>
            <w:r>
              <w:rPr>
                <w:rFonts w:hint="eastAsia" w:ascii="宋体" w:hAnsi="宋体" w:cs="宋体"/>
                <w:bCs/>
                <w:color w:val="auto"/>
                <w:sz w:val="24"/>
                <w:highlight w:val="none"/>
              </w:rPr>
              <w:t>.</w:t>
            </w:r>
            <w:r>
              <w:rPr>
                <w:rFonts w:hint="eastAsia" w:ascii="宋体" w:hAnsi="宋体" w:cs="宋体"/>
                <w:color w:val="auto"/>
                <w:sz w:val="24"/>
                <w:highlight w:val="none"/>
              </w:rPr>
              <w:t>联合体各方均应按照竞争性谈判采购文件的规定提交资格证明文件。</w:t>
            </w:r>
          </w:p>
        </w:tc>
      </w:tr>
      <w:tr w14:paraId="0EDDB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991" w:type="dxa"/>
            <w:vAlign w:val="center"/>
          </w:tcPr>
          <w:p w14:paraId="1A64DD40">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6.2</w:t>
            </w:r>
          </w:p>
        </w:tc>
        <w:tc>
          <w:tcPr>
            <w:tcW w:w="8181" w:type="dxa"/>
            <w:vAlign w:val="center"/>
          </w:tcPr>
          <w:p w14:paraId="2A88A989">
            <w:pPr>
              <w:pStyle w:val="10"/>
              <w:spacing w:line="500" w:lineRule="exact"/>
              <w:jc w:val="both"/>
              <w:rPr>
                <w:rFonts w:ascii="宋体" w:hAnsi="宋体" w:cs="宋体"/>
                <w:color w:val="auto"/>
                <w:sz w:val="24"/>
                <w:highlight w:val="none"/>
              </w:rPr>
            </w:pPr>
            <w:r>
              <w:rPr>
                <w:rFonts w:hint="eastAsia" w:ascii="宋体" w:hAnsi="宋体" w:cs="宋体"/>
                <w:color w:val="auto"/>
                <w:sz w:val="24"/>
                <w:highlight w:val="none"/>
              </w:rPr>
              <w:sym w:font="Wingdings" w:char="00FE"/>
            </w:r>
            <w:r>
              <w:rPr>
                <w:rFonts w:hint="eastAsia" w:ascii="宋体" w:hAnsi="宋体" w:cs="宋体"/>
                <w:color w:val="auto"/>
                <w:sz w:val="24"/>
                <w:highlight w:val="none"/>
              </w:rPr>
              <w:t>本项目不允许分包。</w:t>
            </w:r>
          </w:p>
          <w:p w14:paraId="57DCA99C">
            <w:pPr>
              <w:pStyle w:val="10"/>
              <w:spacing w:line="500" w:lineRule="exact"/>
              <w:jc w:val="both"/>
              <w:rPr>
                <w:rFonts w:ascii="宋体" w:hAnsi="宋体" w:cs="宋体"/>
                <w:color w:val="auto"/>
                <w:sz w:val="24"/>
                <w:highlight w:val="none"/>
              </w:rPr>
            </w:pPr>
            <w:r>
              <w:rPr>
                <w:rFonts w:hint="eastAsia" w:ascii="宋体" w:hAnsi="宋体" w:cs="宋体"/>
                <w:color w:val="auto"/>
                <w:sz w:val="24"/>
                <w:highlight w:val="none"/>
              </w:rPr>
              <w:sym w:font="Wingdings" w:char="00A8"/>
            </w:r>
            <w:r>
              <w:rPr>
                <w:rFonts w:hint="eastAsia" w:ascii="宋体" w:hAnsi="宋体" w:cs="宋体"/>
                <w:color w:val="auto"/>
                <w:sz w:val="24"/>
                <w:highlight w:val="none"/>
              </w:rPr>
              <w:t>本项目允许分包：</w:t>
            </w:r>
          </w:p>
          <w:p w14:paraId="4763B265">
            <w:pPr>
              <w:pStyle w:val="10"/>
              <w:spacing w:line="500" w:lineRule="exact"/>
              <w:jc w:val="both"/>
              <w:rPr>
                <w:rFonts w:ascii="宋体" w:hAnsi="宋体" w:cs="宋体"/>
                <w:color w:val="auto"/>
                <w:sz w:val="24"/>
                <w:highlight w:val="none"/>
                <w:u w:val="single"/>
              </w:rPr>
            </w:pPr>
            <w:r>
              <w:rPr>
                <w:rFonts w:hint="eastAsia" w:ascii="宋体" w:hAnsi="宋体" w:cs="宋体"/>
                <w:color w:val="auto"/>
                <w:sz w:val="24"/>
                <w:highlight w:val="none"/>
              </w:rPr>
              <w:t>分包内容：</w:t>
            </w:r>
            <w:r>
              <w:rPr>
                <w:rFonts w:hint="eastAsia" w:ascii="宋体" w:hAnsi="宋体" w:cs="宋体"/>
                <w:color w:val="auto"/>
                <w:sz w:val="24"/>
                <w:highlight w:val="none"/>
                <w:u w:val="single"/>
              </w:rPr>
              <w:t>/</w:t>
            </w:r>
          </w:p>
          <w:p w14:paraId="56BF95AC">
            <w:pPr>
              <w:pStyle w:val="10"/>
              <w:spacing w:line="500" w:lineRule="exact"/>
              <w:jc w:val="both"/>
              <w:rPr>
                <w:rFonts w:ascii="宋体" w:hAnsi="宋体" w:cs="宋体"/>
                <w:color w:val="auto"/>
                <w:sz w:val="24"/>
                <w:highlight w:val="none"/>
                <w:u w:val="single"/>
              </w:rPr>
            </w:pPr>
            <w:r>
              <w:rPr>
                <w:rFonts w:hint="eastAsia" w:ascii="宋体" w:hAnsi="宋体" w:cs="宋体"/>
                <w:color w:val="auto"/>
                <w:sz w:val="24"/>
                <w:highlight w:val="none"/>
              </w:rPr>
              <w:t>分包金额或者比例：</w:t>
            </w:r>
            <w:r>
              <w:rPr>
                <w:rFonts w:hint="eastAsia" w:ascii="宋体" w:hAnsi="宋体" w:cs="宋体"/>
                <w:color w:val="auto"/>
                <w:sz w:val="24"/>
                <w:highlight w:val="none"/>
                <w:u w:val="single"/>
              </w:rPr>
              <w:t>/</w:t>
            </w:r>
          </w:p>
        </w:tc>
      </w:tr>
      <w:tr w14:paraId="7EA0C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9" w:hRule="atLeast"/>
          <w:jc w:val="center"/>
        </w:trPr>
        <w:tc>
          <w:tcPr>
            <w:tcW w:w="991" w:type="dxa"/>
            <w:vAlign w:val="center"/>
          </w:tcPr>
          <w:p w14:paraId="6BD5A441">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12.1.1</w:t>
            </w:r>
          </w:p>
        </w:tc>
        <w:tc>
          <w:tcPr>
            <w:tcW w:w="8181" w:type="dxa"/>
            <w:vAlign w:val="center"/>
          </w:tcPr>
          <w:p w14:paraId="7E0B3EA1">
            <w:pPr>
              <w:snapToGrid w:val="0"/>
              <w:spacing w:line="500" w:lineRule="exact"/>
              <w:rPr>
                <w:rFonts w:ascii="宋体" w:hAnsi="宋体" w:cs="宋体"/>
                <w:b/>
                <w:color w:val="auto"/>
                <w:sz w:val="24"/>
                <w:highlight w:val="none"/>
              </w:rPr>
            </w:pPr>
            <w:r>
              <w:rPr>
                <w:rFonts w:hint="eastAsia" w:ascii="宋体" w:hAnsi="宋体" w:cs="宋体"/>
                <w:b/>
                <w:color w:val="auto"/>
                <w:sz w:val="24"/>
                <w:highlight w:val="none"/>
              </w:rPr>
              <w:t>资格证明文件</w:t>
            </w:r>
          </w:p>
          <w:p w14:paraId="106EB1C9">
            <w:pPr>
              <w:snapToGrid w:val="0"/>
              <w:spacing w:line="500" w:lineRule="exac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w:t>
            </w:r>
            <w:r>
              <w:rPr>
                <w:rFonts w:hint="eastAsia" w:ascii="宋体" w:hAnsi="宋体" w:cs="宋体"/>
                <w:color w:val="auto"/>
                <w:sz w:val="24"/>
                <w:highlight w:val="none"/>
              </w:rPr>
              <w:t>供应商为法人或者其他组织的，证明文件为其营业执照复印件（如营业执照或者事业单位法人证书或者执业许可证等）；供应商为自然人的，证明文件为其身份证复印件；（</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01A712E9">
            <w:pPr>
              <w:spacing w:line="500" w:lineRule="exact"/>
              <w:contextualSpacing/>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供应商依法缴纳税收的相关材料（截至首次响应文件提交截止之日半年内</w:t>
            </w:r>
            <w:r>
              <w:rPr>
                <w:rFonts w:hint="eastAsia" w:ascii="宋体" w:hAnsi="宋体" w:cs="宋体"/>
                <w:color w:val="auto"/>
                <w:sz w:val="24"/>
                <w:highlight w:val="none"/>
                <w:lang w:val="en-US" w:eastAsia="zh-CN"/>
              </w:rPr>
              <w:t>任意</w:t>
            </w:r>
            <w:r>
              <w:rPr>
                <w:rFonts w:hint="eastAsia" w:ascii="宋体" w:hAnsi="宋体" w:cs="宋体"/>
                <w:color w:val="auto"/>
                <w:sz w:val="24"/>
                <w:highlight w:val="none"/>
              </w:rPr>
              <w:t>连续三个月的依法缴纳税收的凭据复印件；依法免税的，必须提供相应文件证明。从成立之日起到首次响应文件提交截止之日不足要求月数的，只需提供从成立之日起的依法缴纳税收相应证明文件）；（</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018D328A">
            <w:pPr>
              <w:spacing w:line="500" w:lineRule="exact"/>
              <w:contextualSpacing/>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bCs/>
                <w:color w:val="auto"/>
                <w:sz w:val="24"/>
                <w:highlight w:val="none"/>
              </w:rPr>
              <w:t>.</w:t>
            </w:r>
            <w:r>
              <w:rPr>
                <w:rFonts w:hint="eastAsia" w:ascii="宋体" w:hAnsi="宋体" w:cs="宋体"/>
                <w:color w:val="auto"/>
                <w:sz w:val="24"/>
                <w:highlight w:val="none"/>
              </w:rPr>
              <w:t>供应商依法缴纳社会保障资金的相关材料（截至首次响应文件提交截止之日半年内</w:t>
            </w:r>
            <w:r>
              <w:rPr>
                <w:rFonts w:hint="eastAsia" w:ascii="宋体" w:hAnsi="宋体" w:cs="宋体"/>
                <w:color w:val="auto"/>
                <w:sz w:val="24"/>
                <w:highlight w:val="none"/>
                <w:lang w:val="en-US" w:eastAsia="zh-CN"/>
              </w:rPr>
              <w:t>任意</w:t>
            </w:r>
            <w:r>
              <w:rPr>
                <w:rFonts w:hint="eastAsia" w:ascii="宋体" w:hAnsi="宋体" w:cs="宋体"/>
                <w:color w:val="auto"/>
                <w:sz w:val="24"/>
                <w:highlight w:val="none"/>
              </w:rPr>
              <w:t>连续三个月的依法缴纳社会保障资金的缴费凭证（专用收据或者社会保险缴纳清单）复印件；依法不需要缴纳社会保障资金的，必须提供相应文件证明。从成立之日起到首次响应文件提交截止之日不足要求月数的只需提供从成立之日起一个月的依法缴纳社会保障资金的相应证明文件）；（</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20D88CF6">
            <w:pPr>
              <w:spacing w:line="500" w:lineRule="exact"/>
              <w:contextualSpacing/>
              <w:rPr>
                <w:rFonts w:ascii="宋体" w:hAnsi="宋体" w:cs="宋体"/>
                <w:b/>
                <w:color w:val="auto"/>
                <w:sz w:val="24"/>
                <w:highlight w:val="none"/>
              </w:rPr>
            </w:pPr>
            <w:r>
              <w:rPr>
                <w:rFonts w:hint="eastAsia" w:ascii="宋体" w:hAnsi="宋体" w:cs="宋体"/>
                <w:color w:val="auto"/>
                <w:sz w:val="24"/>
                <w:highlight w:val="none"/>
              </w:rPr>
              <w:t>4</w:t>
            </w:r>
            <w:r>
              <w:rPr>
                <w:rFonts w:hint="eastAsia" w:ascii="宋体" w:hAnsi="宋体" w:cs="宋体"/>
                <w:bCs/>
                <w:color w:val="auto"/>
                <w:sz w:val="24"/>
                <w:highlight w:val="none"/>
              </w:rPr>
              <w:t>.</w:t>
            </w:r>
            <w:r>
              <w:rPr>
                <w:rFonts w:hint="eastAsia" w:ascii="宋体" w:hAnsi="宋体" w:cs="宋体"/>
                <w:color w:val="auto"/>
                <w:sz w:val="24"/>
                <w:highlight w:val="none"/>
              </w:rPr>
              <w:t>供应商财务状况报告（提供</w:t>
            </w:r>
            <w:r>
              <w:rPr>
                <w:rFonts w:ascii="宋体" w:hAnsi="宋体" w:cs="宋体"/>
                <w:color w:val="auto"/>
                <w:sz w:val="24"/>
                <w:highlight w:val="none"/>
              </w:rPr>
              <w:t>2024</w:t>
            </w:r>
            <w:r>
              <w:rPr>
                <w:rFonts w:hint="eastAsia" w:ascii="宋体" w:hAnsi="宋体" w:cs="宋体"/>
                <w:color w:val="auto"/>
                <w:sz w:val="24"/>
                <w:highlight w:val="none"/>
              </w:rPr>
              <w:t>年度财务状况报告复印件或者银行出具的资信证明（资信证明应在有效期内，未注明有效期的，银行出具时间至首次响应文件提交截止之日不超过一年）；</w:t>
            </w:r>
            <w:r>
              <w:rPr>
                <w:rFonts w:hint="eastAsia" w:ascii="宋体" w:hAnsi="宋体"/>
                <w:color w:val="auto"/>
                <w:sz w:val="24"/>
                <w:highlight w:val="none"/>
              </w:rPr>
              <w:t>供应商成立不满一年的应按提供首次响应文件提交截止之日上一个月的财务状况报告复印件</w:t>
            </w:r>
            <w:r>
              <w:rPr>
                <w:rFonts w:hint="eastAsia" w:ascii="宋体" w:hAnsi="宋体" w:cs="宋体"/>
                <w:color w:val="auto"/>
                <w:sz w:val="24"/>
                <w:highlight w:val="none"/>
              </w:rPr>
              <w:t>）</w:t>
            </w:r>
            <w:r>
              <w:rPr>
                <w:rFonts w:hint="eastAsia" w:ascii="宋体" w:hAnsi="宋体" w:cs="宋体"/>
                <w:bCs/>
                <w:color w:val="auto"/>
                <w:sz w:val="24"/>
                <w:highlight w:val="none"/>
              </w:rPr>
              <w:t>（</w:t>
            </w:r>
            <w:r>
              <w:rPr>
                <w:rFonts w:hint="eastAsia" w:ascii="宋体" w:hAnsi="宋体" w:cs="宋体"/>
                <w:b/>
                <w:color w:val="auto"/>
                <w:sz w:val="24"/>
                <w:highlight w:val="none"/>
              </w:rPr>
              <w:t>除自然人外必须提供，否则响应文件按无效响应处理</w:t>
            </w:r>
            <w:r>
              <w:rPr>
                <w:rFonts w:hint="eastAsia" w:ascii="宋体" w:hAnsi="宋体" w:cs="宋体"/>
                <w:bCs/>
                <w:color w:val="auto"/>
                <w:sz w:val="24"/>
                <w:highlight w:val="none"/>
              </w:rPr>
              <w:t>）</w:t>
            </w:r>
          </w:p>
          <w:p w14:paraId="2EA47A84">
            <w:pPr>
              <w:snapToGrid w:val="0"/>
              <w:spacing w:line="500" w:lineRule="exact"/>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bCs/>
                <w:color w:val="auto"/>
                <w:sz w:val="24"/>
                <w:highlight w:val="none"/>
              </w:rPr>
              <w:t>.</w:t>
            </w:r>
            <w:r>
              <w:rPr>
                <w:rFonts w:hint="eastAsia" w:ascii="宋体" w:hAnsi="宋体" w:cs="宋体"/>
                <w:color w:val="auto"/>
                <w:sz w:val="24"/>
                <w:highlight w:val="none"/>
              </w:rPr>
              <w:t>供应商直接控股、管理关系信息表（格式后附）；（</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76FCED88">
            <w:pPr>
              <w:snapToGrid w:val="0"/>
              <w:spacing w:line="500" w:lineRule="exact"/>
              <w:rPr>
                <w:rFonts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bCs/>
                <w:color w:val="auto"/>
                <w:sz w:val="24"/>
                <w:highlight w:val="none"/>
              </w:rPr>
              <w:t>.</w:t>
            </w:r>
            <w:r>
              <w:rPr>
                <w:rFonts w:hint="eastAsia" w:ascii="宋体" w:hAnsi="宋体" w:cs="宋体"/>
                <w:color w:val="auto"/>
                <w:sz w:val="24"/>
                <w:highlight w:val="none"/>
              </w:rPr>
              <w:t>参与竞争性谈判声明（格式后附）；（</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60317F37">
            <w:pPr>
              <w:snapToGrid w:val="0"/>
              <w:spacing w:line="500" w:lineRule="exact"/>
              <w:rPr>
                <w:rFonts w:ascii="宋体" w:hAnsi="宋体" w:cs="宋体"/>
                <w:color w:val="auto"/>
                <w:sz w:val="24"/>
                <w:highlight w:val="none"/>
              </w:rPr>
            </w:pPr>
            <w:r>
              <w:rPr>
                <w:rFonts w:hint="eastAsia" w:ascii="宋体" w:hAnsi="宋体" w:cs="宋体"/>
                <w:color w:val="auto"/>
                <w:sz w:val="24"/>
                <w:highlight w:val="none"/>
              </w:rPr>
              <w:t>7</w:t>
            </w:r>
            <w:r>
              <w:rPr>
                <w:rFonts w:hint="eastAsia" w:ascii="宋体" w:hAnsi="宋体" w:cs="宋体"/>
                <w:bCs/>
                <w:color w:val="auto"/>
                <w:sz w:val="24"/>
                <w:highlight w:val="none"/>
              </w:rPr>
              <w:t>.</w:t>
            </w:r>
            <w:r>
              <w:rPr>
                <w:rFonts w:hint="eastAsia" w:ascii="宋体" w:hAnsi="宋体" w:cs="宋体"/>
                <w:color w:val="auto"/>
                <w:sz w:val="24"/>
                <w:highlight w:val="none"/>
              </w:rPr>
              <w:t>联合体参与竞争性谈判协议书（格式后附）；（</w:t>
            </w:r>
            <w:r>
              <w:rPr>
                <w:rFonts w:hint="eastAsia" w:ascii="宋体" w:hAnsi="宋体" w:cs="宋体"/>
                <w:b/>
                <w:color w:val="auto"/>
                <w:sz w:val="24"/>
                <w:highlight w:val="none"/>
              </w:rPr>
              <w:t>联合体</w:t>
            </w:r>
            <w:r>
              <w:rPr>
                <w:rFonts w:hint="eastAsia" w:ascii="宋体" w:hAnsi="宋体" w:cs="宋体"/>
                <w:color w:val="auto"/>
                <w:sz w:val="24"/>
                <w:highlight w:val="none"/>
              </w:rPr>
              <w:t>参与竞争性谈判</w:t>
            </w:r>
            <w:r>
              <w:rPr>
                <w:rFonts w:hint="eastAsia" w:ascii="宋体" w:hAnsi="宋体" w:cs="宋体"/>
                <w:b/>
                <w:color w:val="auto"/>
                <w:sz w:val="24"/>
                <w:highlight w:val="none"/>
              </w:rPr>
              <w:t>时必须提供，否则响应文件按无效响应处理</w:t>
            </w:r>
            <w:r>
              <w:rPr>
                <w:rFonts w:hint="eastAsia" w:ascii="宋体" w:hAnsi="宋体" w:cs="宋体"/>
                <w:color w:val="auto"/>
                <w:sz w:val="24"/>
                <w:highlight w:val="none"/>
              </w:rPr>
              <w:t>）</w:t>
            </w:r>
          </w:p>
          <w:p w14:paraId="65EA4C80">
            <w:pPr>
              <w:snapToGrid w:val="0"/>
              <w:spacing w:line="500" w:lineRule="exact"/>
              <w:rPr>
                <w:rFonts w:ascii="宋体" w:hAnsi="宋体" w:cs="宋体"/>
                <w:color w:val="auto"/>
                <w:sz w:val="24"/>
                <w:highlight w:val="none"/>
              </w:rPr>
            </w:pPr>
            <w:r>
              <w:rPr>
                <w:rFonts w:hint="eastAsia" w:ascii="宋体" w:hAnsi="宋体" w:cs="宋体"/>
                <w:color w:val="auto"/>
                <w:sz w:val="24"/>
                <w:highlight w:val="none"/>
              </w:rPr>
              <w:t>8</w:t>
            </w:r>
            <w:r>
              <w:rPr>
                <w:rFonts w:hint="eastAsia" w:ascii="宋体" w:hAnsi="宋体" w:cs="宋体"/>
                <w:bCs/>
                <w:color w:val="auto"/>
                <w:sz w:val="24"/>
                <w:highlight w:val="none"/>
              </w:rPr>
              <w:t>.</w:t>
            </w:r>
            <w:r>
              <w:rPr>
                <w:rFonts w:hint="eastAsia" w:ascii="宋体" w:hAnsi="宋体" w:cs="宋体"/>
                <w:color w:val="auto"/>
                <w:sz w:val="24"/>
                <w:highlight w:val="none"/>
              </w:rPr>
              <w:t>竞争性谈判公告中特定资格要求的资格证明材料；</w:t>
            </w:r>
            <w:r>
              <w:rPr>
                <w:rFonts w:ascii="宋体" w:hAnsi="宋体" w:cs="宋体"/>
                <w:color w:val="auto"/>
                <w:sz w:val="24"/>
                <w:highlight w:val="none"/>
              </w:rPr>
              <w:t xml:space="preserve"> </w:t>
            </w:r>
          </w:p>
          <w:p w14:paraId="6885BD70">
            <w:pPr>
              <w:snapToGrid w:val="0"/>
              <w:spacing w:line="500" w:lineRule="exact"/>
              <w:rPr>
                <w:rFonts w:ascii="宋体" w:hAnsi="宋体" w:cs="宋体"/>
                <w:color w:val="auto"/>
                <w:sz w:val="24"/>
                <w:highlight w:val="none"/>
              </w:rPr>
            </w:pPr>
            <w:r>
              <w:rPr>
                <w:rFonts w:hint="eastAsia" w:ascii="宋体" w:hAnsi="宋体" w:cs="宋体"/>
                <w:color w:val="auto"/>
                <w:sz w:val="24"/>
                <w:highlight w:val="none"/>
              </w:rPr>
              <w:t>9</w:t>
            </w:r>
            <w:r>
              <w:rPr>
                <w:rFonts w:hint="eastAsia" w:ascii="宋体" w:hAnsi="宋体" w:cs="宋体"/>
                <w:bCs/>
                <w:color w:val="auto"/>
                <w:sz w:val="24"/>
                <w:highlight w:val="none"/>
              </w:rPr>
              <w:t>.</w:t>
            </w:r>
            <w:r>
              <w:rPr>
                <w:rFonts w:hint="eastAsia" w:ascii="宋体" w:hAnsi="宋体" w:cs="宋体"/>
                <w:color w:val="auto"/>
                <w:sz w:val="24"/>
                <w:highlight w:val="none"/>
              </w:rPr>
              <w:t>除谈判文件规定必须提供以外，供应商认为需要提供的其他证明材料。</w:t>
            </w:r>
          </w:p>
          <w:p w14:paraId="2F24618E">
            <w:pPr>
              <w:snapToGrid w:val="0"/>
              <w:spacing w:line="500" w:lineRule="exact"/>
              <w:rPr>
                <w:rFonts w:ascii="楷体" w:hAnsi="楷体" w:eastAsia="楷体" w:cs="宋体"/>
                <w:bCs/>
                <w:color w:val="auto"/>
                <w:sz w:val="24"/>
                <w:highlight w:val="none"/>
              </w:rPr>
            </w:pPr>
            <w:r>
              <w:rPr>
                <w:rFonts w:hint="eastAsia" w:ascii="楷体" w:hAnsi="楷体" w:eastAsia="楷体" w:cs="宋体"/>
                <w:b/>
                <w:bCs/>
                <w:color w:val="auto"/>
                <w:sz w:val="24"/>
                <w:highlight w:val="none"/>
              </w:rPr>
              <w:t>【注】</w:t>
            </w:r>
            <w:r>
              <w:rPr>
                <w:rFonts w:ascii="楷体" w:hAnsi="楷体" w:eastAsia="楷体" w:cs="宋体"/>
                <w:bCs/>
                <w:color w:val="auto"/>
                <w:sz w:val="24"/>
                <w:highlight w:val="none"/>
              </w:rPr>
              <w:t>1.以上标明“必须提供”的材料属于复印件的，必须加盖供应商公章，</w:t>
            </w:r>
            <w:r>
              <w:rPr>
                <w:rFonts w:ascii="楷体" w:hAnsi="楷体" w:eastAsia="楷体" w:cs="宋体"/>
                <w:b/>
                <w:bCs/>
                <w:color w:val="auto"/>
                <w:sz w:val="24"/>
                <w:highlight w:val="none"/>
              </w:rPr>
              <w:t>否则响应文件按无效响应处理</w:t>
            </w:r>
            <w:r>
              <w:rPr>
                <w:rFonts w:ascii="楷体" w:hAnsi="楷体" w:eastAsia="楷体" w:cs="宋体"/>
                <w:bCs/>
                <w:color w:val="auto"/>
                <w:sz w:val="24"/>
                <w:highlight w:val="none"/>
              </w:rPr>
              <w:t>。</w:t>
            </w:r>
          </w:p>
          <w:p w14:paraId="21BF5D3A">
            <w:pPr>
              <w:snapToGrid w:val="0"/>
              <w:spacing w:line="500" w:lineRule="exact"/>
              <w:rPr>
                <w:rFonts w:ascii="楷体" w:hAnsi="楷体" w:eastAsia="楷体" w:cs="宋体"/>
                <w:bCs/>
                <w:color w:val="auto"/>
                <w:sz w:val="24"/>
                <w:highlight w:val="none"/>
              </w:rPr>
            </w:pPr>
            <w:r>
              <w:rPr>
                <w:rFonts w:ascii="楷体" w:hAnsi="楷体" w:eastAsia="楷体" w:cs="宋体"/>
                <w:bCs/>
                <w:color w:val="auto"/>
                <w:sz w:val="24"/>
                <w:highlight w:val="none"/>
              </w:rPr>
              <w:t>2.</w:t>
            </w:r>
            <w:r>
              <w:rPr>
                <w:rFonts w:hint="eastAsia" w:ascii="楷体" w:hAnsi="楷体" w:eastAsia="楷体" w:cs="宋体"/>
                <w:bCs/>
                <w:color w:val="auto"/>
                <w:sz w:val="24"/>
                <w:highlight w:val="none"/>
              </w:rPr>
              <w:t>参与竞争性谈判</w:t>
            </w:r>
            <w:r>
              <w:rPr>
                <w:rFonts w:ascii="楷体" w:hAnsi="楷体" w:eastAsia="楷体" w:cs="宋体"/>
                <w:bCs/>
                <w:color w:val="auto"/>
                <w:sz w:val="24"/>
                <w:highlight w:val="none"/>
              </w:rPr>
              <w:t>声明必须由法定代表人在规定签章处逐一签字并加盖供应商公章，</w:t>
            </w:r>
            <w:r>
              <w:rPr>
                <w:rFonts w:ascii="楷体" w:hAnsi="楷体" w:eastAsia="楷体" w:cs="宋体"/>
                <w:b/>
                <w:bCs/>
                <w:color w:val="auto"/>
                <w:sz w:val="24"/>
                <w:highlight w:val="none"/>
              </w:rPr>
              <w:t>否则响应文件按无效响应处理</w:t>
            </w:r>
            <w:r>
              <w:rPr>
                <w:rFonts w:ascii="楷体" w:hAnsi="楷体" w:eastAsia="楷体" w:cs="宋体"/>
                <w:bCs/>
                <w:color w:val="auto"/>
                <w:sz w:val="24"/>
                <w:highlight w:val="none"/>
              </w:rPr>
              <w:t>。</w:t>
            </w:r>
          </w:p>
          <w:p w14:paraId="4DB88B34">
            <w:pPr>
              <w:snapToGrid w:val="0"/>
              <w:spacing w:line="500" w:lineRule="exact"/>
              <w:rPr>
                <w:rFonts w:ascii="楷体" w:hAnsi="楷体" w:eastAsia="楷体" w:cs="宋体"/>
                <w:b/>
                <w:bCs/>
                <w:color w:val="auto"/>
                <w:sz w:val="24"/>
                <w:highlight w:val="none"/>
              </w:rPr>
            </w:pPr>
            <w:r>
              <w:rPr>
                <w:rFonts w:hint="eastAsia" w:ascii="楷体" w:hAnsi="楷体" w:eastAsia="楷体" w:cs="宋体"/>
                <w:bCs/>
                <w:color w:val="auto"/>
                <w:sz w:val="24"/>
                <w:highlight w:val="none"/>
                <w:lang w:val="en-US" w:eastAsia="zh-CN"/>
              </w:rPr>
              <w:t>3</w:t>
            </w:r>
            <w:r>
              <w:rPr>
                <w:rFonts w:ascii="楷体" w:hAnsi="楷体" w:eastAsia="楷体" w:cs="宋体"/>
                <w:bCs/>
                <w:color w:val="auto"/>
                <w:sz w:val="24"/>
                <w:highlight w:val="none"/>
              </w:rPr>
              <w:t>.联合体</w:t>
            </w:r>
            <w:r>
              <w:rPr>
                <w:rFonts w:hint="eastAsia" w:ascii="楷体" w:hAnsi="楷体" w:eastAsia="楷体" w:cs="宋体"/>
                <w:bCs/>
                <w:color w:val="auto"/>
                <w:sz w:val="24"/>
                <w:highlight w:val="none"/>
              </w:rPr>
              <w:t>参与竞争性谈判</w:t>
            </w:r>
            <w:r>
              <w:rPr>
                <w:rFonts w:ascii="楷体" w:hAnsi="楷体" w:eastAsia="楷体" w:cs="宋体"/>
                <w:bCs/>
                <w:color w:val="auto"/>
                <w:sz w:val="24"/>
                <w:highlight w:val="none"/>
              </w:rPr>
              <w:t>时，</w:t>
            </w:r>
            <w:r>
              <w:rPr>
                <w:rFonts w:hint="eastAsia" w:ascii="楷体" w:hAnsi="楷体" w:eastAsia="楷体" w:cs="宋体"/>
                <w:bCs/>
                <w:color w:val="auto"/>
                <w:sz w:val="24"/>
                <w:highlight w:val="none"/>
              </w:rPr>
              <w:t>以上第</w:t>
            </w:r>
            <w:r>
              <w:rPr>
                <w:rFonts w:ascii="楷体" w:hAnsi="楷体" w:eastAsia="楷体" w:cs="宋体"/>
                <w:bCs/>
                <w:color w:val="auto"/>
                <w:sz w:val="24"/>
                <w:highlight w:val="none"/>
              </w:rPr>
              <w:t>1-5项资格证明文件联合体各方均必须分别提供，联合体各方分别按格式要求盖章或签字，</w:t>
            </w:r>
            <w:r>
              <w:rPr>
                <w:rFonts w:ascii="楷体" w:hAnsi="楷体" w:eastAsia="楷体" w:cs="宋体"/>
                <w:b/>
                <w:bCs/>
                <w:color w:val="auto"/>
                <w:sz w:val="24"/>
                <w:highlight w:val="none"/>
              </w:rPr>
              <w:t>否则响应文件按无效响应处理。</w:t>
            </w:r>
          </w:p>
          <w:p w14:paraId="3BC1387C">
            <w:pPr>
              <w:snapToGrid w:val="0"/>
              <w:spacing w:line="500" w:lineRule="exact"/>
              <w:rPr>
                <w:rFonts w:ascii="宋体" w:hAnsi="宋体" w:cs="宋体"/>
                <w:b/>
                <w:color w:val="auto"/>
                <w:sz w:val="24"/>
                <w:highlight w:val="none"/>
              </w:rPr>
            </w:pPr>
            <w:r>
              <w:rPr>
                <w:rFonts w:hint="eastAsia" w:ascii="楷体" w:hAnsi="楷体" w:eastAsia="楷体" w:cs="宋体"/>
                <w:bCs/>
                <w:color w:val="auto"/>
                <w:sz w:val="24"/>
                <w:highlight w:val="none"/>
                <w:lang w:val="en-US" w:eastAsia="zh-CN"/>
              </w:rPr>
              <w:t>4</w:t>
            </w:r>
            <w:r>
              <w:rPr>
                <w:rFonts w:ascii="楷体" w:hAnsi="楷体" w:eastAsia="楷体" w:cs="宋体"/>
                <w:bCs/>
                <w:color w:val="auto"/>
                <w:sz w:val="24"/>
                <w:highlight w:val="none"/>
              </w:rPr>
              <w:t>.分公司参加</w:t>
            </w:r>
            <w:r>
              <w:rPr>
                <w:rFonts w:hint="eastAsia" w:ascii="楷体" w:hAnsi="楷体" w:eastAsia="楷体" w:cs="宋体"/>
                <w:bCs/>
                <w:color w:val="auto"/>
                <w:sz w:val="24"/>
                <w:highlight w:val="none"/>
              </w:rPr>
              <w:t>参与竞争性谈判</w:t>
            </w:r>
            <w:r>
              <w:rPr>
                <w:rFonts w:ascii="楷体" w:hAnsi="楷体" w:eastAsia="楷体" w:cs="宋体"/>
                <w:bCs/>
                <w:color w:val="auto"/>
                <w:sz w:val="24"/>
                <w:highlight w:val="none"/>
              </w:rPr>
              <w:t>的，应当取得总公司授权，</w:t>
            </w:r>
            <w:r>
              <w:rPr>
                <w:rFonts w:ascii="楷体" w:hAnsi="楷体" w:eastAsia="楷体" w:cs="宋体"/>
                <w:b/>
                <w:bCs/>
                <w:color w:val="auto"/>
                <w:sz w:val="24"/>
                <w:highlight w:val="none"/>
              </w:rPr>
              <w:t>否则响应文件按无效响应处理</w:t>
            </w:r>
            <w:r>
              <w:rPr>
                <w:rFonts w:hint="eastAsia" w:ascii="楷体" w:hAnsi="楷体" w:eastAsia="楷体" w:cs="宋体"/>
                <w:b/>
                <w:color w:val="auto"/>
                <w:sz w:val="24"/>
                <w:highlight w:val="none"/>
              </w:rPr>
              <w:t>。</w:t>
            </w:r>
          </w:p>
        </w:tc>
      </w:tr>
      <w:tr w14:paraId="25316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9" w:hRule="atLeast"/>
          <w:jc w:val="center"/>
        </w:trPr>
        <w:tc>
          <w:tcPr>
            <w:tcW w:w="991" w:type="dxa"/>
            <w:vMerge w:val="restart"/>
            <w:vAlign w:val="center"/>
          </w:tcPr>
          <w:p w14:paraId="79903D69">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12.1.2</w:t>
            </w:r>
          </w:p>
        </w:tc>
        <w:tc>
          <w:tcPr>
            <w:tcW w:w="8181" w:type="dxa"/>
            <w:vAlign w:val="center"/>
          </w:tcPr>
          <w:p w14:paraId="2D90CE92">
            <w:pPr>
              <w:spacing w:line="500" w:lineRule="exact"/>
              <w:rPr>
                <w:rFonts w:ascii="宋体" w:hAnsi="宋体" w:cs="宋体"/>
                <w:color w:val="auto"/>
                <w:sz w:val="24"/>
                <w:highlight w:val="none"/>
              </w:rPr>
            </w:pPr>
            <w:r>
              <w:rPr>
                <w:rFonts w:hint="eastAsia" w:ascii="宋体" w:hAnsi="宋体" w:cs="宋体"/>
                <w:b/>
                <w:color w:val="auto"/>
                <w:sz w:val="24"/>
                <w:highlight w:val="none"/>
              </w:rPr>
              <w:t>报价文件</w:t>
            </w:r>
          </w:p>
          <w:p w14:paraId="27518065">
            <w:pPr>
              <w:spacing w:line="500" w:lineRule="exac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w:t>
            </w:r>
            <w:r>
              <w:rPr>
                <w:rFonts w:hint="eastAsia" w:ascii="宋体" w:hAnsi="宋体" w:cs="宋体"/>
                <w:color w:val="auto"/>
                <w:sz w:val="24"/>
                <w:highlight w:val="none"/>
              </w:rPr>
              <w:t>无串通参与竞争性谈判行为的承诺函（格式后附）；（</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39FC2332">
            <w:pPr>
              <w:spacing w:line="500" w:lineRule="exac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竞争性谈判报价表（格式后附）；（</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1C24F29F">
            <w:pPr>
              <w:spacing w:line="500" w:lineRule="exact"/>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bCs/>
                <w:color w:val="auto"/>
                <w:sz w:val="24"/>
                <w:highlight w:val="none"/>
              </w:rPr>
              <w:t>.</w:t>
            </w:r>
            <w:r>
              <w:rPr>
                <w:rFonts w:hint="eastAsia" w:ascii="宋体" w:hAnsi="宋体" w:cs="宋体"/>
                <w:color w:val="auto"/>
                <w:sz w:val="24"/>
                <w:highlight w:val="none"/>
              </w:rPr>
              <w:t>中小企业声明函（或残疾人福利性单位声明函或监狱企业声明函，残疾人福利性单位或监狱企业视同小微企业）（格式后附）；</w:t>
            </w:r>
          </w:p>
          <w:p w14:paraId="3E9F70EC">
            <w:pPr>
              <w:spacing w:line="500" w:lineRule="exact"/>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bCs/>
                <w:color w:val="auto"/>
                <w:sz w:val="24"/>
                <w:highlight w:val="none"/>
              </w:rPr>
              <w:t>.供应商</w:t>
            </w:r>
            <w:r>
              <w:rPr>
                <w:rFonts w:hint="eastAsia" w:ascii="宋体" w:hAnsi="宋体" w:cs="宋体"/>
                <w:color w:val="auto"/>
                <w:sz w:val="24"/>
                <w:highlight w:val="none"/>
              </w:rPr>
              <w:t>针对报价需要说明的其他文件和说明（格式自拟）。</w:t>
            </w:r>
          </w:p>
          <w:p w14:paraId="7CB775DC">
            <w:pPr>
              <w:spacing w:line="500" w:lineRule="exact"/>
              <w:rPr>
                <w:rFonts w:ascii="楷体" w:hAnsi="楷体" w:eastAsia="楷体" w:cs="宋体"/>
                <w:bCs/>
                <w:color w:val="auto"/>
                <w:sz w:val="24"/>
                <w:highlight w:val="none"/>
              </w:rPr>
            </w:pPr>
            <w:r>
              <w:rPr>
                <w:rFonts w:hint="eastAsia" w:ascii="楷体" w:hAnsi="楷体" w:eastAsia="楷体" w:cs="宋体"/>
                <w:b/>
                <w:color w:val="auto"/>
                <w:sz w:val="24"/>
                <w:highlight w:val="none"/>
              </w:rPr>
              <w:t>注</w:t>
            </w:r>
            <w:r>
              <w:rPr>
                <w:rFonts w:hint="eastAsia" w:ascii="楷体" w:hAnsi="楷体" w:eastAsia="楷体" w:cs="宋体"/>
                <w:color w:val="auto"/>
                <w:sz w:val="24"/>
                <w:highlight w:val="none"/>
              </w:rPr>
              <w:t>：以上标明“必须提供”材料复印件的，必须加盖供应商公章，</w:t>
            </w:r>
            <w:r>
              <w:rPr>
                <w:rFonts w:hint="eastAsia" w:ascii="楷体" w:hAnsi="楷体" w:eastAsia="楷体" w:cs="宋体"/>
                <w:b/>
                <w:color w:val="auto"/>
                <w:sz w:val="24"/>
                <w:highlight w:val="none"/>
              </w:rPr>
              <w:t>否则响应文件按无效响应处理。</w:t>
            </w:r>
          </w:p>
        </w:tc>
      </w:tr>
      <w:tr w14:paraId="51014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6" w:hRule="atLeast"/>
          <w:jc w:val="center"/>
        </w:trPr>
        <w:tc>
          <w:tcPr>
            <w:tcW w:w="991" w:type="dxa"/>
            <w:vMerge w:val="continue"/>
            <w:vAlign w:val="center"/>
          </w:tcPr>
          <w:p w14:paraId="73D2EB75">
            <w:pPr>
              <w:spacing w:line="500" w:lineRule="exact"/>
              <w:jc w:val="center"/>
              <w:rPr>
                <w:rFonts w:ascii="宋体" w:hAnsi="宋体" w:cs="宋体"/>
                <w:color w:val="auto"/>
                <w:sz w:val="24"/>
                <w:highlight w:val="none"/>
              </w:rPr>
            </w:pPr>
          </w:p>
        </w:tc>
        <w:tc>
          <w:tcPr>
            <w:tcW w:w="8181" w:type="dxa"/>
            <w:vAlign w:val="center"/>
          </w:tcPr>
          <w:p w14:paraId="7D9FE814">
            <w:pPr>
              <w:spacing w:line="500" w:lineRule="exact"/>
              <w:rPr>
                <w:rFonts w:ascii="宋体" w:hAnsi="宋体" w:cs="宋体"/>
                <w:color w:val="auto"/>
                <w:sz w:val="24"/>
                <w:highlight w:val="none"/>
              </w:rPr>
            </w:pPr>
            <w:r>
              <w:rPr>
                <w:rFonts w:hint="eastAsia" w:ascii="宋体" w:hAnsi="宋体" w:cs="宋体"/>
                <w:b/>
                <w:color w:val="auto"/>
                <w:sz w:val="24"/>
                <w:highlight w:val="none"/>
              </w:rPr>
              <w:t>商务技术文件</w:t>
            </w:r>
          </w:p>
          <w:p w14:paraId="7A973BC7">
            <w:pPr>
              <w:snapToGrid w:val="0"/>
              <w:spacing w:line="500" w:lineRule="exac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w:t>
            </w:r>
            <w:r>
              <w:rPr>
                <w:rFonts w:hint="eastAsia" w:ascii="宋体" w:hAnsi="宋体" w:cs="宋体"/>
                <w:color w:val="auto"/>
                <w:sz w:val="24"/>
                <w:highlight w:val="none"/>
              </w:rPr>
              <w:t>法定代表人身份证明及法定代表人有效身份证正反面复印件（格式后附）；（</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16DD2C85">
            <w:pPr>
              <w:spacing w:line="500" w:lineRule="exact"/>
              <w:rPr>
                <w:rFonts w:ascii="宋体" w:hAnsi="宋体" w:cs="宋体"/>
                <w:b/>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授权委托书及委托代理人有效身份证正反面复印件（格式后附）；（</w:t>
            </w:r>
            <w:r>
              <w:rPr>
                <w:rFonts w:hint="eastAsia" w:ascii="宋体" w:hAnsi="宋体" w:cs="宋体"/>
                <w:b/>
                <w:color w:val="auto"/>
                <w:sz w:val="24"/>
                <w:highlight w:val="none"/>
              </w:rPr>
              <w:t>委托时必须提供，否则响应文件按无效响应处理</w:t>
            </w:r>
            <w:r>
              <w:rPr>
                <w:rFonts w:hint="eastAsia" w:ascii="宋体" w:hAnsi="宋体" w:cs="宋体"/>
                <w:color w:val="auto"/>
                <w:sz w:val="24"/>
                <w:highlight w:val="none"/>
              </w:rPr>
              <w:t>）</w:t>
            </w:r>
          </w:p>
          <w:p w14:paraId="3E019B18">
            <w:pPr>
              <w:spacing w:line="500" w:lineRule="exact"/>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bCs/>
                <w:color w:val="auto"/>
                <w:sz w:val="24"/>
                <w:highlight w:val="none"/>
              </w:rPr>
              <w:t>.</w:t>
            </w:r>
            <w:r>
              <w:rPr>
                <w:rFonts w:hint="eastAsia" w:ascii="宋体" w:hAnsi="宋体" w:cs="宋体"/>
                <w:color w:val="auto"/>
                <w:sz w:val="24"/>
                <w:highlight w:val="none"/>
              </w:rPr>
              <w:t>谈判保证金提交凭证；（</w:t>
            </w:r>
            <w:r>
              <w:rPr>
                <w:rFonts w:hint="eastAsia" w:ascii="宋体" w:hAnsi="宋体" w:cs="宋体"/>
                <w:b/>
                <w:bCs/>
                <w:color w:val="auto"/>
                <w:sz w:val="24"/>
                <w:highlight w:val="none"/>
              </w:rPr>
              <w:t>必须提供</w:t>
            </w:r>
            <w:r>
              <w:rPr>
                <w:rFonts w:hint="eastAsia" w:ascii="宋体" w:hAnsi="宋体" w:cs="宋体"/>
                <w:b/>
                <w:color w:val="auto"/>
                <w:sz w:val="24"/>
                <w:highlight w:val="none"/>
              </w:rPr>
              <w:t>，否则响应文件按无效响应处理</w:t>
            </w:r>
            <w:r>
              <w:rPr>
                <w:rFonts w:hint="eastAsia" w:ascii="宋体" w:hAnsi="宋体" w:cs="宋体"/>
                <w:color w:val="auto"/>
                <w:sz w:val="24"/>
                <w:highlight w:val="none"/>
              </w:rPr>
              <w:t>）</w:t>
            </w:r>
          </w:p>
          <w:p w14:paraId="5EA7CB12">
            <w:pPr>
              <w:spacing w:line="500" w:lineRule="exact"/>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bCs/>
                <w:color w:val="auto"/>
                <w:sz w:val="24"/>
                <w:highlight w:val="none"/>
              </w:rPr>
              <w:t>.</w:t>
            </w:r>
            <w:r>
              <w:rPr>
                <w:rFonts w:hint="eastAsia" w:ascii="宋体" w:hAnsi="宋体" w:cs="宋体"/>
                <w:color w:val="auto"/>
                <w:sz w:val="24"/>
                <w:highlight w:val="none"/>
              </w:rPr>
              <w:t>商务要求偏离表（格式后附）；（</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66266C32">
            <w:pPr>
              <w:spacing w:line="500" w:lineRule="exact"/>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bCs/>
                <w:color w:val="auto"/>
                <w:sz w:val="24"/>
                <w:highlight w:val="none"/>
              </w:rPr>
              <w:t>.</w:t>
            </w:r>
            <w:r>
              <w:rPr>
                <w:rFonts w:hint="eastAsia" w:ascii="宋体" w:hAnsi="宋体" w:cs="宋体"/>
                <w:color w:val="auto"/>
                <w:sz w:val="24"/>
                <w:highlight w:val="none"/>
              </w:rPr>
              <w:t>售后服务承诺（格式自拟）；（</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6B11A143">
            <w:pPr>
              <w:spacing w:line="500" w:lineRule="exact"/>
              <w:rPr>
                <w:rFonts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bCs/>
                <w:color w:val="auto"/>
                <w:sz w:val="24"/>
                <w:highlight w:val="none"/>
              </w:rPr>
              <w:t>.</w:t>
            </w:r>
            <w:r>
              <w:rPr>
                <w:rFonts w:hint="eastAsia" w:ascii="宋体" w:hAnsi="宋体" w:cs="宋体"/>
                <w:color w:val="auto"/>
                <w:sz w:val="24"/>
                <w:highlight w:val="none"/>
              </w:rPr>
              <w:t>货物配置清单（均不含报价）（格式后附）；（</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1E648526">
            <w:pPr>
              <w:spacing w:line="500" w:lineRule="exact"/>
              <w:rPr>
                <w:rFonts w:ascii="宋体" w:hAnsi="宋体" w:cs="宋体"/>
                <w:color w:val="auto"/>
                <w:sz w:val="24"/>
                <w:highlight w:val="none"/>
              </w:rPr>
            </w:pPr>
            <w:r>
              <w:rPr>
                <w:rFonts w:hint="eastAsia" w:ascii="宋体" w:hAnsi="宋体" w:cs="宋体"/>
                <w:color w:val="auto"/>
                <w:sz w:val="24"/>
                <w:highlight w:val="none"/>
              </w:rPr>
              <w:t>7</w:t>
            </w:r>
            <w:r>
              <w:rPr>
                <w:rFonts w:hint="eastAsia" w:ascii="宋体" w:hAnsi="宋体" w:cs="宋体"/>
                <w:bCs/>
                <w:color w:val="auto"/>
                <w:sz w:val="24"/>
                <w:highlight w:val="none"/>
              </w:rPr>
              <w:t>.</w:t>
            </w:r>
            <w:r>
              <w:rPr>
                <w:rFonts w:hint="eastAsia" w:ascii="宋体" w:hAnsi="宋体" w:cs="宋体"/>
                <w:color w:val="auto"/>
                <w:sz w:val="24"/>
                <w:highlight w:val="none"/>
              </w:rPr>
              <w:t>技术偏离表（格式后附）；（</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1154B562">
            <w:pPr>
              <w:spacing w:line="500" w:lineRule="exact"/>
              <w:rPr>
                <w:rFonts w:ascii="宋体" w:hAnsi="宋体" w:cs="宋体"/>
                <w:color w:val="auto"/>
                <w:sz w:val="24"/>
                <w:highlight w:val="none"/>
              </w:rPr>
            </w:pPr>
            <w:r>
              <w:rPr>
                <w:rFonts w:hint="eastAsia" w:ascii="宋体" w:hAnsi="宋体" w:cs="宋体"/>
                <w:color w:val="auto"/>
                <w:sz w:val="24"/>
                <w:highlight w:val="none"/>
              </w:rPr>
              <w:t>8</w:t>
            </w:r>
            <w:r>
              <w:rPr>
                <w:rFonts w:hint="eastAsia" w:ascii="宋体" w:hAnsi="宋体" w:cs="宋体"/>
                <w:bCs/>
                <w:color w:val="auto"/>
                <w:sz w:val="24"/>
                <w:highlight w:val="none"/>
              </w:rPr>
              <w:t>.</w:t>
            </w:r>
            <w:r>
              <w:rPr>
                <w:rFonts w:hint="eastAsia" w:ascii="宋体" w:hAnsi="宋体" w:cs="宋体"/>
                <w:color w:val="auto"/>
                <w:sz w:val="24"/>
                <w:highlight w:val="none"/>
              </w:rPr>
              <w:t>对应采购需求的技术要求、商务要求提供的其他文件资料（格式自拟）；</w:t>
            </w:r>
          </w:p>
          <w:p w14:paraId="79BF3B60">
            <w:pPr>
              <w:spacing w:line="500" w:lineRule="exact"/>
              <w:rPr>
                <w:rFonts w:ascii="宋体" w:hAnsi="宋体" w:cs="宋体"/>
                <w:color w:val="auto"/>
                <w:sz w:val="24"/>
                <w:highlight w:val="none"/>
              </w:rPr>
            </w:pPr>
            <w:r>
              <w:rPr>
                <w:rFonts w:hint="eastAsia" w:ascii="宋体" w:hAnsi="宋体" w:cs="宋体"/>
                <w:color w:val="auto"/>
                <w:sz w:val="24"/>
                <w:highlight w:val="none"/>
              </w:rPr>
              <w:t>9</w:t>
            </w:r>
            <w:r>
              <w:rPr>
                <w:rFonts w:hint="eastAsia" w:ascii="宋体" w:hAnsi="宋体" w:cs="宋体"/>
                <w:bCs/>
                <w:color w:val="auto"/>
                <w:sz w:val="24"/>
                <w:highlight w:val="none"/>
              </w:rPr>
              <w:t>.</w:t>
            </w:r>
            <w:r>
              <w:rPr>
                <w:rFonts w:hint="eastAsia" w:ascii="宋体" w:hAnsi="宋体" w:cs="宋体"/>
                <w:color w:val="auto"/>
                <w:sz w:val="24"/>
                <w:highlight w:val="none"/>
              </w:rPr>
              <w:t>供应商认为需要提供的其他有关资料。</w:t>
            </w:r>
          </w:p>
          <w:p w14:paraId="14112340">
            <w:pPr>
              <w:spacing w:line="500" w:lineRule="exact"/>
              <w:rPr>
                <w:rFonts w:ascii="楷体" w:hAnsi="楷体" w:eastAsia="楷体" w:cs="宋体"/>
                <w:color w:val="auto"/>
                <w:sz w:val="24"/>
                <w:highlight w:val="none"/>
              </w:rPr>
            </w:pPr>
            <w:r>
              <w:rPr>
                <w:rFonts w:hint="eastAsia" w:ascii="楷体" w:hAnsi="楷体" w:eastAsia="楷体" w:cs="宋体"/>
                <w:b/>
                <w:bCs/>
                <w:color w:val="auto"/>
                <w:sz w:val="24"/>
                <w:highlight w:val="none"/>
              </w:rPr>
              <w:t>【注】</w:t>
            </w:r>
            <w:r>
              <w:rPr>
                <w:rFonts w:ascii="楷体" w:hAnsi="楷体" w:eastAsia="楷体" w:cs="宋体"/>
                <w:color w:val="auto"/>
                <w:sz w:val="24"/>
                <w:highlight w:val="none"/>
              </w:rPr>
              <w:t>1.法定代表人授权委托书必须由法定代表人及委托代理人签字，并加盖</w:t>
            </w:r>
            <w:r>
              <w:rPr>
                <w:rFonts w:hint="eastAsia" w:ascii="楷体" w:hAnsi="楷体" w:eastAsia="楷体" w:cs="宋体"/>
                <w:color w:val="auto"/>
                <w:sz w:val="24"/>
                <w:highlight w:val="none"/>
              </w:rPr>
              <w:t>供应商公章，</w:t>
            </w:r>
            <w:r>
              <w:rPr>
                <w:rFonts w:hint="eastAsia" w:ascii="楷体" w:hAnsi="楷体" w:eastAsia="楷体" w:cs="宋体"/>
                <w:b/>
                <w:color w:val="auto"/>
                <w:sz w:val="24"/>
                <w:highlight w:val="none"/>
              </w:rPr>
              <w:t>否则做无效响应处理</w:t>
            </w:r>
            <w:r>
              <w:rPr>
                <w:rFonts w:hint="eastAsia" w:ascii="楷体" w:hAnsi="楷体" w:eastAsia="楷体" w:cs="宋体"/>
                <w:color w:val="auto"/>
                <w:sz w:val="24"/>
                <w:highlight w:val="none"/>
              </w:rPr>
              <w:t>。</w:t>
            </w:r>
          </w:p>
          <w:p w14:paraId="3855DCB8">
            <w:pPr>
              <w:spacing w:line="500" w:lineRule="exact"/>
              <w:rPr>
                <w:rFonts w:ascii="宋体" w:hAnsi="宋体" w:cs="宋体"/>
                <w:b/>
                <w:color w:val="auto"/>
                <w:sz w:val="24"/>
                <w:highlight w:val="none"/>
              </w:rPr>
            </w:pPr>
            <w:r>
              <w:rPr>
                <w:rFonts w:ascii="楷体" w:hAnsi="楷体" w:eastAsia="楷体" w:cs="宋体"/>
                <w:color w:val="auto"/>
                <w:sz w:val="24"/>
                <w:highlight w:val="none"/>
              </w:rPr>
              <w:t>2.</w:t>
            </w:r>
            <w:r>
              <w:rPr>
                <w:rFonts w:hint="eastAsia" w:ascii="楷体" w:hAnsi="楷体" w:eastAsia="楷体" w:cs="宋体"/>
                <w:color w:val="auto"/>
                <w:sz w:val="24"/>
                <w:highlight w:val="none"/>
              </w:rPr>
              <w:t>以上标明“必须提供”材料复印件的，必须加盖供应商公章，</w:t>
            </w:r>
            <w:r>
              <w:rPr>
                <w:rFonts w:hint="eastAsia" w:ascii="楷体" w:hAnsi="楷体" w:eastAsia="楷体" w:cs="宋体"/>
                <w:b/>
                <w:color w:val="auto"/>
                <w:sz w:val="24"/>
                <w:highlight w:val="none"/>
              </w:rPr>
              <w:t>否则响应文件按无效响应处理。</w:t>
            </w:r>
          </w:p>
        </w:tc>
      </w:tr>
      <w:tr w14:paraId="02EEA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9" w:hRule="atLeast"/>
          <w:jc w:val="center"/>
        </w:trPr>
        <w:tc>
          <w:tcPr>
            <w:tcW w:w="991" w:type="dxa"/>
            <w:vAlign w:val="center"/>
          </w:tcPr>
          <w:p w14:paraId="394CDEEC">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15.2</w:t>
            </w:r>
          </w:p>
        </w:tc>
        <w:tc>
          <w:tcPr>
            <w:tcW w:w="8181" w:type="dxa"/>
            <w:vAlign w:val="center"/>
          </w:tcPr>
          <w:p w14:paraId="5510DCAC">
            <w:pPr>
              <w:spacing w:line="500" w:lineRule="exact"/>
              <w:rPr>
                <w:rFonts w:ascii="宋体" w:hAnsi="宋体" w:cs="宋体"/>
                <w:color w:val="auto"/>
                <w:sz w:val="24"/>
                <w:highlight w:val="none"/>
              </w:rPr>
            </w:pPr>
            <w:r>
              <w:rPr>
                <w:rFonts w:hint="eastAsia" w:ascii="宋体" w:hAnsi="宋体" w:cs="宋体"/>
                <w:color w:val="auto"/>
                <w:sz w:val="24"/>
                <w:highlight w:val="none"/>
              </w:rPr>
              <w:t>竞争性谈判报价合计金额包括货物价款、配套软件、标准附件、随配附件、备品备件、辅助材料、专用工具、包装、运抵指定交货地点、运输、装卸、完工清场清洁、货到就位、安装、调试、检验、技术培训、技术资料、售后服务、保险、投标费用、预验收及履约验收及售后服务、人工费、一切税费等全部费用。税费因政策等原因发生变化的，由成交供应商承担。合同履行过程中，采购人不再支付合同以外的其他费用。</w:t>
            </w:r>
          </w:p>
        </w:tc>
      </w:tr>
      <w:tr w14:paraId="50955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991" w:type="dxa"/>
            <w:vAlign w:val="center"/>
          </w:tcPr>
          <w:p w14:paraId="1808159B">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16.2</w:t>
            </w:r>
          </w:p>
        </w:tc>
        <w:tc>
          <w:tcPr>
            <w:tcW w:w="8181" w:type="dxa"/>
            <w:vAlign w:val="center"/>
          </w:tcPr>
          <w:p w14:paraId="0931A50B">
            <w:pPr>
              <w:pStyle w:val="9"/>
              <w:widowControl w:val="0"/>
              <w:tabs>
                <w:tab w:val="clear" w:pos="454"/>
              </w:tabs>
              <w:snapToGrid w:val="0"/>
              <w:spacing w:after="0" w:afterLines="0" w:line="500" w:lineRule="exact"/>
              <w:ind w:left="324" w:hanging="324" w:hangingChars="135"/>
              <w:jc w:val="both"/>
              <w:rPr>
                <w:rFonts w:ascii="宋体" w:hAnsi="宋体" w:cs="宋体"/>
                <w:color w:val="auto"/>
                <w:kern w:val="2"/>
                <w:szCs w:val="24"/>
                <w:highlight w:val="none"/>
              </w:rPr>
            </w:pPr>
            <w:r>
              <w:rPr>
                <w:rFonts w:hint="eastAsia" w:ascii="宋体" w:hAnsi="宋体" w:cs="宋体"/>
                <w:color w:val="auto"/>
                <w:kern w:val="2"/>
                <w:szCs w:val="24"/>
                <w:highlight w:val="none"/>
              </w:rPr>
              <w:t xml:space="preserve">竞争性谈判有效期：首次响应文件提交截止之日起60天内。 </w:t>
            </w:r>
          </w:p>
        </w:tc>
      </w:tr>
      <w:tr w14:paraId="0AB43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991" w:type="dxa"/>
            <w:vAlign w:val="center"/>
          </w:tcPr>
          <w:p w14:paraId="0C425F85">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17.1</w:t>
            </w:r>
          </w:p>
        </w:tc>
        <w:tc>
          <w:tcPr>
            <w:tcW w:w="8181" w:type="dxa"/>
            <w:vAlign w:val="center"/>
          </w:tcPr>
          <w:p w14:paraId="6957162E">
            <w:pPr>
              <w:autoSpaceDE w:val="0"/>
              <w:autoSpaceDN w:val="0"/>
              <w:snapToGrid w:val="0"/>
              <w:spacing w:line="500" w:lineRule="exact"/>
              <w:textAlignment w:val="bottom"/>
              <w:rPr>
                <w:rFonts w:ascii="宋体" w:hAnsi="宋体" w:cs="宋体"/>
                <w:color w:val="auto"/>
                <w:sz w:val="24"/>
                <w:highlight w:val="none"/>
              </w:rPr>
            </w:pPr>
            <w:r>
              <w:rPr>
                <w:rFonts w:hint="eastAsia" w:ascii="宋体" w:hAnsi="宋体" w:cs="宋体"/>
                <w:color w:val="auto"/>
                <w:sz w:val="24"/>
                <w:highlight w:val="none"/>
              </w:rPr>
              <w:sym w:font="Wingdings" w:char="00A8"/>
            </w:r>
            <w:r>
              <w:rPr>
                <w:rFonts w:hint="eastAsia" w:ascii="宋体" w:hAnsi="宋体" w:cs="宋体"/>
                <w:color w:val="auto"/>
                <w:sz w:val="24"/>
                <w:highlight w:val="none"/>
              </w:rPr>
              <w:t>本项目不收取谈判保证金。</w:t>
            </w:r>
          </w:p>
          <w:p w14:paraId="1F723AF0">
            <w:pPr>
              <w:spacing w:line="500" w:lineRule="exact"/>
              <w:rPr>
                <w:rFonts w:ascii="宋体" w:hAnsi="宋体" w:cs="宋体"/>
                <w:color w:val="auto"/>
                <w:sz w:val="24"/>
                <w:highlight w:val="none"/>
              </w:rPr>
            </w:pPr>
            <w:r>
              <w:rPr>
                <w:rFonts w:hint="eastAsia" w:ascii="宋体" w:hAnsi="宋体" w:eastAsia="宋体" w:cs="宋体"/>
                <w:color w:val="auto"/>
                <w:kern w:val="0"/>
                <w:sz w:val="24"/>
                <w:szCs w:val="24"/>
                <w:highlight w:val="none"/>
              </w:rPr>
              <w:t>☑</w:t>
            </w:r>
            <w:r>
              <w:rPr>
                <w:rFonts w:hint="eastAsia" w:ascii="宋体" w:hAnsi="宋体" w:cs="宋体"/>
                <w:color w:val="auto"/>
                <w:sz w:val="24"/>
                <w:highlight w:val="none"/>
              </w:rPr>
              <w:t>本项目收取谈判保证金。</w:t>
            </w:r>
          </w:p>
          <w:p w14:paraId="65C48E94">
            <w:pPr>
              <w:spacing w:line="500" w:lineRule="exact"/>
              <w:rPr>
                <w:rFonts w:ascii="宋体" w:hAnsi="宋体" w:cs="宋体"/>
                <w:b/>
                <w:color w:val="auto"/>
                <w:kern w:val="0"/>
                <w:sz w:val="24"/>
                <w:highlight w:val="none"/>
              </w:rPr>
            </w:pPr>
            <w:r>
              <w:rPr>
                <w:rFonts w:hint="eastAsia" w:ascii="宋体" w:hAnsi="宋体" w:cs="宋体"/>
                <w:color w:val="auto"/>
                <w:kern w:val="0"/>
                <w:sz w:val="24"/>
                <w:highlight w:val="none"/>
              </w:rPr>
              <w:t>谈判保证金（人民币）：</w:t>
            </w:r>
            <w:r>
              <w:rPr>
                <w:rFonts w:ascii="宋体" w:hAnsi="宋体" w:cs="宋体"/>
                <w:color w:val="auto"/>
                <w:kern w:val="0"/>
                <w:sz w:val="24"/>
                <w:highlight w:val="none"/>
              </w:rPr>
              <w:t>1</w:t>
            </w:r>
            <w:r>
              <w:rPr>
                <w:rFonts w:hint="eastAsia" w:ascii="宋体" w:hAnsi="宋体" w:cs="宋体"/>
                <w:color w:val="auto"/>
                <w:kern w:val="0"/>
                <w:sz w:val="24"/>
                <w:highlight w:val="none"/>
                <w:lang w:val="en-US" w:eastAsia="zh-CN"/>
              </w:rPr>
              <w:t>00</w:t>
            </w:r>
            <w:r>
              <w:rPr>
                <w:rFonts w:ascii="宋体" w:hAnsi="宋体" w:cs="宋体"/>
                <w:color w:val="auto"/>
                <w:kern w:val="0"/>
                <w:sz w:val="24"/>
                <w:highlight w:val="none"/>
              </w:rPr>
              <w:t>00</w:t>
            </w:r>
            <w:r>
              <w:rPr>
                <w:rFonts w:hint="eastAsia" w:ascii="宋体" w:hAnsi="宋体" w:cs="宋体"/>
                <w:color w:val="auto"/>
                <w:kern w:val="0"/>
                <w:sz w:val="24"/>
                <w:highlight w:val="none"/>
              </w:rPr>
              <w:t>元</w:t>
            </w:r>
          </w:p>
          <w:p w14:paraId="1EED2991">
            <w:pPr>
              <w:spacing w:line="360" w:lineRule="auto"/>
              <w:jc w:val="left"/>
              <w:rPr>
                <w:rFonts w:ascii="宋体" w:hAnsi="宋体" w:cs="宋体"/>
                <w:color w:val="auto"/>
                <w:sz w:val="24"/>
                <w:highlight w:val="none"/>
              </w:rPr>
            </w:pPr>
            <w:r>
              <w:rPr>
                <w:rFonts w:hint="eastAsia" w:ascii="宋体" w:hAnsi="宋体" w:cs="宋体"/>
                <w:color w:val="auto"/>
                <w:sz w:val="24"/>
                <w:highlight w:val="none"/>
              </w:rPr>
              <w:t>保证金专用银行账号：</w:t>
            </w:r>
          </w:p>
          <w:p w14:paraId="174285EC">
            <w:pPr>
              <w:spacing w:line="360" w:lineRule="auto"/>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开户</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lang w:eastAsia="zh-CN"/>
              </w:rPr>
              <w:t>广西众鑫工程项目管理有限公司</w:t>
            </w:r>
          </w:p>
          <w:p w14:paraId="4A6AA79F">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银行账号：45050160455000001621</w:t>
            </w:r>
          </w:p>
          <w:p w14:paraId="6F393459">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开户银行：中国建设银行股份有限公司南宁桃源支行</w:t>
            </w:r>
          </w:p>
          <w:p w14:paraId="4C3CA695">
            <w:pPr>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谈判保证金的交纳方式：</w:t>
            </w:r>
            <w:r>
              <w:rPr>
                <w:rFonts w:hint="eastAsia" w:ascii="宋体" w:hAnsi="宋体" w:cs="宋体"/>
                <w:color w:val="auto"/>
                <w:sz w:val="24"/>
                <w:highlight w:val="none"/>
              </w:rPr>
              <w:t>银行转账、支票、汇票、本票、保函等非现金方式</w:t>
            </w:r>
            <w:r>
              <w:rPr>
                <w:rFonts w:hint="eastAsia" w:ascii="宋体" w:hAnsi="宋体" w:cs="宋体"/>
                <w:color w:val="auto"/>
                <w:kern w:val="0"/>
                <w:sz w:val="24"/>
                <w:highlight w:val="none"/>
              </w:rPr>
              <w:t>，禁止采用现钞方式。采用银行转账方式的，在响应文件提交截止时间前交至指定账户并且到账；采用支票、汇票、本票或者保函方式的，在响应文件提交截止时间前，供应商必须提交支票、汇票、本票或者保函原件。否则视为无效谈判保证金。</w:t>
            </w:r>
          </w:p>
          <w:p w14:paraId="4DCF7406">
            <w:pPr>
              <w:snapToGrid w:val="0"/>
              <w:spacing w:line="500" w:lineRule="exact"/>
              <w:rPr>
                <w:rFonts w:ascii="宋体" w:hAnsi="宋体" w:cs="宋体"/>
                <w:color w:val="auto"/>
                <w:sz w:val="24"/>
                <w:highlight w:val="none"/>
              </w:rPr>
            </w:pPr>
            <w:r>
              <w:rPr>
                <w:rFonts w:hint="eastAsia" w:ascii="宋体" w:hAnsi="宋体" w:cs="宋体"/>
                <w:color w:val="auto"/>
                <w:sz w:val="24"/>
                <w:highlight w:val="none"/>
              </w:rPr>
              <w:t>相关要求：</w:t>
            </w:r>
          </w:p>
          <w:p w14:paraId="2AA2F87A">
            <w:pPr>
              <w:snapToGrid w:val="0"/>
              <w:spacing w:line="500" w:lineRule="exact"/>
              <w:rPr>
                <w:rFonts w:ascii="宋体" w:hAnsi="宋体" w:cs="宋体"/>
                <w:color w:val="auto"/>
                <w:sz w:val="24"/>
                <w:highlight w:val="none"/>
              </w:rPr>
            </w:pPr>
            <w:r>
              <w:rPr>
                <w:rFonts w:hint="eastAsia" w:ascii="宋体" w:hAnsi="宋体" w:cs="宋体"/>
                <w:color w:val="auto"/>
                <w:sz w:val="24"/>
                <w:highlight w:val="none"/>
              </w:rPr>
              <w:t>1.谈判保证金采用银行转账交纳方式的，在响应文件提交截止时间前交至指定账户并且到账，供应商应将银行转账底单的复印件作为谈判保证金提交凭证，放置于报价商务技术文件中，</w:t>
            </w:r>
            <w:r>
              <w:rPr>
                <w:rFonts w:hint="eastAsia" w:ascii="宋体" w:hAnsi="宋体" w:cs="宋体"/>
                <w:b/>
                <w:color w:val="auto"/>
                <w:sz w:val="24"/>
                <w:highlight w:val="none"/>
              </w:rPr>
              <w:t>否则响应文件按无效响应处理</w:t>
            </w:r>
            <w:r>
              <w:rPr>
                <w:rFonts w:hint="eastAsia" w:ascii="宋体" w:hAnsi="宋体" w:cs="宋体"/>
                <w:color w:val="auto"/>
                <w:sz w:val="24"/>
                <w:highlight w:val="none"/>
              </w:rPr>
              <w:t>。</w:t>
            </w:r>
          </w:p>
          <w:p w14:paraId="4923222F">
            <w:pPr>
              <w:snapToGrid w:val="0"/>
              <w:spacing w:line="500" w:lineRule="exact"/>
              <w:rPr>
                <w:rFonts w:ascii="宋体" w:hAnsi="宋体" w:cs="宋体"/>
                <w:b/>
                <w:color w:val="auto"/>
                <w:sz w:val="24"/>
                <w:highlight w:val="none"/>
              </w:rPr>
            </w:pPr>
            <w:r>
              <w:rPr>
                <w:rFonts w:hint="eastAsia" w:ascii="宋体" w:hAnsi="宋体" w:cs="宋体"/>
                <w:color w:val="auto"/>
                <w:sz w:val="24"/>
                <w:highlight w:val="none"/>
              </w:rPr>
              <w:t>2.谈判保证金采用</w:t>
            </w:r>
            <w:r>
              <w:rPr>
                <w:rFonts w:hint="eastAsia" w:ascii="宋体" w:hAnsi="宋体" w:cs="宋体"/>
                <w:color w:val="auto"/>
                <w:kern w:val="0"/>
                <w:sz w:val="24"/>
                <w:highlight w:val="none"/>
              </w:rPr>
              <w:t>支票、汇票、本票或者</w:t>
            </w:r>
            <w:r>
              <w:rPr>
                <w:rFonts w:hint="eastAsia" w:ascii="宋体" w:hAnsi="宋体" w:cs="宋体"/>
                <w:color w:val="auto"/>
                <w:sz w:val="24"/>
                <w:highlight w:val="none"/>
              </w:rPr>
              <w:t>保函交纳方式的，供应商应将</w:t>
            </w:r>
            <w:r>
              <w:rPr>
                <w:rFonts w:hint="eastAsia" w:ascii="宋体" w:hAnsi="宋体" w:cs="宋体"/>
                <w:color w:val="auto"/>
                <w:kern w:val="0"/>
                <w:sz w:val="24"/>
                <w:highlight w:val="none"/>
              </w:rPr>
              <w:t>支票、汇票、本票或者</w:t>
            </w:r>
            <w:r>
              <w:rPr>
                <w:rFonts w:hint="eastAsia" w:ascii="宋体" w:hAnsi="宋体" w:cs="宋体"/>
                <w:color w:val="auto"/>
                <w:sz w:val="24"/>
                <w:highlight w:val="none"/>
              </w:rPr>
              <w:t>保函的复印件作为谈判保证金提交凭证，放置于报价商务技术文件中，</w:t>
            </w:r>
            <w:r>
              <w:rPr>
                <w:rFonts w:hint="eastAsia" w:ascii="宋体" w:hAnsi="宋体" w:cs="宋体"/>
                <w:b/>
                <w:color w:val="auto"/>
                <w:sz w:val="24"/>
                <w:highlight w:val="none"/>
              </w:rPr>
              <w:t>否则响应文件按无效响应处理</w:t>
            </w:r>
            <w:r>
              <w:rPr>
                <w:rFonts w:hint="eastAsia" w:ascii="宋体" w:hAnsi="宋体" w:cs="宋体"/>
                <w:color w:val="auto"/>
                <w:sz w:val="24"/>
                <w:highlight w:val="none"/>
              </w:rPr>
              <w:t>。</w:t>
            </w:r>
            <w:r>
              <w:rPr>
                <w:rFonts w:hint="eastAsia" w:ascii="宋体" w:hAnsi="宋体" w:cs="宋体"/>
                <w:b/>
                <w:color w:val="auto"/>
                <w:sz w:val="24"/>
                <w:highlight w:val="none"/>
              </w:rPr>
              <w:t>供应商必须在首次响应文件提交截止时间前将</w:t>
            </w:r>
            <w:r>
              <w:rPr>
                <w:rFonts w:hint="eastAsia" w:ascii="宋体" w:hAnsi="宋体" w:cs="宋体"/>
                <w:color w:val="auto"/>
                <w:kern w:val="0"/>
                <w:sz w:val="24"/>
                <w:highlight w:val="none"/>
              </w:rPr>
              <w:t>支票、汇票、本票或者</w:t>
            </w:r>
            <w:r>
              <w:rPr>
                <w:rFonts w:hint="eastAsia" w:ascii="宋体" w:hAnsi="宋体" w:cs="宋体"/>
                <w:b/>
                <w:color w:val="auto"/>
                <w:sz w:val="24"/>
                <w:highlight w:val="none"/>
              </w:rPr>
              <w:t>保函原件提交给采购代理机构，由采购代理机构向供应商出具回执，并妥善保管。</w:t>
            </w:r>
          </w:p>
          <w:p w14:paraId="63E331F3">
            <w:pPr>
              <w:snapToGrid w:val="0"/>
              <w:spacing w:line="500" w:lineRule="exact"/>
              <w:rPr>
                <w:rFonts w:ascii="宋体" w:hAnsi="宋体" w:cs="宋体"/>
                <w:color w:val="auto"/>
                <w:sz w:val="24"/>
                <w:highlight w:val="none"/>
              </w:rPr>
            </w:pPr>
            <w:r>
              <w:rPr>
                <w:rFonts w:hint="eastAsia" w:ascii="宋体" w:hAnsi="宋体" w:cs="宋体"/>
                <w:color w:val="auto"/>
                <w:sz w:val="24"/>
                <w:highlight w:val="none"/>
              </w:rPr>
              <w:t>3.供应商为联合体的，可以由联合体中的一方或者多方共同交纳谈判保证金，其交纳的保证金对联合体各方均具有约束力。</w:t>
            </w:r>
          </w:p>
          <w:p w14:paraId="05B42585">
            <w:pPr>
              <w:snapToGrid w:val="0"/>
              <w:spacing w:line="500" w:lineRule="exact"/>
              <w:rPr>
                <w:rFonts w:ascii="楷体" w:hAnsi="楷体" w:eastAsia="楷体" w:cs="宋体"/>
                <w:color w:val="auto"/>
                <w:sz w:val="24"/>
                <w:highlight w:val="none"/>
              </w:rPr>
            </w:pPr>
            <w:r>
              <w:rPr>
                <w:rFonts w:hint="eastAsia" w:ascii="楷体" w:hAnsi="楷体" w:eastAsia="楷体" w:cs="宋体"/>
                <w:b/>
                <w:color w:val="auto"/>
                <w:sz w:val="24"/>
                <w:highlight w:val="none"/>
              </w:rPr>
              <w:t>【备注】</w:t>
            </w:r>
            <w:r>
              <w:rPr>
                <w:rFonts w:ascii="楷体" w:hAnsi="楷体" w:eastAsia="楷体" w:cs="宋体"/>
                <w:color w:val="auto"/>
                <w:sz w:val="24"/>
                <w:highlight w:val="none"/>
              </w:rPr>
              <w:t>1.</w:t>
            </w:r>
            <w:r>
              <w:rPr>
                <w:rFonts w:hint="eastAsia" w:ascii="楷体" w:hAnsi="楷体" w:eastAsia="楷体" w:cs="宋体"/>
                <w:color w:val="auto"/>
                <w:sz w:val="24"/>
                <w:highlight w:val="none"/>
              </w:rPr>
              <w:t>首次响应文件提交截止时间后提交的，或者未足额交纳的，或者保函额度不足的，</w:t>
            </w:r>
            <w:r>
              <w:rPr>
                <w:rFonts w:hint="eastAsia" w:ascii="楷体" w:hAnsi="楷体" w:eastAsia="楷体" w:cs="宋体"/>
                <w:b/>
                <w:color w:val="auto"/>
                <w:sz w:val="24"/>
                <w:highlight w:val="none"/>
              </w:rPr>
              <w:t>视为无效谈判保证金</w:t>
            </w:r>
            <w:r>
              <w:rPr>
                <w:rFonts w:hint="eastAsia" w:ascii="楷体" w:hAnsi="楷体" w:eastAsia="楷体" w:cs="宋体"/>
                <w:color w:val="auto"/>
                <w:sz w:val="24"/>
                <w:highlight w:val="none"/>
              </w:rPr>
              <w:t>。</w:t>
            </w:r>
          </w:p>
          <w:p w14:paraId="6B101317">
            <w:pPr>
              <w:snapToGrid w:val="0"/>
              <w:spacing w:line="500" w:lineRule="exact"/>
              <w:rPr>
                <w:rFonts w:ascii="楷体" w:hAnsi="楷体" w:eastAsia="楷体" w:cs="宋体"/>
                <w:color w:val="auto"/>
                <w:sz w:val="24"/>
                <w:highlight w:val="none"/>
              </w:rPr>
            </w:pPr>
            <w:r>
              <w:rPr>
                <w:rFonts w:ascii="楷体" w:hAnsi="楷体" w:eastAsia="楷体" w:cs="宋体"/>
                <w:color w:val="auto"/>
                <w:sz w:val="24"/>
                <w:highlight w:val="none"/>
              </w:rPr>
              <w:t>2.供应商采用现钞方式或者从个人账户（自然人</w:t>
            </w:r>
            <w:r>
              <w:rPr>
                <w:rFonts w:hint="eastAsia" w:ascii="楷体" w:hAnsi="楷体" w:eastAsia="楷体" w:cs="宋体"/>
                <w:color w:val="auto"/>
                <w:sz w:val="24"/>
                <w:highlight w:val="none"/>
              </w:rPr>
              <w:t>参与竞争性谈判</w:t>
            </w:r>
            <w:r>
              <w:rPr>
                <w:rFonts w:ascii="楷体" w:hAnsi="楷体" w:eastAsia="楷体" w:cs="宋体"/>
                <w:color w:val="auto"/>
                <w:sz w:val="24"/>
                <w:highlight w:val="none"/>
              </w:rPr>
              <w:t>除外）转出的</w:t>
            </w:r>
            <w:r>
              <w:rPr>
                <w:rFonts w:hint="eastAsia" w:ascii="楷体" w:hAnsi="楷体" w:eastAsia="楷体" w:cs="宋体"/>
                <w:color w:val="auto"/>
                <w:sz w:val="24"/>
                <w:highlight w:val="none"/>
              </w:rPr>
              <w:t>谈判</w:t>
            </w:r>
            <w:r>
              <w:rPr>
                <w:rFonts w:ascii="楷体" w:hAnsi="楷体" w:eastAsia="楷体" w:cs="宋体"/>
                <w:color w:val="auto"/>
                <w:sz w:val="24"/>
                <w:highlight w:val="none"/>
              </w:rPr>
              <w:t>保证金，</w:t>
            </w:r>
            <w:r>
              <w:rPr>
                <w:rFonts w:ascii="楷体" w:hAnsi="楷体" w:eastAsia="楷体" w:cs="宋体"/>
                <w:b/>
                <w:color w:val="auto"/>
                <w:sz w:val="24"/>
                <w:highlight w:val="none"/>
              </w:rPr>
              <w:t>视为无效</w:t>
            </w:r>
            <w:r>
              <w:rPr>
                <w:rFonts w:hint="eastAsia" w:ascii="楷体" w:hAnsi="楷体" w:eastAsia="楷体" w:cs="宋体"/>
                <w:b/>
                <w:color w:val="auto"/>
                <w:sz w:val="24"/>
                <w:highlight w:val="none"/>
              </w:rPr>
              <w:t>谈判</w:t>
            </w:r>
            <w:r>
              <w:rPr>
                <w:rFonts w:ascii="楷体" w:hAnsi="楷体" w:eastAsia="楷体" w:cs="宋体"/>
                <w:b/>
                <w:color w:val="auto"/>
                <w:sz w:val="24"/>
                <w:highlight w:val="none"/>
              </w:rPr>
              <w:t>保证金</w:t>
            </w:r>
            <w:r>
              <w:rPr>
                <w:rFonts w:ascii="楷体" w:hAnsi="楷体" w:eastAsia="楷体" w:cs="宋体"/>
                <w:color w:val="auto"/>
                <w:sz w:val="24"/>
                <w:highlight w:val="none"/>
              </w:rPr>
              <w:t>。</w:t>
            </w:r>
          </w:p>
          <w:p w14:paraId="62B946E6">
            <w:pPr>
              <w:snapToGrid w:val="0"/>
              <w:spacing w:line="500" w:lineRule="exact"/>
              <w:rPr>
                <w:rFonts w:ascii="楷体" w:hAnsi="楷体" w:eastAsia="楷体" w:cs="宋体"/>
                <w:color w:val="auto"/>
                <w:sz w:val="24"/>
                <w:highlight w:val="none"/>
              </w:rPr>
            </w:pPr>
            <w:r>
              <w:rPr>
                <w:rFonts w:ascii="楷体" w:hAnsi="楷体" w:eastAsia="楷体" w:cs="宋体"/>
                <w:color w:val="auto"/>
                <w:sz w:val="24"/>
                <w:highlight w:val="none"/>
              </w:rPr>
              <w:t>3.保函有效期</w:t>
            </w:r>
            <w:r>
              <w:rPr>
                <w:rFonts w:hint="eastAsia" w:ascii="楷体" w:hAnsi="楷体" w:eastAsia="楷体" w:cs="宋体"/>
                <w:color w:val="auto"/>
                <w:sz w:val="24"/>
                <w:highlight w:val="none"/>
              </w:rPr>
              <w:t>短</w:t>
            </w:r>
            <w:r>
              <w:rPr>
                <w:rFonts w:ascii="楷体" w:hAnsi="楷体" w:eastAsia="楷体" w:cs="宋体"/>
                <w:color w:val="auto"/>
                <w:sz w:val="24"/>
                <w:highlight w:val="none"/>
              </w:rPr>
              <w:t>于</w:t>
            </w:r>
            <w:r>
              <w:rPr>
                <w:rFonts w:hint="eastAsia" w:ascii="楷体" w:hAnsi="楷体" w:eastAsia="楷体" w:cs="宋体"/>
                <w:color w:val="auto"/>
                <w:sz w:val="24"/>
                <w:highlight w:val="none"/>
              </w:rPr>
              <w:t>竞争性谈判</w:t>
            </w:r>
            <w:r>
              <w:rPr>
                <w:rFonts w:ascii="楷体" w:hAnsi="楷体" w:eastAsia="楷体" w:cs="宋体"/>
                <w:color w:val="auto"/>
                <w:sz w:val="24"/>
                <w:highlight w:val="none"/>
              </w:rPr>
              <w:t>有效期的，</w:t>
            </w:r>
            <w:r>
              <w:rPr>
                <w:rFonts w:ascii="楷体" w:hAnsi="楷体" w:eastAsia="楷体" w:cs="宋体"/>
                <w:b/>
                <w:color w:val="auto"/>
                <w:sz w:val="24"/>
                <w:highlight w:val="none"/>
              </w:rPr>
              <w:t>视为无效</w:t>
            </w:r>
            <w:r>
              <w:rPr>
                <w:rFonts w:hint="eastAsia" w:ascii="楷体" w:hAnsi="楷体" w:eastAsia="楷体" w:cs="宋体"/>
                <w:b/>
                <w:color w:val="auto"/>
                <w:sz w:val="24"/>
                <w:highlight w:val="none"/>
              </w:rPr>
              <w:t>谈判</w:t>
            </w:r>
            <w:r>
              <w:rPr>
                <w:rFonts w:ascii="楷体" w:hAnsi="楷体" w:eastAsia="楷体" w:cs="宋体"/>
                <w:b/>
                <w:color w:val="auto"/>
                <w:sz w:val="24"/>
                <w:highlight w:val="none"/>
              </w:rPr>
              <w:t>保证金</w:t>
            </w:r>
            <w:r>
              <w:rPr>
                <w:rFonts w:ascii="楷体" w:hAnsi="楷体" w:eastAsia="楷体" w:cs="宋体"/>
                <w:color w:val="auto"/>
                <w:sz w:val="24"/>
                <w:highlight w:val="none"/>
              </w:rPr>
              <w:t>。</w:t>
            </w:r>
          </w:p>
          <w:p w14:paraId="78E1D4F8">
            <w:pPr>
              <w:snapToGrid w:val="0"/>
              <w:spacing w:line="500" w:lineRule="exact"/>
              <w:rPr>
                <w:rFonts w:ascii="宋体" w:hAnsi="宋体" w:cs="宋体"/>
                <w:color w:val="auto"/>
                <w:sz w:val="24"/>
                <w:highlight w:val="none"/>
              </w:rPr>
            </w:pPr>
            <w:r>
              <w:rPr>
                <w:rFonts w:ascii="楷体" w:hAnsi="楷体" w:eastAsia="楷体" w:cs="宋体"/>
                <w:color w:val="auto"/>
                <w:sz w:val="24"/>
                <w:highlight w:val="none"/>
              </w:rPr>
              <w:t>4.</w:t>
            </w:r>
            <w:r>
              <w:rPr>
                <w:rFonts w:hint="eastAsia" w:ascii="楷体" w:hAnsi="楷体" w:eastAsia="楷体" w:cs="宋体"/>
                <w:color w:val="auto"/>
                <w:sz w:val="24"/>
                <w:highlight w:val="none"/>
              </w:rPr>
              <w:t>谈判</w:t>
            </w:r>
            <w:r>
              <w:rPr>
                <w:rFonts w:ascii="楷体" w:hAnsi="楷体" w:eastAsia="楷体" w:cs="宋体"/>
                <w:color w:val="auto"/>
                <w:sz w:val="24"/>
                <w:highlight w:val="none"/>
              </w:rPr>
              <w:t>保证金采用保函为有条件保函的，</w:t>
            </w:r>
            <w:r>
              <w:rPr>
                <w:rFonts w:ascii="楷体" w:hAnsi="楷体" w:eastAsia="楷体" w:cs="宋体"/>
                <w:b/>
                <w:color w:val="auto"/>
                <w:sz w:val="24"/>
                <w:highlight w:val="none"/>
              </w:rPr>
              <w:t>视为无效</w:t>
            </w:r>
            <w:r>
              <w:rPr>
                <w:rFonts w:hint="eastAsia" w:ascii="楷体" w:hAnsi="楷体" w:eastAsia="楷体" w:cs="宋体"/>
                <w:b/>
                <w:color w:val="auto"/>
                <w:sz w:val="24"/>
                <w:highlight w:val="none"/>
              </w:rPr>
              <w:t>谈判</w:t>
            </w:r>
            <w:r>
              <w:rPr>
                <w:rFonts w:ascii="楷体" w:hAnsi="楷体" w:eastAsia="楷体" w:cs="宋体"/>
                <w:b/>
                <w:color w:val="auto"/>
                <w:sz w:val="24"/>
                <w:highlight w:val="none"/>
              </w:rPr>
              <w:t>保证金</w:t>
            </w:r>
            <w:r>
              <w:rPr>
                <w:rFonts w:ascii="楷体" w:hAnsi="楷体" w:eastAsia="楷体" w:cs="宋体"/>
                <w:color w:val="auto"/>
                <w:sz w:val="24"/>
                <w:highlight w:val="none"/>
              </w:rPr>
              <w:t>。</w:t>
            </w:r>
          </w:p>
        </w:tc>
      </w:tr>
      <w:tr w14:paraId="0D425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991" w:type="dxa"/>
            <w:vAlign w:val="center"/>
          </w:tcPr>
          <w:p w14:paraId="3DF384D6">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18.2</w:t>
            </w:r>
          </w:p>
        </w:tc>
        <w:tc>
          <w:tcPr>
            <w:tcW w:w="8181" w:type="dxa"/>
            <w:vAlign w:val="center"/>
          </w:tcPr>
          <w:p w14:paraId="423BDAB6">
            <w:pPr>
              <w:spacing w:line="500" w:lineRule="exact"/>
              <w:rPr>
                <w:rFonts w:ascii="宋体" w:hAnsi="宋体" w:cs="宋体"/>
                <w:color w:val="auto"/>
                <w:sz w:val="24"/>
                <w:highlight w:val="none"/>
              </w:rPr>
            </w:pPr>
            <w:r>
              <w:rPr>
                <w:rFonts w:hint="eastAsia" w:ascii="宋体" w:hAnsi="宋体" w:cs="宋体"/>
                <w:color w:val="auto"/>
                <w:sz w:val="24"/>
                <w:highlight w:val="none"/>
              </w:rPr>
              <w:t>响应文件应按资格证明文件、报价商务技术文件分别编制，</w:t>
            </w:r>
            <w:r>
              <w:rPr>
                <w:rFonts w:hint="eastAsia" w:ascii="宋体" w:hAnsi="宋体" w:cs="宋体"/>
                <w:color w:val="auto"/>
                <w:sz w:val="24"/>
                <w:highlight w:val="none"/>
                <w:lang w:bidi="ar"/>
              </w:rPr>
              <w:t>并按广西政府采购云平台的要求编制、加密、上传。</w:t>
            </w:r>
          </w:p>
        </w:tc>
      </w:tr>
      <w:tr w14:paraId="114A6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991" w:type="dxa"/>
            <w:vAlign w:val="center"/>
          </w:tcPr>
          <w:p w14:paraId="443236F8">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20.1</w:t>
            </w:r>
          </w:p>
        </w:tc>
        <w:tc>
          <w:tcPr>
            <w:tcW w:w="8181" w:type="dxa"/>
            <w:vAlign w:val="center"/>
          </w:tcPr>
          <w:p w14:paraId="5573A454">
            <w:pPr>
              <w:spacing w:line="500" w:lineRule="exact"/>
              <w:contextualSpacing/>
              <w:rPr>
                <w:rFonts w:ascii="宋体" w:hAnsi="宋体" w:cs="宋体"/>
                <w:color w:val="auto"/>
                <w:sz w:val="24"/>
                <w:highlight w:val="none"/>
                <w:u w:val="single"/>
              </w:rPr>
            </w:pPr>
            <w:r>
              <w:rPr>
                <w:rFonts w:hint="eastAsia" w:ascii="宋体" w:hAnsi="宋体" w:cs="宋体"/>
                <w:color w:val="auto"/>
                <w:sz w:val="24"/>
                <w:highlight w:val="none"/>
              </w:rPr>
              <w:t>首次响应文件提交截止时间：详见竞争性谈判公告。</w:t>
            </w:r>
          </w:p>
          <w:p w14:paraId="50741B5B">
            <w:pPr>
              <w:spacing w:line="500" w:lineRule="exact"/>
              <w:contextualSpacing/>
              <w:rPr>
                <w:rFonts w:ascii="宋体" w:hAnsi="宋体" w:cs="宋体"/>
                <w:color w:val="auto"/>
                <w:sz w:val="24"/>
                <w:highlight w:val="none"/>
              </w:rPr>
            </w:pPr>
            <w:r>
              <w:rPr>
                <w:rFonts w:hint="eastAsia" w:ascii="宋体" w:hAnsi="宋体" w:cs="宋体"/>
                <w:color w:val="auto"/>
                <w:sz w:val="24"/>
                <w:highlight w:val="none"/>
              </w:rPr>
              <w:t>首次响应文件提交地点：详见竞争性谈判公告。</w:t>
            </w:r>
          </w:p>
        </w:tc>
      </w:tr>
      <w:tr w14:paraId="308EC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991" w:type="dxa"/>
            <w:vAlign w:val="center"/>
          </w:tcPr>
          <w:p w14:paraId="6D7923C1">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24.1</w:t>
            </w:r>
          </w:p>
        </w:tc>
        <w:tc>
          <w:tcPr>
            <w:tcW w:w="8181" w:type="dxa"/>
            <w:vAlign w:val="center"/>
          </w:tcPr>
          <w:p w14:paraId="5B5D97A0">
            <w:pPr>
              <w:snapToGrid w:val="0"/>
              <w:spacing w:line="500" w:lineRule="exact"/>
              <w:rPr>
                <w:rFonts w:ascii="宋体" w:hAnsi="宋体" w:cs="宋体"/>
                <w:color w:val="auto"/>
                <w:sz w:val="24"/>
                <w:highlight w:val="none"/>
                <w:u w:val="single"/>
              </w:rPr>
            </w:pPr>
            <w:r>
              <w:rPr>
                <w:rFonts w:hint="eastAsia" w:ascii="宋体" w:hAnsi="宋体" w:cs="宋体"/>
                <w:color w:val="auto"/>
                <w:sz w:val="24"/>
                <w:highlight w:val="none"/>
              </w:rPr>
              <w:t>谈判小组的人数：3人或以上单数。</w:t>
            </w:r>
          </w:p>
        </w:tc>
      </w:tr>
      <w:tr w14:paraId="08654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3" w:hRule="atLeast"/>
          <w:jc w:val="center"/>
        </w:trPr>
        <w:tc>
          <w:tcPr>
            <w:tcW w:w="991" w:type="dxa"/>
            <w:vAlign w:val="center"/>
          </w:tcPr>
          <w:p w14:paraId="6F75ED65">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25.2</w:t>
            </w:r>
          </w:p>
        </w:tc>
        <w:tc>
          <w:tcPr>
            <w:tcW w:w="8181" w:type="dxa"/>
            <w:vAlign w:val="center"/>
          </w:tcPr>
          <w:p w14:paraId="1A213E72">
            <w:pPr>
              <w:snapToGrid w:val="0"/>
              <w:spacing w:line="500" w:lineRule="exact"/>
              <w:rPr>
                <w:rFonts w:ascii="宋体" w:hAnsi="宋体" w:cs="宋体"/>
                <w:color w:val="auto"/>
                <w:sz w:val="24"/>
                <w:highlight w:val="none"/>
              </w:rPr>
            </w:pPr>
            <w:r>
              <w:rPr>
                <w:rFonts w:hint="eastAsia" w:ascii="宋体" w:hAnsi="宋体" w:cs="宋体"/>
                <w:color w:val="auto"/>
                <w:sz w:val="24"/>
                <w:highlight w:val="none"/>
              </w:rPr>
              <w:t>采购代理机构将依托电子交易平台发起开始解密指令，</w:t>
            </w:r>
            <w:r>
              <w:rPr>
                <w:rFonts w:hint="eastAsia" w:ascii="宋体" w:hAnsi="宋体" w:cs="宋体"/>
                <w:b/>
                <w:color w:val="auto"/>
                <w:sz w:val="24"/>
                <w:highlight w:val="none"/>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cs="宋体"/>
                <w:b/>
                <w:bCs/>
                <w:color w:val="auto"/>
                <w:sz w:val="24"/>
                <w:highlight w:val="none"/>
              </w:rPr>
              <w:t>响应文件未按时解密的，视为响应文件无效。</w:t>
            </w:r>
          </w:p>
        </w:tc>
      </w:tr>
      <w:tr w14:paraId="74F84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991" w:type="dxa"/>
            <w:vMerge w:val="restart"/>
            <w:vAlign w:val="center"/>
          </w:tcPr>
          <w:p w14:paraId="315C94D4">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26</w:t>
            </w:r>
          </w:p>
        </w:tc>
        <w:tc>
          <w:tcPr>
            <w:tcW w:w="8181" w:type="dxa"/>
            <w:vAlign w:val="center"/>
          </w:tcPr>
          <w:p w14:paraId="47C65FDB">
            <w:pPr>
              <w:snapToGrid w:val="0"/>
              <w:spacing w:line="500" w:lineRule="exact"/>
              <w:rPr>
                <w:color w:val="auto"/>
                <w:sz w:val="24"/>
                <w:highlight w:val="none"/>
              </w:rPr>
            </w:pPr>
            <w:r>
              <w:rPr>
                <w:rFonts w:hint="eastAsia"/>
                <w:color w:val="auto"/>
                <w:sz w:val="24"/>
                <w:highlight w:val="none"/>
              </w:rPr>
              <w:t>商务要求评审中允许负偏离的条款数为0项。</w:t>
            </w:r>
          </w:p>
          <w:p w14:paraId="20584268">
            <w:pPr>
              <w:snapToGrid w:val="0"/>
              <w:spacing w:line="500" w:lineRule="exact"/>
              <w:rPr>
                <w:color w:val="auto"/>
                <w:sz w:val="24"/>
                <w:highlight w:val="none"/>
              </w:rPr>
            </w:pPr>
            <w:r>
              <w:rPr>
                <w:rFonts w:hint="eastAsia"/>
                <w:color w:val="auto"/>
                <w:sz w:val="24"/>
                <w:highlight w:val="none"/>
              </w:rPr>
              <w:t>技术要求评审中允许负偏离的条款数为：</w:t>
            </w:r>
            <w:r>
              <w:rPr>
                <w:rFonts w:hint="eastAsia" w:ascii="宋体" w:hAnsi="宋体" w:cs="宋体"/>
                <w:color w:val="auto"/>
                <w:sz w:val="24"/>
                <w:highlight w:val="none"/>
              </w:rPr>
              <w:t>详见采购文件《第三章采购需求》</w:t>
            </w:r>
            <w:r>
              <w:rPr>
                <w:rFonts w:hint="eastAsia"/>
                <w:color w:val="auto"/>
                <w:sz w:val="24"/>
                <w:highlight w:val="none"/>
              </w:rPr>
              <w:t>。</w:t>
            </w:r>
          </w:p>
        </w:tc>
      </w:tr>
      <w:tr w14:paraId="2A0B4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9" w:hRule="atLeast"/>
          <w:jc w:val="center"/>
        </w:trPr>
        <w:tc>
          <w:tcPr>
            <w:tcW w:w="991" w:type="dxa"/>
            <w:vMerge w:val="continue"/>
            <w:vAlign w:val="center"/>
          </w:tcPr>
          <w:p w14:paraId="74DCB9C4">
            <w:pPr>
              <w:spacing w:line="500" w:lineRule="exact"/>
              <w:jc w:val="center"/>
              <w:rPr>
                <w:rFonts w:ascii="宋体" w:hAnsi="宋体" w:cs="宋体"/>
                <w:color w:val="auto"/>
                <w:sz w:val="24"/>
                <w:highlight w:val="none"/>
              </w:rPr>
            </w:pPr>
          </w:p>
        </w:tc>
        <w:tc>
          <w:tcPr>
            <w:tcW w:w="8181" w:type="dxa"/>
            <w:vAlign w:val="center"/>
          </w:tcPr>
          <w:p w14:paraId="52CF79BB">
            <w:pPr>
              <w:snapToGrid w:val="0"/>
              <w:spacing w:line="500" w:lineRule="exact"/>
              <w:rPr>
                <w:rFonts w:ascii="宋体" w:hAnsi="宋体" w:cs="宋体"/>
                <w:color w:val="auto"/>
                <w:sz w:val="24"/>
                <w:highlight w:val="none"/>
              </w:rPr>
            </w:pPr>
            <w:r>
              <w:rPr>
                <w:rFonts w:hint="eastAsia" w:ascii="宋体" w:hAnsi="宋体" w:cs="宋体"/>
                <w:color w:val="auto"/>
                <w:sz w:val="24"/>
                <w:highlight w:val="none"/>
              </w:rPr>
              <w:t>谈判的顺序：按“广西政府采购云平台”系统的编号顺序。</w:t>
            </w:r>
          </w:p>
          <w:p w14:paraId="7C7DD991">
            <w:pPr>
              <w:snapToGrid w:val="0"/>
              <w:spacing w:line="500" w:lineRule="exact"/>
              <w:rPr>
                <w:rFonts w:ascii="宋体" w:hAnsi="宋体" w:cs="宋体"/>
                <w:b/>
                <w:color w:val="auto"/>
                <w:sz w:val="24"/>
                <w:highlight w:val="none"/>
              </w:rPr>
            </w:pPr>
            <w:r>
              <w:rPr>
                <w:rFonts w:hint="eastAsia" w:ascii="宋体" w:hAnsi="宋体" w:cs="宋体"/>
                <w:b/>
                <w:color w:val="auto"/>
                <w:sz w:val="24"/>
                <w:highlight w:val="none"/>
              </w:rPr>
              <w:t>符合谈判资格的供应商必须在接到谈判通知后规定时间内参加谈判，未在规定时间内参加谈判的视同放弃参加谈判权利，其响应文件按无效响应处理。</w:t>
            </w:r>
          </w:p>
          <w:p w14:paraId="03107954">
            <w:pPr>
              <w:snapToGrid w:val="0"/>
              <w:spacing w:line="500" w:lineRule="exact"/>
              <w:rPr>
                <w:rFonts w:ascii="宋体" w:hAnsi="宋体" w:cs="宋体"/>
                <w:color w:val="auto"/>
                <w:sz w:val="24"/>
                <w:highlight w:val="none"/>
              </w:rPr>
            </w:pPr>
            <w:r>
              <w:rPr>
                <w:rFonts w:hint="eastAsia" w:ascii="宋体" w:hAnsi="宋体" w:cs="宋体"/>
                <w:b/>
                <w:color w:val="auto"/>
                <w:sz w:val="24"/>
                <w:highlight w:val="none"/>
              </w:rPr>
              <w:t>参与谈判前，供应商法定代表人或者委托代理人必须向谈判小组出示本人有效证件原件[有效证件可以是身份证（含临时身份证明）或者护照的其中一项。</w:t>
            </w:r>
          </w:p>
        </w:tc>
      </w:tr>
      <w:tr w14:paraId="0E4B2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991" w:type="dxa"/>
            <w:vMerge w:val="continue"/>
            <w:vAlign w:val="center"/>
          </w:tcPr>
          <w:p w14:paraId="0D28E031">
            <w:pPr>
              <w:spacing w:line="500" w:lineRule="exact"/>
              <w:jc w:val="center"/>
              <w:rPr>
                <w:rFonts w:ascii="宋体" w:hAnsi="宋体" w:cs="宋体"/>
                <w:color w:val="auto"/>
                <w:sz w:val="24"/>
                <w:highlight w:val="none"/>
              </w:rPr>
            </w:pPr>
          </w:p>
        </w:tc>
        <w:tc>
          <w:tcPr>
            <w:tcW w:w="8181" w:type="dxa"/>
            <w:vAlign w:val="center"/>
          </w:tcPr>
          <w:p w14:paraId="22042AB6">
            <w:pPr>
              <w:spacing w:line="500" w:lineRule="exact"/>
              <w:contextualSpacing/>
              <w:rPr>
                <w:rFonts w:ascii="宋体" w:hAnsi="宋体" w:cs="宋体"/>
                <w:color w:val="auto"/>
                <w:sz w:val="24"/>
                <w:highlight w:val="none"/>
              </w:rPr>
            </w:pPr>
            <w:r>
              <w:rPr>
                <w:rFonts w:hint="eastAsia" w:ascii="宋体" w:hAnsi="宋体" w:cs="宋体"/>
                <w:color w:val="auto"/>
                <w:sz w:val="24"/>
                <w:highlight w:val="none"/>
              </w:rPr>
              <w:t>评审价相同时，按照最后报价由低到高顺序依次推荐；最后报价相同的，按以下原则确定成交候选人的顺序：</w:t>
            </w:r>
          </w:p>
          <w:p w14:paraId="3BDB6106">
            <w:pPr>
              <w:spacing w:line="500" w:lineRule="exact"/>
              <w:contextualSpacing/>
              <w:rPr>
                <w:rFonts w:ascii="宋体" w:hAnsi="宋体" w:cs="宋体"/>
                <w:color w:val="auto"/>
                <w:sz w:val="24"/>
                <w:highlight w:val="none"/>
              </w:rPr>
            </w:pPr>
            <w:r>
              <w:rPr>
                <w:rFonts w:hint="eastAsia" w:ascii="宋体" w:hAnsi="宋体" w:eastAsia="宋体" w:cs="宋体"/>
                <w:color w:val="auto"/>
                <w:kern w:val="0"/>
                <w:sz w:val="24"/>
                <w:szCs w:val="24"/>
                <w:highlight w:val="none"/>
              </w:rPr>
              <w:t>☑</w:t>
            </w:r>
            <w:r>
              <w:rPr>
                <w:rFonts w:hint="eastAsia" w:ascii="宋体" w:hAnsi="宋体" w:cs="宋体"/>
                <w:color w:val="auto"/>
                <w:sz w:val="24"/>
                <w:highlight w:val="none"/>
              </w:rPr>
              <w:t>依次按带“▲”的实质性要求正偏离项数多的优先、均无正偏离或者正偏离项数一致时负偏离项数少的优先、质量保证期长优先、交货期短优先、故障响应时间短优先、节能环保产品累计金额多的优先的顺序排列。</w:t>
            </w:r>
          </w:p>
          <w:p w14:paraId="742D70BE">
            <w:pPr>
              <w:spacing w:line="500" w:lineRule="exact"/>
              <w:contextualSpacing/>
              <w:rPr>
                <w:color w:val="auto"/>
                <w:highlight w:val="none"/>
              </w:rPr>
            </w:pPr>
            <w:r>
              <w:rPr>
                <w:rFonts w:hint="eastAsia" w:ascii="Segoe UI Symbol" w:hAnsi="Segoe UI Symbol" w:cs="Segoe UI Symbol"/>
                <w:color w:val="auto"/>
                <w:sz w:val="24"/>
                <w:highlight w:val="none"/>
              </w:rPr>
              <w:t>□由谈判小组推荐代表随机抽取。</w:t>
            </w:r>
          </w:p>
        </w:tc>
      </w:tr>
      <w:tr w14:paraId="4F6B7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991" w:type="dxa"/>
            <w:vAlign w:val="center"/>
          </w:tcPr>
          <w:p w14:paraId="74BE64B6">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28.1</w:t>
            </w:r>
          </w:p>
        </w:tc>
        <w:tc>
          <w:tcPr>
            <w:tcW w:w="8181" w:type="dxa"/>
            <w:vAlign w:val="center"/>
          </w:tcPr>
          <w:p w14:paraId="472A8AA9">
            <w:pPr>
              <w:autoSpaceDE w:val="0"/>
              <w:autoSpaceDN w:val="0"/>
              <w:snapToGrid w:val="0"/>
              <w:spacing w:line="500" w:lineRule="exact"/>
              <w:textAlignment w:val="bottom"/>
              <w:rPr>
                <w:rFonts w:ascii="宋体" w:hAnsi="宋体" w:cs="宋体"/>
                <w:color w:val="auto"/>
                <w:sz w:val="24"/>
                <w:highlight w:val="none"/>
              </w:rPr>
            </w:pPr>
            <w:r>
              <w:rPr>
                <w:rFonts w:hint="eastAsia" w:ascii="宋体" w:hAnsi="宋体" w:cs="宋体"/>
                <w:color w:val="auto"/>
                <w:sz w:val="24"/>
                <w:highlight w:val="none"/>
              </w:rPr>
              <w:sym w:font="Wingdings" w:char="00A8"/>
            </w:r>
            <w:r>
              <w:rPr>
                <w:rFonts w:hint="eastAsia" w:ascii="宋体" w:hAnsi="宋体" w:cs="宋体"/>
                <w:color w:val="auto"/>
                <w:sz w:val="24"/>
                <w:highlight w:val="none"/>
              </w:rPr>
              <w:t>本项目不收取履约保证金。</w:t>
            </w:r>
          </w:p>
          <w:p w14:paraId="06041AB6">
            <w:pPr>
              <w:pStyle w:val="10"/>
              <w:spacing w:line="360" w:lineRule="auto"/>
              <w:rPr>
                <w:rFonts w:ascii="宋体" w:hAnsi="宋体" w:cs="宋体"/>
                <w:color w:val="auto"/>
                <w:sz w:val="24"/>
                <w:highlight w:val="none"/>
              </w:rPr>
            </w:pPr>
            <w:r>
              <w:rPr>
                <w:rFonts w:hint="eastAsia" w:ascii="宋体" w:hAnsi="宋体" w:eastAsia="宋体" w:cs="宋体"/>
                <w:color w:val="auto"/>
                <w:kern w:val="0"/>
                <w:sz w:val="24"/>
                <w:szCs w:val="24"/>
                <w:highlight w:val="none"/>
              </w:rPr>
              <w:t>☑</w:t>
            </w:r>
            <w:r>
              <w:rPr>
                <w:rFonts w:hint="eastAsia" w:ascii="宋体" w:hAnsi="宋体" w:cs="宋体"/>
                <w:color w:val="auto"/>
                <w:sz w:val="24"/>
                <w:highlight w:val="none"/>
              </w:rPr>
              <w:t>本项目收取履约保证金：详见采购文件《第三章采购需求》“商务要求”。</w:t>
            </w:r>
          </w:p>
          <w:p w14:paraId="6A0D69A3">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履约保证金递交方式：详见采购文件《第三章采购需求》“商务要求”。</w:t>
            </w:r>
          </w:p>
          <w:p w14:paraId="463B7E58">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履约保证金退付方式、时间及条件：详见采购文件《第三章采购需求》“商务要求”。</w:t>
            </w:r>
          </w:p>
          <w:p w14:paraId="01CD9608">
            <w:pPr>
              <w:autoSpaceDE w:val="0"/>
              <w:autoSpaceDN w:val="0"/>
              <w:snapToGrid w:val="0"/>
              <w:spacing w:line="360" w:lineRule="auto"/>
              <w:textAlignment w:val="bottom"/>
              <w:rPr>
                <w:rFonts w:ascii="楷体" w:hAnsi="楷体" w:eastAsia="楷体" w:cs="宋体"/>
                <w:b/>
                <w:color w:val="auto"/>
                <w:sz w:val="24"/>
                <w:highlight w:val="none"/>
              </w:rPr>
            </w:pPr>
            <w:r>
              <w:rPr>
                <w:rFonts w:hint="eastAsia" w:ascii="楷体" w:hAnsi="楷体" w:eastAsia="楷体" w:cs="宋体"/>
                <w:b/>
                <w:color w:val="auto"/>
                <w:sz w:val="24"/>
                <w:highlight w:val="none"/>
              </w:rPr>
              <w:t>【备注】</w:t>
            </w:r>
          </w:p>
          <w:p w14:paraId="5C160181">
            <w:pPr>
              <w:autoSpaceDE w:val="0"/>
              <w:autoSpaceDN w:val="0"/>
              <w:snapToGrid w:val="0"/>
              <w:spacing w:line="360" w:lineRule="auto"/>
              <w:textAlignment w:val="bottom"/>
              <w:rPr>
                <w:rFonts w:ascii="楷体" w:hAnsi="楷体" w:eastAsia="楷体" w:cs="宋体"/>
                <w:b/>
                <w:color w:val="auto"/>
                <w:sz w:val="24"/>
                <w:highlight w:val="none"/>
              </w:rPr>
            </w:pPr>
            <w:r>
              <w:rPr>
                <w:rFonts w:ascii="楷体" w:hAnsi="楷体" w:eastAsia="楷体" w:cs="宋体"/>
                <w:b/>
                <w:color w:val="auto"/>
                <w:sz w:val="24"/>
                <w:highlight w:val="none"/>
              </w:rPr>
              <w:t>1.</w:t>
            </w:r>
            <w:r>
              <w:rPr>
                <w:rFonts w:hint="eastAsia" w:ascii="楷体" w:hAnsi="楷体" w:eastAsia="楷体" w:cs="宋体"/>
                <w:b/>
                <w:color w:val="auto"/>
                <w:sz w:val="24"/>
                <w:highlight w:val="none"/>
              </w:rPr>
              <w:t>根据《广西壮族自治区财政厅关于持续优化政府采购营商环境推动高质量发展的通知》（桂财采〔2024〕55号），采购文件要求中标人或者成交供应商提交履约保证金的，履约保证金数额不得超过政府采购合同金额的5%，对中小企业收取的履约保证金数额不得超过政府采购合同金额的2%。</w:t>
            </w:r>
          </w:p>
          <w:p w14:paraId="3A5DFC33">
            <w:pPr>
              <w:autoSpaceDE w:val="0"/>
              <w:autoSpaceDN w:val="0"/>
              <w:snapToGrid w:val="0"/>
              <w:spacing w:line="360" w:lineRule="auto"/>
              <w:textAlignment w:val="bottom"/>
              <w:rPr>
                <w:rFonts w:ascii="楷体" w:hAnsi="楷体" w:eastAsia="楷体" w:cs="宋体"/>
                <w:b/>
                <w:color w:val="auto"/>
                <w:sz w:val="24"/>
                <w:highlight w:val="none"/>
              </w:rPr>
            </w:pPr>
            <w:r>
              <w:rPr>
                <w:rFonts w:hint="eastAsia" w:ascii="楷体" w:hAnsi="楷体" w:eastAsia="楷体" w:cs="宋体"/>
                <w:b/>
                <w:color w:val="auto"/>
                <w:sz w:val="24"/>
                <w:highlight w:val="none"/>
              </w:rPr>
              <w:t>2.履约保证金必须足额缴纳，或出具的保函额度必须足额且保函有效期不能低于合同履行期限（即签订采购合同之日起至履行完合同约定的权利及义务之日止），否则视为无效履约保证金。</w:t>
            </w:r>
          </w:p>
          <w:p w14:paraId="15430CA5">
            <w:pPr>
              <w:autoSpaceDE w:val="0"/>
              <w:autoSpaceDN w:val="0"/>
              <w:snapToGrid w:val="0"/>
              <w:spacing w:line="360" w:lineRule="auto"/>
              <w:textAlignment w:val="bottom"/>
              <w:rPr>
                <w:rFonts w:ascii="楷体" w:hAnsi="楷体" w:eastAsia="楷体" w:cs="宋体"/>
                <w:b/>
                <w:color w:val="auto"/>
                <w:sz w:val="24"/>
                <w:highlight w:val="none"/>
              </w:rPr>
            </w:pPr>
            <w:r>
              <w:rPr>
                <w:rFonts w:hint="eastAsia" w:ascii="楷体" w:hAnsi="楷体" w:eastAsia="楷体" w:cs="宋体"/>
                <w:b/>
                <w:color w:val="auto"/>
                <w:sz w:val="24"/>
                <w:highlight w:val="none"/>
              </w:rPr>
              <w:t>3.采用保函的，必须为无条件保函，否则视为无效履约保证金。</w:t>
            </w:r>
          </w:p>
          <w:p w14:paraId="55D45FC9">
            <w:pPr>
              <w:autoSpaceDE w:val="0"/>
              <w:autoSpaceDN w:val="0"/>
              <w:snapToGrid w:val="0"/>
              <w:spacing w:line="360" w:lineRule="auto"/>
              <w:textAlignment w:val="bottom"/>
              <w:rPr>
                <w:rFonts w:ascii="宋体" w:hAnsi="宋体" w:cs="宋体"/>
                <w:color w:val="auto"/>
                <w:sz w:val="24"/>
                <w:highlight w:val="none"/>
              </w:rPr>
            </w:pPr>
            <w:r>
              <w:rPr>
                <w:rFonts w:ascii="楷体" w:hAnsi="楷体" w:eastAsia="楷体" w:cs="宋体"/>
                <w:b/>
                <w:color w:val="auto"/>
                <w:sz w:val="24"/>
                <w:highlight w:val="none"/>
              </w:rPr>
              <w:t>4.供应商为联合体的，由联合体任意一方按规定提交的履约保证金，视为有效履约保证金。</w:t>
            </w:r>
          </w:p>
        </w:tc>
      </w:tr>
      <w:tr w14:paraId="77300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991" w:type="dxa"/>
            <w:vAlign w:val="center"/>
          </w:tcPr>
          <w:p w14:paraId="68D4C018">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29.1</w:t>
            </w:r>
          </w:p>
        </w:tc>
        <w:tc>
          <w:tcPr>
            <w:tcW w:w="8181" w:type="dxa"/>
            <w:vAlign w:val="center"/>
          </w:tcPr>
          <w:p w14:paraId="44DA3AF3">
            <w:pPr>
              <w:autoSpaceDE w:val="0"/>
              <w:autoSpaceDN w:val="0"/>
              <w:snapToGrid w:val="0"/>
              <w:spacing w:line="500" w:lineRule="exact"/>
              <w:textAlignment w:val="bottom"/>
              <w:rPr>
                <w:rFonts w:ascii="宋体" w:hAnsi="宋体" w:cs="宋体"/>
                <w:color w:val="auto"/>
                <w:sz w:val="24"/>
                <w:highlight w:val="none"/>
              </w:rPr>
            </w:pPr>
            <w:r>
              <w:rPr>
                <w:rFonts w:hint="eastAsia" w:ascii="宋体" w:hAnsi="宋体" w:cs="宋体"/>
                <w:color w:val="auto"/>
                <w:sz w:val="24"/>
                <w:highlight w:val="none"/>
              </w:rPr>
              <w:t xml:space="preserve">签订合同携带的证明材料： </w:t>
            </w:r>
          </w:p>
          <w:p w14:paraId="03145B24">
            <w:pPr>
              <w:autoSpaceDE w:val="0"/>
              <w:autoSpaceDN w:val="0"/>
              <w:snapToGrid w:val="0"/>
              <w:spacing w:line="500" w:lineRule="exact"/>
              <w:textAlignment w:val="bottom"/>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w:t>
            </w:r>
            <w:r>
              <w:rPr>
                <w:rFonts w:hint="eastAsia" w:ascii="宋体" w:hAnsi="宋体" w:cs="宋体"/>
                <w:color w:val="auto"/>
                <w:sz w:val="24"/>
                <w:highlight w:val="none"/>
              </w:rPr>
              <w:t>委托代理人负责签订合同的，须携带授权委托书及委托代理人身份证原件等其他资格证件。</w:t>
            </w:r>
          </w:p>
          <w:p w14:paraId="3EF925E8">
            <w:pPr>
              <w:snapToGrid w:val="0"/>
              <w:spacing w:line="500" w:lineRule="exac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法定代表人负责签订合同的，须携带法定代表人身份证明原件及身份证原件等其他证明材料。</w:t>
            </w:r>
          </w:p>
        </w:tc>
      </w:tr>
      <w:tr w14:paraId="35741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91" w:type="dxa"/>
            <w:vAlign w:val="center"/>
          </w:tcPr>
          <w:p w14:paraId="088D6EC7">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31.2</w:t>
            </w:r>
          </w:p>
        </w:tc>
        <w:tc>
          <w:tcPr>
            <w:tcW w:w="8181" w:type="dxa"/>
            <w:vAlign w:val="center"/>
          </w:tcPr>
          <w:p w14:paraId="2E2674B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接收质疑函方式：书面形式或者采购云系统在线形式</w:t>
            </w:r>
          </w:p>
          <w:p w14:paraId="6855F1D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质疑联系部门及联系方式：</w:t>
            </w:r>
            <w:r>
              <w:rPr>
                <w:rFonts w:hint="eastAsia" w:ascii="宋体" w:hAnsi="宋体" w:eastAsia="宋体" w:cs="宋体"/>
                <w:color w:val="auto"/>
                <w:kern w:val="2"/>
                <w:sz w:val="24"/>
                <w:szCs w:val="24"/>
                <w:highlight w:val="none"/>
                <w:u w:val="single"/>
                <w:lang w:eastAsia="zh-CN"/>
              </w:rPr>
              <w:t>广西众鑫工程项目管理有限公司</w:t>
            </w:r>
            <w:r>
              <w:rPr>
                <w:rFonts w:hint="eastAsia" w:ascii="宋体" w:hAnsi="宋体" w:eastAsia="宋体" w:cs="宋体"/>
                <w:color w:val="auto"/>
                <w:sz w:val="24"/>
                <w:szCs w:val="24"/>
                <w:highlight w:val="none"/>
              </w:rPr>
              <w:t>，联系电话：</w:t>
            </w:r>
            <w:r>
              <w:rPr>
                <w:rFonts w:hint="eastAsia" w:ascii="宋体" w:hAnsi="宋体" w:eastAsia="宋体" w:cs="宋体"/>
                <w:color w:val="auto"/>
                <w:kern w:val="2"/>
                <w:sz w:val="24"/>
                <w:szCs w:val="24"/>
                <w:highlight w:val="none"/>
                <w:u w:val="single"/>
              </w:rPr>
              <w:t>0771-5613593</w:t>
            </w:r>
            <w:r>
              <w:rPr>
                <w:rFonts w:hint="eastAsia" w:ascii="宋体" w:hAnsi="宋体" w:eastAsia="宋体" w:cs="宋体"/>
                <w:color w:val="auto"/>
                <w:sz w:val="24"/>
                <w:szCs w:val="24"/>
                <w:highlight w:val="none"/>
              </w:rPr>
              <w:t>，通讯地址：</w:t>
            </w:r>
            <w:r>
              <w:rPr>
                <w:rFonts w:hint="eastAsia" w:ascii="宋体" w:hAnsi="宋体" w:cs="宋体"/>
                <w:color w:val="auto"/>
                <w:kern w:val="2"/>
                <w:sz w:val="24"/>
                <w:szCs w:val="24"/>
                <w:highlight w:val="none"/>
                <w:u w:val="single"/>
                <w:lang w:eastAsia="zh-CN"/>
              </w:rPr>
              <w:t>南宁市青秀区葛村路18号9栋五层（整层）</w:t>
            </w:r>
            <w:r>
              <w:rPr>
                <w:rFonts w:hint="eastAsia" w:ascii="宋体" w:hAnsi="宋体" w:eastAsia="宋体" w:cs="宋体"/>
                <w:bCs/>
                <w:color w:val="auto"/>
                <w:kern w:val="0"/>
                <w:sz w:val="24"/>
                <w:szCs w:val="24"/>
                <w:highlight w:val="none"/>
              </w:rPr>
              <w:t>。</w:t>
            </w:r>
          </w:p>
          <w:p w14:paraId="63BEDEE8">
            <w:pPr>
              <w:autoSpaceDE w:val="0"/>
              <w:autoSpaceDN w:val="0"/>
              <w:snapToGrid w:val="0"/>
              <w:spacing w:line="360"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业务时间：工作日每天上午8时</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0分到12时00分，下午3时00分到6时00分。</w:t>
            </w:r>
          </w:p>
        </w:tc>
      </w:tr>
      <w:tr w14:paraId="320AF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991" w:type="dxa"/>
            <w:vAlign w:val="center"/>
          </w:tcPr>
          <w:p w14:paraId="413B9275">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32.1</w:t>
            </w:r>
          </w:p>
        </w:tc>
        <w:tc>
          <w:tcPr>
            <w:tcW w:w="8181" w:type="dxa"/>
            <w:vAlign w:val="center"/>
          </w:tcPr>
          <w:p w14:paraId="256E6D18">
            <w:pPr>
              <w:pStyle w:val="16"/>
              <w:snapToGrid w:val="0"/>
              <w:spacing w:line="500" w:lineRule="exact"/>
              <w:rPr>
                <w:rFonts w:hAnsi="宋体" w:cs="宋体"/>
                <w:color w:val="auto"/>
                <w:sz w:val="24"/>
                <w:szCs w:val="24"/>
                <w:highlight w:val="none"/>
              </w:rPr>
            </w:pPr>
            <w:r>
              <w:rPr>
                <w:rFonts w:hint="eastAsia" w:hAnsi="宋体" w:cs="宋体"/>
                <w:color w:val="auto"/>
                <w:sz w:val="24"/>
                <w:szCs w:val="24"/>
                <w:highlight w:val="none"/>
              </w:rPr>
              <w:t>1.采购代理服务费支付方式：本项目的采购代理服务费按以下收费标准向成交供应商收取。</w:t>
            </w:r>
          </w:p>
          <w:p w14:paraId="185BFC5A">
            <w:pPr>
              <w:pStyle w:val="16"/>
              <w:snapToGrid w:val="0"/>
              <w:spacing w:line="500" w:lineRule="exact"/>
              <w:rPr>
                <w:rFonts w:hAnsi="宋体" w:cs="宋体"/>
                <w:color w:val="auto"/>
                <w:sz w:val="24"/>
                <w:szCs w:val="24"/>
                <w:highlight w:val="none"/>
              </w:rPr>
            </w:pPr>
            <w:r>
              <w:rPr>
                <w:rFonts w:hint="eastAsia" w:hAnsi="宋体" w:cs="宋体"/>
                <w:color w:val="auto"/>
                <w:sz w:val="24"/>
                <w:szCs w:val="24"/>
                <w:highlight w:val="none"/>
              </w:rPr>
              <w:t>2</w:t>
            </w:r>
            <w:r>
              <w:rPr>
                <w:rFonts w:hint="eastAsia" w:hAnsi="宋体" w:cs="宋体"/>
                <w:bCs/>
                <w:color w:val="auto"/>
                <w:sz w:val="24"/>
                <w:szCs w:val="24"/>
                <w:highlight w:val="none"/>
              </w:rPr>
              <w:t>.</w:t>
            </w:r>
            <w:r>
              <w:rPr>
                <w:rFonts w:hint="eastAsia" w:hAnsi="宋体" w:cs="宋体"/>
                <w:color w:val="auto"/>
                <w:sz w:val="24"/>
                <w:szCs w:val="24"/>
                <w:highlight w:val="none"/>
              </w:rPr>
              <w:t>采购代理服务费收取标准：</w:t>
            </w:r>
          </w:p>
          <w:p w14:paraId="1BECB8E0">
            <w:pPr>
              <w:pStyle w:val="16"/>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☑以分标（☑成交金额/□采购预算/□暂定成交金额/□其他</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）为计费额，按自治区物价局“桂价费[2005]283号、桂价费字[2004]376号”下浮20%收取</w:t>
            </w:r>
            <w:r>
              <w:rPr>
                <w:rFonts w:hint="eastAsia" w:ascii="宋体" w:hAnsi="宋体" w:eastAsia="宋体" w:cs="宋体"/>
                <w:color w:val="auto"/>
                <w:sz w:val="24"/>
                <w:szCs w:val="24"/>
                <w:highlight w:val="none"/>
              </w:rPr>
              <w:t>。</w:t>
            </w:r>
          </w:p>
          <w:p w14:paraId="637D3B58">
            <w:pPr>
              <w:pStyle w:val="16"/>
              <w:snapToGrid w:val="0"/>
              <w:spacing w:line="500" w:lineRule="exact"/>
              <w:rPr>
                <w:rFonts w:hint="eastAsia" w:ascii="宋体" w:hAnsi="宋体" w:eastAsia="宋体" w:cs="宋体"/>
                <w:b/>
                <w:bCs/>
                <w:color w:val="auto"/>
                <w:sz w:val="24"/>
                <w:szCs w:val="24"/>
                <w:highlight w:val="none"/>
              </w:rPr>
            </w:pPr>
            <w:r>
              <w:rPr>
                <w:rFonts w:hint="eastAsia" w:hAnsi="宋体" w:cs="宋体"/>
                <w:b/>
                <w:bCs/>
                <w:color w:val="auto"/>
                <w:sz w:val="24"/>
                <w:szCs w:val="24"/>
                <w:highlight w:val="none"/>
              </w:rPr>
              <w:t>3</w:t>
            </w:r>
            <w:r>
              <w:rPr>
                <w:rFonts w:hint="eastAsia" w:hAnsi="宋体" w:cs="宋体"/>
                <w:bCs/>
                <w:color w:val="auto"/>
                <w:sz w:val="24"/>
                <w:szCs w:val="24"/>
                <w:highlight w:val="none"/>
              </w:rPr>
              <w:t>.</w:t>
            </w:r>
            <w:r>
              <w:rPr>
                <w:rFonts w:hint="eastAsia" w:ascii="宋体" w:hAnsi="宋体" w:eastAsia="宋体" w:cs="宋体"/>
                <w:b/>
                <w:bCs/>
                <w:color w:val="auto"/>
                <w:sz w:val="24"/>
                <w:szCs w:val="24"/>
                <w:highlight w:val="none"/>
              </w:rPr>
              <w:t>采购代理服务费专用银行信息：</w:t>
            </w:r>
          </w:p>
          <w:p w14:paraId="21FE4743">
            <w:pPr>
              <w:pStyle w:val="16"/>
              <w:snapToGrid w:val="0"/>
              <w:spacing w:line="5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开户名称：广西众鑫工程项目管理有限公司 </w:t>
            </w:r>
          </w:p>
          <w:p w14:paraId="152E58D5">
            <w:pPr>
              <w:pStyle w:val="16"/>
              <w:snapToGrid w:val="0"/>
              <w:spacing w:line="5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开户银行：上海浦东发展银行股份有限公司南宁分行营业部</w:t>
            </w:r>
          </w:p>
          <w:p w14:paraId="14F71E39">
            <w:pPr>
              <w:pStyle w:val="16"/>
              <w:snapToGrid w:val="0"/>
              <w:spacing w:line="500" w:lineRule="exact"/>
              <w:rPr>
                <w:rFonts w:hAnsi="宋体" w:cs="宋体"/>
                <w:color w:val="auto"/>
                <w:sz w:val="24"/>
                <w:szCs w:val="24"/>
                <w:highlight w:val="none"/>
                <w:u w:val="single"/>
              </w:rPr>
            </w:pPr>
            <w:r>
              <w:rPr>
                <w:rFonts w:hint="eastAsia" w:ascii="宋体" w:hAnsi="宋体" w:eastAsia="宋体" w:cs="宋体"/>
                <w:b/>
                <w:bCs/>
                <w:color w:val="auto"/>
                <w:sz w:val="24"/>
                <w:szCs w:val="24"/>
                <w:highlight w:val="none"/>
              </w:rPr>
              <w:t>银行账号：6301 0078 8019 0000 3313</w:t>
            </w:r>
          </w:p>
        </w:tc>
      </w:tr>
      <w:tr w14:paraId="4F530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991" w:type="dxa"/>
            <w:vAlign w:val="center"/>
          </w:tcPr>
          <w:p w14:paraId="6A23019D">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33.1</w:t>
            </w:r>
          </w:p>
        </w:tc>
        <w:tc>
          <w:tcPr>
            <w:tcW w:w="8181" w:type="dxa"/>
            <w:vAlign w:val="center"/>
          </w:tcPr>
          <w:p w14:paraId="5C01E24A">
            <w:pPr>
              <w:pStyle w:val="16"/>
              <w:snapToGrid w:val="0"/>
              <w:spacing w:line="500" w:lineRule="exact"/>
              <w:rPr>
                <w:rFonts w:hAnsi="宋体" w:cs="宋体"/>
                <w:color w:val="auto"/>
                <w:sz w:val="24"/>
                <w:szCs w:val="24"/>
                <w:highlight w:val="none"/>
              </w:rPr>
            </w:pPr>
            <w:r>
              <w:rPr>
                <w:rFonts w:hint="eastAsia" w:hAnsi="宋体" w:cs="宋体"/>
                <w:color w:val="auto"/>
                <w:sz w:val="24"/>
                <w:szCs w:val="24"/>
                <w:highlight w:val="none"/>
              </w:rPr>
              <w:t>解释：构成本谈判文件的各个组成文件应互为解释，互为说明；除谈判文件中有特别规定外，仅适用于竞争性谈判阶段的规定，按更正公告（澄清公告）、竞争性谈判公告、供应商须知、采购需求、评审程序和评定成交的标准、响应文件格式、合同文本的先后顺序解释；同一组成文件中就同一事项的规定或约定不一致的，以编排顺序在后者为准；同一组成文件不同版本之间有不一致的，以形成时间在后者为准；更正公告（澄清公告）与同步更新的谈判文件不一致时以更正公告（澄清公告）为准。按本款前述规定仍不能形成结论的，由采购人或者采购代理机构负责解释。</w:t>
            </w:r>
          </w:p>
        </w:tc>
      </w:tr>
      <w:tr w14:paraId="26947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5" w:hRule="atLeast"/>
          <w:jc w:val="center"/>
        </w:trPr>
        <w:tc>
          <w:tcPr>
            <w:tcW w:w="991" w:type="dxa"/>
            <w:vAlign w:val="center"/>
          </w:tcPr>
          <w:p w14:paraId="402E089D">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33.2</w:t>
            </w:r>
          </w:p>
        </w:tc>
        <w:tc>
          <w:tcPr>
            <w:tcW w:w="8181" w:type="dxa"/>
            <w:vAlign w:val="center"/>
          </w:tcPr>
          <w:p w14:paraId="410D3385">
            <w:pPr>
              <w:pStyle w:val="16"/>
              <w:snapToGrid w:val="0"/>
              <w:spacing w:line="500" w:lineRule="exact"/>
              <w:rPr>
                <w:rFonts w:hAnsi="宋体" w:cs="宋体"/>
                <w:color w:val="auto"/>
                <w:sz w:val="24"/>
                <w:szCs w:val="24"/>
                <w:highlight w:val="none"/>
              </w:rPr>
            </w:pPr>
            <w:r>
              <w:rPr>
                <w:rFonts w:hint="eastAsia" w:hAnsi="宋体" w:cs="宋体"/>
                <w:color w:val="auto"/>
                <w:sz w:val="24"/>
                <w:szCs w:val="24"/>
                <w:highlight w:val="none"/>
              </w:rPr>
              <w:t>1.本谈判文件中描述供应商的“公章”是指根据我国对公章的管理规定，用供应商法定主体名称制作的印章或供应商通过指定电子化政府采购平台办理数字证书（CA认证）获得的以法定主体名称制作的电子印章。除本谈判文件有特殊规定外，供应商的财务章、部门章、分公司章、工会章、合同章、竞争性谈判专用章、业务专用章及银行的转账章、现金收讫章、现金付讫章等其他形式印章均不能代替公章。</w:t>
            </w:r>
          </w:p>
          <w:p w14:paraId="327E4FE8">
            <w:pPr>
              <w:pStyle w:val="16"/>
              <w:snapToGrid w:val="0"/>
              <w:spacing w:line="500" w:lineRule="exact"/>
              <w:rPr>
                <w:rFonts w:hAnsi="宋体" w:cs="宋体"/>
                <w:color w:val="auto"/>
                <w:sz w:val="24"/>
                <w:szCs w:val="24"/>
                <w:highlight w:val="none"/>
              </w:rPr>
            </w:pPr>
            <w:r>
              <w:rPr>
                <w:rFonts w:hint="eastAsia" w:hAnsi="宋体" w:cs="宋体"/>
                <w:color w:val="auto"/>
                <w:sz w:val="24"/>
                <w:szCs w:val="24"/>
                <w:highlight w:val="none"/>
              </w:rPr>
              <w:t>2.供应商为其他组织或者自然人时，本谈判文件规定的法定代表人指负责人或者自然人。本谈判文件所称负责人是指参加竞争性谈判的其他组织</w:t>
            </w:r>
            <w:r>
              <w:rPr>
                <w:rFonts w:hint="eastAsia" w:hAnsi="宋体" w:cs="宋体"/>
                <w:bCs/>
                <w:color w:val="auto"/>
                <w:sz w:val="24"/>
                <w:szCs w:val="24"/>
                <w:highlight w:val="none"/>
              </w:rPr>
              <w:t>营业执照或者执业许可证等证照上</w:t>
            </w:r>
            <w:r>
              <w:rPr>
                <w:rFonts w:hint="eastAsia" w:hAnsi="宋体" w:cs="宋体"/>
                <w:color w:val="auto"/>
                <w:sz w:val="24"/>
                <w:szCs w:val="24"/>
                <w:highlight w:val="none"/>
              </w:rPr>
              <w:t>的负责人，本谈判文件所称自然人指参与竞争性谈判的自然人本人，</w:t>
            </w:r>
            <w:r>
              <w:rPr>
                <w:rFonts w:hint="eastAsia" w:hAnsi="宋体" w:cs="宋体"/>
                <w:bCs/>
                <w:color w:val="auto"/>
                <w:sz w:val="24"/>
                <w:szCs w:val="24"/>
                <w:highlight w:val="none"/>
              </w:rPr>
              <w:t>且应具备独立承担民事责任能力，自然人应当为年满18岁以上成年人（十六周岁以上的未成年人，以自己的劳动收入为主要生活来源的，视为完全民事行为能力人）。</w:t>
            </w:r>
          </w:p>
          <w:p w14:paraId="32CC41E9">
            <w:pPr>
              <w:pStyle w:val="16"/>
              <w:snapToGrid w:val="0"/>
              <w:spacing w:line="500" w:lineRule="exact"/>
              <w:rPr>
                <w:rFonts w:hAnsi="宋体" w:cs="宋体"/>
                <w:color w:val="auto"/>
                <w:sz w:val="24"/>
                <w:szCs w:val="24"/>
                <w:highlight w:val="none"/>
              </w:rPr>
            </w:pPr>
            <w:r>
              <w:rPr>
                <w:rFonts w:hint="eastAsia" w:hAnsi="宋体" w:cs="宋体"/>
                <w:color w:val="auto"/>
                <w:sz w:val="24"/>
                <w:szCs w:val="24"/>
                <w:highlight w:val="none"/>
              </w:rPr>
              <w:t>3.本谈判文件中描述供应商的“签字”是指供应商的法定代表人或者委托代理人在文件规定签署处签名或者指供应商通过指定电子化政府采购平台办理数字证书（CA认证）获得的以供应商法定代表人或者委托代理人姓名制作的电子印章签名的行为，私章、印鉴等其他形式均不能代替签字。</w:t>
            </w:r>
          </w:p>
          <w:p w14:paraId="3E18B422">
            <w:pPr>
              <w:pStyle w:val="16"/>
              <w:snapToGrid w:val="0"/>
              <w:spacing w:line="500" w:lineRule="exact"/>
              <w:rPr>
                <w:rFonts w:hAnsi="宋体" w:cs="宋体"/>
                <w:color w:val="auto"/>
                <w:sz w:val="24"/>
                <w:szCs w:val="24"/>
                <w:highlight w:val="none"/>
              </w:rPr>
            </w:pPr>
            <w:r>
              <w:rPr>
                <w:rFonts w:hAnsi="宋体" w:cs="宋体"/>
                <w:color w:val="auto"/>
                <w:sz w:val="24"/>
                <w:szCs w:val="24"/>
                <w:highlight w:val="none"/>
              </w:rPr>
              <w:t>4</w:t>
            </w:r>
            <w:r>
              <w:rPr>
                <w:rFonts w:hint="eastAsia" w:hAnsi="宋体" w:cs="宋体"/>
                <w:color w:val="auto"/>
                <w:sz w:val="24"/>
                <w:szCs w:val="24"/>
                <w:highlight w:val="none"/>
              </w:rPr>
              <w:t>.本谈判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61095E2F">
            <w:pPr>
              <w:pStyle w:val="16"/>
              <w:snapToGrid w:val="0"/>
              <w:spacing w:line="500" w:lineRule="exact"/>
              <w:rPr>
                <w:rFonts w:hAnsi="宋体" w:cs="宋体"/>
                <w:color w:val="auto"/>
                <w:sz w:val="24"/>
                <w:szCs w:val="24"/>
                <w:highlight w:val="none"/>
              </w:rPr>
            </w:pPr>
            <w:r>
              <w:rPr>
                <w:rFonts w:hAnsi="宋体" w:cs="宋体"/>
                <w:color w:val="auto"/>
                <w:sz w:val="24"/>
                <w:szCs w:val="24"/>
                <w:highlight w:val="none"/>
              </w:rPr>
              <w:t>5</w:t>
            </w:r>
            <w:r>
              <w:rPr>
                <w:rFonts w:hint="eastAsia" w:hAnsi="宋体" w:cs="宋体"/>
                <w:color w:val="auto"/>
                <w:sz w:val="24"/>
                <w:szCs w:val="24"/>
                <w:highlight w:val="none"/>
              </w:rPr>
              <w:t>.自然人参与竞争性谈判的，谈判文件规定盖章的地方自然人可以加盖手指指印。</w:t>
            </w:r>
          </w:p>
          <w:p w14:paraId="3F6F2969">
            <w:pPr>
              <w:pStyle w:val="16"/>
              <w:snapToGrid w:val="0"/>
              <w:spacing w:line="500" w:lineRule="exact"/>
              <w:rPr>
                <w:rFonts w:hAnsi="宋体" w:cs="宋体"/>
                <w:color w:val="auto"/>
                <w:sz w:val="24"/>
                <w:szCs w:val="24"/>
                <w:highlight w:val="none"/>
              </w:rPr>
            </w:pPr>
            <w:r>
              <w:rPr>
                <w:rFonts w:hAnsi="宋体" w:cs="宋体"/>
                <w:color w:val="auto"/>
                <w:sz w:val="24"/>
                <w:szCs w:val="24"/>
                <w:highlight w:val="none"/>
              </w:rPr>
              <w:t>6</w:t>
            </w:r>
            <w:r>
              <w:rPr>
                <w:rFonts w:hint="eastAsia" w:hAnsi="宋体" w:cs="宋体"/>
                <w:color w:val="auto"/>
                <w:sz w:val="24"/>
                <w:szCs w:val="24"/>
                <w:highlight w:val="none"/>
              </w:rPr>
              <w:t>.本谈判文件所称的“以上”“以下”“以内”“届满”，包括本数；所称的“不满”“超过”“以外”，不包括本数。</w:t>
            </w:r>
          </w:p>
        </w:tc>
      </w:tr>
    </w:tbl>
    <w:p w14:paraId="279B3A1A">
      <w:pPr>
        <w:spacing w:line="360" w:lineRule="auto"/>
        <w:jc w:val="center"/>
        <w:rPr>
          <w:rFonts w:ascii="宋体" w:hAnsi="宋体" w:cs="宋体"/>
          <w:b/>
          <w:color w:val="auto"/>
          <w:sz w:val="36"/>
          <w:szCs w:val="36"/>
          <w:highlight w:val="none"/>
        </w:rPr>
      </w:pPr>
      <w:r>
        <w:rPr>
          <w:rFonts w:hint="eastAsia" w:ascii="宋体" w:hAnsi="宋体" w:cs="宋体"/>
          <w:b/>
          <w:color w:val="auto"/>
          <w:sz w:val="32"/>
          <w:szCs w:val="32"/>
          <w:highlight w:val="none"/>
        </w:rPr>
        <w:br w:type="page"/>
      </w:r>
      <w:r>
        <w:rPr>
          <w:rFonts w:hint="eastAsia" w:ascii="宋体" w:hAnsi="宋体" w:cs="宋体"/>
          <w:b/>
          <w:color w:val="auto"/>
          <w:sz w:val="36"/>
          <w:szCs w:val="36"/>
          <w:highlight w:val="none"/>
        </w:rPr>
        <w:t>供应商须知正文</w:t>
      </w:r>
    </w:p>
    <w:p w14:paraId="0910C4B3">
      <w:p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一、总则</w:t>
      </w:r>
    </w:p>
    <w:p w14:paraId="6356C4EB">
      <w:pPr>
        <w:spacing w:line="400" w:lineRule="exact"/>
        <w:rPr>
          <w:rFonts w:ascii="宋体" w:hAnsi="宋体" w:cs="宋体"/>
          <w:color w:val="auto"/>
          <w:szCs w:val="21"/>
          <w:highlight w:val="none"/>
        </w:rPr>
      </w:pPr>
    </w:p>
    <w:p w14:paraId="12CD4690">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1.适用范围</w:t>
      </w:r>
    </w:p>
    <w:p w14:paraId="6818B7F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1756344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w:t>
      </w:r>
      <w:r>
        <w:rPr>
          <w:rFonts w:hint="eastAsia" w:ascii="宋体" w:hAnsi="宋体" w:cs="宋体"/>
          <w:color w:val="auto"/>
          <w:spacing w:val="-6"/>
          <w:sz w:val="24"/>
          <w:highlight w:val="none"/>
        </w:rPr>
        <w:t>本竞争性谈判采购文件（以下简称谈判文件）适用于本项目的所有采购程序和环节（法律、法规另有规定的，从其规定）。</w:t>
      </w:r>
    </w:p>
    <w:p w14:paraId="6121694E">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2.定义</w:t>
      </w:r>
    </w:p>
    <w:p w14:paraId="59D1AE6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2.1“采购人”是指依法进行采购的国家机关、事业单位、团体组织。</w:t>
      </w:r>
    </w:p>
    <w:p w14:paraId="5C1D6450">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2.2“采购代理机构”</w:t>
      </w:r>
      <w:r>
        <w:rPr>
          <w:rFonts w:hint="eastAsia" w:ascii="宋体" w:hAnsi="宋体" w:cs="宋体"/>
          <w:b/>
          <w:color w:val="auto"/>
          <w:sz w:val="24"/>
          <w:highlight w:val="none"/>
        </w:rPr>
        <w:t>是指政府采购集中采购机构和集中采购机构以外的采购代理机构。</w:t>
      </w:r>
    </w:p>
    <w:p w14:paraId="6E9E2D4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2.3“供应商”是指向采购人提供货物、工程或者服务的法人、其他组织或者自然人。</w:t>
      </w:r>
    </w:p>
    <w:p w14:paraId="453CAD7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2.4“货物”是指各种形态和种类的物品，包括原材料、燃料、设备、产品等。</w:t>
      </w:r>
    </w:p>
    <w:p w14:paraId="43D703E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w:t>
      </w:r>
      <w:r>
        <w:rPr>
          <w:rFonts w:hint="eastAsia" w:hAnsi="宋体" w:cs="宋体"/>
          <w:color w:val="auto"/>
          <w:sz w:val="24"/>
          <w:highlight w:val="none"/>
        </w:rPr>
        <w:t>竞争性谈判</w:t>
      </w:r>
      <w:r>
        <w:rPr>
          <w:rFonts w:hint="eastAsia" w:ascii="宋体" w:hAnsi="宋体" w:cs="宋体"/>
          <w:color w:val="auto"/>
          <w:sz w:val="24"/>
          <w:highlight w:val="none"/>
        </w:rPr>
        <w:t>”是指按照本项目竞争性谈判公告或者邀请函规定的方式供应商获取谈判文件、提交响应文件并希望获得标的的行为。</w:t>
      </w:r>
    </w:p>
    <w:p w14:paraId="2ABD505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2.6“售后服务” 是指包含但不限于供应商须承担的备品备件、包装、运输、装卸、保险、货到就位以及安装、调试、培训、保修和其他类似的义务。</w:t>
      </w:r>
    </w:p>
    <w:p w14:paraId="3BC005E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2.7“书面形式”是指合同书、信件和数据电文（包括电报、电传、传真、电子数据交换和电子邮件）等可以有形地表现所载内容的形式。</w:t>
      </w:r>
    </w:p>
    <w:p w14:paraId="50AE4E4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2.8“响应文件”</w:t>
      </w:r>
      <w:r>
        <w:rPr>
          <w:rFonts w:hint="eastAsia" w:ascii="宋体" w:hAnsi="宋体" w:cs="宋体"/>
          <w:color w:val="auto"/>
          <w:spacing w:val="-6"/>
          <w:sz w:val="24"/>
          <w:highlight w:val="none"/>
        </w:rPr>
        <w:t>是指：供应商根据本谈判文件要求，编制包含报价、技术和服务等所有内容的文件。</w:t>
      </w:r>
    </w:p>
    <w:p w14:paraId="49FD9C7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2.9 “实质性要求”是指采购需求中带“▲”的条款或者不能负偏离的条款或者已经指明不满足按响应文件按无效响应处理的条款。</w:t>
      </w:r>
    </w:p>
    <w:p w14:paraId="21691EB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2.10“正偏离”，是指响应文件对谈判文件“采购需求”中有关条款作出优于条款要求并有利于采购人的响应情形；</w:t>
      </w:r>
    </w:p>
    <w:p w14:paraId="58CBE18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2.11“负偏离”，是指响应文件对谈判文件“采购需求”中有关条款作出的响应不满足条款要求，导致采购人要求不能得到满足的情形。</w:t>
      </w:r>
    </w:p>
    <w:p w14:paraId="2098588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2.12“允许负偏离的条款”是指采购需求中的不属于“实质性要求”的条款。</w:t>
      </w:r>
    </w:p>
    <w:p w14:paraId="0F89146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2.13“首次报价”是指供应商提交的首次响应文件中的</w:t>
      </w:r>
      <w:r>
        <w:rPr>
          <w:rFonts w:hint="eastAsia" w:hAnsi="宋体" w:cs="宋体"/>
          <w:color w:val="auto"/>
          <w:sz w:val="24"/>
          <w:highlight w:val="none"/>
        </w:rPr>
        <w:t>竞争性谈判</w:t>
      </w:r>
      <w:r>
        <w:rPr>
          <w:rFonts w:hint="eastAsia" w:ascii="宋体" w:hAnsi="宋体" w:cs="宋体"/>
          <w:color w:val="auto"/>
          <w:sz w:val="24"/>
          <w:highlight w:val="none"/>
        </w:rPr>
        <w:t>报价。</w:t>
      </w:r>
    </w:p>
    <w:p w14:paraId="18DF7ED8">
      <w:pPr>
        <w:spacing w:line="360" w:lineRule="auto"/>
        <w:ind w:firstLine="643" w:firstLineChars="200"/>
        <w:contextualSpacing/>
        <w:rPr>
          <w:rFonts w:ascii="宋体" w:hAnsi="宋体" w:cs="宋体"/>
          <w:b/>
          <w:bCs/>
          <w:color w:val="auto"/>
          <w:sz w:val="32"/>
          <w:szCs w:val="32"/>
          <w:highlight w:val="none"/>
        </w:rPr>
      </w:pPr>
      <w:r>
        <w:rPr>
          <w:rFonts w:hint="eastAsia" w:ascii="宋体" w:hAnsi="宋体" w:cs="宋体"/>
          <w:b/>
          <w:bCs/>
          <w:color w:val="auto"/>
          <w:sz w:val="32"/>
          <w:szCs w:val="32"/>
          <w:highlight w:val="none"/>
        </w:rPr>
        <w:t>3.供应商的资格条件</w:t>
      </w:r>
    </w:p>
    <w:p w14:paraId="5111E16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供应商的资格条件详见“供应商须知前附表”。</w:t>
      </w:r>
    </w:p>
    <w:p w14:paraId="3600604B">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4.竞争性谈判费用</w:t>
      </w:r>
    </w:p>
    <w:p w14:paraId="477AE21B">
      <w:pPr>
        <w:spacing w:line="360" w:lineRule="auto"/>
        <w:ind w:firstLine="480" w:firstLineChars="200"/>
        <w:rPr>
          <w:rFonts w:ascii="宋体" w:hAnsi="宋体" w:cs="宋体"/>
          <w:color w:val="auto"/>
          <w:sz w:val="24"/>
          <w:highlight w:val="none"/>
        </w:rPr>
      </w:pPr>
      <w:r>
        <w:rPr>
          <w:rFonts w:hint="eastAsia" w:hAnsi="宋体" w:cs="宋体"/>
          <w:color w:val="auto"/>
          <w:sz w:val="24"/>
          <w:highlight w:val="none"/>
        </w:rPr>
        <w:t>竞争性谈判</w:t>
      </w:r>
      <w:r>
        <w:rPr>
          <w:rFonts w:hint="eastAsia" w:ascii="宋体" w:hAnsi="宋体" w:cs="宋体"/>
          <w:color w:val="auto"/>
          <w:sz w:val="24"/>
          <w:highlight w:val="none"/>
        </w:rPr>
        <w:t>费用：供应商应承担参与本次采购活动有关的所有费用，包括但不限于获取谈判文件、勘查现场、编制和提交响应文件、参加谈判与应答、签订合同等，不论</w:t>
      </w:r>
      <w:r>
        <w:rPr>
          <w:rFonts w:hint="eastAsia" w:hAnsi="宋体" w:cs="宋体"/>
          <w:color w:val="auto"/>
          <w:sz w:val="24"/>
          <w:highlight w:val="none"/>
        </w:rPr>
        <w:t>竞争性谈判</w:t>
      </w:r>
      <w:r>
        <w:rPr>
          <w:rFonts w:hint="eastAsia" w:ascii="宋体" w:hAnsi="宋体" w:cs="宋体"/>
          <w:color w:val="auto"/>
          <w:sz w:val="24"/>
          <w:highlight w:val="none"/>
        </w:rPr>
        <w:t>结果如何，均应自行承担。</w:t>
      </w:r>
    </w:p>
    <w:p w14:paraId="5040FCE0">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5.联合体参与竞争性谈判</w:t>
      </w:r>
    </w:p>
    <w:p w14:paraId="6831F9C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5.1本项目是否接受联合体参与</w:t>
      </w:r>
      <w:r>
        <w:rPr>
          <w:rFonts w:hint="eastAsia" w:hAnsi="宋体" w:cs="宋体"/>
          <w:color w:val="auto"/>
          <w:sz w:val="24"/>
          <w:highlight w:val="none"/>
        </w:rPr>
        <w:t>竞争性谈判</w:t>
      </w:r>
      <w:r>
        <w:rPr>
          <w:rFonts w:hint="eastAsia" w:ascii="宋体" w:hAnsi="宋体" w:cs="宋体"/>
          <w:color w:val="auto"/>
          <w:sz w:val="24"/>
          <w:highlight w:val="none"/>
        </w:rPr>
        <w:t>，详见“供应商须知前附表”。</w:t>
      </w:r>
    </w:p>
    <w:p w14:paraId="6047864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w:t>
      </w:r>
      <w:r>
        <w:rPr>
          <w:rFonts w:hint="eastAsia" w:ascii="宋体" w:hAnsi="宋体" w:cs="宋体"/>
          <w:bCs/>
          <w:color w:val="auto"/>
          <w:sz w:val="24"/>
          <w:highlight w:val="none"/>
        </w:rPr>
        <w:t>如接受联合体参与</w:t>
      </w:r>
      <w:r>
        <w:rPr>
          <w:rFonts w:hint="eastAsia" w:hAnsi="宋体" w:cs="宋体"/>
          <w:color w:val="auto"/>
          <w:sz w:val="24"/>
          <w:highlight w:val="none"/>
        </w:rPr>
        <w:t>竞争性谈判</w:t>
      </w:r>
      <w:r>
        <w:rPr>
          <w:rFonts w:hint="eastAsia" w:ascii="宋体" w:hAnsi="宋体" w:cs="宋体"/>
          <w:bCs/>
          <w:color w:val="auto"/>
          <w:sz w:val="24"/>
          <w:highlight w:val="none"/>
        </w:rPr>
        <w:t>，</w:t>
      </w:r>
      <w:r>
        <w:rPr>
          <w:rFonts w:hint="eastAsia" w:ascii="宋体" w:hAnsi="宋体" w:cs="宋体"/>
          <w:color w:val="auto"/>
          <w:sz w:val="24"/>
          <w:highlight w:val="none"/>
        </w:rPr>
        <w:t>具体要求详见“供应商须知前附表”。</w:t>
      </w:r>
    </w:p>
    <w:p w14:paraId="32F6525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5.3</w:t>
      </w:r>
      <w:bookmarkStart w:id="14" w:name="_Hlk65857072"/>
      <w:r>
        <w:rPr>
          <w:rFonts w:hint="eastAsia" w:ascii="宋体" w:hAnsi="宋体" w:cs="宋体"/>
          <w:color w:val="auto"/>
          <w:sz w:val="24"/>
          <w:highlight w:val="none"/>
        </w:rPr>
        <w:t>根据《政府采购促进中小企业发展管理办法》（财库〔2020〕46号）第九条第二款和《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14"/>
    </w:p>
    <w:p w14:paraId="2EC1AE92">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 xml:space="preserve">6.转包与分包             </w:t>
      </w:r>
    </w:p>
    <w:p w14:paraId="5752DE25">
      <w:pPr>
        <w:pStyle w:val="6"/>
        <w:keepNext w:val="0"/>
        <w:keepLines w:val="0"/>
        <w:spacing w:before="0" w:after="0" w:line="360" w:lineRule="auto"/>
        <w:ind w:firstLine="480" w:firstLineChars="200"/>
        <w:rPr>
          <w:rFonts w:ascii="宋体" w:hAnsi="宋体" w:cs="宋体"/>
          <w:b w:val="0"/>
          <w:color w:val="auto"/>
          <w:sz w:val="24"/>
          <w:szCs w:val="24"/>
          <w:highlight w:val="none"/>
        </w:rPr>
      </w:pPr>
      <w:bookmarkStart w:id="15" w:name="_Toc254970673"/>
      <w:bookmarkStart w:id="16" w:name="_Toc254970532"/>
      <w:r>
        <w:rPr>
          <w:rFonts w:hint="eastAsia" w:ascii="宋体" w:hAnsi="宋体" w:cs="宋体"/>
          <w:b w:val="0"/>
          <w:color w:val="auto"/>
          <w:sz w:val="24"/>
          <w:szCs w:val="24"/>
          <w:highlight w:val="none"/>
        </w:rPr>
        <w:t>6.1本项目不允许转包。</w:t>
      </w:r>
    </w:p>
    <w:p w14:paraId="212119BE">
      <w:pPr>
        <w:pStyle w:val="6"/>
        <w:keepNext w:val="0"/>
        <w:keepLines w:val="0"/>
        <w:spacing w:before="0" w:after="0" w:line="360" w:lineRule="auto"/>
        <w:ind w:firstLine="360" w:firstLineChars="150"/>
        <w:rPr>
          <w:rFonts w:ascii="宋体" w:hAnsi="宋体" w:cs="宋体"/>
          <w:b w:val="0"/>
          <w:color w:val="auto"/>
          <w:sz w:val="24"/>
          <w:szCs w:val="24"/>
          <w:highlight w:val="none"/>
        </w:rPr>
      </w:pPr>
      <w:r>
        <w:rPr>
          <w:rFonts w:hint="eastAsia" w:ascii="宋体" w:hAnsi="宋体" w:cs="宋体"/>
          <w:b w:val="0"/>
          <w:color w:val="auto"/>
          <w:sz w:val="24"/>
          <w:szCs w:val="24"/>
          <w:highlight w:val="none"/>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0DE561DF">
      <w:pPr>
        <w:pStyle w:val="6"/>
        <w:keepNext w:val="0"/>
        <w:keepLines w:val="0"/>
        <w:spacing w:before="0" w:after="0" w:line="360" w:lineRule="auto"/>
        <w:ind w:firstLine="360" w:firstLineChars="150"/>
        <w:rPr>
          <w:rFonts w:ascii="宋体" w:hAnsi="宋体" w:cs="宋体"/>
          <w:b w:val="0"/>
          <w:color w:val="auto"/>
          <w:sz w:val="24"/>
          <w:szCs w:val="24"/>
          <w:highlight w:val="none"/>
        </w:rPr>
      </w:pPr>
      <w:r>
        <w:rPr>
          <w:rFonts w:hint="eastAsia" w:ascii="宋体" w:hAnsi="宋体" w:cs="宋体"/>
          <w:b w:val="0"/>
          <w:color w:val="auto"/>
          <w:sz w:val="24"/>
          <w:szCs w:val="24"/>
          <w:highlight w:val="none"/>
        </w:rPr>
        <w:t xml:space="preserve"> 6.3供应商根据谈判文件的规定和采购项目的实际情况，拟在成交后将成交项目的非主体、非关键性工作分包的，应当在响应文件中载明分包承担主体，分包承担主体应当具备相应资质条件且不得再次分包。</w:t>
      </w:r>
    </w:p>
    <w:p w14:paraId="5404E7EB">
      <w:pPr>
        <w:spacing w:line="360" w:lineRule="auto"/>
        <w:ind w:firstLine="643" w:firstLineChars="200"/>
        <w:rPr>
          <w:rFonts w:ascii="宋体" w:hAnsi="宋体" w:cs="宋体"/>
          <w:color w:val="auto"/>
          <w:sz w:val="24"/>
          <w:highlight w:val="none"/>
        </w:rPr>
      </w:pPr>
      <w:r>
        <w:rPr>
          <w:rFonts w:hint="eastAsia" w:ascii="宋体" w:hAnsi="宋体" w:cs="宋体"/>
          <w:b/>
          <w:bCs/>
          <w:color w:val="auto"/>
          <w:sz w:val="32"/>
          <w:szCs w:val="32"/>
          <w:highlight w:val="none"/>
        </w:rPr>
        <w:t>7.特别说明</w:t>
      </w:r>
      <w:bookmarkEnd w:id="15"/>
      <w:bookmarkEnd w:id="16"/>
      <w:bookmarkStart w:id="17" w:name="_8.1提供相同品牌产品且通过资格审查、符合性审查的不同投标人参加同一合"/>
      <w:bookmarkEnd w:id="17"/>
    </w:p>
    <w:p w14:paraId="75832B2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w:t>
      </w:r>
      <w:r>
        <w:rPr>
          <w:rFonts w:ascii="宋体" w:hAnsi="宋体" w:cs="宋体"/>
          <w:color w:val="auto"/>
          <w:sz w:val="24"/>
          <w:highlight w:val="none"/>
        </w:rPr>
        <w:t>1</w:t>
      </w:r>
      <w:r>
        <w:rPr>
          <w:rFonts w:hint="eastAsia" w:ascii="宋体" w:hAnsi="宋体" w:cs="宋体"/>
          <w:color w:val="auto"/>
          <w:sz w:val="24"/>
          <w:highlight w:val="none"/>
        </w:rPr>
        <w:t>如果本谈判文件要求提供供应商或制造商的资格、信誉、荣誉、业绩与企业认证等材料的，资格、信誉、荣誉、业绩与企业认证等必须为供应商或者制造商所拥有或自身获得 。</w:t>
      </w:r>
    </w:p>
    <w:p w14:paraId="441ADAB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w:t>
      </w:r>
      <w:r>
        <w:rPr>
          <w:rFonts w:ascii="宋体" w:hAnsi="宋体" w:cs="宋体"/>
          <w:color w:val="auto"/>
          <w:sz w:val="24"/>
          <w:highlight w:val="none"/>
        </w:rPr>
        <w:t>2</w:t>
      </w:r>
      <w:r>
        <w:rPr>
          <w:rFonts w:hint="eastAsia" w:ascii="宋体" w:hAnsi="宋体" w:cs="宋体"/>
          <w:color w:val="auto"/>
          <w:sz w:val="24"/>
          <w:highlight w:val="none"/>
        </w:rPr>
        <w:t>供应商应仔细阅读谈判文件的所有内容，按照谈判文件的要求提交响应文件，并对所提供的全部资料的真实性承担法律责任。</w:t>
      </w:r>
    </w:p>
    <w:p w14:paraId="5544B79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w:t>
      </w:r>
      <w:r>
        <w:rPr>
          <w:rFonts w:ascii="宋体" w:hAnsi="宋体" w:cs="宋体"/>
          <w:color w:val="auto"/>
          <w:sz w:val="24"/>
          <w:highlight w:val="none"/>
        </w:rPr>
        <w:t>3</w:t>
      </w:r>
      <w:r>
        <w:rPr>
          <w:rFonts w:hint="eastAsia" w:ascii="宋体" w:hAnsi="宋体" w:cs="宋体"/>
          <w:color w:val="auto"/>
          <w:sz w:val="24"/>
          <w:highlight w:val="none"/>
        </w:rPr>
        <w:t>供应商在参与</w:t>
      </w:r>
      <w:r>
        <w:rPr>
          <w:rFonts w:hint="eastAsia" w:hAnsi="宋体" w:cs="宋体"/>
          <w:color w:val="auto"/>
          <w:sz w:val="24"/>
          <w:highlight w:val="none"/>
        </w:rPr>
        <w:t>竞争性谈判</w:t>
      </w:r>
      <w:r>
        <w:rPr>
          <w:rFonts w:hint="eastAsia" w:ascii="宋体" w:hAnsi="宋体" w:cs="宋体"/>
          <w:color w:val="auto"/>
          <w:sz w:val="24"/>
          <w:highlight w:val="none"/>
        </w:rPr>
        <w:t>活动中提供任何虚假材料,其响应文件按无效响应处理，并报监管部门查处；签订合同后发现的,成交供应商须依法赔偿采购人，且民事赔偿并不免除违法供应商的行政与刑事责任。</w:t>
      </w:r>
    </w:p>
    <w:p w14:paraId="4844801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w:t>
      </w:r>
      <w:r>
        <w:rPr>
          <w:rFonts w:ascii="宋体" w:hAnsi="宋体" w:cs="宋体"/>
          <w:color w:val="auto"/>
          <w:sz w:val="24"/>
          <w:highlight w:val="none"/>
        </w:rPr>
        <w:t>4</w:t>
      </w:r>
      <w:r>
        <w:rPr>
          <w:rFonts w:hint="eastAsia" w:ascii="宋体" w:hAnsi="宋体" w:cs="宋体"/>
          <w:color w:val="auto"/>
          <w:sz w:val="24"/>
          <w:highlight w:val="none"/>
        </w:rPr>
        <w:t>在政府采购活动中，采购人员及相关人员与供应商有下列利害关系之一的，应当回避：</w:t>
      </w:r>
    </w:p>
    <w:p w14:paraId="06F2B07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（1）参加采购活动前3年内与供应商存在劳动关系；</w:t>
      </w:r>
    </w:p>
    <w:p w14:paraId="2768DBB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（2）参加采购活动前3年内担任供应商的董事、监事；</w:t>
      </w:r>
    </w:p>
    <w:p w14:paraId="7CC0BE9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（3）参加采购活动前3年内是供应商的控股股东或者实际控制人；</w:t>
      </w:r>
    </w:p>
    <w:p w14:paraId="095C5D8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（4）与供应商的法定代表人或者负责人有夫妻、直系血亲、三代以内旁系血亲或者近姻亲关系；</w:t>
      </w:r>
    </w:p>
    <w:p w14:paraId="377DDB2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（5）与供应商有其他可能影响政府采购活动公平、公正进行的关系。</w:t>
      </w:r>
    </w:p>
    <w:p w14:paraId="724CC3A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5FAB3C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w:t>
      </w:r>
      <w:r>
        <w:rPr>
          <w:rFonts w:ascii="宋体" w:hAnsi="宋体" w:cs="宋体"/>
          <w:color w:val="auto"/>
          <w:sz w:val="24"/>
          <w:highlight w:val="none"/>
        </w:rPr>
        <w:t>5</w:t>
      </w:r>
      <w:r>
        <w:rPr>
          <w:rFonts w:hint="eastAsia" w:ascii="宋体" w:hAnsi="宋体" w:cs="宋体"/>
          <w:color w:val="auto"/>
          <w:sz w:val="24"/>
          <w:highlight w:val="none"/>
        </w:rPr>
        <w:t>有下列情形之一的视为供应商相互串通参与</w:t>
      </w:r>
      <w:r>
        <w:rPr>
          <w:rFonts w:hint="eastAsia" w:hAnsi="宋体" w:cs="宋体"/>
          <w:color w:val="auto"/>
          <w:sz w:val="24"/>
          <w:highlight w:val="none"/>
        </w:rPr>
        <w:t>竞争性谈判</w:t>
      </w:r>
      <w:r>
        <w:rPr>
          <w:rFonts w:hint="eastAsia" w:ascii="宋体" w:hAnsi="宋体" w:cs="宋体"/>
          <w:color w:val="auto"/>
          <w:sz w:val="24"/>
          <w:highlight w:val="none"/>
        </w:rPr>
        <w:t>，响应文件将被视为无效：</w:t>
      </w:r>
    </w:p>
    <w:p w14:paraId="7DCF0E7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（1）不同供应商的响应文件由同一单位或者个人编制；</w:t>
      </w:r>
    </w:p>
    <w:p w14:paraId="0B69CD4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（2）不同供应商委托同一单位或者个人办理</w:t>
      </w:r>
      <w:r>
        <w:rPr>
          <w:rFonts w:hint="eastAsia" w:hAnsi="宋体" w:cs="宋体"/>
          <w:color w:val="auto"/>
          <w:sz w:val="24"/>
          <w:highlight w:val="none"/>
        </w:rPr>
        <w:t>竞争性谈判</w:t>
      </w:r>
      <w:r>
        <w:rPr>
          <w:rFonts w:hint="eastAsia" w:ascii="宋体" w:hAnsi="宋体" w:cs="宋体"/>
          <w:color w:val="auto"/>
          <w:sz w:val="24"/>
          <w:highlight w:val="none"/>
        </w:rPr>
        <w:t>事宜；</w:t>
      </w:r>
    </w:p>
    <w:p w14:paraId="74F520E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（3）不同的供应商的响应文件载明的项目管理员为同一个人；</w:t>
      </w:r>
    </w:p>
    <w:p w14:paraId="7AFBAD9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（4）不同供应商的响应文件异常一致或者报价呈规律性差异；</w:t>
      </w:r>
    </w:p>
    <w:p w14:paraId="243F168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（5）不同供应商的响应文件相互混装；</w:t>
      </w:r>
    </w:p>
    <w:p w14:paraId="23510EF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（6）不同供应商的谈判保证金从同一单位或者个人账户转出；</w:t>
      </w:r>
    </w:p>
    <w:p w14:paraId="3A774C2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（7）供应商之间协商报价等响应文件的实质性内容；</w:t>
      </w:r>
    </w:p>
    <w:p w14:paraId="0DB1A71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（8）供应商之间约定成交供应商；</w:t>
      </w:r>
    </w:p>
    <w:p w14:paraId="73643AA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（9）供应商之间约定部分供应商放弃参与竞争性谈判或者成交；</w:t>
      </w:r>
    </w:p>
    <w:p w14:paraId="672A167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（10）属于同一集团、协会、商会等组织成员的供应商按照该组织要求协同参与竞争性谈判；</w:t>
      </w:r>
    </w:p>
    <w:p w14:paraId="4D6E6C6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（11）供应商之间为谋取成交或者排斥特定供应商而采取的其他联合行动。</w:t>
      </w:r>
    </w:p>
    <w:p w14:paraId="77B706B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w:t>
      </w:r>
      <w:r>
        <w:rPr>
          <w:rFonts w:ascii="宋体" w:hAnsi="宋体" w:cs="宋体"/>
          <w:color w:val="auto"/>
          <w:sz w:val="24"/>
          <w:highlight w:val="none"/>
        </w:rPr>
        <w:t>6</w:t>
      </w:r>
      <w:r>
        <w:rPr>
          <w:rFonts w:hint="eastAsia" w:ascii="宋体" w:hAnsi="宋体" w:cs="宋体"/>
          <w:color w:val="auto"/>
          <w:sz w:val="24"/>
          <w:highlight w:val="none"/>
        </w:rPr>
        <w:t>供应商有下列情形之一的，属于恶意串通行为</w:t>
      </w:r>
      <w:bookmarkStart w:id="18" w:name="_Hlk54682620"/>
      <w:r>
        <w:rPr>
          <w:rFonts w:hint="eastAsia" w:ascii="宋体" w:hAnsi="宋体" w:cs="宋体"/>
          <w:color w:val="auto"/>
          <w:sz w:val="24"/>
          <w:highlight w:val="none"/>
        </w:rPr>
        <w:t>，将报同级监督管理部门</w:t>
      </w:r>
      <w:bookmarkEnd w:id="18"/>
      <w:r>
        <w:rPr>
          <w:rFonts w:hint="eastAsia" w:ascii="宋体" w:hAnsi="宋体" w:cs="宋体"/>
          <w:color w:val="auto"/>
          <w:sz w:val="24"/>
          <w:highlight w:val="none"/>
        </w:rPr>
        <w:t>：</w:t>
      </w:r>
    </w:p>
    <w:p w14:paraId="4389B28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（1）供应商直接或者间接从采购人或者采购代理机构处获得其他供应商的相关信息并修改其响应文件；</w:t>
      </w:r>
    </w:p>
    <w:p w14:paraId="1492143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（2）供应商按照采购人或者采购代理机构的授意撤换、修改响应文件；</w:t>
      </w:r>
    </w:p>
    <w:p w14:paraId="431D9C6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（3）供应商之间协商报价、技术方案等响应文件或者响应文件的实质性内容；</w:t>
      </w:r>
    </w:p>
    <w:p w14:paraId="6205036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（4）属于同一集团、协会、商会等组织成员的供应商按照该组织要求协同参加政府采购活动；</w:t>
      </w:r>
    </w:p>
    <w:p w14:paraId="755FD81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（5）供应商之间事先约定一致抬高或者压低报价,或者在政府采购活动中事先约定轮流以高价位或者低价位成交,或者事先约定由某一特定供应商成交,然后再参加</w:t>
      </w:r>
      <w:r>
        <w:rPr>
          <w:rFonts w:hint="eastAsia" w:hAnsi="宋体" w:cs="宋体"/>
          <w:color w:val="auto"/>
          <w:sz w:val="24"/>
          <w:highlight w:val="none"/>
        </w:rPr>
        <w:t>竞争性谈判</w:t>
      </w:r>
      <w:r>
        <w:rPr>
          <w:rFonts w:hint="eastAsia" w:ascii="宋体" w:hAnsi="宋体" w:cs="宋体"/>
          <w:color w:val="auto"/>
          <w:sz w:val="24"/>
          <w:highlight w:val="none"/>
        </w:rPr>
        <w:t>；</w:t>
      </w:r>
    </w:p>
    <w:p w14:paraId="78F2A0A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（6）供应商之间商定部分供应商放弃参加政府采购活动或者放弃成交；</w:t>
      </w:r>
    </w:p>
    <w:p w14:paraId="0F09477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（7）供应商与采购人或者采购代理机构之间、供应商相互之间，为谋求特定供应商成交或者排斥其他供应商的其他串通行为。</w:t>
      </w:r>
    </w:p>
    <w:p w14:paraId="7F21403C">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7.7</w:t>
      </w:r>
      <w:r>
        <w:rPr>
          <w:rFonts w:hint="eastAsia" w:ascii="宋体" w:hAnsi="宋体" w:cs="宋体"/>
          <w:color w:val="auto"/>
          <w:sz w:val="24"/>
          <w:highlight w:val="none"/>
        </w:rPr>
        <w:t>单一产品采购项目，提供相同品牌产品的不同供应商参加同一合同项下</w:t>
      </w:r>
      <w:r>
        <w:rPr>
          <w:rFonts w:hint="eastAsia" w:hAnsi="宋体" w:cs="宋体"/>
          <w:color w:val="auto"/>
          <w:sz w:val="24"/>
          <w:highlight w:val="none"/>
        </w:rPr>
        <w:t>竞争性谈判</w:t>
      </w:r>
      <w:r>
        <w:rPr>
          <w:rFonts w:hint="eastAsia" w:ascii="宋体" w:hAnsi="宋体" w:cs="宋体"/>
          <w:color w:val="auto"/>
          <w:sz w:val="24"/>
          <w:highlight w:val="none"/>
        </w:rPr>
        <w:t>的，以其中通过资格审查、符合性审查、谈判且最后报价最低的参加报价评审；最后报价相同的，按照前附表第2</w:t>
      </w:r>
      <w:r>
        <w:rPr>
          <w:rFonts w:ascii="宋体" w:hAnsi="宋体" w:cs="宋体"/>
          <w:color w:val="auto"/>
          <w:sz w:val="24"/>
          <w:highlight w:val="none"/>
        </w:rPr>
        <w:t>6</w:t>
      </w:r>
      <w:r>
        <w:rPr>
          <w:rFonts w:hint="eastAsia" w:ascii="宋体" w:hAnsi="宋体" w:cs="宋体"/>
          <w:color w:val="auto"/>
          <w:sz w:val="24"/>
          <w:highlight w:val="none"/>
        </w:rPr>
        <w:t>条规定确定一个参加评审的供应商，其他响应文件作无效处理。</w:t>
      </w:r>
    </w:p>
    <w:p w14:paraId="3F2CA4F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非单一产品采购项目，多家供应商提供的核心产品品牌相同的，按前款规定处理；多家供应商提供的所有产品品牌相同，按前款处理。</w:t>
      </w:r>
    </w:p>
    <w:p w14:paraId="72064C68">
      <w:pPr>
        <w:spacing w:line="360" w:lineRule="auto"/>
        <w:ind w:firstLine="477" w:firstLineChars="199"/>
        <w:jc w:val="center"/>
        <w:rPr>
          <w:rFonts w:ascii="宋体" w:hAnsi="宋体" w:cs="宋体"/>
          <w:color w:val="auto"/>
          <w:sz w:val="24"/>
          <w:szCs w:val="32"/>
          <w:highlight w:val="none"/>
        </w:rPr>
      </w:pPr>
      <w:bookmarkStart w:id="19" w:name="_Toc254970675"/>
      <w:bookmarkStart w:id="20" w:name="_Toc254970534"/>
    </w:p>
    <w:p w14:paraId="76AE1EE0">
      <w:pPr>
        <w:spacing w:line="360" w:lineRule="auto"/>
        <w:jc w:val="center"/>
        <w:rPr>
          <w:rFonts w:ascii="宋体" w:hAnsi="宋体" w:cs="宋体"/>
          <w:b/>
          <w:color w:val="auto"/>
          <w:sz w:val="40"/>
          <w:szCs w:val="40"/>
          <w:highlight w:val="none"/>
        </w:rPr>
      </w:pPr>
      <w:r>
        <w:rPr>
          <w:rFonts w:hint="eastAsia" w:ascii="宋体" w:hAnsi="宋体" w:cs="宋体"/>
          <w:b/>
          <w:color w:val="auto"/>
          <w:sz w:val="40"/>
          <w:szCs w:val="40"/>
          <w:highlight w:val="none"/>
        </w:rPr>
        <w:t>二、谈判文件</w:t>
      </w:r>
      <w:bookmarkEnd w:id="19"/>
      <w:bookmarkEnd w:id="20"/>
    </w:p>
    <w:p w14:paraId="10E36333">
      <w:pPr>
        <w:spacing w:line="360" w:lineRule="auto"/>
        <w:jc w:val="center"/>
        <w:rPr>
          <w:rFonts w:ascii="宋体" w:hAnsi="宋体" w:cs="宋体"/>
          <w:color w:val="auto"/>
          <w:sz w:val="24"/>
          <w:highlight w:val="none"/>
        </w:rPr>
      </w:pPr>
    </w:p>
    <w:p w14:paraId="7E615DAF">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8.谈判文件的构成</w:t>
      </w:r>
    </w:p>
    <w:p w14:paraId="785411AF">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（1）竞争性谈判公告；</w:t>
      </w:r>
    </w:p>
    <w:p w14:paraId="4C376461">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（2）供应商须知； </w:t>
      </w:r>
    </w:p>
    <w:p w14:paraId="0412B62F">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（3）采购需求；</w:t>
      </w:r>
    </w:p>
    <w:p w14:paraId="5CE3CD7D">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（4）响应文件格式；</w:t>
      </w:r>
    </w:p>
    <w:p w14:paraId="2A4F18E4">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（5）合同文本；</w:t>
      </w:r>
    </w:p>
    <w:p w14:paraId="377AAC8F">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（6）评审程序和评定成交的标准。</w:t>
      </w:r>
    </w:p>
    <w:p w14:paraId="783AB998">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9.供应商的询问</w:t>
      </w:r>
    </w:p>
    <w:p w14:paraId="7FEEFFA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应认真阅读谈判文件的采购需求，如供应商对谈判文件有疑问的，如要求采购人作出澄清或者修改的，供应商尽可能在提交首次响应文件截止之日前，以纸质书面形式向采购人、采购代理机构提出，否则，由此产生的后果由供应商自行负责。</w:t>
      </w:r>
    </w:p>
    <w:p w14:paraId="0ED22780">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10.谈判文件的澄清和修改</w:t>
      </w:r>
    </w:p>
    <w:p w14:paraId="2F4202C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10.1提交首次响应文件截止之日前，采购人、采购代理机构可以对已发出的谈判文件进行必要的澄清或者修改，澄清或者修改的内容作为谈判文件的组成部分。澄清或者修改将在原公告发布媒体上发布更正公告。澄清或者修改的内容可能影响响应文件编制的，采购人、采购代理机构或者谈判小组应当在提交首次响应文件截止之日</w:t>
      </w:r>
      <w:r>
        <w:rPr>
          <w:rFonts w:ascii="宋体" w:hAnsi="宋体" w:cs="宋体"/>
          <w:color w:val="auto"/>
          <w:sz w:val="24"/>
          <w:highlight w:val="none"/>
        </w:rPr>
        <w:t>3个工作日前，在原公告发布媒体上发布更正公告</w:t>
      </w:r>
      <w:r>
        <w:rPr>
          <w:rFonts w:hint="eastAsia" w:ascii="宋体" w:hAnsi="宋体" w:cs="宋体"/>
          <w:color w:val="auto"/>
          <w:sz w:val="24"/>
          <w:highlight w:val="none"/>
        </w:rPr>
        <w:t>；不足</w:t>
      </w:r>
      <w:r>
        <w:rPr>
          <w:rFonts w:ascii="宋体" w:hAnsi="宋体" w:cs="宋体"/>
          <w:color w:val="auto"/>
          <w:sz w:val="24"/>
          <w:highlight w:val="none"/>
        </w:rPr>
        <w:t>3个工作日的，应当顺延提交首次响应文件截止</w:t>
      </w:r>
      <w:r>
        <w:rPr>
          <w:rFonts w:hint="eastAsia" w:ascii="宋体" w:hAnsi="宋体" w:cs="宋体"/>
          <w:color w:val="auto"/>
          <w:sz w:val="24"/>
          <w:highlight w:val="none"/>
        </w:rPr>
        <w:t>时间。</w:t>
      </w:r>
    </w:p>
    <w:p w14:paraId="1271B615">
      <w:pPr>
        <w:spacing w:line="400" w:lineRule="exact"/>
        <w:ind w:firstLine="480" w:firstLineChars="200"/>
        <w:rPr>
          <w:rFonts w:ascii="宋体" w:hAnsi="宋体" w:cs="宋体"/>
          <w:color w:val="auto"/>
          <w:sz w:val="24"/>
          <w:highlight w:val="none"/>
        </w:rPr>
      </w:pPr>
      <w:r>
        <w:rPr>
          <w:rFonts w:hint="eastAsia" w:ascii="宋体" w:hAnsi="宋体" w:cs="宋体"/>
          <w:color w:val="auto"/>
          <w:sz w:val="24"/>
          <w:szCs w:val="32"/>
          <w:highlight w:val="none"/>
        </w:rPr>
        <w:t>10.2采购人和采购代理机构可以视采购具体情况，变更</w:t>
      </w:r>
      <w:r>
        <w:rPr>
          <w:rFonts w:hint="eastAsia" w:ascii="宋体" w:hAnsi="宋体" w:cs="宋体"/>
          <w:color w:val="auto"/>
          <w:sz w:val="24"/>
          <w:highlight w:val="none"/>
        </w:rPr>
        <w:t>首次响应文件提交截止时间</w:t>
      </w:r>
      <w:r>
        <w:rPr>
          <w:rFonts w:hint="eastAsia" w:ascii="宋体" w:hAnsi="宋体" w:cs="宋体"/>
          <w:color w:val="auto"/>
          <w:sz w:val="24"/>
          <w:szCs w:val="32"/>
          <w:highlight w:val="none"/>
        </w:rPr>
        <w:t>，并</w:t>
      </w:r>
      <w:r>
        <w:rPr>
          <w:rFonts w:hint="eastAsia" w:ascii="宋体" w:hAnsi="宋体" w:cs="宋体"/>
          <w:color w:val="auto"/>
          <w:sz w:val="24"/>
          <w:highlight w:val="none"/>
        </w:rPr>
        <w:t>在原公告发布媒体上发布更正公告。</w:t>
      </w:r>
    </w:p>
    <w:p w14:paraId="2F630E0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10.3谈判文件澄清、答复、修改、补充的内容为谈判文件的组成部分。当谈判文件与谈判文件的澄清、答复、修改、补充通知就同一内容的表述不一致时，以最后发出的文件为准。</w:t>
      </w:r>
    </w:p>
    <w:p w14:paraId="061E30E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10.4响应文件未按谈判文件的澄清、修改后的内容编制的，其响应文件作无效响应处理。</w:t>
      </w:r>
    </w:p>
    <w:p w14:paraId="4F47129E">
      <w:pPr>
        <w:spacing w:line="360" w:lineRule="auto"/>
        <w:ind w:firstLine="480" w:firstLineChars="200"/>
        <w:rPr>
          <w:rFonts w:ascii="宋体" w:hAnsi="宋体" w:cs="宋体"/>
          <w:color w:val="auto"/>
          <w:sz w:val="24"/>
          <w:highlight w:val="none"/>
        </w:rPr>
      </w:pPr>
    </w:p>
    <w:p w14:paraId="74A2052C">
      <w:pPr>
        <w:spacing w:line="360" w:lineRule="auto"/>
        <w:rPr>
          <w:rFonts w:ascii="宋体" w:hAnsi="宋体" w:cs="宋体"/>
          <w:color w:val="auto"/>
          <w:sz w:val="24"/>
          <w:highlight w:val="none"/>
        </w:rPr>
      </w:pPr>
    </w:p>
    <w:p w14:paraId="06AD57A8">
      <w:pPr>
        <w:spacing w:line="360" w:lineRule="auto"/>
        <w:jc w:val="center"/>
        <w:rPr>
          <w:rFonts w:ascii="宋体" w:hAnsi="宋体" w:cs="宋体"/>
          <w:b/>
          <w:color w:val="auto"/>
          <w:sz w:val="24"/>
          <w:highlight w:val="none"/>
        </w:rPr>
      </w:pPr>
      <w:r>
        <w:rPr>
          <w:rFonts w:hint="eastAsia" w:ascii="宋体" w:hAnsi="宋体" w:cs="宋体"/>
          <w:b/>
          <w:color w:val="auto"/>
          <w:sz w:val="40"/>
          <w:szCs w:val="40"/>
          <w:highlight w:val="none"/>
        </w:rPr>
        <w:t>三、响应文件的编制</w:t>
      </w:r>
    </w:p>
    <w:p w14:paraId="43088672">
      <w:pPr>
        <w:spacing w:line="360" w:lineRule="auto"/>
        <w:rPr>
          <w:rFonts w:ascii="宋体" w:hAnsi="宋体" w:cs="宋体"/>
          <w:color w:val="auto"/>
          <w:sz w:val="24"/>
          <w:highlight w:val="none"/>
        </w:rPr>
      </w:pPr>
    </w:p>
    <w:p w14:paraId="391AA904">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11.响应文件的编制原则</w:t>
      </w:r>
    </w:p>
    <w:p w14:paraId="4ED2E3F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供应商必须按照谈判文件的要求编制响应文件，并对其提交的响应文件的真实性、合法性承担法律责任。响应文件必须对谈判文件作出实质性响应。</w:t>
      </w:r>
    </w:p>
    <w:p w14:paraId="0B80F2BF">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12.响应文件的组成</w:t>
      </w:r>
    </w:p>
    <w:p w14:paraId="6CED45B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12.1响应文件由资格证明文件、报价商务技术文件两部分组成。</w:t>
      </w:r>
    </w:p>
    <w:p w14:paraId="6597ECB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12.1.1资格证明文件：详见“供应商须知前附表”</w:t>
      </w:r>
    </w:p>
    <w:p w14:paraId="10604E7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12.1.2报价商务技术文件：详见“供应商须知前附表”</w:t>
      </w:r>
    </w:p>
    <w:p w14:paraId="59B00BD7">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13.计量单位</w:t>
      </w:r>
    </w:p>
    <w:p w14:paraId="51C32FA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谈判文件已有明确规定的，使用谈判文件规定的计量单位；谈判文件没有规定的，应采用中华人民共和国法定计量单位，货币种类为人民币，否则视同未响应。</w:t>
      </w:r>
    </w:p>
    <w:p w14:paraId="48087090">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14.竞争性谈判的风险</w:t>
      </w:r>
    </w:p>
    <w:p w14:paraId="06D31C0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供应商没有按照谈判文件要求提供全部资料，或者供应商没有对谈判文件在各方面作出实质性响应可能导致其响应文件按无效响应处理，是供应商应当考虑的风险。</w:t>
      </w:r>
    </w:p>
    <w:p w14:paraId="6BE81375">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15.竞争性谈判报价</w:t>
      </w:r>
    </w:p>
    <w:p w14:paraId="413F6F8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15.1</w:t>
      </w:r>
      <w:r>
        <w:rPr>
          <w:rFonts w:hint="eastAsia" w:hAnsi="宋体" w:cs="宋体"/>
          <w:color w:val="auto"/>
          <w:sz w:val="24"/>
          <w:highlight w:val="none"/>
        </w:rPr>
        <w:t>竞争性谈判</w:t>
      </w:r>
      <w:r>
        <w:rPr>
          <w:rFonts w:hint="eastAsia" w:ascii="宋体" w:hAnsi="宋体" w:cs="宋体"/>
          <w:color w:val="auto"/>
          <w:sz w:val="24"/>
          <w:highlight w:val="none"/>
        </w:rPr>
        <w:t>报价应按谈判文件中“</w:t>
      </w:r>
      <w:r>
        <w:rPr>
          <w:rFonts w:hint="eastAsia" w:hAnsi="宋体" w:cs="宋体"/>
          <w:color w:val="auto"/>
          <w:sz w:val="24"/>
          <w:highlight w:val="none"/>
        </w:rPr>
        <w:t>竞争性谈判</w:t>
      </w:r>
      <w:r>
        <w:rPr>
          <w:rFonts w:hint="eastAsia" w:ascii="宋体" w:hAnsi="宋体" w:cs="宋体"/>
          <w:color w:val="auto"/>
          <w:sz w:val="24"/>
          <w:highlight w:val="none"/>
        </w:rPr>
        <w:t>报价表”格式填写。</w:t>
      </w:r>
    </w:p>
    <w:p w14:paraId="39A784C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15.2</w:t>
      </w:r>
      <w:r>
        <w:rPr>
          <w:rFonts w:hint="eastAsia" w:hAnsi="宋体" w:cs="宋体"/>
          <w:color w:val="auto"/>
          <w:sz w:val="24"/>
          <w:highlight w:val="none"/>
        </w:rPr>
        <w:t>竞争性谈判</w:t>
      </w:r>
      <w:r>
        <w:rPr>
          <w:rFonts w:hint="eastAsia" w:ascii="宋体" w:hAnsi="宋体" w:cs="宋体"/>
          <w:color w:val="auto"/>
          <w:sz w:val="24"/>
          <w:highlight w:val="none"/>
        </w:rPr>
        <w:t>报价的内容详见“供应商须知前附表”。</w:t>
      </w:r>
    </w:p>
    <w:p w14:paraId="6A9CEF1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15.3</w:t>
      </w:r>
      <w:r>
        <w:rPr>
          <w:rFonts w:hint="eastAsia" w:hAnsi="宋体" w:cs="宋体"/>
          <w:color w:val="auto"/>
          <w:sz w:val="24"/>
          <w:highlight w:val="none"/>
        </w:rPr>
        <w:t>竞争性谈判</w:t>
      </w:r>
      <w:r>
        <w:rPr>
          <w:rFonts w:hint="eastAsia" w:ascii="宋体" w:hAnsi="宋体" w:cs="宋体"/>
          <w:color w:val="auto"/>
          <w:sz w:val="24"/>
          <w:highlight w:val="none"/>
        </w:rPr>
        <w:t>报价要求</w:t>
      </w:r>
    </w:p>
    <w:p w14:paraId="218C9B9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15.3.1供应商的</w:t>
      </w:r>
      <w:r>
        <w:rPr>
          <w:rFonts w:hint="eastAsia" w:hAnsi="宋体" w:cs="宋体"/>
          <w:color w:val="auto"/>
          <w:sz w:val="24"/>
          <w:highlight w:val="none"/>
        </w:rPr>
        <w:t>竞争性谈判</w:t>
      </w:r>
      <w:r>
        <w:rPr>
          <w:rFonts w:hint="eastAsia" w:ascii="宋体" w:hAnsi="宋体" w:cs="宋体"/>
          <w:color w:val="auto"/>
          <w:sz w:val="24"/>
          <w:highlight w:val="none"/>
        </w:rPr>
        <w:t>报价应符合以下要求，否则响应文件按无效响应处理：</w:t>
      </w:r>
    </w:p>
    <w:p w14:paraId="2A3AF5E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（1）供应商必须就“采购需求”中所需</w:t>
      </w:r>
      <w:r>
        <w:rPr>
          <w:rFonts w:hint="eastAsia" w:hAnsi="宋体" w:cs="宋体"/>
          <w:color w:val="auto"/>
          <w:sz w:val="24"/>
          <w:highlight w:val="none"/>
        </w:rPr>
        <w:t>竞争性谈判</w:t>
      </w:r>
      <w:r>
        <w:rPr>
          <w:rFonts w:hint="eastAsia" w:ascii="宋体" w:hAnsi="宋体" w:cs="宋体"/>
          <w:color w:val="auto"/>
          <w:sz w:val="24"/>
          <w:highlight w:val="none"/>
        </w:rPr>
        <w:t>的每个分标的全部内容分别作完整唯一总价报价，不得存在漏项报价；</w:t>
      </w:r>
    </w:p>
    <w:p w14:paraId="32F99D2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（2）供应商必须就所需</w:t>
      </w:r>
      <w:r>
        <w:rPr>
          <w:rFonts w:hint="eastAsia" w:hAnsi="宋体" w:cs="宋体"/>
          <w:color w:val="auto"/>
          <w:sz w:val="24"/>
          <w:highlight w:val="none"/>
        </w:rPr>
        <w:t>竞争性谈判</w:t>
      </w:r>
      <w:r>
        <w:rPr>
          <w:rFonts w:hint="eastAsia" w:ascii="宋体" w:hAnsi="宋体" w:cs="宋体"/>
          <w:color w:val="auto"/>
          <w:sz w:val="24"/>
          <w:highlight w:val="none"/>
        </w:rPr>
        <w:t>的分标的单项内容作唯一报价。</w:t>
      </w:r>
    </w:p>
    <w:p w14:paraId="2D0DC38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15.3.2</w:t>
      </w:r>
      <w:r>
        <w:rPr>
          <w:rFonts w:hint="eastAsia" w:hAnsi="宋体" w:cs="宋体"/>
          <w:color w:val="auto"/>
          <w:sz w:val="24"/>
          <w:highlight w:val="none"/>
        </w:rPr>
        <w:t>竞争性谈判</w:t>
      </w:r>
      <w:r>
        <w:rPr>
          <w:rFonts w:hint="eastAsia" w:ascii="宋体" w:hAnsi="宋体" w:cs="宋体"/>
          <w:color w:val="auto"/>
          <w:sz w:val="24"/>
          <w:highlight w:val="none"/>
        </w:rPr>
        <w:t>报价（包含首次报价、最后报价）超过所参与</w:t>
      </w:r>
      <w:r>
        <w:rPr>
          <w:rFonts w:hint="eastAsia" w:hAnsi="宋体" w:cs="宋体"/>
          <w:color w:val="auto"/>
          <w:sz w:val="24"/>
          <w:highlight w:val="none"/>
        </w:rPr>
        <w:t>竞争性谈判</w:t>
      </w:r>
      <w:r>
        <w:rPr>
          <w:rFonts w:hint="eastAsia" w:ascii="宋体" w:hAnsi="宋体" w:cs="宋体"/>
          <w:color w:val="auto"/>
          <w:sz w:val="24"/>
          <w:highlight w:val="none"/>
        </w:rPr>
        <w:t>分标规定的采购预算金额或者最高限价的，其响应文件将按无效响应处理。</w:t>
      </w:r>
    </w:p>
    <w:p w14:paraId="06168CCD">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15.3.3</w:t>
      </w:r>
      <w:r>
        <w:rPr>
          <w:rFonts w:hint="eastAsia" w:hAnsi="宋体" w:cs="宋体"/>
          <w:color w:val="auto"/>
          <w:sz w:val="24"/>
          <w:highlight w:val="none"/>
        </w:rPr>
        <w:t>竞争性谈判</w:t>
      </w:r>
      <w:r>
        <w:rPr>
          <w:rFonts w:hint="eastAsia" w:ascii="宋体" w:hAnsi="宋体" w:cs="宋体"/>
          <w:color w:val="auto"/>
          <w:sz w:val="24"/>
          <w:highlight w:val="none"/>
        </w:rPr>
        <w:t>报价（包含首次报价、最后报价）超过分项采购预算金额或者最高限价的，其响应文件将作无效处理。</w:t>
      </w:r>
    </w:p>
    <w:p w14:paraId="04129891">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16.竞争性谈判有效期</w:t>
      </w:r>
    </w:p>
    <w:p w14:paraId="58739E9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16.1</w:t>
      </w:r>
      <w:r>
        <w:rPr>
          <w:rFonts w:hint="eastAsia" w:hAnsi="宋体" w:cs="宋体"/>
          <w:color w:val="auto"/>
          <w:sz w:val="24"/>
          <w:highlight w:val="none"/>
        </w:rPr>
        <w:t>竞争性谈判</w:t>
      </w:r>
      <w:r>
        <w:rPr>
          <w:rFonts w:hint="eastAsia" w:ascii="宋体" w:hAnsi="宋体" w:cs="宋体"/>
          <w:color w:val="auto"/>
          <w:sz w:val="24"/>
          <w:highlight w:val="none"/>
        </w:rPr>
        <w:t>有效期是指为保证采购人有足够的时间在提交响应文件后完成评审、确定成交供应商、合同签订等工作而要求供应商提交的响应文件在一定时间内保持有效的期限。</w:t>
      </w:r>
    </w:p>
    <w:p w14:paraId="6697A4E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16.2</w:t>
      </w:r>
      <w:r>
        <w:rPr>
          <w:rFonts w:hint="eastAsia" w:hAnsi="宋体" w:cs="宋体"/>
          <w:color w:val="auto"/>
          <w:sz w:val="24"/>
          <w:highlight w:val="none"/>
        </w:rPr>
        <w:t>竞争性谈判</w:t>
      </w:r>
      <w:r>
        <w:rPr>
          <w:rFonts w:hint="eastAsia" w:ascii="宋体" w:hAnsi="宋体" w:cs="宋体"/>
          <w:color w:val="auto"/>
          <w:sz w:val="24"/>
          <w:highlight w:val="none"/>
        </w:rPr>
        <w:t>有效期应由供应商按“供应商须知前附表”规定的期限作出响应。</w:t>
      </w:r>
    </w:p>
    <w:p w14:paraId="629E058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16.3供应商的响应文件在</w:t>
      </w:r>
      <w:r>
        <w:rPr>
          <w:rFonts w:hint="eastAsia" w:hAnsi="宋体" w:cs="宋体"/>
          <w:color w:val="auto"/>
          <w:sz w:val="24"/>
          <w:highlight w:val="none"/>
        </w:rPr>
        <w:t>竞争性谈判</w:t>
      </w:r>
      <w:r>
        <w:rPr>
          <w:rFonts w:hint="eastAsia" w:ascii="宋体" w:hAnsi="宋体" w:cs="宋体"/>
          <w:color w:val="auto"/>
          <w:sz w:val="24"/>
          <w:highlight w:val="none"/>
        </w:rPr>
        <w:t>有效期内均保持有效。</w:t>
      </w:r>
    </w:p>
    <w:p w14:paraId="63474DE1">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17.谈判保证金</w:t>
      </w:r>
    </w:p>
    <w:p w14:paraId="4183AD4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17.1供应商须按“供应商须知前附表”的规定提交谈判保证金。</w:t>
      </w:r>
    </w:p>
    <w:p w14:paraId="739B058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17.2谈判保证金的退还</w:t>
      </w:r>
    </w:p>
    <w:p w14:paraId="1D31227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未</w:t>
      </w:r>
      <w:r>
        <w:rPr>
          <w:rFonts w:hint="eastAsia" w:ascii="宋体" w:hAnsi="宋体" w:cs="宋体"/>
          <w:color w:val="auto"/>
          <w:spacing w:val="-6"/>
          <w:sz w:val="24"/>
          <w:highlight w:val="none"/>
        </w:rPr>
        <w:t>成交</w:t>
      </w:r>
      <w:r>
        <w:rPr>
          <w:rFonts w:hint="eastAsia" w:ascii="宋体" w:hAnsi="宋体" w:cs="宋体"/>
          <w:color w:val="auto"/>
          <w:sz w:val="24"/>
          <w:highlight w:val="none"/>
        </w:rPr>
        <w:t>供应商的谈判保证金自成交通知书发出之日起</w:t>
      </w:r>
      <w:r>
        <w:rPr>
          <w:rFonts w:ascii="宋体" w:hAnsi="宋体" w:cs="宋体"/>
          <w:color w:val="auto"/>
          <w:sz w:val="24"/>
          <w:highlight w:val="none"/>
        </w:rPr>
        <w:t>5</w:t>
      </w:r>
      <w:r>
        <w:rPr>
          <w:rFonts w:hint="eastAsia" w:ascii="宋体" w:hAnsi="宋体" w:cs="宋体"/>
          <w:color w:val="auto"/>
          <w:sz w:val="24"/>
          <w:highlight w:val="none"/>
        </w:rPr>
        <w:t>个工作日内退还；成交供应商的谈判保证金自签订合同之日起</w:t>
      </w:r>
      <w:r>
        <w:rPr>
          <w:rFonts w:ascii="宋体" w:hAnsi="宋体" w:cs="宋体"/>
          <w:color w:val="auto"/>
          <w:sz w:val="24"/>
          <w:highlight w:val="none"/>
        </w:rPr>
        <w:t>5</w:t>
      </w:r>
      <w:r>
        <w:rPr>
          <w:rFonts w:hint="eastAsia" w:ascii="宋体" w:hAnsi="宋体" w:cs="宋体"/>
          <w:color w:val="auto"/>
          <w:sz w:val="24"/>
          <w:highlight w:val="none"/>
        </w:rPr>
        <w:t xml:space="preserve">个工作日内退还。 </w:t>
      </w:r>
    </w:p>
    <w:p w14:paraId="01039E6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17.3谈判保证金不计息。</w:t>
      </w:r>
    </w:p>
    <w:p w14:paraId="02DF816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17.4供应商有下列情形之一的，谈判保证金将不予退还： </w:t>
      </w:r>
    </w:p>
    <w:p w14:paraId="5372F1B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（1）供应商在提交首次响应文件截止时间后撤回响应文件的，但在提交最后报价之前退出谈判的情况除外；</w:t>
      </w:r>
    </w:p>
    <w:p w14:paraId="7BAF63B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（2）未按规定提交履约保证金的；</w:t>
      </w:r>
    </w:p>
    <w:p w14:paraId="12911C2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（3）供应商在响应文件中提供虚假材料的；</w:t>
      </w:r>
    </w:p>
    <w:p w14:paraId="63F0DDC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（4）除因不可抗力或者谈判文件认可的情形以外，成交供应商不与采购人签订合同的；</w:t>
      </w:r>
    </w:p>
    <w:p w14:paraId="2A77FEB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（5）供应商与采购人、其他供应商或者采购代理机构恶意串通的；</w:t>
      </w:r>
    </w:p>
    <w:p w14:paraId="5872B46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（6）法律法规规定的其他情形。</w:t>
      </w:r>
    </w:p>
    <w:p w14:paraId="437EAC2E">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18.响应文件编制的要求</w:t>
      </w:r>
    </w:p>
    <w:p w14:paraId="6DA02A5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18.1供应商应按本谈判文件规定的格式和顺序编制、装订响应文件并标注页码，响应文件内容</w:t>
      </w:r>
      <w:r>
        <w:rPr>
          <w:rFonts w:hint="eastAsia" w:ascii="宋体" w:hAnsi="宋体" w:cs="宋体"/>
          <w:color w:val="auto"/>
          <w:spacing w:val="-6"/>
          <w:sz w:val="24"/>
          <w:highlight w:val="none"/>
        </w:rPr>
        <w:t>不完整、编排混乱导致响应文件被误读、漏读或者查找不到相关内容的，</w:t>
      </w:r>
      <w:r>
        <w:rPr>
          <w:rFonts w:hint="eastAsia" w:ascii="宋体" w:hAnsi="宋体" w:cs="宋体"/>
          <w:color w:val="auto"/>
          <w:sz w:val="24"/>
          <w:szCs w:val="32"/>
          <w:highlight w:val="none"/>
        </w:rPr>
        <w:t>由此引发的</w:t>
      </w:r>
      <w:r>
        <w:rPr>
          <w:rFonts w:hint="eastAsia" w:ascii="宋体" w:hAnsi="宋体" w:cs="宋体"/>
          <w:color w:val="auto"/>
          <w:spacing w:val="-6"/>
          <w:sz w:val="24"/>
          <w:highlight w:val="none"/>
        </w:rPr>
        <w:t>后果由供应商承担。</w:t>
      </w:r>
    </w:p>
    <w:p w14:paraId="348620D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18.2响应文件应按资格证明文件、报价商务技术文件分别编制电子文件，</w:t>
      </w:r>
      <w:r>
        <w:rPr>
          <w:rFonts w:hint="eastAsia" w:ascii="宋体" w:hAnsi="宋体" w:cs="宋体"/>
          <w:color w:val="auto"/>
          <w:sz w:val="24"/>
          <w:highlight w:val="none"/>
          <w:lang w:bidi="ar"/>
        </w:rPr>
        <w:t>并按广西政府采购云平台的要求编制、加密、上传。</w:t>
      </w:r>
    </w:p>
    <w:p w14:paraId="18A6465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w:t>
      </w:r>
      <w:bookmarkStart w:id="21" w:name="_Hlk65832699"/>
      <w:r>
        <w:rPr>
          <w:rFonts w:hint="eastAsia" w:ascii="宋体" w:hAnsi="宋体" w:cs="宋体"/>
          <w:color w:val="auto"/>
          <w:sz w:val="24"/>
          <w:highlight w:val="none"/>
        </w:rPr>
        <w:t>3响应文件须由供应商在规定位置盖公章并签字</w:t>
      </w:r>
      <w:bookmarkStart w:id="22" w:name="_Hlk65832569"/>
      <w:r>
        <w:rPr>
          <w:rFonts w:hint="eastAsia" w:ascii="宋体" w:hAnsi="宋体" w:cs="宋体"/>
          <w:color w:val="auto"/>
          <w:sz w:val="24"/>
          <w:highlight w:val="none"/>
        </w:rPr>
        <w:t>（具体以供应商须知前附表或响应文件格式规定为准）</w:t>
      </w:r>
      <w:bookmarkEnd w:id="21"/>
      <w:bookmarkEnd w:id="22"/>
      <w:r>
        <w:rPr>
          <w:rFonts w:hint="eastAsia" w:ascii="宋体" w:hAnsi="宋体" w:cs="宋体"/>
          <w:color w:val="auto"/>
          <w:sz w:val="24"/>
          <w:highlight w:val="none"/>
        </w:rPr>
        <w:t>，否则其响应文件按无效响应处理。</w:t>
      </w:r>
    </w:p>
    <w:p w14:paraId="3DE59C4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18.4响应文件中标注的供应商名称应与营业执照（事业单位法人证书、执业许可证、自然人身份证）及公章一致，否则其响应文件按无效响应处理。</w:t>
      </w:r>
    </w:p>
    <w:p w14:paraId="2CA9F2E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18.5响应文件应尽量避免涂改、行间插字或者删除。如果出现上述情况，改动之处应由供应商的法定代表人或者其委托代理人签字或者加盖公章。响应文件因涂改、行间插字或者删除导致字迹潦草或者表达不清所引起的后果由供应商承担。</w:t>
      </w:r>
    </w:p>
    <w:p w14:paraId="0ED7E228">
      <w:pPr>
        <w:spacing w:line="360" w:lineRule="auto"/>
        <w:ind w:firstLine="643" w:firstLineChars="200"/>
        <w:rPr>
          <w:rFonts w:ascii="宋体" w:hAnsi="宋体" w:cs="宋体"/>
          <w:b/>
          <w:bCs/>
          <w:color w:val="auto"/>
          <w:sz w:val="32"/>
          <w:szCs w:val="32"/>
          <w:highlight w:val="none"/>
        </w:rPr>
      </w:pPr>
      <w:r>
        <w:rPr>
          <w:rFonts w:hint="eastAsia" w:ascii="宋体" w:hAnsi="宋体" w:cs="宋体"/>
          <w:b/>
          <w:color w:val="auto"/>
          <w:sz w:val="32"/>
          <w:szCs w:val="32"/>
          <w:highlight w:val="none"/>
        </w:rPr>
        <w:t>19.响应文件的加密、解密</w:t>
      </w:r>
    </w:p>
    <w:p w14:paraId="0B0BDD6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19.1电子响应文件编制完成后，供应商应按广西政府采购云平台的要求进行加密，并在规定时间内解密，否则，由此产生的后果由供应商自行负责。</w:t>
      </w:r>
    </w:p>
    <w:p w14:paraId="33D79BE0">
      <w:pPr>
        <w:pStyle w:val="35"/>
        <w:ind w:firstLine="480" w:firstLineChars="200"/>
        <w:rPr>
          <w:color w:val="auto"/>
          <w:highlight w:val="none"/>
        </w:rPr>
      </w:pPr>
      <w:r>
        <w:rPr>
          <w:rFonts w:hint="eastAsia" w:ascii="宋体" w:hAnsi="宋体" w:cs="宋体"/>
          <w:color w:val="auto"/>
          <w:sz w:val="24"/>
          <w:highlight w:val="none"/>
        </w:rPr>
        <w:t>19.</w:t>
      </w:r>
      <w:r>
        <w:rPr>
          <w:rFonts w:ascii="宋体" w:hAnsi="宋体" w:cs="宋体"/>
          <w:color w:val="auto"/>
          <w:sz w:val="24"/>
          <w:highlight w:val="none"/>
        </w:rPr>
        <w:t>2</w:t>
      </w:r>
      <w:r>
        <w:rPr>
          <w:rFonts w:hint="eastAsia" w:ascii="宋体" w:hAnsi="宋体" w:cs="宋体"/>
          <w:color w:val="auto"/>
          <w:sz w:val="24"/>
          <w:highlight w:val="none"/>
        </w:rPr>
        <w:t>本项目不接受电子备份响应文件。</w:t>
      </w:r>
    </w:p>
    <w:p w14:paraId="61391C65">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20.响应文件的提交</w:t>
      </w:r>
    </w:p>
    <w:p w14:paraId="05A10430">
      <w:pPr>
        <w:widowControl/>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20.1供应商必须在“供应商须知前附表”规定的时间和地点提交响应文件。</w:t>
      </w:r>
    </w:p>
    <w:p w14:paraId="67032B13">
      <w:pPr>
        <w:widowControl/>
        <w:spacing w:line="360" w:lineRule="auto"/>
        <w:ind w:firstLine="480" w:firstLineChars="200"/>
        <w:rPr>
          <w:rFonts w:ascii="宋体" w:hAnsi="宋体" w:cs="宋体"/>
          <w:b/>
          <w:color w:val="auto"/>
          <w:sz w:val="24"/>
          <w:highlight w:val="none"/>
          <w:lang w:bidi="ar"/>
        </w:rPr>
      </w:pPr>
      <w:r>
        <w:rPr>
          <w:rFonts w:hint="eastAsia" w:ascii="宋体" w:hAnsi="宋体" w:cs="宋体"/>
          <w:color w:val="auto"/>
          <w:sz w:val="24"/>
          <w:highlight w:val="none"/>
        </w:rPr>
        <w:t>20.</w:t>
      </w:r>
      <w:r>
        <w:rPr>
          <w:rFonts w:ascii="宋体" w:hAnsi="宋体" w:cs="宋体"/>
          <w:color w:val="auto"/>
          <w:sz w:val="24"/>
          <w:highlight w:val="none"/>
        </w:rPr>
        <w:t>2</w:t>
      </w:r>
      <w:r>
        <w:rPr>
          <w:rFonts w:hint="eastAsia" w:ascii="宋体" w:hAnsi="宋体" w:cs="宋体"/>
          <w:color w:val="auto"/>
          <w:sz w:val="24"/>
          <w:highlight w:val="none"/>
          <w:lang w:bidi="ar"/>
        </w:rPr>
        <w:t>本项目为全流程电子化政府采购项目，通过广西政府采购云平台（https://www.gcy.zfcg.gxzf.gov.cn/）实行在线电子竞争性谈判，供应商应先安装“广西政府采购云平台电子交易客户端”（请自行前往广西政府采购云平台进行下载），并按照本项目竞争性谈判文件和广西政府采购云平台的要求编制、加密后在首次响应文件提交截止时间前通过网络上传至广西政府采购云平台，</w:t>
      </w:r>
      <w:r>
        <w:rPr>
          <w:rFonts w:hint="eastAsia" w:ascii="宋体" w:hAnsi="宋体" w:cs="宋体"/>
          <w:b/>
          <w:color w:val="auto"/>
          <w:sz w:val="24"/>
          <w:highlight w:val="none"/>
          <w:lang w:bidi="ar"/>
        </w:rPr>
        <w:t>供应商在广西政府采购云平台提交电子版响应文件时，请填写参加远程开标活动经办人联系方式。</w:t>
      </w:r>
    </w:p>
    <w:p w14:paraId="7F9876AD">
      <w:pPr>
        <w:pStyle w:val="6"/>
        <w:keepNext w:val="0"/>
        <w:keepLines w:val="0"/>
        <w:spacing w:before="0" w:after="0" w:line="360" w:lineRule="auto"/>
        <w:ind w:firstLine="480" w:firstLineChars="200"/>
        <w:jc w:val="left"/>
        <w:rPr>
          <w:rFonts w:ascii="宋体" w:hAnsi="宋体" w:cs="宋体"/>
          <w:b w:val="0"/>
          <w:color w:val="auto"/>
          <w:sz w:val="24"/>
          <w:szCs w:val="24"/>
          <w:highlight w:val="none"/>
        </w:rPr>
      </w:pPr>
      <w:r>
        <w:rPr>
          <w:rFonts w:hint="eastAsia" w:ascii="宋体" w:hAnsi="宋体" w:cs="宋体"/>
          <w:b w:val="0"/>
          <w:color w:val="auto"/>
          <w:sz w:val="24"/>
          <w:szCs w:val="24"/>
          <w:highlight w:val="none"/>
        </w:rPr>
        <w:t>20.</w:t>
      </w:r>
      <w:r>
        <w:rPr>
          <w:rFonts w:ascii="宋体" w:hAnsi="宋体" w:cs="宋体"/>
          <w:b w:val="0"/>
          <w:color w:val="auto"/>
          <w:sz w:val="24"/>
          <w:szCs w:val="24"/>
          <w:highlight w:val="none"/>
        </w:rPr>
        <w:t>3</w:t>
      </w:r>
      <w:r>
        <w:rPr>
          <w:rFonts w:hint="eastAsia" w:ascii="宋体" w:hAnsi="宋体" w:cs="宋体"/>
          <w:b w:val="0"/>
          <w:color w:val="auto"/>
          <w:sz w:val="24"/>
          <w:szCs w:val="24"/>
          <w:highlight w:val="none"/>
        </w:rPr>
        <w:t>未在规定时间内上传或者未按广西政府采购云平台的要求编制、加密的电子响应文件，广西政府采购云平台将拒收。</w:t>
      </w:r>
    </w:p>
    <w:p w14:paraId="170DD7F1">
      <w:pPr>
        <w:widowControl/>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20.</w:t>
      </w:r>
      <w:r>
        <w:rPr>
          <w:rFonts w:ascii="宋体" w:hAnsi="宋体" w:cs="宋体"/>
          <w:color w:val="auto"/>
          <w:sz w:val="24"/>
          <w:highlight w:val="none"/>
        </w:rPr>
        <w:t>4</w:t>
      </w:r>
      <w:r>
        <w:rPr>
          <w:rFonts w:hint="eastAsia" w:ascii="宋体" w:hAnsi="宋体" w:cs="宋体"/>
          <w:color w:val="auto"/>
          <w:sz w:val="24"/>
          <w:highlight w:val="none"/>
        </w:rPr>
        <w:t>电子响应文件提交方式见“竞争性谈判公告”中“四、响应文件提交”。</w:t>
      </w:r>
    </w:p>
    <w:p w14:paraId="0921ED3B">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21.首次响应文件的补充、修改与撤回</w:t>
      </w:r>
    </w:p>
    <w:p w14:paraId="75969825">
      <w:pPr>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lang w:bidi="ar"/>
        </w:rPr>
        <w:t>21.1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广西政府采购云平台将予以拒收。</w:t>
      </w:r>
    </w:p>
    <w:p w14:paraId="2D57A79F">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22.首次响应文件的退回</w:t>
      </w:r>
    </w:p>
    <w:p w14:paraId="16C6530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22.1在首次响应文件提交截止时间止提交响应文件的供应商不足3家时，采购代理机构将根据广西政府采购云平台的操作将电子版响应文件退回，除此之外采购人和采购代理机构对已提交的电子响应文件概不退回。</w:t>
      </w:r>
    </w:p>
    <w:p w14:paraId="516D2730">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23.截止时间后的撤回</w:t>
      </w:r>
    </w:p>
    <w:p w14:paraId="638533E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23.1供应商在首次响应文件提交截止时间后书面通知采购人、采购代理机构书面撤回响应文件的，将根据本须知正文17.4的规定不予退还其谈判保证金。</w:t>
      </w:r>
    </w:p>
    <w:p w14:paraId="0824179B">
      <w:pPr>
        <w:spacing w:line="360" w:lineRule="auto"/>
        <w:ind w:firstLine="480" w:firstLineChars="200"/>
        <w:rPr>
          <w:rFonts w:ascii="宋体" w:hAnsi="宋体" w:cs="宋体"/>
          <w:color w:val="auto"/>
          <w:sz w:val="24"/>
          <w:highlight w:val="none"/>
        </w:rPr>
      </w:pPr>
    </w:p>
    <w:p w14:paraId="6BAA591E">
      <w:pPr>
        <w:spacing w:line="360" w:lineRule="auto"/>
        <w:jc w:val="center"/>
        <w:rPr>
          <w:rFonts w:ascii="宋体" w:hAnsi="宋体" w:cs="宋体"/>
          <w:b/>
          <w:color w:val="auto"/>
          <w:sz w:val="40"/>
          <w:szCs w:val="40"/>
          <w:highlight w:val="none"/>
        </w:rPr>
      </w:pPr>
      <w:r>
        <w:rPr>
          <w:rFonts w:hint="eastAsia" w:ascii="宋体" w:hAnsi="宋体" w:cs="宋体"/>
          <w:b/>
          <w:color w:val="auto"/>
          <w:sz w:val="40"/>
          <w:szCs w:val="40"/>
          <w:highlight w:val="none"/>
        </w:rPr>
        <w:t>四、评审及谈判</w:t>
      </w:r>
    </w:p>
    <w:p w14:paraId="0129BC81">
      <w:pPr>
        <w:spacing w:line="360" w:lineRule="auto"/>
        <w:ind w:firstLine="420"/>
        <w:rPr>
          <w:rFonts w:ascii="宋体" w:hAnsi="宋体" w:cs="宋体"/>
          <w:color w:val="auto"/>
          <w:sz w:val="24"/>
          <w:highlight w:val="none"/>
        </w:rPr>
      </w:pPr>
    </w:p>
    <w:p w14:paraId="393143DB">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24.谈判小组成立</w:t>
      </w:r>
    </w:p>
    <w:p w14:paraId="3204FBB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24.1竞争性谈判小组成立：谈判小组由采购人代表和评审专家共3人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043A0BB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41DFB8E7">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25.首次响应文件的开启</w:t>
      </w:r>
    </w:p>
    <w:p w14:paraId="3EC55ED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25.1首次响应文件由谈判小组或者采购代理机构在“供应商须知前附表”规定的时间开启。</w:t>
      </w:r>
    </w:p>
    <w:p w14:paraId="34D35D2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25.2 响应文件解密：采购代理机构将在“供应商须知前附表”规定的时间通过电子交易平台组织响应文件开启，采购代理机构将依托电子交易平台发起开始解密指令，</w:t>
      </w:r>
      <w:r>
        <w:rPr>
          <w:rFonts w:hint="eastAsia" w:ascii="宋体" w:hAnsi="宋体" w:cs="宋体"/>
          <w:b/>
          <w:color w:val="auto"/>
          <w:sz w:val="24"/>
          <w:highlight w:val="none"/>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cs="宋体"/>
          <w:b/>
          <w:bCs/>
          <w:color w:val="auto"/>
          <w:sz w:val="24"/>
          <w:highlight w:val="none"/>
        </w:rPr>
        <w:t>响应文件未按时解密的，视为响应文件无效。</w:t>
      </w:r>
      <w:r>
        <w:rPr>
          <w:rFonts w:hint="eastAsia" w:ascii="宋体" w:hAnsi="宋体" w:cs="宋体"/>
          <w:color w:val="auto"/>
          <w:sz w:val="24"/>
          <w:highlight w:val="none"/>
        </w:rPr>
        <w:t>（解密异常情况处理：详见本章26.2电子交易活动的中止。）</w:t>
      </w:r>
    </w:p>
    <w:p w14:paraId="2BA98A3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25.3成功解密响应文件的供应商不足3家的，不得谈判。</w:t>
      </w:r>
    </w:p>
    <w:p w14:paraId="22285326">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26.评审程序和评定成交的标准</w:t>
      </w:r>
    </w:p>
    <w:p w14:paraId="000A934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26.1谈判小组按照“第四章  评审程序和评定成交的标准”规定的评审程序对响应文件进行评审，并按照评定成交的标准推荐成交候选供应商。</w:t>
      </w:r>
    </w:p>
    <w:p w14:paraId="30BFCBC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26.2电子交易活动的中止。采购过程中出现以下情形，导致电子交易平台无法正常运行，或者无法保证电子交易的公平、公正和安全时，采购机构可中止电子交易活动：</w:t>
      </w:r>
    </w:p>
    <w:p w14:paraId="48FA513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（1）电子交易平台发生故障而无法登录访问的； </w:t>
      </w:r>
    </w:p>
    <w:p w14:paraId="460B698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（2）电子交易平台应用或数据库出现错误，不能进行正常操作的；</w:t>
      </w:r>
    </w:p>
    <w:p w14:paraId="3EDB334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（3）电子交易平台发现严重安全漏洞，有潜在泄密危险的；</w:t>
      </w:r>
    </w:p>
    <w:p w14:paraId="7A4A4A0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（4）病毒发作导致不能进行正常操作的； </w:t>
      </w:r>
    </w:p>
    <w:p w14:paraId="0F080E8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）其他无法保证电子交易的公平、公正和安全的情况。</w:t>
      </w:r>
    </w:p>
    <w:p w14:paraId="4322D65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26.3出现以上情形，不影响采购公平、公正性的，采购代理机构可以待上述情形消除后继续组织电子交易活动；影响或可能影响采购公平、公正性的，经采购代理机构确认后，应当重新采购。</w:t>
      </w:r>
    </w:p>
    <w:p w14:paraId="2A84C9E1">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27.确定成交供应商及结果公告</w:t>
      </w:r>
    </w:p>
    <w:p w14:paraId="4341782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27.1 采购代理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41AB71F2">
      <w:pPr>
        <w:pStyle w:val="10"/>
        <w:spacing w:line="360" w:lineRule="auto"/>
        <w:ind w:firstLine="480" w:firstLineChars="200"/>
        <w:jc w:val="both"/>
        <w:rPr>
          <w:rFonts w:ascii="宋体" w:hAnsi="宋体" w:cs="宋体"/>
          <w:color w:val="auto"/>
          <w:kern w:val="0"/>
          <w:sz w:val="24"/>
          <w:highlight w:val="none"/>
        </w:rPr>
      </w:pPr>
      <w:r>
        <w:rPr>
          <w:rFonts w:hint="eastAsia" w:ascii="宋体" w:hAnsi="宋体" w:cs="宋体"/>
          <w:color w:val="auto"/>
          <w:kern w:val="0"/>
          <w:sz w:val="24"/>
          <w:highlight w:val="none"/>
        </w:rPr>
        <w:t>27.2采购代理机构应当在成交供应商确定后2个工作日内，在省级以上财政部门指定的媒体上公告成交结果，同时向成交供应商发出成交通知书。</w:t>
      </w:r>
      <w:r>
        <w:rPr>
          <w:rFonts w:hint="eastAsia" w:ascii="宋体" w:hAnsi="宋体" w:cs="宋体"/>
          <w:b/>
          <w:color w:val="auto"/>
          <w:kern w:val="0"/>
          <w:sz w:val="24"/>
          <w:highlight w:val="none"/>
        </w:rPr>
        <w:t>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w:t>
      </w:r>
      <w:r>
        <w:rPr>
          <w:rFonts w:hint="eastAsia" w:ascii="宋体" w:hAnsi="宋体" w:cs="宋体"/>
          <w:color w:val="auto"/>
          <w:kern w:val="0"/>
          <w:sz w:val="24"/>
          <w:highlight w:val="none"/>
        </w:rPr>
        <w:t>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cs="宋体"/>
          <w:color w:val="auto"/>
          <w:sz w:val="24"/>
          <w:highlight w:val="none"/>
        </w:rPr>
        <w:t>成交供应商享受《政府采购促进中小企业发展管理办法》（财库〔2020〕46号）规定的中小企业扶持政策的，采购人、采购代理机构应当随成交结果公开成交供应商的《中小企业声明函》。</w:t>
      </w:r>
    </w:p>
    <w:p w14:paraId="693F1B77">
      <w:pPr>
        <w:pStyle w:val="10"/>
        <w:spacing w:line="360" w:lineRule="auto"/>
        <w:ind w:firstLine="480" w:firstLineChars="200"/>
        <w:jc w:val="both"/>
        <w:rPr>
          <w:rFonts w:ascii="宋体" w:hAnsi="宋体" w:cs="宋体"/>
          <w:color w:val="auto"/>
          <w:sz w:val="24"/>
          <w:highlight w:val="none"/>
        </w:rPr>
      </w:pPr>
      <w:r>
        <w:rPr>
          <w:rFonts w:hint="eastAsia" w:ascii="宋体" w:hAnsi="宋体" w:cs="宋体"/>
          <w:color w:val="auto"/>
          <w:sz w:val="24"/>
          <w:highlight w:val="none"/>
        </w:rPr>
        <w:t>27.3出现下列情形之一的，采购人或者采购代理机构应当终止竞争性谈判采购活动，发布项目终止公告并说明原因，重新开展采购活动：</w:t>
      </w:r>
    </w:p>
    <w:p w14:paraId="350D9A2B">
      <w:pPr>
        <w:pStyle w:val="10"/>
        <w:spacing w:line="360" w:lineRule="auto"/>
        <w:ind w:firstLine="480" w:firstLineChars="200"/>
        <w:jc w:val="both"/>
        <w:rPr>
          <w:rFonts w:ascii="宋体" w:hAnsi="宋体" w:cs="宋体"/>
          <w:color w:val="auto"/>
          <w:sz w:val="24"/>
          <w:highlight w:val="none"/>
        </w:rPr>
      </w:pPr>
      <w:r>
        <w:rPr>
          <w:rFonts w:hint="eastAsia" w:ascii="宋体" w:hAnsi="宋体" w:cs="宋体"/>
          <w:color w:val="auto"/>
          <w:sz w:val="24"/>
          <w:highlight w:val="none"/>
        </w:rPr>
        <w:t>（一）因情况变化，不再符合规定的竞争性谈判采购方式适用情形的；</w:t>
      </w:r>
    </w:p>
    <w:p w14:paraId="65E039B6">
      <w:pPr>
        <w:pStyle w:val="10"/>
        <w:spacing w:line="360" w:lineRule="auto"/>
        <w:ind w:firstLine="480" w:firstLineChars="200"/>
        <w:jc w:val="both"/>
        <w:rPr>
          <w:rFonts w:ascii="宋体" w:hAnsi="宋体" w:cs="宋体"/>
          <w:color w:val="auto"/>
          <w:sz w:val="24"/>
          <w:highlight w:val="none"/>
        </w:rPr>
      </w:pPr>
      <w:r>
        <w:rPr>
          <w:rFonts w:hint="eastAsia" w:ascii="宋体" w:hAnsi="宋体" w:cs="宋体"/>
          <w:color w:val="auto"/>
          <w:sz w:val="24"/>
          <w:highlight w:val="none"/>
        </w:rPr>
        <w:t>（二）出现影响采购公正的违法、违规行为的；</w:t>
      </w:r>
    </w:p>
    <w:p w14:paraId="6612F001">
      <w:pPr>
        <w:pStyle w:val="10"/>
        <w:spacing w:line="360" w:lineRule="auto"/>
        <w:ind w:firstLine="480" w:firstLineChars="200"/>
        <w:jc w:val="both"/>
        <w:rPr>
          <w:rFonts w:ascii="宋体" w:hAnsi="宋体" w:cs="宋体"/>
          <w:color w:val="auto"/>
          <w:sz w:val="24"/>
          <w:highlight w:val="none"/>
        </w:rPr>
      </w:pPr>
      <w:r>
        <w:rPr>
          <w:rFonts w:hint="eastAsia" w:ascii="宋体" w:hAnsi="宋体" w:cs="宋体"/>
          <w:color w:val="auto"/>
          <w:sz w:val="24"/>
          <w:highlight w:val="none"/>
        </w:rPr>
        <w:t>（三）在采购过程中符合竞争要求的供应商或者报价未超过采购预算的供应商不足3家的，但“第四章 评审程序和评定成交的标准”第3.7条规定的情形除外。</w:t>
      </w:r>
    </w:p>
    <w:p w14:paraId="7F8E3DFC">
      <w:pPr>
        <w:pStyle w:val="1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27.4在采购活动中因重大变故，采购任务取消的，采购人或者采购代理机构应当终止采购活动，通知所有参加采购活动的供应商。</w:t>
      </w:r>
    </w:p>
    <w:p w14:paraId="0EECF4C5">
      <w:pPr>
        <w:pStyle w:val="1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27.5</w:t>
      </w:r>
      <w:r>
        <w:rPr>
          <w:rFonts w:hint="eastAsia" w:ascii="宋体" w:hAnsi="宋体" w:cs="宋体"/>
          <w:color w:val="auto"/>
          <w:sz w:val="24"/>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拒绝签订政府采购合同的成交供应商不得参加对该项目重新开展的采购活动。</w:t>
      </w:r>
    </w:p>
    <w:p w14:paraId="54BEDCC4">
      <w:pPr>
        <w:pStyle w:val="1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除因不可抗力外，成交供应商不与采购人签订合同的，除不予退还其谈判保证金外，若给采购人造成损失，或（并）因此延误采购人教学科研计划的，须依据《中华人民共和国民法典》第五百条、《政府采购非招标采购方式管理办法（财政部令第74号）》第二十二条、第五十四条规定承担赔偿损失等法律责任，采购人有权将成交供应商的失信行为报财政部门记入诚信档案，以示惩戒。</w:t>
      </w:r>
    </w:p>
    <w:p w14:paraId="3376E5BC">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28.履约保证金</w:t>
      </w:r>
    </w:p>
    <w:p w14:paraId="735831AA">
      <w:pPr>
        <w:pStyle w:val="10"/>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highlight w:val="none"/>
        </w:rPr>
        <w:t>28.1履约保证金的金额、提交方式、退付的时间和条件详见 “供应商须知前附表”。</w:t>
      </w:r>
    </w:p>
    <w:p w14:paraId="197634D5">
      <w:pPr>
        <w:spacing w:line="360" w:lineRule="auto"/>
        <w:ind w:firstLine="484" w:firstLineChars="202"/>
        <w:rPr>
          <w:rFonts w:ascii="宋体" w:hAnsi="宋体" w:cs="宋体"/>
          <w:color w:val="auto"/>
          <w:sz w:val="24"/>
          <w:highlight w:val="none"/>
        </w:rPr>
      </w:pPr>
      <w:r>
        <w:rPr>
          <w:rFonts w:hint="eastAsia" w:ascii="宋体" w:hAnsi="宋体" w:cs="宋体"/>
          <w:color w:val="auto"/>
          <w:sz w:val="24"/>
          <w:highlight w:val="none"/>
        </w:rPr>
        <w:t>28.2在履约保证金退还日期前，若成交供应商的开户名称、开户银行、账号有变动的，请以书面形式通知履约保证金收取单位，否则由此产生的后果由成交供应商自负。</w:t>
      </w:r>
    </w:p>
    <w:p w14:paraId="66D57C69">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29.签订合同</w:t>
      </w:r>
    </w:p>
    <w:p w14:paraId="2712A85B">
      <w:pPr>
        <w:spacing w:line="360" w:lineRule="auto"/>
        <w:ind w:firstLine="484" w:firstLineChars="202"/>
        <w:rPr>
          <w:rFonts w:ascii="宋体" w:hAnsi="宋体" w:cs="宋体"/>
          <w:color w:val="auto"/>
          <w:sz w:val="24"/>
          <w:highlight w:val="none"/>
        </w:rPr>
      </w:pPr>
      <w:r>
        <w:rPr>
          <w:rFonts w:hint="eastAsia" w:ascii="宋体" w:hAnsi="宋体" w:cs="宋体"/>
          <w:color w:val="auto"/>
          <w:sz w:val="24"/>
          <w:highlight w:val="none"/>
        </w:rPr>
        <w:t>29.1成交供应商在收到成交通知书（书面或电子）后，按“供应商须知前附表”规定向采购人出示相关证明材料，经采购人核验合格后方可签订合同（书面或电子）。如成交供应商为联合体的，联合体各方应当共同与采购人签订采购合同，就采购合同约定的事项对采购人承担连带责任。</w:t>
      </w:r>
    </w:p>
    <w:p w14:paraId="11D1673B">
      <w:pPr>
        <w:spacing w:line="360" w:lineRule="auto"/>
        <w:ind w:firstLine="484" w:firstLineChars="202"/>
        <w:rPr>
          <w:rFonts w:ascii="宋体" w:hAnsi="宋体" w:cs="宋体"/>
          <w:color w:val="auto"/>
          <w:sz w:val="24"/>
          <w:highlight w:val="none"/>
        </w:rPr>
      </w:pPr>
      <w:r>
        <w:rPr>
          <w:rFonts w:hint="eastAsia" w:ascii="宋体" w:hAnsi="宋体" w:cs="宋体"/>
          <w:color w:val="auto"/>
          <w:sz w:val="24"/>
          <w:highlight w:val="none"/>
        </w:rPr>
        <w:t>29.2 签订合同时间：按成交通知书的规定与采购人签订政府采购合同（最长不能超过25日）。</w:t>
      </w:r>
    </w:p>
    <w:p w14:paraId="2971F071">
      <w:pPr>
        <w:spacing w:line="360" w:lineRule="auto"/>
        <w:ind w:firstLine="484" w:firstLineChars="202"/>
        <w:rPr>
          <w:rFonts w:ascii="宋体" w:hAnsi="宋体" w:cs="宋体"/>
          <w:color w:val="auto"/>
          <w:sz w:val="24"/>
          <w:highlight w:val="none"/>
        </w:rPr>
      </w:pPr>
      <w:r>
        <w:rPr>
          <w:rFonts w:hint="eastAsia" w:ascii="宋体" w:hAnsi="宋体" w:cs="宋体"/>
          <w:color w:val="auto"/>
          <w:sz w:val="24"/>
          <w:highlight w:val="none"/>
        </w:rPr>
        <w:t>29.3成交供应商拒绝与采购人签订合同的，按照本文件之《供应商须知正文》第27.5条的规定执行。</w:t>
      </w:r>
    </w:p>
    <w:p w14:paraId="1321E6C3">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30.政府采购合同公告</w:t>
      </w:r>
    </w:p>
    <w:p w14:paraId="169E73C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57CD3259">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31.询问、质疑和投诉</w:t>
      </w:r>
    </w:p>
    <w:p w14:paraId="761166FB">
      <w:pPr>
        <w:pStyle w:val="7"/>
        <w:spacing w:line="360" w:lineRule="auto"/>
        <w:rPr>
          <w:rFonts w:ascii="宋体" w:hAnsi="宋体" w:cs="宋体"/>
          <w:color w:val="auto"/>
          <w:sz w:val="24"/>
          <w:szCs w:val="24"/>
          <w:highlight w:val="none"/>
        </w:rPr>
      </w:pPr>
      <w:r>
        <w:rPr>
          <w:rFonts w:hint="eastAsia" w:ascii="宋体" w:hAnsi="宋体" w:cs="宋体"/>
          <w:color w:val="auto"/>
          <w:sz w:val="24"/>
          <w:szCs w:val="22"/>
          <w:highlight w:val="none"/>
        </w:rPr>
        <w:t>31.1供应商对政府采购活动事项有疑问的，可以向采购人、采购代理机构提出询问，采购人或者采购代理机构应当在3个工作日内对供应商依法提出的询问作出答复，</w:t>
      </w:r>
      <w:r>
        <w:rPr>
          <w:rFonts w:hint="eastAsia" w:ascii="宋体" w:hAnsi="宋体" w:cs="宋体"/>
          <w:color w:val="auto"/>
          <w:sz w:val="24"/>
          <w:szCs w:val="24"/>
          <w:highlight w:val="none"/>
        </w:rPr>
        <w:t>但答复的内容不得涉及商业秘密。</w:t>
      </w:r>
    </w:p>
    <w:p w14:paraId="14A8A58B">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31.2供应商认为谈判文件、采购过程或者成交结果使自己的合法权益受到损害的，应当在知道或者应知其权益受到损害之日起7个工作日内，以纸质书面形式向采购人、采购代理机构提出质疑，</w:t>
      </w:r>
      <w:r>
        <w:rPr>
          <w:rFonts w:hint="eastAsia" w:ascii="宋体" w:hAnsi="宋体" w:cs="宋体"/>
          <w:color w:val="auto"/>
          <w:sz w:val="24"/>
          <w:szCs w:val="32"/>
          <w:highlight w:val="none"/>
          <w:shd w:val="clear" w:color="auto" w:fill="FFFFFF"/>
        </w:rPr>
        <w:t>接收质疑函的方式、联系部门、联系电话和通讯地址等信息</w:t>
      </w:r>
      <w:r>
        <w:rPr>
          <w:rFonts w:hint="eastAsia" w:ascii="宋体" w:hAnsi="宋体" w:cs="宋体"/>
          <w:color w:val="auto"/>
          <w:sz w:val="24"/>
          <w:highlight w:val="none"/>
        </w:rPr>
        <w:t>详见“供应商须知前附表”</w:t>
      </w:r>
      <w:r>
        <w:rPr>
          <w:rFonts w:hint="eastAsia" w:ascii="宋体" w:hAnsi="宋体" w:cs="宋体"/>
          <w:color w:val="auto"/>
          <w:sz w:val="24"/>
          <w:szCs w:val="32"/>
          <w:highlight w:val="none"/>
        </w:rPr>
        <w:t>。供应商应当在法定质疑期内一次性提出针对同一采购程序环节的质疑。具体质疑起算时间如下：</w:t>
      </w:r>
    </w:p>
    <w:p w14:paraId="24E390CD">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（1）对可以质疑的谈判文件提出质疑的，为获取谈判文件之日；</w:t>
      </w:r>
    </w:p>
    <w:p w14:paraId="4936D101">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（2）对采购过程提出质疑的，为各采购程序环节结束之日；</w:t>
      </w:r>
    </w:p>
    <w:p w14:paraId="56FCE69C">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（3）对成交结果提出质疑的，为成交结果公告期限届满之日。</w:t>
      </w:r>
    </w:p>
    <w:p w14:paraId="3F27C0F2">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7321C852">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31.4供应商提出质疑应当提交质疑函和必要的证明材料，针对同一采购程序环节的质疑必须在法定质疑期内一次性提出。质疑函应当包括下列内容</w:t>
      </w:r>
      <w:r>
        <w:rPr>
          <w:rFonts w:hint="eastAsia" w:ascii="宋体" w:hAnsi="宋体" w:cs="宋体"/>
          <w:bCs/>
          <w:color w:val="auto"/>
          <w:sz w:val="24"/>
          <w:szCs w:val="32"/>
          <w:highlight w:val="none"/>
        </w:rPr>
        <w:t>（质疑函格式后附）</w:t>
      </w:r>
      <w:r>
        <w:rPr>
          <w:rFonts w:hint="eastAsia" w:ascii="宋体" w:hAnsi="宋体" w:cs="宋体"/>
          <w:color w:val="auto"/>
          <w:sz w:val="24"/>
          <w:szCs w:val="32"/>
          <w:highlight w:val="none"/>
        </w:rPr>
        <w:t>：</w:t>
      </w:r>
    </w:p>
    <w:p w14:paraId="720EEBC5">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（1）供应商的姓名或者名称、地址、邮编、联系人及联系电话；</w:t>
      </w:r>
    </w:p>
    <w:p w14:paraId="4177D9AE">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（2）质疑项目的名称、编号；</w:t>
      </w:r>
    </w:p>
    <w:p w14:paraId="2DE6BE74">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（3）具体、明确的质疑事项和与质疑事项相关的请求；</w:t>
      </w:r>
    </w:p>
    <w:p w14:paraId="0825449B">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（4）事实依据；</w:t>
      </w:r>
    </w:p>
    <w:p w14:paraId="18C5A755">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（5）必要的法律依据；</w:t>
      </w:r>
    </w:p>
    <w:p w14:paraId="71B1241E">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（6）提出质疑的日期。</w:t>
      </w:r>
    </w:p>
    <w:p w14:paraId="33C3949A">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供应商为自然人的，应当由本人签字；供应商为法人或者其他组织的，应当由法定代表人、主要负责人，或者其委托代理人签字或者盖章，并加盖公章。</w:t>
      </w:r>
    </w:p>
    <w:p w14:paraId="71289B9A">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31.5采购人、采购代理机构认为供应商质疑不成立，或者成立但未对成交结果构成影响的，继续开展采购活动；认为供应商质疑成立且影响或者可能影响成交结果的，按照下列情况处理：</w:t>
      </w:r>
    </w:p>
    <w:p w14:paraId="3DE663F9">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（1）对采购文件提出的质疑，依法通过澄清或者修改可以继续开展采购活动的，澄清或者修改采购文件后继续开展采购活动；否则应当修改采购文件后重新开展采购活动。</w:t>
      </w:r>
    </w:p>
    <w:p w14:paraId="4A961934">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（2）对采购过程或者成交结果提出的质疑，合格供应商符合法定数量时，可以从合格的成交候选人中另行确定成交供应商的，应当依法另行确定成交供应商；否则应当重新开展采购活动。</w:t>
      </w:r>
    </w:p>
    <w:p w14:paraId="7B51C03F">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质疑答复导致成交结果改变的，采购人或者采购代理机构应当将有关情况书面报告本级财政部门。</w:t>
      </w:r>
    </w:p>
    <w:p w14:paraId="0A49215C">
      <w:pPr>
        <w:spacing w:line="360" w:lineRule="auto"/>
        <w:ind w:firstLine="480" w:firstLineChars="200"/>
        <w:rPr>
          <w:rFonts w:ascii="宋体" w:hAnsi="宋体" w:cs="宋体"/>
          <w:b/>
          <w:bCs/>
          <w:color w:val="auto"/>
          <w:sz w:val="24"/>
          <w:highlight w:val="none"/>
        </w:rPr>
      </w:pPr>
      <w:r>
        <w:rPr>
          <w:rFonts w:hint="eastAsia" w:ascii="宋体" w:hAnsi="宋体" w:cs="宋体"/>
          <w:color w:val="auto"/>
          <w:sz w:val="24"/>
          <w:szCs w:val="32"/>
          <w:highlight w:val="none"/>
        </w:rPr>
        <w:t>31.6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32916C43">
      <w:pPr>
        <w:spacing w:line="360" w:lineRule="auto"/>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32.其他内容</w:t>
      </w:r>
    </w:p>
    <w:p w14:paraId="0FF315C4">
      <w:pPr>
        <w:tabs>
          <w:tab w:val="left" w:pos="283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32.1代理服务费：代理服务收取标准及缴费账户详见“供应商须知前附表”，供应商为联合体的，可以由联合体中的一方或者多方共同交纳代理服务费。</w:t>
      </w:r>
    </w:p>
    <w:p w14:paraId="7B96C85B">
      <w:pPr>
        <w:tabs>
          <w:tab w:val="left" w:pos="283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32.2代理服务费收费计算标准：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4D1B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l2br w:val="single" w:color="auto" w:sz="4" w:space="0"/>
            </w:tcBorders>
          </w:tcPr>
          <w:p w14:paraId="6291483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费率</w:t>
            </w:r>
          </w:p>
          <w:p w14:paraId="7A8B4076">
            <w:pPr>
              <w:spacing w:line="360" w:lineRule="auto"/>
              <w:rPr>
                <w:rFonts w:ascii="宋体" w:hAnsi="宋体" w:cs="宋体"/>
                <w:color w:val="auto"/>
                <w:sz w:val="24"/>
                <w:highlight w:val="none"/>
              </w:rPr>
            </w:pPr>
            <w:r>
              <w:rPr>
                <w:rFonts w:hint="eastAsia" w:ascii="宋体" w:hAnsi="宋体" w:cs="宋体"/>
                <w:color w:val="auto"/>
                <w:sz w:val="24"/>
                <w:highlight w:val="none"/>
              </w:rPr>
              <w:t>金额（人民币）</w:t>
            </w:r>
          </w:p>
        </w:tc>
        <w:tc>
          <w:tcPr>
            <w:tcW w:w="1659" w:type="dxa"/>
            <w:vAlign w:val="center"/>
          </w:tcPr>
          <w:p w14:paraId="4B34E5B4">
            <w:pPr>
              <w:spacing w:line="360" w:lineRule="auto"/>
              <w:ind w:firstLine="120" w:firstLineChars="50"/>
              <w:jc w:val="center"/>
              <w:rPr>
                <w:rFonts w:ascii="宋体" w:hAnsi="宋体" w:cs="宋体"/>
                <w:color w:val="auto"/>
                <w:sz w:val="24"/>
                <w:highlight w:val="none"/>
              </w:rPr>
            </w:pPr>
            <w:r>
              <w:rPr>
                <w:rFonts w:hint="eastAsia" w:ascii="宋体" w:hAnsi="宋体" w:cs="宋体"/>
                <w:color w:val="auto"/>
                <w:sz w:val="24"/>
                <w:highlight w:val="none"/>
              </w:rPr>
              <w:t>货物类</w:t>
            </w:r>
          </w:p>
        </w:tc>
        <w:tc>
          <w:tcPr>
            <w:tcW w:w="1532" w:type="dxa"/>
            <w:vAlign w:val="center"/>
          </w:tcPr>
          <w:p w14:paraId="475D078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服务类</w:t>
            </w:r>
          </w:p>
        </w:tc>
        <w:tc>
          <w:tcPr>
            <w:tcW w:w="1546" w:type="dxa"/>
            <w:vAlign w:val="center"/>
          </w:tcPr>
          <w:p w14:paraId="56F6976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工程类</w:t>
            </w:r>
          </w:p>
        </w:tc>
      </w:tr>
      <w:tr w14:paraId="6011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380B31AD">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100万元以下</w:t>
            </w:r>
          </w:p>
        </w:tc>
        <w:tc>
          <w:tcPr>
            <w:tcW w:w="1659" w:type="dxa"/>
          </w:tcPr>
          <w:p w14:paraId="207D841B">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1.5%</w:t>
            </w:r>
          </w:p>
        </w:tc>
        <w:tc>
          <w:tcPr>
            <w:tcW w:w="1532" w:type="dxa"/>
          </w:tcPr>
          <w:p w14:paraId="0A41B383">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1.5%</w:t>
            </w:r>
          </w:p>
        </w:tc>
        <w:tc>
          <w:tcPr>
            <w:tcW w:w="1546" w:type="dxa"/>
          </w:tcPr>
          <w:p w14:paraId="159068CE">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1.0%</w:t>
            </w:r>
          </w:p>
        </w:tc>
      </w:tr>
      <w:tr w14:paraId="2E56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1896B4A3">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100～500万元</w:t>
            </w:r>
          </w:p>
        </w:tc>
        <w:tc>
          <w:tcPr>
            <w:tcW w:w="1659" w:type="dxa"/>
          </w:tcPr>
          <w:p w14:paraId="689C9266">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1.1%</w:t>
            </w:r>
          </w:p>
        </w:tc>
        <w:tc>
          <w:tcPr>
            <w:tcW w:w="1532" w:type="dxa"/>
          </w:tcPr>
          <w:p w14:paraId="59A9544E">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0.8%</w:t>
            </w:r>
          </w:p>
        </w:tc>
        <w:tc>
          <w:tcPr>
            <w:tcW w:w="1546" w:type="dxa"/>
          </w:tcPr>
          <w:p w14:paraId="50141AD6">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0.7%</w:t>
            </w:r>
          </w:p>
        </w:tc>
      </w:tr>
      <w:tr w14:paraId="4360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4519CEBA">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500～1000万元</w:t>
            </w:r>
          </w:p>
        </w:tc>
        <w:tc>
          <w:tcPr>
            <w:tcW w:w="1659" w:type="dxa"/>
          </w:tcPr>
          <w:p w14:paraId="0A1C9CC0">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0.8%</w:t>
            </w:r>
          </w:p>
        </w:tc>
        <w:tc>
          <w:tcPr>
            <w:tcW w:w="1532" w:type="dxa"/>
          </w:tcPr>
          <w:p w14:paraId="06B629CD">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0.45%</w:t>
            </w:r>
          </w:p>
        </w:tc>
        <w:tc>
          <w:tcPr>
            <w:tcW w:w="1546" w:type="dxa"/>
          </w:tcPr>
          <w:p w14:paraId="156E4BDB">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0.55%</w:t>
            </w:r>
          </w:p>
        </w:tc>
      </w:tr>
      <w:tr w14:paraId="661A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74CE6219">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1000～5000万元</w:t>
            </w:r>
          </w:p>
        </w:tc>
        <w:tc>
          <w:tcPr>
            <w:tcW w:w="1659" w:type="dxa"/>
          </w:tcPr>
          <w:p w14:paraId="2C965A8F">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0.5%</w:t>
            </w:r>
          </w:p>
        </w:tc>
        <w:tc>
          <w:tcPr>
            <w:tcW w:w="1532" w:type="dxa"/>
          </w:tcPr>
          <w:p w14:paraId="1F1CF4FF">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0.25%</w:t>
            </w:r>
          </w:p>
        </w:tc>
        <w:tc>
          <w:tcPr>
            <w:tcW w:w="1546" w:type="dxa"/>
          </w:tcPr>
          <w:p w14:paraId="34EF9455">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0.35%</w:t>
            </w:r>
          </w:p>
        </w:tc>
      </w:tr>
      <w:tr w14:paraId="537A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1B4DDF92">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5000万元～1亿元</w:t>
            </w:r>
          </w:p>
        </w:tc>
        <w:tc>
          <w:tcPr>
            <w:tcW w:w="1659" w:type="dxa"/>
          </w:tcPr>
          <w:p w14:paraId="1586AB00">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0.25%</w:t>
            </w:r>
          </w:p>
        </w:tc>
        <w:tc>
          <w:tcPr>
            <w:tcW w:w="1532" w:type="dxa"/>
          </w:tcPr>
          <w:p w14:paraId="6A5AD2FF">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0.1%</w:t>
            </w:r>
          </w:p>
        </w:tc>
        <w:tc>
          <w:tcPr>
            <w:tcW w:w="1546" w:type="dxa"/>
          </w:tcPr>
          <w:p w14:paraId="395D8316">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0.2%</w:t>
            </w:r>
          </w:p>
        </w:tc>
      </w:tr>
      <w:tr w14:paraId="6EC4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2806D967">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1～5亿元</w:t>
            </w:r>
          </w:p>
        </w:tc>
        <w:tc>
          <w:tcPr>
            <w:tcW w:w="1659" w:type="dxa"/>
          </w:tcPr>
          <w:p w14:paraId="29CF1DE2">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0.05%</w:t>
            </w:r>
          </w:p>
        </w:tc>
        <w:tc>
          <w:tcPr>
            <w:tcW w:w="1532" w:type="dxa"/>
          </w:tcPr>
          <w:p w14:paraId="09BA3C4C">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0.05%</w:t>
            </w:r>
          </w:p>
        </w:tc>
        <w:tc>
          <w:tcPr>
            <w:tcW w:w="1546" w:type="dxa"/>
          </w:tcPr>
          <w:p w14:paraId="48A7F73E">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0.05%</w:t>
            </w:r>
          </w:p>
        </w:tc>
      </w:tr>
      <w:tr w14:paraId="0A8E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0FB45BBD">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5～10亿元</w:t>
            </w:r>
          </w:p>
        </w:tc>
        <w:tc>
          <w:tcPr>
            <w:tcW w:w="1659" w:type="dxa"/>
          </w:tcPr>
          <w:p w14:paraId="153021BA">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0.035%</w:t>
            </w:r>
          </w:p>
        </w:tc>
        <w:tc>
          <w:tcPr>
            <w:tcW w:w="1532" w:type="dxa"/>
          </w:tcPr>
          <w:p w14:paraId="728A9BA8">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0.035%</w:t>
            </w:r>
          </w:p>
        </w:tc>
        <w:tc>
          <w:tcPr>
            <w:tcW w:w="1546" w:type="dxa"/>
          </w:tcPr>
          <w:p w14:paraId="4A8279FC">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0.035%</w:t>
            </w:r>
          </w:p>
        </w:tc>
      </w:tr>
      <w:tr w14:paraId="2EAB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1C86DB23">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10～50亿元</w:t>
            </w:r>
          </w:p>
        </w:tc>
        <w:tc>
          <w:tcPr>
            <w:tcW w:w="1659" w:type="dxa"/>
          </w:tcPr>
          <w:p w14:paraId="7C918C94">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0.008%</w:t>
            </w:r>
          </w:p>
        </w:tc>
        <w:tc>
          <w:tcPr>
            <w:tcW w:w="1532" w:type="dxa"/>
          </w:tcPr>
          <w:p w14:paraId="76CAF2D0">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0.008%</w:t>
            </w:r>
          </w:p>
        </w:tc>
        <w:tc>
          <w:tcPr>
            <w:tcW w:w="1546" w:type="dxa"/>
          </w:tcPr>
          <w:p w14:paraId="62D208E0">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0.008%</w:t>
            </w:r>
          </w:p>
        </w:tc>
      </w:tr>
      <w:tr w14:paraId="1B07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00C91272">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50～100亿元</w:t>
            </w:r>
          </w:p>
        </w:tc>
        <w:tc>
          <w:tcPr>
            <w:tcW w:w="1659" w:type="dxa"/>
          </w:tcPr>
          <w:p w14:paraId="3CD54F72">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0.006%</w:t>
            </w:r>
          </w:p>
        </w:tc>
        <w:tc>
          <w:tcPr>
            <w:tcW w:w="1532" w:type="dxa"/>
          </w:tcPr>
          <w:p w14:paraId="5E558C73">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0.006%</w:t>
            </w:r>
          </w:p>
        </w:tc>
        <w:tc>
          <w:tcPr>
            <w:tcW w:w="1546" w:type="dxa"/>
          </w:tcPr>
          <w:p w14:paraId="12F9FA63">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0.006%</w:t>
            </w:r>
          </w:p>
        </w:tc>
      </w:tr>
      <w:tr w14:paraId="4A1DD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04854D24">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100亿元以上</w:t>
            </w:r>
          </w:p>
        </w:tc>
        <w:tc>
          <w:tcPr>
            <w:tcW w:w="1659" w:type="dxa"/>
          </w:tcPr>
          <w:p w14:paraId="08ED0B6A">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0.004%</w:t>
            </w:r>
          </w:p>
        </w:tc>
        <w:tc>
          <w:tcPr>
            <w:tcW w:w="1532" w:type="dxa"/>
          </w:tcPr>
          <w:p w14:paraId="08DB90DE">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0.004%</w:t>
            </w:r>
          </w:p>
        </w:tc>
        <w:tc>
          <w:tcPr>
            <w:tcW w:w="1546" w:type="dxa"/>
          </w:tcPr>
          <w:p w14:paraId="6A514054">
            <w:pPr>
              <w:spacing w:line="4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0.004%</w:t>
            </w:r>
          </w:p>
        </w:tc>
      </w:tr>
    </w:tbl>
    <w:p w14:paraId="752AC95E">
      <w:pPr>
        <w:spacing w:line="360" w:lineRule="auto"/>
        <w:ind w:firstLine="480" w:firstLineChars="200"/>
        <w:contextualSpacing/>
        <w:rPr>
          <w:rFonts w:ascii="楷体" w:hAnsi="楷体" w:eastAsia="楷体" w:cs="宋体"/>
          <w:color w:val="auto"/>
          <w:sz w:val="24"/>
          <w:highlight w:val="none"/>
        </w:rPr>
      </w:pPr>
      <w:r>
        <w:rPr>
          <w:rFonts w:hint="eastAsia" w:ascii="楷体" w:hAnsi="楷体" w:eastAsia="楷体" w:cs="宋体"/>
          <w:color w:val="auto"/>
          <w:sz w:val="24"/>
          <w:highlight w:val="none"/>
        </w:rPr>
        <w:t>注：</w:t>
      </w:r>
      <w:r>
        <w:rPr>
          <w:rFonts w:ascii="楷体" w:hAnsi="楷体" w:eastAsia="楷体" w:cs="宋体"/>
          <w:color w:val="auto"/>
          <w:sz w:val="24"/>
          <w:highlight w:val="none"/>
        </w:rPr>
        <w:t xml:space="preserve"> </w:t>
      </w:r>
    </w:p>
    <w:p w14:paraId="057C0F24">
      <w:pPr>
        <w:spacing w:line="360" w:lineRule="auto"/>
        <w:ind w:firstLine="480" w:firstLineChars="200"/>
        <w:contextualSpacing/>
        <w:rPr>
          <w:rFonts w:ascii="楷体" w:hAnsi="楷体" w:eastAsia="楷体" w:cs="宋体"/>
          <w:color w:val="auto"/>
          <w:sz w:val="24"/>
          <w:highlight w:val="none"/>
        </w:rPr>
      </w:pPr>
      <w:r>
        <w:rPr>
          <w:rFonts w:hint="eastAsia" w:ascii="楷体" w:hAnsi="楷体" w:eastAsia="楷体" w:cs="宋体"/>
          <w:color w:val="auto"/>
          <w:sz w:val="24"/>
          <w:highlight w:val="none"/>
        </w:rPr>
        <w:t>（</w:t>
      </w:r>
      <w:r>
        <w:rPr>
          <w:rFonts w:ascii="楷体" w:hAnsi="楷体" w:eastAsia="楷体" w:cs="宋体"/>
          <w:color w:val="auto"/>
          <w:sz w:val="24"/>
          <w:highlight w:val="none"/>
        </w:rPr>
        <w:t>1）按本表费率计算的收费为采购代理的收费基准价格；</w:t>
      </w:r>
    </w:p>
    <w:p w14:paraId="035D9274">
      <w:pPr>
        <w:spacing w:line="360" w:lineRule="auto"/>
        <w:ind w:firstLine="480" w:firstLineChars="200"/>
        <w:contextualSpacing/>
        <w:rPr>
          <w:rFonts w:ascii="楷体" w:hAnsi="楷体" w:eastAsia="楷体" w:cs="宋体"/>
          <w:color w:val="auto"/>
          <w:sz w:val="24"/>
          <w:highlight w:val="none"/>
        </w:rPr>
      </w:pPr>
      <w:r>
        <w:rPr>
          <w:rFonts w:hint="eastAsia" w:ascii="楷体" w:hAnsi="楷体" w:eastAsia="楷体" w:cs="宋体"/>
          <w:color w:val="auto"/>
          <w:sz w:val="24"/>
          <w:highlight w:val="none"/>
        </w:rPr>
        <w:t>（</w:t>
      </w:r>
      <w:r>
        <w:rPr>
          <w:rFonts w:ascii="楷体" w:hAnsi="楷体" w:eastAsia="楷体" w:cs="宋体"/>
          <w:color w:val="auto"/>
          <w:sz w:val="24"/>
          <w:highlight w:val="none"/>
        </w:rPr>
        <w:t>2）采购代理收费按差额定率累进法计算。</w:t>
      </w:r>
    </w:p>
    <w:p w14:paraId="37C80C5C">
      <w:pPr>
        <w:spacing w:line="360" w:lineRule="auto"/>
        <w:ind w:firstLine="480" w:firstLineChars="200"/>
        <w:contextualSpacing/>
        <w:rPr>
          <w:rFonts w:ascii="楷体" w:hAnsi="楷体" w:eastAsia="楷体" w:cs="宋体"/>
          <w:color w:val="auto"/>
          <w:sz w:val="24"/>
          <w:highlight w:val="none"/>
        </w:rPr>
      </w:pPr>
      <w:r>
        <w:rPr>
          <w:rFonts w:hint="eastAsia" w:ascii="楷体" w:hAnsi="楷体" w:eastAsia="楷体" w:cs="宋体"/>
          <w:color w:val="auto"/>
          <w:sz w:val="24"/>
          <w:highlight w:val="none"/>
        </w:rPr>
        <w:t>例如：某货物采购代理业务成交金额或者暂定价为</w:t>
      </w:r>
      <w:r>
        <w:rPr>
          <w:rFonts w:ascii="楷体" w:hAnsi="楷体" w:eastAsia="楷体" w:cs="宋体"/>
          <w:color w:val="auto"/>
          <w:sz w:val="24"/>
          <w:highlight w:val="none"/>
        </w:rPr>
        <w:t>150万元，计算采购代理收费额如下：</w:t>
      </w:r>
    </w:p>
    <w:p w14:paraId="108F034F">
      <w:pPr>
        <w:spacing w:line="360" w:lineRule="auto"/>
        <w:ind w:firstLine="480" w:firstLineChars="200"/>
        <w:contextualSpacing/>
        <w:rPr>
          <w:rFonts w:ascii="楷体" w:hAnsi="楷体" w:eastAsia="楷体" w:cs="宋体"/>
          <w:color w:val="auto"/>
          <w:sz w:val="24"/>
          <w:highlight w:val="none"/>
        </w:rPr>
      </w:pPr>
      <w:r>
        <w:rPr>
          <w:rFonts w:ascii="楷体" w:hAnsi="楷体" w:eastAsia="楷体" w:cs="宋体"/>
          <w:color w:val="auto"/>
          <w:sz w:val="24"/>
          <w:highlight w:val="none"/>
        </w:rPr>
        <w:t xml:space="preserve">100 </w:t>
      </w:r>
      <w:r>
        <w:rPr>
          <w:rFonts w:hint="eastAsia" w:ascii="楷体" w:hAnsi="楷体" w:eastAsia="楷体" w:cs="宋体"/>
          <w:color w:val="auto"/>
          <w:sz w:val="24"/>
          <w:highlight w:val="none"/>
        </w:rPr>
        <w:t>万元</w:t>
      </w:r>
      <w:r>
        <w:rPr>
          <w:rFonts w:ascii="楷体" w:hAnsi="楷体" w:eastAsia="楷体" w:cs="宋体"/>
          <w:color w:val="auto"/>
          <w:sz w:val="24"/>
          <w:highlight w:val="none"/>
        </w:rPr>
        <w:t xml:space="preserve"> </w:t>
      </w:r>
      <w:r>
        <w:rPr>
          <w:rFonts w:hint="eastAsia" w:ascii="楷体" w:hAnsi="楷体" w:eastAsia="楷体" w:cs="宋体"/>
          <w:color w:val="auto"/>
          <w:sz w:val="24"/>
          <w:highlight w:val="none"/>
        </w:rPr>
        <w:t>×</w:t>
      </w:r>
      <w:r>
        <w:rPr>
          <w:rFonts w:ascii="楷体" w:hAnsi="楷体" w:eastAsia="楷体" w:cs="宋体"/>
          <w:color w:val="auto"/>
          <w:sz w:val="24"/>
          <w:highlight w:val="none"/>
        </w:rPr>
        <w:t xml:space="preserve">l.5 %＝ 1.5 </w:t>
      </w:r>
      <w:r>
        <w:rPr>
          <w:rFonts w:hint="eastAsia" w:ascii="楷体" w:hAnsi="楷体" w:eastAsia="楷体" w:cs="宋体"/>
          <w:color w:val="auto"/>
          <w:sz w:val="24"/>
          <w:highlight w:val="none"/>
        </w:rPr>
        <w:t>万元</w:t>
      </w:r>
    </w:p>
    <w:p w14:paraId="597EB807">
      <w:pPr>
        <w:spacing w:line="360" w:lineRule="auto"/>
        <w:ind w:firstLine="480" w:firstLineChars="200"/>
        <w:contextualSpacing/>
        <w:rPr>
          <w:rFonts w:ascii="楷体" w:hAnsi="楷体" w:eastAsia="楷体" w:cs="宋体"/>
          <w:color w:val="auto"/>
          <w:sz w:val="24"/>
          <w:highlight w:val="none"/>
        </w:rPr>
      </w:pPr>
      <w:r>
        <w:rPr>
          <w:rFonts w:hint="eastAsia" w:ascii="楷体" w:hAnsi="楷体" w:eastAsia="楷体" w:cs="宋体"/>
          <w:color w:val="auto"/>
          <w:sz w:val="24"/>
          <w:highlight w:val="none"/>
        </w:rPr>
        <w:t>（</w:t>
      </w:r>
      <w:r>
        <w:rPr>
          <w:rFonts w:ascii="楷体" w:hAnsi="楷体" w:eastAsia="楷体" w:cs="宋体"/>
          <w:color w:val="auto"/>
          <w:sz w:val="24"/>
          <w:highlight w:val="none"/>
        </w:rPr>
        <w:t xml:space="preserve"> 150 </w:t>
      </w:r>
      <w:r>
        <w:rPr>
          <w:rFonts w:hint="eastAsia" w:ascii="楷体" w:hAnsi="楷体" w:eastAsia="楷体" w:cs="宋体"/>
          <w:color w:val="auto"/>
          <w:sz w:val="24"/>
          <w:highlight w:val="none"/>
        </w:rPr>
        <w:t>－</w:t>
      </w:r>
      <w:r>
        <w:rPr>
          <w:rFonts w:ascii="楷体" w:hAnsi="楷体" w:eastAsia="楷体" w:cs="宋体"/>
          <w:color w:val="auto"/>
          <w:sz w:val="24"/>
          <w:highlight w:val="none"/>
        </w:rPr>
        <w:t xml:space="preserve"> 100 </w:t>
      </w:r>
      <w:r>
        <w:rPr>
          <w:rFonts w:hint="eastAsia" w:ascii="楷体" w:hAnsi="楷体" w:eastAsia="楷体" w:cs="宋体"/>
          <w:color w:val="auto"/>
          <w:sz w:val="24"/>
          <w:highlight w:val="none"/>
        </w:rPr>
        <w:t>）万元</w:t>
      </w:r>
      <w:r>
        <w:rPr>
          <w:rFonts w:ascii="楷体" w:hAnsi="楷体" w:eastAsia="楷体" w:cs="宋体"/>
          <w:color w:val="auto"/>
          <w:sz w:val="24"/>
          <w:highlight w:val="none"/>
        </w:rPr>
        <w:t xml:space="preserve"> </w:t>
      </w:r>
      <w:r>
        <w:rPr>
          <w:rFonts w:hint="eastAsia" w:ascii="楷体" w:hAnsi="楷体" w:eastAsia="楷体" w:cs="宋体"/>
          <w:color w:val="auto"/>
          <w:sz w:val="24"/>
          <w:highlight w:val="none"/>
        </w:rPr>
        <w:t>×</w:t>
      </w:r>
      <w:r>
        <w:rPr>
          <w:rFonts w:ascii="楷体" w:hAnsi="楷体" w:eastAsia="楷体" w:cs="宋体"/>
          <w:color w:val="auto"/>
          <w:sz w:val="24"/>
          <w:highlight w:val="none"/>
        </w:rPr>
        <w:t xml:space="preserve">1.1%＝ 0.55 </w:t>
      </w:r>
      <w:r>
        <w:rPr>
          <w:rFonts w:hint="eastAsia" w:ascii="楷体" w:hAnsi="楷体" w:eastAsia="楷体" w:cs="宋体"/>
          <w:color w:val="auto"/>
          <w:sz w:val="24"/>
          <w:highlight w:val="none"/>
        </w:rPr>
        <w:t>万元</w:t>
      </w:r>
    </w:p>
    <w:p w14:paraId="6D66C593">
      <w:pPr>
        <w:spacing w:line="360" w:lineRule="auto"/>
        <w:ind w:firstLine="480" w:firstLineChars="200"/>
        <w:contextualSpacing/>
        <w:rPr>
          <w:rFonts w:ascii="楷体" w:hAnsi="楷体" w:eastAsia="楷体" w:cs="宋体"/>
          <w:color w:val="auto"/>
          <w:sz w:val="24"/>
          <w:highlight w:val="none"/>
        </w:rPr>
      </w:pPr>
      <w:r>
        <w:rPr>
          <w:rFonts w:hint="eastAsia" w:ascii="楷体" w:hAnsi="楷体" w:eastAsia="楷体" w:cs="宋体"/>
          <w:color w:val="auto"/>
          <w:sz w:val="24"/>
          <w:highlight w:val="none"/>
        </w:rPr>
        <w:t>合计收费＝</w:t>
      </w:r>
      <w:r>
        <w:rPr>
          <w:rFonts w:ascii="楷体" w:hAnsi="楷体" w:eastAsia="楷体" w:cs="宋体"/>
          <w:color w:val="auto"/>
          <w:sz w:val="24"/>
          <w:highlight w:val="none"/>
        </w:rPr>
        <w:t xml:space="preserve"> 1.5 </w:t>
      </w:r>
      <w:r>
        <w:rPr>
          <w:rFonts w:hint="eastAsia" w:ascii="楷体" w:hAnsi="楷体" w:eastAsia="楷体" w:cs="宋体"/>
          <w:color w:val="auto"/>
          <w:sz w:val="24"/>
          <w:highlight w:val="none"/>
        </w:rPr>
        <w:t>＋</w:t>
      </w:r>
      <w:r>
        <w:rPr>
          <w:rFonts w:ascii="楷体" w:hAnsi="楷体" w:eastAsia="楷体" w:cs="宋体"/>
          <w:color w:val="auto"/>
          <w:sz w:val="24"/>
          <w:highlight w:val="none"/>
        </w:rPr>
        <w:t xml:space="preserve"> 0.55＝ 2.05 </w:t>
      </w:r>
      <w:r>
        <w:rPr>
          <w:rFonts w:hint="eastAsia" w:ascii="楷体" w:hAnsi="楷体" w:eastAsia="楷体" w:cs="宋体"/>
          <w:color w:val="auto"/>
          <w:sz w:val="24"/>
          <w:highlight w:val="none"/>
        </w:rPr>
        <w:t>（万元）</w:t>
      </w:r>
    </w:p>
    <w:p w14:paraId="1AB67ADC">
      <w:pPr>
        <w:spacing w:line="360" w:lineRule="auto"/>
        <w:ind w:firstLine="482" w:firstLineChars="200"/>
        <w:contextualSpacing/>
        <w:rPr>
          <w:rFonts w:ascii="宋体" w:hAnsi="宋体" w:cs="宋体"/>
          <w:b/>
          <w:bCs/>
          <w:color w:val="auto"/>
          <w:sz w:val="24"/>
          <w:highlight w:val="none"/>
        </w:rPr>
      </w:pPr>
      <w:r>
        <w:rPr>
          <w:rFonts w:hint="eastAsia" w:ascii="宋体" w:hAnsi="宋体" w:cs="宋体"/>
          <w:b/>
          <w:bCs/>
          <w:color w:val="auto"/>
          <w:sz w:val="24"/>
          <w:highlight w:val="none"/>
        </w:rPr>
        <w:t>33.需要补充的其他内容</w:t>
      </w:r>
    </w:p>
    <w:p w14:paraId="65941778">
      <w:pPr>
        <w:pStyle w:val="16"/>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33.1本谈判文件解释规则详见“供应商须知前附表”。</w:t>
      </w:r>
    </w:p>
    <w:p w14:paraId="7D5556B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kern w:val="0"/>
          <w:sz w:val="24"/>
          <w:highlight w:val="none"/>
        </w:rPr>
        <w:t>33.2 其他事</w:t>
      </w:r>
      <w:r>
        <w:rPr>
          <w:rFonts w:hint="eastAsia" w:ascii="宋体" w:hAnsi="宋体" w:cs="宋体"/>
          <w:color w:val="auto"/>
          <w:sz w:val="24"/>
          <w:highlight w:val="none"/>
        </w:rPr>
        <w:t>项详见“供应商须知前附表”。</w:t>
      </w:r>
    </w:p>
    <w:p w14:paraId="4DECC1E9">
      <w:pPr>
        <w:pStyle w:val="16"/>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33.3</w:t>
      </w:r>
      <w:bookmarkStart w:id="23" w:name="_Hlk65857140"/>
      <w:r>
        <w:rPr>
          <w:rFonts w:hint="eastAsia" w:hAnsi="宋体" w:cs="宋体"/>
          <w:color w:val="auto"/>
          <w:sz w:val="24"/>
          <w:szCs w:val="24"/>
          <w:highlight w:val="none"/>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14:paraId="0ED7E53C">
      <w:pPr>
        <w:pStyle w:val="16"/>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（1）在货物采购项目中，货物由中小企业制造，即货物由中小企业生产且使用该中小企业商号或者注册商标，不对其中涉及的工程承建商和服务的承接商作出要求；</w:t>
      </w:r>
    </w:p>
    <w:p w14:paraId="0B81DD42">
      <w:pPr>
        <w:pStyle w:val="16"/>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（2）在工程采购项目中，工程由中小企业承建，即工程施工单位为中小企业，不对其中涉及的货物的制造商和服务的承接商作出要求；</w:t>
      </w:r>
    </w:p>
    <w:p w14:paraId="1011D1C5">
      <w:pPr>
        <w:pStyle w:val="16"/>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16A92D2A">
      <w:pPr>
        <w:pStyle w:val="16"/>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14:paraId="7336596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依据本谈判文件规定享受扶持政策获得政府采购合同的，小微企业不得将合同分包给大中型企业，中型企业不得将合同分包给大型企业。</w:t>
      </w:r>
      <w:bookmarkEnd w:id="23"/>
    </w:p>
    <w:p w14:paraId="070FD621">
      <w:pPr>
        <w:pStyle w:val="2"/>
        <w:spacing w:before="0" w:after="0" w:line="360" w:lineRule="auto"/>
        <w:jc w:val="center"/>
        <w:rPr>
          <w:rFonts w:ascii="宋体" w:hAnsi="宋体" w:cs="宋体"/>
          <w:color w:val="auto"/>
          <w:sz w:val="32"/>
          <w:szCs w:val="32"/>
          <w:highlight w:val="none"/>
        </w:rPr>
      </w:pPr>
      <w:r>
        <w:rPr>
          <w:rFonts w:hint="eastAsia" w:ascii="宋体" w:hAnsi="宋体" w:cs="宋体"/>
          <w:bCs w:val="0"/>
          <w:color w:val="auto"/>
          <w:sz w:val="24"/>
          <w:szCs w:val="24"/>
          <w:highlight w:val="none"/>
        </w:rPr>
        <w:br w:type="page"/>
      </w:r>
      <w:bookmarkStart w:id="24" w:name="_Toc207390928"/>
      <w:r>
        <w:rPr>
          <w:rFonts w:hint="eastAsia" w:ascii="宋体" w:hAnsi="宋体" w:cs="宋体"/>
          <w:color w:val="auto"/>
          <w:highlight w:val="none"/>
        </w:rPr>
        <w:t>第三章 采购需求</w:t>
      </w:r>
      <w:bookmarkEnd w:id="24"/>
    </w:p>
    <w:p w14:paraId="05965515">
      <w:pPr>
        <w:spacing w:line="360" w:lineRule="auto"/>
        <w:jc w:val="left"/>
        <w:rPr>
          <w:rFonts w:ascii="宋体" w:hAnsi="宋体" w:cs="宋体"/>
          <w:bCs/>
          <w:color w:val="auto"/>
          <w:sz w:val="24"/>
          <w:highlight w:val="none"/>
        </w:rPr>
      </w:pPr>
      <w:r>
        <w:rPr>
          <w:rFonts w:hint="eastAsia" w:ascii="宋体" w:hAnsi="宋体" w:cs="宋体"/>
          <w:bCs/>
          <w:color w:val="auto"/>
          <w:sz w:val="24"/>
          <w:highlight w:val="none"/>
        </w:rPr>
        <w:t>说明：</w:t>
      </w:r>
    </w:p>
    <w:p w14:paraId="734AB6BB">
      <w:pPr>
        <w:spacing w:line="360" w:lineRule="auto"/>
        <w:ind w:left="-10" w:leftChars="-5" w:right="2" w:rightChars="1" w:firstLine="480" w:firstLineChars="200"/>
        <w:rPr>
          <w:bCs/>
          <w:color w:val="auto"/>
          <w:sz w:val="24"/>
          <w:highlight w:val="none"/>
        </w:rPr>
      </w:pPr>
      <w:r>
        <w:rPr>
          <w:bCs/>
          <w:color w:val="auto"/>
          <w:sz w:val="24"/>
          <w:highlight w:val="none"/>
        </w:rPr>
        <w:t>1</w:t>
      </w:r>
      <w:r>
        <w:rPr>
          <w:rFonts w:hint="eastAsia" w:ascii="宋体" w:hAnsi="宋体" w:cs="宋体"/>
          <w:color w:val="auto"/>
          <w:sz w:val="24"/>
          <w:highlight w:val="none"/>
        </w:rPr>
        <w:t>.</w:t>
      </w:r>
      <w:r>
        <w:rPr>
          <w:bCs/>
          <w:color w:val="auto"/>
          <w:sz w:val="24"/>
          <w:highlight w:val="none"/>
        </w:rPr>
        <w:t>采购需求中如出现品牌、型号或者生产厂家等均仅起参考作用，不属于指定品牌、型号或者生产厂家的情形，</w:t>
      </w:r>
      <w:r>
        <w:rPr>
          <w:rFonts w:hint="eastAsia"/>
          <w:bCs/>
          <w:color w:val="auto"/>
          <w:sz w:val="24"/>
          <w:highlight w:val="none"/>
        </w:rPr>
        <w:t>供应商</w:t>
      </w:r>
      <w:r>
        <w:rPr>
          <w:bCs/>
          <w:color w:val="auto"/>
          <w:sz w:val="24"/>
          <w:highlight w:val="none"/>
        </w:rPr>
        <w:t>可参照或者选用其他相当的品牌、型号或者生产供应商替代。但</w:t>
      </w:r>
      <w:r>
        <w:rPr>
          <w:rFonts w:hint="eastAsia"/>
          <w:bCs/>
          <w:color w:val="auto"/>
          <w:sz w:val="24"/>
          <w:highlight w:val="none"/>
        </w:rPr>
        <w:t>供应商提供</w:t>
      </w:r>
      <w:r>
        <w:rPr>
          <w:bCs/>
          <w:color w:val="auto"/>
          <w:sz w:val="24"/>
          <w:highlight w:val="none"/>
        </w:rPr>
        <w:t>的产品实质上应相当于或优于本</w:t>
      </w:r>
      <w:r>
        <w:rPr>
          <w:rFonts w:hint="eastAsia"/>
          <w:bCs/>
          <w:color w:val="auto"/>
          <w:sz w:val="24"/>
          <w:highlight w:val="none"/>
        </w:rPr>
        <w:t>《采购</w:t>
      </w:r>
      <w:r>
        <w:rPr>
          <w:bCs/>
          <w:color w:val="auto"/>
          <w:sz w:val="24"/>
          <w:highlight w:val="none"/>
        </w:rPr>
        <w:t>需求</w:t>
      </w:r>
      <w:r>
        <w:rPr>
          <w:rFonts w:hint="eastAsia"/>
          <w:bCs/>
          <w:color w:val="auto"/>
          <w:sz w:val="24"/>
          <w:highlight w:val="none"/>
        </w:rPr>
        <w:t>》</w:t>
      </w:r>
      <w:r>
        <w:rPr>
          <w:bCs/>
          <w:color w:val="auto"/>
          <w:sz w:val="24"/>
          <w:highlight w:val="none"/>
        </w:rPr>
        <w:t>中的技术要求。</w:t>
      </w:r>
    </w:p>
    <w:p w14:paraId="1451154E">
      <w:pPr>
        <w:spacing w:line="360" w:lineRule="auto"/>
        <w:ind w:left="-10" w:leftChars="-5" w:right="2" w:rightChars="1" w:firstLine="480" w:firstLineChars="200"/>
        <w:rPr>
          <w:bCs/>
          <w:color w:val="auto"/>
          <w:sz w:val="24"/>
          <w:highlight w:val="none"/>
        </w:rPr>
      </w:pPr>
      <w:r>
        <w:rPr>
          <w:bCs/>
          <w:color w:val="auto"/>
          <w:sz w:val="24"/>
          <w:highlight w:val="none"/>
        </w:rPr>
        <w:t>2</w:t>
      </w:r>
      <w:r>
        <w:rPr>
          <w:rFonts w:hint="eastAsia" w:ascii="宋体" w:hAnsi="宋体" w:cs="宋体"/>
          <w:color w:val="auto"/>
          <w:sz w:val="24"/>
          <w:highlight w:val="none"/>
        </w:rPr>
        <w:t>.</w:t>
      </w:r>
      <w:r>
        <w:rPr>
          <w:bCs/>
          <w:color w:val="auto"/>
          <w:sz w:val="24"/>
          <w:highlight w:val="none"/>
        </w:rPr>
        <w:t>凡在“技术要求”中表述为“标配”或“标准配置”的设备，</w:t>
      </w:r>
      <w:r>
        <w:rPr>
          <w:rFonts w:hint="eastAsia"/>
          <w:bCs/>
          <w:color w:val="auto"/>
          <w:sz w:val="24"/>
          <w:highlight w:val="none"/>
        </w:rPr>
        <w:t>供应商</w:t>
      </w:r>
      <w:r>
        <w:rPr>
          <w:bCs/>
          <w:color w:val="auto"/>
          <w:sz w:val="24"/>
          <w:highlight w:val="none"/>
        </w:rPr>
        <w:t>应在</w:t>
      </w:r>
      <w:r>
        <w:rPr>
          <w:rFonts w:hint="eastAsia" w:ascii="宋体" w:hAnsi="宋体" w:cs="宋体"/>
          <w:color w:val="auto"/>
          <w:sz w:val="24"/>
          <w:highlight w:val="none"/>
          <w:lang w:bidi="ar"/>
        </w:rPr>
        <w:t>竞争性谈判</w:t>
      </w:r>
      <w:r>
        <w:rPr>
          <w:bCs/>
          <w:color w:val="auto"/>
          <w:sz w:val="24"/>
          <w:highlight w:val="none"/>
        </w:rPr>
        <w:t>设备性能配置清单中将其标配参数详细列明。</w:t>
      </w:r>
    </w:p>
    <w:p w14:paraId="05AAFE12">
      <w:pPr>
        <w:spacing w:line="360" w:lineRule="auto"/>
        <w:ind w:left="-10" w:leftChars="-5" w:right="2" w:rightChars="1" w:firstLine="480" w:firstLineChars="200"/>
        <w:rPr>
          <w:bCs/>
          <w:color w:val="auto"/>
          <w:sz w:val="24"/>
          <w:highlight w:val="none"/>
        </w:rPr>
      </w:pPr>
      <w:r>
        <w:rPr>
          <w:bCs/>
          <w:color w:val="auto"/>
          <w:sz w:val="24"/>
          <w:highlight w:val="none"/>
        </w:rPr>
        <w:t>3</w:t>
      </w:r>
      <w:r>
        <w:rPr>
          <w:rFonts w:hint="eastAsia" w:ascii="宋体" w:hAnsi="宋体" w:cs="宋体"/>
          <w:color w:val="auto"/>
          <w:sz w:val="24"/>
          <w:highlight w:val="none"/>
        </w:rPr>
        <w:t>.</w:t>
      </w:r>
      <w:r>
        <w:rPr>
          <w:bCs/>
          <w:color w:val="auto"/>
          <w:sz w:val="24"/>
          <w:highlight w:val="none"/>
        </w:rPr>
        <w:t>根据《财政部发展改革委生态环境部市场监管总局关于调整优化节能产品、环境标志产品政府采购执行机制的通知》（财库〔2019〕9 号）和《关于印发节能产品政府采购品目清单的通知》（财库〔2019〕19 号）的规定，采购需求中的产品属于节能产品政府采购品目清单内标注“</w:t>
      </w:r>
      <w:r>
        <w:rPr>
          <w:rFonts w:hint="eastAsia" w:ascii="Segoe UI Symbol" w:hAnsi="Segoe UI Symbol" w:cs="Segoe UI Symbol"/>
          <w:bCs/>
          <w:color w:val="auto"/>
          <w:sz w:val="24"/>
          <w:highlight w:val="none"/>
        </w:rPr>
        <w:t>★</w:t>
      </w:r>
      <w:r>
        <w:rPr>
          <w:bCs/>
          <w:color w:val="auto"/>
          <w:sz w:val="24"/>
          <w:highlight w:val="none"/>
        </w:rPr>
        <w:t>”的（详见本章后附的节能产品政府采购品目清单），</w:t>
      </w:r>
      <w:r>
        <w:rPr>
          <w:rFonts w:hint="eastAsia"/>
          <w:bCs/>
          <w:color w:val="auto"/>
          <w:sz w:val="24"/>
          <w:highlight w:val="none"/>
        </w:rPr>
        <w:t>供应商参与</w:t>
      </w:r>
      <w:r>
        <w:rPr>
          <w:rFonts w:hint="eastAsia" w:ascii="宋体" w:hAnsi="宋体" w:cs="宋体"/>
          <w:color w:val="auto"/>
          <w:sz w:val="24"/>
          <w:highlight w:val="none"/>
          <w:lang w:bidi="ar"/>
        </w:rPr>
        <w:t>竞争性谈判</w:t>
      </w:r>
      <w:r>
        <w:rPr>
          <w:rFonts w:hint="eastAsia"/>
          <w:bCs/>
          <w:color w:val="auto"/>
          <w:sz w:val="24"/>
          <w:highlight w:val="none"/>
        </w:rPr>
        <w:t>提供的</w:t>
      </w:r>
      <w:r>
        <w:rPr>
          <w:bCs/>
          <w:color w:val="auto"/>
          <w:sz w:val="24"/>
          <w:highlight w:val="none"/>
        </w:rPr>
        <w:t>货物必须使用政府强制采购的节能产品，</w:t>
      </w:r>
      <w:r>
        <w:rPr>
          <w:rFonts w:hint="eastAsia"/>
          <w:b/>
          <w:bCs/>
          <w:color w:val="auto"/>
          <w:sz w:val="24"/>
          <w:highlight w:val="none"/>
        </w:rPr>
        <w:t>供应商必须在响应文件（商务及技术文件）中提供所投产品的节能产品认证证书复印件（加盖投标人电子签章），</w:t>
      </w:r>
      <w:r>
        <w:rPr>
          <w:b/>
          <w:bCs/>
          <w:color w:val="auto"/>
          <w:sz w:val="24"/>
          <w:highlight w:val="none"/>
        </w:rPr>
        <w:t>否则</w:t>
      </w:r>
      <w:r>
        <w:rPr>
          <w:rFonts w:hint="eastAsia"/>
          <w:b/>
          <w:bCs/>
          <w:color w:val="auto"/>
          <w:sz w:val="24"/>
          <w:highlight w:val="none"/>
        </w:rPr>
        <w:t>响应</w:t>
      </w:r>
      <w:r>
        <w:rPr>
          <w:b/>
          <w:bCs/>
          <w:color w:val="auto"/>
          <w:sz w:val="24"/>
          <w:highlight w:val="none"/>
        </w:rPr>
        <w:t>文件作无效处理</w:t>
      </w:r>
      <w:r>
        <w:rPr>
          <w:bCs/>
          <w:color w:val="auto"/>
          <w:sz w:val="24"/>
          <w:highlight w:val="none"/>
        </w:rPr>
        <w:t>。</w:t>
      </w:r>
    </w:p>
    <w:p w14:paraId="0BE1BCE1">
      <w:pPr>
        <w:spacing w:line="360" w:lineRule="auto"/>
        <w:ind w:left="-10" w:leftChars="-5" w:right="2" w:rightChars="1" w:firstLine="480" w:firstLineChars="200"/>
        <w:rPr>
          <w:bCs/>
          <w:color w:val="auto"/>
          <w:sz w:val="24"/>
          <w:highlight w:val="none"/>
        </w:rPr>
      </w:pPr>
      <w:r>
        <w:rPr>
          <w:bCs/>
          <w:color w:val="auto"/>
          <w:sz w:val="24"/>
          <w:highlight w:val="none"/>
        </w:rPr>
        <w:t>4</w:t>
      </w:r>
      <w:r>
        <w:rPr>
          <w:rFonts w:hint="eastAsia" w:ascii="宋体" w:hAnsi="宋体" w:cs="宋体"/>
          <w:color w:val="auto"/>
          <w:sz w:val="24"/>
          <w:highlight w:val="none"/>
        </w:rPr>
        <w:t>.</w:t>
      </w:r>
      <w:r>
        <w:rPr>
          <w:bCs/>
          <w:color w:val="auto"/>
          <w:sz w:val="24"/>
          <w:highlight w:val="none"/>
        </w:rPr>
        <w:t>如</w:t>
      </w:r>
      <w:r>
        <w:rPr>
          <w:rFonts w:hint="eastAsia"/>
          <w:bCs/>
          <w:color w:val="auto"/>
          <w:sz w:val="24"/>
          <w:highlight w:val="none"/>
        </w:rPr>
        <w:t>供应商参与</w:t>
      </w:r>
      <w:r>
        <w:rPr>
          <w:rFonts w:hint="eastAsia" w:ascii="宋体" w:hAnsi="宋体" w:cs="宋体"/>
          <w:color w:val="auto"/>
          <w:sz w:val="24"/>
          <w:highlight w:val="none"/>
          <w:lang w:bidi="ar"/>
        </w:rPr>
        <w:t>竞争性谈判提供的</w:t>
      </w:r>
      <w:r>
        <w:rPr>
          <w:bCs/>
          <w:color w:val="auto"/>
          <w:sz w:val="24"/>
          <w:highlight w:val="none"/>
        </w:rPr>
        <w:t>产品存在侵犯他人的知识产权或者专利成果行为的，由</w:t>
      </w:r>
      <w:r>
        <w:rPr>
          <w:rFonts w:hint="eastAsia"/>
          <w:bCs/>
          <w:color w:val="auto"/>
          <w:sz w:val="24"/>
          <w:highlight w:val="none"/>
        </w:rPr>
        <w:t>供应商</w:t>
      </w:r>
      <w:r>
        <w:rPr>
          <w:bCs/>
          <w:color w:val="auto"/>
          <w:sz w:val="24"/>
          <w:highlight w:val="none"/>
        </w:rPr>
        <w:t>自行承担相应法律责任。</w:t>
      </w:r>
    </w:p>
    <w:p w14:paraId="6E17AA06">
      <w:pPr>
        <w:spacing w:line="360" w:lineRule="auto"/>
        <w:ind w:left="-10" w:leftChars="-5" w:right="2" w:rightChars="1" w:firstLine="482" w:firstLineChars="200"/>
        <w:rPr>
          <w:b/>
          <w:bCs/>
          <w:color w:val="auto"/>
          <w:sz w:val="24"/>
          <w:highlight w:val="none"/>
        </w:rPr>
      </w:pPr>
      <w:r>
        <w:rPr>
          <w:b/>
          <w:bCs/>
          <w:color w:val="auto"/>
          <w:sz w:val="24"/>
          <w:highlight w:val="none"/>
        </w:rPr>
        <w:t>5</w:t>
      </w:r>
      <w:r>
        <w:rPr>
          <w:rFonts w:hint="eastAsia" w:ascii="宋体" w:hAnsi="宋体" w:cs="宋体"/>
          <w:b/>
          <w:color w:val="auto"/>
          <w:sz w:val="24"/>
          <w:highlight w:val="none"/>
        </w:rPr>
        <w:t>.“</w:t>
      </w:r>
      <w:r>
        <w:rPr>
          <w:b/>
          <w:bCs/>
          <w:color w:val="auto"/>
          <w:sz w:val="24"/>
          <w:highlight w:val="none"/>
        </w:rPr>
        <w:t>实质性要求</w:t>
      </w:r>
      <w:r>
        <w:rPr>
          <w:rFonts w:hint="eastAsia" w:ascii="宋体" w:hAnsi="宋体" w:cs="宋体"/>
          <w:b/>
          <w:color w:val="auto"/>
          <w:sz w:val="24"/>
          <w:highlight w:val="none"/>
        </w:rPr>
        <w:t>”</w:t>
      </w:r>
      <w:r>
        <w:rPr>
          <w:b/>
          <w:bCs/>
          <w:color w:val="auto"/>
          <w:sz w:val="24"/>
          <w:highlight w:val="none"/>
        </w:rPr>
        <w:t>是指</w:t>
      </w:r>
      <w:r>
        <w:rPr>
          <w:rFonts w:hint="eastAsia"/>
          <w:b/>
          <w:bCs/>
          <w:color w:val="auto"/>
          <w:sz w:val="24"/>
          <w:highlight w:val="none"/>
        </w:rPr>
        <w:t>采购文件</w:t>
      </w:r>
      <w:r>
        <w:rPr>
          <w:b/>
          <w:bCs/>
          <w:color w:val="auto"/>
          <w:sz w:val="24"/>
          <w:highlight w:val="none"/>
        </w:rPr>
        <w:t>中已经指明不满足则</w:t>
      </w:r>
      <w:r>
        <w:rPr>
          <w:rFonts w:hint="eastAsia" w:ascii="宋体" w:hAnsi="宋体" w:cs="宋体"/>
          <w:b/>
          <w:color w:val="auto"/>
          <w:sz w:val="24"/>
          <w:highlight w:val="none"/>
          <w:lang w:bidi="ar"/>
        </w:rPr>
        <w:t>竞争性谈判</w:t>
      </w:r>
      <w:r>
        <w:rPr>
          <w:b/>
          <w:bCs/>
          <w:color w:val="auto"/>
          <w:sz w:val="24"/>
          <w:highlight w:val="none"/>
        </w:rPr>
        <w:t>无效的条款，或者不</w:t>
      </w:r>
      <w:r>
        <w:rPr>
          <w:rFonts w:hint="eastAsia"/>
          <w:b/>
          <w:bCs/>
          <w:color w:val="auto"/>
          <w:sz w:val="24"/>
          <w:highlight w:val="none"/>
        </w:rPr>
        <w:t>容许</w:t>
      </w:r>
      <w:r>
        <w:rPr>
          <w:b/>
          <w:bCs/>
          <w:color w:val="auto"/>
          <w:sz w:val="24"/>
          <w:highlight w:val="none"/>
        </w:rPr>
        <w:t>负偏离的条款，或者采购需求中带</w:t>
      </w:r>
      <w:r>
        <w:rPr>
          <w:rFonts w:hint="eastAsia"/>
          <w:b/>
          <w:bCs/>
          <w:color w:val="auto"/>
          <w:sz w:val="24"/>
          <w:highlight w:val="none"/>
        </w:rPr>
        <w:t>“▲”</w:t>
      </w:r>
      <w:r>
        <w:rPr>
          <w:b/>
          <w:bCs/>
          <w:color w:val="auto"/>
          <w:sz w:val="24"/>
          <w:highlight w:val="none"/>
        </w:rPr>
        <w:t>的条款。</w:t>
      </w:r>
      <w:r>
        <w:rPr>
          <w:rFonts w:hint="eastAsia"/>
          <w:b/>
          <w:bCs/>
          <w:color w:val="auto"/>
          <w:sz w:val="24"/>
          <w:highlight w:val="none"/>
        </w:rPr>
        <w:t>未标注“</w:t>
      </w:r>
      <w:r>
        <w:rPr>
          <w:rFonts w:hint="eastAsia" w:ascii="Segoe UI Symbol" w:hAnsi="Segoe UI Symbol" w:cs="Segoe UI Symbol"/>
          <w:b/>
          <w:bCs/>
          <w:color w:val="auto"/>
          <w:sz w:val="24"/>
          <w:highlight w:val="none"/>
        </w:rPr>
        <w:t>▲</w:t>
      </w:r>
      <w:r>
        <w:rPr>
          <w:rFonts w:hint="eastAsia"/>
          <w:b/>
          <w:bCs/>
          <w:color w:val="auto"/>
          <w:sz w:val="24"/>
          <w:highlight w:val="none"/>
        </w:rPr>
        <w:t>”号的非实质性条款要求可允许2项负偏离，</w:t>
      </w:r>
      <w:r>
        <w:rPr>
          <w:b/>
          <w:bCs/>
          <w:color w:val="auto"/>
          <w:sz w:val="24"/>
          <w:highlight w:val="none"/>
        </w:rPr>
        <w:t>3</w:t>
      </w:r>
      <w:r>
        <w:rPr>
          <w:rFonts w:hint="eastAsia"/>
          <w:b/>
          <w:bCs/>
          <w:color w:val="auto"/>
          <w:sz w:val="24"/>
          <w:highlight w:val="none"/>
        </w:rPr>
        <w:t>项以上（含</w:t>
      </w:r>
      <w:r>
        <w:rPr>
          <w:b/>
          <w:bCs/>
          <w:color w:val="auto"/>
          <w:sz w:val="24"/>
          <w:highlight w:val="none"/>
        </w:rPr>
        <w:t>3</w:t>
      </w:r>
      <w:r>
        <w:rPr>
          <w:rFonts w:hint="eastAsia"/>
          <w:b/>
          <w:bCs/>
          <w:color w:val="auto"/>
          <w:sz w:val="24"/>
          <w:highlight w:val="none"/>
        </w:rPr>
        <w:t>项）负偏离的</w:t>
      </w:r>
      <w:r>
        <w:rPr>
          <w:rFonts w:hint="eastAsia" w:ascii="宋体" w:hAnsi="宋体" w:cs="宋体"/>
          <w:b/>
          <w:color w:val="auto"/>
          <w:sz w:val="24"/>
          <w:highlight w:val="none"/>
          <w:lang w:bidi="ar"/>
        </w:rPr>
        <w:t>竞争性谈判</w:t>
      </w:r>
      <w:r>
        <w:rPr>
          <w:rFonts w:hint="eastAsia"/>
          <w:b/>
          <w:bCs/>
          <w:color w:val="auto"/>
          <w:sz w:val="24"/>
          <w:highlight w:val="none"/>
        </w:rPr>
        <w:t>无效。</w:t>
      </w:r>
    </w:p>
    <w:p w14:paraId="3D573573">
      <w:pPr>
        <w:spacing w:line="360" w:lineRule="auto"/>
        <w:ind w:left="-10" w:leftChars="-5" w:right="2" w:rightChars="1" w:firstLine="480" w:firstLineChars="200"/>
        <w:rPr>
          <w:bCs/>
          <w:color w:val="auto"/>
          <w:sz w:val="24"/>
          <w:highlight w:val="none"/>
        </w:rPr>
      </w:pPr>
      <w:r>
        <w:rPr>
          <w:rFonts w:hint="eastAsia"/>
          <w:bCs/>
          <w:color w:val="auto"/>
          <w:sz w:val="24"/>
          <w:highlight w:val="none"/>
        </w:rPr>
        <w:t>6</w:t>
      </w:r>
      <w:r>
        <w:rPr>
          <w:bCs/>
          <w:color w:val="auto"/>
          <w:sz w:val="24"/>
          <w:highlight w:val="none"/>
        </w:rPr>
        <w:t>.</w:t>
      </w:r>
      <w:r>
        <w:rPr>
          <w:rFonts w:hint="eastAsia"/>
          <w:bCs/>
          <w:color w:val="auto"/>
          <w:sz w:val="24"/>
          <w:highlight w:val="none"/>
        </w:rPr>
        <w:t>采购标的</w:t>
      </w:r>
      <w:r>
        <w:rPr>
          <w:bCs/>
          <w:color w:val="auto"/>
          <w:sz w:val="24"/>
          <w:highlight w:val="none"/>
        </w:rPr>
        <w:t>所属行业</w:t>
      </w:r>
      <w:r>
        <w:rPr>
          <w:rFonts w:hint="eastAsia"/>
          <w:bCs/>
          <w:color w:val="auto"/>
          <w:sz w:val="24"/>
          <w:highlight w:val="none"/>
        </w:rPr>
        <w:t>均为</w:t>
      </w:r>
      <w:r>
        <w:rPr>
          <w:bCs/>
          <w:color w:val="auto"/>
          <w:sz w:val="24"/>
          <w:highlight w:val="none"/>
        </w:rPr>
        <w:t>：</w:t>
      </w:r>
      <w:r>
        <w:rPr>
          <w:bCs/>
          <w:color w:val="auto"/>
          <w:sz w:val="24"/>
          <w:highlight w:val="none"/>
        </w:rPr>
        <w:t>工业</w:t>
      </w:r>
    </w:p>
    <w:tbl>
      <w:tblPr>
        <w:tblStyle w:val="29"/>
        <w:tblW w:w="9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171"/>
        <w:gridCol w:w="507"/>
        <w:gridCol w:w="637"/>
        <w:gridCol w:w="5025"/>
        <w:gridCol w:w="956"/>
        <w:gridCol w:w="1096"/>
      </w:tblGrid>
      <w:tr w14:paraId="3EF8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exact"/>
          <w:jc w:val="center"/>
        </w:trPr>
        <w:tc>
          <w:tcPr>
            <w:tcW w:w="562" w:type="dxa"/>
            <w:vAlign w:val="center"/>
          </w:tcPr>
          <w:p w14:paraId="55AA63B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171" w:type="dxa"/>
            <w:vAlign w:val="center"/>
          </w:tcPr>
          <w:p w14:paraId="04C0C67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标的名称</w:t>
            </w:r>
          </w:p>
        </w:tc>
        <w:tc>
          <w:tcPr>
            <w:tcW w:w="507" w:type="dxa"/>
            <w:vAlign w:val="center"/>
          </w:tcPr>
          <w:p w14:paraId="728997C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单位</w:t>
            </w:r>
          </w:p>
        </w:tc>
        <w:tc>
          <w:tcPr>
            <w:tcW w:w="637" w:type="dxa"/>
            <w:vAlign w:val="center"/>
          </w:tcPr>
          <w:p w14:paraId="2391302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数量</w:t>
            </w:r>
          </w:p>
        </w:tc>
        <w:tc>
          <w:tcPr>
            <w:tcW w:w="5025" w:type="dxa"/>
            <w:vAlign w:val="center"/>
          </w:tcPr>
          <w:p w14:paraId="6DC5185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技术参数及性能（配置）</w:t>
            </w:r>
          </w:p>
          <w:p w14:paraId="13F1D15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rPr>
              <w:t>要求</w:t>
            </w:r>
          </w:p>
        </w:tc>
        <w:tc>
          <w:tcPr>
            <w:tcW w:w="956" w:type="dxa"/>
          </w:tcPr>
          <w:p w14:paraId="1C14308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rPr>
              <w:t>预算单价（元/人民币）</w:t>
            </w:r>
          </w:p>
        </w:tc>
        <w:tc>
          <w:tcPr>
            <w:tcW w:w="1096" w:type="dxa"/>
          </w:tcPr>
          <w:p w14:paraId="6673FC0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rPr>
              <w:t>单项预算合计（元/人民币）</w:t>
            </w:r>
          </w:p>
        </w:tc>
      </w:tr>
      <w:tr w14:paraId="7BCD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exact"/>
          <w:jc w:val="center"/>
        </w:trPr>
        <w:tc>
          <w:tcPr>
            <w:tcW w:w="9954" w:type="dxa"/>
            <w:gridSpan w:val="7"/>
            <w:vAlign w:val="center"/>
          </w:tcPr>
          <w:p w14:paraId="67F6A2BA">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一、</w:t>
            </w:r>
            <w:r>
              <w:rPr>
                <w:rFonts w:hint="eastAsia" w:ascii="宋体" w:hAnsi="宋体" w:eastAsia="宋体" w:cs="宋体"/>
                <w:b/>
                <w:bCs/>
                <w:color w:val="auto"/>
                <w:kern w:val="0"/>
                <w:sz w:val="24"/>
                <w:szCs w:val="24"/>
                <w:highlight w:val="none"/>
                <w:lang w:val="en-US" w:eastAsia="zh-CN"/>
              </w:rPr>
              <w:t>软件开发部分</w:t>
            </w:r>
            <w:r>
              <w:rPr>
                <w:rFonts w:hint="eastAsia" w:ascii="宋体" w:hAnsi="宋体" w:cs="宋体"/>
                <w:b/>
                <w:bCs/>
                <w:color w:val="auto"/>
                <w:kern w:val="0"/>
                <w:sz w:val="24"/>
                <w:szCs w:val="24"/>
                <w:highlight w:val="none"/>
                <w:lang w:val="en-US" w:eastAsia="zh-CN"/>
              </w:rPr>
              <w:t>（分项上控价300000.00元）</w:t>
            </w:r>
          </w:p>
        </w:tc>
      </w:tr>
      <w:tr w14:paraId="3CA0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exact"/>
          <w:jc w:val="center"/>
        </w:trPr>
        <w:tc>
          <w:tcPr>
            <w:tcW w:w="9954" w:type="dxa"/>
            <w:gridSpan w:val="7"/>
            <w:vAlign w:val="center"/>
          </w:tcPr>
          <w:p w14:paraId="2353F11C">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b/>
                <w:bCs/>
                <w:color w:val="auto"/>
                <w:kern w:val="0"/>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（一）定制开发虚拟仿真课程</w:t>
            </w:r>
          </w:p>
        </w:tc>
      </w:tr>
      <w:tr w14:paraId="2218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62" w:type="dxa"/>
            <w:vAlign w:val="center"/>
          </w:tcPr>
          <w:p w14:paraId="4030C5F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171" w:type="dxa"/>
            <w:vAlign w:val="center"/>
          </w:tcPr>
          <w:p w14:paraId="2A27C44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自然地理虚拟仿真课程教学系统</w:t>
            </w:r>
          </w:p>
        </w:tc>
        <w:tc>
          <w:tcPr>
            <w:tcW w:w="507" w:type="dxa"/>
            <w:vAlign w:val="center"/>
          </w:tcPr>
          <w:p w14:paraId="52A214C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37" w:type="dxa"/>
            <w:vAlign w:val="center"/>
          </w:tcPr>
          <w:p w14:paraId="2F035A6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vAlign w:val="center"/>
          </w:tcPr>
          <w:p w14:paraId="57ABAC7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1.实验目的</w:t>
            </w:r>
          </w:p>
          <w:p w14:paraId="662729F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定制开发</w:t>
            </w:r>
            <w:r>
              <w:rPr>
                <w:rFonts w:hint="eastAsia" w:ascii="宋体" w:hAnsi="宋体" w:eastAsia="宋体" w:cs="宋体"/>
                <w:i w:val="0"/>
                <w:iCs w:val="0"/>
                <w:color w:val="auto"/>
                <w:kern w:val="0"/>
                <w:sz w:val="24"/>
                <w:szCs w:val="24"/>
                <w:highlight w:val="none"/>
                <w:u w:val="none"/>
                <w:lang w:val="en-US" w:eastAsia="zh-CN" w:bidi="ar"/>
              </w:rPr>
              <w:t>自然地理虚拟仿真课程教学系统</w:t>
            </w:r>
            <w:r>
              <w:rPr>
                <w:rFonts w:hint="eastAsia" w:ascii="宋体" w:hAnsi="宋体" w:eastAsia="宋体" w:cs="宋体"/>
                <w:i w:val="0"/>
                <w:iCs w:val="0"/>
                <w:color w:val="auto"/>
                <w:sz w:val="24"/>
                <w:szCs w:val="24"/>
                <w:highlight w:val="none"/>
                <w:u w:val="none"/>
              </w:rPr>
              <w:t>，为实验教学提供高度仿真的沉浸环境，</w:t>
            </w:r>
            <w:r>
              <w:rPr>
                <w:rFonts w:hint="eastAsia" w:ascii="宋体" w:hAnsi="宋体" w:eastAsia="宋体" w:cs="宋体"/>
                <w:i w:val="0"/>
                <w:iCs w:val="0"/>
                <w:color w:val="auto"/>
                <w:sz w:val="24"/>
                <w:szCs w:val="24"/>
                <w:highlight w:val="none"/>
                <w:u w:val="none"/>
                <w:lang w:val="en-US" w:eastAsia="zh-CN"/>
              </w:rPr>
              <w:t>自然地理虚拟仿真实验帮助学生理解地球表层各自然地理要素的形成过程、基本特征、类型和分布。多种地貌类型的形成机制、演化过程及空间分布，其动态性和空间尺度变化大，通过虚拟仿真技术可以直观呈现地貌演化的时空过程，弥补实地观察的局限性</w:t>
            </w:r>
            <w:r>
              <w:rPr>
                <w:rFonts w:hint="eastAsia" w:ascii="宋体" w:hAnsi="宋体" w:eastAsia="宋体" w:cs="宋体"/>
                <w:i w:val="0"/>
                <w:iCs w:val="0"/>
                <w:color w:val="auto"/>
                <w:sz w:val="24"/>
                <w:szCs w:val="24"/>
                <w:highlight w:val="none"/>
                <w:u w:val="none"/>
              </w:rPr>
              <w:t>。</w:t>
            </w:r>
          </w:p>
          <w:p w14:paraId="26FEDBE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2.资源要求</w:t>
            </w:r>
          </w:p>
          <w:p w14:paraId="2517DD0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资源包括：1个户外景观虚拟场景、1个主体建筑模型及该建筑30-50个子结构模型（模型重复使用按一个模型计算）、嵌入30-50个文本/图片/视频类讲解资源（用户提供），设计一套30-50个实验仿真步骤，并记录过程考核和得分。接入阿里通义千问及DeepSeek人工智能大模型、并支持语音交互功能。</w:t>
            </w:r>
          </w:p>
          <w:p w14:paraId="25481EDE">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3.虚拟仿真功能要求：</w:t>
            </w:r>
          </w:p>
          <w:p w14:paraId="35E300D2">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3.1教学功能模块</w:t>
            </w:r>
          </w:p>
          <w:p w14:paraId="43E795C1">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初始开始菜单、竖状课程菜单、底部工具栏。开始菜单点击进入认知仿真场景，竖状课程菜单显示本课程所有子分节课程，工具包括操作、视角、人称、地图、画笔，允许全域环境调出使用。</w:t>
            </w:r>
          </w:p>
          <w:p w14:paraId="1D3768F0">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3.2嵌入多媒体资源模块</w:t>
            </w:r>
          </w:p>
          <w:p w14:paraId="75F977DF">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根据用户提供的课程资料嵌入多媒体资源，资源类型包括用户提供的相关讲解PPT、图片、视频、电子试卷、文本，资源以窗口的形式加载、解析、显示，具备文字动态放大显示、缩小显示的交互功能。</w:t>
            </w:r>
          </w:p>
          <w:p w14:paraId="17CC30AF">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3.3认知仿真模块</w:t>
            </w:r>
          </w:p>
          <w:p w14:paraId="1EAB3739">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根据用户提供课程资料制作仿真实验资源，资源类型包括结构交互仿真、原理交互仿真、流程交互仿真等三维仿真资源动态流式加载，加载进度显示，栈式资源呈现，关闭自动销毁等统一的三维资源加载管理功能。</w:t>
            </w:r>
          </w:p>
          <w:p w14:paraId="5D3112BA">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嵌入人工智能语音交互模块</w:t>
            </w:r>
          </w:p>
          <w:p w14:paraId="4BAB9913">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支持动态解析还原资源中预定义的AI交互类组件及AI平台提供的通用调用API的URL、API-Key、AI-Model等参数和触发事件，支持动态解析还原并执行阿里平台音频转文本AI模型的组件、阿里通义千问及DeepSeek的文本问答组件、阿里平台文本转语音AI模型组件。支持动态解析还原并执行USB麦克风的控制组件，交互执行启动、音频流播放、关闭、驱动事件等操作；支持资源配置的麦克风音频流数据播放、频谱数据提取并驱动三维场景物体呈现频谱数据、音频流录制保存等交互动能的执行。</w:t>
            </w:r>
          </w:p>
          <w:p w14:paraId="5D1136F4">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软件部署模块</w:t>
            </w:r>
          </w:p>
          <w:p w14:paraId="6DC68549">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能够支持web网页、Windows、Android、PICO VR一体机头盔、标准主动立体CAVE屏幕五个跨平台多终端访问，以及软件自适应适配平台基础功能的用户管理、搜索支持、多元入口、多终端支持功能，自适应适配虚拟教室的虚拟课堂、虚拟桌面、电子画笔、三维自动视角功能，自适应适配活页式课程集的课程树模式、课程线模式、主题课模式、二维码模式功能。</w:t>
            </w:r>
          </w:p>
          <w:p w14:paraId="4EFA8C08">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4.数据接口要求</w:t>
            </w:r>
          </w:p>
          <w:p w14:paraId="01E05D57">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定制开发虚拟仿真课程符合教育部《虚拟仿真实验教学课程建设与共享应用规范》标准要求，虚拟仿真课程须对接国家职业教育智慧教育平台虚拟仿真实训板块，实现数据共享。数据接口包括：程序启动接口、实训过程数据接口、实训结果数据接口、实训报告上传数据接口以及登录态同步接口等。</w:t>
            </w:r>
          </w:p>
          <w:p w14:paraId="4104F1E3">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5.核心要求</w:t>
            </w:r>
          </w:p>
          <w:p w14:paraId="23E7F388">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投标供应商需按照第3条虚拟仿真功能的技术要求、第</w:t>
            </w:r>
            <w:r>
              <w:rPr>
                <w:rFonts w:hint="eastAsia" w:ascii="宋体" w:hAnsi="宋体" w:eastAsia="宋体" w:cs="宋体"/>
                <w:color w:val="auto"/>
                <w:sz w:val="24"/>
                <w:szCs w:val="24"/>
                <w:highlight w:val="none"/>
                <w:lang w:val="en-US" w:eastAsia="zh-CN"/>
              </w:rPr>
              <w:t>4条</w:t>
            </w:r>
            <w:r>
              <w:rPr>
                <w:rFonts w:hint="eastAsia" w:ascii="宋体" w:hAnsi="宋体" w:eastAsia="宋体" w:cs="宋体"/>
                <w:color w:val="auto"/>
                <w:sz w:val="24"/>
                <w:szCs w:val="24"/>
                <w:highlight w:val="none"/>
              </w:rPr>
              <w:t>上线对接国家智慧教育平台的技术要求。</w:t>
            </w:r>
          </w:p>
          <w:p w14:paraId="58228001">
            <w:pPr>
              <w:keepNext w:val="0"/>
              <w:keepLines w:val="0"/>
              <w:pageBreakBefore w:val="0"/>
              <w:widowControl/>
              <w:numPr>
                <w:ilvl w:val="0"/>
                <w:numId w:val="0"/>
              </w:numPr>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6.知识产权要求</w:t>
            </w:r>
          </w:p>
          <w:p w14:paraId="4D53972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vertAlign w:val="baseline"/>
                <w:lang w:val="en-US" w:eastAsia="zh-CN"/>
              </w:rPr>
              <w:t>知识产权归属‌：定制开发虚拟仿真实验教学系统知识产权归属于采购方。实验课程须有自主知识产权,坚决不能简单购买使用成品软件，交付时需提供软件著作权并归属于采购方开发教学团队。</w:t>
            </w:r>
          </w:p>
        </w:tc>
        <w:tc>
          <w:tcPr>
            <w:tcW w:w="956" w:type="dxa"/>
            <w:vAlign w:val="center"/>
          </w:tcPr>
          <w:p w14:paraId="5204C00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sz w:val="24"/>
                <w:szCs w:val="24"/>
                <w:highlight w:val="none"/>
                <w:u w:val="none"/>
                <w:lang w:val="en-US" w:eastAsia="zh-CN"/>
              </w:rPr>
              <w:t>100000.00</w:t>
            </w:r>
          </w:p>
        </w:tc>
        <w:tc>
          <w:tcPr>
            <w:tcW w:w="1096" w:type="dxa"/>
            <w:shd w:val="clear" w:color="auto" w:fill="auto"/>
            <w:vAlign w:val="center"/>
          </w:tcPr>
          <w:p w14:paraId="1B47872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sz w:val="24"/>
                <w:szCs w:val="24"/>
                <w:highlight w:val="none"/>
                <w:u w:val="none"/>
                <w:lang w:val="en-US" w:eastAsia="zh-CN"/>
              </w:rPr>
              <w:t>100000.00</w:t>
            </w:r>
          </w:p>
        </w:tc>
      </w:tr>
      <w:tr w14:paraId="12EE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563CA11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171" w:type="dxa"/>
            <w:vAlign w:val="center"/>
          </w:tcPr>
          <w:p w14:paraId="6EFD9B8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矿物岩石鉴定虚拟仿真课程教学系统</w:t>
            </w:r>
          </w:p>
        </w:tc>
        <w:tc>
          <w:tcPr>
            <w:tcW w:w="507" w:type="dxa"/>
            <w:vAlign w:val="center"/>
          </w:tcPr>
          <w:p w14:paraId="124409D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37" w:type="dxa"/>
            <w:vAlign w:val="center"/>
          </w:tcPr>
          <w:p w14:paraId="5739824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vAlign w:val="center"/>
          </w:tcPr>
          <w:p w14:paraId="2F60C5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1.实验目的</w:t>
            </w:r>
          </w:p>
          <w:p w14:paraId="0BAEC85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定制开发</w:t>
            </w:r>
            <w:r>
              <w:rPr>
                <w:rFonts w:hint="eastAsia" w:ascii="宋体" w:hAnsi="宋体" w:eastAsia="宋体" w:cs="宋体"/>
                <w:i w:val="0"/>
                <w:iCs w:val="0"/>
                <w:color w:val="auto"/>
                <w:sz w:val="24"/>
                <w:szCs w:val="24"/>
                <w:highlight w:val="none"/>
                <w:u w:val="none"/>
                <w:lang w:val="en-US" w:eastAsia="zh-CN"/>
              </w:rPr>
              <w:t>矿物岩石鉴定虚拟仿真</w:t>
            </w:r>
            <w:r>
              <w:rPr>
                <w:rFonts w:hint="eastAsia" w:ascii="宋体" w:hAnsi="宋体" w:eastAsia="宋体" w:cs="宋体"/>
                <w:i w:val="0"/>
                <w:iCs w:val="0"/>
                <w:color w:val="auto"/>
                <w:kern w:val="0"/>
                <w:sz w:val="24"/>
                <w:szCs w:val="24"/>
                <w:highlight w:val="none"/>
                <w:u w:val="none"/>
                <w:lang w:val="en-US" w:eastAsia="zh-CN" w:bidi="ar"/>
              </w:rPr>
              <w:t>教学系统</w:t>
            </w:r>
            <w:r>
              <w:rPr>
                <w:rFonts w:hint="eastAsia" w:ascii="宋体" w:hAnsi="宋体" w:eastAsia="宋体" w:cs="宋体"/>
                <w:i w:val="0"/>
                <w:iCs w:val="0"/>
                <w:color w:val="auto"/>
                <w:sz w:val="24"/>
                <w:szCs w:val="24"/>
                <w:highlight w:val="none"/>
                <w:u w:val="none"/>
              </w:rPr>
              <w:t>，为实验教学提供高度仿真的沉浸环境，</w:t>
            </w:r>
            <w:r>
              <w:rPr>
                <w:rFonts w:hint="eastAsia" w:ascii="宋体" w:hAnsi="宋体" w:eastAsia="宋体" w:cs="宋体"/>
                <w:i w:val="0"/>
                <w:iCs w:val="0"/>
                <w:color w:val="auto"/>
                <w:sz w:val="24"/>
                <w:szCs w:val="24"/>
                <w:highlight w:val="none"/>
                <w:u w:val="none"/>
                <w:lang w:val="en-US" w:eastAsia="zh-CN"/>
              </w:rPr>
              <w:t>矿物岩石鉴定虚拟仿真实验掌握矿物岩石的物理性质（颜色、硬度、解理）及镜下光学特征（干涉色、消光类型）。学习系统鉴定流程，能够根据标准规范（如《矿物学鉴定手册》）完成分类。提升对矿物岩石成因及其地质意义的理解。</w:t>
            </w:r>
          </w:p>
          <w:p w14:paraId="728514C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2.资源要求</w:t>
            </w:r>
          </w:p>
          <w:p w14:paraId="47ABDC3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资源包括：1个户外景观虚拟场景、1个主体建筑模型及该建筑30-50个子结构模型（模型重复使用按一个模型计算）、嵌入30-50个文本/图片/视频类讲解资源（用户提供），设计一套30-50个实验仿真步骤，并记录过程考核和得分。接入阿里通义千问及DeepSeek人工智能大模型、并支持语音交互功能。</w:t>
            </w:r>
          </w:p>
          <w:p w14:paraId="280E0FD5">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3.虚拟仿真功能要求：</w:t>
            </w:r>
          </w:p>
          <w:p w14:paraId="44B4F268">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3.1教学功能模块</w:t>
            </w:r>
          </w:p>
          <w:p w14:paraId="3C1F4B6A">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初始开始菜单、竖状课程菜单、底部工具栏。开始菜单点击进入认知仿真场景，竖状课程菜单显示本课程所有子分节课程，工具包括操作、视角、人称、地图、画笔，允许全域环境调出使用。</w:t>
            </w:r>
          </w:p>
          <w:p w14:paraId="4888C62D">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3.2嵌入多媒体资源模块</w:t>
            </w:r>
          </w:p>
          <w:p w14:paraId="69CA8157">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根据用户提供的课程资料嵌入多媒体资源，资源类型包括用户提供的相关讲解PPT、图片、视频、电子试卷、文本，资源以窗口的形式加载、解析、显示，具备文字动态放大显示、缩小显示的交互功能。</w:t>
            </w:r>
          </w:p>
          <w:p w14:paraId="1DD4A40D">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3.3认知仿真模块</w:t>
            </w:r>
          </w:p>
          <w:p w14:paraId="3FB80994">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根据用户提供课程资料制作仿真实验资源，资源类型包括结构交互仿真、原理交互仿真、流程交互仿真等三维仿真资源动态流式加载，加载进度显示，栈式资源呈现，关闭自动销毁等统一的三维资源加载管理功能。</w:t>
            </w:r>
          </w:p>
          <w:p w14:paraId="34B3BFC4">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嵌入人工智能语音交互模块</w:t>
            </w:r>
          </w:p>
          <w:p w14:paraId="6854D1E0">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支持动态解析还原资源中预定义的AI交互类组件及AI平台提供的通用调用API的URL、API-Key、AI-Model等参数和触发事件，支持动态解析还原并执行阿里平台音频转文本AI模型的组件、阿里通义千问及DeepSeek的文本问答组件、阿里平台文本转语音AI模型组件。支持动态解析还原并执行USB麦克风的控制组件，交互执行启动、音频流播放、关闭、驱动事件等操作；支持资源配置的麦克风音频流数据播放、频谱数据提取并驱动三维场景物体呈现频谱数据、音频流录制保存等交互动能的执行。</w:t>
            </w:r>
          </w:p>
          <w:p w14:paraId="1A5153BF">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软件部署模块</w:t>
            </w:r>
          </w:p>
          <w:p w14:paraId="0EF89BEC">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能够支持web网页、Windows、Android、PICO VR一体机头盔、标准主动立体CAVE屏幕五个跨平台多终端访问，以及软件自适应适配平台基础功能的用户管理、搜索支持、多元入口、多终端支持功能，自适应适配虚拟教室的虚拟课堂、虚拟桌面、电子画笔、三维自动视角功能，自适应适配活页式课程集的课程树模式、课程线模式、主题课模式、二维码模式功能。</w:t>
            </w:r>
          </w:p>
          <w:p w14:paraId="7FA4429A">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4.数据接口要求</w:t>
            </w:r>
          </w:p>
          <w:p w14:paraId="1B404DF6">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定制开发虚拟仿真课程符合教育部《虚拟仿真实验教学课程建设与共享应用规范》标准要求，虚拟仿真课程须对接国家职业教育智慧教育平台虚拟仿真实训板块，实现数据共享。数据接口包括：程序启动接口、实训过程数据接口、实训结果数据接口、实训报告上传数据接口以及登录态同步接口等。</w:t>
            </w:r>
          </w:p>
          <w:p w14:paraId="7DE05B38">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5.核心要求</w:t>
            </w:r>
          </w:p>
          <w:p w14:paraId="73AD3BF9">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投标供应商需按照第3条虚拟仿真功能的技术要求、第</w:t>
            </w:r>
            <w:r>
              <w:rPr>
                <w:rFonts w:hint="eastAsia" w:ascii="宋体" w:hAnsi="宋体" w:eastAsia="宋体" w:cs="宋体"/>
                <w:color w:val="auto"/>
                <w:sz w:val="24"/>
                <w:szCs w:val="24"/>
                <w:highlight w:val="none"/>
                <w:lang w:val="en-US" w:eastAsia="zh-CN"/>
              </w:rPr>
              <w:t>4条</w:t>
            </w:r>
            <w:r>
              <w:rPr>
                <w:rFonts w:hint="eastAsia" w:ascii="宋体" w:hAnsi="宋体" w:eastAsia="宋体" w:cs="宋体"/>
                <w:color w:val="auto"/>
                <w:sz w:val="24"/>
                <w:szCs w:val="24"/>
                <w:highlight w:val="none"/>
              </w:rPr>
              <w:t>上线对接国家智慧教育平台的技术要求。</w:t>
            </w:r>
          </w:p>
          <w:p w14:paraId="6EC25F5B">
            <w:pPr>
              <w:keepNext w:val="0"/>
              <w:keepLines w:val="0"/>
              <w:pageBreakBefore w:val="0"/>
              <w:widowControl/>
              <w:numPr>
                <w:ilvl w:val="0"/>
                <w:numId w:val="0"/>
              </w:numPr>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6.知识产权要求</w:t>
            </w:r>
          </w:p>
          <w:p w14:paraId="2E877AD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vertAlign w:val="baseline"/>
                <w:lang w:val="en-US" w:eastAsia="zh-CN"/>
              </w:rPr>
              <w:t>知识产权归属‌：定制开发虚拟仿真实验教学系统知识产权归属于采购方。实验课程须有自主知识产权,坚决不能简单购买使用成品软件，交付时需提供软件著作权并归属于采购方开发教学团队。</w:t>
            </w:r>
          </w:p>
        </w:tc>
        <w:tc>
          <w:tcPr>
            <w:tcW w:w="956" w:type="dxa"/>
            <w:vAlign w:val="center"/>
          </w:tcPr>
          <w:p w14:paraId="76B6A87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color w:val="auto"/>
                <w:sz w:val="24"/>
                <w:szCs w:val="24"/>
                <w:highlight w:val="none"/>
              </w:rPr>
            </w:pPr>
            <w:r>
              <w:rPr>
                <w:rFonts w:hint="eastAsia" w:ascii="宋体" w:hAnsi="宋体" w:eastAsia="宋体" w:cs="宋体"/>
                <w:i w:val="0"/>
                <w:iCs w:val="0"/>
                <w:color w:val="auto"/>
                <w:sz w:val="24"/>
                <w:szCs w:val="24"/>
                <w:highlight w:val="none"/>
                <w:u w:val="none"/>
                <w:lang w:val="en-US" w:eastAsia="zh-CN"/>
              </w:rPr>
              <w:t>100000.00</w:t>
            </w:r>
          </w:p>
        </w:tc>
        <w:tc>
          <w:tcPr>
            <w:tcW w:w="1096" w:type="dxa"/>
            <w:vAlign w:val="center"/>
          </w:tcPr>
          <w:p w14:paraId="423DC1F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color w:val="auto"/>
                <w:sz w:val="24"/>
                <w:szCs w:val="24"/>
                <w:highlight w:val="none"/>
              </w:rPr>
            </w:pPr>
            <w:r>
              <w:rPr>
                <w:rFonts w:hint="eastAsia" w:ascii="宋体" w:hAnsi="宋体" w:eastAsia="宋体" w:cs="宋体"/>
                <w:i w:val="0"/>
                <w:iCs w:val="0"/>
                <w:color w:val="auto"/>
                <w:sz w:val="24"/>
                <w:szCs w:val="24"/>
                <w:highlight w:val="none"/>
                <w:u w:val="none"/>
                <w:lang w:val="en-US" w:eastAsia="zh-CN"/>
              </w:rPr>
              <w:t>100000.00</w:t>
            </w:r>
          </w:p>
        </w:tc>
      </w:tr>
      <w:tr w14:paraId="3F9E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61F28173">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171" w:type="dxa"/>
            <w:vAlign w:val="center"/>
          </w:tcPr>
          <w:p w14:paraId="2F5D04A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地质灾害调查与评价虚拟仿真课程教学系统</w:t>
            </w:r>
          </w:p>
        </w:tc>
        <w:tc>
          <w:tcPr>
            <w:tcW w:w="507" w:type="dxa"/>
            <w:vAlign w:val="center"/>
          </w:tcPr>
          <w:p w14:paraId="1E8929E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37" w:type="dxa"/>
            <w:vAlign w:val="center"/>
          </w:tcPr>
          <w:p w14:paraId="0F1960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vAlign w:val="center"/>
          </w:tcPr>
          <w:p w14:paraId="7F1F47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1.实验目的</w:t>
            </w:r>
          </w:p>
          <w:p w14:paraId="0B276BC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定制开发</w:t>
            </w:r>
            <w:r>
              <w:rPr>
                <w:rFonts w:hint="eastAsia" w:ascii="宋体" w:hAnsi="宋体" w:eastAsia="宋体" w:cs="宋体"/>
                <w:i w:val="0"/>
                <w:iCs w:val="0"/>
                <w:color w:val="auto"/>
                <w:kern w:val="0"/>
                <w:sz w:val="24"/>
                <w:szCs w:val="24"/>
                <w:highlight w:val="none"/>
                <w:u w:val="none"/>
                <w:lang w:val="en-US" w:eastAsia="zh-CN" w:bidi="ar"/>
              </w:rPr>
              <w:t>地质灾害调查与评价虚拟仿真课程教学系统</w:t>
            </w:r>
            <w:r>
              <w:rPr>
                <w:rFonts w:hint="eastAsia" w:ascii="宋体" w:hAnsi="宋体" w:eastAsia="宋体" w:cs="宋体"/>
                <w:i w:val="0"/>
                <w:iCs w:val="0"/>
                <w:color w:val="auto"/>
                <w:sz w:val="24"/>
                <w:szCs w:val="24"/>
                <w:highlight w:val="none"/>
                <w:u w:val="none"/>
              </w:rPr>
              <w:t>，为实验教学提供高度仿真的沉浸环境，</w:t>
            </w:r>
            <w:r>
              <w:rPr>
                <w:rFonts w:hint="eastAsia" w:ascii="宋体" w:hAnsi="宋体" w:eastAsia="宋体" w:cs="宋体"/>
                <w:i w:val="0"/>
                <w:iCs w:val="0"/>
                <w:color w:val="auto"/>
                <w:sz w:val="24"/>
                <w:szCs w:val="24"/>
                <w:highlight w:val="none"/>
                <w:u w:val="none"/>
                <w:lang w:val="en-US" w:eastAsia="zh-CN"/>
              </w:rPr>
              <w:t>掌握地质灾害（如滑坡、崩塌、泥石流、地面沉降、地面塌陷、地裂缝）等调查与评价的基本方法和要求，以及地质灾害危险性评估等内容。培养从事地质灾害调查、评价相关专业技术人员及相关部门的管理人员。</w:t>
            </w:r>
          </w:p>
          <w:p w14:paraId="68B7FF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2.资源要求</w:t>
            </w:r>
          </w:p>
          <w:p w14:paraId="58C5C70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资源包括：1个户外景观虚拟场景、1个主体建筑模型及该建筑30-50个子结构模型（模型重复使用按一个模型计算）、嵌入30-50个文本/图片/视频类讲解资源（用户提供），设计一套30-50个实验仿真步骤，并记录过程考核和得分。接入阿里通义千问及DeepSeek人工智能大模型、并支持语音交互功能。</w:t>
            </w:r>
          </w:p>
          <w:p w14:paraId="65C26EE0">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3.虚拟仿真功能要求：</w:t>
            </w:r>
          </w:p>
          <w:p w14:paraId="0345CF97">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3.1教学功能模块</w:t>
            </w:r>
          </w:p>
          <w:p w14:paraId="5EE0D2D1">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初始开始菜单、竖状课程菜单、底部工具栏。开始菜单点击进入认知仿真场景，竖状课程菜单显示本课程所有子分节课程，工具包括操作、视角、人称、地图、画笔，允许全域环境调出使用。</w:t>
            </w:r>
          </w:p>
          <w:p w14:paraId="23E679F1">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3.2嵌入多媒体资源模块</w:t>
            </w:r>
          </w:p>
          <w:p w14:paraId="1B17B3D4">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根据用户提供的课程资料嵌入多媒体资源，资源类型包括用户提供的相关讲解PPT、图片、视频、电子试卷、文本，资源以窗口的形式加载、解析、显示，具备文字动态放大显示、缩小显示的交互功能。</w:t>
            </w:r>
          </w:p>
          <w:p w14:paraId="20F6C9F3">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3.3认知仿真模块</w:t>
            </w:r>
          </w:p>
          <w:p w14:paraId="58E83996">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根据用户提供课程资料制作仿真实验资源，资源类型包括结构交互仿真、原理交互仿真、流程交互仿真等三维仿真资源动态流式加载，加载进度显示，栈式资源呈现，关闭自动销毁等统一的三维资源加载管理功能。</w:t>
            </w:r>
          </w:p>
          <w:p w14:paraId="5F56142D">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嵌入人工智能语音交互模块</w:t>
            </w:r>
          </w:p>
          <w:p w14:paraId="2D2A9AB2">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支持动态解析还原资源中预定义的AI交互类组件及AI平台提供的通用调用API的URL、API-Key、AI-Model等参数和触发事件，支持动态解析还原并执行阿里平台音频转文本AI模型的组件、阿里通义千问及DeepSeek的文本问答组件、阿里平台文本转语音AI模型组件。支持动态解析还原并执行USB麦克风的控制组件，交互执行启动、音频流播放、关闭、驱动事件等操作；支持资源配置的麦克风音频流数据播放、频谱数据提取并驱动三维场景物体呈现频谱数据、音频流录制保存等交互动能的执行。</w:t>
            </w:r>
          </w:p>
          <w:p w14:paraId="40466C56">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软件部署模块</w:t>
            </w:r>
          </w:p>
          <w:p w14:paraId="3D35018D">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能够支持web网页、Windows、Android、PICO VR一体机头盔、标准主动立体CAVE屏幕五个跨平台多终端访问，以及软件自适应适配平台基础功能的用户管理、搜索支持、多元入口、多终端支持功能，自适应适配虚拟教室的虚拟课堂、虚拟桌面、电子画笔、三维自动视角功能，自适应适配活页式课程集的课程树模式、课程线模式、主题课模式、二维码模式功能。</w:t>
            </w:r>
          </w:p>
          <w:p w14:paraId="67F6B2CA">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4.数据接口要求</w:t>
            </w:r>
          </w:p>
          <w:p w14:paraId="6E2DE5E0">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定制开发虚拟仿真课程符合教育部《虚拟仿真实验教学课程建设与共享应用规范》标准要求，虚拟仿真课程须对接国家职业教育智慧教育平台虚拟仿真实训板块，实现数据共享。数据接口包括：程序启动接口、实训过程数据接口、实训结果数据接口、实训报告上传数据接口以及登录态同步接口等。</w:t>
            </w:r>
          </w:p>
          <w:p w14:paraId="5C2F0ABB">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5.核心要求</w:t>
            </w:r>
          </w:p>
          <w:p w14:paraId="6F351B52">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投标供应商需按照第3条虚拟仿真功能的技术要求、第</w:t>
            </w:r>
            <w:r>
              <w:rPr>
                <w:rFonts w:hint="eastAsia" w:ascii="宋体" w:hAnsi="宋体" w:eastAsia="宋体" w:cs="宋体"/>
                <w:color w:val="auto"/>
                <w:sz w:val="24"/>
                <w:szCs w:val="24"/>
                <w:highlight w:val="none"/>
                <w:lang w:val="en-US" w:eastAsia="zh-CN"/>
              </w:rPr>
              <w:t>4条</w:t>
            </w:r>
            <w:r>
              <w:rPr>
                <w:rFonts w:hint="eastAsia" w:ascii="宋体" w:hAnsi="宋体" w:eastAsia="宋体" w:cs="宋体"/>
                <w:color w:val="auto"/>
                <w:sz w:val="24"/>
                <w:szCs w:val="24"/>
                <w:highlight w:val="none"/>
              </w:rPr>
              <w:t>上线对接国家智慧教育平台的技术要求。</w:t>
            </w:r>
          </w:p>
          <w:p w14:paraId="0F8097F8">
            <w:pPr>
              <w:keepNext w:val="0"/>
              <w:keepLines w:val="0"/>
              <w:pageBreakBefore w:val="0"/>
              <w:widowControl/>
              <w:numPr>
                <w:ilvl w:val="0"/>
                <w:numId w:val="0"/>
              </w:numPr>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6.知识产权要求</w:t>
            </w:r>
          </w:p>
          <w:p w14:paraId="420F58D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vertAlign w:val="baseline"/>
                <w:lang w:val="en-US" w:eastAsia="zh-CN"/>
              </w:rPr>
              <w:t>知识产权归属‌：定制开发虚拟仿真实验教学系统知识产权归属于采购方。实验课程须有自主知识产权,坚决不能简单购买使用成品软件，交付时需提供软件著作权并归属于采购方开发教学团队。</w:t>
            </w:r>
          </w:p>
        </w:tc>
        <w:tc>
          <w:tcPr>
            <w:tcW w:w="956" w:type="dxa"/>
            <w:vAlign w:val="center"/>
          </w:tcPr>
          <w:p w14:paraId="5AAC57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bCs/>
                <w:color w:val="auto"/>
                <w:sz w:val="24"/>
                <w:szCs w:val="24"/>
                <w:highlight w:val="none"/>
              </w:rPr>
            </w:pPr>
            <w:r>
              <w:rPr>
                <w:rFonts w:hint="eastAsia" w:ascii="宋体" w:hAnsi="宋体" w:eastAsia="宋体" w:cs="宋体"/>
                <w:i w:val="0"/>
                <w:iCs w:val="0"/>
                <w:color w:val="auto"/>
                <w:sz w:val="24"/>
                <w:szCs w:val="24"/>
                <w:highlight w:val="none"/>
                <w:u w:val="none"/>
                <w:lang w:val="en-US" w:eastAsia="zh-CN"/>
              </w:rPr>
              <w:t>100000.00</w:t>
            </w:r>
          </w:p>
        </w:tc>
        <w:tc>
          <w:tcPr>
            <w:tcW w:w="1096" w:type="dxa"/>
            <w:vAlign w:val="center"/>
          </w:tcPr>
          <w:p w14:paraId="6342620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bCs/>
                <w:color w:val="auto"/>
                <w:sz w:val="24"/>
                <w:szCs w:val="24"/>
                <w:highlight w:val="none"/>
              </w:rPr>
            </w:pPr>
            <w:r>
              <w:rPr>
                <w:rFonts w:hint="eastAsia" w:ascii="宋体" w:hAnsi="宋体" w:eastAsia="宋体" w:cs="宋体"/>
                <w:i w:val="0"/>
                <w:iCs w:val="0"/>
                <w:color w:val="auto"/>
                <w:sz w:val="24"/>
                <w:szCs w:val="24"/>
                <w:highlight w:val="none"/>
                <w:u w:val="none"/>
                <w:lang w:val="en-US" w:eastAsia="zh-CN"/>
              </w:rPr>
              <w:t>100000.00</w:t>
            </w:r>
          </w:p>
        </w:tc>
      </w:tr>
      <w:tr w14:paraId="74A7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954" w:type="dxa"/>
            <w:gridSpan w:val="7"/>
            <w:vAlign w:val="center"/>
          </w:tcPr>
          <w:p w14:paraId="61A43C3D">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二、</w:t>
            </w:r>
            <w:r>
              <w:rPr>
                <w:rFonts w:hint="eastAsia" w:ascii="宋体" w:hAnsi="宋体" w:eastAsia="宋体" w:cs="宋体"/>
                <w:b/>
                <w:bCs/>
                <w:color w:val="auto"/>
                <w:sz w:val="24"/>
                <w:szCs w:val="24"/>
                <w:highlight w:val="none"/>
                <w:lang w:val="en-US" w:eastAsia="zh-CN"/>
              </w:rPr>
              <w:t>硬件部分</w:t>
            </w:r>
            <w:r>
              <w:rPr>
                <w:rFonts w:hint="eastAsia" w:ascii="宋体" w:hAnsi="宋体" w:cs="宋体"/>
                <w:b/>
                <w:bCs/>
                <w:color w:val="auto"/>
                <w:sz w:val="24"/>
                <w:szCs w:val="24"/>
                <w:highlight w:val="none"/>
                <w:lang w:val="en-US" w:eastAsia="zh-CN"/>
              </w:rPr>
              <w:t>（分项上控价：386388.00元）</w:t>
            </w:r>
          </w:p>
        </w:tc>
      </w:tr>
      <w:tr w14:paraId="26CC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954" w:type="dxa"/>
            <w:gridSpan w:val="7"/>
            <w:vAlign w:val="center"/>
          </w:tcPr>
          <w:p w14:paraId="22B79DE8">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（一）裸眼3D人工智能交互系统</w:t>
            </w:r>
          </w:p>
        </w:tc>
      </w:tr>
      <w:tr w14:paraId="384F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675E6CB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171" w:type="dxa"/>
            <w:vAlign w:val="center"/>
          </w:tcPr>
          <w:p w14:paraId="2C7EA8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裸眼3D显示屏控制器</w:t>
            </w:r>
          </w:p>
        </w:tc>
        <w:tc>
          <w:tcPr>
            <w:tcW w:w="507" w:type="dxa"/>
            <w:vAlign w:val="center"/>
          </w:tcPr>
          <w:p w14:paraId="12015A8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37" w:type="dxa"/>
            <w:vAlign w:val="center"/>
          </w:tcPr>
          <w:p w14:paraId="58F9DCA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vAlign w:val="center"/>
          </w:tcPr>
          <w:p w14:paraId="440E1261">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 支持1路DP 1.2、1路HDMI 2.0、2路HDMI 1.4和2路DV输入。</w:t>
            </w:r>
          </w:p>
          <w:p w14:paraId="6FA42556">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 支持最大带载524万像素，最宽16384像素，或最高8192像素。</w:t>
            </w:r>
          </w:p>
          <w:p w14:paraId="1F32AB8E">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 支持最大输入分辨率4096×2160@60Hz，支持自定义分辨率</w:t>
            </w:r>
          </w:p>
          <w:p w14:paraId="228B875E">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 8路千兆网口输出，支持独立音频输入输出，HDMI和DP音频解析输出</w:t>
            </w:r>
          </w:p>
          <w:p w14:paraId="7379259E">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5. 支持6画面显示，位置、大小可自由调节</w:t>
            </w:r>
          </w:p>
          <w:p w14:paraId="0F3A1363">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sz w:val="24"/>
                <w:szCs w:val="24"/>
                <w:highlight w:val="none"/>
                <w:u w:val="none"/>
              </w:rPr>
              <w:t>6.设备带有RTC芯片，支持视频控制器和接收卡端的加密管理，通过加密相关的协议实现授权日期内的正常显示，非授权日期无法正常显示</w:t>
            </w:r>
          </w:p>
          <w:p w14:paraId="53DA5967">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sz w:val="24"/>
                <w:szCs w:val="24"/>
                <w:highlight w:val="none"/>
                <w:u w:val="none"/>
              </w:rPr>
              <w:t>7.控制软件支持Windows、macOS、国产Linux、统信UOS、Ubuntu和麒麟操作系统</w:t>
            </w:r>
          </w:p>
          <w:p w14:paraId="147FAEBE">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sz w:val="24"/>
                <w:szCs w:val="24"/>
                <w:highlight w:val="none"/>
                <w:u w:val="none"/>
              </w:rPr>
              <w:t>8.支持对屏幕的不同色彩空间颜色之间的转化，可以保证LED屏幕显示图片的准确性</w:t>
            </w:r>
          </w:p>
          <w:p w14:paraId="6F631E23">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9.设备通过USB直接连接，支持多达16台设备同时调节亮度、色温和设备间的同步，符合大规模高标准活动的低延迟要求</w:t>
            </w:r>
          </w:p>
          <w:p w14:paraId="49A7328E">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sz w:val="24"/>
                <w:szCs w:val="24"/>
                <w:highlight w:val="none"/>
                <w:u w:val="none"/>
              </w:rPr>
              <w:t>10.小间距LED显示屏的亮度10%以下，灰度损失的程度在人眼难以觉察的范围，此功能可以在低亮度的情况下表现更广灰阶范围</w:t>
            </w:r>
          </w:p>
          <w:p w14:paraId="73FDF64F">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11.支持倍频功能，30HZ信号输入可转换为60Hz信号输出</w:t>
            </w:r>
          </w:p>
          <w:p w14:paraId="4461E9B6">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sz w:val="24"/>
                <w:szCs w:val="24"/>
                <w:highlight w:val="none"/>
                <w:u w:val="none"/>
              </w:rPr>
              <w:t>12.内部Vsync，可以产生固定的帧率，支持设备内部生成Vsync同步锁定信号，不仅可避免视频信号Vsync不稳定导致的画面异常问题，还可以锁定输出60/100/120Hz高倾率高画质画面（提供第三方检测机构出具的CNAS、ilac-MRA的检测报告）</w:t>
            </w:r>
          </w:p>
          <w:p w14:paraId="362FBA33">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0" w:leftChars="0" w:firstLine="0" w:firstLineChars="0"/>
              <w:jc w:val="left"/>
              <w:textAlignment w:val="center"/>
              <w:rPr>
                <w:rFonts w:hint="eastAsia" w:ascii="宋体" w:hAnsi="宋体" w:eastAsia="宋体" w:cs="宋体"/>
                <w:b/>
                <w:color w:val="auto"/>
                <w:sz w:val="24"/>
                <w:szCs w:val="24"/>
                <w:highlight w:val="none"/>
              </w:rPr>
            </w:pPr>
            <w:r>
              <w:rPr>
                <w:rFonts w:hint="eastAsia" w:ascii="宋体" w:hAnsi="宋体" w:eastAsia="宋体" w:cs="宋体"/>
                <w:i w:val="0"/>
                <w:iCs w:val="0"/>
                <w:color w:val="auto"/>
                <w:sz w:val="24"/>
                <w:szCs w:val="24"/>
                <w:highlight w:val="none"/>
                <w:u w:val="none"/>
              </w:rPr>
              <w:t>13.以上标“</w:t>
            </w: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sz w:val="24"/>
                <w:szCs w:val="24"/>
                <w:highlight w:val="none"/>
                <w:u w:val="none"/>
              </w:rPr>
              <w:t>”参数需提供第三方检测机构出具的CNAS、 CMA、ilac-MRA的检测报告复印件。</w:t>
            </w:r>
          </w:p>
        </w:tc>
        <w:tc>
          <w:tcPr>
            <w:tcW w:w="956" w:type="dxa"/>
            <w:vAlign w:val="center"/>
          </w:tcPr>
          <w:p w14:paraId="145C881C">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9900.00</w:t>
            </w:r>
          </w:p>
        </w:tc>
        <w:tc>
          <w:tcPr>
            <w:tcW w:w="1096" w:type="dxa"/>
            <w:shd w:val="clear" w:color="auto" w:fill="auto"/>
            <w:vAlign w:val="center"/>
          </w:tcPr>
          <w:p w14:paraId="3CDE542B">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0" w:leftChars="0" w:firstLine="0" w:firstLineChars="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sz w:val="24"/>
                <w:szCs w:val="24"/>
                <w:highlight w:val="none"/>
                <w:u w:val="none"/>
                <w:lang w:val="en-US" w:eastAsia="zh-CN"/>
              </w:rPr>
              <w:t>9900.00</w:t>
            </w:r>
          </w:p>
        </w:tc>
      </w:tr>
      <w:tr w14:paraId="1D19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667B0EB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171" w:type="dxa"/>
            <w:vAlign w:val="center"/>
          </w:tcPr>
          <w:p w14:paraId="19EFB17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无线传屏器</w:t>
            </w:r>
          </w:p>
        </w:tc>
        <w:tc>
          <w:tcPr>
            <w:tcW w:w="507" w:type="dxa"/>
            <w:vAlign w:val="center"/>
          </w:tcPr>
          <w:p w14:paraId="1B78AE5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37" w:type="dxa"/>
            <w:vAlign w:val="center"/>
          </w:tcPr>
          <w:p w14:paraId="7FC47C8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vAlign w:val="center"/>
          </w:tcPr>
          <w:p w14:paraId="64BFFE0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1、支持免安装驱动，即插即用。</w:t>
            </w:r>
          </w:p>
          <w:p w14:paraId="7EA3349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2、支持操作系统：Win7/Win8/Win8.1/Win10/Mac OS10.10及以上。</w:t>
            </w:r>
          </w:p>
          <w:p w14:paraId="21B5FF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传输延迟≤90ms，帧率达到20fps-30fps。</w:t>
            </w:r>
          </w:p>
          <w:p w14:paraId="7924486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3、采用单按键设计，只需按一下即可传屏，无需在LED上做任何操作。</w:t>
            </w:r>
          </w:p>
          <w:p w14:paraId="571B6A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color w:val="auto"/>
                <w:sz w:val="24"/>
                <w:szCs w:val="24"/>
                <w:highlight w:val="none"/>
              </w:rPr>
            </w:pPr>
            <w:r>
              <w:rPr>
                <w:rFonts w:hint="eastAsia" w:ascii="宋体" w:hAnsi="宋体" w:eastAsia="宋体" w:cs="宋体"/>
                <w:i w:val="0"/>
                <w:iCs w:val="0"/>
                <w:color w:val="auto"/>
                <w:sz w:val="24"/>
                <w:szCs w:val="24"/>
                <w:highlight w:val="none"/>
                <w:u w:val="none"/>
              </w:rPr>
              <w:t>4、手机和电脑支持混合投屏展示。</w:t>
            </w:r>
          </w:p>
        </w:tc>
        <w:tc>
          <w:tcPr>
            <w:tcW w:w="956" w:type="dxa"/>
            <w:vAlign w:val="center"/>
          </w:tcPr>
          <w:p w14:paraId="5D768A5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bCs/>
                <w:color w:val="auto"/>
                <w:sz w:val="24"/>
                <w:szCs w:val="24"/>
                <w:highlight w:val="none"/>
                <w:lang w:val="en-US"/>
              </w:rPr>
            </w:pPr>
            <w:r>
              <w:rPr>
                <w:rFonts w:hint="eastAsia" w:ascii="宋体" w:hAnsi="宋体" w:eastAsia="宋体" w:cs="宋体"/>
                <w:i w:val="0"/>
                <w:iCs w:val="0"/>
                <w:color w:val="auto"/>
                <w:sz w:val="24"/>
                <w:szCs w:val="24"/>
                <w:highlight w:val="none"/>
                <w:u w:val="none"/>
                <w:lang w:val="en-US" w:eastAsia="zh-CN"/>
              </w:rPr>
              <w:t>1250.00</w:t>
            </w:r>
          </w:p>
        </w:tc>
        <w:tc>
          <w:tcPr>
            <w:tcW w:w="1096" w:type="dxa"/>
            <w:shd w:val="clear" w:color="auto" w:fill="auto"/>
            <w:vAlign w:val="center"/>
          </w:tcPr>
          <w:p w14:paraId="27A5C2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u w:val="none"/>
                <w:lang w:val="en-US" w:eastAsia="zh-CN"/>
              </w:rPr>
              <w:t>1250.00</w:t>
            </w:r>
          </w:p>
        </w:tc>
      </w:tr>
      <w:tr w14:paraId="6255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6E88F57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1171" w:type="dxa"/>
            <w:vAlign w:val="center"/>
          </w:tcPr>
          <w:p w14:paraId="173D60F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定制钢结构</w:t>
            </w:r>
          </w:p>
        </w:tc>
        <w:tc>
          <w:tcPr>
            <w:tcW w:w="507" w:type="dxa"/>
            <w:vAlign w:val="center"/>
          </w:tcPr>
          <w:p w14:paraId="28BCFCD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平方</w:t>
            </w:r>
          </w:p>
        </w:tc>
        <w:tc>
          <w:tcPr>
            <w:tcW w:w="637" w:type="dxa"/>
            <w:vAlign w:val="center"/>
          </w:tcPr>
          <w:p w14:paraId="753D285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025" w:type="dxa"/>
            <w:vAlign w:val="center"/>
          </w:tcPr>
          <w:p w14:paraId="1B320C3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1、钢结构完成面面积不小于</w:t>
            </w:r>
            <w:r>
              <w:rPr>
                <w:rFonts w:hint="eastAsia" w:ascii="宋体" w:hAnsi="宋体" w:eastAsia="宋体" w:cs="宋体"/>
                <w:i w:val="0"/>
                <w:iCs w:val="0"/>
                <w:color w:val="auto"/>
                <w:sz w:val="24"/>
                <w:szCs w:val="24"/>
                <w:highlight w:val="none"/>
                <w:u w:val="none"/>
                <w:lang w:val="en-US" w:eastAsia="zh-CN"/>
              </w:rPr>
              <w:t>15</w:t>
            </w:r>
            <w:r>
              <w:rPr>
                <w:rFonts w:hint="eastAsia" w:ascii="宋体" w:hAnsi="宋体" w:eastAsia="宋体" w:cs="宋体"/>
                <w:i w:val="0"/>
                <w:iCs w:val="0"/>
                <w:color w:val="auto"/>
                <w:sz w:val="24"/>
                <w:szCs w:val="24"/>
                <w:highlight w:val="none"/>
                <w:u w:val="none"/>
              </w:rPr>
              <w:t>平方米</w:t>
            </w:r>
          </w:p>
          <w:p w14:paraId="5689C2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2、包含LED显示屏屏体，控制器，配电柜等设备和相关配套部件和线材的安装和部署；</w:t>
            </w:r>
          </w:p>
          <w:p w14:paraId="564A8CB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3、显示屏安装后表面平整度满足使用标准，表面平滑，过度自然；</w:t>
            </w:r>
          </w:p>
          <w:p w14:paraId="52AC692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4、整屏安装完成后，对屏幕效果综合调试，使屏幕颜色、画质、亮度、灰度和刷新等符合日常使用；</w:t>
            </w:r>
          </w:p>
          <w:p w14:paraId="6BCC685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color w:val="auto"/>
                <w:sz w:val="24"/>
                <w:szCs w:val="24"/>
                <w:highlight w:val="none"/>
              </w:rPr>
            </w:pPr>
            <w:r>
              <w:rPr>
                <w:rFonts w:hint="eastAsia" w:ascii="宋体" w:hAnsi="宋体" w:eastAsia="宋体" w:cs="宋体"/>
                <w:i w:val="0"/>
                <w:iCs w:val="0"/>
                <w:color w:val="auto"/>
                <w:sz w:val="24"/>
                <w:szCs w:val="24"/>
                <w:highlight w:val="none"/>
                <w:u w:val="none"/>
              </w:rPr>
              <w:t>5、安装完成后，提供显示屏使用培训服务</w:t>
            </w:r>
          </w:p>
        </w:tc>
        <w:tc>
          <w:tcPr>
            <w:tcW w:w="956" w:type="dxa"/>
            <w:vAlign w:val="center"/>
          </w:tcPr>
          <w:p w14:paraId="529C36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1069.20</w:t>
            </w:r>
          </w:p>
        </w:tc>
        <w:tc>
          <w:tcPr>
            <w:tcW w:w="1096" w:type="dxa"/>
            <w:shd w:val="clear" w:color="auto" w:fill="auto"/>
            <w:vAlign w:val="center"/>
          </w:tcPr>
          <w:p w14:paraId="4DD0E7B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u w:val="none"/>
                <w:lang w:val="en-US" w:eastAsia="zh-CN"/>
              </w:rPr>
              <w:t>16038.00</w:t>
            </w:r>
          </w:p>
        </w:tc>
      </w:tr>
      <w:tr w14:paraId="7B6D0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140CEE7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1171" w:type="dxa"/>
            <w:vAlign w:val="center"/>
          </w:tcPr>
          <w:p w14:paraId="4F2449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裸眼3D显示屏工控终端</w:t>
            </w:r>
          </w:p>
        </w:tc>
        <w:tc>
          <w:tcPr>
            <w:tcW w:w="507" w:type="dxa"/>
            <w:vAlign w:val="center"/>
          </w:tcPr>
          <w:p w14:paraId="3E25B0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37" w:type="dxa"/>
            <w:vAlign w:val="center"/>
          </w:tcPr>
          <w:p w14:paraId="46E2FE5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vAlign w:val="center"/>
          </w:tcPr>
          <w:p w14:paraId="477C39A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1、终端内置无线投屏模块</w:t>
            </w:r>
          </w:p>
          <w:p w14:paraId="3DB2631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①支持免安装驱动，即插即用。</w:t>
            </w:r>
          </w:p>
          <w:p w14:paraId="5493B17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②支持操作系统：Win7/Win8/Win8.1/Win10/Mac OS10.10及以上</w:t>
            </w:r>
          </w:p>
          <w:p w14:paraId="044A29C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传输延迟≤90ms，帧率达到20fps-30fps</w:t>
            </w:r>
          </w:p>
          <w:p w14:paraId="5CE44D7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③采用单按键设计，只需按一下即可传屏，无需在LED上做任何操作。</w:t>
            </w:r>
          </w:p>
          <w:p w14:paraId="55569C3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④手机和电脑支持混合投屏展示。</w:t>
            </w:r>
          </w:p>
          <w:p w14:paraId="35EA060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2、终端内置安卓控制模块</w:t>
            </w:r>
          </w:p>
          <w:p w14:paraId="2CB21E3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①支持软件端模拟遥控器控制，实现对屏幕的亮度、色温、对比度、音量、信号源切换、待机、功能选择等操作；</w:t>
            </w:r>
          </w:p>
          <w:p w14:paraId="7D7757A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②支持小屏控大屏功能，和遥控器功能，可通过软件实现遥控器操作；</w:t>
            </w:r>
          </w:p>
          <w:p w14:paraId="4F0C932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③控制软件配套处理器可实现无线投屏功能，电脑通过无线投屏把屏幕传到 LED 显示屏且不影响电脑上网功能(Windows, MacOS)；支持手机和平板投屏 (Android/iOS)，传输平均延迟≤135ms，可通过连接局域网或连接 WIFI 热点投屏；</w:t>
            </w:r>
          </w:p>
          <w:p w14:paraId="5C0B0FE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④支持定制开机动画 LOGO；</w:t>
            </w:r>
          </w:p>
          <w:p w14:paraId="153B81F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⑤支持 PC节目发布和显示屏控制、局域网节目发布和显示屏控制</w:t>
            </w:r>
          </w:p>
          <w:p w14:paraId="423F457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⑥支持集群远程节目发布和显示屏控制、集群远程监控；</w:t>
            </w:r>
          </w:p>
          <w:p w14:paraId="70B15EE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⑦支持通过安卓移动端，快速打开指定应用；</w:t>
            </w:r>
          </w:p>
          <w:p w14:paraId="6C46642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⑧支持通过安卓移动端实现发送盒的鼠标操作功能；</w:t>
            </w:r>
          </w:p>
          <w:p w14:paraId="28D20D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⑨支持通过安卓移动端连入局域网，实现遥控器的功能，可远距离控制整机；</w:t>
            </w:r>
          </w:p>
          <w:p w14:paraId="19C3D37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⑩支持OSD菜单功能，实现对其操控时的状态显示。</w:t>
            </w:r>
          </w:p>
          <w:p w14:paraId="26EC3FE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3、处理器：英特尔酷睿14代i7-14700F；</w:t>
            </w:r>
          </w:p>
          <w:p w14:paraId="4CF192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4、渲染芯片：RTX4060Ti 8G显存；</w:t>
            </w:r>
          </w:p>
          <w:p w14:paraId="01D4DA2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5、内存：32G DDR5 5600；</w:t>
            </w:r>
          </w:p>
          <w:p w14:paraId="63314C4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6、固态硬盘：1T SSD高速；</w:t>
            </w:r>
          </w:p>
          <w:p w14:paraId="63F9332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color w:val="auto"/>
                <w:sz w:val="24"/>
                <w:szCs w:val="24"/>
                <w:highlight w:val="none"/>
              </w:rPr>
            </w:pPr>
            <w:r>
              <w:rPr>
                <w:rFonts w:hint="eastAsia" w:ascii="宋体" w:hAnsi="宋体" w:eastAsia="宋体" w:cs="宋体"/>
                <w:i w:val="0"/>
                <w:iCs w:val="0"/>
                <w:color w:val="auto"/>
                <w:sz w:val="24"/>
                <w:szCs w:val="24"/>
                <w:highlight w:val="none"/>
                <w:u w:val="none"/>
              </w:rPr>
              <w:t>7、电源：500W；</w:t>
            </w:r>
          </w:p>
        </w:tc>
        <w:tc>
          <w:tcPr>
            <w:tcW w:w="956" w:type="dxa"/>
            <w:vAlign w:val="center"/>
          </w:tcPr>
          <w:p w14:paraId="2DF0D93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bCs/>
                <w:color w:val="auto"/>
                <w:sz w:val="24"/>
                <w:szCs w:val="24"/>
                <w:highlight w:val="none"/>
                <w:lang w:val="en-US"/>
              </w:rPr>
            </w:pPr>
            <w:r>
              <w:rPr>
                <w:rFonts w:hint="eastAsia" w:ascii="宋体" w:hAnsi="宋体" w:eastAsia="宋体" w:cs="宋体"/>
                <w:i w:val="0"/>
                <w:iCs w:val="0"/>
                <w:color w:val="auto"/>
                <w:sz w:val="24"/>
                <w:szCs w:val="24"/>
                <w:highlight w:val="none"/>
                <w:u w:val="none"/>
                <w:lang w:val="en-US" w:eastAsia="zh-CN"/>
              </w:rPr>
              <w:t>13500.00</w:t>
            </w:r>
          </w:p>
        </w:tc>
        <w:tc>
          <w:tcPr>
            <w:tcW w:w="1096" w:type="dxa"/>
            <w:shd w:val="clear" w:color="auto" w:fill="auto"/>
            <w:vAlign w:val="center"/>
          </w:tcPr>
          <w:p w14:paraId="0BCABA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u w:val="none"/>
                <w:lang w:val="en-US" w:eastAsia="zh-CN"/>
              </w:rPr>
              <w:t>13500.00</w:t>
            </w:r>
          </w:p>
        </w:tc>
      </w:tr>
      <w:tr w14:paraId="2237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67F56B6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1171" w:type="dxa"/>
            <w:vAlign w:val="center"/>
          </w:tcPr>
          <w:p w14:paraId="4D25C47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裸眼3D大屏人工智能交互渲染器</w:t>
            </w:r>
          </w:p>
        </w:tc>
        <w:tc>
          <w:tcPr>
            <w:tcW w:w="507" w:type="dxa"/>
            <w:vAlign w:val="center"/>
          </w:tcPr>
          <w:p w14:paraId="3CEE80E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37" w:type="dxa"/>
            <w:vAlign w:val="center"/>
          </w:tcPr>
          <w:p w14:paraId="24D464A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vAlign w:val="center"/>
          </w:tcPr>
          <w:p w14:paraId="3D6F4E75">
            <w:pPr>
              <w:keepNext w:val="0"/>
              <w:keepLines w:val="0"/>
              <w:pageBreakBefore w:val="0"/>
              <w:widowControl/>
              <w:kinsoku/>
              <w:wordWrap/>
              <w:overflowPunct/>
              <w:topLinePunct w:val="0"/>
              <w:autoSpaceDE/>
              <w:autoSpaceDN/>
              <w:bidi w:val="0"/>
              <w:adjustRightInd/>
              <w:snapToGrid/>
              <w:spacing w:after="62" w:afterLines="20" w:line="40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1.播控系统外观：标准机箱，整机长宽高≤550mm×350×80mm，标配机柜挂耳，支持上架安装，支持多功能水晶按键，按键支持自定义工作模式，可以设置实现节目切换/大屏开关功能；</w:t>
            </w:r>
          </w:p>
          <w:p w14:paraId="6FE7996B">
            <w:pPr>
              <w:keepNext w:val="0"/>
              <w:keepLines w:val="0"/>
              <w:pageBreakBefore w:val="0"/>
              <w:widowControl/>
              <w:kinsoku/>
              <w:wordWrap/>
              <w:overflowPunct/>
              <w:topLinePunct w:val="0"/>
              <w:autoSpaceDE/>
              <w:autoSpaceDN/>
              <w:bidi w:val="0"/>
              <w:adjustRightInd/>
              <w:snapToGrid/>
              <w:spacing w:after="62" w:afterLines="20" w:line="40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2.输入接口:HDMI1.2*2、USB2.0*2、USB3.0*1、RJ45*1、3.5mm麦克风接口*1。输出接口:HDMI1.2*1、HDMI 2.0 *1、3.5mm音频接口*1、一组物理485接口，支持扩展。</w:t>
            </w:r>
          </w:p>
          <w:p w14:paraId="2B4E0391">
            <w:pPr>
              <w:keepNext w:val="0"/>
              <w:keepLines w:val="0"/>
              <w:pageBreakBefore w:val="0"/>
              <w:widowControl/>
              <w:kinsoku/>
              <w:wordWrap/>
              <w:overflowPunct/>
              <w:topLinePunct w:val="0"/>
              <w:autoSpaceDE/>
              <w:autoSpaceDN/>
              <w:bidi w:val="0"/>
              <w:adjustRightInd/>
              <w:snapToGrid/>
              <w:spacing w:after="62" w:afterLines="20" w:line="40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3.支持多视频窗口同步解码播放，支持mp4、mov、3gp、mkv、avi、wmv、mpg、mpeg视频格式硬件解码。支持4K视频流畅播放不卡顿，支持4个全高清视频窗口同步流畅播放不卡顿。</w:t>
            </w:r>
          </w:p>
          <w:p w14:paraId="6206DA1B">
            <w:pPr>
              <w:keepNext w:val="0"/>
              <w:keepLines w:val="0"/>
              <w:pageBreakBefore w:val="0"/>
              <w:widowControl/>
              <w:kinsoku/>
              <w:wordWrap/>
              <w:overflowPunct/>
              <w:topLinePunct w:val="0"/>
              <w:autoSpaceDE/>
              <w:autoSpaceDN/>
              <w:bidi w:val="0"/>
              <w:adjustRightInd/>
              <w:snapToGrid/>
              <w:spacing w:after="62" w:afterLines="20" w:line="40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4.支持两路信号输入，可同时支持2路HDMI信号输入,两路信号可同时上屏，并支持任意叠加，混合叠加，输出设备兼容性高，HDMI输出可对接LCD液晶显示屏或主流视频处理器以及发送卡播放显示；</w:t>
            </w:r>
          </w:p>
          <w:p w14:paraId="1254BD90">
            <w:pPr>
              <w:keepNext w:val="0"/>
              <w:keepLines w:val="0"/>
              <w:pageBreakBefore w:val="0"/>
              <w:widowControl/>
              <w:kinsoku/>
              <w:wordWrap/>
              <w:overflowPunct/>
              <w:topLinePunct w:val="0"/>
              <w:autoSpaceDE/>
              <w:autoSpaceDN/>
              <w:bidi w:val="0"/>
              <w:adjustRightInd/>
              <w:snapToGrid/>
              <w:spacing w:after="62" w:afterLines="20" w:line="40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5.支持两路HDMI输出，HDMI2.0a：最大输出画面分辨4096*2160@60Hz,HDMI1.2输出，输出接口支持自适应后端分辨率，分辨率最宽≥4096像素，最高≥</w:t>
            </w:r>
            <w:r>
              <w:rPr>
                <w:rFonts w:hint="eastAsia" w:ascii="宋体" w:hAnsi="宋体" w:eastAsia="宋体" w:cs="宋体"/>
                <w:color w:val="auto"/>
                <w:sz w:val="24"/>
                <w:szCs w:val="24"/>
                <w:highlight w:val="none"/>
                <w:lang w:val="en-US" w:eastAsia="zh-CN"/>
              </w:rPr>
              <w:t>2160</w:t>
            </w:r>
            <w:r>
              <w:rPr>
                <w:rFonts w:hint="eastAsia" w:ascii="宋体" w:hAnsi="宋体" w:eastAsia="宋体" w:cs="宋体"/>
                <w:color w:val="auto"/>
                <w:sz w:val="24"/>
                <w:szCs w:val="24"/>
                <w:highlight w:val="none"/>
              </w:rPr>
              <w:t>像素。</w:t>
            </w:r>
          </w:p>
          <w:p w14:paraId="7A16B6BC">
            <w:pPr>
              <w:keepNext w:val="0"/>
              <w:keepLines w:val="0"/>
              <w:pageBreakBefore w:val="0"/>
              <w:widowControl/>
              <w:kinsoku/>
              <w:wordWrap/>
              <w:overflowPunct/>
              <w:topLinePunct w:val="0"/>
              <w:autoSpaceDE/>
              <w:autoSpaceDN/>
              <w:bidi w:val="0"/>
              <w:adjustRightInd/>
              <w:snapToGrid/>
              <w:spacing w:after="62" w:afterLines="20"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6.支持专属定制播放首页，集成电脑、视频处理器、投屏器、播放器以及中控的功能，实现画面叠加和视频处理功能，支持WiFi与蓝牙功能；</w:t>
            </w:r>
          </w:p>
          <w:p w14:paraId="76E85F3F">
            <w:pPr>
              <w:keepNext w:val="0"/>
              <w:keepLines w:val="0"/>
              <w:pageBreakBefore w:val="0"/>
              <w:widowControl/>
              <w:kinsoku/>
              <w:wordWrap/>
              <w:overflowPunct/>
              <w:topLinePunct w:val="0"/>
              <w:autoSpaceDE/>
              <w:autoSpaceDN/>
              <w:bidi w:val="0"/>
              <w:adjustRightInd/>
              <w:snapToGrid/>
              <w:spacing w:after="62" w:afterLines="20" w:line="40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支持6端播控：包括安卓手机、苹果手机、安卓平板、IPAD苹果平板、苹果电脑以及Windows电脑。多平台都可提供专属控制编辑App版本；支持在控制App中打开和控制第三方应用程序，也支持虚拟遥控器操控应用程序；</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支持蓝牙远距离达到30米的遥控器控制，遥控器提供满屏快捷按键，功能含：操作控制、一键呼出菜单、开关屏、节目切换、音量调节，非标比例的视频播放可一键实现保持比例/画面铺满/自适应屏幕播放等功能；</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.支持多个可视化窗口组件添加，如视频、图片、轨迹图片、文本、滚动字幕、轨迹文字、时钟、天气、背景音乐、LOG0、背景色、无线投屏、网页、流媒体、输入信</w:t>
            </w:r>
          </w:p>
          <w:p w14:paraId="075FB01C">
            <w:pPr>
              <w:keepNext w:val="0"/>
              <w:keepLines w:val="0"/>
              <w:pageBreakBefore w:val="0"/>
              <w:widowControl/>
              <w:kinsoku/>
              <w:wordWrap/>
              <w:overflowPunct/>
              <w:topLinePunct w:val="0"/>
              <w:autoSpaceDE/>
              <w:autoSpaceDN/>
              <w:bidi w:val="0"/>
              <w:adjustRightInd/>
              <w:snapToGrid/>
              <w:spacing w:after="62" w:afterLines="20" w:line="40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号等；</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.支持U盘素材快速拖拽上屏播放，支持在遥控器端、APP以及平板APP控制端实现视频、图片即点即播功能；可设置列表或单个循环播放；</w:t>
            </w:r>
          </w:p>
          <w:p w14:paraId="72B473A2">
            <w:pPr>
              <w:keepNext w:val="0"/>
              <w:keepLines w:val="0"/>
              <w:pageBreakBefore w:val="0"/>
              <w:widowControl/>
              <w:kinsoku/>
              <w:wordWrap/>
              <w:overflowPunct/>
              <w:topLinePunct w:val="0"/>
              <w:autoSpaceDE/>
              <w:autoSpaceDN/>
              <w:bidi w:val="0"/>
              <w:adjustRightInd/>
              <w:snapToGrid/>
              <w:spacing w:after="62" w:afterLines="20" w:line="40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.支持LED分辨率设置点对点显示，输出信号接口与大屏幕的分辨率保持一致；</w:t>
            </w:r>
          </w:p>
          <w:p w14:paraId="554CE8AD">
            <w:pPr>
              <w:keepNext w:val="0"/>
              <w:keepLines w:val="0"/>
              <w:pageBreakBefore w:val="0"/>
              <w:widowControl/>
              <w:kinsoku/>
              <w:wordWrap/>
              <w:overflowPunct/>
              <w:topLinePunct w:val="0"/>
              <w:autoSpaceDE/>
              <w:autoSpaceDN/>
              <w:bidi w:val="0"/>
              <w:adjustRightInd/>
              <w:snapToGrid/>
              <w:spacing w:after="62" w:afterLines="20" w:line="40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支持全自动智能后台自发现业务逻辑，无需设置，可在各个版本的控制端自动找到对应的播控器，通过全智能发现机制，播控器获取IP，给APP提供交互数据，并在APP中获取注册，自动建立连接，减少流程和操作步骤。</w:t>
            </w:r>
          </w:p>
          <w:p w14:paraId="0292B42E">
            <w:pPr>
              <w:keepNext w:val="0"/>
              <w:keepLines w:val="0"/>
              <w:pageBreakBefore w:val="0"/>
              <w:widowControl/>
              <w:kinsoku/>
              <w:wordWrap/>
              <w:overflowPunct/>
              <w:topLinePunct w:val="0"/>
              <w:autoSpaceDE/>
              <w:autoSpaceDN/>
              <w:bidi w:val="0"/>
              <w:adjustRightInd/>
              <w:snapToGrid/>
              <w:spacing w:after="62" w:afterLines="20"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支持</w:t>
            </w:r>
            <w:r>
              <w:rPr>
                <w:rFonts w:hint="eastAsia" w:ascii="宋体" w:hAnsi="宋体" w:eastAsia="宋体" w:cs="宋体"/>
                <w:color w:val="auto"/>
                <w:sz w:val="24"/>
                <w:szCs w:val="24"/>
                <w:highlight w:val="none"/>
              </w:rPr>
              <w:t>定轨迹曲线，支持文字或图片沿轨迹曲线形成动画移动，在屏幕上的任意漂移的画面效果。该轨迹可以设定黄屏/溢出屏幕画面/螺旋叠加的风格。</w:t>
            </w:r>
          </w:p>
          <w:p w14:paraId="4A3FEF6D">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支持遥控器遥控范围可达30米有效距离。蓝牙遥控器功能包括操作控制、一键呼出菜单、开关屏，节目切换、音量调节、PPT翻页控制、视频进度调节;非标比例的视频播放可以一键实现保持比例、画面铺满、自适应屏幕播放等功能。</w:t>
            </w:r>
          </w:p>
          <w:p w14:paraId="2323E397">
            <w:pPr>
              <w:keepNext w:val="0"/>
              <w:keepLines w:val="0"/>
              <w:pageBreakBefore w:val="0"/>
              <w:widowControl/>
              <w:kinsoku/>
              <w:wordWrap/>
              <w:overflowPunct/>
              <w:topLinePunct w:val="0"/>
              <w:autoSpaceDE/>
              <w:autoSpaceDN/>
              <w:bidi w:val="0"/>
              <w:adjustRightInd/>
              <w:snapToGrid/>
              <w:spacing w:after="62" w:afterLines="20"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.定向直播推送：内置看直播功能，统一推送主流媒体链接，一键开启观看直播培训；</w:t>
            </w:r>
          </w:p>
          <w:p w14:paraId="7D175E61">
            <w:pPr>
              <w:keepNext w:val="0"/>
              <w:keepLines w:val="0"/>
              <w:pageBreakBefore w:val="0"/>
              <w:widowControl/>
              <w:kinsoku/>
              <w:wordWrap/>
              <w:overflowPunct/>
              <w:topLinePunct w:val="0"/>
              <w:autoSpaceDE/>
              <w:autoSpaceDN/>
              <w:bidi w:val="0"/>
              <w:adjustRightInd/>
              <w:snapToGrid/>
              <w:spacing w:after="62" w:afterLines="20"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.支持APP扫码连接设备，扫码一键投屏；</w:t>
            </w:r>
          </w:p>
          <w:p w14:paraId="074D3F98">
            <w:pPr>
              <w:keepNext w:val="0"/>
              <w:keepLines w:val="0"/>
              <w:pageBreakBefore w:val="0"/>
              <w:widowControl/>
              <w:kinsoku/>
              <w:wordWrap/>
              <w:overflowPunct/>
              <w:topLinePunct w:val="0"/>
              <w:autoSpaceDE/>
              <w:autoSpaceDN/>
              <w:bidi w:val="0"/>
              <w:adjustRightInd/>
              <w:snapToGrid/>
              <w:spacing w:after="62" w:afterLines="20"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.具有智能自动寻机功能，播控器在获取到IP后，可在APP自动建立连接，提供一站式连接使用；</w:t>
            </w:r>
          </w:p>
          <w:p w14:paraId="6C582D3C">
            <w:pPr>
              <w:keepNext w:val="0"/>
              <w:keepLines w:val="0"/>
              <w:pageBreakBefore w:val="0"/>
              <w:widowControl/>
              <w:kinsoku/>
              <w:wordWrap/>
              <w:overflowPunct/>
              <w:topLinePunct w:val="0"/>
              <w:autoSpaceDE/>
              <w:autoSpaceDN/>
              <w:bidi w:val="0"/>
              <w:adjustRightInd/>
              <w:snapToGrid/>
              <w:spacing w:after="62" w:afterLines="20"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.支持在APP控制第三方应用程序，</w:t>
            </w:r>
            <w:r>
              <w:rPr>
                <w:rFonts w:hint="eastAsia" w:ascii="宋体" w:hAnsi="宋体" w:eastAsia="宋体" w:cs="宋体"/>
                <w:color w:val="auto"/>
                <w:sz w:val="24"/>
                <w:szCs w:val="24"/>
                <w:highlight w:val="none"/>
                <w:lang w:val="en-US" w:eastAsia="zh-CN"/>
              </w:rPr>
              <w:t>也支持</w:t>
            </w:r>
            <w:r>
              <w:rPr>
                <w:rFonts w:hint="eastAsia" w:ascii="宋体" w:hAnsi="宋体" w:eastAsia="宋体" w:cs="宋体"/>
                <w:color w:val="auto"/>
                <w:sz w:val="24"/>
                <w:szCs w:val="24"/>
                <w:highlight w:val="none"/>
              </w:rPr>
              <w:t>虚拟遥控器也具备操控应用程序功能；</w:t>
            </w:r>
          </w:p>
          <w:p w14:paraId="606D1CF4">
            <w:pPr>
              <w:keepNext w:val="0"/>
              <w:keepLines w:val="0"/>
              <w:pageBreakBefore w:val="0"/>
              <w:widowControl/>
              <w:numPr>
                <w:ilvl w:val="0"/>
                <w:numId w:val="0"/>
              </w:numPr>
              <w:kinsoku/>
              <w:wordWrap/>
              <w:overflowPunct/>
              <w:topLinePunct w:val="0"/>
              <w:autoSpaceDE/>
              <w:autoSpaceDN/>
              <w:bidi w:val="0"/>
              <w:adjustRightInd/>
              <w:snapToGrid/>
              <w:spacing w:after="62" w:afterLines="20" w:line="400" w:lineRule="exac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19.</w:t>
            </w:r>
            <w:r>
              <w:rPr>
                <w:rFonts w:hint="eastAsia" w:ascii="宋体" w:hAnsi="宋体" w:eastAsia="宋体" w:cs="宋体"/>
                <w:color w:val="auto"/>
                <w:sz w:val="24"/>
                <w:szCs w:val="24"/>
                <w:highlight w:val="none"/>
              </w:rPr>
              <w:t>无限支持输入信号扩展，可通过IP形式进行输入接口扩展，没有输入接口数量限制，可根据需求进行增减输入信号设备；</w:t>
            </w:r>
          </w:p>
          <w:p w14:paraId="7671AF08">
            <w:pPr>
              <w:keepNext w:val="0"/>
              <w:keepLines w:val="0"/>
              <w:pageBreakBefore w:val="0"/>
              <w:widowControl/>
              <w:kinsoku/>
              <w:wordWrap/>
              <w:overflowPunct/>
              <w:topLinePunct w:val="0"/>
              <w:autoSpaceDE/>
              <w:autoSpaceDN/>
              <w:bidi w:val="0"/>
              <w:adjustRightInd/>
              <w:snapToGrid/>
              <w:spacing w:after="62" w:afterLines="20"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20.支持</w:t>
            </w:r>
            <w:r>
              <w:rPr>
                <w:rFonts w:hint="eastAsia" w:ascii="宋体" w:hAnsi="宋体" w:eastAsia="宋体" w:cs="宋体"/>
                <w:color w:val="auto"/>
                <w:sz w:val="24"/>
                <w:szCs w:val="24"/>
                <w:highlight w:val="none"/>
              </w:rPr>
              <w:t>自带路由功能，控制端直接连接播控器热点可实现登陆连接和控制。以太口接入网线，自身的热点即可提供路由服务。</w:t>
            </w:r>
          </w:p>
          <w:p w14:paraId="54B7E0A9">
            <w:pPr>
              <w:keepNext w:val="0"/>
              <w:keepLines w:val="0"/>
              <w:pageBreakBefore w:val="0"/>
              <w:widowControl/>
              <w:kinsoku/>
              <w:wordWrap/>
              <w:overflowPunct/>
              <w:topLinePunct w:val="0"/>
              <w:autoSpaceDE/>
              <w:autoSpaceDN/>
              <w:bidi w:val="0"/>
              <w:adjustRightInd/>
              <w:snapToGrid/>
              <w:spacing w:after="62" w:afterLines="20"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支持控制后端交流电源，即控制PLC等电箱设备，支持PLC电源一键开关，电源可按计划控制，电源集中管控可实现电源接入管控，一键开关屏幕断电或送电。支持在遥控器、手机APP、平板APP以及电脑APP实现电源开关控制。</w:t>
            </w:r>
          </w:p>
          <w:p w14:paraId="33A3838C">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成交供应商</w:t>
            </w:r>
            <w:r>
              <w:rPr>
                <w:rFonts w:hint="eastAsia" w:ascii="宋体" w:hAnsi="宋体" w:eastAsia="宋体" w:cs="宋体"/>
                <w:color w:val="auto"/>
                <w:sz w:val="24"/>
                <w:szCs w:val="24"/>
                <w:highlight w:val="none"/>
              </w:rPr>
              <w:t>在供货时，须提供LED屏播控演示，以证明能满足实质性的参数要求。</w:t>
            </w:r>
          </w:p>
          <w:p w14:paraId="428575E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23.以上标“</w:t>
            </w: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kern w:val="0"/>
                <w:sz w:val="24"/>
                <w:szCs w:val="24"/>
                <w:highlight w:val="none"/>
                <w:u w:val="none"/>
                <w:lang w:val="en-US" w:eastAsia="zh-CN" w:bidi="ar"/>
              </w:rPr>
              <w:t>”参数需提供第三方检测机构出具的CNAS、 CMA、ilac-MRA的检测报告复印件并</w:t>
            </w:r>
            <w:r>
              <w:rPr>
                <w:rFonts w:hint="eastAsia" w:ascii="宋体" w:hAnsi="宋体" w:eastAsia="宋体" w:cs="宋体"/>
                <w:i w:val="0"/>
                <w:iCs w:val="0"/>
                <w:color w:val="auto"/>
                <w:kern w:val="0"/>
                <w:sz w:val="24"/>
                <w:szCs w:val="24"/>
                <w:highlight w:val="none"/>
                <w:u w:val="none"/>
                <w:lang w:val="en-US" w:eastAsia="zh-CN" w:bidi="ar"/>
              </w:rPr>
              <w:t>加盖</w:t>
            </w:r>
            <w:r>
              <w:rPr>
                <w:rFonts w:hint="eastAsia" w:ascii="宋体" w:hAnsi="宋体" w:cs="宋体"/>
                <w:i w:val="0"/>
                <w:iCs w:val="0"/>
                <w:color w:val="auto"/>
                <w:kern w:val="0"/>
                <w:sz w:val="24"/>
                <w:szCs w:val="24"/>
                <w:highlight w:val="none"/>
                <w:u w:val="none"/>
                <w:lang w:val="en-US" w:eastAsia="zh-CN" w:bidi="ar"/>
              </w:rPr>
              <w:t>供应商</w:t>
            </w:r>
            <w:r>
              <w:rPr>
                <w:rFonts w:hint="eastAsia" w:ascii="宋体" w:hAnsi="宋体" w:eastAsia="宋体" w:cs="宋体"/>
                <w:i w:val="0"/>
                <w:iCs w:val="0"/>
                <w:color w:val="auto"/>
                <w:kern w:val="0"/>
                <w:sz w:val="24"/>
                <w:szCs w:val="24"/>
                <w:highlight w:val="none"/>
                <w:u w:val="none"/>
                <w:lang w:val="en-US" w:eastAsia="zh-CN" w:bidi="ar"/>
              </w:rPr>
              <w:t>公章。</w:t>
            </w:r>
          </w:p>
          <w:p w14:paraId="26965E2D">
            <w:pPr>
              <w:keepNext w:val="0"/>
              <w:keepLines w:val="0"/>
              <w:pageBreakBefore w:val="0"/>
              <w:widowControl/>
              <w:kinsoku/>
              <w:wordWrap/>
              <w:overflowPunct/>
              <w:topLinePunct w:val="0"/>
              <w:autoSpaceDE/>
              <w:autoSpaceDN/>
              <w:bidi w:val="0"/>
              <w:adjustRightInd/>
              <w:snapToGrid/>
              <w:spacing w:line="400" w:lineRule="exact"/>
              <w:ind w:firstLine="360" w:firstLineChars="0"/>
              <w:rPr>
                <w:rFonts w:hint="eastAsia" w:ascii="宋体" w:hAnsi="宋体" w:eastAsia="宋体" w:cs="宋体"/>
                <w:b/>
                <w:color w:val="auto"/>
                <w:sz w:val="24"/>
                <w:szCs w:val="24"/>
                <w:highlight w:val="none"/>
              </w:rPr>
            </w:pP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kern w:val="0"/>
                <w:sz w:val="24"/>
                <w:szCs w:val="24"/>
                <w:highlight w:val="none"/>
                <w:u w:val="none"/>
                <w:lang w:val="en-US" w:eastAsia="zh-CN" w:bidi="ar"/>
              </w:rPr>
              <w:t>24.</w:t>
            </w:r>
            <w:r>
              <w:rPr>
                <w:rFonts w:hint="eastAsia" w:ascii="宋体" w:hAnsi="宋体" w:cs="宋体"/>
                <w:i w:val="0"/>
                <w:iCs w:val="0"/>
                <w:color w:val="auto"/>
                <w:kern w:val="0"/>
                <w:sz w:val="24"/>
                <w:szCs w:val="24"/>
                <w:highlight w:val="none"/>
                <w:u w:val="none"/>
                <w:lang w:val="en-US" w:eastAsia="zh-CN" w:bidi="ar"/>
              </w:rPr>
              <w:t>成交供应商</w:t>
            </w:r>
            <w:r>
              <w:rPr>
                <w:rFonts w:hint="eastAsia" w:ascii="宋体" w:hAnsi="宋体" w:eastAsia="宋体" w:cs="宋体"/>
                <w:i w:val="0"/>
                <w:iCs w:val="0"/>
                <w:color w:val="auto"/>
                <w:kern w:val="0"/>
                <w:sz w:val="24"/>
                <w:szCs w:val="24"/>
                <w:highlight w:val="none"/>
                <w:u w:val="none"/>
                <w:lang w:val="en-US" w:eastAsia="zh-CN" w:bidi="ar"/>
              </w:rPr>
              <w:t>在供货时，须提供LED屏播控演示，以证明能满足实质性的参数要求。</w:t>
            </w:r>
          </w:p>
        </w:tc>
        <w:tc>
          <w:tcPr>
            <w:tcW w:w="956" w:type="dxa"/>
            <w:vAlign w:val="center"/>
          </w:tcPr>
          <w:p w14:paraId="4791515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lang w:val="en-US"/>
              </w:rPr>
            </w:pPr>
            <w:r>
              <w:rPr>
                <w:rFonts w:hint="eastAsia" w:ascii="宋体" w:hAnsi="宋体" w:eastAsia="宋体" w:cs="宋体"/>
                <w:i w:val="0"/>
                <w:iCs w:val="0"/>
                <w:color w:val="auto"/>
                <w:sz w:val="24"/>
                <w:szCs w:val="24"/>
                <w:highlight w:val="none"/>
                <w:u w:val="none"/>
                <w:lang w:val="en-US" w:eastAsia="zh-CN"/>
              </w:rPr>
              <w:t>50000.00</w:t>
            </w:r>
          </w:p>
        </w:tc>
        <w:tc>
          <w:tcPr>
            <w:tcW w:w="1096" w:type="dxa"/>
            <w:shd w:val="clear" w:color="auto" w:fill="auto"/>
            <w:vAlign w:val="center"/>
          </w:tcPr>
          <w:p w14:paraId="2CE9D903">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u w:val="none"/>
                <w:lang w:val="en-US" w:eastAsia="zh-CN"/>
              </w:rPr>
              <w:t>50000.00</w:t>
            </w:r>
          </w:p>
        </w:tc>
      </w:tr>
      <w:tr w14:paraId="5981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374302F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1171" w:type="dxa"/>
            <w:vAlign w:val="center"/>
          </w:tcPr>
          <w:p w14:paraId="20D577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裸眼3D大屏人工智能资源编辑插件</w:t>
            </w:r>
          </w:p>
        </w:tc>
        <w:tc>
          <w:tcPr>
            <w:tcW w:w="507" w:type="dxa"/>
            <w:vAlign w:val="center"/>
          </w:tcPr>
          <w:p w14:paraId="384505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37" w:type="dxa"/>
            <w:vAlign w:val="center"/>
          </w:tcPr>
          <w:p w14:paraId="4AFDD3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vAlign w:val="center"/>
          </w:tcPr>
          <w:p w14:paraId="0C88025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交互场配置】支持对裸眼3D屏/的交互场参数配置文件的导入；交互场支持场空间、摄像机的仿真坐标、旋转、大小、相对位置等参数的动态解析；支持通过配置文件动态生成交互场参考空间供后续内容编辑进行参考。</w:t>
            </w:r>
          </w:p>
          <w:p w14:paraId="764B90D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预置交互】插件预置通用交互脚本，通过Unity插件菜单对交互脚本进行无代码编辑和配置；提供裸眼3D屏的交互预制体，可通过嵌入式Unity菜单进行初始化构建；支持可视化配置三维虚拟模型点击触发虚拟场景中的预定义事件，预定义事件包含UnityEvent所支持的Unity自带方法、预置通用交互脚本的公开方法等；支持Unity默认模块所包含的脚本及功能；提供范例场景；支持导入的模型类型即Unity3D软件所支持的模型类型。</w:t>
            </w:r>
          </w:p>
          <w:p w14:paraId="7EE7E09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畸变处理】支持裸眼立体设备硬件裸眼立体数据格式，并匹配相适应的渲染模式输出；支持根据裸眼3D设备的硬件属性和对应的三维虚拟屏幕空间进行实时构建；支持对三维虚拟屏幕空间和现实空间的边缘映射；支持对三维虚拟摄像机对三维虚拟屏幕空间的数据视椎体矩阵变幻以完成三维虚拟空间交互内容的实时画面畸变渲染；支持三维虚拟空间场景的全局实时光照的光场的烘焙信息还原与渲染；支持三维模型状态机动画、三维粒子特效、三维IK动画等动画内容的实时交互控制、空间变换及渲染输出；等渲染画面分辨率与屏幕像素分辨率一致。</w:t>
            </w:r>
          </w:p>
          <w:p w14:paraId="5864CB9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4.【基础交互】支持通过监视管理屏进行资源场景的交互，支持点击交互、状态切换交互、拖转交互、拖放交互、长按交互、空间位置拖动交互，空间角度拖动交互等常规交互；</w:t>
            </w:r>
          </w:p>
          <w:p w14:paraId="7907A6F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5.【AI交互】支持通过Unity的Inspector视图窗口配置AI平台提供的通用调用API的URL、API-Key、AI-Model参数和触发事件；支持阿里平台音频转文本AI模型的属性窗口配置使用；支持阿里通义千问、DeepSeek的文本问答的API属性窗口配置使用；支持阿里平台文本转语音AI模型的可视化配置使用；</w:t>
            </w:r>
          </w:p>
          <w:p w14:paraId="5ECCD22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6.【智能硬件交互】支持与Arduino硬件的数字信号端口和模拟信号端口接入、启动、关闭等；支持直接对数字端口的状态进行实时同步的布尔值驱动事件的属性窗口配置应用；支持直接对Arduino模拟端口的状态进行实时同步的整形值驱动事件的属性窗口配置应用；</w:t>
            </w:r>
          </w:p>
          <w:p w14:paraId="03E5A93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7.【音频交互】支持USB麦克风的启动、音频流播放、关闭、驱动事件等操作的属性窗口配置；支持配置麦克风的音频流数据播放、频谱数据提取并驱动三维场景物体呈现频谱数据、音频流录制保存；</w:t>
            </w:r>
          </w:p>
          <w:p w14:paraId="748929B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8.【场景组件交互呈现】支持属性窗口配置InputField文本的内容驱动事件；支持属性窗口配置Transform属性值驱动事件；支持属性窗口配置当前时间、给定时间转换时分秒的数值驱动事件；支持属性窗口配置时长累计数值驱动；支持属性窗口配置InputManager通用轴列表的数值驱动；支持配置动态驱动Transform前往目标；支持配置动态驱动Transform按行列自动排布，排布支持横向左中右对齐、纵向上中下对齐；支持配置动态驱动Transform组的整体显示和隐藏控制；支持属性窗口配置Renderer、UIImage、UIRawImage等组件呈现动态传入或动态生成的Texture画面；支持属性窗口配置Renderer、UIImage、UIRawImage等组件直接从配置文件夹或动态地址列表中读取图片进行渲染显示；支持属性窗口配置TextMesh、Text、TMPText等组件对Txt文件段落进行读取和显示；</w:t>
            </w:r>
          </w:p>
          <w:p w14:paraId="79D907F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9.【常规数据转换】支持通过属性窗口的组件关联和事件配置实现非代码的简单数据生成和转换；支持小数到小数的线性转换、指数转换、对数转换、幂转换；支持整数、小数、布尔值之间的转换；支持整数、小数的数值相加、相乘配置操作；支持整数、小数、整数数组、小数数组的随机生成；</w:t>
            </w:r>
          </w:p>
          <w:p w14:paraId="41D5F3C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10.【变量值交互呈现】支持通过属性窗口配置对场景中动态产生的布尔状态值进行同步呈现、取反呈现、值切换呈现等；支持通过属性窗口配置浮点数组对三维场景物体组的群组驱动，支持色彩、位置、缩放等场景物体属性的驱动；支持通过属性窗口配置浮点数对三维场景物体的常规属性值进行点对点驱动，支持透明度、Animation动画时点、Animator动画时点、Gradient颜色点、颜色明度、光强度、Transform角度、Transform位置、Transform缩放等属性的驱动呈现；支持配置动态浮点值驱动数值分段事件执行；支持配置浮点数对刚体添加力和力矩的驱动；支持通过属性窗口配置动态整数驱动在三维场景中生成对应数量的预制体实例、动态整数驱动指定编号的预制体实例化、动态整数驱动对应预定义事件执行、动态整数正误判断及正误预定义事件的执行；</w:t>
            </w:r>
          </w:p>
          <w:p w14:paraId="5A1317F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11.【XML内容交互呈现】支持通过属性窗口配置XML文件进行读取、解析、XML节点驱动、XML节点数据暂存等；支持配置XML模板节点对三维场景静态模板的动态驱动；支持配置XML节点内容按照预制体进行匹配生成的动态驱动；</w:t>
            </w:r>
          </w:p>
          <w:p w14:paraId="41F4937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 xml:space="preserve">12.【数据暂存于输出】支持通过属性窗口配置小数、整数、字符串类型的过程参数进行变量存储、刷新和取用；支持通过属性窗口配置文本内容输出到指定文件夹保存为txt文件；支持通过属性窗口配置Texture数据输出为图片文件保存到目标文件夹；文件保存支持覆盖、时间后缀、数字编号后缀；目标文件夹路径支持资源所在路径、应用PersistantPath路径、应用StreamingAssets路径、应用根路径RootPath、系统桌面路径、系统文档路径、系统绝对路径等位置。 </w:t>
            </w:r>
          </w:p>
          <w:p w14:paraId="452E23B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13.【应用指南】提供包含插件功能说明、组件参数说明、组件应用流程说明的应用指南文档；提供插件组件应用范例场景；</w:t>
            </w:r>
          </w:p>
          <w:p w14:paraId="78EEAF1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rPr>
              <w:t>14.【发布】支持仅采用内置交互脚本的场景发布为三维空间交互渲染器直接播放的资源，支持符合交互场参数标准的场景直接发布可执行程序（.exe），发布可执行程序的情况下支持自定义脚本</w:t>
            </w:r>
            <w:r>
              <w:rPr>
                <w:rFonts w:hint="eastAsia" w:ascii="宋体" w:hAnsi="宋体" w:eastAsia="宋体" w:cs="宋体"/>
                <w:i w:val="0"/>
                <w:iCs w:val="0"/>
                <w:color w:val="auto"/>
                <w:sz w:val="24"/>
                <w:szCs w:val="24"/>
                <w:highlight w:val="none"/>
                <w:u w:val="none"/>
                <w:lang w:val="en-US" w:eastAsia="zh-CN"/>
              </w:rPr>
              <w:t>；</w:t>
            </w:r>
          </w:p>
          <w:p w14:paraId="6FDD423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color w:val="auto"/>
                <w:sz w:val="24"/>
                <w:szCs w:val="24"/>
                <w:highlight w:val="none"/>
              </w:rPr>
            </w:pPr>
            <w:r>
              <w:rPr>
                <w:rFonts w:hint="eastAsia" w:ascii="宋体" w:hAnsi="宋体" w:eastAsia="宋体" w:cs="宋体"/>
                <w:i w:val="0"/>
                <w:iCs w:val="0"/>
                <w:color w:val="auto"/>
                <w:sz w:val="24"/>
                <w:szCs w:val="24"/>
                <w:highlight w:val="none"/>
                <w:u w:val="none"/>
                <w:lang w:val="en-US" w:eastAsia="zh-CN"/>
              </w:rPr>
              <w:t>15.软件服务期：终身使用，提供一年质保及软件升级服务</w:t>
            </w:r>
            <w:r>
              <w:rPr>
                <w:rFonts w:hint="eastAsia" w:ascii="宋体" w:hAnsi="宋体" w:eastAsia="宋体" w:cs="宋体"/>
                <w:i w:val="0"/>
                <w:iCs w:val="0"/>
                <w:color w:val="auto"/>
                <w:sz w:val="24"/>
                <w:szCs w:val="24"/>
                <w:highlight w:val="none"/>
                <w:u w:val="none"/>
                <w:lang w:eastAsia="zh-CN"/>
              </w:rPr>
              <w:t>。</w:t>
            </w:r>
          </w:p>
        </w:tc>
        <w:tc>
          <w:tcPr>
            <w:tcW w:w="956" w:type="dxa"/>
            <w:vAlign w:val="center"/>
          </w:tcPr>
          <w:p w14:paraId="0D43ACC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i w:val="0"/>
                <w:iCs w:val="0"/>
                <w:color w:val="auto"/>
                <w:sz w:val="24"/>
                <w:szCs w:val="24"/>
                <w:highlight w:val="none"/>
                <w:u w:val="none"/>
                <w:lang w:val="en-US" w:eastAsia="zh-CN"/>
              </w:rPr>
              <w:t>5000.00</w:t>
            </w:r>
          </w:p>
        </w:tc>
        <w:tc>
          <w:tcPr>
            <w:tcW w:w="1096" w:type="dxa"/>
            <w:vAlign w:val="center"/>
          </w:tcPr>
          <w:p w14:paraId="784711C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i w:val="0"/>
                <w:iCs w:val="0"/>
                <w:color w:val="auto"/>
                <w:sz w:val="24"/>
                <w:szCs w:val="24"/>
                <w:highlight w:val="none"/>
                <w:u w:val="none"/>
                <w:lang w:val="en-US" w:eastAsia="zh-CN"/>
              </w:rPr>
              <w:t>5000.00</w:t>
            </w:r>
          </w:p>
        </w:tc>
      </w:tr>
      <w:tr w14:paraId="08B0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954" w:type="dxa"/>
            <w:gridSpan w:val="7"/>
            <w:vAlign w:val="center"/>
          </w:tcPr>
          <w:p w14:paraId="30F92E8D">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（二）全息仓人工智能交互系统</w:t>
            </w:r>
          </w:p>
        </w:tc>
      </w:tr>
      <w:tr w14:paraId="00D1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5FA881D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171" w:type="dxa"/>
            <w:vAlign w:val="center"/>
          </w:tcPr>
          <w:p w14:paraId="5E8992D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全息仓人工智能交互渲染器</w:t>
            </w:r>
          </w:p>
        </w:tc>
        <w:tc>
          <w:tcPr>
            <w:tcW w:w="507" w:type="dxa"/>
            <w:vAlign w:val="center"/>
          </w:tcPr>
          <w:p w14:paraId="5ED3CA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37" w:type="dxa"/>
            <w:vAlign w:val="center"/>
          </w:tcPr>
          <w:p w14:paraId="7E0D774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vAlign w:val="center"/>
          </w:tcPr>
          <w:p w14:paraId="094C579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sz w:val="24"/>
                <w:szCs w:val="24"/>
                <w:highlight w:val="none"/>
                <w:u w:val="none"/>
              </w:rPr>
              <w:t>一、配置参数要求：</w:t>
            </w:r>
          </w:p>
          <w:p w14:paraId="620656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1.配置≥2颗不低于 4316(2.3GHz/20核/30MB/150W)CPU模块；</w:t>
            </w:r>
          </w:p>
          <w:p w14:paraId="2317994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 xml:space="preserve">2.配置≥16* 64GB DDR4 3200内存； </w:t>
            </w:r>
          </w:p>
          <w:p w14:paraId="2617D3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3.配置≥3块480GB SATA SSD硬盘，2块2.4TB 12G SAS 10K HDD硬盘；</w:t>
            </w:r>
          </w:p>
          <w:p w14:paraId="501AD0E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4.配置≥1块12Gb 2端口RAID卡，含2G缓存和掉电保护模块，支持Raid0/1/10/5/50/6/60；</w:t>
            </w:r>
          </w:p>
          <w:p w14:paraId="3E5FFEE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5.配置≥2块2端口万兆光接口网卡,满配光模块；</w:t>
            </w:r>
          </w:p>
          <w:p w14:paraId="15DAD0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6.配置≥2个不低于800w热插拔冗余电源；</w:t>
            </w:r>
          </w:p>
          <w:p w14:paraId="03771BE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7.配套安装导轨；</w:t>
            </w:r>
          </w:p>
          <w:p w14:paraId="4724521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8.提供原厂三年质保服务。</w:t>
            </w:r>
          </w:p>
          <w:p w14:paraId="3080F58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9.不配显示器。</w:t>
            </w:r>
          </w:p>
          <w:p w14:paraId="6EB7B2E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二、技术参数要求：</w:t>
            </w:r>
          </w:p>
          <w:p w14:paraId="05F4F68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1.机箱形态：2U机架式；</w:t>
            </w:r>
          </w:p>
          <w:p w14:paraId="3B59CB8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sz w:val="24"/>
                <w:szCs w:val="24"/>
                <w:highlight w:val="none"/>
                <w:u w:val="none"/>
              </w:rPr>
              <w:t>2.不依赖OS，可带外升级BIOS、BMC版本，可通过BMC界面带外一次性升级多个部件的固件（如网卡部件、存储卡部件等）供货时提供证明材料。</w:t>
            </w:r>
          </w:p>
          <w:p w14:paraId="63B9863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3.支持扩展RDIMM，LRDIMM类型的内存。最高速率≥3200MT/s， DDR4内存插槽≥32；</w:t>
            </w:r>
          </w:p>
          <w:p w14:paraId="519671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4.支持3D虚拟数字人或3D矿石模型渲染；</w:t>
            </w:r>
          </w:p>
          <w:p w14:paraId="72181A5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5.I/O插槽：支持≥14个PCIE 插槽扩展能力；</w:t>
            </w:r>
          </w:p>
          <w:p w14:paraId="159547F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sz w:val="24"/>
                <w:szCs w:val="24"/>
                <w:highlight w:val="none"/>
                <w:u w:val="none"/>
              </w:rPr>
              <w:t xml:space="preserve">6. 持≥14块单宽GPU卡；供货时提供证明材料。 </w:t>
            </w:r>
          </w:p>
          <w:p w14:paraId="48E3339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7.提供≥2个网卡专用插槽（不占用PCIE扩展槽），可扩展千兆或万兆网卡；</w:t>
            </w:r>
          </w:p>
          <w:p w14:paraId="664894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 xml:space="preserve">8.用户在不部署任何管理软件的情况下，即可实现小规模服务器的统一管理（最多支持添加10台设备）。 </w:t>
            </w:r>
          </w:p>
          <w:p w14:paraId="7794920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9.支持配置氛围灯与服务器监控或功率负载等状态联动；</w:t>
            </w:r>
          </w:p>
          <w:p w14:paraId="625F8AD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10.支持CCC，CECP，SEPA, CE, CB等认证；</w:t>
            </w:r>
          </w:p>
          <w:p w14:paraId="4AB30A3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11.支持SNMP、SMTP、短信、微信、语音告警；</w:t>
            </w:r>
          </w:p>
          <w:p w14:paraId="193E59E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sz w:val="24"/>
                <w:szCs w:val="24"/>
                <w:highlight w:val="none"/>
                <w:u w:val="none"/>
              </w:rPr>
              <w:t>12.因可更换硬件故障导致启动进程挂死在POST阶段时，可以使用应急诊断功能；供货时提供证明材料，保留中标后测试权力。</w:t>
            </w:r>
          </w:p>
          <w:p w14:paraId="5F002AB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b/>
                <w:color w:val="auto"/>
                <w:sz w:val="24"/>
                <w:szCs w:val="24"/>
                <w:highlight w:val="none"/>
              </w:rPr>
            </w:pP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sz w:val="24"/>
                <w:szCs w:val="24"/>
                <w:highlight w:val="none"/>
                <w:u w:val="none"/>
              </w:rPr>
              <w:t>13.提供3年质保服务，</w:t>
            </w:r>
            <w:r>
              <w:rPr>
                <w:rFonts w:hint="eastAsia" w:ascii="宋体" w:hAnsi="宋体" w:eastAsia="宋体" w:cs="宋体"/>
                <w:i w:val="0"/>
                <w:iCs w:val="0"/>
                <w:color w:val="auto"/>
                <w:sz w:val="24"/>
                <w:szCs w:val="24"/>
                <w:highlight w:val="none"/>
                <w:u w:val="none"/>
              </w:rPr>
              <w:t>供货时提供产品生产厂商本地服务机构盖章的售后服务承诺函。</w:t>
            </w:r>
          </w:p>
        </w:tc>
        <w:tc>
          <w:tcPr>
            <w:tcW w:w="956" w:type="dxa"/>
            <w:vAlign w:val="center"/>
          </w:tcPr>
          <w:p w14:paraId="0329CFD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i w:val="0"/>
                <w:iCs w:val="0"/>
                <w:color w:val="auto"/>
                <w:sz w:val="24"/>
                <w:szCs w:val="24"/>
                <w:highlight w:val="none"/>
                <w:u w:val="none"/>
                <w:lang w:val="en-US" w:eastAsia="zh-CN"/>
              </w:rPr>
              <w:t>50000.00</w:t>
            </w:r>
          </w:p>
        </w:tc>
        <w:tc>
          <w:tcPr>
            <w:tcW w:w="1096" w:type="dxa"/>
            <w:vAlign w:val="center"/>
          </w:tcPr>
          <w:p w14:paraId="76178EE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i w:val="0"/>
                <w:iCs w:val="0"/>
                <w:color w:val="auto"/>
                <w:sz w:val="24"/>
                <w:szCs w:val="24"/>
                <w:highlight w:val="none"/>
                <w:u w:val="none"/>
                <w:lang w:val="en-US" w:eastAsia="zh-CN"/>
              </w:rPr>
              <w:t>50000.00</w:t>
            </w:r>
          </w:p>
        </w:tc>
      </w:tr>
      <w:tr w14:paraId="672B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1008B1F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1171" w:type="dxa"/>
            <w:shd w:val="clear" w:color="auto" w:fill="auto"/>
            <w:vAlign w:val="center"/>
          </w:tcPr>
          <w:p w14:paraId="38A054C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地质常见岩石数字人语音交互资源</w:t>
            </w:r>
          </w:p>
        </w:tc>
        <w:tc>
          <w:tcPr>
            <w:tcW w:w="507" w:type="dxa"/>
            <w:shd w:val="clear" w:color="auto" w:fill="auto"/>
            <w:vAlign w:val="center"/>
          </w:tcPr>
          <w:p w14:paraId="79E0576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套</w:t>
            </w:r>
          </w:p>
        </w:tc>
        <w:tc>
          <w:tcPr>
            <w:tcW w:w="637" w:type="dxa"/>
            <w:shd w:val="clear" w:color="auto" w:fill="auto"/>
            <w:vAlign w:val="center"/>
          </w:tcPr>
          <w:p w14:paraId="2E85E0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shd w:val="clear" w:color="auto" w:fill="auto"/>
            <w:vAlign w:val="center"/>
          </w:tcPr>
          <w:p w14:paraId="3250FD6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根据展项主题AI数字人，设计深化制作地质勘探相关交互系统软件，实现以下功能。</w:t>
            </w:r>
          </w:p>
          <w:p w14:paraId="6C09FAE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 可根据校方的需求和喜好提供个性化的定制智能服务。包括不限于：</w:t>
            </w:r>
          </w:p>
          <w:p w14:paraId="70D4F12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（1）智能讲解：通过人工智能语音识别技术，参观者可以与全息仓内的虚拟讲解员进行对话，获取关于地质常见岩石的详细信息。</w:t>
            </w:r>
          </w:p>
          <w:p w14:paraId="4459637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（2）个性化推荐：人工智能可以根据参观者的兴趣和需求，推荐相关的岩石知识互动体验。</w:t>
            </w:r>
          </w:p>
          <w:p w14:paraId="57B2DA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（3）岩石知识库：包含关于岩石的详细信息，如种类、年代、分布等。</w:t>
            </w:r>
          </w:p>
          <w:p w14:paraId="1BF0B4A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（4）挖掘模拟体验：通过虚拟挖掘工具，参观者可以在全息仓内模拟岩石沉浸式体验。</w:t>
            </w:r>
          </w:p>
          <w:p w14:paraId="58519FB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（5）互动问答：人工智能可以与参观者进行互动问答，解答关于岩石的疑问。</w:t>
            </w:r>
          </w:p>
          <w:p w14:paraId="58F48FD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（6）科普教育：全息仓还可以作为科普教育的平台，向参观者传授关于岩石的科学知识</w:t>
            </w:r>
          </w:p>
          <w:p w14:paraId="4A76A5E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 要求数字人语言真实感，有自然的语言处理能力。</w:t>
            </w:r>
          </w:p>
          <w:p w14:paraId="2CDFB15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 除基本聊天功能，还必须支持语音命令功能。根据命令切换不同动作。语音命令词和唤醒词可自定义，适应多种提问方式。</w:t>
            </w:r>
          </w:p>
          <w:p w14:paraId="014234D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 能够将学校现有的吉祥物虚拟形象导入全息设备，作为讲解数字人。</w:t>
            </w:r>
          </w:p>
          <w:p w14:paraId="33C5CD2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5、 采用阵列唛拾音，不受环境噪音和距离影响。准确接收语音命令信息。</w:t>
            </w:r>
          </w:p>
          <w:p w14:paraId="7271D88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8、 支持设备的详细参数要求如下表所示：</w:t>
            </w:r>
          </w:p>
          <w:p w14:paraId="590F299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 分辨率：768*1312</w:t>
            </w:r>
          </w:p>
          <w:p w14:paraId="1FB1B50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 传输方式：WIFI 通信</w:t>
            </w:r>
          </w:p>
          <w:p w14:paraId="3E0F5DB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 语音识别率：44HZ</w:t>
            </w:r>
          </w:p>
          <w:p w14:paraId="7CD914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 图片渲染帧率：25fps</w:t>
            </w:r>
          </w:p>
          <w:p w14:paraId="61D96F9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（5） 显示直径(MM）：780*1300</w:t>
            </w:r>
          </w:p>
          <w:p w14:paraId="11A998F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（6） 软件支持系统：手机 APP+PC 软件</w:t>
            </w:r>
          </w:p>
          <w:p w14:paraId="7740BE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（7） 支持格式：MP4/AVI/RMVB/JPG 等</w:t>
            </w:r>
          </w:p>
          <w:p w14:paraId="3AFDE92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（8） 内存卡：不低于 4G</w:t>
            </w:r>
          </w:p>
          <w:p w14:paraId="10C35A4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（9） 遥控器(多功能)：支持</w:t>
            </w:r>
          </w:p>
          <w:p w14:paraId="0C2EE8E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（10） 蓝牙音频输出：支持</w:t>
            </w:r>
          </w:p>
          <w:p w14:paraId="36E60D4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（11） 多台拼接：支持</w:t>
            </w:r>
          </w:p>
          <w:p w14:paraId="6AC72C5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（12） 多台同步：支持</w:t>
            </w:r>
          </w:p>
          <w:p w14:paraId="5CC7F5B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（13） SD 卡内容拷贝：支持</w:t>
            </w:r>
          </w:p>
          <w:p w14:paraId="0901D14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（14） 无线实时投屏：支持</w:t>
            </w:r>
          </w:p>
          <w:p w14:paraId="1080419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（15） 远程 OTA 升级：支持</w:t>
            </w:r>
          </w:p>
          <w:p w14:paraId="34CA515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（16） 其他：可以自定义制作内容，实时投屏</w:t>
            </w:r>
          </w:p>
          <w:p w14:paraId="226A3A0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sz w:val="24"/>
                <w:szCs w:val="24"/>
                <w:highlight w:val="none"/>
                <w:u w:val="none"/>
                <w:lang w:val="en-US" w:eastAsia="zh-CN"/>
              </w:rPr>
              <w:t>17</w:t>
            </w: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sz w:val="24"/>
                <w:szCs w:val="24"/>
                <w:highlight w:val="none"/>
                <w:u w:val="none"/>
                <w:lang w:val="en-US" w:eastAsia="zh-CN"/>
              </w:rPr>
              <w:t>数据存储容量：1T；</w:t>
            </w:r>
          </w:p>
        </w:tc>
        <w:tc>
          <w:tcPr>
            <w:tcW w:w="956" w:type="dxa"/>
            <w:vAlign w:val="center"/>
          </w:tcPr>
          <w:p w14:paraId="1C96BEB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lang w:val="en-US"/>
              </w:rPr>
            </w:pPr>
            <w:r>
              <w:rPr>
                <w:rFonts w:hint="eastAsia" w:ascii="宋体" w:hAnsi="宋体" w:eastAsia="宋体" w:cs="宋体"/>
                <w:i w:val="0"/>
                <w:iCs w:val="0"/>
                <w:color w:val="auto"/>
                <w:sz w:val="24"/>
                <w:szCs w:val="24"/>
                <w:highlight w:val="none"/>
                <w:u w:val="none"/>
                <w:lang w:val="en-US" w:eastAsia="zh-CN"/>
              </w:rPr>
              <w:t>62500.00</w:t>
            </w:r>
          </w:p>
        </w:tc>
        <w:tc>
          <w:tcPr>
            <w:tcW w:w="1096" w:type="dxa"/>
            <w:shd w:val="clear" w:color="auto" w:fill="auto"/>
            <w:vAlign w:val="center"/>
          </w:tcPr>
          <w:p w14:paraId="5E1F05B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u w:val="none"/>
                <w:lang w:val="en-US" w:eastAsia="zh-CN"/>
              </w:rPr>
              <w:t>62500.00</w:t>
            </w:r>
          </w:p>
        </w:tc>
      </w:tr>
      <w:tr w14:paraId="0CF2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1BD45E4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1171" w:type="dxa"/>
            <w:shd w:val="clear" w:color="auto" w:fill="auto"/>
            <w:vAlign w:val="center"/>
          </w:tcPr>
          <w:p w14:paraId="3D30AA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全息仓人工智能资源编辑插件</w:t>
            </w:r>
          </w:p>
        </w:tc>
        <w:tc>
          <w:tcPr>
            <w:tcW w:w="507" w:type="dxa"/>
            <w:shd w:val="clear" w:color="auto" w:fill="auto"/>
            <w:vAlign w:val="center"/>
          </w:tcPr>
          <w:p w14:paraId="0EFE1E0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套</w:t>
            </w:r>
          </w:p>
        </w:tc>
        <w:tc>
          <w:tcPr>
            <w:tcW w:w="637" w:type="dxa"/>
            <w:shd w:val="clear" w:color="auto" w:fill="auto"/>
            <w:vAlign w:val="center"/>
          </w:tcPr>
          <w:p w14:paraId="45D3A30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shd w:val="clear" w:color="auto" w:fill="auto"/>
            <w:vAlign w:val="center"/>
          </w:tcPr>
          <w:p w14:paraId="007D32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交互场配置】支持对裸眼3D屏/的交互场参数配置文件的导入；交互场支持场空间、摄像机的仿真坐标、旋转、大小、相对位置等参数的动态解析；支持通过配置文件动态生成交互场参考空间供后续内容编辑进行参考。</w:t>
            </w:r>
          </w:p>
          <w:p w14:paraId="6F918F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预置交互】插件预置通用交互脚本，通过Unity插件菜单对交互脚本进行无代码编辑和配置；提供裸眼3D屏的交互预制体，可通过嵌入式Unity菜单进行初始化构建；支持可视化配置三维虚拟模型点击触发虚拟场景中的预定义事件，预定义事件包含UnityEvent所支持的Unity自带方法、预置通用交互脚本的公开方法等；支持Unity默认模块所包含的脚本及功能；提供范例场景；支持导入的模型类型即Unity3D软件所支持的模型类型。</w:t>
            </w:r>
          </w:p>
          <w:p w14:paraId="7CFAF6B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畸变处理】支持裸眼立体设备硬件裸眼立体数据格式，并匹配相适应的渲染模式输出；支持根据裸眼3D设备的硬件属性和对应的三维虚拟屏幕空间进行实时构建；支持对三维虚拟屏幕空间和现实空间的边缘映射；支持对三维虚拟摄像机对三维虚拟屏幕空间的数据视椎体矩阵变幻以完成三维虚拟空间交互内容的实时画面畸变渲染；支持三维虚拟空间场景的全局实时光照的光场的烘焙信息还原与渲染；支持三维模型状态机动画、三维粒子特效、三维IK动画等动画内容的实时交互控制、空间变换及渲染输出；等渲染画面分辨率与屏幕像素分辨率一致。</w:t>
            </w:r>
          </w:p>
          <w:p w14:paraId="378BD4F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4.【基础交互】支持通过监视管理屏进行资源场景的交互，支持点击交互、状态切换交互、拖转交互、拖放交互、长按交互、空间位置拖动交互，空间角度拖动交互等常规交互；</w:t>
            </w:r>
          </w:p>
          <w:p w14:paraId="1C84C91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5.【AI交互】支持通过Unity的Inspector视图窗口配置AI平台提供的通用调用API的URL、API-Key、AI-Model参数和触发事件；支持阿里平台音频转文本AI模型的属性窗口配置使用；支持阿里通义千问、DeepSeek的文本问答的API属性窗口配置使用；支持阿里平台文本转语音AI模型的可视化配置使用；</w:t>
            </w:r>
          </w:p>
          <w:p w14:paraId="70FE9C0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6.【智能硬件交互】支持与Arduino硬件的数字信号端口和模拟信号端口接入、启动、关闭等；支持直接对数字端口的状态进行实时同步的布尔值驱动事件的属性窗口配置应用；支持直接对Arduino模拟端口的状态进行实时同步的整形值驱动事件的属性窗口配置应用；</w:t>
            </w:r>
          </w:p>
          <w:p w14:paraId="2039D24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7.【音频交互】支持USB麦克风的启动、音频流播放、关闭、驱动事件等操作的属性窗口配置；支持配置麦克风的音频流数据播放、频谱数据提取并驱动三维场景物体呈现频谱数据、音频流录制保存；</w:t>
            </w:r>
          </w:p>
          <w:p w14:paraId="3157A7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8.【场景组件交互呈现】支持属性窗口配置InputField文本的内容驱动事件；支持属性窗口配置Transform属性值驱动事件；支持属性窗口配置当前时间、给定时间转换时分秒的数值驱动事件；支持属性窗口配置时长累计数值驱动；支持属性窗口配置InputManager通用轴列表的数值驱动；支持配置动态驱动Transform前往目标；支持配置动态驱动Transform按行列自动排布，排布支持横向左中右对齐、纵向上中下对齐；支持配置动态驱动Transform组的整体显示和隐藏控制；支持属性窗口配置Renderer、UIImage、UIRawImage等组件呈现动态传入或动态生成的Texture画面；支持属性窗口配置Renderer、UIImage、UIRawImage等组件直接从配置文件夹或动态地址列表中读取图片进行渲染显示；支持属性窗口配置TextMesh、Text、TMPText等组件对Txt文件段落进行读取和显示；</w:t>
            </w:r>
          </w:p>
          <w:p w14:paraId="47E3B4C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9.【常规数据转换】支持通过属性窗口的组件关联和事件配置实现非代码的简单数据生成和转换；支持小数到小数的线性转换、指数转换、对数转换、幂转换；支持整数、小数、布尔值之间的转换；支持整数、小数的数值相加、相乘配置操作；支持整数、小数、整数数组、小数数组的随机生成；</w:t>
            </w:r>
          </w:p>
          <w:p w14:paraId="0D1E4D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10.【变量值交互呈现】支持通过属性窗口配置对场景中动态产生的布尔状态值进行同步呈现、取反呈现、值切换呈现等；支持通过属性窗口配置浮点数组对三维场景物体组的群组驱动，支持色彩、位置、缩放等场景物体属性的驱动；支持通过属性窗口配置浮点数对三维场景物体的常规属性值进行点对点驱动，支持透明度、Animation动画时点、Animator动画时点、Gradient颜色点、颜色明度、光强度、Transform角度、Transform位置、Transform缩放等属性的驱动呈现；支持配置动态浮点值驱动数值分段事件执行；支持配置浮点数对刚体添加力和力矩的驱动；支持通过属性窗口配置动态整数驱动在三维场景中生成对应数量的预制体实例、动态整数驱动指定编号的预制体实例化、动态整数驱动对应预定义事件执行、动态整数正误判断及正误预定义事件的执行；</w:t>
            </w:r>
          </w:p>
          <w:p w14:paraId="511E215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11.【XML内容交互呈现】支持通过属性窗口配置XML文件进行读取、解析、XML节点驱动、XML节点数据暂存等；支持配置XML模板节点对三维场景静态模板的动态驱动；支持配置XML节点内容按照预制体进行匹配生成的动态驱动；</w:t>
            </w:r>
          </w:p>
          <w:p w14:paraId="0605022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 xml:space="preserve">12.【数据暂存于输出】支持通过属性窗口配置小数、整数、字符串类型的过程参数进行变量存储、刷新和取用；支持通过属性窗口配置文本内容输出到指定文件夹保存为txt文件；支持通过属性窗口配置Texture数据输出为图片文件保存到目标文件夹；文件保存支持覆盖、时间后缀、数字编号后缀；目标文件夹路径支持资源所在路径、应用PersistantPath路径、应用StreamingAssets路径、应用根路径RootPath、系统桌面路径、系统文档路径、系统绝对路径等位置。 </w:t>
            </w:r>
          </w:p>
          <w:p w14:paraId="419C76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13.【应用指南】提供包含插件功能说明、组件参数说明、组件应用流程说明的应用指南文档；提供插件组件应用范例场景；</w:t>
            </w:r>
          </w:p>
          <w:p w14:paraId="5B57B81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rPr>
              <w:t>14.【发布】支持仅采用内置交互脚本的场景发布为三维空间交互渲染器直接播放的资源，支持符合交互场参数标准的场景直接发布可执行程序（.exe），发布可执行程序的情况下支持自定义脚本</w:t>
            </w:r>
            <w:r>
              <w:rPr>
                <w:rFonts w:hint="eastAsia" w:ascii="宋体" w:hAnsi="宋体" w:eastAsia="宋体" w:cs="宋体"/>
                <w:i w:val="0"/>
                <w:iCs w:val="0"/>
                <w:color w:val="auto"/>
                <w:sz w:val="24"/>
                <w:szCs w:val="24"/>
                <w:highlight w:val="none"/>
                <w:u w:val="none"/>
                <w:lang w:val="en-US" w:eastAsia="zh-CN"/>
              </w:rPr>
              <w:t>；</w:t>
            </w:r>
          </w:p>
          <w:p w14:paraId="2E627AA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sz w:val="24"/>
                <w:szCs w:val="24"/>
                <w:highlight w:val="none"/>
                <w:u w:val="none"/>
                <w:lang w:val="en-US" w:eastAsia="zh-CN"/>
              </w:rPr>
              <w:t>15.软件服务期：终身使用，提供一年质保及软件升级服务</w:t>
            </w:r>
            <w:r>
              <w:rPr>
                <w:rFonts w:hint="eastAsia" w:ascii="宋体" w:hAnsi="宋体" w:eastAsia="宋体" w:cs="宋体"/>
                <w:i w:val="0"/>
                <w:iCs w:val="0"/>
                <w:color w:val="auto"/>
                <w:sz w:val="24"/>
                <w:szCs w:val="24"/>
                <w:highlight w:val="none"/>
                <w:u w:val="none"/>
                <w:lang w:eastAsia="zh-CN"/>
              </w:rPr>
              <w:t>。</w:t>
            </w:r>
          </w:p>
        </w:tc>
        <w:tc>
          <w:tcPr>
            <w:tcW w:w="956" w:type="dxa"/>
            <w:vAlign w:val="center"/>
          </w:tcPr>
          <w:p w14:paraId="5260709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5000.00</w:t>
            </w:r>
          </w:p>
        </w:tc>
        <w:tc>
          <w:tcPr>
            <w:tcW w:w="1096" w:type="dxa"/>
            <w:shd w:val="clear" w:color="auto" w:fill="auto"/>
            <w:vAlign w:val="center"/>
          </w:tcPr>
          <w:p w14:paraId="58CB5E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sz w:val="24"/>
                <w:szCs w:val="24"/>
                <w:highlight w:val="none"/>
                <w:u w:val="none"/>
                <w:lang w:val="en-US" w:eastAsia="zh-CN"/>
              </w:rPr>
              <w:t>5000.00</w:t>
            </w:r>
          </w:p>
        </w:tc>
      </w:tr>
      <w:tr w14:paraId="418B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4A2C509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1171" w:type="dxa"/>
            <w:shd w:val="clear" w:color="auto" w:fill="auto"/>
            <w:vAlign w:val="center"/>
          </w:tcPr>
          <w:p w14:paraId="69615D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智能终端交互</w:t>
            </w:r>
          </w:p>
        </w:tc>
        <w:tc>
          <w:tcPr>
            <w:tcW w:w="507" w:type="dxa"/>
            <w:shd w:val="clear" w:color="auto" w:fill="auto"/>
            <w:vAlign w:val="center"/>
          </w:tcPr>
          <w:p w14:paraId="27A61F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台</w:t>
            </w:r>
          </w:p>
        </w:tc>
        <w:tc>
          <w:tcPr>
            <w:tcW w:w="637" w:type="dxa"/>
            <w:shd w:val="clear" w:color="auto" w:fill="auto"/>
            <w:vAlign w:val="center"/>
          </w:tcPr>
          <w:p w14:paraId="3FDBBED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w:t>
            </w:r>
          </w:p>
        </w:tc>
        <w:tc>
          <w:tcPr>
            <w:tcW w:w="5025" w:type="dxa"/>
            <w:shd w:val="clear" w:color="auto" w:fill="auto"/>
            <w:vAlign w:val="center"/>
          </w:tcPr>
          <w:p w14:paraId="4E4268B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rPr>
              <w:t>提供核心处理器≥4核8线程，内存容量≥8GB ，闪存≥256GB，提供5V/2A充电器，支持协议 802.11a/b/g/n/ac，支持 2.4G WiFi / 支持 5G WiFi /支持蓝牙5.0，提供可视范围≥12寸，分辨率≥2560*1600，提供1300万像素后置相机，800万像素前置相机。</w:t>
            </w:r>
          </w:p>
        </w:tc>
        <w:tc>
          <w:tcPr>
            <w:tcW w:w="956" w:type="dxa"/>
            <w:vAlign w:val="center"/>
          </w:tcPr>
          <w:p w14:paraId="0DEF8E1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2000.00</w:t>
            </w:r>
          </w:p>
        </w:tc>
        <w:tc>
          <w:tcPr>
            <w:tcW w:w="1096" w:type="dxa"/>
            <w:shd w:val="clear" w:color="auto" w:fill="auto"/>
            <w:vAlign w:val="center"/>
          </w:tcPr>
          <w:p w14:paraId="4F7BCAE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4000.00</w:t>
            </w:r>
          </w:p>
        </w:tc>
      </w:tr>
      <w:tr w14:paraId="6DF8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448583E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1171" w:type="dxa"/>
            <w:shd w:val="clear" w:color="auto" w:fill="auto"/>
            <w:vAlign w:val="center"/>
          </w:tcPr>
          <w:p w14:paraId="0AC3370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全千兆POE交换机</w:t>
            </w:r>
          </w:p>
        </w:tc>
        <w:tc>
          <w:tcPr>
            <w:tcW w:w="507" w:type="dxa"/>
            <w:shd w:val="clear" w:color="auto" w:fill="auto"/>
            <w:vAlign w:val="center"/>
          </w:tcPr>
          <w:p w14:paraId="14BDDBD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台</w:t>
            </w:r>
          </w:p>
        </w:tc>
        <w:tc>
          <w:tcPr>
            <w:tcW w:w="637" w:type="dxa"/>
            <w:shd w:val="clear" w:color="auto" w:fill="auto"/>
            <w:vAlign w:val="center"/>
          </w:tcPr>
          <w:p w14:paraId="63DB998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shd w:val="clear" w:color="auto" w:fill="auto"/>
            <w:vAlign w:val="center"/>
          </w:tcPr>
          <w:p w14:paraId="6EA85F4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1.设备性能：交换容量≥336Gbps, 包转发率≥96Mpps 。</w:t>
            </w:r>
          </w:p>
          <w:p w14:paraId="4C82114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2.设备配置：提供千兆电口≥24个,千兆SFP光口≥4个，POE功率≥380W。</w:t>
            </w:r>
          </w:p>
          <w:p w14:paraId="00A0F1F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3.POE:支持快速POE功能，当交换机电源上电时，支持秒级实现对PD设备的供电，交换机重启过程，POE供电不间断。</w:t>
            </w:r>
          </w:p>
          <w:p w14:paraId="00A9A2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 环网保护：支持 SmartLink 树型拓朴和 SmartLink 多实例，提供主备链路的毫秒级保。</w:t>
            </w:r>
          </w:p>
          <w:p w14:paraId="3B584DB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5.支持流量控制功能，当本端设备发生拥塞，将向对端设备发送消息，通知对端设备暂时停止发送报文，避免拥塞。</w:t>
            </w:r>
          </w:p>
          <w:p w14:paraId="0F8D659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6.支持 16K MAC 表项，MAC 表项老化时间不超过 5 分钟。</w:t>
            </w:r>
          </w:p>
          <w:p w14:paraId="672B548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7.三层管理交换机，支持云管理和本地管理两种模式，台可对该系列交换机进行云端配置、监控、巡检等，减少现场的部署和运维人力投入，提供第三方检测报告或者彩页。</w:t>
            </w:r>
          </w:p>
          <w:p w14:paraId="6D1EA4C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8.支持 IPv4、IPv6 静态路由。</w:t>
            </w:r>
          </w:p>
          <w:p w14:paraId="177C115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9.支持 802.1X 认证，MAC 认证， Portal 认证。</w:t>
            </w:r>
          </w:p>
          <w:p w14:paraId="7F43375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rPr>
              <w:t>10.支持端口镜像、线路环回监测、 VCT（Virtual Cable Test）、链路层发现协议 LLDP。</w:t>
            </w:r>
          </w:p>
        </w:tc>
        <w:tc>
          <w:tcPr>
            <w:tcW w:w="956" w:type="dxa"/>
            <w:vAlign w:val="center"/>
          </w:tcPr>
          <w:p w14:paraId="649DD51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2200.00</w:t>
            </w:r>
          </w:p>
        </w:tc>
        <w:tc>
          <w:tcPr>
            <w:tcW w:w="1096" w:type="dxa"/>
            <w:shd w:val="clear" w:color="auto" w:fill="auto"/>
            <w:vAlign w:val="center"/>
          </w:tcPr>
          <w:p w14:paraId="6DF5124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sz w:val="24"/>
                <w:szCs w:val="24"/>
                <w:highlight w:val="none"/>
                <w:u w:val="none"/>
                <w:lang w:val="en-US" w:eastAsia="zh-CN"/>
              </w:rPr>
              <w:t>2200.00</w:t>
            </w:r>
          </w:p>
        </w:tc>
      </w:tr>
      <w:tr w14:paraId="1592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6ED0C1F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1171" w:type="dxa"/>
            <w:shd w:val="clear" w:color="auto" w:fill="auto"/>
            <w:vAlign w:val="center"/>
          </w:tcPr>
          <w:p w14:paraId="14A4FFD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千兆无线吸顶AP</w:t>
            </w:r>
          </w:p>
        </w:tc>
        <w:tc>
          <w:tcPr>
            <w:tcW w:w="507" w:type="dxa"/>
            <w:shd w:val="clear" w:color="auto" w:fill="auto"/>
            <w:vAlign w:val="center"/>
          </w:tcPr>
          <w:p w14:paraId="0BA3BA1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台</w:t>
            </w:r>
          </w:p>
        </w:tc>
        <w:tc>
          <w:tcPr>
            <w:tcW w:w="637" w:type="dxa"/>
            <w:shd w:val="clear" w:color="auto" w:fill="auto"/>
            <w:vAlign w:val="center"/>
          </w:tcPr>
          <w:p w14:paraId="3B957A9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5025" w:type="dxa"/>
            <w:shd w:val="clear" w:color="auto" w:fill="auto"/>
            <w:vAlign w:val="center"/>
          </w:tcPr>
          <w:p w14:paraId="1723AD9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1.协议标准：支持802.11ax标准。</w:t>
            </w:r>
          </w:p>
          <w:p w14:paraId="131A5EC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2.射频：支持双射频，总空间流数≥4；整机速率≥2.975Gbps。</w:t>
            </w:r>
          </w:p>
          <w:p w14:paraId="3BB6E6D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3.支持目标唤醒时间（Target wake time）机制，允许 AP 与终端之间协商休眠和唤醒时间，减少终端之间的冲突和不必要的唤醒次数，节省终端电量。</w:t>
            </w:r>
          </w:p>
          <w:p w14:paraId="73A1B31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4.安全：支持包括 WEP、WPA/WPA2-PSK、WPA3-SAE、WPA/WPA2-PPSK、WPA/WPA2/WPA3-802.1X、WAPI 等认证/加密方式来保证无线网络安全。</w:t>
            </w:r>
          </w:p>
          <w:p w14:paraId="06E3830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5.内置智能天线，基于智能切换算法自动调节覆盖方向和信号强度，以适应应用环境变化，并且可以随终端的移动进行精准稳定的覆盖。</w:t>
            </w:r>
          </w:p>
          <w:p w14:paraId="1DD23D3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6.自动调整 AP 的发射功率和信道，以保证网络处于最佳的性能状态，提升网络的可靠性和用户体验。</w:t>
            </w:r>
          </w:p>
          <w:p w14:paraId="7769A68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7.支持云端管理，无需部署 WAC 控制器，也无需认证服务器，即可实现 PSK、Portal、短信、社交媒体等丰富的认证功能，极大的简化组网，提供第三方检测报告或者彩页。</w:t>
            </w:r>
          </w:p>
          <w:p w14:paraId="5148A8F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8.最大用户≥256。</w:t>
            </w:r>
          </w:p>
          <w:p w14:paraId="15DEC9E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rPr>
              <w:t>9.支持至少 FIT/FAT/云管理三种工作模式。</w:t>
            </w:r>
          </w:p>
        </w:tc>
        <w:tc>
          <w:tcPr>
            <w:tcW w:w="956" w:type="dxa"/>
            <w:shd w:val="clear" w:color="auto" w:fill="auto"/>
            <w:vAlign w:val="center"/>
          </w:tcPr>
          <w:p w14:paraId="063DD81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sz w:val="24"/>
                <w:szCs w:val="24"/>
                <w:highlight w:val="none"/>
                <w:u w:val="none"/>
                <w:lang w:val="en-US" w:eastAsia="zh-CN"/>
              </w:rPr>
              <w:t>1000.00</w:t>
            </w:r>
          </w:p>
        </w:tc>
        <w:tc>
          <w:tcPr>
            <w:tcW w:w="1096" w:type="dxa"/>
            <w:shd w:val="clear" w:color="auto" w:fill="auto"/>
            <w:vAlign w:val="center"/>
          </w:tcPr>
          <w:p w14:paraId="2E54C3D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3000.00</w:t>
            </w:r>
          </w:p>
        </w:tc>
      </w:tr>
      <w:tr w14:paraId="09DC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954" w:type="dxa"/>
            <w:gridSpan w:val="7"/>
            <w:vAlign w:val="center"/>
          </w:tcPr>
          <w:p w14:paraId="3C484A3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（三）扩音系统</w:t>
            </w:r>
          </w:p>
        </w:tc>
      </w:tr>
      <w:tr w14:paraId="0A6C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7C44F74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1171" w:type="dxa"/>
            <w:shd w:val="clear" w:color="auto" w:fill="auto"/>
            <w:vAlign w:val="center"/>
          </w:tcPr>
          <w:p w14:paraId="16CEDC2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数字红外无线教学扩声系统主机</w:t>
            </w:r>
          </w:p>
        </w:tc>
        <w:tc>
          <w:tcPr>
            <w:tcW w:w="507" w:type="dxa"/>
            <w:shd w:val="clear" w:color="auto" w:fill="auto"/>
            <w:vAlign w:val="center"/>
          </w:tcPr>
          <w:p w14:paraId="682DD8D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637" w:type="dxa"/>
            <w:shd w:val="clear" w:color="auto" w:fill="auto"/>
            <w:vAlign w:val="center"/>
          </w:tcPr>
          <w:p w14:paraId="5CAF24D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shd w:val="clear" w:color="auto" w:fill="auto"/>
            <w:vAlign w:val="center"/>
          </w:tcPr>
          <w:p w14:paraId="3A56861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1、音频处理部分和数字功率放大器部分采用一体式设计；</w:t>
            </w:r>
          </w:p>
          <w:p w14:paraId="6A0C20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2、主机内置4核国产高速DSP处理芯片，64bit处理内核，主频≥1GHz,最大主频1.3GHz,最快信号处理延时≤11ms；</w:t>
            </w:r>
          </w:p>
          <w:p w14:paraId="3E2351C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3、音频输入/输出：不少于17路音频通道输入/不少于10路输出；</w:t>
            </w:r>
          </w:p>
          <w:p w14:paraId="714844D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4、麦克风输入：不少于2路48V幻象供电的麦克风输入，幻象供电可软件开关；</w:t>
            </w:r>
          </w:p>
          <w:p w14:paraId="0EA1CFC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5、数字音频输入/输出：不少于1个USB立体声输入/输出接口；不少于1个智能阵列麦克风信号输入接口；</w:t>
            </w:r>
          </w:p>
          <w:p w14:paraId="1EC5B20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6、模拟音频输入：≥2路差分信号输入，1个3.5mm立体声输入；</w:t>
            </w:r>
          </w:p>
          <w:p w14:paraId="11665FB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7、模拟音频输出：≥2路差分信号输出，1个3.5mm立体声输出；</w:t>
            </w:r>
          </w:p>
          <w:p w14:paraId="3394C71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8、扬声器输出及功率：2*75W/4Ω</w:t>
            </w:r>
          </w:p>
          <w:p w14:paraId="6D40619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 xml:space="preserve">9、内置功放数量及功率：2*75W/4Ω数字功放 </w:t>
            </w:r>
          </w:p>
          <w:p w14:paraId="78FB1C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10、输入通道：所有输入通道实时动态电平表0至-96dB显示；输入通道可定义5种类型选择，包括：麦克直通、远场麦、无线\手持、互动、课件\音乐；输入通道延时0-255ms可调；每一个输入通道叠加闪避器，闪避器启动时间0到1000ms可调、保持时间0到10000ms可调、恢复时间0到1000ms可调；闪避器阈值0至-120dB可调、闪避值0至-120dB可调，可支持无线手持麦克风与吊麦无缝衔接；输入通道支持30段图示均衡器及8段参数均衡器可调；</w:t>
            </w:r>
          </w:p>
          <w:p w14:paraId="4AB5F5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11、输出通道：所有输出通道实时动态电平表0至-96dB显示；输出通道可定义3种类型选择，包括：扬声器、耳机\监听、互动\录播，每一类型均可叠加压限器；输出目标阈值0至-120dB可调，输出补偿-24至24dB可调；输出通道延时0-255ms可调；输出通路有反相器，输出通道支持30段图示均衡器及8段参数均衡器可调；</w:t>
            </w:r>
          </w:p>
          <w:p w14:paraId="729FFB9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12、增益调节：支持麦克风ADC增益0到28.5dB可调；支持噪声抑制有0到18等级可调，混响抑制0到4级可调，扩声还原度0到10级可调；</w:t>
            </w:r>
          </w:p>
          <w:p w14:paraId="71878EC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13、回声消除（AEC）：回音消除尾音长度不高于512ms，回声消除幅度不低于60dB,收敛速度不小于100dB/S，AEC有不低于16等级可调，AEC延迟值4-255ms；</w:t>
            </w:r>
          </w:p>
          <w:p w14:paraId="4DA657A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14、反馈抑制（AFC）：反馈抑制效果器支持控制开关，并且支持不少于16段自适应频率滤波器；反馈抑制频率可手动调整；反馈抑制效果器可有效提升传声增益幅度：≥18dB；</w:t>
            </w:r>
          </w:p>
          <w:p w14:paraId="7A65376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15、自动增益控制（AGC）：增益控制幅度-24dB到24dB可调，并可开关自动增益控制功能；</w:t>
            </w:r>
          </w:p>
          <w:p w14:paraId="3805FB4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16、一键AI自适应系统调音：设备机身配备显性“Tuning”按钮，调试软件支持一键AI自适应声场调音，简单高效。用户仅需按下设备上的一键按钮，主机即刻操作音箱发出调试声音，调试完成后自动终止。主机软件直观显示房间内吊麦及音箱数量，明确展示调音结果。在调音失败情况下，系统AI立即分析失败原因（如麦克风或音箱连接错误，环境噪音或室内混响），为调试者提供智能参考。通过一键设计，为用户提供更为便捷的声场调音体验；</w:t>
            </w:r>
          </w:p>
          <w:p w14:paraId="01FB84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17、音频矩阵系统</w:t>
            </w:r>
          </w:p>
          <w:p w14:paraId="2818D00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高度灵活性：设备内置高度可配置的音频矩阵，满足不同场景的复杂音频需求。每一输入通道均可添加回声消除信号和本地扩声信号。独立混音矩阵控制：每一输出通道都具有独立的混音矩阵开关，使用户能够实现对各通道音频的个性化混音设置；精细音量调控： 设备支持独立的混音矩阵音量设置，提供广泛的音量调节范围，从-60dB到12dB。可根据具体需要在不同环境中精确调整音量，实现最佳音频效果；</w:t>
            </w:r>
          </w:p>
          <w:p w14:paraId="790B099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18、AI智能声环境检测： 设备支持主机软件，实时获取房间的声学参数，包括环境噪音、信噪比、混响时间；</w:t>
            </w:r>
          </w:p>
          <w:p w14:paraId="30D9361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19、版本升级：设备带有智能语音扩音系统调音工具软件；软件支持版本升级功能，可通过软件升级提升主机功能效果；</w:t>
            </w:r>
          </w:p>
          <w:p w14:paraId="0393D53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20、支持USB及232串口及RJ45网口外联中央控制器；</w:t>
            </w:r>
          </w:p>
          <w:p w14:paraId="731467F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21、主机的RJ45接口最大级联3支智能天顶麦克风；</w:t>
            </w:r>
          </w:p>
          <w:p w14:paraId="08A74B6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22、模式化自定义调节：≥4个工厂模式和用户可自设的≥4个自定义模式</w:t>
            </w:r>
          </w:p>
          <w:p w14:paraId="11A4E90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23、主机支持外部三种接口，四种调试方式进行设备功能调试。外部可分别通过USB Host接口，RS232串口和RJ45网口，外接对应线材进行软件功能调试，RJ45网口支持局域网远程调试升级，USB接口支持外接U盘升级，以及主机屏幕进行软件调试；</w:t>
            </w:r>
          </w:p>
          <w:p w14:paraId="37F6E61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sz w:val="24"/>
                <w:szCs w:val="24"/>
                <w:highlight w:val="none"/>
                <w:u w:val="none"/>
              </w:rPr>
              <w:t>24、配隐藏布线挡板，提高布线美观性；</w:t>
            </w:r>
          </w:p>
        </w:tc>
        <w:tc>
          <w:tcPr>
            <w:tcW w:w="956" w:type="dxa"/>
            <w:vAlign w:val="center"/>
          </w:tcPr>
          <w:p w14:paraId="122258F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6500.00</w:t>
            </w:r>
          </w:p>
        </w:tc>
        <w:tc>
          <w:tcPr>
            <w:tcW w:w="1096" w:type="dxa"/>
            <w:shd w:val="clear" w:color="auto" w:fill="auto"/>
            <w:vAlign w:val="center"/>
          </w:tcPr>
          <w:p w14:paraId="78C2D1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6500.00</w:t>
            </w:r>
          </w:p>
        </w:tc>
      </w:tr>
      <w:tr w14:paraId="05F2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34B3F9D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1171" w:type="dxa"/>
            <w:shd w:val="clear" w:color="auto" w:fill="auto"/>
            <w:vAlign w:val="center"/>
          </w:tcPr>
          <w:p w14:paraId="2A273A7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数字红外接收器</w:t>
            </w:r>
          </w:p>
        </w:tc>
        <w:tc>
          <w:tcPr>
            <w:tcW w:w="507" w:type="dxa"/>
            <w:shd w:val="clear" w:color="auto" w:fill="auto"/>
            <w:vAlign w:val="center"/>
          </w:tcPr>
          <w:p w14:paraId="23B500F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台</w:t>
            </w:r>
          </w:p>
        </w:tc>
        <w:tc>
          <w:tcPr>
            <w:tcW w:w="637" w:type="dxa"/>
            <w:shd w:val="clear" w:color="auto" w:fill="auto"/>
            <w:vAlign w:val="center"/>
          </w:tcPr>
          <w:p w14:paraId="72788C1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w:t>
            </w:r>
          </w:p>
        </w:tc>
        <w:tc>
          <w:tcPr>
            <w:tcW w:w="5025" w:type="dxa"/>
            <w:shd w:val="clear" w:color="auto" w:fill="auto"/>
            <w:vAlign w:val="center"/>
          </w:tcPr>
          <w:p w14:paraId="5E98701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功能特点：</w:t>
            </w:r>
          </w:p>
          <w:p w14:paraId="1133E05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1.真分集无线接收主机，金属外壳，耐腐蚀抗干扰；</w:t>
            </w:r>
          </w:p>
          <w:p w14:paraId="1BABFD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2.真分集接收主机，采用芯片分集+天线分集设计，有效减少接收盲点，有效提高话筒无线传输范围及范围内的信号稳定；</w:t>
            </w:r>
          </w:p>
          <w:p w14:paraId="2CFC82E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3.采用独有的ID码导频技术，彻底解决同频、串频现象，有效阻隔使用环境中信号干扰；</w:t>
            </w:r>
          </w:p>
          <w:p w14:paraId="6754452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4.主机搭配麦克风实现多场合的使用场所；</w:t>
            </w:r>
          </w:p>
          <w:p w14:paraId="6664C5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5.接收机采用全金属机身，标准1U高度，配置挂耳可安装于标准机柜；</w:t>
            </w:r>
          </w:p>
          <w:p w14:paraId="3F0EEB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6.手持麦克风采用全金属外壳，稳固耐用；</w:t>
            </w:r>
          </w:p>
          <w:p w14:paraId="55BD897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7.接收机采用双通道UHF无线通信，每个通道500个频点可选，可切换频点总数500个；</w:t>
            </w:r>
          </w:p>
          <w:p w14:paraId="072EBB8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8.可通过麦克风拨码开关切换麦克风工作频率，满足不同场景需求；</w:t>
            </w:r>
          </w:p>
          <w:p w14:paraId="3B8D6B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9.采用OLED显示屏，内置调节菜单功能；</w:t>
            </w:r>
          </w:p>
          <w:p w14:paraId="175B16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10.主机、麦克风均配备液晶屏幕，可实时反馈系统工作状态，可显示电池电量、信号强度、工作频率；</w:t>
            </w:r>
          </w:p>
          <w:p w14:paraId="56EB55D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11.内设自动扫频功能，可轻松选出干净频点；</w:t>
            </w:r>
          </w:p>
          <w:p w14:paraId="3C890F7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12.标配：主机*1+手持麦克风*2；</w:t>
            </w:r>
          </w:p>
          <w:p w14:paraId="60F0883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13.单机型建议叠机数量5-6套；</w:t>
            </w:r>
          </w:p>
          <w:p w14:paraId="42E53F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p>
          <w:p w14:paraId="7EE3E79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技术参数：</w:t>
            </w:r>
          </w:p>
          <w:p w14:paraId="5E51609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1.频率范围：640-690MHz(±0.1MHz)；</w:t>
            </w:r>
          </w:p>
          <w:p w14:paraId="2E5060A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2.可调信道数：500*2；</w:t>
            </w:r>
          </w:p>
          <w:p w14:paraId="7292C28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3.预设群组数：20组，每组预设25个频率；</w:t>
            </w:r>
          </w:p>
          <w:p w14:paraId="2212B6D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4.工作有效距离：150米（空旷距离）；</w:t>
            </w:r>
          </w:p>
          <w:p w14:paraId="512825A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5.电池寿命:不小于8小时；</w:t>
            </w:r>
          </w:p>
          <w:p w14:paraId="1F295D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6.天线带9V供电，可直接连接天线叶子；</w:t>
            </w:r>
          </w:p>
          <w:p w14:paraId="412C97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7.动态范围：90dB；</w:t>
            </w:r>
          </w:p>
          <w:p w14:paraId="53A4B13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8.失真度：&lt;0.5%；</w:t>
            </w:r>
          </w:p>
          <w:p w14:paraId="002EB96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9.频率响应：30-20KHz/±2dB；</w:t>
            </w:r>
          </w:p>
          <w:p w14:paraId="1EEE6E9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10.信噪比：90dB；</w:t>
            </w:r>
          </w:p>
          <w:p w14:paraId="61FA8D0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11.接收灵敏度：-95dBm；</w:t>
            </w:r>
          </w:p>
          <w:p w14:paraId="64AC5F8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12.电源供应：DC12V-18V 1A；</w:t>
            </w:r>
          </w:p>
          <w:p w14:paraId="3D7AE9C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13.音频输出接口3个：1*6.3mm混合输出，2*XLR通道平衡输出；</w:t>
            </w:r>
          </w:p>
          <w:p w14:paraId="126C78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14.主机尺寸（长*宽*高）：420.4x209x45mm</w:t>
            </w:r>
          </w:p>
          <w:p w14:paraId="6318A4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sz w:val="24"/>
                <w:szCs w:val="24"/>
                <w:highlight w:val="none"/>
                <w:u w:val="none"/>
              </w:rPr>
              <w:t>15.主机重量：1931.2g</w:t>
            </w:r>
          </w:p>
        </w:tc>
        <w:tc>
          <w:tcPr>
            <w:tcW w:w="956" w:type="dxa"/>
            <w:vAlign w:val="center"/>
          </w:tcPr>
          <w:p w14:paraId="6A329BE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1250.00</w:t>
            </w:r>
          </w:p>
        </w:tc>
        <w:tc>
          <w:tcPr>
            <w:tcW w:w="1096" w:type="dxa"/>
            <w:shd w:val="clear" w:color="auto" w:fill="auto"/>
            <w:vAlign w:val="center"/>
          </w:tcPr>
          <w:p w14:paraId="5748937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2500.00</w:t>
            </w:r>
          </w:p>
        </w:tc>
      </w:tr>
      <w:tr w14:paraId="5D61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7AE76C9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p>
        </w:tc>
        <w:tc>
          <w:tcPr>
            <w:tcW w:w="1171" w:type="dxa"/>
            <w:shd w:val="clear" w:color="auto" w:fill="auto"/>
            <w:vAlign w:val="center"/>
          </w:tcPr>
          <w:p w14:paraId="57FA71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数字红外无线麦克风</w:t>
            </w:r>
          </w:p>
        </w:tc>
        <w:tc>
          <w:tcPr>
            <w:tcW w:w="507" w:type="dxa"/>
            <w:shd w:val="clear" w:color="auto" w:fill="auto"/>
            <w:vAlign w:val="center"/>
          </w:tcPr>
          <w:p w14:paraId="418FB8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支</w:t>
            </w:r>
          </w:p>
        </w:tc>
        <w:tc>
          <w:tcPr>
            <w:tcW w:w="637" w:type="dxa"/>
            <w:shd w:val="clear" w:color="auto" w:fill="auto"/>
            <w:vAlign w:val="center"/>
          </w:tcPr>
          <w:p w14:paraId="125282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w:t>
            </w:r>
          </w:p>
        </w:tc>
        <w:tc>
          <w:tcPr>
            <w:tcW w:w="5025" w:type="dxa"/>
            <w:shd w:val="clear" w:color="auto" w:fill="auto"/>
            <w:vAlign w:val="center"/>
          </w:tcPr>
          <w:p w14:paraId="6B8F284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1.发射功率：30mW</w:t>
            </w:r>
          </w:p>
          <w:p w14:paraId="746E184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2.调制方式：FM</w:t>
            </w:r>
          </w:p>
          <w:p w14:paraId="3145A29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3.最大调制度：40KHz</w:t>
            </w:r>
          </w:p>
          <w:p w14:paraId="2433BA8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4.高次谐波：&lt;-60dB</w:t>
            </w:r>
          </w:p>
          <w:p w14:paraId="22696C6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5.供电电压：1.5V AA电池2节</w:t>
            </w:r>
          </w:p>
          <w:p w14:paraId="48B60E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6.持续使用时间：&gt;8小时</w:t>
            </w:r>
          </w:p>
          <w:p w14:paraId="1DC64A4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7.手持尺寸：251x55.5mm</w:t>
            </w:r>
          </w:p>
          <w:p w14:paraId="3712CB3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rPr>
              <w:t>8.手持重量：336.0g</w:t>
            </w:r>
          </w:p>
        </w:tc>
        <w:tc>
          <w:tcPr>
            <w:tcW w:w="956" w:type="dxa"/>
            <w:vAlign w:val="center"/>
          </w:tcPr>
          <w:p w14:paraId="533EEEE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900.00</w:t>
            </w:r>
          </w:p>
        </w:tc>
        <w:tc>
          <w:tcPr>
            <w:tcW w:w="1096" w:type="dxa"/>
            <w:shd w:val="clear" w:color="auto" w:fill="auto"/>
            <w:vAlign w:val="center"/>
          </w:tcPr>
          <w:p w14:paraId="528E637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1800.00</w:t>
            </w:r>
          </w:p>
        </w:tc>
      </w:tr>
      <w:tr w14:paraId="78C3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40A82A9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w:t>
            </w:r>
          </w:p>
        </w:tc>
        <w:tc>
          <w:tcPr>
            <w:tcW w:w="1171" w:type="dxa"/>
            <w:shd w:val="clear" w:color="auto" w:fill="auto"/>
            <w:vAlign w:val="center"/>
          </w:tcPr>
          <w:p w14:paraId="43C5CE6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有线麦克风</w:t>
            </w:r>
          </w:p>
        </w:tc>
        <w:tc>
          <w:tcPr>
            <w:tcW w:w="507" w:type="dxa"/>
            <w:shd w:val="clear" w:color="auto" w:fill="auto"/>
            <w:vAlign w:val="center"/>
          </w:tcPr>
          <w:p w14:paraId="365396D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只</w:t>
            </w:r>
          </w:p>
        </w:tc>
        <w:tc>
          <w:tcPr>
            <w:tcW w:w="637" w:type="dxa"/>
            <w:shd w:val="clear" w:color="auto" w:fill="auto"/>
            <w:vAlign w:val="center"/>
          </w:tcPr>
          <w:p w14:paraId="4735EB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shd w:val="clear" w:color="auto" w:fill="auto"/>
            <w:vAlign w:val="center"/>
          </w:tcPr>
          <w:p w14:paraId="6DD2A1B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1.支持UHF,U_L,IR,PPT四种对频方式，针对不同的应用场景优选对频方式；</w:t>
            </w:r>
          </w:p>
          <w:p w14:paraId="5CB2F5F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2.支持2个充电位，可同时对笔形话筒和领夹话筒同时充电，充电完毕自动断电保护；</w:t>
            </w:r>
          </w:p>
          <w:p w14:paraId="31D8376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3.支持激光笔教学鞭，≥4段EQ设置，≥4种限幅器，≥7段对频调节，≥20档音量调节，PPT翻页功能；</w:t>
            </w:r>
          </w:p>
          <w:p w14:paraId="566634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4.充电管理底座支持IC卡感应上锁功能，有效收纳管理放置话筒充电和学生领用遗失；</w:t>
            </w:r>
          </w:p>
          <w:p w14:paraId="44A4A20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color w:val="auto"/>
                <w:sz w:val="24"/>
                <w:szCs w:val="24"/>
                <w:highlight w:val="none"/>
              </w:rPr>
              <w:t>5.充电管理底座支持网线与音频一体机连接和中控受控。</w:t>
            </w:r>
          </w:p>
        </w:tc>
        <w:tc>
          <w:tcPr>
            <w:tcW w:w="956" w:type="dxa"/>
            <w:vAlign w:val="center"/>
          </w:tcPr>
          <w:p w14:paraId="0FADB70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1200.00</w:t>
            </w:r>
          </w:p>
        </w:tc>
        <w:tc>
          <w:tcPr>
            <w:tcW w:w="1096" w:type="dxa"/>
            <w:shd w:val="clear" w:color="auto" w:fill="auto"/>
            <w:vAlign w:val="center"/>
          </w:tcPr>
          <w:p w14:paraId="67AA246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1200.00</w:t>
            </w:r>
          </w:p>
        </w:tc>
      </w:tr>
      <w:tr w14:paraId="75D2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63879A1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1171" w:type="dxa"/>
            <w:shd w:val="clear" w:color="auto" w:fill="auto"/>
            <w:vAlign w:val="center"/>
          </w:tcPr>
          <w:p w14:paraId="3A7739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线阵列音柱</w:t>
            </w:r>
          </w:p>
        </w:tc>
        <w:tc>
          <w:tcPr>
            <w:tcW w:w="507" w:type="dxa"/>
            <w:shd w:val="clear" w:color="auto" w:fill="auto"/>
            <w:vAlign w:val="center"/>
          </w:tcPr>
          <w:p w14:paraId="28F0272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只</w:t>
            </w:r>
          </w:p>
        </w:tc>
        <w:tc>
          <w:tcPr>
            <w:tcW w:w="637" w:type="dxa"/>
            <w:shd w:val="clear" w:color="auto" w:fill="auto"/>
            <w:vAlign w:val="center"/>
          </w:tcPr>
          <w:p w14:paraId="5C71879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w:t>
            </w:r>
          </w:p>
        </w:tc>
        <w:tc>
          <w:tcPr>
            <w:tcW w:w="5025" w:type="dxa"/>
            <w:shd w:val="clear" w:color="auto" w:fill="auto"/>
            <w:vAlign w:val="center"/>
          </w:tcPr>
          <w:p w14:paraId="0432C5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技术参数：</w:t>
            </w:r>
          </w:p>
          <w:p w14:paraId="45AEA2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1.功    率：200W</w:t>
            </w:r>
          </w:p>
          <w:p w14:paraId="68BA170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2.阻    抗：8Ω</w:t>
            </w:r>
          </w:p>
          <w:p w14:paraId="4ADCF7A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3.输入接口：凤凰端+欧姆头</w:t>
            </w:r>
          </w:p>
          <w:p w14:paraId="0CD8025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4.喇叭单元：3寸全频*8 </w:t>
            </w:r>
          </w:p>
          <w:p w14:paraId="3B84490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5.灵 敏 度：95dB</w:t>
            </w:r>
          </w:p>
          <w:p w14:paraId="4921AEF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6.频率响应：120-20kHz</w:t>
            </w:r>
          </w:p>
          <w:p w14:paraId="3A2D1D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7.最大声压级：114dB</w:t>
            </w:r>
          </w:p>
          <w:p w14:paraId="608E51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8.覆盖角度：140°(H)×20°(V)</w:t>
            </w:r>
          </w:p>
          <w:p w14:paraId="4DE19C6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9.材    质：铝合金外壳+金属网罩 </w:t>
            </w:r>
          </w:p>
          <w:p w14:paraId="5152E38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10.颜   色：黑；</w:t>
            </w:r>
          </w:p>
          <w:p w14:paraId="065408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11.产品规格：803*99*106mm</w:t>
            </w:r>
          </w:p>
          <w:p w14:paraId="4547BC5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color w:val="auto"/>
                <w:sz w:val="24"/>
                <w:szCs w:val="24"/>
                <w:highlight w:val="none"/>
              </w:rPr>
              <w:t>12.重   量：7.2KG</w:t>
            </w:r>
          </w:p>
        </w:tc>
        <w:tc>
          <w:tcPr>
            <w:tcW w:w="956" w:type="dxa"/>
            <w:vAlign w:val="center"/>
          </w:tcPr>
          <w:p w14:paraId="7BD77B5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1300.00</w:t>
            </w:r>
          </w:p>
        </w:tc>
        <w:tc>
          <w:tcPr>
            <w:tcW w:w="1096" w:type="dxa"/>
            <w:shd w:val="clear" w:color="auto" w:fill="auto"/>
            <w:vAlign w:val="center"/>
          </w:tcPr>
          <w:p w14:paraId="3BB809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2600.00</w:t>
            </w:r>
          </w:p>
        </w:tc>
      </w:tr>
      <w:tr w14:paraId="5965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5B54F5A3">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1171" w:type="dxa"/>
            <w:shd w:val="clear" w:color="auto" w:fill="auto"/>
            <w:vAlign w:val="center"/>
          </w:tcPr>
          <w:p w14:paraId="73E8D83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sz w:val="24"/>
                <w:szCs w:val="24"/>
                <w:highlight w:val="none"/>
                <w:lang w:val="en-US" w:eastAsia="zh-CN"/>
              </w:rPr>
              <w:t>知识</w:t>
            </w:r>
            <w:r>
              <w:rPr>
                <w:rFonts w:hint="eastAsia" w:ascii="宋体" w:hAnsi="宋体" w:eastAsia="宋体" w:cs="宋体"/>
                <w:color w:val="auto"/>
                <w:sz w:val="24"/>
                <w:szCs w:val="24"/>
                <w:highlight w:val="none"/>
              </w:rPr>
              <w:t>图谱魔镜墙系统</w:t>
            </w:r>
          </w:p>
        </w:tc>
        <w:tc>
          <w:tcPr>
            <w:tcW w:w="507" w:type="dxa"/>
            <w:shd w:val="clear" w:color="auto" w:fill="auto"/>
            <w:vAlign w:val="center"/>
          </w:tcPr>
          <w:p w14:paraId="08059F7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637" w:type="dxa"/>
            <w:shd w:val="clear" w:color="auto" w:fill="auto"/>
            <w:vAlign w:val="center"/>
          </w:tcPr>
          <w:p w14:paraId="6160F03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shd w:val="clear" w:color="auto" w:fill="auto"/>
            <w:vAlign w:val="center"/>
          </w:tcPr>
          <w:p w14:paraId="5680B01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（1）55寸超窄边液晶拼接单元：显示屏 55inches LED 背光  （防爆玻璃特制款）亮度 700 cd/m2，对比度 1400:1，1.7MM 拼缝，点距 0.63 (H)×0.63 (V)，分辨率 1920×1080。</w:t>
            </w:r>
          </w:p>
          <w:p w14:paraId="7346E9A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（2）视频拼接处理器：超高清的分辨率最高支持 8Kx2K@30Hz。，最大支持 1 进 4 出，可任意组合 4 屏以内的所有拼接模式： 横屏/竖屏/奇数屏拼接，且支持大规模并联使用。，采用宽电压（100~240V）集中供电，低功耗节能环保设计， 内部采用传导散热， 不需要任何外部散热措施， 可靠性极高。，支持有线网络控制和无线网络控制。，采用 28nm 工艺高端可编程 FPGA 芯片， 全硬件实时处理架构，超快处理速度不延迟。，工业级设计， 加厚 6 层 PCB 板材， 16KV 超强防静电能力，超强的产品稳定性。，可根据用户需求进行定制任意拼接需求。</w:t>
            </w:r>
          </w:p>
          <w:p w14:paraId="023B278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（3）多媒体主机：I7cpu 华硕主板   16g 内存   250G 固态硬盘 ，高端专业显卡</w:t>
            </w:r>
          </w:p>
          <w:p w14:paraId="1116677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u w:val="none"/>
              </w:rPr>
              <w:t>（4）专业知识图谱展示交互软件：兼容VR课程教学内容和展馆数字人管家智能管理系统。</w:t>
            </w:r>
          </w:p>
        </w:tc>
        <w:tc>
          <w:tcPr>
            <w:tcW w:w="956" w:type="dxa"/>
            <w:vAlign w:val="center"/>
          </w:tcPr>
          <w:p w14:paraId="165B338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49800.00</w:t>
            </w:r>
          </w:p>
        </w:tc>
        <w:tc>
          <w:tcPr>
            <w:tcW w:w="1096" w:type="dxa"/>
            <w:shd w:val="clear" w:color="auto" w:fill="auto"/>
            <w:vAlign w:val="center"/>
          </w:tcPr>
          <w:p w14:paraId="6BE0BB7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sz w:val="24"/>
                <w:szCs w:val="24"/>
                <w:highlight w:val="none"/>
                <w:u w:val="none"/>
                <w:lang w:val="en-US" w:eastAsia="zh-CN"/>
              </w:rPr>
              <w:t>49800.00</w:t>
            </w:r>
          </w:p>
        </w:tc>
      </w:tr>
      <w:tr w14:paraId="1F5E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243D0DF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1171" w:type="dxa"/>
            <w:shd w:val="clear" w:color="auto" w:fill="auto"/>
            <w:vAlign w:val="center"/>
          </w:tcPr>
          <w:p w14:paraId="2147E7E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展馆数字人管家智能管理系统</w:t>
            </w:r>
          </w:p>
        </w:tc>
        <w:tc>
          <w:tcPr>
            <w:tcW w:w="507" w:type="dxa"/>
            <w:shd w:val="clear" w:color="auto" w:fill="auto"/>
            <w:vAlign w:val="center"/>
          </w:tcPr>
          <w:p w14:paraId="444908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637" w:type="dxa"/>
            <w:shd w:val="clear" w:color="auto" w:fill="auto"/>
            <w:vAlign w:val="center"/>
          </w:tcPr>
          <w:p w14:paraId="4EADB09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shd w:val="clear" w:color="auto" w:fill="auto"/>
            <w:vAlign w:val="center"/>
          </w:tcPr>
          <w:p w14:paraId="282220B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 xml:space="preserve">基于大语言模型的虚拟交互角色基础讲解交互功能 （语音、图文、影音视频等各种形式的泛话题沟通交流）； </w:t>
            </w:r>
          </w:p>
          <w:p w14:paraId="136047E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支持离线使用，可建立本地版专属问答库；</w:t>
            </w:r>
          </w:p>
          <w:p w14:paraId="4B5560B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 xml:space="preserve">支持图文配置，实现交互难易度的调整； </w:t>
            </w:r>
          </w:p>
          <w:p w14:paraId="4A0F9CD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 xml:space="preserve">支持接入中控控制管理，可自定义相关指令，实现对弱电设备控制； </w:t>
            </w:r>
          </w:p>
          <w:p w14:paraId="2F7CC6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支持语音控制多媒体互动软件实现交互动作；</w:t>
            </w:r>
          </w:p>
          <w:p w14:paraId="2F01604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支持接入外部物理设备触发唤醒；</w:t>
            </w:r>
          </w:p>
          <w:p w14:paraId="72287A4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可最小化运行，不影响其它应用使用，唤醒时角标运行；</w:t>
            </w:r>
          </w:p>
          <w:p w14:paraId="0CCECB9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支持后台账户登录，可设置账户密码，前端兼容Windows及安卓系统运行；</w:t>
            </w:r>
          </w:p>
          <w:p w14:paraId="0C9B7A9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u w:val="none"/>
              </w:rPr>
              <w:t>支持定制开发及二次开发要求：可满足对UI界面风格元素、数字人形象等更换，可根据需</w:t>
            </w:r>
            <w:r>
              <w:rPr>
                <w:rFonts w:hint="eastAsia" w:ascii="宋体" w:hAnsi="宋体" w:eastAsia="宋体" w:cs="宋体"/>
                <w:i w:val="0"/>
                <w:iCs w:val="0"/>
                <w:color w:val="auto"/>
                <w:sz w:val="24"/>
                <w:szCs w:val="24"/>
                <w:highlight w:val="none"/>
                <w:u w:val="none"/>
              </w:rPr>
              <w:t>求进行定制。</w:t>
            </w:r>
          </w:p>
        </w:tc>
        <w:tc>
          <w:tcPr>
            <w:tcW w:w="956" w:type="dxa"/>
            <w:vAlign w:val="center"/>
          </w:tcPr>
          <w:p w14:paraId="545756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49800.00</w:t>
            </w:r>
          </w:p>
        </w:tc>
        <w:tc>
          <w:tcPr>
            <w:tcW w:w="1096" w:type="dxa"/>
            <w:shd w:val="clear" w:color="auto" w:fill="auto"/>
            <w:vAlign w:val="center"/>
          </w:tcPr>
          <w:p w14:paraId="758B858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49800.00</w:t>
            </w:r>
          </w:p>
        </w:tc>
      </w:tr>
      <w:tr w14:paraId="529E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015CC36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1171" w:type="dxa"/>
            <w:shd w:val="clear" w:color="auto" w:fill="auto"/>
            <w:vAlign w:val="center"/>
          </w:tcPr>
          <w:p w14:paraId="56E3E09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矿洞AR虚拟现实交互系统</w:t>
            </w:r>
          </w:p>
        </w:tc>
        <w:tc>
          <w:tcPr>
            <w:tcW w:w="507" w:type="dxa"/>
            <w:shd w:val="clear" w:color="auto" w:fill="auto"/>
            <w:vAlign w:val="center"/>
          </w:tcPr>
          <w:p w14:paraId="4797D5A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637" w:type="dxa"/>
            <w:shd w:val="clear" w:color="auto" w:fill="auto"/>
            <w:vAlign w:val="center"/>
          </w:tcPr>
          <w:p w14:paraId="3242507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p>
        </w:tc>
        <w:tc>
          <w:tcPr>
            <w:tcW w:w="5025" w:type="dxa"/>
            <w:shd w:val="clear" w:color="auto" w:fill="auto"/>
            <w:vAlign w:val="center"/>
          </w:tcPr>
          <w:p w14:paraId="61B24CF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rPr>
              <w:t>全息 AR 眼镜一体机：1.1 人类感知，手动追踪双手全关节模型，直接操作，眼动追踪实时追踪，语音本地语音指令;联网后支持自然语言指令，环境感知，6DOF 追踪世界范围的位置追踪 AR 虚拟现 1.7 空间映射实时环境网格数据 6. 实交互系 1.8 混合现实捕获全息影像和物理环境混合后的照片和视频 统 1.9 计算和连接，850 计算平台，HPU 第 2 代定制全息处理单元，WIFI802.11 AC 2X2，蓝牙 5.0，USBUSBC 型。</w:t>
            </w:r>
          </w:p>
          <w:p w14:paraId="3B4DB7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u w:val="none"/>
              </w:rPr>
              <w:t>交互系统：矿洞展示的矿石标本、地质现象和装备工具，定制AR导览和解说，相关内容不少于15个。并可以根据后续需求通过资源编辑软件扩展内容。</w:t>
            </w:r>
          </w:p>
        </w:tc>
        <w:tc>
          <w:tcPr>
            <w:tcW w:w="956" w:type="dxa"/>
            <w:vAlign w:val="center"/>
          </w:tcPr>
          <w:p w14:paraId="48C3739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49800.00</w:t>
            </w:r>
          </w:p>
        </w:tc>
        <w:tc>
          <w:tcPr>
            <w:tcW w:w="1096" w:type="dxa"/>
            <w:shd w:val="clear" w:color="auto" w:fill="auto"/>
            <w:vAlign w:val="center"/>
          </w:tcPr>
          <w:p w14:paraId="40D889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49800.00</w:t>
            </w:r>
          </w:p>
        </w:tc>
      </w:tr>
      <w:tr w14:paraId="706C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954" w:type="dxa"/>
            <w:gridSpan w:val="7"/>
            <w:vAlign w:val="center"/>
          </w:tcPr>
          <w:p w14:paraId="066F21B2">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b/>
                <w:bCs/>
                <w:color w:val="auto"/>
                <w:sz w:val="24"/>
                <w:szCs w:val="24"/>
                <w:highlight w:val="none"/>
                <w:lang w:val="en-US"/>
              </w:rPr>
            </w:pPr>
            <w:r>
              <w:rPr>
                <w:rFonts w:hint="eastAsia" w:ascii="宋体" w:hAnsi="宋体" w:eastAsia="宋体" w:cs="宋体"/>
                <w:b/>
                <w:bCs/>
                <w:i w:val="0"/>
                <w:iCs w:val="0"/>
                <w:color w:val="auto"/>
                <w:sz w:val="24"/>
                <w:szCs w:val="24"/>
                <w:highlight w:val="none"/>
                <w:u w:val="none"/>
                <w:lang w:val="en-US" w:eastAsia="zh-CN"/>
              </w:rPr>
              <w:t>三、装修工程部分</w:t>
            </w:r>
            <w:r>
              <w:rPr>
                <w:rFonts w:hint="eastAsia" w:ascii="宋体" w:hAnsi="宋体" w:cs="宋体"/>
                <w:b/>
                <w:bCs/>
                <w:i w:val="0"/>
                <w:iCs w:val="0"/>
                <w:color w:val="auto"/>
                <w:sz w:val="24"/>
                <w:szCs w:val="24"/>
                <w:highlight w:val="none"/>
                <w:u w:val="none"/>
                <w:lang w:val="en-US" w:eastAsia="zh-CN"/>
              </w:rPr>
              <w:t>（分项上控价：404,521.24元</w:t>
            </w:r>
            <w:r>
              <w:rPr>
                <w:rFonts w:hint="eastAsia" w:ascii="宋体" w:hAnsi="宋体" w:cs="宋体"/>
                <w:b/>
                <w:bCs/>
                <w:i w:val="0"/>
                <w:iCs w:val="0"/>
                <w:color w:val="auto"/>
                <w:sz w:val="24"/>
                <w:szCs w:val="24"/>
                <w:highlight w:val="none"/>
                <w:u w:val="none"/>
                <w:lang w:val="en-US" w:eastAsia="zh-CN"/>
              </w:rPr>
              <w:t>）</w:t>
            </w:r>
          </w:p>
        </w:tc>
      </w:tr>
      <w:tr w14:paraId="4B57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Align w:val="center"/>
          </w:tcPr>
          <w:p w14:paraId="3BDD89E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p>
        </w:tc>
        <w:tc>
          <w:tcPr>
            <w:tcW w:w="1171" w:type="dxa"/>
            <w:vAlign w:val="center"/>
          </w:tcPr>
          <w:p w14:paraId="3D00B27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auto"/>
                <w:sz w:val="24"/>
                <w:szCs w:val="24"/>
                <w:highlight w:val="none"/>
                <w:u w:val="none"/>
                <w:lang w:val="en-US" w:eastAsia="zh-CN"/>
              </w:rPr>
              <w:t>装修工程</w:t>
            </w:r>
          </w:p>
        </w:tc>
        <w:tc>
          <w:tcPr>
            <w:tcW w:w="507" w:type="dxa"/>
            <w:vAlign w:val="center"/>
          </w:tcPr>
          <w:p w14:paraId="5ECB84F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w:t>
            </w:r>
          </w:p>
        </w:tc>
        <w:tc>
          <w:tcPr>
            <w:tcW w:w="637" w:type="dxa"/>
            <w:vAlign w:val="center"/>
          </w:tcPr>
          <w:p w14:paraId="40B94D6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5025" w:type="dxa"/>
            <w:vAlign w:val="center"/>
          </w:tcPr>
          <w:p w14:paraId="1FDC29F0">
            <w:pPr>
              <w:pStyle w:val="10"/>
              <w:keepNext w:val="0"/>
              <w:keepLines w:val="0"/>
              <w:pageBreakBefore w:val="0"/>
              <w:numPr>
                <w:ilvl w:val="0"/>
                <w:numId w:val="0"/>
              </w:numPr>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1.详见装修工程需求附表</w:t>
            </w:r>
          </w:p>
          <w:p w14:paraId="0CE13AED">
            <w:pPr>
              <w:pStyle w:val="10"/>
              <w:keepNext w:val="0"/>
              <w:keepLines w:val="0"/>
              <w:pageBreakBefore w:val="0"/>
              <w:numPr>
                <w:ilvl w:val="0"/>
                <w:numId w:val="0"/>
              </w:numPr>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供应商需针对本项目情况提供装修方案。</w:t>
            </w:r>
          </w:p>
        </w:tc>
        <w:tc>
          <w:tcPr>
            <w:tcW w:w="956" w:type="dxa"/>
            <w:vAlign w:val="center"/>
          </w:tcPr>
          <w:p w14:paraId="5C419FC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404521.24</w:t>
            </w:r>
          </w:p>
        </w:tc>
        <w:tc>
          <w:tcPr>
            <w:tcW w:w="1096" w:type="dxa"/>
            <w:shd w:val="clear" w:color="auto" w:fill="auto"/>
            <w:vAlign w:val="center"/>
          </w:tcPr>
          <w:p w14:paraId="5C9B42A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404521.24</w:t>
            </w:r>
          </w:p>
        </w:tc>
      </w:tr>
      <w:tr w14:paraId="28E7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954" w:type="dxa"/>
            <w:gridSpan w:val="7"/>
            <w:vAlign w:val="center"/>
          </w:tcPr>
          <w:p w14:paraId="6C0D1126">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商务要求表：</w:t>
            </w:r>
          </w:p>
        </w:tc>
      </w:tr>
      <w:tr w14:paraId="7891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40" w:type="dxa"/>
            <w:gridSpan w:val="3"/>
            <w:vAlign w:val="center"/>
          </w:tcPr>
          <w:p w14:paraId="6447105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b w:val="0"/>
                <w:bCs w:val="0"/>
                <w:color w:val="auto"/>
                <w:kern w:val="1"/>
                <w:sz w:val="24"/>
                <w:szCs w:val="24"/>
                <w:highlight w:val="none"/>
              </w:rPr>
            </w:pPr>
            <w:r>
              <w:rPr>
                <w:rFonts w:hint="eastAsia" w:ascii="宋体" w:hAnsi="宋体" w:eastAsia="宋体" w:cs="宋体"/>
                <w:b w:val="0"/>
                <w:bCs w:val="0"/>
                <w:color w:val="auto"/>
                <w:sz w:val="24"/>
                <w:szCs w:val="24"/>
                <w:highlight w:val="none"/>
              </w:rPr>
              <w:t>合同签订时间</w:t>
            </w:r>
          </w:p>
        </w:tc>
        <w:tc>
          <w:tcPr>
            <w:tcW w:w="7714" w:type="dxa"/>
            <w:gridSpan w:val="4"/>
            <w:vAlign w:val="center"/>
          </w:tcPr>
          <w:p w14:paraId="5D1C9AA2">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自成交通知书发出之日起25日内。</w:t>
            </w:r>
          </w:p>
        </w:tc>
      </w:tr>
      <w:tr w14:paraId="3F6A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40" w:type="dxa"/>
            <w:gridSpan w:val="3"/>
            <w:vAlign w:val="center"/>
          </w:tcPr>
          <w:p w14:paraId="4CDD319B">
            <w:pPr>
              <w:keepNext w:val="0"/>
              <w:keepLines w:val="0"/>
              <w:pageBreakBefore w:val="0"/>
              <w:kinsoku/>
              <w:wordWrap/>
              <w:overflowPunct/>
              <w:topLinePunct w:val="0"/>
              <w:autoSpaceDE/>
              <w:autoSpaceDN/>
              <w:bidi w:val="0"/>
              <w:adjustRightInd/>
              <w:snapToGrid/>
              <w:spacing w:line="400" w:lineRule="exact"/>
              <w:jc w:val="center"/>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现场勘察</w:t>
            </w:r>
          </w:p>
        </w:tc>
        <w:tc>
          <w:tcPr>
            <w:tcW w:w="7714" w:type="dxa"/>
            <w:gridSpan w:val="4"/>
            <w:vAlign w:val="center"/>
          </w:tcPr>
          <w:p w14:paraId="176B31DC">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便于供应商对本项目的需求有准确的了解，本项目提供现场勘查，供应商可自愿前往实施现场进行踏勘，以充分了解项目情况。供应商不进行现场踏勘的视为已了解该项目的所有情况。因供应商踏勘有误或未进行踏勘而造成项目无法按采购人要求实施的将被拒绝验收，由此引起的一切后果，均由供应商自行承担。踏勘时间：自公告发布三个工作日内 (逾期不候）踏勘地点：中国－东盟 南宁空港经济区空港大道东29号联系人及联系方式：</w:t>
            </w:r>
            <w:r>
              <w:rPr>
                <w:rFonts w:hint="eastAsia" w:ascii="宋体" w:hAnsi="宋体" w:cs="宋体"/>
                <w:color w:val="auto"/>
                <w:sz w:val="24"/>
                <w:szCs w:val="24"/>
                <w:highlight w:val="none"/>
                <w:lang w:val="en-US" w:eastAsia="zh-CN"/>
              </w:rPr>
              <w:t>包</w:t>
            </w:r>
            <w:r>
              <w:rPr>
                <w:rFonts w:hint="eastAsia" w:ascii="宋体" w:hAnsi="宋体" w:eastAsia="宋体" w:cs="宋体"/>
                <w:color w:val="auto"/>
                <w:sz w:val="24"/>
                <w:szCs w:val="24"/>
                <w:highlight w:val="none"/>
              </w:rPr>
              <w:t>老师</w:t>
            </w:r>
            <w:r>
              <w:rPr>
                <w:rFonts w:hint="eastAsia" w:ascii="宋体" w:hAnsi="宋体" w:eastAsia="宋体" w:cs="宋体"/>
                <w:color w:val="auto"/>
                <w:sz w:val="24"/>
                <w:szCs w:val="24"/>
                <w:highlight w:val="none"/>
              </w:rPr>
              <w:t xml:space="preserve"> ，联系电话：</w:t>
            </w:r>
            <w:r>
              <w:rPr>
                <w:rFonts w:hint="eastAsia" w:ascii="宋体" w:hAnsi="宋体" w:eastAsia="宋体" w:cs="宋体"/>
                <w:color w:val="auto"/>
                <w:sz w:val="24"/>
                <w:szCs w:val="24"/>
                <w:highlight w:val="none"/>
              </w:rPr>
              <w:t>18277151183</w:t>
            </w:r>
          </w:p>
        </w:tc>
      </w:tr>
      <w:tr w14:paraId="5B9C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40" w:type="dxa"/>
            <w:gridSpan w:val="3"/>
            <w:vAlign w:val="center"/>
          </w:tcPr>
          <w:p w14:paraId="0D3E74C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val="0"/>
                <w:bCs w:val="0"/>
                <w:color w:val="auto"/>
                <w:kern w:val="1"/>
                <w:sz w:val="24"/>
                <w:szCs w:val="24"/>
                <w:highlight w:val="none"/>
              </w:rPr>
            </w:pPr>
            <w:r>
              <w:rPr>
                <w:rFonts w:hint="eastAsia" w:ascii="宋体" w:hAnsi="宋体" w:eastAsia="宋体" w:cs="宋体"/>
                <w:b w:val="0"/>
                <w:bCs w:val="0"/>
                <w:color w:val="auto"/>
                <w:sz w:val="24"/>
                <w:szCs w:val="24"/>
                <w:highlight w:val="none"/>
              </w:rPr>
              <w:t>交货时间及地点</w:t>
            </w:r>
          </w:p>
        </w:tc>
        <w:tc>
          <w:tcPr>
            <w:tcW w:w="7714" w:type="dxa"/>
            <w:gridSpan w:val="4"/>
            <w:vAlign w:val="center"/>
          </w:tcPr>
          <w:p w14:paraId="4DF46584">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交货时间：自签订合同之日起</w:t>
            </w:r>
            <w:r>
              <w:rPr>
                <w:rFonts w:hint="eastAsia" w:ascii="宋体" w:hAnsi="宋体" w:cs="宋体"/>
                <w:color w:val="auto"/>
                <w:sz w:val="24"/>
                <w:szCs w:val="24"/>
                <w:highlight w:val="none"/>
                <w:lang w:val="en-US" w:eastAsia="zh-CN"/>
              </w:rPr>
              <w:t>45</w:t>
            </w:r>
            <w:r>
              <w:rPr>
                <w:rFonts w:hint="eastAsia" w:ascii="宋体" w:hAnsi="宋体" w:eastAsia="宋体" w:cs="宋体"/>
                <w:color w:val="auto"/>
                <w:sz w:val="24"/>
                <w:szCs w:val="24"/>
                <w:highlight w:val="none"/>
              </w:rPr>
              <w:t>日历日内到货安装调试完成并通过验收。</w:t>
            </w:r>
          </w:p>
          <w:p w14:paraId="1D4816E9">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交货地点：</w:t>
            </w:r>
            <w:r>
              <w:rPr>
                <w:rFonts w:hint="eastAsia" w:ascii="宋体" w:hAnsi="宋体" w:eastAsia="宋体" w:cs="宋体"/>
                <w:color w:val="auto"/>
                <w:sz w:val="24"/>
                <w:szCs w:val="24"/>
                <w:highlight w:val="none"/>
                <w:lang w:eastAsia="zh-CN"/>
              </w:rPr>
              <w:t>广西自然资源职业技术学院</w:t>
            </w:r>
            <w:r>
              <w:rPr>
                <w:rFonts w:hint="eastAsia" w:ascii="宋体" w:hAnsi="宋体" w:eastAsia="宋体" w:cs="宋体"/>
                <w:color w:val="auto"/>
                <w:sz w:val="24"/>
                <w:szCs w:val="24"/>
                <w:highlight w:val="none"/>
              </w:rPr>
              <w:t>采购人指定地点。</w:t>
            </w:r>
          </w:p>
        </w:tc>
      </w:tr>
      <w:tr w14:paraId="49FD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40" w:type="dxa"/>
            <w:gridSpan w:val="3"/>
            <w:vAlign w:val="center"/>
          </w:tcPr>
          <w:p w14:paraId="2750229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val="0"/>
                <w:bCs w:val="0"/>
                <w:color w:val="auto"/>
                <w:kern w:val="0"/>
                <w:sz w:val="24"/>
                <w:szCs w:val="24"/>
                <w:highlight w:val="none"/>
              </w:rPr>
              <w:t>货物验收</w:t>
            </w:r>
          </w:p>
        </w:tc>
        <w:tc>
          <w:tcPr>
            <w:tcW w:w="7714" w:type="dxa"/>
            <w:gridSpan w:val="4"/>
            <w:vAlign w:val="center"/>
          </w:tcPr>
          <w:p w14:paraId="17051322">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货物验收时由采购人对照采购文件的《技术参数及性能（配置）要求》进行全面核对检验，对所有要求出具的文件和材料的原件进行核查，如不符合采购文件要求或提供虚假承诺、虚假检测报告等虚假材料的，采购人有权拒绝验收并认定成交供应商违约，采购人有权单方解除合同，成交供应商承担所有责任和费用，采购人保留进一步追究责任的权利。</w:t>
            </w:r>
          </w:p>
          <w:p w14:paraId="38BBD06D">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2.货物经过双方检验认可后，签署验收报告。由成交供应商提供产品保修文件。</w:t>
            </w:r>
          </w:p>
          <w:p w14:paraId="1837B91C">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3.当满足以下条件时，采购人才向成交供应商签发货物验收报告：</w:t>
            </w:r>
          </w:p>
          <w:p w14:paraId="2CC51854">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（1）成交供应商已按照合同规定提供了全部产品及完整的技术资料。</w:t>
            </w:r>
          </w:p>
          <w:p w14:paraId="204307FD">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（2）货物各项参数完全符合《技术参数及性能（配置）要求》的要求，性能满足要求。</w:t>
            </w:r>
          </w:p>
          <w:p w14:paraId="46963499">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（3）成交供应商需负责安装、调试（测试），并完成采购人的使用操作培训。</w:t>
            </w:r>
          </w:p>
          <w:p w14:paraId="0B6CBA8F">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采购人预验收及履约验收过程中所产生的一切费用均由成交供应商承担，报价时应考虑相关费用。</w:t>
            </w:r>
          </w:p>
          <w:p w14:paraId="2DE83494">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5.成交产品不能涉及任何法律纠纷。</w:t>
            </w:r>
          </w:p>
        </w:tc>
      </w:tr>
      <w:tr w14:paraId="7B2D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40" w:type="dxa"/>
            <w:gridSpan w:val="3"/>
            <w:vAlign w:val="center"/>
          </w:tcPr>
          <w:p w14:paraId="210D38A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质量保证要求</w:t>
            </w:r>
          </w:p>
        </w:tc>
        <w:tc>
          <w:tcPr>
            <w:tcW w:w="7714" w:type="dxa"/>
            <w:gridSpan w:val="4"/>
          </w:tcPr>
          <w:p w14:paraId="4DF16E77">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1.按国家有关产品“三包”规定执行“三包”政策，质量保证期不少于1年（分项货物或配置有明确要求的按分项要求；生产厂家承诺的质量保证期更长的按生产厂家的承诺），从交货验收合格之日起计。</w:t>
            </w:r>
          </w:p>
          <w:p w14:paraId="26426B39">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在质量保证期内出现的</w:t>
            </w:r>
            <w:r>
              <w:rPr>
                <w:rFonts w:hint="eastAsia" w:ascii="宋体" w:hAnsi="宋体" w:eastAsia="宋体" w:cs="宋体"/>
                <w:color w:val="auto"/>
                <w:sz w:val="24"/>
                <w:szCs w:val="24"/>
                <w:highlight w:val="none"/>
              </w:rPr>
              <w:t>任何故障及损失，成交供应商负责维修、更换配件，并负责软件更新升级、系统维护和远程服务。</w:t>
            </w:r>
          </w:p>
          <w:p w14:paraId="357C110E">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3.质量保证期满后，终身维护，且以市场最优惠价格提供维修和备件更换、软件更新升级，且承诺为用户提供终身技术咨询服务。</w:t>
            </w:r>
          </w:p>
          <w:p w14:paraId="27D9FED2">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成交供应商应为质量保证期服务配备充足的技术人员、工具和备件并保证提供的联系方式畅通。成交供应商应在收到采购人通知后1小时内作出响应，如需成交供应商到合同货物现场，成交供应商应在收到采购人通知后3小时内到达，并在到达后24小时内解决合同货物的故障(重大故障除外)。如果成交供应商未在上述时间内作出响应,则采购人有权自行或委托他人解决相关问题或查找和解决合同货物的故障，成交供应商应承担由此发生的全部费用。</w:t>
            </w:r>
          </w:p>
          <w:p w14:paraId="6FFE2695">
            <w:pPr>
              <w:pStyle w:val="35"/>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5.成交供应商在质量保证期内应对设备进行定期巡检。</w:t>
            </w:r>
          </w:p>
        </w:tc>
      </w:tr>
      <w:tr w14:paraId="7CF6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40" w:type="dxa"/>
            <w:gridSpan w:val="3"/>
            <w:vAlign w:val="center"/>
          </w:tcPr>
          <w:p w14:paraId="14EBF23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售后服务要求</w:t>
            </w:r>
          </w:p>
        </w:tc>
        <w:tc>
          <w:tcPr>
            <w:tcW w:w="7714" w:type="dxa"/>
            <w:gridSpan w:val="4"/>
          </w:tcPr>
          <w:p w14:paraId="4AEB9B65">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1.负责送货上门、提供产品原厂工程师现场安装、安装调试服务、技术培训。</w:t>
            </w:r>
          </w:p>
          <w:p w14:paraId="4BB53D5E">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2.维修响应：售后服务要求7天×8小时工作制，成交供应商在接到用户维修电话后1小时内响应，3小时内到达现场处理，一般情况下24小时内恢复正常使用。若不能修复须有合理应对方案。</w:t>
            </w:r>
          </w:p>
          <w:p w14:paraId="03002A86">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3.质量保证期内因设备性能故障检修三次仍不能正常使用的，更换新设备。在超出质量保证期后，如产品发生故障，可派技术员上门服务；如需更换配件，配件均按市场价格供应。</w:t>
            </w:r>
          </w:p>
          <w:p w14:paraId="2257F2A2">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4.终身提供技术协助服务。</w:t>
            </w:r>
          </w:p>
          <w:p w14:paraId="1C2F9499">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5.提供原厂技术人员对采购人的操作技术培训和相关技术资料。</w:t>
            </w:r>
          </w:p>
        </w:tc>
      </w:tr>
      <w:tr w14:paraId="0FC1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40" w:type="dxa"/>
            <w:gridSpan w:val="3"/>
            <w:vAlign w:val="center"/>
          </w:tcPr>
          <w:p w14:paraId="09ACF50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履约保证金收取及退付</w:t>
            </w:r>
          </w:p>
        </w:tc>
        <w:tc>
          <w:tcPr>
            <w:tcW w:w="7714" w:type="dxa"/>
            <w:gridSpan w:val="4"/>
          </w:tcPr>
          <w:p w14:paraId="2D52CCB8">
            <w:pPr>
              <w:pStyle w:val="35"/>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1.履约保证金金额：履约保证金为合同金额的5%（成交供应商为中小微企业的，履约保证金为合同金额的2%。以响应文件中提交的中小企业声明函为依据）；</w:t>
            </w:r>
            <w:r>
              <w:rPr>
                <w:rFonts w:hint="eastAsia" w:ascii="宋体" w:hAnsi="宋体" w:eastAsia="宋体" w:cs="宋体"/>
                <w:bCs/>
                <w:color w:val="auto"/>
                <w:sz w:val="24"/>
                <w:szCs w:val="24"/>
                <w:highlight w:val="none"/>
              </w:rPr>
              <w:t>签订合同时交至指定账户</w:t>
            </w:r>
            <w:r>
              <w:rPr>
                <w:rFonts w:hint="eastAsia" w:ascii="宋体" w:hAnsi="宋体" w:eastAsia="宋体" w:cs="宋体"/>
                <w:b/>
                <w:color w:val="auto"/>
                <w:sz w:val="24"/>
                <w:szCs w:val="24"/>
                <w:highlight w:val="none"/>
              </w:rPr>
              <w:t>。</w:t>
            </w:r>
          </w:p>
          <w:p w14:paraId="75256EB2">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2.履约保证金递交方式：银行转账、保函等非现金方式。由成交供应商在签订合同时按规定的金额直接缴入以下采购人账户或将保函原件交给采购人。</w:t>
            </w:r>
          </w:p>
          <w:p w14:paraId="38149AC6">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履约保证金指定账户：采购人指定账户。</w:t>
            </w:r>
          </w:p>
          <w:p w14:paraId="3EE03455">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户名：广西自然资源职业技术学院</w:t>
            </w:r>
          </w:p>
          <w:p w14:paraId="040D4E32">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开户银行：中国建设银行股份有限公司南宁园湖北路支行</w:t>
            </w:r>
          </w:p>
          <w:p w14:paraId="3CE06DEE">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开户账号：45050160435300000429</w:t>
            </w:r>
            <w:r>
              <w:rPr>
                <w:rFonts w:hint="eastAsia" w:ascii="宋体" w:hAnsi="宋体" w:eastAsia="宋体" w:cs="宋体"/>
                <w:b/>
                <w:bCs/>
                <w:color w:val="auto"/>
                <w:sz w:val="24"/>
                <w:szCs w:val="24"/>
                <w:highlight w:val="none"/>
              </w:rPr>
              <w:t xml:space="preserve"> </w:t>
            </w:r>
          </w:p>
          <w:p w14:paraId="7C7541DE">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缴纳履约保证金注明：“项目名称+项目编号”履约保证金。</w:t>
            </w:r>
          </w:p>
          <w:p w14:paraId="4A10EBD9">
            <w:pPr>
              <w:tabs>
                <w:tab w:val="left" w:pos="420"/>
              </w:tabs>
              <w:spacing w:line="40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rPr>
              <w:t>3.</w:t>
            </w:r>
            <w:r>
              <w:rPr>
                <w:rFonts w:hint="eastAsia" w:ascii="宋体" w:hAnsi="宋体" w:cs="宋体"/>
                <w:color w:val="auto"/>
                <w:sz w:val="24"/>
                <w:highlight w:val="none"/>
              </w:rPr>
              <w:t>履约保证金退付方式、时间及条件：</w:t>
            </w:r>
            <w:r>
              <w:rPr>
                <w:rFonts w:hint="eastAsia" w:ascii="宋体" w:hAnsi="宋体" w:cs="宋体"/>
                <w:color w:val="auto"/>
                <w:sz w:val="24"/>
                <w:highlight w:val="none"/>
                <w:lang w:eastAsia="zh-CN"/>
              </w:rPr>
              <w:t>成交供应商如未能完全履行合同，其履约保证金将不予退还；若完全履行合同且货物验收合格，履约保证金自动转为质</w:t>
            </w:r>
            <w:r>
              <w:rPr>
                <w:rFonts w:hint="eastAsia" w:ascii="宋体" w:hAnsi="宋体" w:cs="宋体"/>
                <w:color w:val="auto"/>
                <w:sz w:val="24"/>
                <w:highlight w:val="none"/>
                <w:lang w:eastAsia="zh-CN"/>
              </w:rPr>
              <w:t>保</w:t>
            </w:r>
            <w:r>
              <w:rPr>
                <w:rFonts w:hint="eastAsia" w:ascii="宋体" w:hAnsi="宋体" w:cs="宋体"/>
                <w:color w:val="auto"/>
                <w:sz w:val="24"/>
                <w:highlight w:val="none"/>
                <w:lang w:eastAsia="zh-CN"/>
              </w:rPr>
              <w:t>金，供应商可于质保期满后</w:t>
            </w:r>
            <w:r>
              <w:rPr>
                <w:rFonts w:hint="eastAsia" w:ascii="宋体" w:hAnsi="宋体" w:cs="宋体"/>
                <w:color w:val="auto"/>
                <w:sz w:val="24"/>
                <w:highlight w:val="none"/>
                <w:lang w:eastAsia="zh-CN"/>
              </w:rPr>
              <w:t>5个工作日内</w:t>
            </w:r>
            <w:r>
              <w:rPr>
                <w:rFonts w:hint="eastAsia" w:ascii="宋体" w:hAnsi="宋体" w:cs="宋体"/>
                <w:color w:val="auto"/>
                <w:sz w:val="24"/>
                <w:highlight w:val="none"/>
                <w:lang w:eastAsia="zh-CN"/>
              </w:rPr>
              <w:t>申请退</w:t>
            </w:r>
            <w:r>
              <w:rPr>
                <w:rFonts w:hint="eastAsia" w:ascii="宋体" w:hAnsi="宋体" w:cs="宋体"/>
                <w:color w:val="auto"/>
                <w:sz w:val="24"/>
                <w:highlight w:val="none"/>
                <w:lang w:eastAsia="zh-CN"/>
              </w:rPr>
              <w:t>还。</w:t>
            </w:r>
            <w:r>
              <w:rPr>
                <w:rFonts w:hint="eastAsia" w:ascii="宋体" w:hAnsi="宋体" w:cs="宋体"/>
                <w:color w:val="auto"/>
                <w:sz w:val="24"/>
                <w:highlight w:val="none"/>
                <w:lang w:val="en-US" w:eastAsia="zh-CN"/>
              </w:rPr>
              <w:t>质保期说明：</w:t>
            </w:r>
            <w:r>
              <w:rPr>
                <w:rFonts w:hint="eastAsia" w:ascii="宋体" w:hAnsi="宋体" w:eastAsia="宋体" w:cs="宋体"/>
                <w:color w:val="auto"/>
                <w:sz w:val="24"/>
                <w:szCs w:val="24"/>
                <w:highlight w:val="none"/>
                <w:lang w:val="en-US" w:eastAsia="zh-CN"/>
              </w:rPr>
              <w:t>依据国家产品"三包"规定执行质量保证政策，质保期自交货验收合格之日起计算，</w:t>
            </w:r>
            <w:r>
              <w:rPr>
                <w:rFonts w:hint="eastAsia" w:ascii="宋体" w:hAnsi="宋体" w:cs="宋体"/>
                <w:color w:val="auto"/>
                <w:sz w:val="24"/>
                <w:szCs w:val="24"/>
                <w:highlight w:val="none"/>
                <w:lang w:val="en-US" w:eastAsia="zh-CN"/>
              </w:rPr>
              <w:t>3年质保期</w:t>
            </w:r>
            <w:r>
              <w:rPr>
                <w:rFonts w:hint="eastAsia" w:ascii="宋体" w:hAnsi="宋体" w:eastAsia="宋体" w:cs="宋体"/>
                <w:color w:val="auto"/>
                <w:sz w:val="24"/>
                <w:szCs w:val="24"/>
                <w:highlight w:val="none"/>
                <w:lang w:val="en-US" w:eastAsia="zh-CN"/>
              </w:rPr>
              <w:t>（分项货物或配置有特殊要求的按分项标准执行；若生产厂家承诺的质保期长于前述期限，则按厂家承诺执行）。</w:t>
            </w:r>
          </w:p>
          <w:p w14:paraId="22A8285B">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4.备注：</w:t>
            </w:r>
          </w:p>
          <w:p w14:paraId="53D2CF69">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（1）履约保证金必须足额缴纳，或出具的保函额度必须足额且保函有效期不能低于合同履行期限（即签订采购合同之日起至履行完合同约定的权利及义务之日止），否则视为无效履约保证金。</w:t>
            </w:r>
          </w:p>
          <w:p w14:paraId="72823435">
            <w:pPr>
              <w:pStyle w:val="35"/>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（2）采用保函的，必须为无条件的保函，否则视为无效履约保证金。</w:t>
            </w:r>
          </w:p>
        </w:tc>
      </w:tr>
      <w:tr w14:paraId="2291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40" w:type="dxa"/>
            <w:gridSpan w:val="3"/>
            <w:vAlign w:val="center"/>
          </w:tcPr>
          <w:p w14:paraId="18828B8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付款方式</w:t>
            </w:r>
          </w:p>
        </w:tc>
        <w:tc>
          <w:tcPr>
            <w:tcW w:w="7714" w:type="dxa"/>
            <w:gridSpan w:val="4"/>
            <w:vAlign w:val="center"/>
          </w:tcPr>
          <w:p w14:paraId="15FD90DB">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 合同签订后，成交供应商开具等额增值税专用发票给采购人，采购人在收到发票后</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个工作日内支付合同款的 30%作为预付款。</w:t>
            </w:r>
          </w:p>
          <w:p w14:paraId="6E1C7B88">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（2）所采购的设备及装修材料进场，提供设备验收报告及装修材料供货清单后</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个工作日内，开具 30%项目款增值税专用发票给采购人，采购人收到发票后在</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个工作日内支付 30%合同款给成交供应商。</w:t>
            </w:r>
          </w:p>
          <w:p w14:paraId="614724E0">
            <w:pPr>
              <w:keepNext w:val="0"/>
              <w:keepLines w:val="0"/>
              <w:pageBreakBefore w:val="0"/>
              <w:tabs>
                <w:tab w:val="left" w:pos="420"/>
              </w:tabs>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（3）项目实施完毕并经验收合格后，成交供应商开具剩余款项对应的增值税专用发票给采购人，收到发票后在</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个工作日内支付剩余款给成交供应商。</w:t>
            </w:r>
          </w:p>
        </w:tc>
      </w:tr>
      <w:tr w14:paraId="5447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40" w:type="dxa"/>
            <w:gridSpan w:val="3"/>
            <w:vAlign w:val="center"/>
          </w:tcPr>
          <w:p w14:paraId="324AD13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color w:val="auto"/>
                <w:kern w:val="1"/>
                <w:sz w:val="24"/>
                <w:szCs w:val="24"/>
                <w:highlight w:val="none"/>
              </w:rPr>
            </w:pPr>
            <w:r>
              <w:rPr>
                <w:rFonts w:hint="eastAsia" w:ascii="宋体" w:hAnsi="宋体" w:eastAsia="宋体" w:cs="宋体"/>
                <w:b w:val="0"/>
                <w:bCs/>
                <w:color w:val="auto"/>
                <w:sz w:val="24"/>
                <w:szCs w:val="24"/>
                <w:highlight w:val="none"/>
              </w:rPr>
              <w:t>其他要求</w:t>
            </w:r>
          </w:p>
        </w:tc>
        <w:tc>
          <w:tcPr>
            <w:tcW w:w="7714" w:type="dxa"/>
            <w:gridSpan w:val="4"/>
            <w:vAlign w:val="center"/>
          </w:tcPr>
          <w:p w14:paraId="0E9B1BF6">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要求供货产品是全新的、未经改装的、合格的、满足本项目技术需求及要求的货物。所有零部件、配件必须是未经使用的全新的并符合国家有关质量安全标准的产品。提供设备使用培训、操作技能训练等；提供相关设备说明书、管理和配置指南手册、使用手册和故障定位/排除指南手册等。</w:t>
            </w:r>
          </w:p>
          <w:p w14:paraId="6F8C6B01">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项目实行总价包干制，报价合计金额包括货物价款、配套软件、标准附件、随配附件、备品备件、辅助材料、专用工具、包装、运抵指定交货地点、运输、装卸、完工清场清洁、货到就位、安装、调试、检验、技术培训、技术资料、售后服务、保险、投标费用、预验收及履约验收及售后服务、人工费、一切税费等全部费用。税费因政策等原因发生变化的，由成交供应商承担。合同履行过程中，采购人不再支付合同以外的其他费用。</w:t>
            </w:r>
          </w:p>
          <w:p w14:paraId="78F1FFDE">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3.成交供应商承担货物交付验收前的运输、安装等作业工人人身、设备安全责任。验收前，如果设备丢失、因供应商自身原因及第三方原因导致损坏，成交供应商应自行负责并承担不能交付货物的责任。</w:t>
            </w:r>
          </w:p>
          <w:p w14:paraId="5B745355">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4.本项目不接受进口产品（即通过中国海关报关验放进入中国境内且产自关境外的产品）参与</w:t>
            </w:r>
            <w:r>
              <w:rPr>
                <w:rFonts w:hint="eastAsia" w:ascii="宋体" w:hAnsi="宋体" w:eastAsia="宋体" w:cs="宋体"/>
                <w:color w:val="auto"/>
                <w:sz w:val="24"/>
                <w:szCs w:val="24"/>
                <w:highlight w:val="none"/>
                <w:lang w:bidi="ar"/>
              </w:rPr>
              <w:t>竞争性谈判</w:t>
            </w:r>
            <w:r>
              <w:rPr>
                <w:rFonts w:hint="eastAsia" w:ascii="宋体" w:hAnsi="宋体" w:eastAsia="宋体" w:cs="宋体"/>
                <w:color w:val="auto"/>
                <w:sz w:val="24"/>
                <w:szCs w:val="24"/>
                <w:highlight w:val="none"/>
              </w:rPr>
              <w:t>，如有此类产品参与</w:t>
            </w:r>
            <w:r>
              <w:rPr>
                <w:rFonts w:hint="eastAsia" w:ascii="宋体" w:hAnsi="宋体" w:eastAsia="宋体" w:cs="宋体"/>
                <w:color w:val="auto"/>
                <w:sz w:val="24"/>
                <w:szCs w:val="24"/>
                <w:highlight w:val="none"/>
                <w:lang w:bidi="ar"/>
              </w:rPr>
              <w:t>竞争性谈判</w:t>
            </w:r>
            <w:r>
              <w:rPr>
                <w:rFonts w:hint="eastAsia" w:ascii="宋体" w:hAnsi="宋体" w:eastAsia="宋体" w:cs="宋体"/>
                <w:color w:val="auto"/>
                <w:sz w:val="24"/>
                <w:szCs w:val="24"/>
                <w:highlight w:val="none"/>
              </w:rPr>
              <w:t>的按无效响应处理。</w:t>
            </w:r>
          </w:p>
          <w:p w14:paraId="21854FAE">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本项目实行总价包干制，但实际采购（完成）数量不足清单需求数量的部分，按中标单价扣除；实际采购（完成）数量超过清单需求数量的部分不予计算。若采购合同履行中需要追加与合同标的相同的货物时，需双方另行签订补充协议，且补充协议的采购金额不得超过合同金额的10%。</w:t>
            </w:r>
          </w:p>
        </w:tc>
      </w:tr>
      <w:tr w14:paraId="292C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954" w:type="dxa"/>
            <w:gridSpan w:val="7"/>
            <w:vAlign w:val="center"/>
          </w:tcPr>
          <w:p w14:paraId="68DE09D6">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采购人对项目的其他要求和说明</w:t>
            </w:r>
          </w:p>
        </w:tc>
      </w:tr>
      <w:tr w14:paraId="1D0B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240" w:type="dxa"/>
            <w:gridSpan w:val="3"/>
            <w:vAlign w:val="center"/>
          </w:tcPr>
          <w:p w14:paraId="6459011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核心产品</w:t>
            </w:r>
          </w:p>
        </w:tc>
        <w:tc>
          <w:tcPr>
            <w:tcW w:w="7714" w:type="dxa"/>
            <w:gridSpan w:val="4"/>
            <w:vAlign w:val="center"/>
          </w:tcPr>
          <w:p w14:paraId="458BBE2D">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w:t>
            </w:r>
            <w:r>
              <w:rPr>
                <w:rFonts w:hint="eastAsia" w:ascii="宋体" w:hAnsi="宋体" w:cs="宋体"/>
                <w:color w:val="auto"/>
                <w:sz w:val="24"/>
                <w:szCs w:val="24"/>
                <w:highlight w:val="none"/>
                <w:u w:val="none"/>
                <w:lang w:val="en-US" w:eastAsia="zh-CN"/>
              </w:rPr>
              <w:t>4和第8</w:t>
            </w:r>
            <w:r>
              <w:rPr>
                <w:rFonts w:hint="eastAsia" w:ascii="宋体" w:hAnsi="宋体" w:eastAsia="宋体" w:cs="宋体"/>
                <w:color w:val="auto"/>
                <w:sz w:val="24"/>
                <w:szCs w:val="24"/>
                <w:highlight w:val="none"/>
              </w:rPr>
              <w:t>项采购标的</w:t>
            </w:r>
          </w:p>
        </w:tc>
      </w:tr>
      <w:tr w14:paraId="66AF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240" w:type="dxa"/>
            <w:gridSpan w:val="3"/>
            <w:vAlign w:val="center"/>
          </w:tcPr>
          <w:p w14:paraId="6B68D617">
            <w:pPr>
              <w:keepNext w:val="0"/>
              <w:keepLines w:val="0"/>
              <w:pageBreakBefore w:val="0"/>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其他要求</w:t>
            </w:r>
          </w:p>
        </w:tc>
        <w:tc>
          <w:tcPr>
            <w:tcW w:w="7714" w:type="dxa"/>
            <w:gridSpan w:val="4"/>
            <w:vAlign w:val="center"/>
          </w:tcPr>
          <w:p w14:paraId="46194AD7">
            <w:pPr>
              <w:keepNext w:val="0"/>
              <w:keepLines w:val="0"/>
              <w:pageBreakBefore w:val="0"/>
              <w:kinsoku/>
              <w:wordWrap/>
              <w:overflowPunct/>
              <w:topLinePunct w:val="0"/>
              <w:autoSpaceDE/>
              <w:autoSpaceDN/>
              <w:bidi w:val="0"/>
              <w:adjustRightInd/>
              <w:snapToGrid/>
              <w:spacing w:line="400" w:lineRule="exac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根据项目需求涉及装修的内容，供应商营提供设计方案或解决方案，包含装修效果图、施工设计图、平面布局图等装修证明材料。施工设计图的平面布局、空间尺度需与实训室现场确认的场地条件一致；装修效果图需包含至少5张效果图（如不同位置的整体效果图4张、主要功能区平面图1张），真实反映实训室的设计风格、色彩搭配、材质质感及光影效果，突出各功能分区的特点；平面布局图应包括数字互动教学功能区、沉浸式VR互动教学功能区、3D大屏显示体验功能区、各种展示墙等。</w:t>
            </w:r>
            <w:r>
              <w:rPr>
                <w:rFonts w:hint="eastAsia" w:ascii="宋体" w:hAnsi="宋体" w:cs="宋体"/>
                <w:color w:val="auto"/>
                <w:sz w:val="24"/>
                <w:szCs w:val="24"/>
                <w:highlight w:val="none"/>
                <w:lang w:val="en-US" w:eastAsia="zh-CN"/>
              </w:rPr>
              <w:t>谈判结束后，</w:t>
            </w:r>
            <w:r>
              <w:rPr>
                <w:rFonts w:hint="eastAsia" w:ascii="宋体" w:hAnsi="宋体" w:eastAsia="宋体" w:cs="宋体"/>
                <w:color w:val="auto"/>
                <w:sz w:val="24"/>
                <w:szCs w:val="24"/>
                <w:highlight w:val="none"/>
              </w:rPr>
              <w:t>谈判小组按照少数服从多数的原则投票推荐</w:t>
            </w:r>
            <w:r>
              <w:rPr>
                <w:rFonts w:hint="eastAsia" w:ascii="宋体" w:hAnsi="宋体" w:cs="宋体"/>
                <w:color w:val="auto"/>
                <w:sz w:val="24"/>
                <w:szCs w:val="24"/>
                <w:highlight w:val="none"/>
                <w:lang w:val="en-US" w:eastAsia="zh-CN"/>
              </w:rPr>
              <w:t>最优的</w:t>
            </w:r>
            <w:r>
              <w:rPr>
                <w:rFonts w:hint="eastAsia" w:ascii="宋体" w:hAnsi="宋体" w:eastAsia="宋体" w:cs="宋体"/>
                <w:color w:val="auto"/>
                <w:sz w:val="24"/>
                <w:szCs w:val="24"/>
                <w:highlight w:val="none"/>
              </w:rPr>
              <w:t>3家</w:t>
            </w:r>
            <w:r>
              <w:rPr>
                <w:rFonts w:hint="eastAsia" w:ascii="宋体" w:hAnsi="宋体" w:cs="宋体"/>
                <w:color w:val="auto"/>
                <w:sz w:val="24"/>
                <w:szCs w:val="24"/>
                <w:highlight w:val="none"/>
                <w:lang w:val="en-US" w:eastAsia="zh-CN"/>
              </w:rPr>
              <w:t>以上</w:t>
            </w:r>
            <w:r>
              <w:rPr>
                <w:rFonts w:hint="eastAsia" w:ascii="宋体" w:hAnsi="宋体" w:eastAsia="宋体" w:cs="宋体"/>
                <w:color w:val="auto"/>
                <w:sz w:val="24"/>
                <w:szCs w:val="24"/>
                <w:highlight w:val="none"/>
              </w:rPr>
              <w:t>供应商的设计方案或者解决方案，并要求其在规定时间内提交最后报价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该报价是供应商相应文件的有效组成部分。</w:t>
            </w:r>
          </w:p>
        </w:tc>
      </w:tr>
      <w:tr w14:paraId="4884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240" w:type="dxa"/>
            <w:gridSpan w:val="3"/>
            <w:vAlign w:val="center"/>
          </w:tcPr>
          <w:p w14:paraId="722EEF5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其他说明</w:t>
            </w:r>
          </w:p>
        </w:tc>
        <w:tc>
          <w:tcPr>
            <w:tcW w:w="7714" w:type="dxa"/>
            <w:gridSpan w:val="4"/>
            <w:vAlign w:val="center"/>
          </w:tcPr>
          <w:p w14:paraId="0B5A22D0">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采购合同履行中，采购人需追加与合同标的相同的货物的，在不改变合同其他条款的前提下，可以与</w:t>
            </w:r>
            <w:r>
              <w:rPr>
                <w:rFonts w:hint="eastAsia" w:ascii="宋体" w:hAnsi="宋体" w:eastAsia="宋体" w:cs="宋体"/>
                <w:color w:val="auto"/>
                <w:sz w:val="24"/>
                <w:szCs w:val="24"/>
                <w:highlight w:val="none"/>
                <w:lang w:eastAsia="zh-CN"/>
              </w:rPr>
              <w:t>成交人</w:t>
            </w:r>
            <w:r>
              <w:rPr>
                <w:rFonts w:hint="eastAsia" w:ascii="宋体" w:hAnsi="宋体" w:eastAsia="宋体" w:cs="宋体"/>
                <w:color w:val="auto"/>
                <w:sz w:val="24"/>
                <w:szCs w:val="24"/>
                <w:highlight w:val="none"/>
              </w:rPr>
              <w:t>协商签订补充合同，但所有补充合同的采购金额不得超过原合同采购金额的10%。</w:t>
            </w:r>
          </w:p>
        </w:tc>
      </w:tr>
    </w:tbl>
    <w:p w14:paraId="3AAE3A0D">
      <w:pPr>
        <w:jc w:val="center"/>
        <w:rPr>
          <w:rFonts w:hint="eastAsia"/>
          <w:b/>
          <w:bCs/>
          <w:color w:val="auto"/>
          <w:sz w:val="30"/>
          <w:szCs w:val="30"/>
          <w:highlight w:val="none"/>
          <w:lang w:val="en-US" w:eastAsia="zh-CN"/>
        </w:rPr>
      </w:pPr>
      <w:r>
        <w:rPr>
          <w:rFonts w:hint="eastAsia" w:ascii="宋体" w:hAnsi="宋体" w:cs="宋体"/>
          <w:color w:val="auto"/>
          <w:highlight w:val="none"/>
        </w:rPr>
        <w:br w:type="page"/>
      </w:r>
      <w:r>
        <w:rPr>
          <w:rFonts w:hint="eastAsia"/>
          <w:b/>
          <w:bCs/>
          <w:color w:val="auto"/>
          <w:sz w:val="30"/>
          <w:szCs w:val="30"/>
          <w:highlight w:val="none"/>
          <w:lang w:val="en-US" w:eastAsia="zh-CN"/>
        </w:rPr>
        <w:t>装修工程需求附表</w:t>
      </w:r>
    </w:p>
    <w:tbl>
      <w:tblPr>
        <w:tblStyle w:val="29"/>
        <w:tblW w:w="97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41"/>
        <w:gridCol w:w="1835"/>
        <w:gridCol w:w="653"/>
        <w:gridCol w:w="800"/>
        <w:gridCol w:w="5451"/>
      </w:tblGrid>
      <w:tr w14:paraId="61F5F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04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A108DB1">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Style w:val="67"/>
                <w:rFonts w:hint="eastAsia" w:ascii="宋体" w:hAnsi="宋体" w:eastAsia="宋体" w:cs="宋体"/>
                <w:color w:val="auto"/>
                <w:sz w:val="24"/>
                <w:szCs w:val="24"/>
                <w:highlight w:val="none"/>
                <w:lang w:val="en-US" w:eastAsia="zh-CN" w:bidi="ar"/>
              </w:rPr>
            </w:pPr>
            <w:r>
              <w:rPr>
                <w:rStyle w:val="67"/>
                <w:rFonts w:hint="eastAsia" w:ascii="宋体" w:hAnsi="宋体" w:eastAsia="宋体" w:cs="宋体"/>
                <w:color w:val="auto"/>
                <w:sz w:val="24"/>
                <w:szCs w:val="24"/>
                <w:highlight w:val="none"/>
                <w:lang w:val="en-US" w:eastAsia="zh-CN" w:bidi="ar"/>
              </w:rPr>
              <w:t>项目</w:t>
            </w:r>
          </w:p>
        </w:tc>
        <w:tc>
          <w:tcPr>
            <w:tcW w:w="1835" w:type="dxa"/>
            <w:tcBorders>
              <w:top w:val="single" w:color="000000" w:sz="4" w:space="0"/>
              <w:left w:val="single" w:color="000000" w:sz="4" w:space="0"/>
              <w:bottom w:val="single" w:color="auto" w:sz="4" w:space="0"/>
              <w:right w:val="single" w:color="000000" w:sz="4" w:space="0"/>
            </w:tcBorders>
            <w:shd w:val="clear" w:color="auto" w:fill="auto"/>
            <w:vAlign w:val="center"/>
          </w:tcPr>
          <w:p w14:paraId="1A5B4791">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采购内容</w:t>
            </w:r>
          </w:p>
        </w:tc>
        <w:tc>
          <w:tcPr>
            <w:tcW w:w="65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67AE8D8">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单位</w:t>
            </w:r>
          </w:p>
        </w:tc>
        <w:tc>
          <w:tcPr>
            <w:tcW w:w="8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6C056FC">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工程量</w:t>
            </w:r>
          </w:p>
        </w:tc>
        <w:tc>
          <w:tcPr>
            <w:tcW w:w="545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D64FF1E">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工艺及材料要求</w:t>
            </w:r>
          </w:p>
        </w:tc>
      </w:tr>
      <w:tr w14:paraId="739D4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04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670F7DC">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Style w:val="67"/>
                <w:rFonts w:hint="eastAsia" w:ascii="宋体" w:hAnsi="宋体" w:eastAsia="宋体" w:cs="宋体"/>
                <w:color w:val="auto"/>
                <w:sz w:val="24"/>
                <w:szCs w:val="24"/>
                <w:highlight w:val="none"/>
                <w:lang w:val="en-US" w:eastAsia="zh-CN" w:bidi="ar"/>
              </w:rPr>
              <w:t>地面、天花、立面装饰工程</w:t>
            </w: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75F334E9">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地面水泥防裂砂浆找平</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B6FBF2">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B5DCE1">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180.00</w:t>
            </w:r>
          </w:p>
        </w:tc>
        <w:tc>
          <w:tcPr>
            <w:tcW w:w="54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2CEAD7">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地面M20水泥砂浆找平，厚度50mm。</w:t>
            </w:r>
          </w:p>
        </w:tc>
      </w:tr>
      <w:tr w14:paraId="27F92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jc w:val="center"/>
        </w:trPr>
        <w:tc>
          <w:tcPr>
            <w:tcW w:w="10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04F8FC5">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20B3338F">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Style w:val="69"/>
                <w:rFonts w:hint="eastAsia" w:ascii="宋体" w:hAnsi="宋体" w:eastAsia="宋体" w:cs="宋体"/>
                <w:color w:val="auto"/>
                <w:sz w:val="24"/>
                <w:szCs w:val="24"/>
                <w:highlight w:val="none"/>
                <w:lang w:val="en-US" w:eastAsia="zh-CN" w:bidi="ar"/>
              </w:rPr>
              <w:t>地面</w:t>
            </w:r>
            <w:r>
              <w:rPr>
                <w:rStyle w:val="68"/>
                <w:rFonts w:hint="eastAsia" w:ascii="宋体" w:hAnsi="宋体" w:eastAsia="宋体" w:cs="宋体"/>
                <w:color w:val="auto"/>
                <w:sz w:val="24"/>
                <w:szCs w:val="24"/>
                <w:highlight w:val="none"/>
                <w:lang w:val="en-US" w:eastAsia="zh-CN" w:bidi="ar"/>
              </w:rPr>
              <w:t>2.0PVC</w:t>
            </w:r>
            <w:r>
              <w:rPr>
                <w:rStyle w:val="69"/>
                <w:rFonts w:hint="eastAsia" w:ascii="宋体" w:hAnsi="宋体" w:eastAsia="宋体" w:cs="宋体"/>
                <w:color w:val="auto"/>
                <w:sz w:val="24"/>
                <w:szCs w:val="24"/>
                <w:highlight w:val="none"/>
                <w:lang w:val="en-US" w:eastAsia="zh-CN" w:bidi="ar"/>
              </w:rPr>
              <w:t>塑胶地板</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E5CC53">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8E485A">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180.00</w:t>
            </w:r>
          </w:p>
        </w:tc>
        <w:tc>
          <w:tcPr>
            <w:tcW w:w="54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DD356E">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Style w:val="73"/>
                <w:rFonts w:hint="eastAsia" w:ascii="宋体" w:hAnsi="宋体" w:eastAsia="宋体" w:cs="宋体"/>
                <w:b w:val="0"/>
                <w:bCs/>
                <w:color w:val="auto"/>
                <w:sz w:val="24"/>
                <w:szCs w:val="24"/>
                <w:highlight w:val="none"/>
                <w:lang w:val="en-US" w:eastAsia="zh-CN" w:bidi="ar"/>
              </w:rPr>
              <w:t>1</w:t>
            </w:r>
            <w:r>
              <w:rPr>
                <w:rStyle w:val="73"/>
                <w:rFonts w:hint="eastAsia" w:ascii="宋体" w:hAnsi="宋体" w:cs="宋体"/>
                <w:b w:val="0"/>
                <w:bCs/>
                <w:color w:val="auto"/>
                <w:sz w:val="24"/>
                <w:szCs w:val="24"/>
                <w:highlight w:val="none"/>
                <w:lang w:val="en-US" w:eastAsia="zh-CN" w:bidi="ar"/>
              </w:rPr>
              <w:t>、</w:t>
            </w:r>
            <w:r>
              <w:rPr>
                <w:rStyle w:val="73"/>
                <w:rFonts w:hint="eastAsia" w:ascii="宋体" w:hAnsi="宋体" w:eastAsia="宋体" w:cs="宋体"/>
                <w:b w:val="0"/>
                <w:bCs/>
                <w:color w:val="auto"/>
                <w:sz w:val="24"/>
                <w:szCs w:val="24"/>
                <w:highlight w:val="none"/>
                <w:lang w:val="en-US" w:eastAsia="zh-CN" w:bidi="ar"/>
              </w:rPr>
              <w:t>基层打磨清理</w:t>
            </w:r>
            <w:r>
              <w:rPr>
                <w:rStyle w:val="70"/>
                <w:rFonts w:hint="eastAsia" w:ascii="宋体" w:hAnsi="宋体" w:cs="宋体"/>
                <w:b w:val="0"/>
                <w:bCs/>
                <w:color w:val="auto"/>
                <w:sz w:val="24"/>
                <w:szCs w:val="24"/>
                <w:highlight w:val="none"/>
                <w:lang w:val="en-US" w:eastAsia="zh-CN" w:bidi="ar"/>
              </w:rPr>
              <w:t>；</w:t>
            </w:r>
            <w:r>
              <w:rPr>
                <w:rStyle w:val="70"/>
                <w:rFonts w:hint="eastAsia" w:ascii="宋体" w:hAnsi="宋体" w:eastAsia="宋体" w:cs="宋体"/>
                <w:b w:val="0"/>
                <w:bCs/>
                <w:color w:val="auto"/>
                <w:sz w:val="24"/>
                <w:szCs w:val="24"/>
                <w:highlight w:val="none"/>
                <w:lang w:val="en-US" w:eastAsia="zh-CN" w:bidi="ar"/>
              </w:rPr>
              <w:t>2</w:t>
            </w:r>
            <w:r>
              <w:rPr>
                <w:rStyle w:val="73"/>
                <w:rFonts w:hint="eastAsia" w:ascii="宋体" w:hAnsi="宋体" w:cs="宋体"/>
                <w:b w:val="0"/>
                <w:bCs/>
                <w:color w:val="auto"/>
                <w:sz w:val="24"/>
                <w:szCs w:val="24"/>
                <w:highlight w:val="none"/>
                <w:lang w:val="en-US" w:eastAsia="zh-CN" w:bidi="ar"/>
              </w:rPr>
              <w:t>、</w:t>
            </w:r>
            <w:r>
              <w:rPr>
                <w:rStyle w:val="73"/>
                <w:rFonts w:hint="eastAsia" w:ascii="宋体" w:hAnsi="宋体" w:eastAsia="宋体" w:cs="宋体"/>
                <w:b w:val="0"/>
                <w:bCs/>
                <w:color w:val="auto"/>
                <w:sz w:val="24"/>
                <w:szCs w:val="24"/>
                <w:highlight w:val="none"/>
                <w:lang w:val="en-US" w:eastAsia="zh-CN" w:bidi="ar"/>
              </w:rPr>
              <w:t>涂刷两遍耐福乐环保界面剂</w:t>
            </w:r>
            <w:r>
              <w:rPr>
                <w:rStyle w:val="73"/>
                <w:rFonts w:hint="eastAsia" w:ascii="宋体" w:hAnsi="宋体" w:cs="宋体"/>
                <w:b w:val="0"/>
                <w:bCs/>
                <w:color w:val="auto"/>
                <w:sz w:val="24"/>
                <w:szCs w:val="24"/>
                <w:highlight w:val="none"/>
                <w:lang w:val="en-US" w:eastAsia="zh-CN" w:bidi="ar"/>
              </w:rPr>
              <w:t>；</w:t>
            </w:r>
            <w:r>
              <w:rPr>
                <w:rStyle w:val="70"/>
                <w:rFonts w:hint="eastAsia" w:ascii="宋体" w:hAnsi="宋体" w:eastAsia="宋体" w:cs="宋体"/>
                <w:b w:val="0"/>
                <w:bCs/>
                <w:color w:val="auto"/>
                <w:sz w:val="24"/>
                <w:szCs w:val="24"/>
                <w:highlight w:val="none"/>
                <w:lang w:val="en-US" w:eastAsia="zh-CN" w:bidi="ar"/>
              </w:rPr>
              <w:t>3</w:t>
            </w:r>
            <w:r>
              <w:rPr>
                <w:rStyle w:val="73"/>
                <w:rFonts w:hint="eastAsia" w:ascii="宋体" w:hAnsi="宋体" w:cs="宋体"/>
                <w:b w:val="0"/>
                <w:bCs/>
                <w:color w:val="auto"/>
                <w:sz w:val="24"/>
                <w:szCs w:val="24"/>
                <w:highlight w:val="none"/>
                <w:lang w:val="en-US" w:eastAsia="zh-CN" w:bidi="ar"/>
              </w:rPr>
              <w:t>、</w:t>
            </w:r>
            <w:r>
              <w:rPr>
                <w:rStyle w:val="73"/>
                <w:rFonts w:hint="eastAsia" w:ascii="宋体" w:hAnsi="宋体" w:eastAsia="宋体" w:cs="宋体"/>
                <w:b w:val="0"/>
                <w:bCs/>
                <w:color w:val="auto"/>
                <w:sz w:val="24"/>
                <w:szCs w:val="24"/>
                <w:highlight w:val="none"/>
                <w:lang w:val="en-US" w:eastAsia="zh-CN" w:bidi="ar"/>
              </w:rPr>
              <w:t>地面铺设正欧环保环氧树脂自流平</w:t>
            </w:r>
            <w:r>
              <w:rPr>
                <w:rStyle w:val="73"/>
                <w:rFonts w:hint="eastAsia" w:ascii="宋体" w:hAnsi="宋体" w:cs="宋体"/>
                <w:b w:val="0"/>
                <w:bCs/>
                <w:color w:val="auto"/>
                <w:sz w:val="24"/>
                <w:szCs w:val="24"/>
                <w:highlight w:val="none"/>
                <w:lang w:val="en-US" w:eastAsia="zh-CN" w:bidi="ar"/>
              </w:rPr>
              <w:t>；</w:t>
            </w:r>
            <w:r>
              <w:rPr>
                <w:rStyle w:val="70"/>
                <w:rFonts w:hint="eastAsia" w:ascii="宋体" w:hAnsi="宋体" w:eastAsia="宋体" w:cs="宋体"/>
                <w:b w:val="0"/>
                <w:bCs/>
                <w:color w:val="auto"/>
                <w:sz w:val="24"/>
                <w:szCs w:val="24"/>
                <w:highlight w:val="none"/>
                <w:lang w:val="en-US" w:eastAsia="zh-CN" w:bidi="ar"/>
              </w:rPr>
              <w:t>4</w:t>
            </w:r>
            <w:r>
              <w:rPr>
                <w:rStyle w:val="73"/>
                <w:rFonts w:hint="eastAsia" w:ascii="宋体" w:hAnsi="宋体" w:cs="宋体"/>
                <w:b w:val="0"/>
                <w:bCs/>
                <w:color w:val="auto"/>
                <w:sz w:val="24"/>
                <w:szCs w:val="24"/>
                <w:highlight w:val="none"/>
                <w:lang w:val="en-US" w:eastAsia="zh-CN" w:bidi="ar"/>
              </w:rPr>
              <w:t>、</w:t>
            </w:r>
            <w:r>
              <w:rPr>
                <w:rStyle w:val="73"/>
                <w:rFonts w:hint="eastAsia" w:ascii="宋体" w:hAnsi="宋体" w:eastAsia="宋体" w:cs="宋体"/>
                <w:b w:val="0"/>
                <w:bCs/>
                <w:color w:val="auto"/>
                <w:sz w:val="24"/>
                <w:szCs w:val="24"/>
                <w:highlight w:val="none"/>
                <w:lang w:val="en-US" w:eastAsia="zh-CN" w:bidi="ar"/>
              </w:rPr>
              <w:t>面层铺设</w:t>
            </w:r>
            <w:r>
              <w:rPr>
                <w:rStyle w:val="70"/>
                <w:rFonts w:hint="eastAsia" w:ascii="宋体" w:hAnsi="宋体" w:eastAsia="宋体" w:cs="宋体"/>
                <w:b w:val="0"/>
                <w:bCs/>
                <w:color w:val="auto"/>
                <w:sz w:val="24"/>
                <w:szCs w:val="24"/>
                <w:highlight w:val="none"/>
                <w:lang w:val="en-US" w:eastAsia="zh-CN" w:bidi="ar"/>
              </w:rPr>
              <w:t>2.0MM</w:t>
            </w:r>
            <w:r>
              <w:rPr>
                <w:rStyle w:val="73"/>
                <w:rFonts w:hint="eastAsia" w:ascii="宋体" w:hAnsi="宋体" w:eastAsia="宋体" w:cs="宋体"/>
                <w:b w:val="0"/>
                <w:bCs/>
                <w:color w:val="auto"/>
                <w:sz w:val="24"/>
                <w:szCs w:val="24"/>
                <w:highlight w:val="none"/>
                <w:lang w:val="en-US" w:eastAsia="zh-CN" w:bidi="ar"/>
              </w:rPr>
              <w:t>厚肯帝亚环保</w:t>
            </w:r>
            <w:r>
              <w:rPr>
                <w:rStyle w:val="70"/>
                <w:rFonts w:hint="eastAsia" w:ascii="宋体" w:hAnsi="宋体" w:eastAsia="宋体" w:cs="宋体"/>
                <w:b w:val="0"/>
                <w:bCs/>
                <w:color w:val="auto"/>
                <w:sz w:val="24"/>
                <w:szCs w:val="24"/>
                <w:highlight w:val="none"/>
                <w:lang w:val="en-US" w:eastAsia="zh-CN" w:bidi="ar"/>
              </w:rPr>
              <w:t>PVC</w:t>
            </w:r>
            <w:r>
              <w:rPr>
                <w:rStyle w:val="73"/>
                <w:rFonts w:hint="eastAsia" w:ascii="宋体" w:hAnsi="宋体" w:eastAsia="宋体" w:cs="宋体"/>
                <w:b w:val="0"/>
                <w:bCs/>
                <w:color w:val="auto"/>
                <w:sz w:val="24"/>
                <w:szCs w:val="24"/>
                <w:highlight w:val="none"/>
                <w:lang w:val="en-US" w:eastAsia="zh-CN" w:bidi="ar"/>
              </w:rPr>
              <w:t>塑胶地板。</w:t>
            </w:r>
          </w:p>
        </w:tc>
      </w:tr>
      <w:tr w14:paraId="54EEC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39D2136">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128BD80B">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不锈钢地脚线</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E51A58">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FD254B">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51.00</w:t>
            </w:r>
          </w:p>
        </w:tc>
        <w:tc>
          <w:tcPr>
            <w:tcW w:w="54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7CD5D0">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Fonts w:hint="eastAsia" w:ascii="宋体" w:hAnsi="宋体" w:eastAsia="宋体" w:cs="宋体"/>
                <w:b w:val="0"/>
                <w:bCs/>
                <w:i w:val="0"/>
                <w:iCs w:val="0"/>
                <w:color w:val="auto"/>
                <w:kern w:val="0"/>
                <w:sz w:val="24"/>
                <w:szCs w:val="24"/>
                <w:highlight w:val="none"/>
                <w:u w:val="none"/>
                <w:lang w:val="en-US" w:eastAsia="zh-CN" w:bidi="ar"/>
              </w:rPr>
              <w:t>九厘阻燃板开条打底、2.0mm厚304黑色拉丝不锈钢地脚线。</w:t>
            </w:r>
          </w:p>
        </w:tc>
      </w:tr>
      <w:tr w14:paraId="3B1E4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0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8815A0D">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0D041937">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天花轻钢龙骨石膏板造型吊顶</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8E8D8F">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38797D">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73.00</w:t>
            </w:r>
          </w:p>
        </w:tc>
        <w:tc>
          <w:tcPr>
            <w:tcW w:w="54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DE0A02">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Style w:val="73"/>
                <w:rFonts w:hint="eastAsia" w:ascii="宋体" w:hAnsi="宋体" w:eastAsia="宋体" w:cs="宋体"/>
                <w:b w:val="0"/>
                <w:bCs/>
                <w:color w:val="auto"/>
                <w:sz w:val="24"/>
                <w:szCs w:val="24"/>
                <w:highlight w:val="none"/>
                <w:lang w:val="en-US" w:eastAsia="zh-CN" w:bidi="ar"/>
              </w:rPr>
              <w:t>C100轻钢龙骨厚度1.0mm,中距400mm打底，双层</w:t>
            </w:r>
            <w:r>
              <w:rPr>
                <w:rStyle w:val="70"/>
                <w:rFonts w:hint="eastAsia" w:ascii="宋体" w:hAnsi="宋体" w:eastAsia="宋体" w:cs="宋体"/>
                <w:b w:val="0"/>
                <w:bCs/>
                <w:color w:val="auto"/>
                <w:sz w:val="24"/>
                <w:szCs w:val="24"/>
                <w:highlight w:val="none"/>
                <w:lang w:val="en-US" w:eastAsia="zh-CN" w:bidi="ar"/>
              </w:rPr>
              <w:t>12mm</w:t>
            </w:r>
            <w:r>
              <w:rPr>
                <w:rStyle w:val="73"/>
                <w:rFonts w:hint="eastAsia" w:ascii="宋体" w:hAnsi="宋体" w:eastAsia="宋体" w:cs="宋体"/>
                <w:b w:val="0"/>
                <w:bCs/>
                <w:color w:val="auto"/>
                <w:sz w:val="24"/>
                <w:szCs w:val="24"/>
                <w:highlight w:val="none"/>
                <w:lang w:val="en-US" w:eastAsia="zh-CN" w:bidi="ar"/>
              </w:rPr>
              <w:t>防潮石膏板饰面。</w:t>
            </w:r>
          </w:p>
        </w:tc>
      </w:tr>
      <w:tr w14:paraId="1CCF5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58736E3">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2C8E4C61">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天花铝方通吊顶</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785D30">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37458E">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107.00</w:t>
            </w:r>
          </w:p>
        </w:tc>
        <w:tc>
          <w:tcPr>
            <w:tcW w:w="54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52118E">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Style w:val="73"/>
                <w:rFonts w:hint="eastAsia" w:ascii="宋体" w:hAnsi="宋体" w:eastAsia="宋体" w:cs="宋体"/>
                <w:b w:val="0"/>
                <w:bCs/>
                <w:color w:val="auto"/>
                <w:sz w:val="24"/>
                <w:szCs w:val="24"/>
                <w:highlight w:val="none"/>
                <w:lang w:val="en-US" w:eastAsia="zh-CN" w:bidi="ar"/>
              </w:rPr>
              <w:t>轻钢龙骨、</w:t>
            </w:r>
            <w:r>
              <w:rPr>
                <w:rStyle w:val="70"/>
                <w:rFonts w:hint="eastAsia" w:ascii="宋体" w:hAnsi="宋体" w:eastAsia="宋体" w:cs="宋体"/>
                <w:b w:val="0"/>
                <w:bCs/>
                <w:color w:val="auto"/>
                <w:sz w:val="24"/>
                <w:szCs w:val="24"/>
                <w:highlight w:val="none"/>
                <w:lang w:val="en-US" w:eastAsia="zh-CN" w:bidi="ar"/>
              </w:rPr>
              <w:t>6</w:t>
            </w:r>
            <w:r>
              <w:rPr>
                <w:rStyle w:val="73"/>
                <w:rFonts w:hint="eastAsia" w:ascii="宋体" w:hAnsi="宋体" w:eastAsia="宋体" w:cs="宋体"/>
                <w:b w:val="0"/>
                <w:bCs/>
                <w:color w:val="auto"/>
                <w:sz w:val="24"/>
                <w:szCs w:val="24"/>
                <w:highlight w:val="none"/>
                <w:lang w:val="en-US" w:eastAsia="zh-CN" w:bidi="ar"/>
              </w:rPr>
              <w:t>厘铝方通。</w:t>
            </w:r>
          </w:p>
        </w:tc>
      </w:tr>
      <w:tr w14:paraId="1CBE6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840778B">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51C870AD">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铝合金生态门（双开门）</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B461CC">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樘</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F5FE43">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54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1EE7E1">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Fonts w:hint="eastAsia" w:ascii="宋体" w:hAnsi="宋体" w:eastAsia="宋体" w:cs="宋体"/>
                <w:b w:val="0"/>
                <w:bCs/>
                <w:i w:val="0"/>
                <w:iCs w:val="0"/>
                <w:color w:val="auto"/>
                <w:kern w:val="0"/>
                <w:sz w:val="24"/>
                <w:szCs w:val="24"/>
                <w:highlight w:val="none"/>
                <w:u w:val="none"/>
                <w:lang w:val="en-US" w:eastAsia="zh-CN" w:bidi="ar"/>
              </w:rPr>
              <w:t>生态门（含五金及锁具）。</w:t>
            </w:r>
          </w:p>
        </w:tc>
      </w:tr>
      <w:tr w14:paraId="4E83A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819F25D">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1C98A7C6">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铝合金生态门</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B1DD5B">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樘</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290A73">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54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57D190">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Fonts w:hint="eastAsia" w:ascii="宋体" w:hAnsi="宋体" w:eastAsia="宋体" w:cs="宋体"/>
                <w:b w:val="0"/>
                <w:bCs/>
                <w:i w:val="0"/>
                <w:iCs w:val="0"/>
                <w:color w:val="auto"/>
                <w:kern w:val="0"/>
                <w:sz w:val="24"/>
                <w:szCs w:val="24"/>
                <w:highlight w:val="none"/>
                <w:u w:val="none"/>
                <w:lang w:val="en-US" w:eastAsia="zh-CN" w:bidi="ar"/>
              </w:rPr>
              <w:t>生态门（含五金及锁具）。</w:t>
            </w:r>
          </w:p>
        </w:tc>
      </w:tr>
      <w:tr w14:paraId="54E52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0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4943BE0">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6927EBB2">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门禁系统</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54B17C">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543EE7">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54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C91DD7">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Fonts w:hint="eastAsia" w:ascii="宋体" w:hAnsi="宋体" w:eastAsia="宋体" w:cs="宋体"/>
                <w:b w:val="0"/>
                <w:bCs/>
                <w:i w:val="0"/>
                <w:iCs w:val="0"/>
                <w:color w:val="auto"/>
                <w:kern w:val="0"/>
                <w:sz w:val="24"/>
                <w:szCs w:val="24"/>
                <w:highlight w:val="none"/>
                <w:u w:val="none"/>
                <w:lang w:val="en-US" w:eastAsia="zh-CN" w:bidi="ar"/>
              </w:rPr>
              <w:t>从总电箱接强弱电及网线各30米到门口位置。</w:t>
            </w:r>
          </w:p>
        </w:tc>
      </w:tr>
      <w:tr w14:paraId="2877B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10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9564150">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163DAB05">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墙面窗洞隔音封闭封窗</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8D4ED8">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63CED3">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31.00</w:t>
            </w:r>
          </w:p>
        </w:tc>
        <w:tc>
          <w:tcPr>
            <w:tcW w:w="54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979306">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Style w:val="70"/>
                <w:rFonts w:hint="eastAsia" w:ascii="宋体" w:hAnsi="宋体" w:eastAsia="宋体" w:cs="宋体"/>
                <w:b w:val="0"/>
                <w:bCs/>
                <w:color w:val="auto"/>
                <w:sz w:val="24"/>
                <w:szCs w:val="24"/>
                <w:highlight w:val="none"/>
                <w:lang w:val="en-US" w:eastAsia="zh-CN" w:bidi="ar"/>
              </w:rPr>
              <w:t>C75</w:t>
            </w:r>
            <w:r>
              <w:rPr>
                <w:rStyle w:val="73"/>
                <w:rFonts w:hint="eastAsia" w:ascii="宋体" w:hAnsi="宋体" w:eastAsia="宋体" w:cs="宋体"/>
                <w:b w:val="0"/>
                <w:bCs/>
                <w:color w:val="auto"/>
                <w:sz w:val="24"/>
                <w:szCs w:val="24"/>
                <w:highlight w:val="none"/>
                <w:lang w:val="en-US" w:eastAsia="zh-CN" w:bidi="ar"/>
              </w:rPr>
              <w:t>轻钢龙骨打底，内填充矿音棉双面封</w:t>
            </w:r>
            <w:r>
              <w:rPr>
                <w:rStyle w:val="70"/>
                <w:rFonts w:hint="eastAsia" w:ascii="宋体" w:hAnsi="宋体" w:eastAsia="宋体" w:cs="宋体"/>
                <w:b w:val="0"/>
                <w:bCs/>
                <w:color w:val="auto"/>
                <w:sz w:val="24"/>
                <w:szCs w:val="24"/>
                <w:highlight w:val="none"/>
                <w:lang w:val="en-US" w:eastAsia="zh-CN" w:bidi="ar"/>
              </w:rPr>
              <w:t>15</w:t>
            </w:r>
            <w:r>
              <w:rPr>
                <w:rStyle w:val="73"/>
                <w:rFonts w:hint="eastAsia" w:ascii="宋体" w:hAnsi="宋体" w:eastAsia="宋体" w:cs="宋体"/>
                <w:b w:val="0"/>
                <w:bCs/>
                <w:color w:val="auto"/>
                <w:sz w:val="24"/>
                <w:szCs w:val="24"/>
                <w:highlight w:val="none"/>
                <w:lang w:val="en-US" w:eastAsia="zh-CN" w:bidi="ar"/>
              </w:rPr>
              <w:t>厘阻燃夹板，</w:t>
            </w:r>
            <w:r>
              <w:rPr>
                <w:rStyle w:val="70"/>
                <w:rFonts w:hint="eastAsia" w:ascii="宋体" w:hAnsi="宋体" w:eastAsia="宋体" w:cs="宋体"/>
                <w:b w:val="0"/>
                <w:bCs/>
                <w:color w:val="auto"/>
                <w:sz w:val="24"/>
                <w:szCs w:val="24"/>
                <w:highlight w:val="none"/>
                <w:lang w:val="en-US" w:eastAsia="zh-CN" w:bidi="ar"/>
              </w:rPr>
              <w:t>9.5</w:t>
            </w:r>
            <w:r>
              <w:rPr>
                <w:rStyle w:val="73"/>
                <w:rFonts w:hint="eastAsia" w:ascii="宋体" w:hAnsi="宋体" w:eastAsia="宋体" w:cs="宋体"/>
                <w:b w:val="0"/>
                <w:bCs/>
                <w:color w:val="auto"/>
                <w:sz w:val="24"/>
                <w:szCs w:val="24"/>
                <w:highlight w:val="none"/>
                <w:lang w:val="en-US" w:eastAsia="zh-CN" w:bidi="ar"/>
              </w:rPr>
              <w:t>厘石膏板饰面。</w:t>
            </w:r>
          </w:p>
        </w:tc>
      </w:tr>
      <w:tr w14:paraId="75B90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0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8F205B9">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04046BC6">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墙面专业知识图谱展示区制作（未含电子设备及展示资料）</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D6D7FE">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1C0105">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26.90</w:t>
            </w:r>
          </w:p>
        </w:tc>
        <w:tc>
          <w:tcPr>
            <w:tcW w:w="54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9F1286">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Style w:val="73"/>
                <w:rFonts w:hint="eastAsia" w:ascii="宋体" w:hAnsi="宋体" w:eastAsia="宋体" w:cs="宋体"/>
                <w:b w:val="0"/>
                <w:bCs/>
                <w:color w:val="auto"/>
                <w:sz w:val="24"/>
                <w:szCs w:val="24"/>
                <w:highlight w:val="none"/>
                <w:lang w:val="en-US" w:eastAsia="zh-CN" w:bidi="ar"/>
              </w:rPr>
              <w:t>墙面</w:t>
            </w:r>
            <w:r>
              <w:rPr>
                <w:rStyle w:val="70"/>
                <w:rFonts w:hint="eastAsia" w:ascii="宋体" w:hAnsi="宋体" w:eastAsia="宋体" w:cs="宋体"/>
                <w:b w:val="0"/>
                <w:bCs/>
                <w:color w:val="auto"/>
                <w:sz w:val="24"/>
                <w:szCs w:val="24"/>
                <w:highlight w:val="none"/>
                <w:lang w:val="en-US" w:eastAsia="zh-CN" w:bidi="ar"/>
              </w:rPr>
              <w:t>20*30mm</w:t>
            </w:r>
            <w:r>
              <w:rPr>
                <w:rStyle w:val="73"/>
                <w:rFonts w:hint="eastAsia" w:ascii="宋体" w:hAnsi="宋体" w:eastAsia="宋体" w:cs="宋体"/>
                <w:b w:val="0"/>
                <w:bCs/>
                <w:color w:val="auto"/>
                <w:sz w:val="24"/>
                <w:szCs w:val="24"/>
                <w:highlight w:val="none"/>
                <w:lang w:val="en-US" w:eastAsia="zh-CN" w:bidi="ar"/>
              </w:rPr>
              <w:t>铝方通中距600mm打底，</w:t>
            </w:r>
            <w:r>
              <w:rPr>
                <w:rStyle w:val="70"/>
                <w:rFonts w:hint="eastAsia" w:ascii="宋体" w:hAnsi="宋体" w:eastAsia="宋体" w:cs="宋体"/>
                <w:b w:val="0"/>
                <w:bCs/>
                <w:color w:val="auto"/>
                <w:sz w:val="24"/>
                <w:szCs w:val="24"/>
                <w:highlight w:val="none"/>
                <w:lang w:val="en-US" w:eastAsia="zh-CN" w:bidi="ar"/>
              </w:rPr>
              <w:t>15</w:t>
            </w:r>
            <w:r>
              <w:rPr>
                <w:rStyle w:val="73"/>
                <w:rFonts w:hint="eastAsia" w:ascii="宋体" w:hAnsi="宋体" w:eastAsia="宋体" w:cs="宋体"/>
                <w:b w:val="0"/>
                <w:bCs/>
                <w:color w:val="auto"/>
                <w:sz w:val="24"/>
                <w:szCs w:val="24"/>
                <w:highlight w:val="none"/>
                <w:lang w:val="en-US" w:eastAsia="zh-CN" w:bidi="ar"/>
              </w:rPr>
              <w:t>厘阻燃夹板凸出墙面</w:t>
            </w:r>
            <w:r>
              <w:rPr>
                <w:rStyle w:val="70"/>
                <w:rFonts w:hint="eastAsia" w:ascii="宋体" w:hAnsi="宋体" w:eastAsia="宋体" w:cs="宋体"/>
                <w:b w:val="0"/>
                <w:bCs/>
                <w:color w:val="auto"/>
                <w:sz w:val="24"/>
                <w:szCs w:val="24"/>
                <w:highlight w:val="none"/>
                <w:lang w:val="en-US" w:eastAsia="zh-CN" w:bidi="ar"/>
              </w:rPr>
              <w:t>120mm,8mm</w:t>
            </w:r>
            <w:r>
              <w:rPr>
                <w:rStyle w:val="73"/>
                <w:rFonts w:hint="eastAsia" w:ascii="宋体" w:hAnsi="宋体" w:eastAsia="宋体" w:cs="宋体"/>
                <w:b w:val="0"/>
                <w:bCs/>
                <w:color w:val="auto"/>
                <w:sz w:val="24"/>
                <w:szCs w:val="24"/>
                <w:highlight w:val="none"/>
                <w:lang w:val="en-US" w:eastAsia="zh-CN" w:bidi="ar"/>
              </w:rPr>
              <w:t>碳晶板饰面。</w:t>
            </w:r>
          </w:p>
        </w:tc>
      </w:tr>
      <w:tr w14:paraId="06ED7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jc w:val="center"/>
        </w:trPr>
        <w:tc>
          <w:tcPr>
            <w:tcW w:w="10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7E3558E">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11877187">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全息仓交互系统介绍区及全息仓位制作（未含电子设备及展示资料）</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DF8553">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4317DC">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14.50</w:t>
            </w:r>
          </w:p>
        </w:tc>
        <w:tc>
          <w:tcPr>
            <w:tcW w:w="54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9A6F19">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Style w:val="73"/>
                <w:rFonts w:hint="eastAsia" w:ascii="宋体" w:hAnsi="宋体" w:eastAsia="宋体" w:cs="宋体"/>
                <w:b w:val="0"/>
                <w:bCs/>
                <w:color w:val="auto"/>
                <w:sz w:val="24"/>
                <w:szCs w:val="24"/>
                <w:highlight w:val="none"/>
                <w:lang w:val="en-US" w:eastAsia="zh-CN" w:bidi="ar"/>
              </w:rPr>
              <w:t>1</w:t>
            </w:r>
            <w:r>
              <w:rPr>
                <w:rStyle w:val="73"/>
                <w:rFonts w:hint="eastAsia" w:ascii="宋体" w:hAnsi="宋体" w:cs="宋体"/>
                <w:b w:val="0"/>
                <w:bCs/>
                <w:color w:val="auto"/>
                <w:sz w:val="24"/>
                <w:szCs w:val="24"/>
                <w:highlight w:val="none"/>
                <w:lang w:val="en-US" w:eastAsia="zh-CN" w:bidi="ar"/>
              </w:rPr>
              <w:t>、</w:t>
            </w:r>
            <w:r>
              <w:rPr>
                <w:rStyle w:val="73"/>
                <w:rFonts w:hint="eastAsia" w:ascii="宋体" w:hAnsi="宋体" w:eastAsia="宋体" w:cs="宋体"/>
                <w:b w:val="0"/>
                <w:bCs/>
                <w:color w:val="auto"/>
                <w:sz w:val="24"/>
                <w:szCs w:val="24"/>
                <w:highlight w:val="none"/>
                <w:lang w:val="en-US" w:eastAsia="zh-CN" w:bidi="ar"/>
              </w:rPr>
              <w:t>墙面20*30mm铝方通中距600mm打底</w:t>
            </w:r>
            <w:r>
              <w:rPr>
                <w:rStyle w:val="73"/>
                <w:rFonts w:hint="eastAsia" w:ascii="宋体" w:hAnsi="宋体" w:cs="宋体"/>
                <w:b w:val="0"/>
                <w:bCs/>
                <w:color w:val="auto"/>
                <w:sz w:val="24"/>
                <w:szCs w:val="24"/>
                <w:highlight w:val="none"/>
                <w:lang w:val="en-US" w:eastAsia="zh-CN" w:bidi="ar"/>
              </w:rPr>
              <w:t>；</w:t>
            </w:r>
            <w:r>
              <w:rPr>
                <w:rStyle w:val="73"/>
                <w:rFonts w:hint="eastAsia" w:ascii="宋体" w:hAnsi="宋体" w:eastAsia="宋体" w:cs="宋体"/>
                <w:b w:val="0"/>
                <w:bCs/>
                <w:color w:val="auto"/>
                <w:sz w:val="24"/>
                <w:szCs w:val="24"/>
                <w:highlight w:val="none"/>
                <w:lang w:val="en-US" w:eastAsia="zh-CN" w:bidi="ar"/>
              </w:rPr>
              <w:t>2</w:t>
            </w:r>
            <w:r>
              <w:rPr>
                <w:rStyle w:val="73"/>
                <w:rFonts w:hint="eastAsia" w:ascii="宋体" w:hAnsi="宋体" w:cs="宋体"/>
                <w:b w:val="0"/>
                <w:bCs/>
                <w:color w:val="auto"/>
                <w:sz w:val="24"/>
                <w:szCs w:val="24"/>
                <w:highlight w:val="none"/>
                <w:lang w:val="en-US" w:eastAsia="zh-CN" w:bidi="ar"/>
              </w:rPr>
              <w:t>、</w:t>
            </w:r>
            <w:r>
              <w:rPr>
                <w:rStyle w:val="73"/>
                <w:rFonts w:hint="eastAsia" w:ascii="宋体" w:hAnsi="宋体" w:eastAsia="宋体" w:cs="宋体"/>
                <w:b w:val="0"/>
                <w:bCs/>
                <w:color w:val="auto"/>
                <w:sz w:val="24"/>
                <w:szCs w:val="24"/>
                <w:highlight w:val="none"/>
                <w:lang w:val="en-US" w:eastAsia="zh-CN" w:bidi="ar"/>
              </w:rPr>
              <w:t>面封15厘阻燃夹板</w:t>
            </w:r>
            <w:r>
              <w:rPr>
                <w:rStyle w:val="73"/>
                <w:rFonts w:hint="eastAsia" w:ascii="宋体" w:hAnsi="宋体" w:cs="宋体"/>
                <w:b w:val="0"/>
                <w:bCs/>
                <w:color w:val="auto"/>
                <w:sz w:val="24"/>
                <w:szCs w:val="24"/>
                <w:highlight w:val="none"/>
                <w:lang w:val="en-US" w:eastAsia="zh-CN" w:bidi="ar"/>
              </w:rPr>
              <w:t>；</w:t>
            </w:r>
            <w:r>
              <w:rPr>
                <w:rStyle w:val="73"/>
                <w:rFonts w:hint="eastAsia" w:ascii="宋体" w:hAnsi="宋体" w:eastAsia="宋体" w:cs="宋体"/>
                <w:b w:val="0"/>
                <w:bCs/>
                <w:color w:val="auto"/>
                <w:sz w:val="24"/>
                <w:szCs w:val="24"/>
                <w:highlight w:val="none"/>
                <w:lang w:val="en-US" w:eastAsia="zh-CN" w:bidi="ar"/>
              </w:rPr>
              <w:t>3</w:t>
            </w:r>
            <w:r>
              <w:rPr>
                <w:rStyle w:val="73"/>
                <w:rFonts w:hint="eastAsia" w:ascii="宋体" w:hAnsi="宋体" w:cs="宋体"/>
                <w:b w:val="0"/>
                <w:bCs/>
                <w:color w:val="auto"/>
                <w:sz w:val="24"/>
                <w:szCs w:val="24"/>
                <w:highlight w:val="none"/>
                <w:lang w:val="en-US" w:eastAsia="zh-CN" w:bidi="ar"/>
              </w:rPr>
              <w:t>、</w:t>
            </w:r>
            <w:r>
              <w:rPr>
                <w:rStyle w:val="73"/>
                <w:rFonts w:hint="eastAsia" w:ascii="宋体" w:hAnsi="宋体" w:eastAsia="宋体" w:cs="宋体"/>
                <w:b w:val="0"/>
                <w:bCs/>
                <w:color w:val="auto"/>
                <w:sz w:val="24"/>
                <w:szCs w:val="24"/>
                <w:highlight w:val="none"/>
                <w:lang w:val="en-US" w:eastAsia="zh-CN" w:bidi="ar"/>
              </w:rPr>
              <w:t>定制6mm厚</w:t>
            </w:r>
            <w:r>
              <w:rPr>
                <w:rStyle w:val="70"/>
                <w:rFonts w:hint="eastAsia" w:ascii="宋体" w:hAnsi="宋体" w:eastAsia="宋体" w:cs="宋体"/>
                <w:b w:val="0"/>
                <w:bCs/>
                <w:color w:val="auto"/>
                <w:sz w:val="24"/>
                <w:szCs w:val="24"/>
                <w:highlight w:val="none"/>
                <w:lang w:val="en-US" w:eastAsia="zh-CN" w:bidi="ar"/>
              </w:rPr>
              <w:t>PVC</w:t>
            </w:r>
            <w:r>
              <w:rPr>
                <w:rStyle w:val="73"/>
                <w:rFonts w:hint="eastAsia" w:ascii="宋体" w:hAnsi="宋体" w:eastAsia="宋体" w:cs="宋体"/>
                <w:b w:val="0"/>
                <w:bCs/>
                <w:color w:val="auto"/>
                <w:sz w:val="24"/>
                <w:szCs w:val="24"/>
                <w:highlight w:val="none"/>
                <w:lang w:val="en-US" w:eastAsia="zh-CN" w:bidi="ar"/>
              </w:rPr>
              <w:t>板，面封不锈钢发光体</w:t>
            </w:r>
            <w:r>
              <w:rPr>
                <w:rStyle w:val="73"/>
                <w:rFonts w:hint="eastAsia" w:ascii="宋体" w:hAnsi="宋体" w:cs="宋体"/>
                <w:b w:val="0"/>
                <w:bCs/>
                <w:color w:val="auto"/>
                <w:sz w:val="24"/>
                <w:szCs w:val="24"/>
                <w:highlight w:val="none"/>
                <w:lang w:val="en-US" w:eastAsia="zh-CN" w:bidi="ar"/>
              </w:rPr>
              <w:t>。</w:t>
            </w:r>
          </w:p>
        </w:tc>
      </w:tr>
      <w:tr w14:paraId="1F07B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jc w:val="center"/>
        </w:trPr>
        <w:tc>
          <w:tcPr>
            <w:tcW w:w="10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CCEFE97">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4616DE1E">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钟乳石区人造钟乳石制作</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D9C9B0">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014786">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43.00</w:t>
            </w:r>
          </w:p>
        </w:tc>
        <w:tc>
          <w:tcPr>
            <w:tcW w:w="54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0E76CE">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L50×5镀锌角钢焊接主体框架喷涂防锈漆</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Φ8钢筋焊接山体轮廓，间距≤300mm，喷涂防锈漆</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镀锌钢丝网（孔径≤20mm）覆盖骨架，用扎丝固定</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4</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2.5水泥砂浆（+抗裂纤维）打底，厚度30mm</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5</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1.5水泥砂浆塑形，配合氧化铁颜料调色，模仿自然山石纹理</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6</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用海绵、刷子等工具塑造肌理，喷真石漆增强仿真度，提高耐候性。</w:t>
            </w:r>
          </w:p>
        </w:tc>
      </w:tr>
      <w:tr w14:paraId="22D49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jc w:val="center"/>
        </w:trPr>
        <w:tc>
          <w:tcPr>
            <w:tcW w:w="10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2B2DD42">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4F2702D7">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墙面教学成果展示区制作</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D0FA86">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A280CF">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16.00</w:t>
            </w:r>
          </w:p>
        </w:tc>
        <w:tc>
          <w:tcPr>
            <w:tcW w:w="54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0397FD">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墙面20*30mm铝方通中距600mm打底</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面封15厘阻燃夹板</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8mm厚碳晶板饰面。</w:t>
            </w:r>
          </w:p>
        </w:tc>
      </w:tr>
      <w:tr w14:paraId="3A68B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1041" w:type="dxa"/>
            <w:vMerge w:val="continue"/>
            <w:tcBorders>
              <w:top w:val="single" w:color="auto" w:sz="4" w:space="0"/>
              <w:left w:val="single" w:color="auto" w:sz="4" w:space="0"/>
              <w:right w:val="single" w:color="000000" w:sz="4" w:space="0"/>
            </w:tcBorders>
            <w:shd w:val="clear" w:color="auto" w:fill="auto"/>
            <w:noWrap/>
            <w:vAlign w:val="center"/>
          </w:tcPr>
          <w:p w14:paraId="4E95413E">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auto" w:sz="4" w:space="0"/>
              <w:left w:val="single" w:color="000000" w:sz="4" w:space="0"/>
              <w:bottom w:val="single" w:color="000000" w:sz="4" w:space="0"/>
              <w:right w:val="single" w:color="000000" w:sz="4" w:space="0"/>
            </w:tcBorders>
            <w:shd w:val="clear" w:color="auto" w:fill="auto"/>
            <w:vAlign w:val="center"/>
          </w:tcPr>
          <w:p w14:paraId="0C39AC72">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矿洞区人造矿洞制作（洞内造景制作）</w:t>
            </w:r>
          </w:p>
        </w:tc>
        <w:tc>
          <w:tcPr>
            <w:tcW w:w="65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2BF67F6">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A4E1C10">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17.00</w:t>
            </w:r>
          </w:p>
        </w:tc>
        <w:tc>
          <w:tcPr>
            <w:tcW w:w="5451"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73CE104">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L50×5镀锌角钢焊接主体框架喷涂防锈漆</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Φ8钢筋焊接山体轮廓，间距≤300mm，喷涂防锈漆</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镀锌钢丝网（孔径≤20mm）覆盖骨架，用扎丝固定</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4</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1:2.5水泥砂浆（+抗裂纤维）打底，厚度30mm</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5</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1:1.5水泥砂浆塑形，配合氧化铁颜料调色，模仿自然山石纹理</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6</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用海绵、刷子等工具塑造肌理，喷真石漆增强仿真度，提高耐候性。</w:t>
            </w:r>
          </w:p>
        </w:tc>
      </w:tr>
      <w:tr w14:paraId="38A87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3" w:hRule="atLeast"/>
          <w:jc w:val="center"/>
        </w:trPr>
        <w:tc>
          <w:tcPr>
            <w:tcW w:w="1041" w:type="dxa"/>
            <w:vMerge w:val="continue"/>
            <w:tcBorders>
              <w:left w:val="single" w:color="auto" w:sz="4" w:space="0"/>
              <w:right w:val="single" w:color="000000" w:sz="4" w:space="0"/>
            </w:tcBorders>
            <w:shd w:val="clear" w:color="auto" w:fill="auto"/>
            <w:noWrap/>
            <w:vAlign w:val="center"/>
          </w:tcPr>
          <w:p w14:paraId="1130C422">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7946">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矿洞区人造矿洞制作（洞外喀斯特地貌造景制作）</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5B596">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88F0E">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36.00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07E4E">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L50×5镀锌角钢焊接主体框架喷涂防锈漆</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Φ8钢筋焊接山体轮廓，间距≤300mm，喷涂防锈漆</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镀锌钢丝网（孔径≤20mm）覆盖骨架，用扎丝固定</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4</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1:2.5水泥砂浆（+抗裂纤维）打底，厚度30mm</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5</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1:1.5水泥砂浆塑形，配合氧化铁颜料调色，模仿自然山石纹理</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6</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用海绵、刷子等工具塑造肌理，喷真石漆增强仿真度，提高耐候性。</w:t>
            </w:r>
          </w:p>
        </w:tc>
      </w:tr>
      <w:tr w14:paraId="5F376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1041" w:type="dxa"/>
            <w:vMerge w:val="continue"/>
            <w:tcBorders>
              <w:left w:val="single" w:color="auto" w:sz="4" w:space="0"/>
              <w:right w:val="single" w:color="000000" w:sz="4" w:space="0"/>
            </w:tcBorders>
            <w:shd w:val="clear" w:color="auto" w:fill="auto"/>
            <w:noWrap/>
            <w:vAlign w:val="center"/>
          </w:tcPr>
          <w:p w14:paraId="64381B1F">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498D">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Style w:val="67"/>
                <w:rFonts w:hint="eastAsia" w:ascii="宋体" w:hAnsi="宋体" w:eastAsia="宋体" w:cs="宋体"/>
                <w:color w:val="auto"/>
                <w:sz w:val="24"/>
                <w:szCs w:val="24"/>
                <w:highlight w:val="none"/>
                <w:lang w:val="en-US" w:eastAsia="zh-CN" w:bidi="ar"/>
              </w:rPr>
              <w:t>墙面</w:t>
            </w:r>
            <w:r>
              <w:rPr>
                <w:rStyle w:val="66"/>
                <w:rFonts w:hint="eastAsia" w:ascii="宋体" w:hAnsi="宋体" w:eastAsia="宋体" w:cs="宋体"/>
                <w:color w:val="auto"/>
                <w:sz w:val="24"/>
                <w:szCs w:val="24"/>
                <w:highlight w:val="none"/>
                <w:lang w:val="en-US" w:eastAsia="zh-CN" w:bidi="ar"/>
              </w:rPr>
              <w:t>AI</w:t>
            </w:r>
            <w:r>
              <w:rPr>
                <w:rStyle w:val="67"/>
                <w:rFonts w:hint="eastAsia" w:ascii="宋体" w:hAnsi="宋体" w:eastAsia="宋体" w:cs="宋体"/>
                <w:color w:val="auto"/>
                <w:sz w:val="24"/>
                <w:szCs w:val="24"/>
                <w:highlight w:val="none"/>
                <w:lang w:val="en-US" w:eastAsia="zh-CN" w:bidi="ar"/>
              </w:rPr>
              <w:t>数字人交互系统介绍区制作（未含电子设备及展示资料）</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9E94B">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09FCD">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23.00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D31BB">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墙面20*30mm铝方通中距600mm打底</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面封15厘阻燃夹板</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8mm厚碳晶板饰面。</w:t>
            </w:r>
          </w:p>
        </w:tc>
      </w:tr>
      <w:tr w14:paraId="71057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1041" w:type="dxa"/>
            <w:vMerge w:val="continue"/>
            <w:tcBorders>
              <w:left w:val="single" w:color="auto" w:sz="4" w:space="0"/>
              <w:right w:val="single" w:color="000000" w:sz="4" w:space="0"/>
            </w:tcBorders>
            <w:shd w:val="clear" w:color="auto" w:fill="auto"/>
            <w:noWrap/>
            <w:vAlign w:val="center"/>
          </w:tcPr>
          <w:p w14:paraId="1657A3E1">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48E29">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墙面岩石展示区制作（未含电子设备及展示资料）</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CFEDD">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35360">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24.30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28CB7">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墙面20*30mm铝方通中距600mm打底</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面封15厘阻燃夹板</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8mm厚碳晶板饰面。</w:t>
            </w:r>
          </w:p>
        </w:tc>
      </w:tr>
      <w:tr w14:paraId="69851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1041" w:type="dxa"/>
            <w:vMerge w:val="continue"/>
            <w:tcBorders>
              <w:left w:val="single" w:color="auto" w:sz="4" w:space="0"/>
              <w:right w:val="single" w:color="000000" w:sz="4" w:space="0"/>
            </w:tcBorders>
            <w:shd w:val="clear" w:color="auto" w:fill="auto"/>
            <w:noWrap/>
            <w:vAlign w:val="center"/>
          </w:tcPr>
          <w:p w14:paraId="2F45857D">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986C0">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Style w:val="66"/>
                <w:rFonts w:hint="eastAsia" w:ascii="宋体" w:hAnsi="宋体" w:eastAsia="宋体" w:cs="宋体"/>
                <w:color w:val="auto"/>
                <w:sz w:val="24"/>
                <w:szCs w:val="24"/>
                <w:highlight w:val="none"/>
                <w:lang w:val="en-US" w:eastAsia="zh-CN" w:bidi="ar"/>
              </w:rPr>
              <w:t>3D</w:t>
            </w:r>
            <w:r>
              <w:rPr>
                <w:rStyle w:val="67"/>
                <w:rFonts w:hint="eastAsia" w:ascii="宋体" w:hAnsi="宋体" w:eastAsia="宋体" w:cs="宋体"/>
                <w:color w:val="auto"/>
                <w:sz w:val="24"/>
                <w:szCs w:val="24"/>
                <w:highlight w:val="none"/>
                <w:lang w:val="en-US" w:eastAsia="zh-CN" w:bidi="ar"/>
              </w:rPr>
              <w:t>教学区背景墙制作（未含电子教学设备）</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943B3">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1D224">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16.00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47C14">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墙面20*30mm铝方通中距600mm打底</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面封15厘阻燃夹板</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8mm厚碳晶板饰面。</w:t>
            </w:r>
          </w:p>
        </w:tc>
      </w:tr>
      <w:tr w14:paraId="621E4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1041" w:type="dxa"/>
            <w:vMerge w:val="continue"/>
            <w:tcBorders>
              <w:left w:val="single" w:color="auto" w:sz="4" w:space="0"/>
              <w:right w:val="single" w:color="000000" w:sz="4" w:space="0"/>
            </w:tcBorders>
            <w:shd w:val="clear" w:color="auto" w:fill="auto"/>
            <w:noWrap/>
            <w:vAlign w:val="center"/>
          </w:tcPr>
          <w:p w14:paraId="303A6AE8">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A177">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走廊文化墙展示区（未含展示资料及设备）</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B78F2">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1A1AA">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87.00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C3829">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墙面20*30mm铝方通中距600mm打底</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面封15厘阻燃夹板</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8mm厚碳晶板饰面。</w:t>
            </w:r>
          </w:p>
        </w:tc>
      </w:tr>
      <w:tr w14:paraId="07DBE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41" w:type="dxa"/>
            <w:vMerge w:val="continue"/>
            <w:tcBorders>
              <w:left w:val="single" w:color="auto" w:sz="4" w:space="0"/>
              <w:right w:val="single" w:color="000000" w:sz="4" w:space="0"/>
            </w:tcBorders>
            <w:shd w:val="clear" w:color="auto" w:fill="auto"/>
            <w:noWrap/>
            <w:vAlign w:val="center"/>
          </w:tcPr>
          <w:p w14:paraId="1E54EA2C">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CE3A">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分区拱形造型隔断</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C8E5D">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5C955">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13.00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83E21">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val="0"/>
                <w:i w:val="0"/>
                <w:iCs w:val="0"/>
                <w:color w:val="auto"/>
                <w:sz w:val="24"/>
                <w:szCs w:val="24"/>
                <w:highlight w:val="none"/>
                <w:u w:val="none"/>
                <w:lang w:val="en-US" w:eastAsia="zh-CN" w:bidi="ar-SA"/>
              </w:rPr>
            </w:pPr>
            <w:r>
              <w:rPr>
                <w:rStyle w:val="70"/>
                <w:rFonts w:hint="eastAsia" w:ascii="宋体" w:hAnsi="宋体" w:eastAsia="宋体" w:cs="宋体"/>
                <w:b w:val="0"/>
                <w:bCs w:val="0"/>
                <w:color w:val="auto"/>
                <w:sz w:val="24"/>
                <w:szCs w:val="24"/>
                <w:highlight w:val="none"/>
                <w:lang w:val="en-US" w:eastAsia="zh-CN" w:bidi="ar"/>
              </w:rPr>
              <w:t>15</w:t>
            </w:r>
            <w:r>
              <w:rPr>
                <w:rStyle w:val="73"/>
                <w:rFonts w:hint="eastAsia" w:ascii="宋体" w:hAnsi="宋体" w:eastAsia="宋体" w:cs="宋体"/>
                <w:b w:val="0"/>
                <w:bCs w:val="0"/>
                <w:color w:val="auto"/>
                <w:sz w:val="24"/>
                <w:szCs w:val="24"/>
                <w:highlight w:val="none"/>
                <w:lang w:val="en-US" w:eastAsia="zh-CN" w:bidi="ar"/>
              </w:rPr>
              <w:t>厘阻燃夹板、</w:t>
            </w:r>
            <w:r>
              <w:rPr>
                <w:rStyle w:val="70"/>
                <w:rFonts w:hint="eastAsia" w:ascii="宋体" w:hAnsi="宋体" w:eastAsia="宋体" w:cs="宋体"/>
                <w:b w:val="0"/>
                <w:bCs w:val="0"/>
                <w:color w:val="auto"/>
                <w:sz w:val="24"/>
                <w:szCs w:val="24"/>
                <w:highlight w:val="none"/>
                <w:lang w:val="en-US" w:eastAsia="zh-CN" w:bidi="ar"/>
              </w:rPr>
              <w:t>9.5</w:t>
            </w:r>
            <w:r>
              <w:rPr>
                <w:rStyle w:val="73"/>
                <w:rFonts w:hint="eastAsia" w:ascii="宋体" w:hAnsi="宋体" w:eastAsia="宋体" w:cs="宋体"/>
                <w:b w:val="0"/>
                <w:bCs w:val="0"/>
                <w:color w:val="auto"/>
                <w:sz w:val="24"/>
                <w:szCs w:val="24"/>
                <w:highlight w:val="none"/>
                <w:lang w:val="en-US" w:eastAsia="zh-CN" w:bidi="ar"/>
              </w:rPr>
              <w:t>厘石膏板。</w:t>
            </w:r>
          </w:p>
        </w:tc>
      </w:tr>
      <w:tr w14:paraId="7DD37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41" w:type="dxa"/>
            <w:vMerge w:val="continue"/>
            <w:tcBorders>
              <w:left w:val="single" w:color="auto" w:sz="4" w:space="0"/>
              <w:right w:val="single" w:color="000000" w:sz="4" w:space="0"/>
            </w:tcBorders>
            <w:shd w:val="clear" w:color="auto" w:fill="auto"/>
            <w:noWrap/>
            <w:vAlign w:val="center"/>
          </w:tcPr>
          <w:p w14:paraId="487F4E83">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45020">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Style w:val="66"/>
                <w:rFonts w:hint="eastAsia" w:ascii="宋体" w:hAnsi="宋体" w:eastAsia="宋体" w:cs="宋体"/>
                <w:color w:val="auto"/>
                <w:sz w:val="24"/>
                <w:szCs w:val="24"/>
                <w:highlight w:val="none"/>
                <w:lang w:val="en-US" w:eastAsia="zh-CN" w:bidi="ar"/>
              </w:rPr>
              <w:t>VR</w:t>
            </w:r>
            <w:r>
              <w:rPr>
                <w:rStyle w:val="67"/>
                <w:rFonts w:hint="eastAsia" w:ascii="宋体" w:hAnsi="宋体" w:eastAsia="宋体" w:cs="宋体"/>
                <w:color w:val="auto"/>
                <w:sz w:val="24"/>
                <w:szCs w:val="24"/>
                <w:highlight w:val="none"/>
                <w:lang w:val="en-US" w:eastAsia="zh-CN" w:bidi="ar"/>
              </w:rPr>
              <w:t>体验区展示台</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D6C95">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3C4BE">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15805">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展示台专业定制</w:t>
            </w:r>
          </w:p>
        </w:tc>
      </w:tr>
      <w:tr w14:paraId="4B052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41" w:type="dxa"/>
            <w:vMerge w:val="continue"/>
            <w:tcBorders>
              <w:left w:val="single" w:color="auto" w:sz="4" w:space="0"/>
              <w:right w:val="single" w:color="000000" w:sz="4" w:space="0"/>
            </w:tcBorders>
            <w:shd w:val="clear" w:color="auto" w:fill="auto"/>
            <w:noWrap/>
            <w:vAlign w:val="center"/>
          </w:tcPr>
          <w:p w14:paraId="3146BA25">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9013D">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Style w:val="66"/>
                <w:rFonts w:hint="eastAsia" w:ascii="宋体" w:hAnsi="宋体" w:eastAsia="宋体" w:cs="宋体"/>
                <w:color w:val="auto"/>
                <w:sz w:val="24"/>
                <w:szCs w:val="24"/>
                <w:highlight w:val="none"/>
                <w:lang w:val="en-US" w:eastAsia="zh-CN" w:bidi="ar"/>
              </w:rPr>
              <w:t>AI</w:t>
            </w:r>
            <w:r>
              <w:rPr>
                <w:rStyle w:val="67"/>
                <w:rFonts w:hint="eastAsia" w:ascii="宋体" w:hAnsi="宋体" w:eastAsia="宋体" w:cs="宋体"/>
                <w:color w:val="auto"/>
                <w:sz w:val="24"/>
                <w:szCs w:val="24"/>
                <w:highlight w:val="none"/>
                <w:lang w:val="en-US" w:eastAsia="zh-CN" w:bidi="ar"/>
              </w:rPr>
              <w:t>数字展示区展示台</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71499">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7C770">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14C1">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展示台专业定制</w:t>
            </w:r>
          </w:p>
        </w:tc>
      </w:tr>
      <w:tr w14:paraId="2F0AE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41" w:type="dxa"/>
            <w:vMerge w:val="continue"/>
            <w:tcBorders>
              <w:left w:val="single" w:color="auto" w:sz="4" w:space="0"/>
              <w:bottom w:val="single" w:color="auto" w:sz="4" w:space="0"/>
              <w:right w:val="single" w:color="000000" w:sz="4" w:space="0"/>
            </w:tcBorders>
            <w:shd w:val="clear" w:color="auto" w:fill="auto"/>
            <w:noWrap/>
            <w:vAlign w:val="center"/>
          </w:tcPr>
          <w:p w14:paraId="4FD88F32">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auto" w:sz="4" w:space="0"/>
              <w:right w:val="single" w:color="000000" w:sz="4" w:space="0"/>
            </w:tcBorders>
            <w:shd w:val="clear" w:color="auto" w:fill="auto"/>
            <w:vAlign w:val="center"/>
          </w:tcPr>
          <w:p w14:paraId="441FFF28">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Style w:val="67"/>
                <w:rFonts w:hint="eastAsia" w:ascii="宋体" w:hAnsi="宋体" w:eastAsia="宋体" w:cs="宋体"/>
                <w:color w:val="auto"/>
                <w:sz w:val="24"/>
                <w:szCs w:val="24"/>
                <w:highlight w:val="none"/>
                <w:lang w:val="en-US" w:eastAsia="zh-CN" w:bidi="ar"/>
              </w:rPr>
              <w:t>学院</w:t>
            </w:r>
            <w:r>
              <w:rPr>
                <w:rStyle w:val="66"/>
                <w:rFonts w:hint="eastAsia" w:ascii="宋体" w:hAnsi="宋体" w:eastAsia="宋体" w:cs="宋体"/>
                <w:color w:val="auto"/>
                <w:sz w:val="24"/>
                <w:szCs w:val="24"/>
                <w:highlight w:val="none"/>
                <w:lang w:val="en-US" w:eastAsia="zh-CN" w:bidi="ar"/>
              </w:rPr>
              <w:t>LOGO</w:t>
            </w:r>
            <w:r>
              <w:rPr>
                <w:rStyle w:val="67"/>
                <w:rFonts w:hint="eastAsia" w:ascii="宋体" w:hAnsi="宋体" w:eastAsia="宋体" w:cs="宋体"/>
                <w:color w:val="auto"/>
                <w:sz w:val="24"/>
                <w:szCs w:val="24"/>
                <w:highlight w:val="none"/>
                <w:lang w:val="en-US" w:eastAsia="zh-CN" w:bidi="ar"/>
              </w:rPr>
              <w:t>制作</w:t>
            </w:r>
          </w:p>
        </w:tc>
        <w:tc>
          <w:tcPr>
            <w:tcW w:w="65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323DFE7">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8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AE2E5F3">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w:t>
            </w:r>
          </w:p>
        </w:tc>
        <w:tc>
          <w:tcPr>
            <w:tcW w:w="545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AEC3500">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展示台专业定制</w:t>
            </w:r>
          </w:p>
        </w:tc>
      </w:tr>
      <w:tr w14:paraId="4B01D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jc w:val="center"/>
        </w:trPr>
        <w:tc>
          <w:tcPr>
            <w:tcW w:w="104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6C432CF">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水电工程</w:t>
            </w: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61B79329">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强电布线安装</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CB4411">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711288">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180.00</w:t>
            </w:r>
          </w:p>
        </w:tc>
        <w:tc>
          <w:tcPr>
            <w:tcW w:w="54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F07D85">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Style w:val="73"/>
                <w:rFonts w:hint="eastAsia" w:ascii="宋体" w:hAnsi="宋体" w:eastAsia="宋体" w:cs="宋体"/>
                <w:b w:val="0"/>
                <w:bCs/>
                <w:color w:val="auto"/>
                <w:sz w:val="24"/>
                <w:szCs w:val="24"/>
                <w:highlight w:val="none"/>
                <w:lang w:val="en-US" w:eastAsia="zh-CN" w:bidi="ar"/>
              </w:rPr>
              <w:t>桂林国际铜芯线、2.0mm</w:t>
            </w:r>
            <w:r>
              <w:rPr>
                <w:rStyle w:val="70"/>
                <w:rFonts w:hint="eastAsia" w:ascii="宋体" w:hAnsi="宋体" w:eastAsia="宋体" w:cs="宋体"/>
                <w:b w:val="0"/>
                <w:bCs/>
                <w:color w:val="auto"/>
                <w:sz w:val="24"/>
                <w:szCs w:val="24"/>
                <w:highlight w:val="none"/>
                <w:lang w:val="en-US" w:eastAsia="zh-CN" w:bidi="ar"/>
              </w:rPr>
              <w:t>PVC</w:t>
            </w:r>
            <w:r>
              <w:rPr>
                <w:rStyle w:val="73"/>
                <w:rFonts w:hint="eastAsia" w:ascii="宋体" w:hAnsi="宋体" w:eastAsia="宋体" w:cs="宋体"/>
                <w:b w:val="0"/>
                <w:bCs/>
                <w:color w:val="auto"/>
                <w:sz w:val="24"/>
                <w:szCs w:val="24"/>
                <w:highlight w:val="none"/>
                <w:lang w:val="en-US" w:eastAsia="zh-CN" w:bidi="ar"/>
              </w:rPr>
              <w:t>线管墙面地面暗敷，天花处线管走桥架，包含</w:t>
            </w:r>
            <w:r>
              <w:rPr>
                <w:rStyle w:val="70"/>
                <w:rFonts w:hint="eastAsia" w:ascii="宋体" w:hAnsi="宋体" w:eastAsia="宋体" w:cs="宋体"/>
                <w:b w:val="0"/>
                <w:bCs/>
                <w:color w:val="auto"/>
                <w:sz w:val="24"/>
                <w:szCs w:val="24"/>
                <w:highlight w:val="none"/>
                <w:lang w:val="en-US" w:eastAsia="zh-CN" w:bidi="ar"/>
              </w:rPr>
              <w:t>TCL</w:t>
            </w:r>
            <w:r>
              <w:rPr>
                <w:rStyle w:val="73"/>
                <w:rFonts w:hint="eastAsia" w:ascii="宋体" w:hAnsi="宋体" w:eastAsia="宋体" w:cs="宋体"/>
                <w:b w:val="0"/>
                <w:bCs/>
                <w:color w:val="auto"/>
                <w:sz w:val="24"/>
                <w:szCs w:val="24"/>
                <w:highlight w:val="none"/>
                <w:lang w:val="en-US" w:eastAsia="zh-CN" w:bidi="ar"/>
              </w:rPr>
              <w:t>开关插座面板、电箱。</w:t>
            </w:r>
          </w:p>
        </w:tc>
      </w:tr>
      <w:tr w14:paraId="089D5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jc w:val="center"/>
        </w:trPr>
        <w:tc>
          <w:tcPr>
            <w:tcW w:w="10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25605BE">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auto" w:sz="4" w:space="0"/>
              <w:left w:val="single" w:color="auto" w:sz="4" w:space="0"/>
              <w:bottom w:val="single" w:color="auto" w:sz="4" w:space="0"/>
              <w:right w:val="single" w:color="auto" w:sz="4" w:space="0"/>
            </w:tcBorders>
            <w:shd w:val="clear" w:color="auto" w:fill="auto"/>
            <w:vAlign w:val="center"/>
          </w:tcPr>
          <w:p w14:paraId="6EFBAE4D">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弱电布线安装</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CDA792">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664C3E">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180.00</w:t>
            </w:r>
          </w:p>
        </w:tc>
        <w:tc>
          <w:tcPr>
            <w:tcW w:w="54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D7CB41">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Style w:val="73"/>
                <w:rFonts w:hint="eastAsia" w:ascii="宋体" w:hAnsi="宋体" w:eastAsia="宋体" w:cs="宋体"/>
                <w:b w:val="0"/>
                <w:bCs/>
                <w:color w:val="auto"/>
                <w:sz w:val="24"/>
                <w:szCs w:val="24"/>
                <w:highlight w:val="none"/>
                <w:lang w:val="en-US" w:eastAsia="zh-CN" w:bidi="ar"/>
              </w:rPr>
              <w:t>2.0mm镀锌线管墙地面暗敷，天花走桥架，强弱电水平走向间距</w:t>
            </w:r>
            <w:r>
              <w:rPr>
                <w:rStyle w:val="82"/>
                <w:rFonts w:hint="eastAsia" w:ascii="宋体" w:hAnsi="宋体" w:eastAsia="宋体" w:cs="宋体"/>
                <w:b w:val="0"/>
                <w:bCs/>
                <w:color w:val="auto"/>
                <w:sz w:val="24"/>
                <w:szCs w:val="24"/>
                <w:highlight w:val="none"/>
                <w:lang w:val="en-US" w:eastAsia="zh-CN" w:bidi="ar"/>
              </w:rPr>
              <w:t>≥</w:t>
            </w:r>
            <w:r>
              <w:rPr>
                <w:rStyle w:val="73"/>
                <w:rFonts w:hint="eastAsia" w:ascii="宋体" w:hAnsi="宋体" w:eastAsia="宋体" w:cs="宋体"/>
                <w:b w:val="0"/>
                <w:bCs/>
                <w:color w:val="auto"/>
                <w:sz w:val="24"/>
                <w:szCs w:val="24"/>
                <w:highlight w:val="none"/>
                <w:lang w:val="en-US" w:eastAsia="zh-CN" w:bidi="ar"/>
              </w:rPr>
              <w:t>300mm,超六类网络线、</w:t>
            </w:r>
            <w:r>
              <w:rPr>
                <w:rStyle w:val="70"/>
                <w:rFonts w:hint="eastAsia" w:ascii="宋体" w:hAnsi="宋体" w:eastAsia="宋体" w:cs="宋体"/>
                <w:b w:val="0"/>
                <w:bCs/>
                <w:color w:val="auto"/>
                <w:sz w:val="24"/>
                <w:szCs w:val="24"/>
                <w:highlight w:val="none"/>
                <w:lang w:val="en-US" w:eastAsia="zh-CN" w:bidi="ar"/>
              </w:rPr>
              <w:t>TCL</w:t>
            </w:r>
            <w:r>
              <w:rPr>
                <w:rStyle w:val="73"/>
                <w:rFonts w:hint="eastAsia" w:ascii="宋体" w:hAnsi="宋体" w:eastAsia="宋体" w:cs="宋体"/>
                <w:b w:val="0"/>
                <w:bCs/>
                <w:color w:val="auto"/>
                <w:sz w:val="24"/>
                <w:szCs w:val="24"/>
                <w:highlight w:val="none"/>
                <w:lang w:val="en-US" w:eastAsia="zh-CN" w:bidi="ar"/>
              </w:rPr>
              <w:t>面板。</w:t>
            </w:r>
          </w:p>
        </w:tc>
      </w:tr>
      <w:tr w14:paraId="3599D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1041" w:type="dxa"/>
            <w:vMerge w:val="continue"/>
            <w:tcBorders>
              <w:top w:val="single" w:color="auto" w:sz="4" w:space="0"/>
              <w:left w:val="single" w:color="auto" w:sz="4" w:space="0"/>
              <w:right w:val="single" w:color="000000" w:sz="4" w:space="0"/>
            </w:tcBorders>
            <w:shd w:val="clear" w:color="auto" w:fill="auto"/>
            <w:noWrap/>
            <w:vAlign w:val="center"/>
          </w:tcPr>
          <w:p w14:paraId="6DE52B04">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auto" w:sz="4" w:space="0"/>
              <w:left w:val="single" w:color="000000" w:sz="4" w:space="0"/>
              <w:bottom w:val="single" w:color="000000" w:sz="4" w:space="0"/>
              <w:right w:val="single" w:color="000000" w:sz="4" w:space="0"/>
            </w:tcBorders>
            <w:shd w:val="clear" w:color="auto" w:fill="auto"/>
            <w:vAlign w:val="center"/>
          </w:tcPr>
          <w:p w14:paraId="21203B96">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Style w:val="66"/>
                <w:rFonts w:hint="eastAsia" w:ascii="宋体" w:hAnsi="宋体" w:eastAsia="宋体" w:cs="宋体"/>
                <w:color w:val="auto"/>
                <w:sz w:val="24"/>
                <w:szCs w:val="24"/>
                <w:highlight w:val="none"/>
                <w:lang w:val="en-US" w:eastAsia="zh-CN" w:bidi="ar"/>
              </w:rPr>
              <w:t>5</w:t>
            </w:r>
            <w:r>
              <w:rPr>
                <w:rStyle w:val="67"/>
                <w:rFonts w:hint="eastAsia" w:ascii="宋体" w:hAnsi="宋体" w:eastAsia="宋体" w:cs="宋体"/>
                <w:color w:val="auto"/>
                <w:sz w:val="24"/>
                <w:szCs w:val="24"/>
                <w:highlight w:val="none"/>
                <w:lang w:val="en-US" w:eastAsia="zh-CN" w:bidi="ar"/>
              </w:rPr>
              <w:t>寸</w:t>
            </w:r>
            <w:r>
              <w:rPr>
                <w:rStyle w:val="66"/>
                <w:rFonts w:hint="eastAsia" w:ascii="宋体" w:hAnsi="宋体" w:eastAsia="宋体" w:cs="宋体"/>
                <w:color w:val="auto"/>
                <w:sz w:val="24"/>
                <w:szCs w:val="24"/>
                <w:highlight w:val="none"/>
                <w:lang w:val="en-US" w:eastAsia="zh-CN" w:bidi="ar"/>
              </w:rPr>
              <w:t>LED</w:t>
            </w:r>
            <w:r>
              <w:rPr>
                <w:rStyle w:val="67"/>
                <w:rFonts w:hint="eastAsia" w:ascii="宋体" w:hAnsi="宋体" w:eastAsia="宋体" w:cs="宋体"/>
                <w:color w:val="auto"/>
                <w:sz w:val="24"/>
                <w:szCs w:val="24"/>
                <w:highlight w:val="none"/>
                <w:lang w:val="en-US" w:eastAsia="zh-CN" w:bidi="ar"/>
              </w:rPr>
              <w:t>筒灯</w:t>
            </w:r>
          </w:p>
        </w:tc>
        <w:tc>
          <w:tcPr>
            <w:tcW w:w="65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D516987">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8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7B9DFC9">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46.00</w:t>
            </w:r>
          </w:p>
        </w:tc>
        <w:tc>
          <w:tcPr>
            <w:tcW w:w="5451"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20E8F11">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Style w:val="73"/>
                <w:rFonts w:hint="eastAsia" w:ascii="宋体" w:hAnsi="宋体" w:eastAsia="宋体" w:cs="宋体"/>
                <w:b w:val="0"/>
                <w:bCs/>
                <w:color w:val="auto"/>
                <w:sz w:val="24"/>
                <w:szCs w:val="24"/>
                <w:highlight w:val="none"/>
                <w:lang w:val="en-US" w:eastAsia="zh-CN" w:bidi="ar"/>
              </w:rPr>
              <w:t>三雄极光电气,Ra</w:t>
            </w:r>
            <w:r>
              <w:rPr>
                <w:rStyle w:val="82"/>
                <w:rFonts w:hint="eastAsia" w:ascii="宋体" w:hAnsi="宋体" w:eastAsia="宋体" w:cs="宋体"/>
                <w:b w:val="0"/>
                <w:bCs/>
                <w:color w:val="auto"/>
                <w:sz w:val="24"/>
                <w:szCs w:val="24"/>
                <w:highlight w:val="none"/>
                <w:lang w:val="en-US" w:eastAsia="zh-CN" w:bidi="ar"/>
              </w:rPr>
              <w:t>≥</w:t>
            </w:r>
            <w:r>
              <w:rPr>
                <w:rStyle w:val="73"/>
                <w:rFonts w:hint="eastAsia" w:ascii="宋体" w:hAnsi="宋体" w:eastAsia="宋体" w:cs="宋体"/>
                <w:b w:val="0"/>
                <w:bCs/>
                <w:color w:val="auto"/>
                <w:sz w:val="24"/>
                <w:szCs w:val="24"/>
                <w:highlight w:val="none"/>
                <w:lang w:val="en-US" w:eastAsia="zh-CN" w:bidi="ar"/>
              </w:rPr>
              <w:t>97,COB光源嵌入式9w筒灯,通光量600lm,UCR</w:t>
            </w:r>
            <w:r>
              <w:rPr>
                <w:rStyle w:val="83"/>
                <w:rFonts w:hint="eastAsia" w:ascii="宋体" w:hAnsi="宋体" w:eastAsia="宋体" w:cs="宋体"/>
                <w:b w:val="0"/>
                <w:bCs/>
                <w:color w:val="auto"/>
                <w:sz w:val="24"/>
                <w:szCs w:val="24"/>
                <w:highlight w:val="none"/>
                <w:lang w:val="en-US" w:eastAsia="zh-CN" w:bidi="ar"/>
              </w:rPr>
              <w:t>&lt;</w:t>
            </w:r>
            <w:r>
              <w:rPr>
                <w:rStyle w:val="73"/>
                <w:rFonts w:hint="eastAsia" w:ascii="宋体" w:hAnsi="宋体" w:eastAsia="宋体" w:cs="宋体"/>
                <w:b w:val="0"/>
                <w:bCs/>
                <w:color w:val="auto"/>
                <w:sz w:val="24"/>
                <w:szCs w:val="24"/>
                <w:highlight w:val="none"/>
                <w:lang w:val="en-US" w:eastAsia="zh-CN" w:bidi="ar"/>
              </w:rPr>
              <w:t>5，IP54，AC240.</w:t>
            </w:r>
          </w:p>
        </w:tc>
      </w:tr>
      <w:tr w14:paraId="1A58B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jc w:val="center"/>
        </w:trPr>
        <w:tc>
          <w:tcPr>
            <w:tcW w:w="1041" w:type="dxa"/>
            <w:vMerge w:val="continue"/>
            <w:tcBorders>
              <w:left w:val="single" w:color="auto" w:sz="4" w:space="0"/>
              <w:right w:val="single" w:color="000000" w:sz="4" w:space="0"/>
            </w:tcBorders>
            <w:shd w:val="clear" w:color="auto" w:fill="auto"/>
            <w:noWrap/>
            <w:vAlign w:val="center"/>
          </w:tcPr>
          <w:p w14:paraId="05AD19B8">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DF90">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Style w:val="66"/>
                <w:rFonts w:hint="eastAsia" w:ascii="宋体" w:hAnsi="宋体" w:eastAsia="宋体" w:cs="宋体"/>
                <w:color w:val="auto"/>
                <w:sz w:val="24"/>
                <w:szCs w:val="24"/>
                <w:highlight w:val="none"/>
                <w:lang w:val="en-US" w:eastAsia="zh-CN" w:bidi="ar"/>
              </w:rPr>
              <w:t>3</w:t>
            </w:r>
            <w:r>
              <w:rPr>
                <w:rStyle w:val="67"/>
                <w:rFonts w:hint="eastAsia" w:ascii="宋体" w:hAnsi="宋体" w:eastAsia="宋体" w:cs="宋体"/>
                <w:color w:val="auto"/>
                <w:sz w:val="24"/>
                <w:szCs w:val="24"/>
                <w:highlight w:val="none"/>
                <w:lang w:val="en-US" w:eastAsia="zh-CN" w:bidi="ar"/>
              </w:rPr>
              <w:t>寸</w:t>
            </w:r>
            <w:r>
              <w:rPr>
                <w:rStyle w:val="66"/>
                <w:rFonts w:hint="eastAsia" w:ascii="宋体" w:hAnsi="宋体" w:eastAsia="宋体" w:cs="宋体"/>
                <w:color w:val="auto"/>
                <w:sz w:val="24"/>
                <w:szCs w:val="24"/>
                <w:highlight w:val="none"/>
                <w:lang w:val="en-US" w:eastAsia="zh-CN" w:bidi="ar"/>
              </w:rPr>
              <w:t>LED</w:t>
            </w:r>
            <w:r>
              <w:rPr>
                <w:rStyle w:val="67"/>
                <w:rFonts w:hint="eastAsia" w:ascii="宋体" w:hAnsi="宋体" w:eastAsia="宋体" w:cs="宋体"/>
                <w:color w:val="auto"/>
                <w:sz w:val="24"/>
                <w:szCs w:val="24"/>
                <w:highlight w:val="none"/>
                <w:lang w:val="en-US" w:eastAsia="zh-CN" w:bidi="ar"/>
              </w:rPr>
              <w:t>筒灯</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A37B2">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4924">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8ABDE">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Style w:val="73"/>
                <w:rFonts w:hint="eastAsia" w:ascii="宋体" w:hAnsi="宋体" w:eastAsia="宋体" w:cs="宋体"/>
                <w:b w:val="0"/>
                <w:bCs/>
                <w:color w:val="auto"/>
                <w:sz w:val="24"/>
                <w:szCs w:val="24"/>
                <w:highlight w:val="none"/>
                <w:lang w:val="en-US" w:eastAsia="zh-CN" w:bidi="ar"/>
              </w:rPr>
              <w:t>三雄极光电气,Ra</w:t>
            </w:r>
            <w:r>
              <w:rPr>
                <w:rStyle w:val="82"/>
                <w:rFonts w:hint="eastAsia" w:ascii="宋体" w:hAnsi="宋体" w:eastAsia="宋体" w:cs="宋体"/>
                <w:b w:val="0"/>
                <w:bCs/>
                <w:color w:val="auto"/>
                <w:sz w:val="24"/>
                <w:szCs w:val="24"/>
                <w:highlight w:val="none"/>
                <w:lang w:val="en-US" w:eastAsia="zh-CN" w:bidi="ar"/>
              </w:rPr>
              <w:t>≥</w:t>
            </w:r>
            <w:r>
              <w:rPr>
                <w:rStyle w:val="73"/>
                <w:rFonts w:hint="eastAsia" w:ascii="宋体" w:hAnsi="宋体" w:eastAsia="宋体" w:cs="宋体"/>
                <w:b w:val="0"/>
                <w:bCs/>
                <w:color w:val="auto"/>
                <w:sz w:val="24"/>
                <w:szCs w:val="24"/>
                <w:highlight w:val="none"/>
                <w:lang w:val="en-US" w:eastAsia="zh-CN" w:bidi="ar"/>
              </w:rPr>
              <w:t>97,COB光源嵌入式5w筒灯,通光量600lm,UCR</w:t>
            </w:r>
            <w:r>
              <w:rPr>
                <w:rStyle w:val="83"/>
                <w:rFonts w:hint="eastAsia" w:ascii="宋体" w:hAnsi="宋体" w:eastAsia="宋体" w:cs="宋体"/>
                <w:b w:val="0"/>
                <w:bCs/>
                <w:color w:val="auto"/>
                <w:sz w:val="24"/>
                <w:szCs w:val="24"/>
                <w:highlight w:val="none"/>
                <w:lang w:val="en-US" w:eastAsia="zh-CN" w:bidi="ar"/>
              </w:rPr>
              <w:t>&lt;</w:t>
            </w:r>
            <w:r>
              <w:rPr>
                <w:rStyle w:val="73"/>
                <w:rFonts w:hint="eastAsia" w:ascii="宋体" w:hAnsi="宋体" w:eastAsia="宋体" w:cs="宋体"/>
                <w:b w:val="0"/>
                <w:bCs/>
                <w:color w:val="auto"/>
                <w:sz w:val="24"/>
                <w:szCs w:val="24"/>
                <w:highlight w:val="none"/>
                <w:lang w:val="en-US" w:eastAsia="zh-CN" w:bidi="ar"/>
              </w:rPr>
              <w:t>5，IP54，AC240。</w:t>
            </w:r>
          </w:p>
        </w:tc>
      </w:tr>
      <w:tr w14:paraId="3D140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jc w:val="center"/>
        </w:trPr>
        <w:tc>
          <w:tcPr>
            <w:tcW w:w="1041" w:type="dxa"/>
            <w:vMerge w:val="continue"/>
            <w:tcBorders>
              <w:left w:val="single" w:color="auto" w:sz="4" w:space="0"/>
              <w:right w:val="single" w:color="000000" w:sz="4" w:space="0"/>
            </w:tcBorders>
            <w:shd w:val="clear" w:color="auto" w:fill="auto"/>
            <w:noWrap/>
            <w:vAlign w:val="center"/>
          </w:tcPr>
          <w:p w14:paraId="1D20BA75">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BA886">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Style w:val="66"/>
                <w:rFonts w:hint="eastAsia" w:ascii="宋体" w:hAnsi="宋体" w:eastAsia="宋体" w:cs="宋体"/>
                <w:color w:val="auto"/>
                <w:sz w:val="24"/>
                <w:szCs w:val="24"/>
                <w:highlight w:val="none"/>
                <w:lang w:val="en-US" w:eastAsia="zh-CN" w:bidi="ar"/>
              </w:rPr>
              <w:t>1200mmLED</w:t>
            </w:r>
            <w:r>
              <w:rPr>
                <w:rStyle w:val="67"/>
                <w:rFonts w:hint="eastAsia" w:ascii="宋体" w:hAnsi="宋体" w:eastAsia="宋体" w:cs="宋体"/>
                <w:color w:val="auto"/>
                <w:sz w:val="24"/>
                <w:szCs w:val="24"/>
                <w:highlight w:val="none"/>
                <w:lang w:val="en-US" w:eastAsia="zh-CN" w:bidi="ar"/>
              </w:rPr>
              <w:t>条形灯</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7F44D">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8463F">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5D4AC">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Style w:val="73"/>
                <w:rFonts w:hint="eastAsia" w:ascii="宋体" w:hAnsi="宋体" w:eastAsia="宋体" w:cs="宋体"/>
                <w:b w:val="0"/>
                <w:bCs/>
                <w:color w:val="auto"/>
                <w:sz w:val="24"/>
                <w:szCs w:val="24"/>
                <w:highlight w:val="none"/>
                <w:lang w:val="en-US" w:eastAsia="zh-CN" w:bidi="ar"/>
              </w:rPr>
              <w:t>三雄极光电气,Ra</w:t>
            </w:r>
            <w:r>
              <w:rPr>
                <w:rStyle w:val="82"/>
                <w:rFonts w:hint="eastAsia" w:ascii="宋体" w:hAnsi="宋体" w:eastAsia="宋体" w:cs="宋体"/>
                <w:b w:val="0"/>
                <w:bCs/>
                <w:color w:val="auto"/>
                <w:sz w:val="24"/>
                <w:szCs w:val="24"/>
                <w:highlight w:val="none"/>
                <w:lang w:val="en-US" w:eastAsia="zh-CN" w:bidi="ar"/>
              </w:rPr>
              <w:t>≥</w:t>
            </w:r>
            <w:r>
              <w:rPr>
                <w:rStyle w:val="73"/>
                <w:rFonts w:hint="eastAsia" w:ascii="宋体" w:hAnsi="宋体" w:eastAsia="宋体" w:cs="宋体"/>
                <w:b w:val="0"/>
                <w:bCs/>
                <w:color w:val="auto"/>
                <w:sz w:val="24"/>
                <w:szCs w:val="24"/>
                <w:highlight w:val="none"/>
                <w:lang w:val="en-US" w:eastAsia="zh-CN" w:bidi="ar"/>
              </w:rPr>
              <w:t>97,COB光源,通光量600lm,UCR</w:t>
            </w:r>
            <w:r>
              <w:rPr>
                <w:rStyle w:val="83"/>
                <w:rFonts w:hint="eastAsia" w:ascii="宋体" w:hAnsi="宋体" w:eastAsia="宋体" w:cs="宋体"/>
                <w:b w:val="0"/>
                <w:bCs/>
                <w:color w:val="auto"/>
                <w:sz w:val="24"/>
                <w:szCs w:val="24"/>
                <w:highlight w:val="none"/>
                <w:lang w:val="en-US" w:eastAsia="zh-CN" w:bidi="ar"/>
              </w:rPr>
              <w:t>&lt;</w:t>
            </w:r>
            <w:r>
              <w:rPr>
                <w:rStyle w:val="73"/>
                <w:rFonts w:hint="eastAsia" w:ascii="宋体" w:hAnsi="宋体" w:eastAsia="宋体" w:cs="宋体"/>
                <w:b w:val="0"/>
                <w:bCs/>
                <w:color w:val="auto"/>
                <w:sz w:val="24"/>
                <w:szCs w:val="24"/>
                <w:highlight w:val="none"/>
                <w:lang w:val="en-US" w:eastAsia="zh-CN" w:bidi="ar"/>
              </w:rPr>
              <w:t>5，IP54，AC240。</w:t>
            </w:r>
          </w:p>
        </w:tc>
      </w:tr>
      <w:tr w14:paraId="3117F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1041" w:type="dxa"/>
            <w:vMerge w:val="continue"/>
            <w:tcBorders>
              <w:left w:val="single" w:color="auto" w:sz="4" w:space="0"/>
              <w:bottom w:val="single" w:color="000000" w:sz="4" w:space="0"/>
              <w:right w:val="single" w:color="000000" w:sz="4" w:space="0"/>
            </w:tcBorders>
            <w:shd w:val="clear" w:color="auto" w:fill="auto"/>
            <w:noWrap/>
            <w:vAlign w:val="center"/>
          </w:tcPr>
          <w:p w14:paraId="33B362D2">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4019">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Style w:val="66"/>
                <w:rFonts w:hint="eastAsia" w:ascii="宋体" w:hAnsi="宋体" w:eastAsia="宋体" w:cs="宋体"/>
                <w:color w:val="auto"/>
                <w:sz w:val="24"/>
                <w:szCs w:val="24"/>
                <w:highlight w:val="none"/>
                <w:lang w:val="en-US" w:eastAsia="zh-CN" w:bidi="ar"/>
              </w:rPr>
              <w:t>LED</w:t>
            </w:r>
            <w:r>
              <w:rPr>
                <w:rStyle w:val="67"/>
                <w:rFonts w:hint="eastAsia" w:ascii="宋体" w:hAnsi="宋体" w:eastAsia="宋体" w:cs="宋体"/>
                <w:color w:val="auto"/>
                <w:sz w:val="24"/>
                <w:szCs w:val="24"/>
                <w:highlight w:val="none"/>
                <w:lang w:val="en-US" w:eastAsia="zh-CN" w:bidi="ar"/>
              </w:rPr>
              <w:t>灯带</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83885">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3B69F">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360.00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40DA0">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val="0"/>
                <w:bCs/>
                <w:i w:val="0"/>
                <w:iCs w:val="0"/>
                <w:color w:val="auto"/>
                <w:sz w:val="24"/>
                <w:szCs w:val="24"/>
                <w:highlight w:val="none"/>
                <w:u w:val="none"/>
                <w:lang w:val="en-US" w:eastAsia="zh-CN" w:bidi="ar-SA"/>
              </w:rPr>
            </w:pPr>
            <w:r>
              <w:rPr>
                <w:rStyle w:val="73"/>
                <w:rFonts w:hint="eastAsia" w:ascii="宋体" w:hAnsi="宋体" w:eastAsia="宋体" w:cs="宋体"/>
                <w:b w:val="0"/>
                <w:bCs/>
                <w:color w:val="auto"/>
                <w:sz w:val="24"/>
                <w:szCs w:val="24"/>
                <w:highlight w:val="none"/>
                <w:lang w:val="en-US" w:eastAsia="zh-CN" w:bidi="ar"/>
              </w:rPr>
              <w:t>三雄极光电气,Ra</w:t>
            </w:r>
            <w:r>
              <w:rPr>
                <w:rStyle w:val="82"/>
                <w:rFonts w:hint="eastAsia" w:ascii="宋体" w:hAnsi="宋体" w:eastAsia="宋体" w:cs="宋体"/>
                <w:b w:val="0"/>
                <w:bCs/>
                <w:color w:val="auto"/>
                <w:sz w:val="24"/>
                <w:szCs w:val="24"/>
                <w:highlight w:val="none"/>
                <w:lang w:val="en-US" w:eastAsia="zh-CN" w:bidi="ar"/>
              </w:rPr>
              <w:t>≥</w:t>
            </w:r>
            <w:r>
              <w:rPr>
                <w:rStyle w:val="73"/>
                <w:rFonts w:hint="eastAsia" w:ascii="宋体" w:hAnsi="宋体" w:eastAsia="宋体" w:cs="宋体"/>
                <w:b w:val="0"/>
                <w:bCs/>
                <w:color w:val="auto"/>
                <w:sz w:val="24"/>
                <w:szCs w:val="24"/>
                <w:highlight w:val="none"/>
                <w:lang w:val="en-US" w:eastAsia="zh-CN" w:bidi="ar"/>
              </w:rPr>
              <w:t>97,COB光源,通光量600lm，IP54，AC240。</w:t>
            </w:r>
          </w:p>
        </w:tc>
      </w:tr>
      <w:tr w14:paraId="2B76B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1041" w:type="dxa"/>
            <w:vMerge w:val="restart"/>
            <w:tcBorders>
              <w:top w:val="single" w:color="000000" w:sz="4" w:space="0"/>
              <w:left w:val="single" w:color="000000" w:sz="4" w:space="0"/>
              <w:right w:val="single" w:color="000000" w:sz="4" w:space="0"/>
            </w:tcBorders>
            <w:shd w:val="clear" w:color="auto" w:fill="auto"/>
            <w:noWrap/>
            <w:vAlign w:val="center"/>
          </w:tcPr>
          <w:p w14:paraId="59136D86">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其它项目</w:t>
            </w: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DD09">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Style w:val="67"/>
                <w:rFonts w:hint="eastAsia" w:ascii="宋体" w:hAnsi="宋体" w:eastAsia="宋体" w:cs="宋体"/>
                <w:color w:val="auto"/>
                <w:sz w:val="24"/>
                <w:szCs w:val="24"/>
                <w:highlight w:val="none"/>
                <w:lang w:val="en-US" w:eastAsia="zh-CN" w:bidi="ar"/>
              </w:rPr>
              <w:t>安防监控（</w:t>
            </w:r>
            <w:r>
              <w:rPr>
                <w:rStyle w:val="66"/>
                <w:rFonts w:hint="eastAsia" w:ascii="宋体" w:hAnsi="宋体" w:eastAsia="宋体" w:cs="宋体"/>
                <w:color w:val="auto"/>
                <w:sz w:val="24"/>
                <w:szCs w:val="24"/>
                <w:highlight w:val="none"/>
                <w:lang w:val="en-US" w:eastAsia="zh-CN" w:bidi="ar"/>
              </w:rPr>
              <w:t>7</w:t>
            </w:r>
            <w:r>
              <w:rPr>
                <w:rStyle w:val="67"/>
                <w:rFonts w:hint="eastAsia" w:ascii="宋体" w:hAnsi="宋体" w:eastAsia="宋体" w:cs="宋体"/>
                <w:color w:val="auto"/>
                <w:sz w:val="24"/>
                <w:szCs w:val="24"/>
                <w:highlight w:val="none"/>
                <w:lang w:val="en-US" w:eastAsia="zh-CN" w:bidi="ar"/>
              </w:rPr>
              <w:t>个点位摄像头）</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C1FC2">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FF76F">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AA9C9">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海康威视(监控线墙地面2.0mmPVC线管暗敷，天花走桥架)。</w:t>
            </w:r>
          </w:p>
        </w:tc>
      </w:tr>
      <w:tr w14:paraId="06154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1041" w:type="dxa"/>
            <w:vMerge w:val="continue"/>
            <w:tcBorders>
              <w:left w:val="single" w:color="000000" w:sz="4" w:space="0"/>
              <w:right w:val="single" w:color="000000" w:sz="4" w:space="0"/>
            </w:tcBorders>
            <w:shd w:val="clear" w:color="auto" w:fill="auto"/>
            <w:noWrap/>
            <w:vAlign w:val="center"/>
          </w:tcPr>
          <w:p w14:paraId="579FA6D2">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14E31">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Style w:val="67"/>
                <w:rFonts w:hint="eastAsia" w:ascii="宋体" w:hAnsi="宋体" w:eastAsia="宋体" w:cs="宋体"/>
                <w:color w:val="auto"/>
                <w:sz w:val="24"/>
                <w:szCs w:val="24"/>
                <w:highlight w:val="none"/>
                <w:lang w:val="en-US" w:eastAsia="zh-CN" w:bidi="ar"/>
              </w:rPr>
              <w:t>安防监控（</w:t>
            </w:r>
            <w:r>
              <w:rPr>
                <w:rStyle w:val="66"/>
                <w:rFonts w:hint="eastAsia" w:ascii="宋体" w:hAnsi="宋体" w:eastAsia="宋体" w:cs="宋体"/>
                <w:color w:val="auto"/>
                <w:sz w:val="24"/>
                <w:szCs w:val="24"/>
                <w:highlight w:val="none"/>
                <w:lang w:val="en-US" w:eastAsia="zh-CN" w:bidi="ar"/>
              </w:rPr>
              <w:t>8</w:t>
            </w:r>
            <w:r>
              <w:rPr>
                <w:rStyle w:val="67"/>
                <w:rFonts w:hint="eastAsia" w:ascii="宋体" w:hAnsi="宋体" w:eastAsia="宋体" w:cs="宋体"/>
                <w:color w:val="auto"/>
                <w:sz w:val="24"/>
                <w:szCs w:val="24"/>
                <w:highlight w:val="none"/>
                <w:lang w:val="en-US" w:eastAsia="zh-CN" w:bidi="ar"/>
              </w:rPr>
              <w:t>路硬盘录摄机，含硬盘）</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B3499">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26461">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92424">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海康威视</w:t>
            </w:r>
          </w:p>
        </w:tc>
      </w:tr>
      <w:tr w14:paraId="72817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41" w:type="dxa"/>
            <w:vMerge w:val="continue"/>
            <w:tcBorders>
              <w:left w:val="single" w:color="000000" w:sz="4" w:space="0"/>
              <w:right w:val="single" w:color="000000" w:sz="4" w:space="0"/>
            </w:tcBorders>
            <w:shd w:val="clear" w:color="auto" w:fill="auto"/>
            <w:noWrap/>
            <w:vAlign w:val="center"/>
          </w:tcPr>
          <w:p w14:paraId="14C347CA">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83B5E">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Style w:val="67"/>
                <w:rFonts w:hint="eastAsia" w:ascii="宋体" w:hAnsi="宋体" w:eastAsia="宋体" w:cs="宋体"/>
                <w:color w:val="auto"/>
                <w:sz w:val="24"/>
                <w:szCs w:val="24"/>
                <w:highlight w:val="none"/>
                <w:lang w:val="en-US" w:eastAsia="zh-CN" w:bidi="ar"/>
              </w:rPr>
              <w:t>空调铜管（</w:t>
            </w:r>
            <w:r>
              <w:rPr>
                <w:rStyle w:val="66"/>
                <w:rFonts w:hint="eastAsia" w:ascii="宋体" w:hAnsi="宋体" w:eastAsia="宋体" w:cs="宋体"/>
                <w:color w:val="auto"/>
                <w:sz w:val="24"/>
                <w:szCs w:val="24"/>
                <w:highlight w:val="none"/>
                <w:lang w:val="en-US" w:eastAsia="zh-CN" w:bidi="ar"/>
              </w:rPr>
              <w:t>5P)</w:t>
            </w:r>
            <w:r>
              <w:rPr>
                <w:rStyle w:val="67"/>
                <w:rFonts w:hint="eastAsia" w:ascii="宋体" w:hAnsi="宋体" w:eastAsia="宋体" w:cs="宋体"/>
                <w:color w:val="auto"/>
                <w:sz w:val="24"/>
                <w:szCs w:val="24"/>
                <w:highlight w:val="none"/>
                <w:lang w:val="en-US" w:eastAsia="zh-CN" w:bidi="ar"/>
              </w:rPr>
              <w:t>专用</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1D9ED">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D9B0C">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45.00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8AFD1">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5P空调为19mm铜管</w:t>
            </w:r>
          </w:p>
        </w:tc>
      </w:tr>
      <w:tr w14:paraId="194C6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41" w:type="dxa"/>
            <w:vMerge w:val="continue"/>
            <w:tcBorders>
              <w:left w:val="single" w:color="000000" w:sz="4" w:space="0"/>
              <w:right w:val="single" w:color="000000" w:sz="4" w:space="0"/>
            </w:tcBorders>
            <w:shd w:val="clear" w:color="auto" w:fill="auto"/>
            <w:noWrap/>
            <w:vAlign w:val="center"/>
          </w:tcPr>
          <w:p w14:paraId="2C26CAAA">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4DE4">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Style w:val="67"/>
                <w:rFonts w:hint="eastAsia" w:ascii="宋体" w:hAnsi="宋体" w:eastAsia="宋体" w:cs="宋体"/>
                <w:color w:val="auto"/>
                <w:sz w:val="24"/>
                <w:szCs w:val="24"/>
                <w:highlight w:val="none"/>
                <w:lang w:val="en-US" w:eastAsia="zh-CN" w:bidi="ar"/>
              </w:rPr>
              <w:t>空调排水管（</w:t>
            </w:r>
            <w:r>
              <w:rPr>
                <w:rStyle w:val="66"/>
                <w:rFonts w:hint="eastAsia" w:ascii="宋体" w:hAnsi="宋体" w:eastAsia="宋体" w:cs="宋体"/>
                <w:color w:val="auto"/>
                <w:sz w:val="24"/>
                <w:szCs w:val="24"/>
                <w:highlight w:val="none"/>
                <w:lang w:val="en-US" w:eastAsia="zh-CN" w:bidi="ar"/>
              </w:rPr>
              <w:t>PVC25)</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19FC4">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1CCBB">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45.00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921FA">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auto"/>
                <w:sz w:val="24"/>
                <w:szCs w:val="24"/>
                <w:highlight w:val="none"/>
                <w:u w:val="none"/>
                <w:lang w:val="en-US" w:eastAsia="zh-CN" w:bidi="ar-SA"/>
              </w:rPr>
            </w:pPr>
          </w:p>
        </w:tc>
      </w:tr>
      <w:tr w14:paraId="3E6FA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041" w:type="dxa"/>
            <w:vMerge w:val="continue"/>
            <w:tcBorders>
              <w:left w:val="single" w:color="000000" w:sz="4" w:space="0"/>
              <w:right w:val="single" w:color="000000" w:sz="4" w:space="0"/>
            </w:tcBorders>
            <w:shd w:val="clear" w:color="auto" w:fill="auto"/>
            <w:noWrap/>
            <w:vAlign w:val="center"/>
          </w:tcPr>
          <w:p w14:paraId="472BE64F">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C8C4">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材料搬运费</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52196">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0340C">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180.00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10D6">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auto"/>
                <w:sz w:val="24"/>
                <w:szCs w:val="24"/>
                <w:highlight w:val="none"/>
                <w:u w:val="none"/>
                <w:lang w:val="en-US" w:eastAsia="zh-CN" w:bidi="ar-SA"/>
              </w:rPr>
            </w:pPr>
          </w:p>
        </w:tc>
      </w:tr>
      <w:tr w14:paraId="0E262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1041" w:type="dxa"/>
            <w:vMerge w:val="continue"/>
            <w:tcBorders>
              <w:left w:val="single" w:color="000000" w:sz="4" w:space="0"/>
              <w:bottom w:val="single" w:color="000000" w:sz="4" w:space="0"/>
              <w:right w:val="single" w:color="000000" w:sz="4" w:space="0"/>
            </w:tcBorders>
            <w:shd w:val="clear" w:color="auto" w:fill="auto"/>
            <w:noWrap/>
            <w:vAlign w:val="center"/>
          </w:tcPr>
          <w:p w14:paraId="4D48071C">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E4E3">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垃圾装袋清理费</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1156A">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ECFDD">
            <w:pPr>
              <w:keepNext w:val="0"/>
              <w:keepLines w:val="0"/>
              <w:pageBreakBefore w:val="0"/>
              <w:widowControl/>
              <w:suppressLineNumbers w:val="0"/>
              <w:kinsoku/>
              <w:wordWrap/>
              <w:overflowPunct/>
              <w:topLinePunct w:val="0"/>
              <w:autoSpaceDE/>
              <w:autoSpaceDN/>
              <w:bidi w:val="0"/>
              <w:adjustRightInd/>
              <w:snapToGrid/>
              <w:ind w:firstLine="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180.00</w:t>
            </w:r>
          </w:p>
        </w:tc>
        <w:tc>
          <w:tcPr>
            <w:tcW w:w="5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DA7A0">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auto"/>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垃圾装袋，上车拉走到10公里外垃圾堆放点。</w:t>
            </w:r>
          </w:p>
        </w:tc>
      </w:tr>
    </w:tbl>
    <w:p w14:paraId="47260271">
      <w:pPr>
        <w:rPr>
          <w:rFonts w:hint="eastAsia"/>
          <w:color w:val="auto"/>
          <w:highlight w:val="none"/>
          <w:lang w:val="en-US" w:eastAsia="zh-CN"/>
        </w:rPr>
      </w:pPr>
    </w:p>
    <w:p w14:paraId="174960A8">
      <w:pPr>
        <w:spacing w:line="428" w:lineRule="exact"/>
        <w:ind w:left="119"/>
        <w:rPr>
          <w:rFonts w:hint="eastAsia" w:ascii="微软雅黑" w:hAnsi="微软雅黑" w:eastAsia="微软雅黑" w:cs="微软雅黑"/>
          <w:color w:val="auto"/>
          <w:sz w:val="32"/>
          <w:szCs w:val="32"/>
          <w:highlight w:val="none"/>
        </w:rPr>
      </w:pPr>
    </w:p>
    <w:p w14:paraId="079AD7B3">
      <w:pPr>
        <w:spacing w:line="428" w:lineRule="exact"/>
        <w:ind w:left="119"/>
        <w:rPr>
          <w:rFonts w:hint="eastAsia" w:ascii="微软雅黑" w:hAnsi="微软雅黑" w:eastAsia="微软雅黑" w:cs="微软雅黑"/>
          <w:color w:val="auto"/>
          <w:sz w:val="32"/>
          <w:szCs w:val="32"/>
          <w:highlight w:val="none"/>
        </w:rPr>
      </w:pPr>
    </w:p>
    <w:p w14:paraId="294FF3A8">
      <w:pPr>
        <w:spacing w:line="428" w:lineRule="exact"/>
        <w:ind w:left="119"/>
        <w:rPr>
          <w:rFonts w:hint="eastAsia" w:ascii="微软雅黑" w:hAnsi="微软雅黑" w:eastAsia="微软雅黑" w:cs="微软雅黑"/>
          <w:color w:val="auto"/>
          <w:sz w:val="32"/>
          <w:szCs w:val="32"/>
          <w:highlight w:val="none"/>
        </w:rPr>
      </w:pPr>
    </w:p>
    <w:p w14:paraId="31AE35BC">
      <w:pPr>
        <w:spacing w:line="428" w:lineRule="exact"/>
        <w:ind w:left="119"/>
        <w:rPr>
          <w:rFonts w:hint="eastAsia" w:ascii="微软雅黑" w:hAnsi="微软雅黑" w:eastAsia="微软雅黑" w:cs="微软雅黑"/>
          <w:color w:val="auto"/>
          <w:sz w:val="32"/>
          <w:szCs w:val="32"/>
          <w:highlight w:val="none"/>
        </w:rPr>
      </w:pPr>
    </w:p>
    <w:p w14:paraId="1E515FEB">
      <w:pPr>
        <w:spacing w:line="428" w:lineRule="exact"/>
        <w:ind w:left="119"/>
        <w:rPr>
          <w:rFonts w:hint="eastAsia" w:ascii="微软雅黑" w:hAnsi="微软雅黑" w:eastAsia="微软雅黑" w:cs="微软雅黑"/>
          <w:color w:val="auto"/>
          <w:sz w:val="32"/>
          <w:szCs w:val="32"/>
          <w:highlight w:val="none"/>
        </w:rPr>
      </w:pPr>
    </w:p>
    <w:p w14:paraId="3E972A91">
      <w:pPr>
        <w:spacing w:line="428" w:lineRule="exact"/>
        <w:ind w:left="119"/>
        <w:rPr>
          <w:rFonts w:hint="eastAsia" w:ascii="微软雅黑" w:hAnsi="微软雅黑" w:eastAsia="微软雅黑" w:cs="微软雅黑"/>
          <w:color w:val="auto"/>
          <w:sz w:val="32"/>
          <w:szCs w:val="32"/>
          <w:highlight w:val="none"/>
        </w:rPr>
      </w:pPr>
    </w:p>
    <w:p w14:paraId="0E15C7DC">
      <w:pPr>
        <w:spacing w:line="428" w:lineRule="exact"/>
        <w:ind w:left="119"/>
        <w:rPr>
          <w:rFonts w:hint="eastAsia" w:ascii="微软雅黑" w:hAnsi="微软雅黑" w:eastAsia="微软雅黑" w:cs="微软雅黑"/>
          <w:color w:val="auto"/>
          <w:sz w:val="32"/>
          <w:szCs w:val="32"/>
          <w:highlight w:val="none"/>
        </w:rPr>
      </w:pPr>
    </w:p>
    <w:p w14:paraId="4EC262D2">
      <w:pPr>
        <w:spacing w:line="428" w:lineRule="exact"/>
        <w:ind w:left="119"/>
        <w:rPr>
          <w:rFonts w:hint="eastAsia" w:ascii="微软雅黑" w:hAnsi="微软雅黑" w:eastAsia="微软雅黑" w:cs="微软雅黑"/>
          <w:color w:val="auto"/>
          <w:sz w:val="32"/>
          <w:szCs w:val="32"/>
          <w:highlight w:val="none"/>
        </w:rPr>
      </w:pPr>
    </w:p>
    <w:p w14:paraId="124097D8">
      <w:pPr>
        <w:spacing w:line="428" w:lineRule="exact"/>
        <w:ind w:left="119"/>
        <w:rPr>
          <w:rFonts w:hint="eastAsia" w:ascii="微软雅黑" w:hAnsi="微软雅黑" w:eastAsia="微软雅黑" w:cs="微软雅黑"/>
          <w:color w:val="auto"/>
          <w:sz w:val="32"/>
          <w:szCs w:val="32"/>
          <w:highlight w:val="none"/>
        </w:rPr>
      </w:pPr>
    </w:p>
    <w:p w14:paraId="0EDDC722">
      <w:pPr>
        <w:spacing w:line="428" w:lineRule="exact"/>
        <w:ind w:left="119"/>
        <w:rPr>
          <w:rFonts w:hint="eastAsia" w:ascii="微软雅黑" w:hAnsi="微软雅黑" w:eastAsia="微软雅黑" w:cs="微软雅黑"/>
          <w:color w:val="auto"/>
          <w:sz w:val="32"/>
          <w:szCs w:val="32"/>
          <w:highlight w:val="none"/>
        </w:rPr>
      </w:pPr>
    </w:p>
    <w:p w14:paraId="14DB9F79">
      <w:pPr>
        <w:spacing w:line="428" w:lineRule="exact"/>
        <w:ind w:left="119"/>
        <w:rPr>
          <w:rFonts w:hint="eastAsia" w:ascii="微软雅黑" w:hAnsi="微软雅黑" w:eastAsia="微软雅黑" w:cs="微软雅黑"/>
          <w:color w:val="auto"/>
          <w:sz w:val="32"/>
          <w:szCs w:val="32"/>
          <w:highlight w:val="none"/>
        </w:rPr>
      </w:pPr>
    </w:p>
    <w:p w14:paraId="106B054D">
      <w:pPr>
        <w:spacing w:line="428" w:lineRule="exact"/>
        <w:ind w:left="119"/>
        <w:rPr>
          <w:rFonts w:hint="eastAsia" w:ascii="微软雅黑" w:hAnsi="微软雅黑" w:eastAsia="微软雅黑" w:cs="微软雅黑"/>
          <w:color w:val="auto"/>
          <w:sz w:val="32"/>
          <w:szCs w:val="32"/>
          <w:highlight w:val="none"/>
        </w:rPr>
      </w:pPr>
    </w:p>
    <w:p w14:paraId="33B32620">
      <w:pPr>
        <w:spacing w:line="428" w:lineRule="exact"/>
        <w:ind w:left="119"/>
        <w:rPr>
          <w:rFonts w:hint="eastAsia" w:ascii="微软雅黑" w:hAnsi="微软雅黑" w:eastAsia="微软雅黑" w:cs="微软雅黑"/>
          <w:color w:val="auto"/>
          <w:sz w:val="32"/>
          <w:szCs w:val="32"/>
          <w:highlight w:val="none"/>
        </w:rPr>
      </w:pPr>
    </w:p>
    <w:p w14:paraId="1FA25948">
      <w:pPr>
        <w:spacing w:line="428" w:lineRule="exact"/>
        <w:ind w:left="119"/>
        <w:rPr>
          <w:rFonts w:hint="eastAsia" w:ascii="微软雅黑" w:hAnsi="微软雅黑" w:eastAsia="微软雅黑" w:cs="微软雅黑"/>
          <w:color w:val="auto"/>
          <w:sz w:val="32"/>
          <w:szCs w:val="32"/>
          <w:highlight w:val="none"/>
        </w:rPr>
      </w:pPr>
    </w:p>
    <w:p w14:paraId="19421840">
      <w:pPr>
        <w:spacing w:line="428" w:lineRule="exact"/>
        <w:ind w:left="119"/>
        <w:rPr>
          <w:rFonts w:hint="eastAsia" w:ascii="微软雅黑" w:hAnsi="微软雅黑" w:eastAsia="微软雅黑" w:cs="微软雅黑"/>
          <w:color w:val="auto"/>
          <w:sz w:val="32"/>
          <w:szCs w:val="32"/>
          <w:highlight w:val="none"/>
        </w:rPr>
      </w:pPr>
    </w:p>
    <w:p w14:paraId="625AA48D">
      <w:pPr>
        <w:spacing w:line="428" w:lineRule="exact"/>
        <w:ind w:left="119"/>
        <w:rPr>
          <w:rFonts w:hint="eastAsia" w:ascii="微软雅黑" w:hAnsi="微软雅黑" w:eastAsia="微软雅黑" w:cs="微软雅黑"/>
          <w:color w:val="auto"/>
          <w:sz w:val="32"/>
          <w:szCs w:val="32"/>
          <w:highlight w:val="none"/>
        </w:rPr>
      </w:pPr>
    </w:p>
    <w:p w14:paraId="5F94833D">
      <w:pPr>
        <w:spacing w:line="428" w:lineRule="exact"/>
        <w:ind w:left="119"/>
        <w:rPr>
          <w:rFonts w:ascii="Arial Unicode MS" w:hAnsi="Arial Unicode MS" w:eastAsia="Arial Unicode MS" w:cs="Arial Unicode MS"/>
          <w:color w:val="auto"/>
          <w:sz w:val="32"/>
          <w:szCs w:val="32"/>
          <w:highlight w:val="none"/>
        </w:rPr>
      </w:pPr>
      <w:r>
        <w:rPr>
          <w:rFonts w:hint="eastAsia" w:ascii="微软雅黑" w:hAnsi="微软雅黑" w:eastAsia="微软雅黑" w:cs="微软雅黑"/>
          <w:color w:val="auto"/>
          <w:sz w:val="32"/>
          <w:szCs w:val="32"/>
          <w:highlight w:val="none"/>
        </w:rPr>
        <w:t>附件</w:t>
      </w:r>
      <w:r>
        <w:rPr>
          <w:rFonts w:ascii="Arial Unicode MS" w:hAnsi="Arial Unicode MS" w:eastAsia="Arial Unicode MS" w:cs="Arial Unicode MS"/>
          <w:color w:val="auto"/>
          <w:sz w:val="32"/>
          <w:szCs w:val="32"/>
          <w:highlight w:val="none"/>
        </w:rPr>
        <w:t>1</w:t>
      </w:r>
      <w:r>
        <w:rPr>
          <w:rFonts w:hint="eastAsia" w:ascii="微软雅黑" w:hAnsi="微软雅黑" w:eastAsia="微软雅黑" w:cs="微软雅黑"/>
          <w:color w:val="auto"/>
          <w:sz w:val="32"/>
          <w:szCs w:val="32"/>
          <w:highlight w:val="none"/>
        </w:rPr>
        <w:t>：</w:t>
      </w:r>
    </w:p>
    <w:p w14:paraId="5F7BAE79">
      <w:pPr>
        <w:spacing w:before="7"/>
        <w:rPr>
          <w:rFonts w:ascii="Arial Unicode MS" w:hAnsi="Arial Unicode MS" w:eastAsia="Arial Unicode MS" w:cs="Arial Unicode MS"/>
          <w:color w:val="auto"/>
          <w:sz w:val="17"/>
          <w:szCs w:val="17"/>
          <w:highlight w:val="none"/>
        </w:rPr>
      </w:pPr>
    </w:p>
    <w:p w14:paraId="5E80CFD9">
      <w:pPr>
        <w:spacing w:line="528" w:lineRule="exact"/>
        <w:ind w:left="1871"/>
        <w:rPr>
          <w:rFonts w:ascii="Arial Unicode MS" w:hAnsi="Arial Unicode MS" w:eastAsia="Arial Unicode MS" w:cs="Arial Unicode MS"/>
          <w:color w:val="auto"/>
          <w:sz w:val="40"/>
          <w:szCs w:val="40"/>
          <w:highlight w:val="none"/>
        </w:rPr>
      </w:pPr>
      <w:r>
        <w:rPr>
          <w:rFonts w:hint="eastAsia" w:ascii="方正小标宋简体" w:hAnsi="方正小标宋简体" w:eastAsia="方正小标宋简体" w:cs="方正小标宋简体"/>
          <w:color w:val="auto"/>
          <w:sz w:val="44"/>
          <w:szCs w:val="44"/>
          <w:highlight w:val="none"/>
        </w:rPr>
        <w:t>节能产品政府采购品目清单</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407"/>
        <w:gridCol w:w="1546"/>
        <w:gridCol w:w="1536"/>
        <w:gridCol w:w="3452"/>
      </w:tblGrid>
      <w:tr w14:paraId="69D0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Borders>
              <w:top w:val="single" w:color="000000" w:sz="4" w:space="0"/>
              <w:left w:val="single" w:color="000000" w:sz="4" w:space="0"/>
              <w:bottom w:val="single" w:color="000000" w:sz="4" w:space="0"/>
              <w:right w:val="single" w:color="000000" w:sz="4" w:space="0"/>
            </w:tcBorders>
            <w:vAlign w:val="center"/>
          </w:tcPr>
          <w:p w14:paraId="0EB29293">
            <w:pPr>
              <w:jc w:val="center"/>
              <w:rPr>
                <w:rFonts w:ascii="宋体" w:hAnsi="宋体"/>
                <w:color w:val="auto"/>
                <w:sz w:val="24"/>
                <w:highlight w:val="none"/>
              </w:rPr>
            </w:pPr>
            <w:r>
              <w:rPr>
                <w:rFonts w:hint="eastAsia" w:ascii="宋体" w:hAnsi="宋体" w:cs="宋体"/>
                <w:b/>
                <w:bCs/>
                <w:color w:val="auto"/>
                <w:w w:val="99"/>
                <w:sz w:val="24"/>
                <w:highlight w:val="none"/>
              </w:rPr>
              <w:t>品目序号</w:t>
            </w:r>
          </w:p>
        </w:tc>
        <w:tc>
          <w:tcPr>
            <w:tcW w:w="4489" w:type="dxa"/>
            <w:gridSpan w:val="3"/>
            <w:tcBorders>
              <w:top w:val="single" w:color="000000" w:sz="4" w:space="0"/>
              <w:left w:val="single" w:color="000000" w:sz="4" w:space="0"/>
              <w:bottom w:val="single" w:color="000000" w:sz="4" w:space="0"/>
              <w:right w:val="single" w:color="000000" w:sz="4" w:space="0"/>
            </w:tcBorders>
            <w:vAlign w:val="center"/>
          </w:tcPr>
          <w:p w14:paraId="73ADC39A">
            <w:pPr>
              <w:jc w:val="center"/>
              <w:rPr>
                <w:rFonts w:ascii="宋体" w:hAnsi="宋体"/>
                <w:color w:val="auto"/>
                <w:sz w:val="24"/>
                <w:highlight w:val="none"/>
              </w:rPr>
            </w:pPr>
            <w:r>
              <w:rPr>
                <w:rFonts w:hint="eastAsia" w:ascii="宋体" w:hAnsi="宋体" w:cs="宋体"/>
                <w:b/>
                <w:bCs/>
                <w:color w:val="auto"/>
                <w:w w:val="99"/>
                <w:sz w:val="24"/>
                <w:highlight w:val="none"/>
              </w:rPr>
              <w:t>名称</w:t>
            </w:r>
          </w:p>
        </w:tc>
        <w:tc>
          <w:tcPr>
            <w:tcW w:w="3452" w:type="dxa"/>
            <w:tcBorders>
              <w:top w:val="single" w:color="000000" w:sz="4" w:space="0"/>
              <w:left w:val="single" w:color="000000" w:sz="4" w:space="0"/>
              <w:bottom w:val="single" w:color="000000" w:sz="4" w:space="0"/>
              <w:right w:val="single" w:color="000000" w:sz="4" w:space="0"/>
            </w:tcBorders>
            <w:vAlign w:val="center"/>
          </w:tcPr>
          <w:p w14:paraId="6C35DF9B">
            <w:pPr>
              <w:jc w:val="center"/>
              <w:rPr>
                <w:rFonts w:ascii="宋体" w:hAnsi="宋体"/>
                <w:color w:val="auto"/>
                <w:sz w:val="24"/>
                <w:highlight w:val="none"/>
              </w:rPr>
            </w:pPr>
            <w:r>
              <w:rPr>
                <w:rFonts w:hint="eastAsia" w:ascii="宋体" w:hAnsi="宋体" w:cs="宋体"/>
                <w:b/>
                <w:bCs/>
                <w:color w:val="auto"/>
                <w:w w:val="99"/>
                <w:sz w:val="24"/>
                <w:highlight w:val="none"/>
              </w:rPr>
              <w:t>依据的标准</w:t>
            </w:r>
          </w:p>
        </w:tc>
      </w:tr>
      <w:tr w14:paraId="22FA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restart"/>
            <w:tcBorders>
              <w:top w:val="single" w:color="000000" w:sz="4" w:space="0"/>
              <w:left w:val="single" w:color="000000" w:sz="4" w:space="0"/>
              <w:bottom w:val="single" w:color="000000" w:sz="4" w:space="0"/>
              <w:right w:val="single" w:color="000000" w:sz="4" w:space="0"/>
            </w:tcBorders>
            <w:vAlign w:val="center"/>
          </w:tcPr>
          <w:p w14:paraId="73C6687E">
            <w:pPr>
              <w:jc w:val="center"/>
              <w:rPr>
                <w:rFonts w:ascii="宋体" w:hAnsi="宋体"/>
                <w:color w:val="auto"/>
                <w:sz w:val="24"/>
                <w:highlight w:val="none"/>
              </w:rPr>
            </w:pPr>
            <w:r>
              <w:rPr>
                <w:rFonts w:hint="eastAsia" w:ascii="宋体" w:hAnsi="宋体"/>
                <w:color w:val="auto"/>
                <w:sz w:val="24"/>
                <w:highlight w:val="none"/>
              </w:rPr>
              <w:t>1</w:t>
            </w:r>
          </w:p>
        </w:tc>
        <w:tc>
          <w:tcPr>
            <w:tcW w:w="1407" w:type="dxa"/>
            <w:vMerge w:val="restart"/>
            <w:tcBorders>
              <w:top w:val="single" w:color="000000" w:sz="4" w:space="0"/>
              <w:left w:val="single" w:color="000000" w:sz="4" w:space="0"/>
              <w:bottom w:val="single" w:color="000000" w:sz="4" w:space="0"/>
              <w:right w:val="single" w:color="000000" w:sz="4" w:space="0"/>
            </w:tcBorders>
            <w:vAlign w:val="center"/>
          </w:tcPr>
          <w:p w14:paraId="1DA38DE1">
            <w:pPr>
              <w:jc w:val="center"/>
              <w:rPr>
                <w:rFonts w:ascii="宋体" w:hAnsi="宋体"/>
                <w:color w:val="auto"/>
                <w:sz w:val="24"/>
                <w:highlight w:val="none"/>
              </w:rPr>
            </w:pPr>
            <w:r>
              <w:rPr>
                <w:rFonts w:hint="eastAsia" w:ascii="宋体" w:hAnsi="宋体" w:cs="仿宋_GB2312"/>
                <w:color w:val="auto"/>
                <w:sz w:val="24"/>
                <w:highlight w:val="none"/>
              </w:rPr>
              <w:t>A02010100</w:t>
            </w:r>
            <w:r>
              <w:rPr>
                <w:rFonts w:hint="eastAsia" w:ascii="宋体" w:hAnsi="宋体" w:cs="宋体"/>
                <w:color w:val="auto"/>
                <w:w w:val="99"/>
                <w:sz w:val="24"/>
                <w:highlight w:val="none"/>
              </w:rPr>
              <w:t>计算机</w:t>
            </w:r>
          </w:p>
        </w:tc>
        <w:tc>
          <w:tcPr>
            <w:tcW w:w="1546" w:type="dxa"/>
            <w:tcBorders>
              <w:top w:val="single" w:color="000000" w:sz="4" w:space="0"/>
              <w:left w:val="single" w:color="000000" w:sz="4" w:space="0"/>
              <w:bottom w:val="single" w:color="000000" w:sz="4" w:space="0"/>
              <w:right w:val="single" w:color="000000" w:sz="4" w:space="0"/>
            </w:tcBorders>
            <w:vAlign w:val="center"/>
          </w:tcPr>
          <w:p w14:paraId="2686BDFE">
            <w:pPr>
              <w:pStyle w:val="59"/>
              <w:spacing w:before="93"/>
              <w:ind w:left="7" w:right="5"/>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w:t>
            </w:r>
            <w:r>
              <w:rPr>
                <w:rFonts w:hint="eastAsia" w:ascii="宋体" w:hAnsi="宋体" w:cs="仿宋_GB2312"/>
                <w:color w:val="auto"/>
                <w:kern w:val="2"/>
                <w:sz w:val="24"/>
                <w:szCs w:val="24"/>
                <w:highlight w:val="none"/>
              </w:rPr>
              <w:t>A02010105</w:t>
            </w:r>
            <w:r>
              <w:rPr>
                <w:rFonts w:hint="eastAsia" w:ascii="宋体" w:hAnsi="宋体" w:cs="宋体"/>
                <w:color w:val="auto"/>
                <w:w w:val="99"/>
                <w:kern w:val="2"/>
                <w:sz w:val="24"/>
                <w:szCs w:val="24"/>
                <w:highlight w:val="none"/>
              </w:rPr>
              <w:t>台式计算机</w:t>
            </w:r>
          </w:p>
        </w:tc>
        <w:tc>
          <w:tcPr>
            <w:tcW w:w="1536" w:type="dxa"/>
            <w:tcBorders>
              <w:top w:val="single" w:color="000000" w:sz="4" w:space="0"/>
              <w:left w:val="single" w:color="000000" w:sz="4" w:space="0"/>
              <w:bottom w:val="single" w:color="000000" w:sz="4" w:space="0"/>
              <w:right w:val="single" w:color="000000" w:sz="4" w:space="0"/>
            </w:tcBorders>
            <w:vAlign w:val="center"/>
          </w:tcPr>
          <w:p w14:paraId="1A33772B">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436F6172">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《微型计算机能效限定值及能效等级》（GB28380）</w:t>
            </w:r>
          </w:p>
        </w:tc>
      </w:tr>
      <w:tr w14:paraId="1BED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72D3E788">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466647BD">
            <w:pPr>
              <w:widowControl/>
              <w:jc w:val="left"/>
              <w:rPr>
                <w:rFonts w:ascii="宋体" w:hAnsi="宋体"/>
                <w:color w:val="auto"/>
                <w:sz w:val="24"/>
                <w:highlight w:val="none"/>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5CDAF6E6">
            <w:pPr>
              <w:pStyle w:val="59"/>
              <w:spacing w:before="44"/>
              <w:ind w:left="7" w:right="5"/>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w:t>
            </w:r>
            <w:r>
              <w:rPr>
                <w:rFonts w:hint="eastAsia" w:ascii="宋体" w:hAnsi="宋体" w:cs="仿宋_GB2312"/>
                <w:color w:val="auto"/>
                <w:kern w:val="2"/>
                <w:sz w:val="24"/>
                <w:szCs w:val="24"/>
                <w:highlight w:val="none"/>
              </w:rPr>
              <w:t>A02010108</w:t>
            </w:r>
            <w:r>
              <w:rPr>
                <w:rFonts w:hint="eastAsia" w:ascii="宋体" w:hAnsi="宋体" w:cs="宋体"/>
                <w:color w:val="auto"/>
                <w:w w:val="99"/>
                <w:kern w:val="2"/>
                <w:sz w:val="24"/>
                <w:szCs w:val="24"/>
                <w:highlight w:val="none"/>
              </w:rPr>
              <w:t>便携式计算机</w:t>
            </w:r>
          </w:p>
        </w:tc>
        <w:tc>
          <w:tcPr>
            <w:tcW w:w="1536" w:type="dxa"/>
            <w:tcBorders>
              <w:top w:val="single" w:color="000000" w:sz="4" w:space="0"/>
              <w:left w:val="single" w:color="000000" w:sz="4" w:space="0"/>
              <w:bottom w:val="single" w:color="000000" w:sz="4" w:space="0"/>
              <w:right w:val="single" w:color="000000" w:sz="4" w:space="0"/>
            </w:tcBorders>
            <w:vAlign w:val="center"/>
          </w:tcPr>
          <w:p w14:paraId="573EBC35">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1CC71140">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《微型计算机能效限定值及能效等级》（GB28380）</w:t>
            </w:r>
          </w:p>
        </w:tc>
      </w:tr>
      <w:tr w14:paraId="2B9E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03A62340">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17A2FF42">
            <w:pPr>
              <w:widowControl/>
              <w:jc w:val="left"/>
              <w:rPr>
                <w:rFonts w:ascii="宋体" w:hAnsi="宋体"/>
                <w:color w:val="auto"/>
                <w:sz w:val="24"/>
                <w:highlight w:val="none"/>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63273282">
            <w:pPr>
              <w:pStyle w:val="59"/>
              <w:spacing w:before="64"/>
              <w:ind w:left="7" w:right="5"/>
              <w:jc w:val="center"/>
              <w:rPr>
                <w:rFonts w:ascii="宋体" w:hAnsi="宋体" w:cs="宋体"/>
                <w:color w:val="auto"/>
                <w:kern w:val="2"/>
                <w:sz w:val="24"/>
                <w:szCs w:val="24"/>
                <w:highlight w:val="none"/>
                <w:lang w:eastAsia="zh-CN"/>
              </w:rPr>
            </w:pPr>
            <w:r>
              <w:rPr>
                <w:rFonts w:hint="eastAsia" w:ascii="宋体" w:hAnsi="宋体" w:cs="宋体"/>
                <w:color w:val="auto"/>
                <w:w w:val="99"/>
                <w:kern w:val="2"/>
                <w:sz w:val="24"/>
                <w:szCs w:val="24"/>
                <w:highlight w:val="none"/>
                <w:lang w:eastAsia="zh-CN"/>
              </w:rPr>
              <w:t>★</w:t>
            </w:r>
            <w:r>
              <w:rPr>
                <w:rFonts w:hint="eastAsia" w:ascii="宋体" w:hAnsi="宋体" w:cs="仿宋_GB2312"/>
                <w:color w:val="auto"/>
                <w:kern w:val="2"/>
                <w:sz w:val="24"/>
                <w:szCs w:val="24"/>
                <w:highlight w:val="none"/>
                <w:lang w:eastAsia="zh-CN"/>
              </w:rPr>
              <w:t>A02010109平板式计算机</w:t>
            </w:r>
          </w:p>
        </w:tc>
        <w:tc>
          <w:tcPr>
            <w:tcW w:w="1536" w:type="dxa"/>
            <w:tcBorders>
              <w:top w:val="single" w:color="000000" w:sz="4" w:space="0"/>
              <w:left w:val="single" w:color="000000" w:sz="4" w:space="0"/>
              <w:bottom w:val="single" w:color="000000" w:sz="4" w:space="0"/>
              <w:right w:val="single" w:color="000000" w:sz="4" w:space="0"/>
            </w:tcBorders>
            <w:vAlign w:val="center"/>
          </w:tcPr>
          <w:p w14:paraId="71C99385">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5D2D3D8A">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《微型计算机能效限定值及能效等级》（GB28380）</w:t>
            </w:r>
          </w:p>
        </w:tc>
      </w:tr>
      <w:tr w14:paraId="3308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restart"/>
            <w:tcBorders>
              <w:top w:val="single" w:color="000000" w:sz="4" w:space="0"/>
              <w:left w:val="single" w:color="000000" w:sz="4" w:space="0"/>
              <w:bottom w:val="single" w:color="000000" w:sz="4" w:space="0"/>
              <w:right w:val="single" w:color="000000" w:sz="4" w:space="0"/>
            </w:tcBorders>
            <w:vAlign w:val="center"/>
          </w:tcPr>
          <w:p w14:paraId="05C96629">
            <w:pPr>
              <w:jc w:val="center"/>
              <w:rPr>
                <w:rFonts w:ascii="宋体" w:hAnsi="宋体"/>
                <w:color w:val="auto"/>
                <w:sz w:val="24"/>
                <w:highlight w:val="none"/>
              </w:rPr>
            </w:pPr>
            <w:r>
              <w:rPr>
                <w:rFonts w:hint="eastAsia" w:ascii="宋体" w:hAnsi="宋体"/>
                <w:color w:val="auto"/>
                <w:sz w:val="24"/>
                <w:highlight w:val="none"/>
              </w:rPr>
              <w:t>2</w:t>
            </w:r>
          </w:p>
        </w:tc>
        <w:tc>
          <w:tcPr>
            <w:tcW w:w="1407" w:type="dxa"/>
            <w:vMerge w:val="restart"/>
            <w:tcBorders>
              <w:top w:val="single" w:color="000000" w:sz="4" w:space="0"/>
              <w:left w:val="single" w:color="000000" w:sz="4" w:space="0"/>
              <w:bottom w:val="single" w:color="000000" w:sz="4" w:space="0"/>
              <w:right w:val="single" w:color="000000" w:sz="4" w:space="0"/>
            </w:tcBorders>
            <w:vAlign w:val="center"/>
          </w:tcPr>
          <w:p w14:paraId="1A60F835">
            <w:pPr>
              <w:pStyle w:val="59"/>
              <w:ind w:left="7"/>
              <w:jc w:val="center"/>
              <w:rPr>
                <w:rFonts w:ascii="宋体" w:hAnsi="宋体" w:cs="宋体"/>
                <w:color w:val="auto"/>
                <w:kern w:val="2"/>
                <w:sz w:val="24"/>
                <w:szCs w:val="24"/>
                <w:highlight w:val="none"/>
              </w:rPr>
            </w:pPr>
            <w:r>
              <w:rPr>
                <w:rFonts w:hint="eastAsia" w:ascii="宋体" w:hAnsi="宋体" w:cs="仿宋_GB2312"/>
                <w:color w:val="auto"/>
                <w:kern w:val="2"/>
                <w:sz w:val="24"/>
                <w:szCs w:val="24"/>
                <w:highlight w:val="none"/>
              </w:rPr>
              <w:t>A02020000</w:t>
            </w:r>
            <w:r>
              <w:rPr>
                <w:rFonts w:hint="eastAsia" w:ascii="宋体" w:hAnsi="宋体" w:cs="宋体"/>
                <w:color w:val="auto"/>
                <w:w w:val="99"/>
                <w:kern w:val="2"/>
                <w:sz w:val="24"/>
                <w:szCs w:val="24"/>
                <w:highlight w:val="none"/>
              </w:rPr>
              <w:t>办公设备</w:t>
            </w:r>
          </w:p>
        </w:tc>
        <w:tc>
          <w:tcPr>
            <w:tcW w:w="1546" w:type="dxa"/>
            <w:vMerge w:val="restart"/>
            <w:tcBorders>
              <w:top w:val="single" w:color="000000" w:sz="4" w:space="0"/>
              <w:left w:val="single" w:color="000000" w:sz="4" w:space="0"/>
              <w:bottom w:val="single" w:color="000000" w:sz="4" w:space="0"/>
              <w:right w:val="single" w:color="000000" w:sz="4" w:space="0"/>
            </w:tcBorders>
            <w:vAlign w:val="center"/>
          </w:tcPr>
          <w:p w14:paraId="151EBD68">
            <w:pPr>
              <w:jc w:val="center"/>
              <w:rPr>
                <w:rFonts w:ascii="宋体" w:hAnsi="宋体"/>
                <w:color w:val="auto"/>
                <w:sz w:val="24"/>
                <w:highlight w:val="none"/>
              </w:rPr>
            </w:pPr>
            <w:r>
              <w:rPr>
                <w:rFonts w:hint="eastAsia" w:ascii="宋体" w:hAnsi="宋体" w:cs="宋体"/>
                <w:color w:val="auto"/>
                <w:spacing w:val="1"/>
                <w:w w:val="99"/>
                <w:sz w:val="24"/>
                <w:highlight w:val="none"/>
              </w:rPr>
              <w:t>A02021000</w:t>
            </w:r>
            <w:r>
              <w:rPr>
                <w:rFonts w:hint="eastAsia" w:ascii="宋体" w:hAnsi="宋体" w:cs="Arial"/>
                <w:color w:val="auto"/>
                <w:sz w:val="24"/>
                <w:highlight w:val="none"/>
                <w:shd w:val="clear" w:color="auto" w:fill="FFFFFF"/>
              </w:rPr>
              <w:t>打印机</w:t>
            </w:r>
          </w:p>
        </w:tc>
        <w:tc>
          <w:tcPr>
            <w:tcW w:w="1536" w:type="dxa"/>
            <w:tcBorders>
              <w:top w:val="single" w:color="000000" w:sz="4" w:space="0"/>
              <w:left w:val="single" w:color="000000" w:sz="4" w:space="0"/>
              <w:bottom w:val="single" w:color="000000" w:sz="4" w:space="0"/>
              <w:right w:val="single" w:color="000000" w:sz="4" w:space="0"/>
            </w:tcBorders>
            <w:vAlign w:val="center"/>
          </w:tcPr>
          <w:p w14:paraId="57550271">
            <w:pPr>
              <w:jc w:val="center"/>
              <w:rPr>
                <w:rFonts w:ascii="宋体" w:hAnsi="宋体"/>
                <w:color w:val="auto"/>
                <w:sz w:val="24"/>
                <w:highlight w:val="none"/>
              </w:rPr>
            </w:pPr>
            <w:r>
              <w:rPr>
                <w:rFonts w:hint="eastAsia" w:ascii="宋体" w:hAnsi="宋体"/>
                <w:color w:val="auto"/>
                <w:sz w:val="24"/>
                <w:highlight w:val="none"/>
              </w:rPr>
              <w:t>A02021001 A3黑白打印机</w:t>
            </w:r>
          </w:p>
        </w:tc>
        <w:tc>
          <w:tcPr>
            <w:tcW w:w="3452" w:type="dxa"/>
            <w:tcBorders>
              <w:top w:val="single" w:color="000000" w:sz="4" w:space="0"/>
              <w:left w:val="single" w:color="000000" w:sz="4" w:space="0"/>
              <w:bottom w:val="single" w:color="000000" w:sz="4" w:space="0"/>
              <w:right w:val="single" w:color="000000" w:sz="4" w:space="0"/>
            </w:tcBorders>
          </w:tcPr>
          <w:p w14:paraId="734B83B6">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《复印机、打印机和传真机能效限定值及能效等级》（GB21521）</w:t>
            </w:r>
          </w:p>
        </w:tc>
      </w:tr>
      <w:tr w14:paraId="1498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74E332C2">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4B1F3C27">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085391CB">
            <w:pPr>
              <w:widowControl/>
              <w:jc w:val="left"/>
              <w:rPr>
                <w:rFonts w:ascii="宋体" w:hAnsi="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090CC243">
            <w:pPr>
              <w:jc w:val="center"/>
              <w:rPr>
                <w:rFonts w:ascii="宋体" w:hAnsi="宋体"/>
                <w:color w:val="auto"/>
                <w:sz w:val="24"/>
                <w:highlight w:val="none"/>
              </w:rPr>
            </w:pPr>
            <w:r>
              <w:rPr>
                <w:rFonts w:hint="eastAsia" w:ascii="宋体" w:hAnsi="宋体"/>
                <w:color w:val="auto"/>
                <w:sz w:val="24"/>
                <w:highlight w:val="none"/>
              </w:rPr>
              <w:t>A02021002 A3彩色打印机</w:t>
            </w:r>
          </w:p>
        </w:tc>
        <w:tc>
          <w:tcPr>
            <w:tcW w:w="3452" w:type="dxa"/>
            <w:tcBorders>
              <w:top w:val="single" w:color="000000" w:sz="4" w:space="0"/>
              <w:left w:val="single" w:color="000000" w:sz="4" w:space="0"/>
              <w:bottom w:val="single" w:color="000000" w:sz="4" w:space="0"/>
              <w:right w:val="single" w:color="000000" w:sz="4" w:space="0"/>
            </w:tcBorders>
          </w:tcPr>
          <w:p w14:paraId="49852994">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《复印机、打印机和传真机能效限定值及能效等级》（GB21521）</w:t>
            </w:r>
          </w:p>
        </w:tc>
      </w:tr>
      <w:tr w14:paraId="29F4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4B4F15BF">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34021428">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4ECC1F38">
            <w:pPr>
              <w:widowControl/>
              <w:jc w:val="left"/>
              <w:rPr>
                <w:rFonts w:ascii="宋体" w:hAnsi="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07D67546">
            <w:pPr>
              <w:jc w:val="center"/>
              <w:rPr>
                <w:rFonts w:ascii="宋体" w:hAnsi="宋体"/>
                <w:color w:val="auto"/>
                <w:sz w:val="24"/>
                <w:highlight w:val="none"/>
              </w:rPr>
            </w:pPr>
            <w:r>
              <w:rPr>
                <w:rFonts w:hint="eastAsia" w:ascii="宋体" w:hAnsi="宋体"/>
                <w:color w:val="auto"/>
                <w:sz w:val="24"/>
                <w:highlight w:val="none"/>
              </w:rPr>
              <w:t>A02021003 A4黑白打印机</w:t>
            </w:r>
          </w:p>
        </w:tc>
        <w:tc>
          <w:tcPr>
            <w:tcW w:w="3452" w:type="dxa"/>
            <w:tcBorders>
              <w:top w:val="single" w:color="000000" w:sz="4" w:space="0"/>
              <w:left w:val="single" w:color="000000" w:sz="4" w:space="0"/>
              <w:bottom w:val="single" w:color="000000" w:sz="4" w:space="0"/>
              <w:right w:val="single" w:color="000000" w:sz="4" w:space="0"/>
            </w:tcBorders>
          </w:tcPr>
          <w:p w14:paraId="495DAE4F">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《复印机、打印机和传真机能效限定值及能效等级》（GB21521）</w:t>
            </w:r>
          </w:p>
        </w:tc>
      </w:tr>
      <w:tr w14:paraId="519B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33A1A948">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5BE7EB66">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6B3E8364">
            <w:pPr>
              <w:widowControl/>
              <w:jc w:val="left"/>
              <w:rPr>
                <w:rFonts w:ascii="宋体" w:hAnsi="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58437D47">
            <w:pPr>
              <w:jc w:val="center"/>
              <w:rPr>
                <w:rFonts w:ascii="宋体" w:hAnsi="宋体"/>
                <w:color w:val="auto"/>
                <w:sz w:val="24"/>
                <w:highlight w:val="none"/>
              </w:rPr>
            </w:pPr>
            <w:r>
              <w:rPr>
                <w:rFonts w:hint="eastAsia" w:ascii="宋体" w:hAnsi="宋体"/>
                <w:color w:val="auto"/>
                <w:sz w:val="24"/>
                <w:highlight w:val="none"/>
              </w:rPr>
              <w:t>A02021004 A4彩色打印机</w:t>
            </w:r>
          </w:p>
        </w:tc>
        <w:tc>
          <w:tcPr>
            <w:tcW w:w="3452" w:type="dxa"/>
            <w:tcBorders>
              <w:top w:val="single" w:color="000000" w:sz="4" w:space="0"/>
              <w:left w:val="single" w:color="000000" w:sz="4" w:space="0"/>
              <w:bottom w:val="single" w:color="000000" w:sz="4" w:space="0"/>
              <w:right w:val="single" w:color="000000" w:sz="4" w:space="0"/>
            </w:tcBorders>
          </w:tcPr>
          <w:p w14:paraId="3029E0A4">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《复印机、打印机和传真机能效限定值及能效等级》（GB21521）</w:t>
            </w:r>
          </w:p>
        </w:tc>
      </w:tr>
      <w:tr w14:paraId="09A6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5CDD24D1">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2ADA3C8B">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11517970">
            <w:pPr>
              <w:widowControl/>
              <w:jc w:val="left"/>
              <w:rPr>
                <w:rFonts w:ascii="宋体" w:hAnsi="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7DAC8876">
            <w:pPr>
              <w:jc w:val="center"/>
              <w:rPr>
                <w:rFonts w:ascii="宋体" w:hAnsi="宋体"/>
                <w:color w:val="auto"/>
                <w:sz w:val="24"/>
                <w:highlight w:val="none"/>
              </w:rPr>
            </w:pPr>
            <w:r>
              <w:rPr>
                <w:rFonts w:hint="eastAsia" w:ascii="宋体" w:hAnsi="宋体"/>
                <w:color w:val="auto"/>
                <w:sz w:val="24"/>
                <w:highlight w:val="none"/>
              </w:rPr>
              <w:t>A02021005 3D打印机</w:t>
            </w:r>
          </w:p>
        </w:tc>
        <w:tc>
          <w:tcPr>
            <w:tcW w:w="3452" w:type="dxa"/>
            <w:tcBorders>
              <w:top w:val="single" w:color="000000" w:sz="4" w:space="0"/>
              <w:left w:val="single" w:color="000000" w:sz="4" w:space="0"/>
              <w:bottom w:val="single" w:color="000000" w:sz="4" w:space="0"/>
              <w:right w:val="single" w:color="000000" w:sz="4" w:space="0"/>
            </w:tcBorders>
          </w:tcPr>
          <w:p w14:paraId="5EFC21B5">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《复印机、打印机和传真机能效限定值及能效等级》（GB21521）</w:t>
            </w:r>
          </w:p>
        </w:tc>
      </w:tr>
      <w:tr w14:paraId="7883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424A905A">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4190A5A3">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652F28FE">
            <w:pPr>
              <w:widowControl/>
              <w:jc w:val="left"/>
              <w:rPr>
                <w:rFonts w:ascii="宋体" w:hAnsi="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5D447CC0">
            <w:pPr>
              <w:jc w:val="center"/>
              <w:rPr>
                <w:rFonts w:ascii="宋体" w:hAnsi="宋体"/>
                <w:color w:val="auto"/>
                <w:sz w:val="24"/>
                <w:highlight w:val="none"/>
              </w:rPr>
            </w:pPr>
            <w:r>
              <w:rPr>
                <w:rFonts w:hint="eastAsia" w:ascii="宋体" w:hAnsi="宋体"/>
                <w:color w:val="auto"/>
                <w:sz w:val="24"/>
                <w:highlight w:val="none"/>
              </w:rPr>
              <w:t>A02021006票据打印机</w:t>
            </w:r>
          </w:p>
        </w:tc>
        <w:tc>
          <w:tcPr>
            <w:tcW w:w="3452" w:type="dxa"/>
            <w:tcBorders>
              <w:top w:val="single" w:color="000000" w:sz="4" w:space="0"/>
              <w:left w:val="single" w:color="000000" w:sz="4" w:space="0"/>
              <w:bottom w:val="single" w:color="000000" w:sz="4" w:space="0"/>
              <w:right w:val="single" w:color="000000" w:sz="4" w:space="0"/>
            </w:tcBorders>
          </w:tcPr>
          <w:p w14:paraId="2772C1D8">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《复印机、打印机和传真机能效限定值及能效等级》（GB21521）</w:t>
            </w:r>
          </w:p>
        </w:tc>
      </w:tr>
      <w:tr w14:paraId="163D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5FE59AF5">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067699ED">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0EFBC250">
            <w:pPr>
              <w:widowControl/>
              <w:jc w:val="left"/>
              <w:rPr>
                <w:rFonts w:ascii="宋体" w:hAnsi="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6B5A26CA">
            <w:pPr>
              <w:jc w:val="center"/>
              <w:rPr>
                <w:rFonts w:ascii="宋体" w:hAnsi="宋体"/>
                <w:color w:val="auto"/>
                <w:sz w:val="24"/>
                <w:highlight w:val="none"/>
              </w:rPr>
            </w:pPr>
            <w:r>
              <w:rPr>
                <w:rFonts w:hint="eastAsia" w:ascii="宋体" w:hAnsi="宋体"/>
                <w:color w:val="auto"/>
                <w:sz w:val="24"/>
                <w:highlight w:val="none"/>
              </w:rPr>
              <w:t>A02021007条码打印机</w:t>
            </w:r>
          </w:p>
        </w:tc>
        <w:tc>
          <w:tcPr>
            <w:tcW w:w="3452" w:type="dxa"/>
            <w:tcBorders>
              <w:top w:val="single" w:color="000000" w:sz="4" w:space="0"/>
              <w:left w:val="single" w:color="000000" w:sz="4" w:space="0"/>
              <w:bottom w:val="single" w:color="000000" w:sz="4" w:space="0"/>
              <w:right w:val="single" w:color="000000" w:sz="4" w:space="0"/>
            </w:tcBorders>
          </w:tcPr>
          <w:p w14:paraId="7C8F0844">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《复印机、打印机和传真机能效限定值及能效等级》（GB21521）</w:t>
            </w:r>
          </w:p>
        </w:tc>
      </w:tr>
      <w:tr w14:paraId="0BDF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4302363B">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46E75EC8">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352C0755">
            <w:pPr>
              <w:widowControl/>
              <w:jc w:val="left"/>
              <w:rPr>
                <w:rFonts w:ascii="宋体" w:hAnsi="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75221833">
            <w:pPr>
              <w:jc w:val="center"/>
              <w:rPr>
                <w:rFonts w:ascii="宋体" w:hAnsi="宋体"/>
                <w:color w:val="auto"/>
                <w:sz w:val="24"/>
                <w:highlight w:val="none"/>
              </w:rPr>
            </w:pPr>
            <w:r>
              <w:rPr>
                <w:rFonts w:hint="eastAsia" w:ascii="宋体" w:hAnsi="宋体"/>
                <w:color w:val="auto"/>
                <w:sz w:val="24"/>
                <w:highlight w:val="none"/>
              </w:rPr>
              <w:t>A02021008地址打印机</w:t>
            </w:r>
          </w:p>
        </w:tc>
        <w:tc>
          <w:tcPr>
            <w:tcW w:w="3452" w:type="dxa"/>
            <w:tcBorders>
              <w:top w:val="single" w:color="000000" w:sz="4" w:space="0"/>
              <w:left w:val="single" w:color="000000" w:sz="4" w:space="0"/>
              <w:bottom w:val="single" w:color="000000" w:sz="4" w:space="0"/>
              <w:right w:val="single" w:color="000000" w:sz="4" w:space="0"/>
            </w:tcBorders>
          </w:tcPr>
          <w:p w14:paraId="380751F1">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《复印机、打印机和传真机能效限定值及能效等级》（GB21521）</w:t>
            </w:r>
          </w:p>
        </w:tc>
      </w:tr>
      <w:tr w14:paraId="4AEB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11FEBA51">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743E6FF1">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1A596B70">
            <w:pPr>
              <w:widowControl/>
              <w:jc w:val="left"/>
              <w:rPr>
                <w:rFonts w:ascii="宋体" w:hAnsi="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737B56F7">
            <w:pPr>
              <w:jc w:val="center"/>
              <w:rPr>
                <w:rFonts w:ascii="宋体" w:hAnsi="宋体"/>
                <w:color w:val="auto"/>
                <w:sz w:val="24"/>
                <w:highlight w:val="none"/>
              </w:rPr>
            </w:pPr>
            <w:r>
              <w:rPr>
                <w:rFonts w:hint="eastAsia" w:ascii="宋体" w:hAnsi="宋体"/>
                <w:color w:val="auto"/>
                <w:sz w:val="24"/>
                <w:highlight w:val="none"/>
              </w:rPr>
              <w:t>A02021099其他打印机</w:t>
            </w:r>
          </w:p>
        </w:tc>
        <w:tc>
          <w:tcPr>
            <w:tcW w:w="3452" w:type="dxa"/>
            <w:tcBorders>
              <w:top w:val="single" w:color="000000" w:sz="4" w:space="0"/>
              <w:left w:val="single" w:color="000000" w:sz="4" w:space="0"/>
              <w:bottom w:val="single" w:color="000000" w:sz="4" w:space="0"/>
              <w:right w:val="single" w:color="000000" w:sz="4" w:space="0"/>
            </w:tcBorders>
          </w:tcPr>
          <w:p w14:paraId="5DC4332C">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《复印机、打印机和传真机能效限定值及能效等级》（GB21521）</w:t>
            </w:r>
          </w:p>
        </w:tc>
      </w:tr>
      <w:tr w14:paraId="0CFB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59C107CE">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5D55591A">
            <w:pPr>
              <w:widowControl/>
              <w:jc w:val="left"/>
              <w:rPr>
                <w:rFonts w:ascii="宋体" w:hAnsi="宋体" w:cs="宋体"/>
                <w:color w:val="auto"/>
                <w:sz w:val="24"/>
                <w:highlight w:val="none"/>
              </w:rPr>
            </w:pPr>
          </w:p>
        </w:tc>
        <w:tc>
          <w:tcPr>
            <w:tcW w:w="1546" w:type="dxa"/>
            <w:vMerge w:val="restart"/>
            <w:tcBorders>
              <w:top w:val="single" w:color="000000" w:sz="4" w:space="0"/>
              <w:left w:val="single" w:color="000000" w:sz="4" w:space="0"/>
              <w:bottom w:val="single" w:color="000000" w:sz="4" w:space="0"/>
              <w:right w:val="single" w:color="000000" w:sz="4" w:space="0"/>
            </w:tcBorders>
            <w:vAlign w:val="center"/>
          </w:tcPr>
          <w:p w14:paraId="2E483089">
            <w:pPr>
              <w:jc w:val="center"/>
              <w:rPr>
                <w:rFonts w:ascii="宋体" w:hAnsi="宋体"/>
                <w:color w:val="auto"/>
                <w:sz w:val="24"/>
                <w:highlight w:val="none"/>
              </w:rPr>
            </w:pPr>
            <w:r>
              <w:rPr>
                <w:rFonts w:hint="eastAsia" w:ascii="宋体" w:hAnsi="宋体"/>
                <w:color w:val="auto"/>
                <w:sz w:val="24"/>
                <w:highlight w:val="none"/>
              </w:rPr>
              <w:t>A02021100输入输出设备</w:t>
            </w:r>
          </w:p>
        </w:tc>
        <w:tc>
          <w:tcPr>
            <w:tcW w:w="1536" w:type="dxa"/>
            <w:tcBorders>
              <w:top w:val="single" w:color="000000" w:sz="4" w:space="0"/>
              <w:left w:val="single" w:color="000000" w:sz="4" w:space="0"/>
              <w:bottom w:val="single" w:color="000000" w:sz="4" w:space="0"/>
              <w:right w:val="single" w:color="000000" w:sz="4" w:space="0"/>
            </w:tcBorders>
            <w:vAlign w:val="center"/>
          </w:tcPr>
          <w:p w14:paraId="227AB570">
            <w:pPr>
              <w:jc w:val="center"/>
              <w:rPr>
                <w:rFonts w:ascii="宋体" w:hAnsi="宋体"/>
                <w:color w:val="auto"/>
                <w:sz w:val="24"/>
                <w:highlight w:val="none"/>
              </w:rPr>
            </w:pPr>
            <w:r>
              <w:rPr>
                <w:rFonts w:hint="eastAsia" w:ascii="宋体" w:hAnsi="宋体" w:cs="宋体"/>
                <w:color w:val="auto"/>
                <w:w w:val="99"/>
                <w:sz w:val="24"/>
                <w:highlight w:val="none"/>
              </w:rPr>
              <w:t>★</w:t>
            </w:r>
            <w:r>
              <w:rPr>
                <w:rFonts w:hint="eastAsia" w:ascii="宋体" w:hAnsi="宋体"/>
                <w:color w:val="auto"/>
                <w:sz w:val="24"/>
                <w:highlight w:val="none"/>
              </w:rPr>
              <w:t>A02021104液晶显示器</w:t>
            </w:r>
          </w:p>
        </w:tc>
        <w:tc>
          <w:tcPr>
            <w:tcW w:w="3452" w:type="dxa"/>
            <w:tcBorders>
              <w:top w:val="single" w:color="000000" w:sz="4" w:space="0"/>
              <w:left w:val="single" w:color="000000" w:sz="4" w:space="0"/>
              <w:bottom w:val="single" w:color="000000" w:sz="4" w:space="0"/>
              <w:right w:val="single" w:color="000000" w:sz="4" w:space="0"/>
            </w:tcBorders>
            <w:vAlign w:val="center"/>
          </w:tcPr>
          <w:p w14:paraId="588F4FF8">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《计算机显示器能效限定值及能效等级》（GB21520）</w:t>
            </w:r>
          </w:p>
        </w:tc>
      </w:tr>
      <w:tr w14:paraId="38EEB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31D36768">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1632E051">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38D44D9B">
            <w:pPr>
              <w:widowControl/>
              <w:jc w:val="left"/>
              <w:rPr>
                <w:rFonts w:ascii="宋体" w:hAnsi="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43B20667">
            <w:pPr>
              <w:jc w:val="center"/>
              <w:rPr>
                <w:rFonts w:ascii="宋体" w:hAnsi="宋体"/>
                <w:color w:val="auto"/>
                <w:sz w:val="24"/>
                <w:highlight w:val="none"/>
              </w:rPr>
            </w:pPr>
            <w:r>
              <w:rPr>
                <w:rFonts w:hint="eastAsia" w:ascii="宋体" w:hAnsi="宋体"/>
                <w:color w:val="auto"/>
                <w:sz w:val="24"/>
                <w:highlight w:val="none"/>
              </w:rPr>
              <w:t>A02021118扫描仪</w:t>
            </w:r>
          </w:p>
        </w:tc>
        <w:tc>
          <w:tcPr>
            <w:tcW w:w="3452" w:type="dxa"/>
            <w:tcBorders>
              <w:top w:val="single" w:color="000000" w:sz="4" w:space="0"/>
              <w:left w:val="single" w:color="000000" w:sz="4" w:space="0"/>
              <w:bottom w:val="single" w:color="000000" w:sz="4" w:space="0"/>
              <w:right w:val="single" w:color="000000" w:sz="4" w:space="0"/>
            </w:tcBorders>
            <w:vAlign w:val="center"/>
          </w:tcPr>
          <w:p w14:paraId="1FAC881E">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参照《复印机、打印机和传真机能效限定值及能效等级》（GB21521）中打印速度为15页/分的针式打印机相关要求</w:t>
            </w:r>
          </w:p>
        </w:tc>
      </w:tr>
      <w:tr w14:paraId="57AD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Borders>
              <w:top w:val="single" w:color="000000" w:sz="4" w:space="0"/>
              <w:left w:val="single" w:color="000000" w:sz="4" w:space="0"/>
              <w:bottom w:val="single" w:color="000000" w:sz="4" w:space="0"/>
              <w:right w:val="single" w:color="000000" w:sz="4" w:space="0"/>
            </w:tcBorders>
            <w:vAlign w:val="center"/>
          </w:tcPr>
          <w:p w14:paraId="386AFB18">
            <w:pPr>
              <w:jc w:val="center"/>
              <w:rPr>
                <w:rFonts w:ascii="宋体" w:hAnsi="宋体"/>
                <w:color w:val="auto"/>
                <w:sz w:val="24"/>
                <w:highlight w:val="none"/>
              </w:rPr>
            </w:pPr>
            <w:r>
              <w:rPr>
                <w:rFonts w:hint="eastAsia" w:ascii="宋体" w:hAnsi="宋体"/>
                <w:color w:val="auto"/>
                <w:w w:val="99"/>
                <w:sz w:val="24"/>
                <w:highlight w:val="none"/>
              </w:rPr>
              <w:t>3</w:t>
            </w:r>
          </w:p>
        </w:tc>
        <w:tc>
          <w:tcPr>
            <w:tcW w:w="1407" w:type="dxa"/>
            <w:tcBorders>
              <w:top w:val="single" w:color="000000" w:sz="4" w:space="0"/>
              <w:left w:val="single" w:color="000000" w:sz="4" w:space="0"/>
              <w:bottom w:val="single" w:color="000000" w:sz="4" w:space="0"/>
              <w:right w:val="single" w:color="000000" w:sz="4" w:space="0"/>
            </w:tcBorders>
            <w:vAlign w:val="center"/>
          </w:tcPr>
          <w:p w14:paraId="7B2F9D82">
            <w:pPr>
              <w:jc w:val="center"/>
              <w:rPr>
                <w:rFonts w:ascii="宋体" w:hAnsi="宋体"/>
                <w:color w:val="auto"/>
                <w:sz w:val="24"/>
                <w:highlight w:val="none"/>
              </w:rPr>
            </w:pPr>
            <w:r>
              <w:rPr>
                <w:rFonts w:hint="eastAsia" w:ascii="宋体" w:hAnsi="宋体"/>
                <w:color w:val="auto"/>
                <w:sz w:val="24"/>
                <w:highlight w:val="none"/>
              </w:rPr>
              <w:t>A02020200投影仪</w:t>
            </w:r>
          </w:p>
        </w:tc>
        <w:tc>
          <w:tcPr>
            <w:tcW w:w="1546" w:type="dxa"/>
            <w:tcBorders>
              <w:top w:val="single" w:color="000000" w:sz="4" w:space="0"/>
              <w:left w:val="single" w:color="000000" w:sz="4" w:space="0"/>
              <w:bottom w:val="single" w:color="000000" w:sz="4" w:space="0"/>
              <w:right w:val="single" w:color="000000" w:sz="4" w:space="0"/>
            </w:tcBorders>
            <w:vAlign w:val="center"/>
          </w:tcPr>
          <w:p w14:paraId="6CBA839A">
            <w:pPr>
              <w:jc w:val="center"/>
              <w:rPr>
                <w:rFonts w:ascii="宋体" w:hAnsi="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4A57A30E">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1F173085">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《投影机能效限定值及能效等级》（GB32028）</w:t>
            </w:r>
          </w:p>
        </w:tc>
      </w:tr>
      <w:tr w14:paraId="45AA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Borders>
              <w:top w:val="single" w:color="000000" w:sz="4" w:space="0"/>
              <w:left w:val="single" w:color="000000" w:sz="4" w:space="0"/>
              <w:bottom w:val="single" w:color="000000" w:sz="4" w:space="0"/>
              <w:right w:val="single" w:color="000000" w:sz="4" w:space="0"/>
            </w:tcBorders>
            <w:vAlign w:val="center"/>
          </w:tcPr>
          <w:p w14:paraId="29FFD756">
            <w:pPr>
              <w:jc w:val="center"/>
              <w:rPr>
                <w:rFonts w:ascii="宋体" w:hAnsi="宋体"/>
                <w:color w:val="auto"/>
                <w:sz w:val="24"/>
                <w:highlight w:val="none"/>
              </w:rPr>
            </w:pPr>
            <w:r>
              <w:rPr>
                <w:rFonts w:hint="eastAsia" w:ascii="宋体" w:hAnsi="宋体"/>
                <w:color w:val="auto"/>
                <w:sz w:val="24"/>
                <w:highlight w:val="none"/>
              </w:rPr>
              <w:t>4</w:t>
            </w:r>
          </w:p>
        </w:tc>
        <w:tc>
          <w:tcPr>
            <w:tcW w:w="1407" w:type="dxa"/>
            <w:tcBorders>
              <w:top w:val="single" w:color="000000" w:sz="4" w:space="0"/>
              <w:left w:val="single" w:color="000000" w:sz="4" w:space="0"/>
              <w:bottom w:val="single" w:color="000000" w:sz="4" w:space="0"/>
              <w:right w:val="single" w:color="000000" w:sz="4" w:space="0"/>
            </w:tcBorders>
            <w:vAlign w:val="center"/>
          </w:tcPr>
          <w:p w14:paraId="56F4C712">
            <w:pPr>
              <w:pStyle w:val="59"/>
              <w:spacing w:before="66"/>
              <w:ind w:left="7"/>
              <w:jc w:val="center"/>
              <w:rPr>
                <w:rFonts w:ascii="宋体" w:hAnsi="宋体" w:cs="宋体"/>
                <w:color w:val="auto"/>
                <w:kern w:val="2"/>
                <w:sz w:val="24"/>
                <w:szCs w:val="24"/>
                <w:highlight w:val="none"/>
              </w:rPr>
            </w:pPr>
            <w:r>
              <w:rPr>
                <w:rFonts w:hint="eastAsia" w:ascii="宋体" w:hAnsi="宋体" w:cs="仿宋_GB2312"/>
                <w:color w:val="auto"/>
                <w:kern w:val="2"/>
                <w:sz w:val="24"/>
                <w:szCs w:val="24"/>
                <w:highlight w:val="none"/>
              </w:rPr>
              <w:t>A02020400</w:t>
            </w:r>
            <w:r>
              <w:rPr>
                <w:rFonts w:hint="eastAsia" w:ascii="宋体" w:hAnsi="宋体" w:cs="宋体"/>
                <w:color w:val="auto"/>
                <w:w w:val="99"/>
                <w:kern w:val="2"/>
                <w:sz w:val="24"/>
                <w:szCs w:val="24"/>
                <w:highlight w:val="none"/>
              </w:rPr>
              <w:t>多功能一体机</w:t>
            </w:r>
          </w:p>
        </w:tc>
        <w:tc>
          <w:tcPr>
            <w:tcW w:w="1546" w:type="dxa"/>
            <w:tcBorders>
              <w:top w:val="single" w:color="000000" w:sz="4" w:space="0"/>
              <w:left w:val="single" w:color="000000" w:sz="4" w:space="0"/>
              <w:bottom w:val="single" w:color="000000" w:sz="4" w:space="0"/>
              <w:right w:val="single" w:color="000000" w:sz="4" w:space="0"/>
            </w:tcBorders>
            <w:vAlign w:val="center"/>
          </w:tcPr>
          <w:p w14:paraId="0785ECA9">
            <w:pPr>
              <w:jc w:val="center"/>
              <w:rPr>
                <w:rFonts w:ascii="宋体" w:hAnsi="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37D4D12F">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7A69BDFB">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《复印机、打印机和传真机能效限定值及能效等级》（GB21521）</w:t>
            </w:r>
          </w:p>
        </w:tc>
      </w:tr>
      <w:tr w14:paraId="6B62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Borders>
              <w:top w:val="single" w:color="000000" w:sz="4" w:space="0"/>
              <w:left w:val="single" w:color="000000" w:sz="4" w:space="0"/>
              <w:bottom w:val="single" w:color="000000" w:sz="4" w:space="0"/>
              <w:right w:val="single" w:color="000000" w:sz="4" w:space="0"/>
            </w:tcBorders>
            <w:vAlign w:val="center"/>
          </w:tcPr>
          <w:p w14:paraId="2D5018AF">
            <w:pPr>
              <w:pStyle w:val="59"/>
              <w:spacing w:before="160"/>
              <w:ind w:right="1"/>
              <w:jc w:val="center"/>
              <w:rPr>
                <w:rFonts w:ascii="宋体" w:hAnsi="宋体" w:cs="宋体"/>
                <w:color w:val="auto"/>
                <w:kern w:val="2"/>
                <w:sz w:val="24"/>
                <w:szCs w:val="24"/>
                <w:highlight w:val="none"/>
              </w:rPr>
            </w:pPr>
            <w:r>
              <w:rPr>
                <w:rFonts w:hint="eastAsia" w:ascii="宋体" w:hAnsi="宋体"/>
                <w:color w:val="auto"/>
                <w:w w:val="99"/>
                <w:kern w:val="2"/>
                <w:sz w:val="24"/>
                <w:szCs w:val="24"/>
                <w:highlight w:val="none"/>
              </w:rPr>
              <w:t>5</w:t>
            </w:r>
          </w:p>
        </w:tc>
        <w:tc>
          <w:tcPr>
            <w:tcW w:w="1407" w:type="dxa"/>
            <w:tcBorders>
              <w:top w:val="single" w:color="000000" w:sz="4" w:space="0"/>
              <w:left w:val="single" w:color="000000" w:sz="4" w:space="0"/>
              <w:bottom w:val="single" w:color="000000" w:sz="4" w:space="0"/>
              <w:right w:val="single" w:color="000000" w:sz="4" w:space="0"/>
            </w:tcBorders>
            <w:vAlign w:val="center"/>
          </w:tcPr>
          <w:p w14:paraId="74CFCF3B">
            <w:pPr>
              <w:pStyle w:val="59"/>
              <w:spacing w:before="160"/>
              <w:ind w:left="7"/>
              <w:jc w:val="center"/>
              <w:rPr>
                <w:rFonts w:ascii="宋体" w:hAnsi="宋体" w:cs="宋体"/>
                <w:color w:val="auto"/>
                <w:kern w:val="2"/>
                <w:sz w:val="24"/>
                <w:szCs w:val="24"/>
                <w:highlight w:val="none"/>
              </w:rPr>
            </w:pPr>
            <w:r>
              <w:rPr>
                <w:rFonts w:hint="eastAsia" w:ascii="宋体" w:hAnsi="宋体" w:cs="仿宋_GB2312"/>
                <w:color w:val="auto"/>
                <w:kern w:val="2"/>
                <w:sz w:val="24"/>
                <w:szCs w:val="24"/>
                <w:highlight w:val="none"/>
              </w:rPr>
              <w:t>A02051900</w:t>
            </w:r>
            <w:r>
              <w:rPr>
                <w:rFonts w:hint="eastAsia" w:ascii="宋体" w:hAnsi="宋体" w:cs="宋体"/>
                <w:color w:val="auto"/>
                <w:w w:val="99"/>
                <w:kern w:val="2"/>
                <w:sz w:val="24"/>
                <w:szCs w:val="24"/>
                <w:highlight w:val="none"/>
              </w:rPr>
              <w:t>泵</w:t>
            </w:r>
          </w:p>
        </w:tc>
        <w:tc>
          <w:tcPr>
            <w:tcW w:w="1546" w:type="dxa"/>
            <w:tcBorders>
              <w:top w:val="single" w:color="000000" w:sz="4" w:space="0"/>
              <w:left w:val="single" w:color="000000" w:sz="4" w:space="0"/>
              <w:bottom w:val="single" w:color="000000" w:sz="4" w:space="0"/>
              <w:right w:val="single" w:color="000000" w:sz="4" w:space="0"/>
            </w:tcBorders>
            <w:vAlign w:val="center"/>
          </w:tcPr>
          <w:p w14:paraId="634E0C95">
            <w:pPr>
              <w:pStyle w:val="59"/>
              <w:spacing w:before="160"/>
              <w:ind w:left="7"/>
              <w:jc w:val="center"/>
              <w:rPr>
                <w:rFonts w:ascii="宋体" w:hAnsi="宋体" w:cs="宋体"/>
                <w:color w:val="auto"/>
                <w:kern w:val="2"/>
                <w:sz w:val="24"/>
                <w:szCs w:val="24"/>
                <w:highlight w:val="none"/>
              </w:rPr>
            </w:pPr>
            <w:r>
              <w:rPr>
                <w:rFonts w:hint="eastAsia" w:ascii="宋体" w:hAnsi="宋体" w:cs="宋体"/>
                <w:color w:val="auto"/>
                <w:spacing w:val="1"/>
                <w:w w:val="99"/>
                <w:kern w:val="2"/>
                <w:sz w:val="24"/>
                <w:szCs w:val="24"/>
                <w:highlight w:val="none"/>
              </w:rPr>
              <w:t>A02</w:t>
            </w:r>
            <w:r>
              <w:rPr>
                <w:rFonts w:hint="eastAsia" w:ascii="宋体" w:hAnsi="宋体" w:cs="宋体"/>
                <w:color w:val="auto"/>
                <w:w w:val="99"/>
                <w:kern w:val="2"/>
                <w:sz w:val="24"/>
                <w:szCs w:val="24"/>
                <w:highlight w:val="none"/>
              </w:rPr>
              <w:t>05</w:t>
            </w:r>
            <w:r>
              <w:rPr>
                <w:rFonts w:hint="eastAsia" w:ascii="宋体" w:hAnsi="宋体" w:cs="宋体"/>
                <w:color w:val="auto"/>
                <w:spacing w:val="1"/>
                <w:w w:val="99"/>
                <w:kern w:val="2"/>
                <w:sz w:val="24"/>
                <w:szCs w:val="24"/>
                <w:highlight w:val="none"/>
              </w:rPr>
              <w:t>1</w:t>
            </w:r>
            <w:r>
              <w:rPr>
                <w:rFonts w:hint="eastAsia" w:ascii="宋体" w:hAnsi="宋体" w:cs="宋体"/>
                <w:color w:val="auto"/>
                <w:w w:val="99"/>
                <w:kern w:val="2"/>
                <w:sz w:val="24"/>
                <w:szCs w:val="24"/>
                <w:highlight w:val="none"/>
              </w:rPr>
              <w:t>901离心泵</w:t>
            </w:r>
          </w:p>
        </w:tc>
        <w:tc>
          <w:tcPr>
            <w:tcW w:w="1536" w:type="dxa"/>
            <w:tcBorders>
              <w:top w:val="single" w:color="000000" w:sz="4" w:space="0"/>
              <w:left w:val="single" w:color="000000" w:sz="4" w:space="0"/>
              <w:bottom w:val="single" w:color="000000" w:sz="4" w:space="0"/>
              <w:right w:val="single" w:color="000000" w:sz="4" w:space="0"/>
            </w:tcBorders>
            <w:vAlign w:val="center"/>
          </w:tcPr>
          <w:p w14:paraId="44459D99">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3DBBDEE2">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《清水离心泵能效限定值及节能评价值》（GB19762）</w:t>
            </w:r>
          </w:p>
        </w:tc>
      </w:tr>
      <w:tr w14:paraId="05BF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restart"/>
            <w:tcBorders>
              <w:top w:val="single" w:color="000000" w:sz="4" w:space="0"/>
              <w:left w:val="single" w:color="000000" w:sz="4" w:space="0"/>
              <w:bottom w:val="single" w:color="000000" w:sz="4" w:space="0"/>
              <w:right w:val="single" w:color="000000" w:sz="4" w:space="0"/>
            </w:tcBorders>
            <w:vAlign w:val="center"/>
          </w:tcPr>
          <w:p w14:paraId="36D4C292">
            <w:pPr>
              <w:jc w:val="center"/>
              <w:rPr>
                <w:rFonts w:ascii="宋体" w:hAnsi="宋体"/>
                <w:color w:val="auto"/>
                <w:sz w:val="24"/>
                <w:highlight w:val="none"/>
              </w:rPr>
            </w:pPr>
            <w:r>
              <w:rPr>
                <w:rFonts w:hint="eastAsia" w:ascii="宋体" w:hAnsi="宋体"/>
                <w:color w:val="auto"/>
                <w:sz w:val="24"/>
                <w:highlight w:val="none"/>
              </w:rPr>
              <w:t>6</w:t>
            </w:r>
          </w:p>
        </w:tc>
        <w:tc>
          <w:tcPr>
            <w:tcW w:w="1407" w:type="dxa"/>
            <w:vMerge w:val="restart"/>
            <w:tcBorders>
              <w:top w:val="single" w:color="000000" w:sz="4" w:space="0"/>
              <w:left w:val="single" w:color="000000" w:sz="4" w:space="0"/>
              <w:bottom w:val="single" w:color="000000" w:sz="4" w:space="0"/>
              <w:right w:val="single" w:color="000000" w:sz="4" w:space="0"/>
            </w:tcBorders>
            <w:vAlign w:val="center"/>
          </w:tcPr>
          <w:p w14:paraId="1B3924FF">
            <w:pPr>
              <w:pStyle w:val="59"/>
              <w:jc w:val="center"/>
              <w:rPr>
                <w:rFonts w:ascii="宋体" w:hAnsi="宋体" w:cs="宋体"/>
                <w:color w:val="auto"/>
                <w:kern w:val="2"/>
                <w:sz w:val="24"/>
                <w:szCs w:val="24"/>
                <w:highlight w:val="none"/>
              </w:rPr>
            </w:pPr>
            <w:r>
              <w:rPr>
                <w:rFonts w:hint="eastAsia" w:ascii="宋体" w:hAnsi="宋体" w:cs="仿宋_GB2312"/>
                <w:color w:val="auto"/>
                <w:kern w:val="2"/>
                <w:sz w:val="24"/>
                <w:szCs w:val="24"/>
                <w:highlight w:val="none"/>
              </w:rPr>
              <w:t>A02052300</w:t>
            </w:r>
            <w:r>
              <w:rPr>
                <w:rFonts w:hint="eastAsia" w:ascii="宋体" w:hAnsi="宋体" w:cs="宋体"/>
                <w:color w:val="auto"/>
                <w:w w:val="99"/>
                <w:kern w:val="2"/>
                <w:sz w:val="24"/>
                <w:szCs w:val="24"/>
                <w:highlight w:val="none"/>
              </w:rPr>
              <w:t>制冷空调设备</w:t>
            </w:r>
          </w:p>
        </w:tc>
        <w:tc>
          <w:tcPr>
            <w:tcW w:w="1546" w:type="dxa"/>
            <w:vMerge w:val="restart"/>
            <w:tcBorders>
              <w:top w:val="single" w:color="000000" w:sz="4" w:space="0"/>
              <w:left w:val="single" w:color="000000" w:sz="4" w:space="0"/>
              <w:bottom w:val="single" w:color="000000" w:sz="4" w:space="0"/>
              <w:right w:val="single" w:color="000000" w:sz="4" w:space="0"/>
            </w:tcBorders>
            <w:vAlign w:val="center"/>
          </w:tcPr>
          <w:p w14:paraId="7A4D08D3">
            <w:pPr>
              <w:pStyle w:val="59"/>
              <w:spacing w:line="276" w:lineRule="auto"/>
              <w:ind w:right="5"/>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w:t>
            </w:r>
            <w:r>
              <w:rPr>
                <w:rFonts w:hint="eastAsia" w:ascii="宋体" w:hAnsi="宋体" w:cs="宋体"/>
                <w:color w:val="auto"/>
                <w:spacing w:val="1"/>
                <w:w w:val="99"/>
                <w:kern w:val="2"/>
                <w:sz w:val="24"/>
                <w:szCs w:val="24"/>
                <w:highlight w:val="none"/>
              </w:rPr>
              <w:t>A020</w:t>
            </w:r>
            <w:r>
              <w:rPr>
                <w:rFonts w:hint="eastAsia" w:ascii="宋体" w:hAnsi="宋体" w:cs="宋体"/>
                <w:color w:val="auto"/>
                <w:w w:val="99"/>
                <w:kern w:val="2"/>
                <w:sz w:val="24"/>
                <w:szCs w:val="24"/>
                <w:highlight w:val="none"/>
              </w:rPr>
              <w:t>52</w:t>
            </w:r>
            <w:r>
              <w:rPr>
                <w:rFonts w:hint="eastAsia" w:ascii="宋体" w:hAnsi="宋体" w:cs="宋体"/>
                <w:color w:val="auto"/>
                <w:spacing w:val="1"/>
                <w:w w:val="99"/>
                <w:kern w:val="2"/>
                <w:sz w:val="24"/>
                <w:szCs w:val="24"/>
                <w:highlight w:val="none"/>
              </w:rPr>
              <w:t>3</w:t>
            </w:r>
            <w:r>
              <w:rPr>
                <w:rFonts w:hint="eastAsia" w:ascii="宋体" w:hAnsi="宋体" w:cs="宋体"/>
                <w:color w:val="auto"/>
                <w:w w:val="99"/>
                <w:kern w:val="2"/>
                <w:sz w:val="24"/>
                <w:szCs w:val="24"/>
                <w:highlight w:val="none"/>
              </w:rPr>
              <w:t>01制冷压缩机</w:t>
            </w:r>
          </w:p>
        </w:tc>
        <w:tc>
          <w:tcPr>
            <w:tcW w:w="1536" w:type="dxa"/>
            <w:tcBorders>
              <w:top w:val="single" w:color="000000" w:sz="4" w:space="0"/>
              <w:left w:val="single" w:color="000000" w:sz="4" w:space="0"/>
              <w:bottom w:val="single" w:color="000000" w:sz="4" w:space="0"/>
              <w:right w:val="single" w:color="000000" w:sz="4" w:space="0"/>
            </w:tcBorders>
            <w:vAlign w:val="center"/>
          </w:tcPr>
          <w:p w14:paraId="78587DB6">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冷水机组</w:t>
            </w:r>
          </w:p>
        </w:tc>
        <w:tc>
          <w:tcPr>
            <w:tcW w:w="3452" w:type="dxa"/>
            <w:tcBorders>
              <w:top w:val="single" w:color="000000" w:sz="4" w:space="0"/>
              <w:left w:val="single" w:color="000000" w:sz="4" w:space="0"/>
              <w:bottom w:val="single" w:color="000000" w:sz="4" w:space="0"/>
              <w:right w:val="single" w:color="000000" w:sz="4" w:space="0"/>
            </w:tcBorders>
          </w:tcPr>
          <w:p w14:paraId="75DBA115">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《冷水机组能效限定值及能效等级》（GB19577），《低环境温度空气源热泵（冷水）机组能效限定值及能效等级》（GB37480）</w:t>
            </w:r>
          </w:p>
        </w:tc>
      </w:tr>
      <w:tr w14:paraId="7BD5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1FAF06FB">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18AB7B71">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05AB50A2">
            <w:pPr>
              <w:widowControl/>
              <w:jc w:val="left"/>
              <w:rPr>
                <w:rFonts w:ascii="宋体" w:hAnsi="宋体" w:cs="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1840FB45">
            <w:pPr>
              <w:jc w:val="center"/>
              <w:rPr>
                <w:rFonts w:ascii="宋体" w:hAnsi="宋体"/>
                <w:color w:val="auto"/>
                <w:sz w:val="24"/>
                <w:highlight w:val="none"/>
              </w:rPr>
            </w:pPr>
            <w:r>
              <w:rPr>
                <w:rFonts w:hint="eastAsia" w:ascii="宋体" w:hAnsi="宋体"/>
                <w:color w:val="auto"/>
                <w:sz w:val="24"/>
                <w:highlight w:val="none"/>
              </w:rPr>
              <w:t>溴化锂吸收式冷水机组</w:t>
            </w:r>
          </w:p>
        </w:tc>
        <w:tc>
          <w:tcPr>
            <w:tcW w:w="3452" w:type="dxa"/>
            <w:tcBorders>
              <w:top w:val="single" w:color="000000" w:sz="4" w:space="0"/>
              <w:left w:val="single" w:color="000000" w:sz="4" w:space="0"/>
              <w:bottom w:val="single" w:color="000000" w:sz="4" w:space="0"/>
              <w:right w:val="single" w:color="000000" w:sz="4" w:space="0"/>
            </w:tcBorders>
            <w:vAlign w:val="center"/>
          </w:tcPr>
          <w:p w14:paraId="0FF4442F">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《溴化锂吸收式冷水机组能效限</w:t>
            </w:r>
          </w:p>
          <w:p w14:paraId="28E888CE">
            <w:pPr>
              <w:spacing w:before="131" w:line="276" w:lineRule="auto"/>
              <w:ind w:right="4"/>
              <w:rPr>
                <w:rFonts w:ascii="宋体" w:hAnsi="宋体" w:cs="宋体"/>
                <w:color w:val="auto"/>
                <w:spacing w:val="10"/>
                <w:sz w:val="24"/>
                <w:highlight w:val="none"/>
              </w:rPr>
            </w:pPr>
            <w:r>
              <w:rPr>
                <w:rFonts w:hint="eastAsia" w:ascii="宋体" w:hAnsi="宋体" w:cs="宋体"/>
                <w:color w:val="auto"/>
                <w:spacing w:val="10"/>
                <w:sz w:val="24"/>
                <w:highlight w:val="none"/>
              </w:rPr>
              <w:t>定值及能效等级》（GB29540）</w:t>
            </w:r>
          </w:p>
        </w:tc>
      </w:tr>
      <w:tr w14:paraId="6E4C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38CC701C">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15F5ACBA">
            <w:pPr>
              <w:widowControl/>
              <w:jc w:val="left"/>
              <w:rPr>
                <w:rFonts w:ascii="宋体" w:hAnsi="宋体" w:cs="宋体"/>
                <w:color w:val="auto"/>
                <w:sz w:val="24"/>
                <w:highlight w:val="none"/>
              </w:rPr>
            </w:pPr>
          </w:p>
        </w:tc>
        <w:tc>
          <w:tcPr>
            <w:tcW w:w="1546" w:type="dxa"/>
            <w:vMerge w:val="restart"/>
            <w:tcBorders>
              <w:top w:val="single" w:color="000000" w:sz="4" w:space="0"/>
              <w:left w:val="single" w:color="000000" w:sz="4" w:space="0"/>
              <w:bottom w:val="single" w:color="000000" w:sz="4" w:space="0"/>
              <w:right w:val="single" w:color="000000" w:sz="4" w:space="0"/>
            </w:tcBorders>
            <w:vAlign w:val="center"/>
          </w:tcPr>
          <w:p w14:paraId="0CF02B26">
            <w:pPr>
              <w:pStyle w:val="59"/>
              <w:spacing w:line="276" w:lineRule="auto"/>
              <w:ind w:right="5"/>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★A02052305空调机组</w:t>
            </w:r>
          </w:p>
        </w:tc>
        <w:tc>
          <w:tcPr>
            <w:tcW w:w="1536" w:type="dxa"/>
            <w:tcBorders>
              <w:top w:val="single" w:color="000000" w:sz="4" w:space="0"/>
              <w:left w:val="single" w:color="000000" w:sz="4" w:space="0"/>
              <w:bottom w:val="single" w:color="000000" w:sz="4" w:space="0"/>
              <w:right w:val="single" w:color="000000" w:sz="4" w:space="0"/>
            </w:tcBorders>
            <w:vAlign w:val="center"/>
          </w:tcPr>
          <w:p w14:paraId="74B40088">
            <w:pPr>
              <w:pStyle w:val="59"/>
              <w:spacing w:before="4" w:line="276" w:lineRule="auto"/>
              <w:ind w:left="7" w:right="7"/>
              <w:jc w:val="center"/>
              <w:rPr>
                <w:rFonts w:ascii="宋体" w:hAnsi="宋体" w:cs="宋体"/>
                <w:color w:val="auto"/>
                <w:w w:val="99"/>
                <w:kern w:val="2"/>
                <w:sz w:val="24"/>
                <w:szCs w:val="24"/>
                <w:highlight w:val="none"/>
                <w:lang w:eastAsia="zh-CN"/>
              </w:rPr>
            </w:pPr>
            <w:r>
              <w:rPr>
                <w:rFonts w:hint="eastAsia" w:ascii="宋体" w:hAnsi="宋体" w:cs="宋体"/>
                <w:color w:val="auto"/>
                <w:w w:val="99"/>
                <w:kern w:val="2"/>
                <w:sz w:val="24"/>
                <w:szCs w:val="24"/>
                <w:highlight w:val="none"/>
                <w:lang w:eastAsia="zh-CN"/>
              </w:rPr>
              <w:t>多联式空调（热泵）机组（制冷量&gt;14000W）</w:t>
            </w:r>
          </w:p>
        </w:tc>
        <w:tc>
          <w:tcPr>
            <w:tcW w:w="3452" w:type="dxa"/>
            <w:tcBorders>
              <w:top w:val="single" w:color="000000" w:sz="4" w:space="0"/>
              <w:left w:val="single" w:color="000000" w:sz="4" w:space="0"/>
              <w:bottom w:val="single" w:color="000000" w:sz="4" w:space="0"/>
              <w:right w:val="single" w:color="000000" w:sz="4" w:space="0"/>
            </w:tcBorders>
          </w:tcPr>
          <w:p w14:paraId="3885564C">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《多联式空调（热泵）机组能效限定值及能源效率等级》（GB21454）</w:t>
            </w:r>
          </w:p>
        </w:tc>
      </w:tr>
      <w:tr w14:paraId="138F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0379E6DF">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769AB52D">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28257A15">
            <w:pPr>
              <w:widowControl/>
              <w:jc w:val="left"/>
              <w:rPr>
                <w:rFonts w:ascii="宋体" w:hAnsi="宋体" w:cs="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40C93F7C">
            <w:pPr>
              <w:jc w:val="center"/>
              <w:rPr>
                <w:rFonts w:ascii="宋体" w:hAnsi="宋体"/>
                <w:color w:val="auto"/>
                <w:sz w:val="24"/>
                <w:highlight w:val="none"/>
              </w:rPr>
            </w:pPr>
            <w:r>
              <w:rPr>
                <w:rFonts w:hint="eastAsia" w:ascii="宋体" w:hAnsi="宋体" w:cs="宋体"/>
                <w:color w:val="auto"/>
                <w:w w:val="99"/>
                <w:sz w:val="24"/>
                <w:highlight w:val="none"/>
              </w:rPr>
              <w:t>单元式空气调节机</w:t>
            </w:r>
          </w:p>
        </w:tc>
        <w:tc>
          <w:tcPr>
            <w:tcW w:w="3452" w:type="dxa"/>
            <w:tcBorders>
              <w:top w:val="single" w:color="000000" w:sz="4" w:space="0"/>
              <w:left w:val="single" w:color="000000" w:sz="4" w:space="0"/>
              <w:bottom w:val="single" w:color="000000" w:sz="4" w:space="0"/>
              <w:right w:val="single" w:color="000000" w:sz="4" w:space="0"/>
            </w:tcBorders>
          </w:tcPr>
          <w:p w14:paraId="0395594F">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《单元式空气调节机能效限定值及能效等级》（GB19576）《风管送风式空调机组能效限定值及能效等级》（GB37479）</w:t>
            </w:r>
          </w:p>
        </w:tc>
      </w:tr>
      <w:tr w14:paraId="137B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101E6248">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78AD311B">
            <w:pPr>
              <w:widowControl/>
              <w:jc w:val="left"/>
              <w:rPr>
                <w:rFonts w:ascii="宋体" w:hAnsi="宋体" w:cs="宋体"/>
                <w:color w:val="auto"/>
                <w:sz w:val="24"/>
                <w:highlight w:val="none"/>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2741C78E">
            <w:pPr>
              <w:pStyle w:val="59"/>
              <w:spacing w:before="83"/>
              <w:ind w:left="7"/>
              <w:jc w:val="center"/>
              <w:rPr>
                <w:rFonts w:ascii="宋体" w:hAnsi="宋体" w:cs="宋体"/>
                <w:color w:val="auto"/>
                <w:w w:val="99"/>
                <w:kern w:val="2"/>
                <w:sz w:val="24"/>
                <w:szCs w:val="24"/>
                <w:highlight w:val="none"/>
                <w:lang w:eastAsia="zh-CN"/>
              </w:rPr>
            </w:pPr>
            <w:r>
              <w:rPr>
                <w:rFonts w:hint="eastAsia" w:ascii="宋体" w:hAnsi="宋体" w:cs="宋体"/>
                <w:color w:val="auto"/>
                <w:w w:val="99"/>
                <w:kern w:val="2"/>
                <w:sz w:val="24"/>
                <w:szCs w:val="24"/>
                <w:highlight w:val="none"/>
                <w:lang w:eastAsia="zh-CN"/>
              </w:rPr>
              <w:t>★A02052309专用制冷、空调设备</w:t>
            </w:r>
          </w:p>
        </w:tc>
        <w:tc>
          <w:tcPr>
            <w:tcW w:w="1536" w:type="dxa"/>
            <w:tcBorders>
              <w:top w:val="single" w:color="000000" w:sz="4" w:space="0"/>
              <w:left w:val="single" w:color="000000" w:sz="4" w:space="0"/>
              <w:bottom w:val="single" w:color="000000" w:sz="4" w:space="0"/>
              <w:right w:val="single" w:color="000000" w:sz="4" w:space="0"/>
            </w:tcBorders>
            <w:vAlign w:val="center"/>
          </w:tcPr>
          <w:p w14:paraId="2191580C">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机房空调</w:t>
            </w:r>
          </w:p>
        </w:tc>
        <w:tc>
          <w:tcPr>
            <w:tcW w:w="3452" w:type="dxa"/>
            <w:tcBorders>
              <w:top w:val="single" w:color="000000" w:sz="4" w:space="0"/>
              <w:left w:val="single" w:color="000000" w:sz="4" w:space="0"/>
              <w:bottom w:val="single" w:color="000000" w:sz="4" w:space="0"/>
              <w:right w:val="single" w:color="000000" w:sz="4" w:space="0"/>
            </w:tcBorders>
          </w:tcPr>
          <w:p w14:paraId="5FEB8672">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《单元式空气调节机能效限定值</w:t>
            </w:r>
          </w:p>
          <w:p w14:paraId="6991A531">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及能效等级》（GB19576）</w:t>
            </w:r>
          </w:p>
        </w:tc>
      </w:tr>
      <w:tr w14:paraId="44F0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7BE8DA51">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2F0C4B5D">
            <w:pPr>
              <w:widowControl/>
              <w:jc w:val="left"/>
              <w:rPr>
                <w:rFonts w:ascii="宋体" w:hAnsi="宋体" w:cs="宋体"/>
                <w:color w:val="auto"/>
                <w:sz w:val="24"/>
                <w:highlight w:val="none"/>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05B40508">
            <w:pPr>
              <w:pStyle w:val="59"/>
              <w:spacing w:line="254" w:lineRule="exact"/>
              <w:ind w:left="7"/>
              <w:jc w:val="center"/>
              <w:rPr>
                <w:rFonts w:ascii="宋体" w:hAnsi="宋体" w:cs="宋体"/>
                <w:color w:val="auto"/>
                <w:w w:val="99"/>
                <w:kern w:val="2"/>
                <w:sz w:val="24"/>
                <w:szCs w:val="24"/>
                <w:highlight w:val="none"/>
              </w:rPr>
            </w:pPr>
            <w:r>
              <w:rPr>
                <w:rFonts w:hint="eastAsia" w:ascii="宋体" w:hAnsi="宋体" w:cs="宋体"/>
                <w:color w:val="auto"/>
                <w:w w:val="99"/>
                <w:kern w:val="2"/>
                <w:sz w:val="24"/>
                <w:szCs w:val="24"/>
                <w:highlight w:val="none"/>
              </w:rPr>
              <w:t>A02052399其他制冷</w:t>
            </w:r>
          </w:p>
          <w:p w14:paraId="6631BA01">
            <w:pPr>
              <w:pStyle w:val="59"/>
              <w:spacing w:line="254" w:lineRule="exact"/>
              <w:ind w:left="7"/>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空调设备</w:t>
            </w:r>
          </w:p>
        </w:tc>
        <w:tc>
          <w:tcPr>
            <w:tcW w:w="1536" w:type="dxa"/>
            <w:tcBorders>
              <w:top w:val="single" w:color="000000" w:sz="4" w:space="0"/>
              <w:left w:val="single" w:color="000000" w:sz="4" w:space="0"/>
              <w:bottom w:val="single" w:color="000000" w:sz="4" w:space="0"/>
              <w:right w:val="single" w:color="000000" w:sz="4" w:space="0"/>
            </w:tcBorders>
            <w:vAlign w:val="center"/>
          </w:tcPr>
          <w:p w14:paraId="1CB997C0">
            <w:pPr>
              <w:widowControl/>
              <w:jc w:val="center"/>
              <w:rPr>
                <w:rFonts w:ascii="宋体" w:hAnsi="宋体" w:cs="宋体"/>
                <w:color w:val="auto"/>
                <w:sz w:val="24"/>
                <w:highlight w:val="none"/>
                <w:lang w:eastAsia="en-US"/>
              </w:rPr>
            </w:pPr>
            <w:r>
              <w:rPr>
                <w:rFonts w:hint="eastAsia" w:ascii="宋体" w:hAnsi="宋体" w:cs="宋体"/>
                <w:color w:val="auto"/>
                <w:w w:val="99"/>
                <w:sz w:val="24"/>
                <w:highlight w:val="none"/>
              </w:rPr>
              <w:t>冷却塔</w:t>
            </w:r>
          </w:p>
        </w:tc>
        <w:tc>
          <w:tcPr>
            <w:tcW w:w="3452" w:type="dxa"/>
            <w:tcBorders>
              <w:top w:val="single" w:color="000000" w:sz="4" w:space="0"/>
              <w:left w:val="single" w:color="000000" w:sz="4" w:space="0"/>
              <w:bottom w:val="single" w:color="000000" w:sz="4" w:space="0"/>
              <w:right w:val="single" w:color="000000" w:sz="4" w:space="0"/>
            </w:tcBorders>
          </w:tcPr>
          <w:p w14:paraId="16FF5CFF">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《机械通风冷却塔第1部分：中小型开式冷却塔》（GB/T7190.1）</w:t>
            </w:r>
          </w:p>
          <w:p w14:paraId="5D9F579C">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《机械通风冷却塔第2部分：大型开式冷却塔》（GB/T7190.2）</w:t>
            </w:r>
          </w:p>
        </w:tc>
      </w:tr>
      <w:tr w14:paraId="444E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Borders>
              <w:top w:val="single" w:color="000000" w:sz="4" w:space="0"/>
              <w:left w:val="single" w:color="000000" w:sz="4" w:space="0"/>
              <w:bottom w:val="single" w:color="000000" w:sz="4" w:space="0"/>
              <w:right w:val="single" w:color="000000" w:sz="4" w:space="0"/>
            </w:tcBorders>
            <w:vAlign w:val="center"/>
          </w:tcPr>
          <w:p w14:paraId="68A5D874">
            <w:pPr>
              <w:pStyle w:val="59"/>
              <w:ind w:right="1"/>
              <w:jc w:val="center"/>
              <w:rPr>
                <w:rFonts w:ascii="宋体" w:hAnsi="宋体" w:cs="宋体"/>
                <w:color w:val="auto"/>
                <w:kern w:val="2"/>
                <w:sz w:val="24"/>
                <w:szCs w:val="24"/>
                <w:highlight w:val="none"/>
              </w:rPr>
            </w:pPr>
            <w:r>
              <w:rPr>
                <w:rFonts w:hint="eastAsia" w:ascii="宋体" w:hAnsi="宋体"/>
                <w:color w:val="auto"/>
                <w:w w:val="99"/>
                <w:kern w:val="2"/>
                <w:sz w:val="24"/>
                <w:szCs w:val="24"/>
                <w:highlight w:val="none"/>
              </w:rPr>
              <w:t>7</w:t>
            </w:r>
          </w:p>
        </w:tc>
        <w:tc>
          <w:tcPr>
            <w:tcW w:w="1407" w:type="dxa"/>
            <w:tcBorders>
              <w:top w:val="single" w:color="000000" w:sz="4" w:space="0"/>
              <w:left w:val="single" w:color="000000" w:sz="4" w:space="0"/>
              <w:bottom w:val="single" w:color="000000" w:sz="4" w:space="0"/>
              <w:right w:val="single" w:color="000000" w:sz="4" w:space="0"/>
            </w:tcBorders>
            <w:vAlign w:val="center"/>
          </w:tcPr>
          <w:p w14:paraId="3D6DD639">
            <w:pPr>
              <w:pStyle w:val="59"/>
              <w:jc w:val="center"/>
              <w:rPr>
                <w:rFonts w:ascii="宋体" w:hAnsi="宋体" w:cs="宋体"/>
                <w:color w:val="auto"/>
                <w:kern w:val="2"/>
                <w:sz w:val="24"/>
                <w:szCs w:val="24"/>
                <w:highlight w:val="none"/>
              </w:rPr>
            </w:pPr>
            <w:r>
              <w:rPr>
                <w:rFonts w:hint="eastAsia" w:ascii="宋体" w:hAnsi="宋体" w:cs="仿宋_GB2312"/>
                <w:color w:val="auto"/>
                <w:kern w:val="2"/>
                <w:sz w:val="24"/>
                <w:szCs w:val="24"/>
                <w:highlight w:val="none"/>
              </w:rPr>
              <w:t>A02060100</w:t>
            </w:r>
            <w:r>
              <w:rPr>
                <w:rFonts w:hint="eastAsia" w:ascii="宋体" w:hAnsi="宋体" w:cs="宋体"/>
                <w:color w:val="auto"/>
                <w:w w:val="99"/>
                <w:kern w:val="2"/>
                <w:sz w:val="24"/>
                <w:szCs w:val="24"/>
                <w:highlight w:val="none"/>
              </w:rPr>
              <w:t>电机</w:t>
            </w:r>
          </w:p>
        </w:tc>
        <w:tc>
          <w:tcPr>
            <w:tcW w:w="1546" w:type="dxa"/>
            <w:tcBorders>
              <w:top w:val="single" w:color="000000" w:sz="4" w:space="0"/>
              <w:left w:val="single" w:color="000000" w:sz="4" w:space="0"/>
              <w:bottom w:val="single" w:color="000000" w:sz="4" w:space="0"/>
              <w:right w:val="single" w:color="000000" w:sz="4" w:space="0"/>
            </w:tcBorders>
            <w:vAlign w:val="center"/>
          </w:tcPr>
          <w:p w14:paraId="39C01AC1">
            <w:pPr>
              <w:jc w:val="center"/>
              <w:rPr>
                <w:rFonts w:ascii="宋体" w:hAnsi="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19CF33FC">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3D0A042B">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《中小型三相异步电动机能效限定值及能效等级》（GB18613）</w:t>
            </w:r>
          </w:p>
        </w:tc>
      </w:tr>
      <w:tr w14:paraId="752B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Borders>
              <w:top w:val="single" w:color="000000" w:sz="4" w:space="0"/>
              <w:left w:val="single" w:color="000000" w:sz="4" w:space="0"/>
              <w:bottom w:val="single" w:color="000000" w:sz="4" w:space="0"/>
              <w:right w:val="single" w:color="000000" w:sz="4" w:space="0"/>
            </w:tcBorders>
            <w:vAlign w:val="center"/>
          </w:tcPr>
          <w:p w14:paraId="1A3F589F">
            <w:pPr>
              <w:pStyle w:val="59"/>
              <w:ind w:right="1"/>
              <w:jc w:val="center"/>
              <w:rPr>
                <w:rFonts w:ascii="宋体" w:hAnsi="宋体" w:cs="宋体"/>
                <w:color w:val="auto"/>
                <w:kern w:val="2"/>
                <w:sz w:val="24"/>
                <w:szCs w:val="24"/>
                <w:highlight w:val="none"/>
              </w:rPr>
            </w:pPr>
            <w:r>
              <w:rPr>
                <w:rFonts w:hint="eastAsia" w:ascii="宋体" w:hAnsi="宋体"/>
                <w:color w:val="auto"/>
                <w:w w:val="99"/>
                <w:kern w:val="2"/>
                <w:sz w:val="24"/>
                <w:szCs w:val="24"/>
                <w:highlight w:val="none"/>
              </w:rPr>
              <w:t>8</w:t>
            </w:r>
          </w:p>
        </w:tc>
        <w:tc>
          <w:tcPr>
            <w:tcW w:w="1407" w:type="dxa"/>
            <w:tcBorders>
              <w:top w:val="single" w:color="000000" w:sz="4" w:space="0"/>
              <w:left w:val="single" w:color="000000" w:sz="4" w:space="0"/>
              <w:bottom w:val="single" w:color="000000" w:sz="4" w:space="0"/>
              <w:right w:val="single" w:color="000000" w:sz="4" w:space="0"/>
            </w:tcBorders>
            <w:vAlign w:val="center"/>
          </w:tcPr>
          <w:p w14:paraId="0B379259">
            <w:pPr>
              <w:pStyle w:val="59"/>
              <w:spacing w:before="30"/>
              <w:ind w:left="7"/>
              <w:jc w:val="center"/>
              <w:rPr>
                <w:rFonts w:ascii="宋体" w:hAnsi="宋体" w:cs="宋体"/>
                <w:color w:val="auto"/>
                <w:kern w:val="2"/>
                <w:sz w:val="24"/>
                <w:szCs w:val="24"/>
                <w:highlight w:val="none"/>
              </w:rPr>
            </w:pPr>
            <w:r>
              <w:rPr>
                <w:rFonts w:hint="eastAsia" w:ascii="宋体" w:hAnsi="宋体" w:cs="仿宋_GB2312"/>
                <w:color w:val="auto"/>
                <w:kern w:val="2"/>
                <w:sz w:val="24"/>
                <w:szCs w:val="24"/>
                <w:highlight w:val="none"/>
              </w:rPr>
              <w:t>A02060200</w:t>
            </w:r>
            <w:r>
              <w:rPr>
                <w:rFonts w:hint="eastAsia" w:ascii="宋体" w:hAnsi="宋体" w:cs="宋体"/>
                <w:color w:val="auto"/>
                <w:w w:val="99"/>
                <w:kern w:val="2"/>
                <w:sz w:val="24"/>
                <w:szCs w:val="24"/>
                <w:highlight w:val="none"/>
              </w:rPr>
              <w:t>变压</w:t>
            </w:r>
          </w:p>
        </w:tc>
        <w:tc>
          <w:tcPr>
            <w:tcW w:w="1546" w:type="dxa"/>
            <w:tcBorders>
              <w:top w:val="single" w:color="000000" w:sz="4" w:space="0"/>
              <w:left w:val="single" w:color="000000" w:sz="4" w:space="0"/>
              <w:bottom w:val="single" w:color="000000" w:sz="4" w:space="0"/>
              <w:right w:val="single" w:color="000000" w:sz="4" w:space="0"/>
            </w:tcBorders>
            <w:vAlign w:val="center"/>
          </w:tcPr>
          <w:p w14:paraId="6DF617DA">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配电变压器</w:t>
            </w:r>
          </w:p>
        </w:tc>
        <w:tc>
          <w:tcPr>
            <w:tcW w:w="1536" w:type="dxa"/>
            <w:tcBorders>
              <w:top w:val="single" w:color="000000" w:sz="4" w:space="0"/>
              <w:left w:val="single" w:color="000000" w:sz="4" w:space="0"/>
              <w:bottom w:val="single" w:color="000000" w:sz="4" w:space="0"/>
              <w:right w:val="single" w:color="000000" w:sz="4" w:space="0"/>
            </w:tcBorders>
            <w:vAlign w:val="center"/>
          </w:tcPr>
          <w:p w14:paraId="14FDF6E4">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6DF5437F">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《三相配电变压器能效限定值及能效等级》（GB 20052）</w:t>
            </w:r>
          </w:p>
        </w:tc>
      </w:tr>
      <w:tr w14:paraId="6EF8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Borders>
              <w:top w:val="single" w:color="000000" w:sz="4" w:space="0"/>
              <w:left w:val="single" w:color="000000" w:sz="4" w:space="0"/>
              <w:bottom w:val="single" w:color="000000" w:sz="4" w:space="0"/>
              <w:right w:val="single" w:color="000000" w:sz="4" w:space="0"/>
            </w:tcBorders>
            <w:vAlign w:val="center"/>
          </w:tcPr>
          <w:p w14:paraId="178031C6">
            <w:pPr>
              <w:pStyle w:val="59"/>
              <w:ind w:right="1"/>
              <w:jc w:val="center"/>
              <w:rPr>
                <w:rFonts w:ascii="宋体" w:hAnsi="宋体" w:cs="宋体"/>
                <w:color w:val="auto"/>
                <w:kern w:val="2"/>
                <w:sz w:val="24"/>
                <w:szCs w:val="24"/>
                <w:highlight w:val="none"/>
              </w:rPr>
            </w:pPr>
            <w:r>
              <w:rPr>
                <w:rFonts w:hint="eastAsia" w:ascii="宋体" w:hAnsi="宋体"/>
                <w:color w:val="auto"/>
                <w:w w:val="99"/>
                <w:kern w:val="2"/>
                <w:sz w:val="24"/>
                <w:szCs w:val="24"/>
                <w:highlight w:val="none"/>
              </w:rPr>
              <w:t>9</w:t>
            </w:r>
          </w:p>
        </w:tc>
        <w:tc>
          <w:tcPr>
            <w:tcW w:w="1407" w:type="dxa"/>
            <w:tcBorders>
              <w:top w:val="single" w:color="000000" w:sz="4" w:space="0"/>
              <w:left w:val="single" w:color="000000" w:sz="4" w:space="0"/>
              <w:bottom w:val="single" w:color="000000" w:sz="4" w:space="0"/>
              <w:right w:val="single" w:color="000000" w:sz="4" w:space="0"/>
            </w:tcBorders>
            <w:vAlign w:val="center"/>
          </w:tcPr>
          <w:p w14:paraId="2C022C68">
            <w:pPr>
              <w:pStyle w:val="59"/>
              <w:spacing w:before="126"/>
              <w:ind w:left="7"/>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★A02060900镇流器</w:t>
            </w:r>
          </w:p>
        </w:tc>
        <w:tc>
          <w:tcPr>
            <w:tcW w:w="1546" w:type="dxa"/>
            <w:tcBorders>
              <w:top w:val="single" w:color="000000" w:sz="4" w:space="0"/>
              <w:left w:val="single" w:color="000000" w:sz="4" w:space="0"/>
              <w:bottom w:val="single" w:color="000000" w:sz="4" w:space="0"/>
              <w:right w:val="single" w:color="000000" w:sz="4" w:space="0"/>
            </w:tcBorders>
            <w:vAlign w:val="center"/>
          </w:tcPr>
          <w:p w14:paraId="6A6E6373">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管型荧光灯镇流器</w:t>
            </w:r>
          </w:p>
        </w:tc>
        <w:tc>
          <w:tcPr>
            <w:tcW w:w="1536" w:type="dxa"/>
            <w:tcBorders>
              <w:top w:val="single" w:color="000000" w:sz="4" w:space="0"/>
              <w:left w:val="single" w:color="000000" w:sz="4" w:space="0"/>
              <w:bottom w:val="single" w:color="000000" w:sz="4" w:space="0"/>
              <w:right w:val="single" w:color="000000" w:sz="4" w:space="0"/>
            </w:tcBorders>
            <w:vAlign w:val="center"/>
          </w:tcPr>
          <w:p w14:paraId="27EA3288">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5EA159A1">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《管形荧光灯镇流器能效限定值及能效等级》（GB17896）</w:t>
            </w:r>
          </w:p>
        </w:tc>
      </w:tr>
      <w:tr w14:paraId="3CB2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restart"/>
            <w:tcBorders>
              <w:top w:val="single" w:color="000000" w:sz="4" w:space="0"/>
              <w:left w:val="single" w:color="000000" w:sz="4" w:space="0"/>
              <w:bottom w:val="single" w:color="000000" w:sz="4" w:space="0"/>
              <w:right w:val="single" w:color="000000" w:sz="4" w:space="0"/>
            </w:tcBorders>
            <w:vAlign w:val="center"/>
          </w:tcPr>
          <w:p w14:paraId="4AAB7149">
            <w:pPr>
              <w:pStyle w:val="59"/>
              <w:jc w:val="center"/>
              <w:rPr>
                <w:rFonts w:ascii="宋体" w:hAnsi="宋体" w:cs="宋体"/>
                <w:color w:val="auto"/>
                <w:kern w:val="2"/>
                <w:sz w:val="24"/>
                <w:szCs w:val="24"/>
                <w:highlight w:val="none"/>
              </w:rPr>
            </w:pPr>
            <w:r>
              <w:rPr>
                <w:rFonts w:hint="eastAsia" w:ascii="宋体" w:hAnsi="宋体"/>
                <w:color w:val="auto"/>
                <w:w w:val="99"/>
                <w:kern w:val="2"/>
                <w:sz w:val="24"/>
                <w:szCs w:val="24"/>
                <w:highlight w:val="none"/>
              </w:rPr>
              <w:t>10</w:t>
            </w:r>
          </w:p>
        </w:tc>
        <w:tc>
          <w:tcPr>
            <w:tcW w:w="1407" w:type="dxa"/>
            <w:vMerge w:val="restart"/>
            <w:tcBorders>
              <w:top w:val="single" w:color="000000" w:sz="4" w:space="0"/>
              <w:left w:val="single" w:color="000000" w:sz="4" w:space="0"/>
              <w:bottom w:val="single" w:color="000000" w:sz="4" w:space="0"/>
              <w:right w:val="single" w:color="000000" w:sz="4" w:space="0"/>
            </w:tcBorders>
            <w:vAlign w:val="center"/>
          </w:tcPr>
          <w:p w14:paraId="2E25DE8E">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A02061800生活用电器</w:t>
            </w:r>
          </w:p>
        </w:tc>
        <w:tc>
          <w:tcPr>
            <w:tcW w:w="1546" w:type="dxa"/>
            <w:tcBorders>
              <w:top w:val="single" w:color="000000" w:sz="4" w:space="0"/>
              <w:left w:val="single" w:color="000000" w:sz="4" w:space="0"/>
              <w:bottom w:val="single" w:color="000000" w:sz="4" w:space="0"/>
              <w:right w:val="single" w:color="000000" w:sz="4" w:space="0"/>
            </w:tcBorders>
            <w:vAlign w:val="center"/>
          </w:tcPr>
          <w:p w14:paraId="7DD7A9AD">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A02061801电冰箱</w:t>
            </w:r>
          </w:p>
        </w:tc>
        <w:tc>
          <w:tcPr>
            <w:tcW w:w="1536" w:type="dxa"/>
            <w:tcBorders>
              <w:top w:val="single" w:color="000000" w:sz="4" w:space="0"/>
              <w:left w:val="single" w:color="000000" w:sz="4" w:space="0"/>
              <w:bottom w:val="single" w:color="000000" w:sz="4" w:space="0"/>
              <w:right w:val="single" w:color="000000" w:sz="4" w:space="0"/>
            </w:tcBorders>
            <w:vAlign w:val="center"/>
          </w:tcPr>
          <w:p w14:paraId="5595459C">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5A9C63F0">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《家用电冰箱耗电量限定值及能效等级》（GB12021.2）</w:t>
            </w:r>
          </w:p>
        </w:tc>
      </w:tr>
      <w:tr w14:paraId="5686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31B36616">
            <w:pPr>
              <w:widowControl/>
              <w:jc w:val="left"/>
              <w:rPr>
                <w:rFonts w:ascii="宋体" w:hAnsi="宋体" w:cs="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4A602F43">
            <w:pPr>
              <w:widowControl/>
              <w:jc w:val="left"/>
              <w:rPr>
                <w:rFonts w:ascii="宋体" w:hAnsi="宋体" w:cs="宋体"/>
                <w:color w:val="auto"/>
                <w:sz w:val="24"/>
                <w:highlight w:val="none"/>
              </w:rPr>
            </w:pPr>
          </w:p>
        </w:tc>
        <w:tc>
          <w:tcPr>
            <w:tcW w:w="1546" w:type="dxa"/>
            <w:vMerge w:val="restart"/>
            <w:tcBorders>
              <w:top w:val="single" w:color="000000" w:sz="4" w:space="0"/>
              <w:left w:val="single" w:color="000000" w:sz="4" w:space="0"/>
              <w:bottom w:val="single" w:color="000000" w:sz="4" w:space="0"/>
              <w:right w:val="single" w:color="000000" w:sz="4" w:space="0"/>
            </w:tcBorders>
            <w:vAlign w:val="center"/>
          </w:tcPr>
          <w:p w14:paraId="6701EBF0">
            <w:pPr>
              <w:pStyle w:val="59"/>
              <w:spacing w:before="171"/>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w:t>
            </w:r>
            <w:r>
              <w:rPr>
                <w:rFonts w:hint="eastAsia" w:ascii="宋体" w:hAnsi="宋体" w:cs="仿宋_GB2312"/>
                <w:color w:val="auto"/>
                <w:kern w:val="2"/>
                <w:sz w:val="24"/>
                <w:szCs w:val="24"/>
                <w:highlight w:val="none"/>
              </w:rPr>
              <w:t>A02061804</w:t>
            </w:r>
            <w:r>
              <w:rPr>
                <w:rFonts w:hint="eastAsia" w:ascii="宋体" w:hAnsi="宋体" w:cs="宋体"/>
                <w:color w:val="auto"/>
                <w:w w:val="99"/>
                <w:kern w:val="2"/>
                <w:sz w:val="24"/>
                <w:szCs w:val="24"/>
                <w:highlight w:val="none"/>
              </w:rPr>
              <w:t>空调机</w:t>
            </w:r>
          </w:p>
        </w:tc>
        <w:tc>
          <w:tcPr>
            <w:tcW w:w="1536" w:type="dxa"/>
            <w:tcBorders>
              <w:top w:val="single" w:color="000000" w:sz="4" w:space="0"/>
              <w:left w:val="single" w:color="000000" w:sz="4" w:space="0"/>
              <w:bottom w:val="single" w:color="000000" w:sz="4" w:space="0"/>
              <w:right w:val="single" w:color="000000" w:sz="4" w:space="0"/>
            </w:tcBorders>
            <w:vAlign w:val="center"/>
          </w:tcPr>
          <w:p w14:paraId="4FC544C8">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房间空气调节器</w:t>
            </w:r>
          </w:p>
        </w:tc>
        <w:tc>
          <w:tcPr>
            <w:tcW w:w="3452" w:type="dxa"/>
            <w:tcBorders>
              <w:top w:val="single" w:color="000000" w:sz="4" w:space="0"/>
              <w:left w:val="single" w:color="000000" w:sz="4" w:space="0"/>
              <w:bottom w:val="single" w:color="000000" w:sz="4" w:space="0"/>
              <w:right w:val="single" w:color="000000" w:sz="4" w:space="0"/>
            </w:tcBorders>
          </w:tcPr>
          <w:p w14:paraId="5DEC8A64">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《房间空气调节器能效限定值及能效等级》（GB21455-2019）</w:t>
            </w:r>
          </w:p>
        </w:tc>
      </w:tr>
      <w:tr w14:paraId="4FCD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6DE46BE7">
            <w:pPr>
              <w:widowControl/>
              <w:jc w:val="left"/>
              <w:rPr>
                <w:rFonts w:ascii="宋体" w:hAnsi="宋体" w:cs="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6F0C5E9F">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4896F492">
            <w:pPr>
              <w:widowControl/>
              <w:jc w:val="left"/>
              <w:rPr>
                <w:rFonts w:ascii="宋体" w:hAnsi="宋体" w:cs="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623153C9">
            <w:pPr>
              <w:pStyle w:val="59"/>
              <w:spacing w:before="4" w:line="276" w:lineRule="auto"/>
              <w:ind w:left="7" w:right="7"/>
              <w:jc w:val="center"/>
              <w:rPr>
                <w:rFonts w:ascii="宋体" w:hAnsi="宋体" w:cs="宋体"/>
                <w:color w:val="auto"/>
                <w:kern w:val="2"/>
                <w:sz w:val="24"/>
                <w:szCs w:val="24"/>
                <w:highlight w:val="none"/>
                <w:lang w:eastAsia="zh-CN"/>
              </w:rPr>
            </w:pPr>
            <w:r>
              <w:rPr>
                <w:rFonts w:hint="eastAsia" w:ascii="宋体" w:hAnsi="宋体" w:cs="宋体"/>
                <w:color w:val="auto"/>
                <w:w w:val="99"/>
                <w:kern w:val="2"/>
                <w:sz w:val="24"/>
                <w:szCs w:val="24"/>
                <w:highlight w:val="none"/>
                <w:lang w:eastAsia="zh-CN"/>
              </w:rPr>
              <w:t>多联式空调（热泵）机组（制冷量≤ 14000W）</w:t>
            </w:r>
          </w:p>
        </w:tc>
        <w:tc>
          <w:tcPr>
            <w:tcW w:w="3452" w:type="dxa"/>
            <w:tcBorders>
              <w:top w:val="single" w:color="000000" w:sz="4" w:space="0"/>
              <w:left w:val="single" w:color="000000" w:sz="4" w:space="0"/>
              <w:bottom w:val="single" w:color="000000" w:sz="4" w:space="0"/>
              <w:right w:val="single" w:color="000000" w:sz="4" w:space="0"/>
            </w:tcBorders>
          </w:tcPr>
          <w:p w14:paraId="1968428E">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《多联式空调（热泵）机组能效限定值及能源效率等级》（GB21454）</w:t>
            </w:r>
          </w:p>
        </w:tc>
      </w:tr>
      <w:tr w14:paraId="7CA9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2A987FFD">
            <w:pPr>
              <w:widowControl/>
              <w:jc w:val="left"/>
              <w:rPr>
                <w:rFonts w:ascii="宋体" w:hAnsi="宋体" w:cs="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3772C8C7">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498D5927">
            <w:pPr>
              <w:widowControl/>
              <w:jc w:val="left"/>
              <w:rPr>
                <w:rFonts w:ascii="宋体" w:hAnsi="宋体" w:cs="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4EA2055C">
            <w:pPr>
              <w:pStyle w:val="59"/>
              <w:jc w:val="center"/>
              <w:rPr>
                <w:rFonts w:ascii="宋体" w:hAnsi="宋体" w:cs="宋体"/>
                <w:color w:val="auto"/>
                <w:kern w:val="2"/>
                <w:sz w:val="24"/>
                <w:szCs w:val="24"/>
                <w:highlight w:val="none"/>
                <w:lang w:eastAsia="zh-CN"/>
              </w:rPr>
            </w:pPr>
            <w:r>
              <w:rPr>
                <w:rFonts w:hint="eastAsia" w:ascii="宋体" w:hAnsi="宋体" w:cs="宋体"/>
                <w:color w:val="auto"/>
                <w:w w:val="99"/>
                <w:kern w:val="2"/>
                <w:sz w:val="24"/>
                <w:szCs w:val="24"/>
                <w:highlight w:val="none"/>
                <w:lang w:eastAsia="zh-CN"/>
              </w:rPr>
              <w:t>单元式空气调节机（制冷量≤ 14000W）</w:t>
            </w:r>
          </w:p>
        </w:tc>
        <w:tc>
          <w:tcPr>
            <w:tcW w:w="3452" w:type="dxa"/>
            <w:tcBorders>
              <w:top w:val="single" w:color="000000" w:sz="4" w:space="0"/>
              <w:left w:val="single" w:color="000000" w:sz="4" w:space="0"/>
              <w:bottom w:val="single" w:color="000000" w:sz="4" w:space="0"/>
              <w:right w:val="single" w:color="000000" w:sz="4" w:space="0"/>
            </w:tcBorders>
          </w:tcPr>
          <w:p w14:paraId="38B46C3F">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《单元式空气调节机能效限定值及能源效率等级》（GB19576）《风管送风式空调机组能效限定值及能效等级》（GB37479）</w:t>
            </w:r>
          </w:p>
        </w:tc>
      </w:tr>
      <w:tr w14:paraId="3E45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0AE80A2F">
            <w:pPr>
              <w:widowControl/>
              <w:jc w:val="left"/>
              <w:rPr>
                <w:rFonts w:ascii="宋体" w:hAnsi="宋体" w:cs="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02DB535E">
            <w:pPr>
              <w:widowControl/>
              <w:jc w:val="left"/>
              <w:rPr>
                <w:rFonts w:ascii="宋体" w:hAnsi="宋体" w:cs="宋体"/>
                <w:color w:val="auto"/>
                <w:sz w:val="24"/>
                <w:highlight w:val="none"/>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3319E9A8">
            <w:pPr>
              <w:pStyle w:val="59"/>
              <w:spacing w:before="162"/>
              <w:ind w:left="7"/>
              <w:jc w:val="center"/>
              <w:rPr>
                <w:rFonts w:ascii="宋体" w:hAnsi="宋体" w:cs="宋体"/>
                <w:color w:val="auto"/>
                <w:kern w:val="2"/>
                <w:sz w:val="24"/>
                <w:szCs w:val="24"/>
                <w:highlight w:val="none"/>
              </w:rPr>
            </w:pPr>
            <w:r>
              <w:rPr>
                <w:rFonts w:hint="eastAsia" w:ascii="宋体" w:hAnsi="宋体" w:cs="仿宋_GB2312"/>
                <w:color w:val="auto"/>
                <w:kern w:val="2"/>
                <w:sz w:val="24"/>
                <w:szCs w:val="24"/>
                <w:highlight w:val="none"/>
              </w:rPr>
              <w:t>A02061810</w:t>
            </w:r>
            <w:r>
              <w:rPr>
                <w:rFonts w:hint="eastAsia" w:ascii="宋体" w:hAnsi="宋体" w:cs="宋体"/>
                <w:color w:val="auto"/>
                <w:w w:val="99"/>
                <w:kern w:val="2"/>
                <w:sz w:val="24"/>
                <w:szCs w:val="24"/>
                <w:highlight w:val="none"/>
              </w:rPr>
              <w:t>洗衣机</w:t>
            </w:r>
          </w:p>
        </w:tc>
        <w:tc>
          <w:tcPr>
            <w:tcW w:w="1536" w:type="dxa"/>
            <w:tcBorders>
              <w:top w:val="single" w:color="000000" w:sz="4" w:space="0"/>
              <w:left w:val="single" w:color="000000" w:sz="4" w:space="0"/>
              <w:bottom w:val="single" w:color="000000" w:sz="4" w:space="0"/>
              <w:right w:val="single" w:color="000000" w:sz="4" w:space="0"/>
            </w:tcBorders>
            <w:vAlign w:val="center"/>
          </w:tcPr>
          <w:p w14:paraId="0425A7D5">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33A439AC">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《电动洗衣机能效水效限定值及等级》（GB12021.4）</w:t>
            </w:r>
          </w:p>
        </w:tc>
      </w:tr>
      <w:tr w14:paraId="2524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0254E072">
            <w:pPr>
              <w:widowControl/>
              <w:jc w:val="left"/>
              <w:rPr>
                <w:rFonts w:ascii="宋体" w:hAnsi="宋体" w:cs="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0D331915">
            <w:pPr>
              <w:widowControl/>
              <w:jc w:val="left"/>
              <w:rPr>
                <w:rFonts w:ascii="宋体" w:hAnsi="宋体" w:cs="宋体"/>
                <w:color w:val="auto"/>
                <w:sz w:val="24"/>
                <w:highlight w:val="none"/>
              </w:rPr>
            </w:pPr>
          </w:p>
        </w:tc>
        <w:tc>
          <w:tcPr>
            <w:tcW w:w="1546" w:type="dxa"/>
            <w:vMerge w:val="restart"/>
            <w:tcBorders>
              <w:top w:val="single" w:color="000000" w:sz="4" w:space="0"/>
              <w:left w:val="single" w:color="000000" w:sz="4" w:space="0"/>
              <w:bottom w:val="single" w:color="000000" w:sz="4" w:space="0"/>
              <w:right w:val="single" w:color="000000" w:sz="4" w:space="0"/>
            </w:tcBorders>
            <w:vAlign w:val="center"/>
          </w:tcPr>
          <w:p w14:paraId="7C55FFC9">
            <w:pPr>
              <w:pStyle w:val="59"/>
              <w:spacing w:before="161"/>
              <w:jc w:val="center"/>
              <w:rPr>
                <w:rFonts w:ascii="宋体" w:hAnsi="宋体" w:cs="宋体"/>
                <w:color w:val="auto"/>
                <w:kern w:val="2"/>
                <w:sz w:val="24"/>
                <w:szCs w:val="24"/>
                <w:highlight w:val="none"/>
              </w:rPr>
            </w:pPr>
            <w:r>
              <w:rPr>
                <w:rFonts w:hint="eastAsia" w:ascii="宋体" w:hAnsi="宋体" w:cs="仿宋_GB2312"/>
                <w:color w:val="auto"/>
                <w:kern w:val="2"/>
                <w:sz w:val="24"/>
                <w:szCs w:val="24"/>
                <w:highlight w:val="none"/>
              </w:rPr>
              <w:t>A02061819</w:t>
            </w:r>
            <w:r>
              <w:rPr>
                <w:rFonts w:hint="eastAsia" w:ascii="宋体" w:hAnsi="宋体" w:cs="宋体"/>
                <w:color w:val="auto"/>
                <w:w w:val="99"/>
                <w:kern w:val="2"/>
                <w:sz w:val="24"/>
                <w:szCs w:val="24"/>
                <w:highlight w:val="none"/>
              </w:rPr>
              <w:t>热水器</w:t>
            </w:r>
          </w:p>
        </w:tc>
        <w:tc>
          <w:tcPr>
            <w:tcW w:w="1536" w:type="dxa"/>
            <w:tcBorders>
              <w:top w:val="single" w:color="000000" w:sz="4" w:space="0"/>
              <w:left w:val="single" w:color="000000" w:sz="4" w:space="0"/>
              <w:bottom w:val="single" w:color="000000" w:sz="4" w:space="0"/>
              <w:right w:val="single" w:color="000000" w:sz="4" w:space="0"/>
            </w:tcBorders>
            <w:vAlign w:val="center"/>
          </w:tcPr>
          <w:p w14:paraId="0A42CBF5">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★电热</w:t>
            </w:r>
            <w:r>
              <w:rPr>
                <w:rFonts w:hint="eastAsia" w:ascii="宋体" w:hAnsi="宋体" w:cs="宋体"/>
                <w:color w:val="auto"/>
                <w:spacing w:val="2"/>
                <w:w w:val="99"/>
                <w:kern w:val="2"/>
                <w:sz w:val="24"/>
                <w:szCs w:val="24"/>
                <w:highlight w:val="none"/>
              </w:rPr>
              <w:t>水</w:t>
            </w:r>
            <w:r>
              <w:rPr>
                <w:rFonts w:hint="eastAsia" w:ascii="宋体" w:hAnsi="宋体" w:cs="宋体"/>
                <w:color w:val="auto"/>
                <w:w w:val="99"/>
                <w:kern w:val="2"/>
                <w:sz w:val="24"/>
                <w:szCs w:val="24"/>
                <w:highlight w:val="none"/>
              </w:rPr>
              <w:t>器</w:t>
            </w:r>
          </w:p>
        </w:tc>
        <w:tc>
          <w:tcPr>
            <w:tcW w:w="3452" w:type="dxa"/>
            <w:tcBorders>
              <w:top w:val="single" w:color="000000" w:sz="4" w:space="0"/>
              <w:left w:val="single" w:color="000000" w:sz="4" w:space="0"/>
              <w:bottom w:val="single" w:color="000000" w:sz="4" w:space="0"/>
              <w:right w:val="single" w:color="000000" w:sz="4" w:space="0"/>
            </w:tcBorders>
          </w:tcPr>
          <w:p w14:paraId="3F9729A1">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《储水式电热水器能效限定值及能效等级》（GB21519）</w:t>
            </w:r>
          </w:p>
        </w:tc>
      </w:tr>
      <w:tr w14:paraId="3DC2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1375C13B">
            <w:pPr>
              <w:widowControl/>
              <w:jc w:val="left"/>
              <w:rPr>
                <w:rFonts w:ascii="宋体" w:hAnsi="宋体" w:cs="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2782C369">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5E8F57DA">
            <w:pPr>
              <w:widowControl/>
              <w:jc w:val="left"/>
              <w:rPr>
                <w:rFonts w:ascii="宋体" w:hAnsi="宋体" w:cs="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3C2A35B0">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燃气热</w:t>
            </w:r>
            <w:r>
              <w:rPr>
                <w:rFonts w:hint="eastAsia" w:ascii="宋体" w:hAnsi="宋体" w:cs="宋体"/>
                <w:color w:val="auto"/>
                <w:spacing w:val="2"/>
                <w:w w:val="99"/>
                <w:kern w:val="2"/>
                <w:sz w:val="24"/>
                <w:szCs w:val="24"/>
                <w:highlight w:val="none"/>
              </w:rPr>
              <w:t>水</w:t>
            </w:r>
            <w:r>
              <w:rPr>
                <w:rFonts w:hint="eastAsia" w:ascii="宋体" w:hAnsi="宋体" w:cs="宋体"/>
                <w:color w:val="auto"/>
                <w:w w:val="99"/>
                <w:kern w:val="2"/>
                <w:sz w:val="24"/>
                <w:szCs w:val="24"/>
                <w:highlight w:val="none"/>
              </w:rPr>
              <w:t>器</w:t>
            </w:r>
          </w:p>
        </w:tc>
        <w:tc>
          <w:tcPr>
            <w:tcW w:w="3452" w:type="dxa"/>
            <w:tcBorders>
              <w:top w:val="single" w:color="000000" w:sz="4" w:space="0"/>
              <w:left w:val="single" w:color="000000" w:sz="4" w:space="0"/>
              <w:bottom w:val="single" w:color="000000" w:sz="4" w:space="0"/>
              <w:right w:val="single" w:color="000000" w:sz="4" w:space="0"/>
            </w:tcBorders>
          </w:tcPr>
          <w:p w14:paraId="3A5A8591">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《家用燃气快速热水器和燃气采暖热水炉能效限定值及能效等级》（GB20665）</w:t>
            </w:r>
          </w:p>
        </w:tc>
      </w:tr>
      <w:tr w14:paraId="0A90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78986E5F">
            <w:pPr>
              <w:widowControl/>
              <w:jc w:val="left"/>
              <w:rPr>
                <w:rFonts w:ascii="宋体" w:hAnsi="宋体" w:cs="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0ACF36B0">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4A71C14C">
            <w:pPr>
              <w:widowControl/>
              <w:jc w:val="left"/>
              <w:rPr>
                <w:rFonts w:ascii="宋体" w:hAnsi="宋体" w:cs="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091165C4">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热泵热</w:t>
            </w:r>
            <w:r>
              <w:rPr>
                <w:rFonts w:hint="eastAsia" w:ascii="宋体" w:hAnsi="宋体" w:cs="宋体"/>
                <w:color w:val="auto"/>
                <w:spacing w:val="2"/>
                <w:w w:val="99"/>
                <w:kern w:val="2"/>
                <w:sz w:val="24"/>
                <w:szCs w:val="24"/>
                <w:highlight w:val="none"/>
              </w:rPr>
              <w:t>水</w:t>
            </w:r>
            <w:r>
              <w:rPr>
                <w:rFonts w:hint="eastAsia" w:ascii="宋体" w:hAnsi="宋体" w:cs="宋体"/>
                <w:color w:val="auto"/>
                <w:w w:val="99"/>
                <w:kern w:val="2"/>
                <w:sz w:val="24"/>
                <w:szCs w:val="24"/>
                <w:highlight w:val="none"/>
              </w:rPr>
              <w:t>器</w:t>
            </w:r>
          </w:p>
        </w:tc>
        <w:tc>
          <w:tcPr>
            <w:tcW w:w="3452" w:type="dxa"/>
            <w:tcBorders>
              <w:top w:val="single" w:color="000000" w:sz="4" w:space="0"/>
              <w:left w:val="single" w:color="000000" w:sz="4" w:space="0"/>
              <w:bottom w:val="single" w:color="000000" w:sz="4" w:space="0"/>
              <w:right w:val="single" w:color="000000" w:sz="4" w:space="0"/>
            </w:tcBorders>
          </w:tcPr>
          <w:p w14:paraId="7B79CBEB">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《热泵热水机（器）能效限定值及能效等级》（GB29541）</w:t>
            </w:r>
          </w:p>
        </w:tc>
      </w:tr>
      <w:tr w14:paraId="0AA4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74FA2676">
            <w:pPr>
              <w:widowControl/>
              <w:jc w:val="left"/>
              <w:rPr>
                <w:rFonts w:ascii="宋体" w:hAnsi="宋体" w:cs="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3BA2744E">
            <w:pPr>
              <w:widowControl/>
              <w:jc w:val="left"/>
              <w:rPr>
                <w:rFonts w:ascii="宋体" w:hAnsi="宋体" w:cs="宋体"/>
                <w:color w:val="auto"/>
                <w:sz w:val="24"/>
                <w:highlight w:val="none"/>
              </w:rPr>
            </w:pPr>
          </w:p>
        </w:tc>
        <w:tc>
          <w:tcPr>
            <w:tcW w:w="1546" w:type="dxa"/>
            <w:vMerge w:val="continue"/>
            <w:tcBorders>
              <w:top w:val="single" w:color="000000" w:sz="4" w:space="0"/>
              <w:left w:val="single" w:color="000000" w:sz="4" w:space="0"/>
              <w:bottom w:val="single" w:color="000000" w:sz="4" w:space="0"/>
              <w:right w:val="single" w:color="000000" w:sz="4" w:space="0"/>
            </w:tcBorders>
            <w:vAlign w:val="center"/>
          </w:tcPr>
          <w:p w14:paraId="62549C7D">
            <w:pPr>
              <w:widowControl/>
              <w:jc w:val="left"/>
              <w:rPr>
                <w:rFonts w:ascii="宋体" w:hAnsi="宋体" w:cs="宋体"/>
                <w:color w:val="auto"/>
                <w:sz w:val="24"/>
                <w:highlight w:val="none"/>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6304648A">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太阳能</w:t>
            </w:r>
            <w:r>
              <w:rPr>
                <w:rFonts w:hint="eastAsia" w:ascii="宋体" w:hAnsi="宋体" w:cs="宋体"/>
                <w:color w:val="auto"/>
                <w:spacing w:val="2"/>
                <w:w w:val="99"/>
                <w:kern w:val="2"/>
                <w:sz w:val="24"/>
                <w:szCs w:val="24"/>
                <w:highlight w:val="none"/>
              </w:rPr>
              <w:t>热</w:t>
            </w:r>
            <w:r>
              <w:rPr>
                <w:rFonts w:hint="eastAsia" w:ascii="宋体" w:hAnsi="宋体" w:cs="宋体"/>
                <w:color w:val="auto"/>
                <w:w w:val="99"/>
                <w:kern w:val="2"/>
                <w:sz w:val="24"/>
                <w:szCs w:val="24"/>
                <w:highlight w:val="none"/>
              </w:rPr>
              <w:t>水系统</w:t>
            </w:r>
          </w:p>
        </w:tc>
        <w:tc>
          <w:tcPr>
            <w:tcW w:w="3452" w:type="dxa"/>
            <w:tcBorders>
              <w:top w:val="single" w:color="000000" w:sz="4" w:space="0"/>
              <w:left w:val="single" w:color="000000" w:sz="4" w:space="0"/>
              <w:bottom w:val="single" w:color="000000" w:sz="4" w:space="0"/>
              <w:right w:val="single" w:color="000000" w:sz="4" w:space="0"/>
            </w:tcBorders>
          </w:tcPr>
          <w:p w14:paraId="3A91E903">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《家用太阳能热水系统能效限定值及能效等级》（GB26969）</w:t>
            </w:r>
          </w:p>
        </w:tc>
      </w:tr>
      <w:tr w14:paraId="138E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restart"/>
            <w:tcBorders>
              <w:top w:val="single" w:color="000000" w:sz="4" w:space="0"/>
              <w:left w:val="single" w:color="000000" w:sz="4" w:space="0"/>
              <w:bottom w:val="single" w:color="000000" w:sz="4" w:space="0"/>
              <w:right w:val="single" w:color="000000" w:sz="4" w:space="0"/>
            </w:tcBorders>
            <w:vAlign w:val="center"/>
          </w:tcPr>
          <w:p w14:paraId="7164115A">
            <w:pPr>
              <w:pStyle w:val="59"/>
              <w:jc w:val="center"/>
              <w:rPr>
                <w:rFonts w:ascii="宋体" w:hAnsi="宋体" w:cs="宋体"/>
                <w:color w:val="auto"/>
                <w:kern w:val="2"/>
                <w:sz w:val="24"/>
                <w:szCs w:val="24"/>
                <w:highlight w:val="none"/>
              </w:rPr>
            </w:pPr>
            <w:r>
              <w:rPr>
                <w:rFonts w:hint="eastAsia" w:ascii="宋体" w:hAnsi="宋体"/>
                <w:color w:val="auto"/>
                <w:spacing w:val="1"/>
                <w:w w:val="99"/>
                <w:kern w:val="2"/>
                <w:sz w:val="24"/>
                <w:szCs w:val="24"/>
                <w:highlight w:val="none"/>
              </w:rPr>
              <w:t>1</w:t>
            </w:r>
            <w:r>
              <w:rPr>
                <w:rFonts w:hint="eastAsia" w:ascii="宋体" w:hAnsi="宋体"/>
                <w:color w:val="auto"/>
                <w:w w:val="99"/>
                <w:kern w:val="2"/>
                <w:sz w:val="24"/>
                <w:szCs w:val="24"/>
                <w:highlight w:val="none"/>
              </w:rPr>
              <w:t>1</w:t>
            </w:r>
          </w:p>
        </w:tc>
        <w:tc>
          <w:tcPr>
            <w:tcW w:w="1407" w:type="dxa"/>
            <w:vMerge w:val="restart"/>
            <w:tcBorders>
              <w:top w:val="single" w:color="000000" w:sz="4" w:space="0"/>
              <w:left w:val="single" w:color="000000" w:sz="4" w:space="0"/>
              <w:bottom w:val="single" w:color="000000" w:sz="4" w:space="0"/>
              <w:right w:val="single" w:color="000000" w:sz="4" w:space="0"/>
            </w:tcBorders>
            <w:vAlign w:val="center"/>
          </w:tcPr>
          <w:p w14:paraId="26FA92BF">
            <w:pPr>
              <w:pStyle w:val="59"/>
              <w:spacing w:before="157"/>
              <w:jc w:val="center"/>
              <w:rPr>
                <w:rFonts w:ascii="宋体" w:hAnsi="宋体" w:cs="宋体"/>
                <w:color w:val="auto"/>
                <w:kern w:val="2"/>
                <w:sz w:val="24"/>
                <w:szCs w:val="24"/>
                <w:highlight w:val="none"/>
              </w:rPr>
            </w:pPr>
            <w:r>
              <w:rPr>
                <w:rFonts w:hint="eastAsia" w:ascii="宋体" w:hAnsi="宋体" w:cs="宋体"/>
                <w:color w:val="auto"/>
                <w:spacing w:val="1"/>
                <w:w w:val="99"/>
                <w:kern w:val="2"/>
                <w:sz w:val="24"/>
                <w:szCs w:val="24"/>
                <w:highlight w:val="none"/>
              </w:rPr>
              <w:t>A02</w:t>
            </w:r>
            <w:r>
              <w:rPr>
                <w:rFonts w:hint="eastAsia" w:ascii="宋体" w:hAnsi="宋体" w:cs="宋体"/>
                <w:color w:val="auto"/>
                <w:w w:val="99"/>
                <w:kern w:val="2"/>
                <w:sz w:val="24"/>
                <w:szCs w:val="24"/>
                <w:highlight w:val="none"/>
              </w:rPr>
              <w:t>06</w:t>
            </w:r>
            <w:r>
              <w:rPr>
                <w:rFonts w:hint="eastAsia" w:ascii="宋体" w:hAnsi="宋体" w:cs="宋体"/>
                <w:color w:val="auto"/>
                <w:spacing w:val="1"/>
                <w:w w:val="99"/>
                <w:kern w:val="2"/>
                <w:sz w:val="24"/>
                <w:szCs w:val="24"/>
                <w:highlight w:val="none"/>
              </w:rPr>
              <w:t>1</w:t>
            </w:r>
            <w:r>
              <w:rPr>
                <w:rFonts w:hint="eastAsia" w:ascii="宋体" w:hAnsi="宋体" w:cs="宋体"/>
                <w:color w:val="auto"/>
                <w:w w:val="99"/>
                <w:kern w:val="2"/>
                <w:sz w:val="24"/>
                <w:szCs w:val="24"/>
                <w:highlight w:val="none"/>
              </w:rPr>
              <w:t>900照明设备</w:t>
            </w:r>
          </w:p>
        </w:tc>
        <w:tc>
          <w:tcPr>
            <w:tcW w:w="1546" w:type="dxa"/>
            <w:tcBorders>
              <w:top w:val="single" w:color="000000" w:sz="4" w:space="0"/>
              <w:left w:val="single" w:color="000000" w:sz="4" w:space="0"/>
              <w:bottom w:val="single" w:color="000000" w:sz="4" w:space="0"/>
              <w:right w:val="single" w:color="000000" w:sz="4" w:space="0"/>
            </w:tcBorders>
            <w:vAlign w:val="center"/>
          </w:tcPr>
          <w:p w14:paraId="75DC7656">
            <w:pPr>
              <w:pStyle w:val="59"/>
              <w:spacing w:before="133" w:line="276" w:lineRule="auto"/>
              <w:ind w:left="7" w:right="7"/>
              <w:jc w:val="center"/>
              <w:rPr>
                <w:rFonts w:ascii="宋体" w:hAnsi="宋体" w:cs="宋体"/>
                <w:color w:val="auto"/>
                <w:kern w:val="2"/>
                <w:sz w:val="24"/>
                <w:szCs w:val="24"/>
                <w:highlight w:val="none"/>
                <w:lang w:eastAsia="zh-CN"/>
              </w:rPr>
            </w:pPr>
            <w:r>
              <w:rPr>
                <w:rFonts w:hint="eastAsia" w:ascii="宋体" w:hAnsi="宋体" w:cs="宋体"/>
                <w:color w:val="auto"/>
                <w:w w:val="99"/>
                <w:kern w:val="2"/>
                <w:sz w:val="24"/>
                <w:szCs w:val="24"/>
                <w:highlight w:val="none"/>
                <w:lang w:eastAsia="zh-CN"/>
              </w:rPr>
              <w:t>★普通照明用双端荧光灯</w:t>
            </w:r>
          </w:p>
        </w:tc>
        <w:tc>
          <w:tcPr>
            <w:tcW w:w="1536" w:type="dxa"/>
            <w:tcBorders>
              <w:top w:val="single" w:color="000000" w:sz="4" w:space="0"/>
              <w:left w:val="single" w:color="000000" w:sz="4" w:space="0"/>
              <w:bottom w:val="single" w:color="000000" w:sz="4" w:space="0"/>
              <w:right w:val="single" w:color="000000" w:sz="4" w:space="0"/>
            </w:tcBorders>
            <w:vAlign w:val="center"/>
          </w:tcPr>
          <w:p w14:paraId="25B4AFFD">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1FD0425F">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《普通照明用双端荧光灯能效限定值及能效等级》（GB19043）</w:t>
            </w:r>
          </w:p>
        </w:tc>
      </w:tr>
      <w:tr w14:paraId="2024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6EE3E75C">
            <w:pPr>
              <w:widowControl/>
              <w:jc w:val="left"/>
              <w:rPr>
                <w:rFonts w:ascii="宋体" w:hAnsi="宋体" w:cs="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382FB633">
            <w:pPr>
              <w:widowControl/>
              <w:jc w:val="left"/>
              <w:rPr>
                <w:rFonts w:ascii="宋体" w:hAnsi="宋体" w:cs="宋体"/>
                <w:color w:val="auto"/>
                <w:sz w:val="24"/>
                <w:highlight w:val="none"/>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196D8D15">
            <w:pPr>
              <w:pStyle w:val="59"/>
              <w:spacing w:before="92" w:line="276" w:lineRule="auto"/>
              <w:ind w:left="7" w:right="2"/>
              <w:jc w:val="center"/>
              <w:rPr>
                <w:rFonts w:ascii="宋体" w:hAnsi="宋体" w:cs="宋体"/>
                <w:color w:val="auto"/>
                <w:kern w:val="2"/>
                <w:sz w:val="24"/>
                <w:szCs w:val="24"/>
                <w:highlight w:val="none"/>
              </w:rPr>
            </w:pPr>
            <w:r>
              <w:rPr>
                <w:rFonts w:hint="eastAsia" w:ascii="宋体" w:hAnsi="宋体" w:cs="宋体"/>
                <w:color w:val="auto"/>
                <w:spacing w:val="1"/>
                <w:w w:val="99"/>
                <w:kern w:val="2"/>
                <w:sz w:val="24"/>
                <w:szCs w:val="24"/>
                <w:highlight w:val="none"/>
              </w:rPr>
              <w:t>LE</w:t>
            </w:r>
            <w:r>
              <w:rPr>
                <w:rFonts w:hint="eastAsia" w:ascii="宋体" w:hAnsi="宋体" w:cs="宋体"/>
                <w:color w:val="auto"/>
                <w:w w:val="99"/>
                <w:kern w:val="2"/>
                <w:sz w:val="24"/>
                <w:szCs w:val="24"/>
                <w:highlight w:val="none"/>
              </w:rPr>
              <w:t>D</w:t>
            </w:r>
            <w:r>
              <w:rPr>
                <w:rFonts w:hint="eastAsia" w:ascii="宋体" w:hAnsi="宋体" w:cs="宋体"/>
                <w:color w:val="auto"/>
                <w:spacing w:val="12"/>
                <w:w w:val="99"/>
                <w:kern w:val="2"/>
                <w:sz w:val="24"/>
                <w:szCs w:val="24"/>
                <w:highlight w:val="none"/>
              </w:rPr>
              <w:t>道</w:t>
            </w:r>
            <w:r>
              <w:rPr>
                <w:rFonts w:hint="eastAsia" w:ascii="宋体" w:hAnsi="宋体" w:cs="宋体"/>
                <w:color w:val="auto"/>
                <w:spacing w:val="9"/>
                <w:w w:val="99"/>
                <w:kern w:val="2"/>
                <w:sz w:val="24"/>
                <w:szCs w:val="24"/>
                <w:highlight w:val="none"/>
              </w:rPr>
              <w:t>路</w:t>
            </w:r>
            <w:r>
              <w:rPr>
                <w:rFonts w:hint="eastAsia" w:ascii="宋体" w:hAnsi="宋体" w:cs="宋体"/>
                <w:color w:val="auto"/>
                <w:spacing w:val="13"/>
                <w:w w:val="99"/>
                <w:kern w:val="2"/>
                <w:sz w:val="24"/>
                <w:szCs w:val="24"/>
                <w:highlight w:val="none"/>
              </w:rPr>
              <w:t>/</w:t>
            </w:r>
            <w:r>
              <w:rPr>
                <w:rFonts w:hint="eastAsia" w:ascii="宋体" w:hAnsi="宋体" w:cs="宋体"/>
                <w:color w:val="auto"/>
                <w:spacing w:val="12"/>
                <w:w w:val="99"/>
                <w:kern w:val="2"/>
                <w:sz w:val="24"/>
                <w:szCs w:val="24"/>
                <w:highlight w:val="none"/>
              </w:rPr>
              <w:t>隧道照</w:t>
            </w:r>
            <w:r>
              <w:rPr>
                <w:rFonts w:hint="eastAsia" w:ascii="宋体" w:hAnsi="宋体" w:cs="宋体"/>
                <w:color w:val="auto"/>
                <w:w w:val="99"/>
                <w:kern w:val="2"/>
                <w:sz w:val="24"/>
                <w:szCs w:val="24"/>
                <w:highlight w:val="none"/>
              </w:rPr>
              <w:t>明产品</w:t>
            </w:r>
          </w:p>
        </w:tc>
        <w:tc>
          <w:tcPr>
            <w:tcW w:w="1536" w:type="dxa"/>
            <w:tcBorders>
              <w:top w:val="single" w:color="000000" w:sz="4" w:space="0"/>
              <w:left w:val="single" w:color="000000" w:sz="4" w:space="0"/>
              <w:bottom w:val="single" w:color="000000" w:sz="4" w:space="0"/>
              <w:right w:val="single" w:color="000000" w:sz="4" w:space="0"/>
            </w:tcBorders>
            <w:vAlign w:val="center"/>
          </w:tcPr>
          <w:p w14:paraId="1ACA2E35">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595B56FB">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《道路和隧道照明用LED灯具能效限定值及能效等级》（GB37478）</w:t>
            </w:r>
          </w:p>
        </w:tc>
      </w:tr>
      <w:tr w14:paraId="06DE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3F4F2A2A">
            <w:pPr>
              <w:widowControl/>
              <w:jc w:val="left"/>
              <w:rPr>
                <w:rFonts w:ascii="宋体" w:hAnsi="宋体" w:cs="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5B116F1D">
            <w:pPr>
              <w:widowControl/>
              <w:jc w:val="left"/>
              <w:rPr>
                <w:rFonts w:ascii="宋体" w:hAnsi="宋体" w:cs="宋体"/>
                <w:color w:val="auto"/>
                <w:sz w:val="24"/>
                <w:highlight w:val="none"/>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46E08DEA">
            <w:pPr>
              <w:pStyle w:val="59"/>
              <w:jc w:val="center"/>
              <w:rPr>
                <w:rFonts w:ascii="宋体" w:hAnsi="宋体" w:cs="宋体"/>
                <w:color w:val="auto"/>
                <w:kern w:val="2"/>
                <w:sz w:val="24"/>
                <w:szCs w:val="24"/>
                <w:highlight w:val="none"/>
              </w:rPr>
            </w:pPr>
            <w:r>
              <w:rPr>
                <w:rFonts w:hint="eastAsia" w:ascii="宋体" w:hAnsi="宋体" w:cs="宋体"/>
                <w:color w:val="auto"/>
                <w:spacing w:val="1"/>
                <w:w w:val="99"/>
                <w:kern w:val="2"/>
                <w:sz w:val="24"/>
                <w:szCs w:val="24"/>
                <w:highlight w:val="none"/>
              </w:rPr>
              <w:t>LE</w:t>
            </w:r>
            <w:r>
              <w:rPr>
                <w:rFonts w:hint="eastAsia" w:ascii="宋体" w:hAnsi="宋体" w:cs="宋体"/>
                <w:color w:val="auto"/>
                <w:w w:val="99"/>
                <w:kern w:val="2"/>
                <w:sz w:val="24"/>
                <w:szCs w:val="24"/>
                <w:highlight w:val="none"/>
              </w:rPr>
              <w:t>D筒灯</w:t>
            </w:r>
          </w:p>
        </w:tc>
        <w:tc>
          <w:tcPr>
            <w:tcW w:w="1536" w:type="dxa"/>
            <w:tcBorders>
              <w:top w:val="single" w:color="000000" w:sz="4" w:space="0"/>
              <w:left w:val="single" w:color="000000" w:sz="4" w:space="0"/>
              <w:bottom w:val="single" w:color="000000" w:sz="4" w:space="0"/>
              <w:right w:val="single" w:color="000000" w:sz="4" w:space="0"/>
            </w:tcBorders>
            <w:vAlign w:val="center"/>
          </w:tcPr>
          <w:p w14:paraId="2FB136CE">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3C904CC9">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《室内照明用LED产品能效限定值及能效等级》（GB30255）</w:t>
            </w:r>
          </w:p>
        </w:tc>
      </w:tr>
      <w:tr w14:paraId="33F1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22EABA24">
            <w:pPr>
              <w:widowControl/>
              <w:jc w:val="left"/>
              <w:rPr>
                <w:rFonts w:ascii="宋体" w:hAnsi="宋体" w:cs="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21F3BA37">
            <w:pPr>
              <w:widowControl/>
              <w:jc w:val="left"/>
              <w:rPr>
                <w:rFonts w:ascii="宋体" w:hAnsi="宋体" w:cs="宋体"/>
                <w:color w:val="auto"/>
                <w:sz w:val="24"/>
                <w:highlight w:val="none"/>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1E3BA03B">
            <w:pPr>
              <w:pStyle w:val="59"/>
              <w:spacing w:line="276" w:lineRule="auto"/>
              <w:ind w:right="7"/>
              <w:jc w:val="center"/>
              <w:rPr>
                <w:rFonts w:ascii="宋体" w:hAnsi="宋体" w:cs="宋体"/>
                <w:color w:val="auto"/>
                <w:kern w:val="2"/>
                <w:sz w:val="24"/>
                <w:szCs w:val="24"/>
                <w:highlight w:val="none"/>
                <w:lang w:eastAsia="zh-CN"/>
              </w:rPr>
            </w:pPr>
            <w:r>
              <w:rPr>
                <w:rFonts w:hint="eastAsia" w:ascii="宋体" w:hAnsi="宋体" w:cs="宋体"/>
                <w:color w:val="auto"/>
                <w:w w:val="99"/>
                <w:kern w:val="2"/>
                <w:sz w:val="24"/>
                <w:szCs w:val="24"/>
                <w:highlight w:val="none"/>
                <w:lang w:eastAsia="zh-CN"/>
              </w:rPr>
              <w:t>普</w:t>
            </w:r>
            <w:r>
              <w:rPr>
                <w:rFonts w:hint="eastAsia" w:ascii="宋体" w:hAnsi="宋体" w:cs="宋体"/>
                <w:color w:val="auto"/>
                <w:spacing w:val="24"/>
                <w:w w:val="99"/>
                <w:kern w:val="2"/>
                <w:sz w:val="24"/>
                <w:szCs w:val="24"/>
                <w:highlight w:val="none"/>
                <w:lang w:eastAsia="zh-CN"/>
              </w:rPr>
              <w:t>通</w:t>
            </w:r>
            <w:r>
              <w:rPr>
                <w:rFonts w:hint="eastAsia" w:ascii="宋体" w:hAnsi="宋体" w:cs="宋体"/>
                <w:color w:val="auto"/>
                <w:w w:val="99"/>
                <w:kern w:val="2"/>
                <w:sz w:val="24"/>
                <w:szCs w:val="24"/>
                <w:highlight w:val="none"/>
                <w:lang w:eastAsia="zh-CN"/>
              </w:rPr>
              <w:t>照明用非</w:t>
            </w:r>
            <w:r>
              <w:rPr>
                <w:rFonts w:hint="eastAsia" w:ascii="宋体" w:hAnsi="宋体" w:cs="宋体"/>
                <w:color w:val="auto"/>
                <w:spacing w:val="24"/>
                <w:w w:val="99"/>
                <w:kern w:val="2"/>
                <w:sz w:val="24"/>
                <w:szCs w:val="24"/>
                <w:highlight w:val="none"/>
                <w:lang w:eastAsia="zh-CN"/>
              </w:rPr>
              <w:t>定</w:t>
            </w:r>
            <w:r>
              <w:rPr>
                <w:rFonts w:hint="eastAsia" w:ascii="宋体" w:hAnsi="宋体" w:cs="宋体"/>
                <w:color w:val="auto"/>
                <w:w w:val="99"/>
                <w:kern w:val="2"/>
                <w:sz w:val="24"/>
                <w:szCs w:val="24"/>
                <w:highlight w:val="none"/>
                <w:lang w:eastAsia="zh-CN"/>
              </w:rPr>
              <w:t>向自镇流</w:t>
            </w:r>
            <w:r>
              <w:rPr>
                <w:rFonts w:hint="eastAsia" w:ascii="宋体" w:hAnsi="宋体" w:cs="宋体"/>
                <w:color w:val="auto"/>
                <w:spacing w:val="1"/>
                <w:w w:val="99"/>
                <w:kern w:val="2"/>
                <w:sz w:val="24"/>
                <w:szCs w:val="24"/>
                <w:highlight w:val="none"/>
                <w:lang w:eastAsia="zh-CN"/>
              </w:rPr>
              <w:t>LE</w:t>
            </w:r>
            <w:r>
              <w:rPr>
                <w:rFonts w:hint="eastAsia" w:ascii="宋体" w:hAnsi="宋体" w:cs="宋体"/>
                <w:color w:val="auto"/>
                <w:w w:val="99"/>
                <w:kern w:val="2"/>
                <w:sz w:val="24"/>
                <w:szCs w:val="24"/>
                <w:highlight w:val="none"/>
                <w:lang w:eastAsia="zh-CN"/>
              </w:rPr>
              <w:t>D灯</w:t>
            </w:r>
          </w:p>
        </w:tc>
        <w:tc>
          <w:tcPr>
            <w:tcW w:w="1536" w:type="dxa"/>
            <w:tcBorders>
              <w:top w:val="single" w:color="000000" w:sz="4" w:space="0"/>
              <w:left w:val="single" w:color="000000" w:sz="4" w:space="0"/>
              <w:bottom w:val="single" w:color="000000" w:sz="4" w:space="0"/>
              <w:right w:val="single" w:color="000000" w:sz="4" w:space="0"/>
            </w:tcBorders>
            <w:vAlign w:val="center"/>
          </w:tcPr>
          <w:p w14:paraId="707EBF83">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4985FAC0">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《室内照明用LED产品能效限定值及能效等级》（GB30255）</w:t>
            </w:r>
          </w:p>
        </w:tc>
      </w:tr>
      <w:tr w14:paraId="56C9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Borders>
              <w:top w:val="single" w:color="000000" w:sz="4" w:space="0"/>
              <w:left w:val="single" w:color="000000" w:sz="4" w:space="0"/>
              <w:bottom w:val="single" w:color="000000" w:sz="4" w:space="0"/>
              <w:right w:val="single" w:color="000000" w:sz="4" w:space="0"/>
            </w:tcBorders>
            <w:vAlign w:val="center"/>
          </w:tcPr>
          <w:p w14:paraId="5334A1C8">
            <w:pPr>
              <w:pStyle w:val="59"/>
              <w:jc w:val="center"/>
              <w:rPr>
                <w:rFonts w:ascii="宋体" w:hAnsi="宋体" w:cs="宋体"/>
                <w:color w:val="auto"/>
                <w:kern w:val="2"/>
                <w:sz w:val="24"/>
                <w:szCs w:val="24"/>
                <w:highlight w:val="none"/>
              </w:rPr>
            </w:pPr>
            <w:r>
              <w:rPr>
                <w:rFonts w:hint="eastAsia" w:ascii="宋体" w:hAnsi="宋体"/>
                <w:color w:val="auto"/>
                <w:spacing w:val="1"/>
                <w:w w:val="99"/>
                <w:kern w:val="2"/>
                <w:sz w:val="24"/>
                <w:szCs w:val="24"/>
                <w:highlight w:val="none"/>
              </w:rPr>
              <w:t>1</w:t>
            </w:r>
            <w:r>
              <w:rPr>
                <w:rFonts w:hint="eastAsia" w:ascii="宋体" w:hAnsi="宋体"/>
                <w:color w:val="auto"/>
                <w:w w:val="99"/>
                <w:kern w:val="2"/>
                <w:sz w:val="24"/>
                <w:szCs w:val="24"/>
                <w:highlight w:val="none"/>
              </w:rPr>
              <w:t>2</w:t>
            </w:r>
          </w:p>
        </w:tc>
        <w:tc>
          <w:tcPr>
            <w:tcW w:w="1407" w:type="dxa"/>
            <w:tcBorders>
              <w:top w:val="single" w:color="000000" w:sz="4" w:space="0"/>
              <w:left w:val="single" w:color="000000" w:sz="4" w:space="0"/>
              <w:bottom w:val="single" w:color="000000" w:sz="4" w:space="0"/>
              <w:right w:val="single" w:color="000000" w:sz="4" w:space="0"/>
            </w:tcBorders>
            <w:vAlign w:val="center"/>
          </w:tcPr>
          <w:p w14:paraId="252F5A49">
            <w:pPr>
              <w:pStyle w:val="59"/>
              <w:spacing w:before="81"/>
              <w:ind w:left="7"/>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w:t>
            </w:r>
            <w:r>
              <w:rPr>
                <w:rFonts w:hint="eastAsia" w:ascii="宋体" w:hAnsi="宋体" w:cs="宋体"/>
                <w:color w:val="auto"/>
                <w:spacing w:val="1"/>
                <w:w w:val="99"/>
                <w:kern w:val="2"/>
                <w:sz w:val="24"/>
                <w:szCs w:val="24"/>
                <w:highlight w:val="none"/>
              </w:rPr>
              <w:t>A020</w:t>
            </w:r>
            <w:r>
              <w:rPr>
                <w:rFonts w:hint="eastAsia" w:ascii="宋体" w:hAnsi="宋体" w:cs="宋体"/>
                <w:color w:val="auto"/>
                <w:w w:val="99"/>
                <w:kern w:val="2"/>
                <w:sz w:val="24"/>
                <w:szCs w:val="24"/>
                <w:highlight w:val="none"/>
              </w:rPr>
              <w:t>91000电视设备</w:t>
            </w:r>
          </w:p>
        </w:tc>
        <w:tc>
          <w:tcPr>
            <w:tcW w:w="1546" w:type="dxa"/>
            <w:tcBorders>
              <w:top w:val="single" w:color="000000" w:sz="4" w:space="0"/>
              <w:left w:val="single" w:color="000000" w:sz="4" w:space="0"/>
              <w:bottom w:val="single" w:color="000000" w:sz="4" w:space="0"/>
              <w:right w:val="single" w:color="000000" w:sz="4" w:space="0"/>
            </w:tcBorders>
            <w:vAlign w:val="center"/>
          </w:tcPr>
          <w:p w14:paraId="24A77A30">
            <w:pPr>
              <w:pStyle w:val="59"/>
              <w:spacing w:before="81" w:line="276" w:lineRule="auto"/>
              <w:ind w:left="7" w:right="5"/>
              <w:jc w:val="center"/>
              <w:rPr>
                <w:rFonts w:ascii="宋体" w:hAnsi="宋体" w:cs="宋体"/>
                <w:color w:val="auto"/>
                <w:kern w:val="2"/>
                <w:sz w:val="24"/>
                <w:szCs w:val="24"/>
                <w:highlight w:val="none"/>
                <w:lang w:eastAsia="zh-CN"/>
              </w:rPr>
            </w:pPr>
            <w:r>
              <w:rPr>
                <w:rFonts w:hint="eastAsia" w:ascii="宋体" w:hAnsi="宋体" w:cs="宋体"/>
                <w:color w:val="auto"/>
                <w:spacing w:val="1"/>
                <w:w w:val="99"/>
                <w:kern w:val="2"/>
                <w:sz w:val="24"/>
                <w:szCs w:val="24"/>
                <w:highlight w:val="none"/>
                <w:lang w:eastAsia="zh-CN"/>
              </w:rPr>
              <w:t>A02</w:t>
            </w:r>
            <w:r>
              <w:rPr>
                <w:rFonts w:hint="eastAsia" w:ascii="宋体" w:hAnsi="宋体" w:cs="宋体"/>
                <w:color w:val="auto"/>
                <w:w w:val="99"/>
                <w:kern w:val="2"/>
                <w:sz w:val="24"/>
                <w:szCs w:val="24"/>
                <w:highlight w:val="none"/>
                <w:lang w:eastAsia="zh-CN"/>
              </w:rPr>
              <w:t>09</w:t>
            </w:r>
            <w:r>
              <w:rPr>
                <w:rFonts w:hint="eastAsia" w:ascii="宋体" w:hAnsi="宋体" w:cs="宋体"/>
                <w:color w:val="auto"/>
                <w:spacing w:val="1"/>
                <w:w w:val="99"/>
                <w:kern w:val="2"/>
                <w:sz w:val="24"/>
                <w:szCs w:val="24"/>
                <w:highlight w:val="none"/>
                <w:lang w:eastAsia="zh-CN"/>
              </w:rPr>
              <w:t>1</w:t>
            </w:r>
            <w:r>
              <w:rPr>
                <w:rFonts w:hint="eastAsia" w:ascii="宋体" w:hAnsi="宋体" w:cs="宋体"/>
                <w:color w:val="auto"/>
                <w:w w:val="99"/>
                <w:kern w:val="2"/>
                <w:sz w:val="24"/>
                <w:szCs w:val="24"/>
                <w:highlight w:val="none"/>
                <w:lang w:eastAsia="zh-CN"/>
              </w:rPr>
              <w:t>001普通电视设备（</w:t>
            </w:r>
            <w:r>
              <w:rPr>
                <w:rFonts w:hint="eastAsia" w:ascii="宋体" w:hAnsi="宋体" w:cs="宋体"/>
                <w:color w:val="auto"/>
                <w:spacing w:val="2"/>
                <w:w w:val="99"/>
                <w:kern w:val="2"/>
                <w:sz w:val="24"/>
                <w:szCs w:val="24"/>
                <w:highlight w:val="none"/>
                <w:lang w:eastAsia="zh-CN"/>
              </w:rPr>
              <w:t>电</w:t>
            </w:r>
            <w:r>
              <w:rPr>
                <w:rFonts w:hint="eastAsia" w:ascii="宋体" w:hAnsi="宋体" w:cs="宋体"/>
                <w:color w:val="auto"/>
                <w:w w:val="99"/>
                <w:kern w:val="2"/>
                <w:sz w:val="24"/>
                <w:szCs w:val="24"/>
                <w:highlight w:val="none"/>
                <w:lang w:eastAsia="zh-CN"/>
              </w:rPr>
              <w:t>视机）</w:t>
            </w:r>
          </w:p>
        </w:tc>
        <w:tc>
          <w:tcPr>
            <w:tcW w:w="1536" w:type="dxa"/>
            <w:tcBorders>
              <w:top w:val="single" w:color="000000" w:sz="4" w:space="0"/>
              <w:left w:val="single" w:color="000000" w:sz="4" w:space="0"/>
              <w:bottom w:val="single" w:color="000000" w:sz="4" w:space="0"/>
              <w:right w:val="single" w:color="000000" w:sz="4" w:space="0"/>
            </w:tcBorders>
            <w:vAlign w:val="center"/>
          </w:tcPr>
          <w:p w14:paraId="48074AD8">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5ACF1E47">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（GB24850）</w:t>
            </w:r>
          </w:p>
        </w:tc>
      </w:tr>
      <w:tr w14:paraId="0ECA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Borders>
              <w:top w:val="single" w:color="000000" w:sz="4" w:space="0"/>
              <w:left w:val="single" w:color="000000" w:sz="4" w:space="0"/>
              <w:bottom w:val="single" w:color="000000" w:sz="4" w:space="0"/>
              <w:right w:val="single" w:color="000000" w:sz="4" w:space="0"/>
            </w:tcBorders>
            <w:vAlign w:val="center"/>
          </w:tcPr>
          <w:p w14:paraId="0961741C">
            <w:pPr>
              <w:pStyle w:val="59"/>
              <w:jc w:val="center"/>
              <w:rPr>
                <w:rFonts w:ascii="宋体" w:hAnsi="宋体" w:cs="宋体"/>
                <w:color w:val="auto"/>
                <w:kern w:val="2"/>
                <w:sz w:val="24"/>
                <w:szCs w:val="24"/>
                <w:highlight w:val="none"/>
              </w:rPr>
            </w:pPr>
            <w:r>
              <w:rPr>
                <w:rFonts w:hint="eastAsia" w:ascii="宋体" w:hAnsi="宋体"/>
                <w:color w:val="auto"/>
                <w:spacing w:val="1"/>
                <w:w w:val="99"/>
                <w:kern w:val="2"/>
                <w:sz w:val="24"/>
                <w:szCs w:val="24"/>
                <w:highlight w:val="none"/>
              </w:rPr>
              <w:t>1</w:t>
            </w:r>
            <w:r>
              <w:rPr>
                <w:rFonts w:hint="eastAsia" w:ascii="宋体" w:hAnsi="宋体"/>
                <w:color w:val="auto"/>
                <w:w w:val="99"/>
                <w:kern w:val="2"/>
                <w:sz w:val="24"/>
                <w:szCs w:val="24"/>
                <w:highlight w:val="none"/>
              </w:rPr>
              <w:t>3</w:t>
            </w:r>
          </w:p>
        </w:tc>
        <w:tc>
          <w:tcPr>
            <w:tcW w:w="1407" w:type="dxa"/>
            <w:tcBorders>
              <w:top w:val="single" w:color="000000" w:sz="4" w:space="0"/>
              <w:left w:val="single" w:color="000000" w:sz="4" w:space="0"/>
              <w:bottom w:val="single" w:color="000000" w:sz="4" w:space="0"/>
              <w:right w:val="single" w:color="000000" w:sz="4" w:space="0"/>
            </w:tcBorders>
            <w:vAlign w:val="center"/>
          </w:tcPr>
          <w:p w14:paraId="7AB011E3">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w:t>
            </w:r>
            <w:r>
              <w:rPr>
                <w:rFonts w:hint="eastAsia" w:ascii="宋体" w:hAnsi="宋体" w:cs="宋体"/>
                <w:color w:val="auto"/>
                <w:spacing w:val="1"/>
                <w:w w:val="99"/>
                <w:kern w:val="2"/>
                <w:sz w:val="24"/>
                <w:szCs w:val="24"/>
                <w:highlight w:val="none"/>
              </w:rPr>
              <w:t>A020</w:t>
            </w:r>
            <w:r>
              <w:rPr>
                <w:rFonts w:hint="eastAsia" w:ascii="宋体" w:hAnsi="宋体" w:cs="宋体"/>
                <w:color w:val="auto"/>
                <w:w w:val="99"/>
                <w:kern w:val="2"/>
                <w:sz w:val="24"/>
                <w:szCs w:val="24"/>
                <w:highlight w:val="none"/>
              </w:rPr>
              <w:t>91100视频设备</w:t>
            </w:r>
          </w:p>
        </w:tc>
        <w:tc>
          <w:tcPr>
            <w:tcW w:w="1546" w:type="dxa"/>
            <w:tcBorders>
              <w:top w:val="single" w:color="000000" w:sz="4" w:space="0"/>
              <w:left w:val="single" w:color="000000" w:sz="4" w:space="0"/>
              <w:bottom w:val="single" w:color="000000" w:sz="4" w:space="0"/>
              <w:right w:val="single" w:color="000000" w:sz="4" w:space="0"/>
            </w:tcBorders>
            <w:vAlign w:val="center"/>
          </w:tcPr>
          <w:p w14:paraId="4FAB28C0">
            <w:pPr>
              <w:pStyle w:val="59"/>
              <w:spacing w:line="276" w:lineRule="auto"/>
              <w:ind w:right="5"/>
              <w:jc w:val="center"/>
              <w:rPr>
                <w:rFonts w:ascii="宋体" w:hAnsi="宋体" w:cs="宋体"/>
                <w:color w:val="auto"/>
                <w:kern w:val="2"/>
                <w:sz w:val="24"/>
                <w:szCs w:val="24"/>
                <w:highlight w:val="none"/>
              </w:rPr>
            </w:pPr>
            <w:r>
              <w:rPr>
                <w:rFonts w:hint="eastAsia" w:ascii="宋体" w:hAnsi="宋体" w:cs="宋体"/>
                <w:color w:val="auto"/>
                <w:spacing w:val="1"/>
                <w:w w:val="99"/>
                <w:kern w:val="2"/>
                <w:sz w:val="24"/>
                <w:szCs w:val="24"/>
                <w:highlight w:val="none"/>
              </w:rPr>
              <w:t>A02</w:t>
            </w:r>
            <w:r>
              <w:rPr>
                <w:rFonts w:hint="eastAsia" w:ascii="宋体" w:hAnsi="宋体" w:cs="宋体"/>
                <w:color w:val="auto"/>
                <w:w w:val="99"/>
                <w:kern w:val="2"/>
                <w:sz w:val="24"/>
                <w:szCs w:val="24"/>
                <w:highlight w:val="none"/>
              </w:rPr>
              <w:t>09</w:t>
            </w:r>
            <w:r>
              <w:rPr>
                <w:rFonts w:hint="eastAsia" w:ascii="宋体" w:hAnsi="宋体" w:cs="宋体"/>
                <w:color w:val="auto"/>
                <w:spacing w:val="1"/>
                <w:w w:val="99"/>
                <w:kern w:val="2"/>
                <w:sz w:val="24"/>
                <w:szCs w:val="24"/>
                <w:highlight w:val="none"/>
              </w:rPr>
              <w:t>1</w:t>
            </w:r>
            <w:r>
              <w:rPr>
                <w:rFonts w:hint="eastAsia" w:ascii="宋体" w:hAnsi="宋体" w:cs="宋体"/>
                <w:color w:val="auto"/>
                <w:w w:val="99"/>
                <w:kern w:val="2"/>
                <w:sz w:val="24"/>
                <w:szCs w:val="24"/>
                <w:highlight w:val="none"/>
              </w:rPr>
              <w:t>107视频监控设备</w:t>
            </w:r>
          </w:p>
        </w:tc>
        <w:tc>
          <w:tcPr>
            <w:tcW w:w="1536" w:type="dxa"/>
            <w:tcBorders>
              <w:top w:val="single" w:color="000000" w:sz="4" w:space="0"/>
              <w:left w:val="single" w:color="000000" w:sz="4" w:space="0"/>
              <w:bottom w:val="single" w:color="000000" w:sz="4" w:space="0"/>
              <w:right w:val="single" w:color="000000" w:sz="4" w:space="0"/>
            </w:tcBorders>
            <w:vAlign w:val="center"/>
          </w:tcPr>
          <w:p w14:paraId="74472E2E">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监视器</w:t>
            </w:r>
          </w:p>
        </w:tc>
        <w:tc>
          <w:tcPr>
            <w:tcW w:w="3452" w:type="dxa"/>
            <w:tcBorders>
              <w:top w:val="single" w:color="000000" w:sz="4" w:space="0"/>
              <w:left w:val="single" w:color="000000" w:sz="4" w:space="0"/>
              <w:bottom w:val="single" w:color="000000" w:sz="4" w:space="0"/>
              <w:right w:val="single" w:color="000000" w:sz="4" w:space="0"/>
            </w:tcBorders>
          </w:tcPr>
          <w:p w14:paraId="69C39225">
            <w:pPr>
              <w:pStyle w:val="59"/>
              <w:spacing w:before="131" w:line="276" w:lineRule="auto"/>
              <w:ind w:left="7" w:right="4"/>
              <w:rPr>
                <w:rFonts w:ascii="宋体" w:hAnsi="宋体" w:cs="宋体"/>
                <w:color w:val="auto"/>
                <w:spacing w:val="10"/>
                <w:kern w:val="2"/>
                <w:sz w:val="24"/>
                <w:szCs w:val="24"/>
                <w:highlight w:val="none"/>
                <w:lang w:eastAsia="zh-CN"/>
              </w:rPr>
            </w:pPr>
            <w:r>
              <w:rPr>
                <w:rFonts w:hint="eastAsia" w:ascii="宋体" w:hAnsi="宋体" w:cs="宋体"/>
                <w:color w:val="auto"/>
                <w:spacing w:val="10"/>
                <w:kern w:val="2"/>
                <w:sz w:val="24"/>
                <w:szCs w:val="24"/>
                <w:highlight w:val="none"/>
                <w:lang w:eastAsia="zh-CN"/>
              </w:rPr>
              <w:t>以射频信号为主要信号输入的监视器应符合（GB24850），以数字信号为主要信号输入的监视器应符合《计算机显示器能效限定值及能效等级》（GB21520）</w:t>
            </w:r>
          </w:p>
        </w:tc>
      </w:tr>
      <w:tr w14:paraId="7ACC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Borders>
              <w:top w:val="single" w:color="000000" w:sz="4" w:space="0"/>
              <w:left w:val="single" w:color="000000" w:sz="4" w:space="0"/>
              <w:bottom w:val="single" w:color="000000" w:sz="4" w:space="0"/>
              <w:right w:val="single" w:color="000000" w:sz="4" w:space="0"/>
            </w:tcBorders>
            <w:vAlign w:val="center"/>
          </w:tcPr>
          <w:p w14:paraId="0A354B23">
            <w:pPr>
              <w:pStyle w:val="59"/>
              <w:jc w:val="center"/>
              <w:rPr>
                <w:rFonts w:ascii="宋体" w:hAnsi="宋体" w:cs="宋体"/>
                <w:color w:val="auto"/>
                <w:kern w:val="2"/>
                <w:sz w:val="24"/>
                <w:szCs w:val="24"/>
                <w:highlight w:val="none"/>
              </w:rPr>
            </w:pPr>
            <w:r>
              <w:rPr>
                <w:rFonts w:hint="eastAsia" w:ascii="宋体" w:hAnsi="宋体"/>
                <w:color w:val="auto"/>
                <w:spacing w:val="1"/>
                <w:w w:val="99"/>
                <w:kern w:val="2"/>
                <w:sz w:val="24"/>
                <w:szCs w:val="24"/>
                <w:highlight w:val="none"/>
              </w:rPr>
              <w:t>1</w:t>
            </w:r>
            <w:r>
              <w:rPr>
                <w:rFonts w:hint="eastAsia" w:ascii="宋体" w:hAnsi="宋体"/>
                <w:color w:val="auto"/>
                <w:w w:val="99"/>
                <w:kern w:val="2"/>
                <w:sz w:val="24"/>
                <w:szCs w:val="24"/>
                <w:highlight w:val="none"/>
              </w:rPr>
              <w:t>4</w:t>
            </w:r>
          </w:p>
        </w:tc>
        <w:tc>
          <w:tcPr>
            <w:tcW w:w="1407" w:type="dxa"/>
            <w:tcBorders>
              <w:top w:val="single" w:color="000000" w:sz="4" w:space="0"/>
              <w:left w:val="single" w:color="000000" w:sz="4" w:space="0"/>
              <w:bottom w:val="single" w:color="000000" w:sz="4" w:space="0"/>
              <w:right w:val="single" w:color="000000" w:sz="4" w:space="0"/>
            </w:tcBorders>
            <w:vAlign w:val="center"/>
          </w:tcPr>
          <w:p w14:paraId="39903E3B">
            <w:pPr>
              <w:pStyle w:val="59"/>
              <w:spacing w:before="76"/>
              <w:ind w:left="7"/>
              <w:jc w:val="center"/>
              <w:rPr>
                <w:rFonts w:ascii="宋体" w:hAnsi="宋体" w:cs="宋体"/>
                <w:color w:val="auto"/>
                <w:kern w:val="2"/>
                <w:sz w:val="24"/>
                <w:szCs w:val="24"/>
                <w:highlight w:val="none"/>
              </w:rPr>
            </w:pPr>
            <w:r>
              <w:rPr>
                <w:rFonts w:hint="eastAsia" w:ascii="宋体" w:hAnsi="宋体" w:cs="仿宋_GB2312"/>
                <w:color w:val="auto"/>
                <w:kern w:val="2"/>
                <w:sz w:val="24"/>
                <w:szCs w:val="24"/>
                <w:highlight w:val="none"/>
              </w:rPr>
              <w:t>A02241000</w:t>
            </w:r>
            <w:r>
              <w:rPr>
                <w:rFonts w:hint="eastAsia" w:ascii="宋体" w:hAnsi="宋体" w:cs="宋体"/>
                <w:color w:val="auto"/>
                <w:w w:val="99"/>
                <w:kern w:val="2"/>
                <w:sz w:val="24"/>
                <w:szCs w:val="24"/>
                <w:highlight w:val="none"/>
              </w:rPr>
              <w:t>饮食炊事机械</w:t>
            </w:r>
          </w:p>
        </w:tc>
        <w:tc>
          <w:tcPr>
            <w:tcW w:w="1546" w:type="dxa"/>
            <w:tcBorders>
              <w:top w:val="single" w:color="000000" w:sz="4" w:space="0"/>
              <w:left w:val="single" w:color="000000" w:sz="4" w:space="0"/>
              <w:bottom w:val="single" w:color="000000" w:sz="4" w:space="0"/>
              <w:right w:val="single" w:color="000000" w:sz="4" w:space="0"/>
            </w:tcBorders>
            <w:vAlign w:val="center"/>
          </w:tcPr>
          <w:p w14:paraId="6DB01FF8">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商用燃</w:t>
            </w:r>
            <w:r>
              <w:rPr>
                <w:rFonts w:hint="eastAsia" w:ascii="宋体" w:hAnsi="宋体" w:cs="宋体"/>
                <w:color w:val="auto"/>
                <w:spacing w:val="2"/>
                <w:w w:val="99"/>
                <w:kern w:val="2"/>
                <w:sz w:val="24"/>
                <w:szCs w:val="24"/>
                <w:highlight w:val="none"/>
              </w:rPr>
              <w:t>气</w:t>
            </w:r>
            <w:r>
              <w:rPr>
                <w:rFonts w:hint="eastAsia" w:ascii="宋体" w:hAnsi="宋体" w:cs="宋体"/>
                <w:color w:val="auto"/>
                <w:w w:val="99"/>
                <w:kern w:val="2"/>
                <w:sz w:val="24"/>
                <w:szCs w:val="24"/>
                <w:highlight w:val="none"/>
              </w:rPr>
              <w:t>灶具</w:t>
            </w:r>
          </w:p>
        </w:tc>
        <w:tc>
          <w:tcPr>
            <w:tcW w:w="1536" w:type="dxa"/>
            <w:tcBorders>
              <w:top w:val="single" w:color="000000" w:sz="4" w:space="0"/>
              <w:left w:val="single" w:color="000000" w:sz="4" w:space="0"/>
              <w:bottom w:val="single" w:color="000000" w:sz="4" w:space="0"/>
              <w:right w:val="single" w:color="000000" w:sz="4" w:space="0"/>
            </w:tcBorders>
            <w:vAlign w:val="center"/>
          </w:tcPr>
          <w:p w14:paraId="18C75253">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31ADFCEA">
            <w:pPr>
              <w:pStyle w:val="59"/>
              <w:spacing w:before="131" w:line="276" w:lineRule="auto"/>
              <w:ind w:left="7" w:right="4"/>
              <w:rPr>
                <w:rFonts w:ascii="宋体" w:hAnsi="宋体" w:cs="宋体"/>
                <w:color w:val="auto"/>
                <w:kern w:val="2"/>
                <w:sz w:val="24"/>
                <w:szCs w:val="24"/>
                <w:highlight w:val="none"/>
                <w:lang w:eastAsia="zh-CN"/>
              </w:rPr>
            </w:pPr>
            <w:r>
              <w:rPr>
                <w:rFonts w:hint="eastAsia" w:ascii="宋体" w:hAnsi="宋体" w:cs="宋体"/>
                <w:color w:val="auto"/>
                <w:kern w:val="2"/>
                <w:sz w:val="24"/>
                <w:szCs w:val="24"/>
                <w:highlight w:val="none"/>
                <w:lang w:eastAsia="zh-CN"/>
              </w:rPr>
              <w:t>《商用燃气灶具能效限定值及能效等级》（GB30531）</w:t>
            </w:r>
          </w:p>
        </w:tc>
      </w:tr>
      <w:tr w14:paraId="3B53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restart"/>
            <w:tcBorders>
              <w:top w:val="single" w:color="000000" w:sz="4" w:space="0"/>
              <w:left w:val="single" w:color="000000" w:sz="4" w:space="0"/>
              <w:bottom w:val="single" w:color="000000" w:sz="4" w:space="0"/>
              <w:right w:val="single" w:color="000000" w:sz="4" w:space="0"/>
            </w:tcBorders>
            <w:vAlign w:val="center"/>
          </w:tcPr>
          <w:p w14:paraId="100F5EFC">
            <w:pPr>
              <w:jc w:val="center"/>
              <w:rPr>
                <w:rFonts w:ascii="宋体" w:hAnsi="宋体"/>
                <w:color w:val="auto"/>
                <w:sz w:val="24"/>
                <w:highlight w:val="none"/>
              </w:rPr>
            </w:pPr>
            <w:r>
              <w:rPr>
                <w:rFonts w:hint="eastAsia" w:ascii="宋体" w:hAnsi="宋体"/>
                <w:color w:val="auto"/>
                <w:sz w:val="24"/>
                <w:highlight w:val="none"/>
              </w:rPr>
              <w:t>15</w:t>
            </w:r>
          </w:p>
        </w:tc>
        <w:tc>
          <w:tcPr>
            <w:tcW w:w="1407" w:type="dxa"/>
            <w:vMerge w:val="restart"/>
            <w:tcBorders>
              <w:top w:val="single" w:color="000000" w:sz="4" w:space="0"/>
              <w:left w:val="single" w:color="000000" w:sz="4" w:space="0"/>
              <w:bottom w:val="single" w:color="000000" w:sz="4" w:space="0"/>
              <w:right w:val="single" w:color="000000" w:sz="4" w:space="0"/>
            </w:tcBorders>
            <w:vAlign w:val="center"/>
          </w:tcPr>
          <w:p w14:paraId="38BB912F">
            <w:pPr>
              <w:pStyle w:val="59"/>
              <w:jc w:val="center"/>
              <w:rPr>
                <w:rFonts w:ascii="宋体" w:hAnsi="宋体" w:cs="宋体"/>
                <w:color w:val="auto"/>
                <w:w w:val="99"/>
                <w:kern w:val="2"/>
                <w:sz w:val="24"/>
                <w:szCs w:val="24"/>
                <w:highlight w:val="none"/>
              </w:rPr>
            </w:pPr>
            <w:r>
              <w:rPr>
                <w:rFonts w:hint="eastAsia" w:ascii="宋体" w:hAnsi="宋体" w:cs="宋体"/>
                <w:color w:val="auto"/>
                <w:w w:val="99"/>
                <w:kern w:val="2"/>
                <w:sz w:val="24"/>
                <w:szCs w:val="24"/>
                <w:highlight w:val="none"/>
              </w:rPr>
              <w:t>★</w:t>
            </w:r>
            <w:r>
              <w:rPr>
                <w:rFonts w:hint="eastAsia" w:ascii="宋体" w:hAnsi="宋体" w:cs="仿宋_GB2312"/>
                <w:color w:val="auto"/>
                <w:kern w:val="2"/>
                <w:sz w:val="24"/>
                <w:szCs w:val="24"/>
                <w:highlight w:val="none"/>
              </w:rPr>
              <w:t>A05020105</w:t>
            </w:r>
            <w:r>
              <w:rPr>
                <w:rFonts w:hint="eastAsia" w:ascii="宋体" w:hAnsi="宋体" w:cs="宋体"/>
                <w:color w:val="auto"/>
                <w:w w:val="99"/>
                <w:kern w:val="2"/>
                <w:sz w:val="24"/>
                <w:szCs w:val="24"/>
                <w:highlight w:val="none"/>
              </w:rPr>
              <w:t>便器</w:t>
            </w:r>
          </w:p>
        </w:tc>
        <w:tc>
          <w:tcPr>
            <w:tcW w:w="1546" w:type="dxa"/>
            <w:tcBorders>
              <w:top w:val="single" w:color="000000" w:sz="4" w:space="0"/>
              <w:left w:val="single" w:color="000000" w:sz="4" w:space="0"/>
              <w:bottom w:val="single" w:color="000000" w:sz="4" w:space="0"/>
              <w:right w:val="single" w:color="000000" w:sz="4" w:space="0"/>
            </w:tcBorders>
            <w:vAlign w:val="center"/>
          </w:tcPr>
          <w:p w14:paraId="0EBD954A">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坐便器</w:t>
            </w:r>
          </w:p>
        </w:tc>
        <w:tc>
          <w:tcPr>
            <w:tcW w:w="1536" w:type="dxa"/>
            <w:tcBorders>
              <w:top w:val="single" w:color="000000" w:sz="4" w:space="0"/>
              <w:left w:val="single" w:color="000000" w:sz="4" w:space="0"/>
              <w:bottom w:val="single" w:color="000000" w:sz="4" w:space="0"/>
              <w:right w:val="single" w:color="000000" w:sz="4" w:space="0"/>
            </w:tcBorders>
            <w:vAlign w:val="center"/>
          </w:tcPr>
          <w:p w14:paraId="1A14E9DD">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2F5C7CAE">
            <w:pPr>
              <w:pStyle w:val="59"/>
              <w:spacing w:before="131" w:line="276" w:lineRule="auto"/>
              <w:ind w:left="7" w:right="4"/>
              <w:rPr>
                <w:rFonts w:ascii="宋体" w:hAnsi="宋体" w:cs="宋体"/>
                <w:color w:val="auto"/>
                <w:kern w:val="2"/>
                <w:sz w:val="24"/>
                <w:szCs w:val="24"/>
                <w:highlight w:val="none"/>
                <w:lang w:eastAsia="zh-CN"/>
              </w:rPr>
            </w:pPr>
            <w:r>
              <w:rPr>
                <w:rFonts w:hint="eastAsia" w:ascii="宋体" w:hAnsi="宋体" w:cs="宋体"/>
                <w:color w:val="auto"/>
                <w:kern w:val="2"/>
                <w:sz w:val="24"/>
                <w:szCs w:val="24"/>
                <w:highlight w:val="none"/>
                <w:lang w:eastAsia="zh-CN"/>
              </w:rPr>
              <w:t>《坐便器水效限定值及水效等级》</w:t>
            </w:r>
          </w:p>
          <w:p w14:paraId="0A27FE4C">
            <w:pPr>
              <w:pStyle w:val="59"/>
              <w:spacing w:before="131" w:line="276" w:lineRule="auto"/>
              <w:ind w:left="7" w:right="4"/>
              <w:rPr>
                <w:rFonts w:ascii="宋体" w:hAnsi="宋体" w:cs="宋体"/>
                <w:color w:val="auto"/>
                <w:kern w:val="2"/>
                <w:sz w:val="24"/>
                <w:szCs w:val="24"/>
                <w:highlight w:val="none"/>
                <w:lang w:eastAsia="zh-CN"/>
              </w:rPr>
            </w:pPr>
            <w:r>
              <w:rPr>
                <w:rFonts w:hint="eastAsia" w:ascii="宋体" w:hAnsi="宋体" w:cs="宋体"/>
                <w:color w:val="auto"/>
                <w:kern w:val="2"/>
                <w:sz w:val="24"/>
                <w:szCs w:val="24"/>
                <w:highlight w:val="none"/>
                <w:lang w:eastAsia="zh-CN"/>
              </w:rPr>
              <w:t>（GB25502）</w:t>
            </w:r>
          </w:p>
        </w:tc>
      </w:tr>
      <w:tr w14:paraId="26DB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0B09A56E">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0C1C2F0D">
            <w:pPr>
              <w:widowControl/>
              <w:jc w:val="left"/>
              <w:rPr>
                <w:rFonts w:ascii="宋体" w:hAnsi="宋体" w:cs="宋体"/>
                <w:color w:val="auto"/>
                <w:w w:val="99"/>
                <w:sz w:val="24"/>
                <w:highlight w:val="none"/>
                <w:lang w:eastAsia="en-US"/>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3045C124">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蹲便器</w:t>
            </w:r>
          </w:p>
        </w:tc>
        <w:tc>
          <w:tcPr>
            <w:tcW w:w="1536" w:type="dxa"/>
            <w:tcBorders>
              <w:top w:val="single" w:color="000000" w:sz="4" w:space="0"/>
              <w:left w:val="single" w:color="000000" w:sz="4" w:space="0"/>
              <w:bottom w:val="single" w:color="000000" w:sz="4" w:space="0"/>
              <w:right w:val="single" w:color="000000" w:sz="4" w:space="0"/>
            </w:tcBorders>
            <w:vAlign w:val="center"/>
          </w:tcPr>
          <w:p w14:paraId="7F0F5D7D">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0B827555">
            <w:pPr>
              <w:pStyle w:val="59"/>
              <w:spacing w:before="131" w:line="276" w:lineRule="auto"/>
              <w:ind w:left="7" w:right="4"/>
              <w:rPr>
                <w:rFonts w:ascii="宋体" w:hAnsi="宋体" w:cs="宋体"/>
                <w:color w:val="auto"/>
                <w:kern w:val="2"/>
                <w:sz w:val="24"/>
                <w:szCs w:val="24"/>
                <w:highlight w:val="none"/>
                <w:lang w:eastAsia="zh-CN"/>
              </w:rPr>
            </w:pPr>
            <w:r>
              <w:rPr>
                <w:rFonts w:hint="eastAsia" w:ascii="宋体" w:hAnsi="宋体" w:cs="宋体"/>
                <w:color w:val="auto"/>
                <w:kern w:val="2"/>
                <w:sz w:val="24"/>
                <w:szCs w:val="24"/>
                <w:highlight w:val="none"/>
                <w:lang w:eastAsia="zh-CN"/>
              </w:rPr>
              <w:t>《蹲便器用水效率限定值及用水效率等级》（GB30717）</w:t>
            </w:r>
          </w:p>
        </w:tc>
      </w:tr>
      <w:tr w14:paraId="30A8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top w:val="single" w:color="000000" w:sz="4" w:space="0"/>
              <w:left w:val="single" w:color="000000" w:sz="4" w:space="0"/>
              <w:bottom w:val="single" w:color="000000" w:sz="4" w:space="0"/>
              <w:right w:val="single" w:color="000000" w:sz="4" w:space="0"/>
            </w:tcBorders>
            <w:vAlign w:val="center"/>
          </w:tcPr>
          <w:p w14:paraId="5D401351">
            <w:pPr>
              <w:widowControl/>
              <w:jc w:val="left"/>
              <w:rPr>
                <w:rFonts w:ascii="宋体" w:hAnsi="宋体"/>
                <w:color w:val="auto"/>
                <w:sz w:val="24"/>
                <w:highlight w:val="none"/>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14:paraId="7E31FB30">
            <w:pPr>
              <w:widowControl/>
              <w:jc w:val="left"/>
              <w:rPr>
                <w:rFonts w:ascii="宋体" w:hAnsi="宋体" w:cs="宋体"/>
                <w:color w:val="auto"/>
                <w:w w:val="99"/>
                <w:sz w:val="24"/>
                <w:highlight w:val="none"/>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5E7E6ECD">
            <w:pPr>
              <w:pStyle w:val="59"/>
              <w:jc w:val="center"/>
              <w:rPr>
                <w:rFonts w:ascii="宋体" w:hAnsi="宋体" w:cs="宋体"/>
                <w:color w:val="auto"/>
                <w:kern w:val="2"/>
                <w:sz w:val="24"/>
                <w:szCs w:val="24"/>
                <w:highlight w:val="none"/>
              </w:rPr>
            </w:pPr>
            <w:r>
              <w:rPr>
                <w:rFonts w:hint="eastAsia" w:ascii="宋体" w:hAnsi="宋体" w:cs="宋体"/>
                <w:color w:val="auto"/>
                <w:w w:val="99"/>
                <w:kern w:val="2"/>
                <w:sz w:val="24"/>
                <w:szCs w:val="24"/>
                <w:highlight w:val="none"/>
              </w:rPr>
              <w:t>小便器</w:t>
            </w:r>
          </w:p>
        </w:tc>
        <w:tc>
          <w:tcPr>
            <w:tcW w:w="1536" w:type="dxa"/>
            <w:tcBorders>
              <w:top w:val="single" w:color="000000" w:sz="4" w:space="0"/>
              <w:left w:val="single" w:color="000000" w:sz="4" w:space="0"/>
              <w:bottom w:val="single" w:color="000000" w:sz="4" w:space="0"/>
              <w:right w:val="single" w:color="000000" w:sz="4" w:space="0"/>
            </w:tcBorders>
            <w:vAlign w:val="center"/>
          </w:tcPr>
          <w:p w14:paraId="336D8CCF">
            <w:pPr>
              <w:jc w:val="center"/>
              <w:rPr>
                <w:rFonts w:ascii="宋体" w:hAnsi="宋体"/>
                <w:color w:val="auto"/>
                <w:sz w:val="24"/>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0CBFAEFA">
            <w:pPr>
              <w:pStyle w:val="59"/>
              <w:spacing w:before="131" w:line="276" w:lineRule="auto"/>
              <w:ind w:left="7" w:right="4"/>
              <w:rPr>
                <w:rFonts w:ascii="宋体" w:hAnsi="宋体" w:cs="宋体"/>
                <w:color w:val="auto"/>
                <w:kern w:val="2"/>
                <w:sz w:val="24"/>
                <w:szCs w:val="24"/>
                <w:highlight w:val="none"/>
                <w:lang w:eastAsia="zh-CN"/>
              </w:rPr>
            </w:pPr>
            <w:r>
              <w:rPr>
                <w:rFonts w:hint="eastAsia" w:ascii="宋体" w:hAnsi="宋体" w:cs="宋体"/>
                <w:color w:val="auto"/>
                <w:kern w:val="2"/>
                <w:sz w:val="24"/>
                <w:szCs w:val="24"/>
                <w:highlight w:val="none"/>
                <w:lang w:eastAsia="zh-CN"/>
              </w:rPr>
              <w:t>《小便器用水效率限定值及用水效率等级》（GB28377）</w:t>
            </w:r>
          </w:p>
        </w:tc>
      </w:tr>
      <w:tr w14:paraId="5713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Borders>
              <w:top w:val="single" w:color="000000" w:sz="4" w:space="0"/>
              <w:left w:val="single" w:color="000000" w:sz="4" w:space="0"/>
              <w:bottom w:val="single" w:color="000000" w:sz="4" w:space="0"/>
              <w:right w:val="single" w:color="000000" w:sz="4" w:space="0"/>
            </w:tcBorders>
            <w:vAlign w:val="center"/>
          </w:tcPr>
          <w:p w14:paraId="49A23154">
            <w:pPr>
              <w:pStyle w:val="59"/>
              <w:jc w:val="center"/>
              <w:rPr>
                <w:rFonts w:ascii="宋体" w:hAnsi="宋体" w:cs="宋体"/>
                <w:color w:val="auto"/>
                <w:kern w:val="2"/>
                <w:sz w:val="24"/>
                <w:szCs w:val="24"/>
                <w:highlight w:val="none"/>
              </w:rPr>
            </w:pPr>
            <w:r>
              <w:rPr>
                <w:rFonts w:hint="eastAsia" w:ascii="宋体" w:hAnsi="宋体"/>
                <w:color w:val="auto"/>
                <w:kern w:val="2"/>
                <w:sz w:val="24"/>
                <w:szCs w:val="24"/>
                <w:highlight w:val="none"/>
              </w:rPr>
              <w:t>16</w:t>
            </w:r>
          </w:p>
        </w:tc>
        <w:tc>
          <w:tcPr>
            <w:tcW w:w="1407" w:type="dxa"/>
            <w:tcBorders>
              <w:top w:val="single" w:color="000000" w:sz="4" w:space="0"/>
              <w:left w:val="single" w:color="000000" w:sz="4" w:space="0"/>
              <w:bottom w:val="single" w:color="000000" w:sz="4" w:space="0"/>
              <w:right w:val="single" w:color="000000" w:sz="4" w:space="0"/>
            </w:tcBorders>
            <w:vAlign w:val="center"/>
          </w:tcPr>
          <w:p w14:paraId="6E4B4226">
            <w:pPr>
              <w:pStyle w:val="59"/>
              <w:spacing w:before="153"/>
              <w:ind w:left="7"/>
              <w:jc w:val="center"/>
              <w:rPr>
                <w:rFonts w:ascii="宋体" w:hAnsi="宋体" w:cs="宋体"/>
                <w:color w:val="auto"/>
                <w:kern w:val="2"/>
                <w:sz w:val="24"/>
                <w:szCs w:val="24"/>
                <w:highlight w:val="none"/>
              </w:rPr>
            </w:pPr>
            <w:r>
              <w:rPr>
                <w:rFonts w:hint="eastAsia" w:ascii="宋体" w:hAnsi="宋体" w:cs="宋体"/>
                <w:color w:val="auto"/>
                <w:kern w:val="2"/>
                <w:sz w:val="24"/>
                <w:szCs w:val="24"/>
                <w:highlight w:val="none"/>
              </w:rPr>
              <w:t>★</w:t>
            </w:r>
            <w:r>
              <w:rPr>
                <w:rFonts w:hint="eastAsia" w:ascii="宋体" w:hAnsi="宋体" w:cs="仿宋_GB2312"/>
                <w:color w:val="auto"/>
                <w:kern w:val="2"/>
                <w:sz w:val="24"/>
                <w:szCs w:val="24"/>
                <w:highlight w:val="none"/>
              </w:rPr>
              <w:t>A05020106</w:t>
            </w:r>
            <w:r>
              <w:rPr>
                <w:rFonts w:hint="eastAsia" w:ascii="宋体" w:hAnsi="宋体" w:cs="宋体"/>
                <w:color w:val="auto"/>
                <w:kern w:val="2"/>
                <w:sz w:val="24"/>
                <w:szCs w:val="24"/>
                <w:highlight w:val="none"/>
              </w:rPr>
              <w:t>水</w:t>
            </w:r>
            <w:r>
              <w:rPr>
                <w:rFonts w:hint="eastAsia" w:ascii="宋体" w:hAnsi="宋体" w:cs="宋体"/>
                <w:color w:val="auto"/>
                <w:w w:val="99"/>
                <w:kern w:val="2"/>
                <w:sz w:val="24"/>
                <w:szCs w:val="24"/>
                <w:highlight w:val="none"/>
              </w:rPr>
              <w:t>嘴</w:t>
            </w:r>
          </w:p>
        </w:tc>
        <w:tc>
          <w:tcPr>
            <w:tcW w:w="1546" w:type="dxa"/>
            <w:tcBorders>
              <w:top w:val="single" w:color="000000" w:sz="4" w:space="0"/>
              <w:left w:val="single" w:color="000000" w:sz="4" w:space="0"/>
              <w:bottom w:val="single" w:color="000000" w:sz="4" w:space="0"/>
              <w:right w:val="single" w:color="000000" w:sz="4" w:space="0"/>
            </w:tcBorders>
            <w:vAlign w:val="center"/>
          </w:tcPr>
          <w:p w14:paraId="58359574">
            <w:pPr>
              <w:jc w:val="center"/>
              <w:rPr>
                <w:rFonts w:ascii="宋体" w:hAnsi="宋体"/>
                <w:color w:val="auto"/>
                <w:sz w:val="24"/>
                <w:highlight w:val="none"/>
                <w:lang w:eastAsia="en-US"/>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1AB3617A">
            <w:pPr>
              <w:jc w:val="center"/>
              <w:rPr>
                <w:rFonts w:ascii="宋体" w:hAnsi="宋体"/>
                <w:color w:val="auto"/>
                <w:sz w:val="24"/>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6EAF5318">
            <w:pPr>
              <w:pStyle w:val="59"/>
              <w:spacing w:before="153" w:line="276" w:lineRule="auto"/>
              <w:ind w:left="7" w:right="4"/>
              <w:rPr>
                <w:rFonts w:ascii="宋体" w:hAnsi="宋体" w:cs="宋体"/>
                <w:color w:val="auto"/>
                <w:kern w:val="2"/>
                <w:sz w:val="24"/>
                <w:szCs w:val="24"/>
                <w:highlight w:val="none"/>
                <w:lang w:eastAsia="zh-CN"/>
              </w:rPr>
            </w:pPr>
            <w:r>
              <w:rPr>
                <w:rFonts w:hint="eastAsia" w:ascii="宋体" w:hAnsi="宋体" w:cs="宋体"/>
                <w:color w:val="auto"/>
                <w:spacing w:val="10"/>
                <w:kern w:val="2"/>
                <w:sz w:val="24"/>
                <w:szCs w:val="24"/>
                <w:highlight w:val="none"/>
                <w:lang w:eastAsia="zh-CN"/>
              </w:rPr>
              <w:t>《水嘴用水效率限定值及用水效</w:t>
            </w:r>
            <w:r>
              <w:rPr>
                <w:rFonts w:hint="eastAsia" w:ascii="宋体" w:hAnsi="宋体" w:cs="宋体"/>
                <w:color w:val="auto"/>
                <w:kern w:val="2"/>
                <w:sz w:val="24"/>
                <w:szCs w:val="24"/>
                <w:highlight w:val="none"/>
                <w:lang w:eastAsia="zh-CN"/>
              </w:rPr>
              <w:t>率等级》（GB 25501）</w:t>
            </w:r>
          </w:p>
        </w:tc>
      </w:tr>
      <w:tr w14:paraId="45BB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Borders>
              <w:top w:val="single" w:color="000000" w:sz="4" w:space="0"/>
              <w:left w:val="single" w:color="000000" w:sz="4" w:space="0"/>
              <w:bottom w:val="single" w:color="000000" w:sz="4" w:space="0"/>
              <w:right w:val="single" w:color="000000" w:sz="4" w:space="0"/>
            </w:tcBorders>
            <w:vAlign w:val="center"/>
          </w:tcPr>
          <w:p w14:paraId="2915F0BF">
            <w:pPr>
              <w:pStyle w:val="59"/>
              <w:jc w:val="center"/>
              <w:rPr>
                <w:rFonts w:ascii="宋体" w:hAnsi="宋体" w:cs="宋体"/>
                <w:color w:val="auto"/>
                <w:kern w:val="2"/>
                <w:sz w:val="24"/>
                <w:szCs w:val="24"/>
                <w:highlight w:val="none"/>
              </w:rPr>
            </w:pPr>
            <w:r>
              <w:rPr>
                <w:rFonts w:hint="eastAsia" w:ascii="宋体" w:hAnsi="宋体"/>
                <w:color w:val="auto"/>
                <w:kern w:val="2"/>
                <w:sz w:val="24"/>
                <w:szCs w:val="24"/>
                <w:highlight w:val="none"/>
              </w:rPr>
              <w:t>17</w:t>
            </w:r>
          </w:p>
        </w:tc>
        <w:tc>
          <w:tcPr>
            <w:tcW w:w="1407" w:type="dxa"/>
            <w:tcBorders>
              <w:top w:val="single" w:color="000000" w:sz="4" w:space="0"/>
              <w:left w:val="single" w:color="000000" w:sz="4" w:space="0"/>
              <w:bottom w:val="single" w:color="000000" w:sz="4" w:space="0"/>
              <w:right w:val="single" w:color="000000" w:sz="4" w:space="0"/>
            </w:tcBorders>
            <w:vAlign w:val="center"/>
          </w:tcPr>
          <w:p w14:paraId="49C18EA0">
            <w:pPr>
              <w:pStyle w:val="59"/>
              <w:spacing w:before="112"/>
              <w:ind w:left="7"/>
              <w:jc w:val="center"/>
              <w:rPr>
                <w:rFonts w:ascii="宋体" w:hAnsi="宋体" w:cs="宋体"/>
                <w:color w:val="auto"/>
                <w:kern w:val="2"/>
                <w:sz w:val="24"/>
                <w:szCs w:val="24"/>
                <w:highlight w:val="none"/>
              </w:rPr>
            </w:pPr>
            <w:r>
              <w:rPr>
                <w:rFonts w:hint="eastAsia" w:ascii="宋体" w:hAnsi="宋体" w:cs="仿宋_GB2312"/>
                <w:color w:val="auto"/>
                <w:kern w:val="2"/>
                <w:sz w:val="24"/>
                <w:szCs w:val="24"/>
                <w:highlight w:val="none"/>
              </w:rPr>
              <w:t>A05020107</w:t>
            </w:r>
            <w:r>
              <w:rPr>
                <w:rFonts w:hint="eastAsia" w:ascii="宋体" w:hAnsi="宋体" w:cs="宋体"/>
                <w:color w:val="auto"/>
                <w:kern w:val="2"/>
                <w:sz w:val="24"/>
                <w:szCs w:val="24"/>
                <w:highlight w:val="none"/>
              </w:rPr>
              <w:t>便器冲洗阀</w:t>
            </w:r>
          </w:p>
        </w:tc>
        <w:tc>
          <w:tcPr>
            <w:tcW w:w="1546" w:type="dxa"/>
            <w:tcBorders>
              <w:top w:val="single" w:color="000000" w:sz="4" w:space="0"/>
              <w:left w:val="single" w:color="000000" w:sz="4" w:space="0"/>
              <w:bottom w:val="single" w:color="000000" w:sz="4" w:space="0"/>
              <w:right w:val="single" w:color="000000" w:sz="4" w:space="0"/>
            </w:tcBorders>
            <w:vAlign w:val="center"/>
          </w:tcPr>
          <w:p w14:paraId="218975A8">
            <w:pPr>
              <w:jc w:val="center"/>
              <w:rPr>
                <w:rFonts w:ascii="宋体" w:hAnsi="宋体"/>
                <w:color w:val="auto"/>
                <w:sz w:val="24"/>
                <w:highlight w:val="none"/>
                <w:lang w:eastAsia="en-US"/>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3173663B">
            <w:pPr>
              <w:jc w:val="center"/>
              <w:rPr>
                <w:rFonts w:ascii="宋体" w:hAnsi="宋体"/>
                <w:color w:val="auto"/>
                <w:sz w:val="24"/>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3325A1C1">
            <w:pPr>
              <w:pStyle w:val="59"/>
              <w:spacing w:before="112" w:line="276" w:lineRule="auto"/>
              <w:ind w:left="7" w:right="4"/>
              <w:rPr>
                <w:rFonts w:ascii="宋体" w:hAnsi="宋体" w:cs="宋体"/>
                <w:color w:val="auto"/>
                <w:kern w:val="2"/>
                <w:sz w:val="24"/>
                <w:szCs w:val="24"/>
                <w:highlight w:val="none"/>
                <w:lang w:eastAsia="zh-CN"/>
              </w:rPr>
            </w:pPr>
            <w:r>
              <w:rPr>
                <w:rFonts w:hint="eastAsia" w:ascii="宋体" w:hAnsi="宋体" w:cs="宋体"/>
                <w:color w:val="auto"/>
                <w:spacing w:val="10"/>
                <w:kern w:val="2"/>
                <w:sz w:val="24"/>
                <w:szCs w:val="24"/>
                <w:highlight w:val="none"/>
                <w:lang w:eastAsia="zh-CN"/>
              </w:rPr>
              <w:t>《便器冲洗阀用水效率限定值及</w:t>
            </w:r>
            <w:r>
              <w:rPr>
                <w:rFonts w:hint="eastAsia" w:ascii="宋体" w:hAnsi="宋体" w:cs="宋体"/>
                <w:color w:val="auto"/>
                <w:kern w:val="2"/>
                <w:sz w:val="24"/>
                <w:szCs w:val="24"/>
                <w:highlight w:val="none"/>
                <w:lang w:eastAsia="zh-CN"/>
              </w:rPr>
              <w:t>用水效率等级》（GB28379）</w:t>
            </w:r>
          </w:p>
        </w:tc>
      </w:tr>
      <w:tr w14:paraId="04EF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Borders>
              <w:top w:val="single" w:color="000000" w:sz="4" w:space="0"/>
              <w:left w:val="single" w:color="000000" w:sz="4" w:space="0"/>
              <w:bottom w:val="single" w:color="000000" w:sz="4" w:space="0"/>
              <w:right w:val="single" w:color="000000" w:sz="4" w:space="0"/>
            </w:tcBorders>
            <w:vAlign w:val="center"/>
          </w:tcPr>
          <w:p w14:paraId="37896FEA">
            <w:pPr>
              <w:pStyle w:val="59"/>
              <w:jc w:val="center"/>
              <w:rPr>
                <w:rFonts w:ascii="宋体" w:hAnsi="宋体" w:cs="宋体"/>
                <w:color w:val="auto"/>
                <w:kern w:val="2"/>
                <w:sz w:val="24"/>
                <w:szCs w:val="24"/>
                <w:highlight w:val="none"/>
              </w:rPr>
            </w:pPr>
            <w:r>
              <w:rPr>
                <w:rFonts w:hint="eastAsia" w:ascii="宋体" w:hAnsi="宋体"/>
                <w:color w:val="auto"/>
                <w:kern w:val="2"/>
                <w:sz w:val="24"/>
                <w:szCs w:val="24"/>
                <w:highlight w:val="none"/>
              </w:rPr>
              <w:t>18</w:t>
            </w:r>
          </w:p>
        </w:tc>
        <w:tc>
          <w:tcPr>
            <w:tcW w:w="1407" w:type="dxa"/>
            <w:tcBorders>
              <w:top w:val="single" w:color="000000" w:sz="4" w:space="0"/>
              <w:left w:val="single" w:color="000000" w:sz="4" w:space="0"/>
              <w:bottom w:val="single" w:color="000000" w:sz="4" w:space="0"/>
              <w:right w:val="single" w:color="000000" w:sz="4" w:space="0"/>
            </w:tcBorders>
            <w:vAlign w:val="center"/>
          </w:tcPr>
          <w:p w14:paraId="2E973814">
            <w:pPr>
              <w:pStyle w:val="59"/>
              <w:spacing w:before="131"/>
              <w:ind w:left="7"/>
              <w:jc w:val="center"/>
              <w:rPr>
                <w:rFonts w:ascii="宋体" w:hAnsi="宋体" w:cs="宋体"/>
                <w:color w:val="auto"/>
                <w:kern w:val="2"/>
                <w:sz w:val="24"/>
                <w:szCs w:val="24"/>
                <w:highlight w:val="none"/>
              </w:rPr>
            </w:pPr>
            <w:r>
              <w:rPr>
                <w:rFonts w:hint="eastAsia" w:ascii="宋体" w:hAnsi="宋体" w:cs="仿宋_GB2312"/>
                <w:color w:val="auto"/>
                <w:kern w:val="2"/>
                <w:sz w:val="24"/>
                <w:szCs w:val="24"/>
                <w:highlight w:val="none"/>
              </w:rPr>
              <w:t>A05020110</w:t>
            </w:r>
            <w:r>
              <w:rPr>
                <w:rFonts w:hint="eastAsia" w:ascii="宋体" w:hAnsi="宋体" w:cs="宋体"/>
                <w:color w:val="auto"/>
                <w:kern w:val="2"/>
                <w:sz w:val="24"/>
                <w:szCs w:val="24"/>
                <w:highlight w:val="none"/>
              </w:rPr>
              <w:t>淋浴</w:t>
            </w:r>
            <w:r>
              <w:rPr>
                <w:rFonts w:hint="eastAsia" w:ascii="宋体" w:hAnsi="宋体" w:cs="宋体"/>
                <w:color w:val="auto"/>
                <w:w w:val="99"/>
                <w:kern w:val="2"/>
                <w:sz w:val="24"/>
                <w:szCs w:val="24"/>
                <w:highlight w:val="none"/>
              </w:rPr>
              <w:t>器</w:t>
            </w:r>
          </w:p>
        </w:tc>
        <w:tc>
          <w:tcPr>
            <w:tcW w:w="1546" w:type="dxa"/>
            <w:tcBorders>
              <w:top w:val="single" w:color="000000" w:sz="4" w:space="0"/>
              <w:left w:val="single" w:color="000000" w:sz="4" w:space="0"/>
              <w:bottom w:val="single" w:color="000000" w:sz="4" w:space="0"/>
              <w:right w:val="single" w:color="000000" w:sz="4" w:space="0"/>
            </w:tcBorders>
            <w:vAlign w:val="center"/>
          </w:tcPr>
          <w:p w14:paraId="7A4F2975">
            <w:pPr>
              <w:jc w:val="center"/>
              <w:rPr>
                <w:rFonts w:ascii="宋体" w:hAnsi="宋体"/>
                <w:color w:val="auto"/>
                <w:sz w:val="24"/>
                <w:highlight w:val="none"/>
                <w:lang w:eastAsia="en-US"/>
              </w:rPr>
            </w:pPr>
          </w:p>
        </w:tc>
        <w:tc>
          <w:tcPr>
            <w:tcW w:w="1536" w:type="dxa"/>
            <w:tcBorders>
              <w:top w:val="single" w:color="000000" w:sz="4" w:space="0"/>
              <w:left w:val="single" w:color="000000" w:sz="4" w:space="0"/>
              <w:bottom w:val="single" w:color="000000" w:sz="4" w:space="0"/>
              <w:right w:val="single" w:color="000000" w:sz="4" w:space="0"/>
            </w:tcBorders>
            <w:vAlign w:val="center"/>
          </w:tcPr>
          <w:p w14:paraId="49F677AC">
            <w:pPr>
              <w:jc w:val="center"/>
              <w:rPr>
                <w:rFonts w:ascii="宋体" w:hAnsi="宋体"/>
                <w:color w:val="auto"/>
                <w:sz w:val="24"/>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0F59D93B">
            <w:pPr>
              <w:pStyle w:val="59"/>
              <w:spacing w:before="131" w:line="276" w:lineRule="auto"/>
              <w:ind w:left="7" w:right="4"/>
              <w:rPr>
                <w:rFonts w:ascii="宋体" w:hAnsi="宋体" w:cs="宋体"/>
                <w:color w:val="auto"/>
                <w:kern w:val="2"/>
                <w:sz w:val="24"/>
                <w:szCs w:val="24"/>
                <w:highlight w:val="none"/>
                <w:lang w:eastAsia="zh-CN"/>
              </w:rPr>
            </w:pPr>
            <w:r>
              <w:rPr>
                <w:rFonts w:hint="eastAsia" w:ascii="宋体" w:hAnsi="宋体" w:cs="宋体"/>
                <w:color w:val="auto"/>
                <w:spacing w:val="10"/>
                <w:kern w:val="2"/>
                <w:sz w:val="24"/>
                <w:szCs w:val="24"/>
                <w:highlight w:val="none"/>
                <w:lang w:eastAsia="zh-CN"/>
              </w:rPr>
              <w:t>《淋浴器用水效率限定值及用水</w:t>
            </w:r>
            <w:r>
              <w:rPr>
                <w:rFonts w:hint="eastAsia" w:ascii="宋体" w:hAnsi="宋体" w:cs="宋体"/>
                <w:color w:val="auto"/>
                <w:kern w:val="2"/>
                <w:sz w:val="24"/>
                <w:szCs w:val="24"/>
                <w:highlight w:val="none"/>
                <w:lang w:eastAsia="zh-CN"/>
              </w:rPr>
              <w:t>效率等级》（GB28378）</w:t>
            </w:r>
          </w:p>
        </w:tc>
      </w:tr>
    </w:tbl>
    <w:p w14:paraId="14451953">
      <w:pPr>
        <w:spacing w:line="360" w:lineRule="auto"/>
        <w:ind w:firstLine="470" w:firstLineChars="200"/>
        <w:rPr>
          <w:rFonts w:ascii="楷体" w:hAnsi="楷体" w:eastAsia="楷体" w:cs="宋体"/>
          <w:color w:val="auto"/>
          <w:spacing w:val="-3"/>
          <w:kern w:val="0"/>
          <w:sz w:val="24"/>
          <w:highlight w:val="none"/>
        </w:rPr>
      </w:pPr>
      <w:r>
        <w:rPr>
          <w:rFonts w:hint="eastAsia" w:ascii="楷体" w:hAnsi="楷体" w:eastAsia="楷体" w:cs="宋体"/>
          <w:b/>
          <w:color w:val="auto"/>
          <w:spacing w:val="-3"/>
          <w:kern w:val="0"/>
          <w:sz w:val="24"/>
          <w:highlight w:val="none"/>
        </w:rPr>
        <w:t>注：</w:t>
      </w:r>
      <w:r>
        <w:rPr>
          <w:rFonts w:hint="eastAsia" w:ascii="楷体" w:hAnsi="楷体" w:eastAsia="楷体" w:cs="宋体"/>
          <w:color w:val="auto"/>
          <w:spacing w:val="-3"/>
          <w:kern w:val="0"/>
          <w:sz w:val="24"/>
          <w:highlight w:val="none"/>
        </w:rPr>
        <w:t>1.节能产品认证应依据相关国家标准的最新版本，依据国家标准中二级能效（水效）指标。</w:t>
      </w:r>
    </w:p>
    <w:p w14:paraId="39E930E9">
      <w:pPr>
        <w:spacing w:line="360" w:lineRule="auto"/>
        <w:ind w:firstLine="468" w:firstLineChars="200"/>
        <w:rPr>
          <w:rFonts w:ascii="楷体" w:hAnsi="楷体" w:eastAsia="楷体" w:cs="宋体"/>
          <w:color w:val="auto"/>
          <w:spacing w:val="-3"/>
          <w:kern w:val="0"/>
          <w:sz w:val="24"/>
          <w:highlight w:val="none"/>
        </w:rPr>
      </w:pPr>
      <w:r>
        <w:rPr>
          <w:rFonts w:hint="eastAsia" w:ascii="楷体" w:hAnsi="楷体" w:eastAsia="楷体" w:cs="宋体"/>
          <w:color w:val="auto"/>
          <w:spacing w:val="-3"/>
          <w:kern w:val="0"/>
          <w:sz w:val="24"/>
          <w:highlight w:val="none"/>
        </w:rPr>
        <w:t>2.以“★”标注的为政府强制采购产品。</w:t>
      </w:r>
    </w:p>
    <w:p w14:paraId="25AAF49E">
      <w:pPr>
        <w:pStyle w:val="16"/>
        <w:ind w:firstLine="468" w:firstLineChars="200"/>
        <w:jc w:val="left"/>
        <w:rPr>
          <w:rFonts w:ascii="楷体" w:hAnsi="楷体" w:eastAsia="楷体" w:cs="宋体"/>
          <w:color w:val="auto"/>
          <w:spacing w:val="-3"/>
          <w:sz w:val="24"/>
          <w:szCs w:val="24"/>
          <w:highlight w:val="none"/>
        </w:rPr>
      </w:pPr>
      <w:r>
        <w:rPr>
          <w:rFonts w:hint="eastAsia" w:ascii="楷体" w:hAnsi="楷体" w:eastAsia="楷体" w:cs="宋体"/>
          <w:color w:val="auto"/>
          <w:spacing w:val="-3"/>
          <w:sz w:val="24"/>
          <w:szCs w:val="24"/>
          <w:highlight w:val="none"/>
        </w:rPr>
        <w:t>3.本表格原为《关于印发节能产品政府采购品目清单的通知》（财库〔2019〕19号）规定的表格附件，其中名称及编码已根据《财政部关于印发〈政府采购品目分类目录〉的通知》（财库〔2022〕31号）修改。</w:t>
      </w:r>
    </w:p>
    <w:p w14:paraId="0D415591">
      <w:pPr>
        <w:pStyle w:val="16"/>
        <w:ind w:firstLine="468" w:firstLineChars="200"/>
        <w:jc w:val="left"/>
        <w:rPr>
          <w:rFonts w:ascii="楷体" w:hAnsi="楷体" w:eastAsia="楷体" w:cs="宋体"/>
          <w:color w:val="auto"/>
          <w:spacing w:val="-3"/>
          <w:sz w:val="24"/>
          <w:szCs w:val="24"/>
          <w:highlight w:val="none"/>
        </w:rPr>
      </w:pPr>
    </w:p>
    <w:p w14:paraId="02835A3B">
      <w:pPr>
        <w:pStyle w:val="8"/>
        <w:rPr>
          <w:rFonts w:ascii="楷体" w:hAnsi="楷体" w:eastAsia="楷体" w:cs="宋体"/>
          <w:color w:val="auto"/>
          <w:spacing w:val="-3"/>
          <w:sz w:val="24"/>
          <w:szCs w:val="24"/>
          <w:highlight w:val="none"/>
        </w:rPr>
      </w:pPr>
    </w:p>
    <w:p w14:paraId="7157BA46">
      <w:pPr>
        <w:rPr>
          <w:rFonts w:ascii="楷体" w:hAnsi="楷体" w:eastAsia="楷体" w:cs="宋体"/>
          <w:color w:val="auto"/>
          <w:spacing w:val="-3"/>
          <w:sz w:val="24"/>
          <w:szCs w:val="24"/>
          <w:highlight w:val="none"/>
        </w:rPr>
      </w:pPr>
    </w:p>
    <w:p w14:paraId="314D8875">
      <w:pPr>
        <w:rPr>
          <w:rFonts w:ascii="楷体" w:hAnsi="楷体" w:eastAsia="楷体" w:cs="宋体"/>
          <w:color w:val="auto"/>
          <w:spacing w:val="-3"/>
          <w:sz w:val="24"/>
          <w:szCs w:val="24"/>
          <w:highlight w:val="none"/>
        </w:rPr>
      </w:pPr>
    </w:p>
    <w:p w14:paraId="41AAEAEE">
      <w:pPr>
        <w:rPr>
          <w:rFonts w:ascii="楷体" w:hAnsi="楷体" w:eastAsia="楷体" w:cs="宋体"/>
          <w:color w:val="auto"/>
          <w:spacing w:val="-3"/>
          <w:sz w:val="24"/>
          <w:szCs w:val="24"/>
          <w:highlight w:val="none"/>
        </w:rPr>
      </w:pPr>
    </w:p>
    <w:p w14:paraId="44B4AA31">
      <w:pPr>
        <w:rPr>
          <w:rFonts w:ascii="楷体" w:hAnsi="楷体" w:eastAsia="楷体" w:cs="宋体"/>
          <w:color w:val="auto"/>
          <w:spacing w:val="-3"/>
          <w:sz w:val="24"/>
          <w:szCs w:val="24"/>
          <w:highlight w:val="none"/>
        </w:rPr>
      </w:pPr>
    </w:p>
    <w:p w14:paraId="2042612D">
      <w:pPr>
        <w:rPr>
          <w:rFonts w:ascii="楷体" w:hAnsi="楷体" w:eastAsia="楷体" w:cs="宋体"/>
          <w:color w:val="auto"/>
          <w:spacing w:val="-3"/>
          <w:sz w:val="24"/>
          <w:szCs w:val="24"/>
          <w:highlight w:val="none"/>
        </w:rPr>
      </w:pPr>
    </w:p>
    <w:p w14:paraId="031D18BD">
      <w:pPr>
        <w:rPr>
          <w:rFonts w:ascii="楷体" w:hAnsi="楷体" w:eastAsia="楷体" w:cs="宋体"/>
          <w:color w:val="auto"/>
          <w:spacing w:val="-3"/>
          <w:sz w:val="24"/>
          <w:szCs w:val="24"/>
          <w:highlight w:val="none"/>
        </w:rPr>
      </w:pPr>
    </w:p>
    <w:p w14:paraId="48F97CE6">
      <w:pPr>
        <w:rPr>
          <w:rFonts w:ascii="楷体" w:hAnsi="楷体" w:eastAsia="楷体" w:cs="宋体"/>
          <w:color w:val="auto"/>
          <w:spacing w:val="-3"/>
          <w:sz w:val="24"/>
          <w:szCs w:val="24"/>
          <w:highlight w:val="none"/>
        </w:rPr>
      </w:pPr>
    </w:p>
    <w:p w14:paraId="267A7B4D">
      <w:pPr>
        <w:rPr>
          <w:rFonts w:ascii="楷体" w:hAnsi="楷体" w:eastAsia="楷体" w:cs="宋体"/>
          <w:color w:val="auto"/>
          <w:spacing w:val="-3"/>
          <w:sz w:val="24"/>
          <w:szCs w:val="24"/>
          <w:highlight w:val="none"/>
        </w:rPr>
      </w:pPr>
    </w:p>
    <w:p w14:paraId="6E08B073">
      <w:pPr>
        <w:rPr>
          <w:rFonts w:ascii="楷体" w:hAnsi="楷体" w:eastAsia="楷体" w:cs="宋体"/>
          <w:color w:val="auto"/>
          <w:spacing w:val="-3"/>
          <w:sz w:val="24"/>
          <w:szCs w:val="24"/>
          <w:highlight w:val="none"/>
        </w:rPr>
      </w:pPr>
    </w:p>
    <w:p w14:paraId="0DA7FCBB">
      <w:pPr>
        <w:rPr>
          <w:rFonts w:ascii="楷体" w:hAnsi="楷体" w:eastAsia="楷体" w:cs="宋体"/>
          <w:color w:val="auto"/>
          <w:spacing w:val="-3"/>
          <w:sz w:val="24"/>
          <w:szCs w:val="24"/>
          <w:highlight w:val="none"/>
        </w:rPr>
      </w:pPr>
    </w:p>
    <w:p w14:paraId="3B8AA217">
      <w:pPr>
        <w:rPr>
          <w:rFonts w:ascii="楷体" w:hAnsi="楷体" w:eastAsia="楷体" w:cs="宋体"/>
          <w:color w:val="auto"/>
          <w:spacing w:val="-3"/>
          <w:sz w:val="24"/>
          <w:szCs w:val="24"/>
          <w:highlight w:val="none"/>
        </w:rPr>
      </w:pPr>
    </w:p>
    <w:p w14:paraId="65F4AFBE">
      <w:pPr>
        <w:rPr>
          <w:rFonts w:ascii="楷体" w:hAnsi="楷体" w:eastAsia="楷体" w:cs="宋体"/>
          <w:color w:val="auto"/>
          <w:spacing w:val="-3"/>
          <w:sz w:val="24"/>
          <w:szCs w:val="24"/>
          <w:highlight w:val="none"/>
        </w:rPr>
      </w:pPr>
    </w:p>
    <w:p w14:paraId="63D8184A">
      <w:pPr>
        <w:rPr>
          <w:rFonts w:ascii="楷体" w:hAnsi="楷体" w:eastAsia="楷体" w:cs="宋体"/>
          <w:color w:val="auto"/>
          <w:spacing w:val="-3"/>
          <w:sz w:val="24"/>
          <w:szCs w:val="24"/>
          <w:highlight w:val="none"/>
        </w:rPr>
      </w:pPr>
    </w:p>
    <w:p w14:paraId="26767676">
      <w:pPr>
        <w:pStyle w:val="16"/>
        <w:ind w:firstLine="468" w:firstLineChars="200"/>
        <w:jc w:val="left"/>
        <w:rPr>
          <w:rFonts w:ascii="楷体" w:hAnsi="楷体" w:eastAsia="楷体" w:cs="宋体"/>
          <w:color w:val="auto"/>
          <w:spacing w:val="-3"/>
          <w:sz w:val="24"/>
          <w:szCs w:val="24"/>
          <w:highlight w:val="none"/>
        </w:rPr>
      </w:pPr>
    </w:p>
    <w:p w14:paraId="117759C0">
      <w:pPr>
        <w:pStyle w:val="16"/>
        <w:ind w:firstLine="480" w:firstLineChars="200"/>
        <w:jc w:val="left"/>
        <w:rPr>
          <w:rFonts w:hAnsi="宋体" w:cs="宋体"/>
          <w:color w:val="auto"/>
          <w:sz w:val="24"/>
          <w:szCs w:val="24"/>
          <w:highlight w:val="none"/>
        </w:rPr>
      </w:pPr>
      <w:r>
        <w:rPr>
          <w:rFonts w:hint="eastAsia" w:hAnsi="宋体" w:cs="宋体"/>
          <w:color w:val="auto"/>
          <w:sz w:val="24"/>
          <w:szCs w:val="24"/>
          <w:highlight w:val="none"/>
        </w:rPr>
        <w:t>附件2：</w:t>
      </w:r>
    </w:p>
    <w:p w14:paraId="2ABAC3AA">
      <w:pPr>
        <w:spacing w:line="528" w:lineRule="exact"/>
        <w:ind w:left="220"/>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中小微企业划型标准</w:t>
      </w:r>
    </w:p>
    <w:tbl>
      <w:tblPr>
        <w:tblStyle w:val="29"/>
        <w:tblW w:w="9418" w:type="dxa"/>
        <w:tblInd w:w="250" w:type="dxa"/>
        <w:tblLayout w:type="fixed"/>
        <w:tblCellMar>
          <w:top w:w="0" w:type="dxa"/>
          <w:left w:w="108" w:type="dxa"/>
          <w:bottom w:w="0" w:type="dxa"/>
          <w:right w:w="108" w:type="dxa"/>
        </w:tblCellMar>
      </w:tblPr>
      <w:tblGrid>
        <w:gridCol w:w="2007"/>
        <w:gridCol w:w="1633"/>
        <w:gridCol w:w="1077"/>
        <w:gridCol w:w="1911"/>
        <w:gridCol w:w="1699"/>
        <w:gridCol w:w="1091"/>
      </w:tblGrid>
      <w:tr w14:paraId="2A272F6D">
        <w:tblPrEx>
          <w:tblCellMar>
            <w:top w:w="0" w:type="dxa"/>
            <w:left w:w="108" w:type="dxa"/>
            <w:bottom w:w="0" w:type="dxa"/>
            <w:right w:w="108" w:type="dxa"/>
          </w:tblCellMar>
        </w:tblPrEx>
        <w:trPr>
          <w:trHeight w:val="364" w:hRule="atLeast"/>
        </w:trPr>
        <w:tc>
          <w:tcPr>
            <w:tcW w:w="2007" w:type="dxa"/>
            <w:tcBorders>
              <w:top w:val="single" w:color="auto" w:sz="4" w:space="0"/>
              <w:left w:val="single" w:color="auto" w:sz="4" w:space="0"/>
              <w:bottom w:val="single" w:color="auto" w:sz="4" w:space="0"/>
              <w:right w:val="single" w:color="auto" w:sz="4" w:space="0"/>
            </w:tcBorders>
            <w:vAlign w:val="center"/>
          </w:tcPr>
          <w:p w14:paraId="59F121FB">
            <w:pPr>
              <w:widowControl/>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行业名称</w:t>
            </w:r>
          </w:p>
        </w:tc>
        <w:tc>
          <w:tcPr>
            <w:tcW w:w="1633" w:type="dxa"/>
            <w:tcBorders>
              <w:top w:val="single" w:color="auto" w:sz="4" w:space="0"/>
              <w:left w:val="nil"/>
              <w:bottom w:val="single" w:color="auto" w:sz="4" w:space="0"/>
              <w:right w:val="single" w:color="auto" w:sz="4" w:space="0"/>
            </w:tcBorders>
            <w:vAlign w:val="center"/>
          </w:tcPr>
          <w:p w14:paraId="12B17021">
            <w:pPr>
              <w:widowControl/>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指标名称</w:t>
            </w:r>
          </w:p>
        </w:tc>
        <w:tc>
          <w:tcPr>
            <w:tcW w:w="1077" w:type="dxa"/>
            <w:tcBorders>
              <w:top w:val="single" w:color="auto" w:sz="4" w:space="0"/>
              <w:left w:val="nil"/>
              <w:bottom w:val="single" w:color="auto" w:sz="4" w:space="0"/>
              <w:right w:val="single" w:color="auto" w:sz="4" w:space="0"/>
            </w:tcBorders>
            <w:vAlign w:val="center"/>
          </w:tcPr>
          <w:p w14:paraId="3C276294">
            <w:pPr>
              <w:widowControl/>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计量单位</w:t>
            </w:r>
          </w:p>
        </w:tc>
        <w:tc>
          <w:tcPr>
            <w:tcW w:w="1911" w:type="dxa"/>
            <w:tcBorders>
              <w:top w:val="single" w:color="auto" w:sz="4" w:space="0"/>
              <w:left w:val="nil"/>
              <w:bottom w:val="single" w:color="auto" w:sz="4" w:space="0"/>
              <w:right w:val="single" w:color="auto" w:sz="4" w:space="0"/>
            </w:tcBorders>
            <w:vAlign w:val="center"/>
          </w:tcPr>
          <w:p w14:paraId="4DFD9145">
            <w:pPr>
              <w:widowControl/>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中型</w:t>
            </w:r>
          </w:p>
        </w:tc>
        <w:tc>
          <w:tcPr>
            <w:tcW w:w="1699" w:type="dxa"/>
            <w:tcBorders>
              <w:top w:val="single" w:color="auto" w:sz="4" w:space="0"/>
              <w:left w:val="nil"/>
              <w:bottom w:val="single" w:color="auto" w:sz="4" w:space="0"/>
              <w:right w:val="single" w:color="auto" w:sz="4" w:space="0"/>
            </w:tcBorders>
            <w:vAlign w:val="center"/>
          </w:tcPr>
          <w:p w14:paraId="13BAE52D">
            <w:pPr>
              <w:widowControl/>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小型</w:t>
            </w:r>
          </w:p>
        </w:tc>
        <w:tc>
          <w:tcPr>
            <w:tcW w:w="1091" w:type="dxa"/>
            <w:tcBorders>
              <w:top w:val="single" w:color="auto" w:sz="4" w:space="0"/>
              <w:left w:val="nil"/>
              <w:bottom w:val="single" w:color="auto" w:sz="4" w:space="0"/>
              <w:right w:val="single" w:color="auto" w:sz="4" w:space="0"/>
            </w:tcBorders>
            <w:vAlign w:val="center"/>
          </w:tcPr>
          <w:p w14:paraId="03F6B26A">
            <w:pPr>
              <w:widowControl/>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微型</w:t>
            </w:r>
          </w:p>
        </w:tc>
      </w:tr>
      <w:tr w14:paraId="795EE912">
        <w:tblPrEx>
          <w:tblCellMar>
            <w:top w:w="0" w:type="dxa"/>
            <w:left w:w="108" w:type="dxa"/>
            <w:bottom w:w="0" w:type="dxa"/>
            <w:right w:w="108" w:type="dxa"/>
          </w:tblCellMar>
        </w:tblPrEx>
        <w:trPr>
          <w:trHeight w:val="364" w:hRule="atLeast"/>
        </w:trPr>
        <w:tc>
          <w:tcPr>
            <w:tcW w:w="2007" w:type="dxa"/>
            <w:tcBorders>
              <w:top w:val="nil"/>
              <w:left w:val="single" w:color="auto" w:sz="4" w:space="0"/>
              <w:bottom w:val="single" w:color="auto" w:sz="4" w:space="0"/>
              <w:right w:val="single" w:color="auto" w:sz="4" w:space="0"/>
            </w:tcBorders>
            <w:vAlign w:val="bottom"/>
          </w:tcPr>
          <w:p w14:paraId="3C5334CD">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农、林、牧、渔</w:t>
            </w:r>
          </w:p>
        </w:tc>
        <w:tc>
          <w:tcPr>
            <w:tcW w:w="1633" w:type="dxa"/>
            <w:tcBorders>
              <w:top w:val="nil"/>
              <w:left w:val="nil"/>
              <w:bottom w:val="single" w:color="auto" w:sz="4" w:space="0"/>
              <w:right w:val="single" w:color="auto" w:sz="4" w:space="0"/>
            </w:tcBorders>
            <w:vAlign w:val="center"/>
          </w:tcPr>
          <w:p w14:paraId="5F1D6BE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06C11EB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39C402E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500≤Y＜20000</w:t>
            </w:r>
          </w:p>
        </w:tc>
        <w:tc>
          <w:tcPr>
            <w:tcW w:w="1699" w:type="dxa"/>
            <w:tcBorders>
              <w:top w:val="nil"/>
              <w:left w:val="nil"/>
              <w:bottom w:val="single" w:color="auto" w:sz="4" w:space="0"/>
              <w:right w:val="single" w:color="auto" w:sz="4" w:space="0"/>
            </w:tcBorders>
            <w:vAlign w:val="center"/>
          </w:tcPr>
          <w:p w14:paraId="2FAF7EF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50≤Y＜500</w:t>
            </w:r>
          </w:p>
        </w:tc>
        <w:tc>
          <w:tcPr>
            <w:tcW w:w="1091" w:type="dxa"/>
            <w:tcBorders>
              <w:top w:val="nil"/>
              <w:left w:val="nil"/>
              <w:bottom w:val="single" w:color="auto" w:sz="4" w:space="0"/>
              <w:right w:val="single" w:color="auto" w:sz="4" w:space="0"/>
            </w:tcBorders>
            <w:vAlign w:val="center"/>
          </w:tcPr>
          <w:p w14:paraId="7AA725B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Y＜50</w:t>
            </w:r>
          </w:p>
        </w:tc>
      </w:tr>
      <w:tr w14:paraId="4F03AD8A">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492040AA">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工业</w:t>
            </w:r>
          </w:p>
        </w:tc>
        <w:tc>
          <w:tcPr>
            <w:tcW w:w="1633" w:type="dxa"/>
            <w:tcBorders>
              <w:top w:val="nil"/>
              <w:left w:val="nil"/>
              <w:bottom w:val="single" w:color="auto" w:sz="4" w:space="0"/>
              <w:right w:val="single" w:color="auto" w:sz="4" w:space="0"/>
            </w:tcBorders>
            <w:vAlign w:val="center"/>
          </w:tcPr>
          <w:p w14:paraId="755D8D9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210E309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386B4DE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300≤X＜1000</w:t>
            </w:r>
          </w:p>
        </w:tc>
        <w:tc>
          <w:tcPr>
            <w:tcW w:w="1699" w:type="dxa"/>
            <w:tcBorders>
              <w:top w:val="nil"/>
              <w:left w:val="nil"/>
              <w:bottom w:val="single" w:color="auto" w:sz="4" w:space="0"/>
              <w:right w:val="single" w:color="auto" w:sz="4" w:space="0"/>
            </w:tcBorders>
            <w:vAlign w:val="center"/>
          </w:tcPr>
          <w:p w14:paraId="0798551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20≤X＜300</w:t>
            </w:r>
          </w:p>
        </w:tc>
        <w:tc>
          <w:tcPr>
            <w:tcW w:w="1091" w:type="dxa"/>
            <w:tcBorders>
              <w:top w:val="nil"/>
              <w:left w:val="nil"/>
              <w:bottom w:val="single" w:color="auto" w:sz="4" w:space="0"/>
              <w:right w:val="single" w:color="auto" w:sz="4" w:space="0"/>
            </w:tcBorders>
            <w:vAlign w:val="center"/>
          </w:tcPr>
          <w:p w14:paraId="7A05E3D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X＜20</w:t>
            </w:r>
          </w:p>
        </w:tc>
      </w:tr>
      <w:tr w14:paraId="5284D7FA">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5B256491">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448FFBE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62C0602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0934B23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2000≤Y＜40000</w:t>
            </w:r>
          </w:p>
        </w:tc>
        <w:tc>
          <w:tcPr>
            <w:tcW w:w="1699" w:type="dxa"/>
            <w:tcBorders>
              <w:top w:val="nil"/>
              <w:left w:val="nil"/>
              <w:bottom w:val="single" w:color="auto" w:sz="4" w:space="0"/>
              <w:right w:val="single" w:color="auto" w:sz="4" w:space="0"/>
            </w:tcBorders>
            <w:vAlign w:val="center"/>
          </w:tcPr>
          <w:p w14:paraId="45A50AB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300≤Y＜2000</w:t>
            </w:r>
          </w:p>
        </w:tc>
        <w:tc>
          <w:tcPr>
            <w:tcW w:w="1091" w:type="dxa"/>
            <w:tcBorders>
              <w:top w:val="nil"/>
              <w:left w:val="nil"/>
              <w:bottom w:val="single" w:color="auto" w:sz="4" w:space="0"/>
              <w:right w:val="single" w:color="auto" w:sz="4" w:space="0"/>
            </w:tcBorders>
            <w:vAlign w:val="center"/>
          </w:tcPr>
          <w:p w14:paraId="6798230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Y＜300</w:t>
            </w:r>
          </w:p>
        </w:tc>
      </w:tr>
      <w:tr w14:paraId="268AF834">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4D5E6524">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建筑业</w:t>
            </w:r>
          </w:p>
        </w:tc>
        <w:tc>
          <w:tcPr>
            <w:tcW w:w="1633" w:type="dxa"/>
            <w:tcBorders>
              <w:top w:val="nil"/>
              <w:left w:val="nil"/>
              <w:bottom w:val="single" w:color="auto" w:sz="4" w:space="0"/>
              <w:right w:val="single" w:color="auto" w:sz="4" w:space="0"/>
            </w:tcBorders>
            <w:vAlign w:val="center"/>
          </w:tcPr>
          <w:p w14:paraId="395AEF5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709BDD1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267D1C4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6000≤Y＜80000</w:t>
            </w:r>
          </w:p>
        </w:tc>
        <w:tc>
          <w:tcPr>
            <w:tcW w:w="1699" w:type="dxa"/>
            <w:tcBorders>
              <w:top w:val="nil"/>
              <w:left w:val="nil"/>
              <w:bottom w:val="single" w:color="auto" w:sz="4" w:space="0"/>
              <w:right w:val="single" w:color="auto" w:sz="4" w:space="0"/>
            </w:tcBorders>
            <w:vAlign w:val="center"/>
          </w:tcPr>
          <w:p w14:paraId="28B201A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300≤Y＜6000</w:t>
            </w:r>
          </w:p>
        </w:tc>
        <w:tc>
          <w:tcPr>
            <w:tcW w:w="1091" w:type="dxa"/>
            <w:tcBorders>
              <w:top w:val="nil"/>
              <w:left w:val="nil"/>
              <w:bottom w:val="single" w:color="auto" w:sz="4" w:space="0"/>
              <w:right w:val="single" w:color="auto" w:sz="4" w:space="0"/>
            </w:tcBorders>
            <w:vAlign w:val="center"/>
          </w:tcPr>
          <w:p w14:paraId="4FF5DF7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Y＜300</w:t>
            </w:r>
          </w:p>
        </w:tc>
      </w:tr>
      <w:tr w14:paraId="2C9496E9">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3C60B52A">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6512D0A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资产总额（Z）</w:t>
            </w:r>
          </w:p>
        </w:tc>
        <w:tc>
          <w:tcPr>
            <w:tcW w:w="1077" w:type="dxa"/>
            <w:tcBorders>
              <w:top w:val="nil"/>
              <w:left w:val="nil"/>
              <w:bottom w:val="single" w:color="auto" w:sz="4" w:space="0"/>
              <w:right w:val="single" w:color="auto" w:sz="4" w:space="0"/>
            </w:tcBorders>
            <w:vAlign w:val="center"/>
          </w:tcPr>
          <w:p w14:paraId="1DDC03B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1C885EC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5000≤Z＜80000</w:t>
            </w:r>
          </w:p>
        </w:tc>
        <w:tc>
          <w:tcPr>
            <w:tcW w:w="1699" w:type="dxa"/>
            <w:tcBorders>
              <w:top w:val="nil"/>
              <w:left w:val="nil"/>
              <w:bottom w:val="single" w:color="auto" w:sz="4" w:space="0"/>
              <w:right w:val="single" w:color="auto" w:sz="4" w:space="0"/>
            </w:tcBorders>
            <w:vAlign w:val="center"/>
          </w:tcPr>
          <w:p w14:paraId="36A8A81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300≤Z＜5000</w:t>
            </w:r>
          </w:p>
        </w:tc>
        <w:tc>
          <w:tcPr>
            <w:tcW w:w="1091" w:type="dxa"/>
            <w:tcBorders>
              <w:top w:val="nil"/>
              <w:left w:val="nil"/>
              <w:bottom w:val="single" w:color="auto" w:sz="4" w:space="0"/>
              <w:right w:val="single" w:color="auto" w:sz="4" w:space="0"/>
            </w:tcBorders>
            <w:vAlign w:val="center"/>
          </w:tcPr>
          <w:p w14:paraId="7F459C9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Z＜300</w:t>
            </w:r>
          </w:p>
        </w:tc>
      </w:tr>
      <w:tr w14:paraId="399C08B9">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5B6E2483">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批发业</w:t>
            </w:r>
          </w:p>
        </w:tc>
        <w:tc>
          <w:tcPr>
            <w:tcW w:w="1633" w:type="dxa"/>
            <w:tcBorders>
              <w:top w:val="nil"/>
              <w:left w:val="nil"/>
              <w:bottom w:val="single" w:color="auto" w:sz="4" w:space="0"/>
              <w:right w:val="single" w:color="auto" w:sz="4" w:space="0"/>
            </w:tcBorders>
            <w:vAlign w:val="center"/>
          </w:tcPr>
          <w:p w14:paraId="2B7B947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3EFAD7F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383C16E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20≤X＜200</w:t>
            </w:r>
          </w:p>
        </w:tc>
        <w:tc>
          <w:tcPr>
            <w:tcW w:w="1699" w:type="dxa"/>
            <w:tcBorders>
              <w:top w:val="nil"/>
              <w:left w:val="nil"/>
              <w:bottom w:val="single" w:color="auto" w:sz="4" w:space="0"/>
              <w:right w:val="single" w:color="auto" w:sz="4" w:space="0"/>
            </w:tcBorders>
            <w:vAlign w:val="center"/>
          </w:tcPr>
          <w:p w14:paraId="7447F65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5≤X＜20</w:t>
            </w:r>
          </w:p>
        </w:tc>
        <w:tc>
          <w:tcPr>
            <w:tcW w:w="1091" w:type="dxa"/>
            <w:tcBorders>
              <w:top w:val="nil"/>
              <w:left w:val="nil"/>
              <w:bottom w:val="single" w:color="auto" w:sz="4" w:space="0"/>
              <w:right w:val="single" w:color="auto" w:sz="4" w:space="0"/>
            </w:tcBorders>
            <w:vAlign w:val="center"/>
          </w:tcPr>
          <w:p w14:paraId="07C2073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X＜5</w:t>
            </w:r>
          </w:p>
        </w:tc>
      </w:tr>
      <w:tr w14:paraId="693FBDCB">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32077414">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62FCF90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1DEB8D7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709EDFF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5000≤Y＜40000</w:t>
            </w:r>
          </w:p>
        </w:tc>
        <w:tc>
          <w:tcPr>
            <w:tcW w:w="1699" w:type="dxa"/>
            <w:tcBorders>
              <w:top w:val="nil"/>
              <w:left w:val="nil"/>
              <w:bottom w:val="single" w:color="auto" w:sz="4" w:space="0"/>
              <w:right w:val="single" w:color="auto" w:sz="4" w:space="0"/>
            </w:tcBorders>
            <w:vAlign w:val="center"/>
          </w:tcPr>
          <w:p w14:paraId="1A035A2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1000≤Y＜5000</w:t>
            </w:r>
          </w:p>
        </w:tc>
        <w:tc>
          <w:tcPr>
            <w:tcW w:w="1091" w:type="dxa"/>
            <w:tcBorders>
              <w:top w:val="nil"/>
              <w:left w:val="nil"/>
              <w:bottom w:val="single" w:color="auto" w:sz="4" w:space="0"/>
              <w:right w:val="single" w:color="auto" w:sz="4" w:space="0"/>
            </w:tcBorders>
            <w:vAlign w:val="center"/>
          </w:tcPr>
          <w:p w14:paraId="0DA760F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Y＜1000</w:t>
            </w:r>
          </w:p>
        </w:tc>
      </w:tr>
      <w:tr w14:paraId="33DCAF06">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4D60FB53">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零售业</w:t>
            </w:r>
          </w:p>
        </w:tc>
        <w:tc>
          <w:tcPr>
            <w:tcW w:w="1633" w:type="dxa"/>
            <w:tcBorders>
              <w:top w:val="nil"/>
              <w:left w:val="nil"/>
              <w:bottom w:val="single" w:color="auto" w:sz="4" w:space="0"/>
              <w:right w:val="single" w:color="auto" w:sz="4" w:space="0"/>
            </w:tcBorders>
            <w:vAlign w:val="center"/>
          </w:tcPr>
          <w:p w14:paraId="1C966C2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51C0F00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71C656F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50≤X＜300</w:t>
            </w:r>
          </w:p>
        </w:tc>
        <w:tc>
          <w:tcPr>
            <w:tcW w:w="1699" w:type="dxa"/>
            <w:tcBorders>
              <w:top w:val="nil"/>
              <w:left w:val="nil"/>
              <w:bottom w:val="single" w:color="auto" w:sz="4" w:space="0"/>
              <w:right w:val="single" w:color="auto" w:sz="4" w:space="0"/>
            </w:tcBorders>
            <w:vAlign w:val="center"/>
          </w:tcPr>
          <w:p w14:paraId="610475E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10≤X＜50</w:t>
            </w:r>
          </w:p>
        </w:tc>
        <w:tc>
          <w:tcPr>
            <w:tcW w:w="1091" w:type="dxa"/>
            <w:tcBorders>
              <w:top w:val="nil"/>
              <w:left w:val="nil"/>
              <w:bottom w:val="single" w:color="auto" w:sz="4" w:space="0"/>
              <w:right w:val="single" w:color="auto" w:sz="4" w:space="0"/>
            </w:tcBorders>
            <w:vAlign w:val="center"/>
          </w:tcPr>
          <w:p w14:paraId="032B6C0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w:t>
            </w:r>
          </w:p>
        </w:tc>
      </w:tr>
      <w:tr w14:paraId="0772C448">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34334888">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2E72619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7516FC6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0DDDE2B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500≤Y＜20000</w:t>
            </w:r>
          </w:p>
        </w:tc>
        <w:tc>
          <w:tcPr>
            <w:tcW w:w="1699" w:type="dxa"/>
            <w:tcBorders>
              <w:top w:val="nil"/>
              <w:left w:val="nil"/>
              <w:bottom w:val="single" w:color="auto" w:sz="4" w:space="0"/>
              <w:right w:val="single" w:color="auto" w:sz="4" w:space="0"/>
            </w:tcBorders>
            <w:vAlign w:val="center"/>
          </w:tcPr>
          <w:p w14:paraId="14507F7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100≤Y＜500</w:t>
            </w:r>
          </w:p>
        </w:tc>
        <w:tc>
          <w:tcPr>
            <w:tcW w:w="1091" w:type="dxa"/>
            <w:tcBorders>
              <w:top w:val="nil"/>
              <w:left w:val="nil"/>
              <w:bottom w:val="single" w:color="auto" w:sz="4" w:space="0"/>
              <w:right w:val="single" w:color="auto" w:sz="4" w:space="0"/>
            </w:tcBorders>
            <w:vAlign w:val="center"/>
          </w:tcPr>
          <w:p w14:paraId="6F360BE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w:t>
            </w:r>
          </w:p>
        </w:tc>
      </w:tr>
      <w:tr w14:paraId="1A488AA5">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58E0B647">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交通运输业</w:t>
            </w:r>
          </w:p>
        </w:tc>
        <w:tc>
          <w:tcPr>
            <w:tcW w:w="1633" w:type="dxa"/>
            <w:tcBorders>
              <w:top w:val="nil"/>
              <w:left w:val="nil"/>
              <w:bottom w:val="single" w:color="auto" w:sz="4" w:space="0"/>
              <w:right w:val="single" w:color="auto" w:sz="4" w:space="0"/>
            </w:tcBorders>
            <w:vAlign w:val="center"/>
          </w:tcPr>
          <w:p w14:paraId="3FBD9D8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6850444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6A58B05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300≤X＜1000</w:t>
            </w:r>
          </w:p>
        </w:tc>
        <w:tc>
          <w:tcPr>
            <w:tcW w:w="1699" w:type="dxa"/>
            <w:tcBorders>
              <w:top w:val="nil"/>
              <w:left w:val="nil"/>
              <w:bottom w:val="single" w:color="auto" w:sz="4" w:space="0"/>
              <w:right w:val="single" w:color="auto" w:sz="4" w:space="0"/>
            </w:tcBorders>
            <w:vAlign w:val="center"/>
          </w:tcPr>
          <w:p w14:paraId="6771AAD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20≤X＜300</w:t>
            </w:r>
          </w:p>
        </w:tc>
        <w:tc>
          <w:tcPr>
            <w:tcW w:w="1091" w:type="dxa"/>
            <w:tcBorders>
              <w:top w:val="nil"/>
              <w:left w:val="nil"/>
              <w:bottom w:val="single" w:color="auto" w:sz="4" w:space="0"/>
              <w:right w:val="single" w:color="auto" w:sz="4" w:space="0"/>
            </w:tcBorders>
            <w:vAlign w:val="center"/>
          </w:tcPr>
          <w:p w14:paraId="0EB3942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X＜20</w:t>
            </w:r>
          </w:p>
        </w:tc>
      </w:tr>
      <w:tr w14:paraId="6EEA312F">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6BFB9EED">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2F0CD2C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19FEC65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5E0B5A8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3000≤Y＜30000</w:t>
            </w:r>
          </w:p>
        </w:tc>
        <w:tc>
          <w:tcPr>
            <w:tcW w:w="1699" w:type="dxa"/>
            <w:tcBorders>
              <w:top w:val="nil"/>
              <w:left w:val="nil"/>
              <w:bottom w:val="single" w:color="auto" w:sz="4" w:space="0"/>
              <w:right w:val="single" w:color="auto" w:sz="4" w:space="0"/>
            </w:tcBorders>
            <w:vAlign w:val="center"/>
          </w:tcPr>
          <w:p w14:paraId="749D015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200≤Y＜3000</w:t>
            </w:r>
          </w:p>
        </w:tc>
        <w:tc>
          <w:tcPr>
            <w:tcW w:w="1091" w:type="dxa"/>
            <w:tcBorders>
              <w:top w:val="nil"/>
              <w:left w:val="nil"/>
              <w:bottom w:val="single" w:color="auto" w:sz="4" w:space="0"/>
              <w:right w:val="single" w:color="auto" w:sz="4" w:space="0"/>
            </w:tcBorders>
            <w:vAlign w:val="center"/>
          </w:tcPr>
          <w:p w14:paraId="4648B8E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Y＜200</w:t>
            </w:r>
          </w:p>
        </w:tc>
      </w:tr>
      <w:tr w14:paraId="2B2F23EA">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296DCBEA">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仓储业</w:t>
            </w:r>
          </w:p>
        </w:tc>
        <w:tc>
          <w:tcPr>
            <w:tcW w:w="1633" w:type="dxa"/>
            <w:tcBorders>
              <w:top w:val="nil"/>
              <w:left w:val="nil"/>
              <w:bottom w:val="single" w:color="auto" w:sz="4" w:space="0"/>
              <w:right w:val="single" w:color="auto" w:sz="4" w:space="0"/>
            </w:tcBorders>
            <w:vAlign w:val="center"/>
          </w:tcPr>
          <w:p w14:paraId="7434A2F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225C476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492C0F7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100≤X＜200</w:t>
            </w:r>
          </w:p>
        </w:tc>
        <w:tc>
          <w:tcPr>
            <w:tcW w:w="1699" w:type="dxa"/>
            <w:tcBorders>
              <w:top w:val="nil"/>
              <w:left w:val="nil"/>
              <w:bottom w:val="single" w:color="auto" w:sz="4" w:space="0"/>
              <w:right w:val="single" w:color="auto" w:sz="4" w:space="0"/>
            </w:tcBorders>
            <w:vAlign w:val="center"/>
          </w:tcPr>
          <w:p w14:paraId="3A5A01E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20≤X＜100</w:t>
            </w:r>
          </w:p>
        </w:tc>
        <w:tc>
          <w:tcPr>
            <w:tcW w:w="1091" w:type="dxa"/>
            <w:tcBorders>
              <w:top w:val="nil"/>
              <w:left w:val="nil"/>
              <w:bottom w:val="single" w:color="auto" w:sz="4" w:space="0"/>
              <w:right w:val="single" w:color="auto" w:sz="4" w:space="0"/>
            </w:tcBorders>
            <w:vAlign w:val="center"/>
          </w:tcPr>
          <w:p w14:paraId="2A08B5B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X＜20</w:t>
            </w:r>
          </w:p>
        </w:tc>
      </w:tr>
      <w:tr w14:paraId="1F4BFF84">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4A818EF7">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6756741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7AB098C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63E2F9B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1000≤Y＜30000</w:t>
            </w:r>
          </w:p>
        </w:tc>
        <w:tc>
          <w:tcPr>
            <w:tcW w:w="1699" w:type="dxa"/>
            <w:tcBorders>
              <w:top w:val="nil"/>
              <w:left w:val="nil"/>
              <w:bottom w:val="single" w:color="auto" w:sz="4" w:space="0"/>
              <w:right w:val="single" w:color="auto" w:sz="4" w:space="0"/>
            </w:tcBorders>
            <w:vAlign w:val="center"/>
          </w:tcPr>
          <w:p w14:paraId="1593BEE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100≤Y＜1000</w:t>
            </w:r>
          </w:p>
        </w:tc>
        <w:tc>
          <w:tcPr>
            <w:tcW w:w="1091" w:type="dxa"/>
            <w:tcBorders>
              <w:top w:val="nil"/>
              <w:left w:val="nil"/>
              <w:bottom w:val="single" w:color="auto" w:sz="4" w:space="0"/>
              <w:right w:val="single" w:color="auto" w:sz="4" w:space="0"/>
            </w:tcBorders>
            <w:vAlign w:val="center"/>
          </w:tcPr>
          <w:p w14:paraId="600E4A7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w:t>
            </w:r>
          </w:p>
        </w:tc>
      </w:tr>
      <w:tr w14:paraId="58294A89">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41963296">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邮政业</w:t>
            </w:r>
          </w:p>
        </w:tc>
        <w:tc>
          <w:tcPr>
            <w:tcW w:w="1633" w:type="dxa"/>
            <w:tcBorders>
              <w:top w:val="nil"/>
              <w:left w:val="nil"/>
              <w:bottom w:val="single" w:color="auto" w:sz="4" w:space="0"/>
              <w:right w:val="single" w:color="auto" w:sz="4" w:space="0"/>
            </w:tcBorders>
            <w:vAlign w:val="center"/>
          </w:tcPr>
          <w:p w14:paraId="3A1F70D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6338EBD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19BC0A4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300≤X＜1000</w:t>
            </w:r>
          </w:p>
        </w:tc>
        <w:tc>
          <w:tcPr>
            <w:tcW w:w="1699" w:type="dxa"/>
            <w:tcBorders>
              <w:top w:val="nil"/>
              <w:left w:val="nil"/>
              <w:bottom w:val="single" w:color="auto" w:sz="4" w:space="0"/>
              <w:right w:val="single" w:color="auto" w:sz="4" w:space="0"/>
            </w:tcBorders>
            <w:vAlign w:val="center"/>
          </w:tcPr>
          <w:p w14:paraId="5DE3B6C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20≤X＜300</w:t>
            </w:r>
          </w:p>
        </w:tc>
        <w:tc>
          <w:tcPr>
            <w:tcW w:w="1091" w:type="dxa"/>
            <w:tcBorders>
              <w:top w:val="nil"/>
              <w:left w:val="nil"/>
              <w:bottom w:val="single" w:color="auto" w:sz="4" w:space="0"/>
              <w:right w:val="single" w:color="auto" w:sz="4" w:space="0"/>
            </w:tcBorders>
            <w:vAlign w:val="center"/>
          </w:tcPr>
          <w:p w14:paraId="03E736A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X＜20</w:t>
            </w:r>
          </w:p>
        </w:tc>
      </w:tr>
      <w:tr w14:paraId="0F0901AF">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431D52BF">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56FC2F3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23AC5C4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265CB69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2000≤Y＜30000</w:t>
            </w:r>
          </w:p>
        </w:tc>
        <w:tc>
          <w:tcPr>
            <w:tcW w:w="1699" w:type="dxa"/>
            <w:tcBorders>
              <w:top w:val="nil"/>
              <w:left w:val="nil"/>
              <w:bottom w:val="single" w:color="auto" w:sz="4" w:space="0"/>
              <w:right w:val="single" w:color="auto" w:sz="4" w:space="0"/>
            </w:tcBorders>
            <w:vAlign w:val="center"/>
          </w:tcPr>
          <w:p w14:paraId="4DD6359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100≤Y＜2000</w:t>
            </w:r>
          </w:p>
        </w:tc>
        <w:tc>
          <w:tcPr>
            <w:tcW w:w="1091" w:type="dxa"/>
            <w:tcBorders>
              <w:top w:val="nil"/>
              <w:left w:val="nil"/>
              <w:bottom w:val="single" w:color="auto" w:sz="4" w:space="0"/>
              <w:right w:val="single" w:color="auto" w:sz="4" w:space="0"/>
            </w:tcBorders>
            <w:vAlign w:val="center"/>
          </w:tcPr>
          <w:p w14:paraId="2DD2E78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w:t>
            </w:r>
          </w:p>
        </w:tc>
      </w:tr>
      <w:tr w14:paraId="77628923">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67924FAB">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住宿业</w:t>
            </w:r>
          </w:p>
        </w:tc>
        <w:tc>
          <w:tcPr>
            <w:tcW w:w="1633" w:type="dxa"/>
            <w:tcBorders>
              <w:top w:val="nil"/>
              <w:left w:val="nil"/>
              <w:bottom w:val="single" w:color="auto" w:sz="4" w:space="0"/>
              <w:right w:val="single" w:color="auto" w:sz="4" w:space="0"/>
            </w:tcBorders>
            <w:vAlign w:val="center"/>
          </w:tcPr>
          <w:p w14:paraId="73073CB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77B04FE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41F5551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100≤X＜300</w:t>
            </w:r>
          </w:p>
        </w:tc>
        <w:tc>
          <w:tcPr>
            <w:tcW w:w="1699" w:type="dxa"/>
            <w:tcBorders>
              <w:top w:val="nil"/>
              <w:left w:val="nil"/>
              <w:bottom w:val="single" w:color="auto" w:sz="4" w:space="0"/>
              <w:right w:val="single" w:color="auto" w:sz="4" w:space="0"/>
            </w:tcBorders>
            <w:vAlign w:val="center"/>
          </w:tcPr>
          <w:p w14:paraId="7BCD170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10≤X＜100</w:t>
            </w:r>
          </w:p>
        </w:tc>
        <w:tc>
          <w:tcPr>
            <w:tcW w:w="1091" w:type="dxa"/>
            <w:tcBorders>
              <w:top w:val="nil"/>
              <w:left w:val="nil"/>
              <w:bottom w:val="single" w:color="auto" w:sz="4" w:space="0"/>
              <w:right w:val="single" w:color="auto" w:sz="4" w:space="0"/>
            </w:tcBorders>
            <w:vAlign w:val="center"/>
          </w:tcPr>
          <w:p w14:paraId="05FA88E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w:t>
            </w:r>
          </w:p>
        </w:tc>
      </w:tr>
      <w:tr w14:paraId="391D111A">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1A33FCA7">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57704CB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0A3CBFB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5794574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2000≤Y＜10000</w:t>
            </w:r>
          </w:p>
        </w:tc>
        <w:tc>
          <w:tcPr>
            <w:tcW w:w="1699" w:type="dxa"/>
            <w:tcBorders>
              <w:top w:val="nil"/>
              <w:left w:val="nil"/>
              <w:bottom w:val="single" w:color="auto" w:sz="4" w:space="0"/>
              <w:right w:val="single" w:color="auto" w:sz="4" w:space="0"/>
            </w:tcBorders>
            <w:vAlign w:val="center"/>
          </w:tcPr>
          <w:p w14:paraId="70E6142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100≤Y＜2000</w:t>
            </w:r>
          </w:p>
        </w:tc>
        <w:tc>
          <w:tcPr>
            <w:tcW w:w="1091" w:type="dxa"/>
            <w:tcBorders>
              <w:top w:val="nil"/>
              <w:left w:val="nil"/>
              <w:bottom w:val="single" w:color="auto" w:sz="4" w:space="0"/>
              <w:right w:val="single" w:color="auto" w:sz="4" w:space="0"/>
            </w:tcBorders>
            <w:vAlign w:val="center"/>
          </w:tcPr>
          <w:p w14:paraId="45A07E6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w:t>
            </w:r>
          </w:p>
        </w:tc>
      </w:tr>
      <w:tr w14:paraId="736990A7">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2B25DF53">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餐饮业</w:t>
            </w:r>
          </w:p>
        </w:tc>
        <w:tc>
          <w:tcPr>
            <w:tcW w:w="1633" w:type="dxa"/>
            <w:tcBorders>
              <w:top w:val="nil"/>
              <w:left w:val="nil"/>
              <w:bottom w:val="single" w:color="auto" w:sz="4" w:space="0"/>
              <w:right w:val="single" w:color="auto" w:sz="4" w:space="0"/>
            </w:tcBorders>
            <w:vAlign w:val="center"/>
          </w:tcPr>
          <w:p w14:paraId="66F5349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67EE681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401CADF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100≤X＜300</w:t>
            </w:r>
          </w:p>
        </w:tc>
        <w:tc>
          <w:tcPr>
            <w:tcW w:w="1699" w:type="dxa"/>
            <w:tcBorders>
              <w:top w:val="nil"/>
              <w:left w:val="nil"/>
              <w:bottom w:val="single" w:color="auto" w:sz="4" w:space="0"/>
              <w:right w:val="single" w:color="auto" w:sz="4" w:space="0"/>
            </w:tcBorders>
            <w:vAlign w:val="center"/>
          </w:tcPr>
          <w:p w14:paraId="274A0A7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10≤X＜100</w:t>
            </w:r>
          </w:p>
        </w:tc>
        <w:tc>
          <w:tcPr>
            <w:tcW w:w="1091" w:type="dxa"/>
            <w:tcBorders>
              <w:top w:val="nil"/>
              <w:left w:val="nil"/>
              <w:bottom w:val="single" w:color="auto" w:sz="4" w:space="0"/>
              <w:right w:val="single" w:color="auto" w:sz="4" w:space="0"/>
            </w:tcBorders>
            <w:vAlign w:val="center"/>
          </w:tcPr>
          <w:p w14:paraId="5E8019C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w:t>
            </w:r>
          </w:p>
        </w:tc>
      </w:tr>
      <w:tr w14:paraId="0AFEBCDB">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33DF3AB3">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15DBAB6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274ABDF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7965C39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2000≤Y＜10000</w:t>
            </w:r>
          </w:p>
        </w:tc>
        <w:tc>
          <w:tcPr>
            <w:tcW w:w="1699" w:type="dxa"/>
            <w:tcBorders>
              <w:top w:val="nil"/>
              <w:left w:val="nil"/>
              <w:bottom w:val="single" w:color="auto" w:sz="4" w:space="0"/>
              <w:right w:val="single" w:color="auto" w:sz="4" w:space="0"/>
            </w:tcBorders>
            <w:vAlign w:val="center"/>
          </w:tcPr>
          <w:p w14:paraId="500DF13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100≤Y＜2000</w:t>
            </w:r>
          </w:p>
        </w:tc>
        <w:tc>
          <w:tcPr>
            <w:tcW w:w="1091" w:type="dxa"/>
            <w:tcBorders>
              <w:top w:val="nil"/>
              <w:left w:val="nil"/>
              <w:bottom w:val="single" w:color="auto" w:sz="4" w:space="0"/>
              <w:right w:val="single" w:color="auto" w:sz="4" w:space="0"/>
            </w:tcBorders>
            <w:vAlign w:val="center"/>
          </w:tcPr>
          <w:p w14:paraId="41EBB80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w:t>
            </w:r>
          </w:p>
        </w:tc>
      </w:tr>
      <w:tr w14:paraId="4E3668BD">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699FE3C4">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信息传输业</w:t>
            </w:r>
          </w:p>
        </w:tc>
        <w:tc>
          <w:tcPr>
            <w:tcW w:w="1633" w:type="dxa"/>
            <w:tcBorders>
              <w:top w:val="nil"/>
              <w:left w:val="nil"/>
              <w:bottom w:val="single" w:color="auto" w:sz="4" w:space="0"/>
              <w:right w:val="single" w:color="auto" w:sz="4" w:space="0"/>
            </w:tcBorders>
            <w:vAlign w:val="center"/>
          </w:tcPr>
          <w:p w14:paraId="35F1B79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151DBA9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308CAB7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100≤X＜2000</w:t>
            </w:r>
          </w:p>
        </w:tc>
        <w:tc>
          <w:tcPr>
            <w:tcW w:w="1699" w:type="dxa"/>
            <w:tcBorders>
              <w:top w:val="nil"/>
              <w:left w:val="nil"/>
              <w:bottom w:val="single" w:color="auto" w:sz="4" w:space="0"/>
              <w:right w:val="single" w:color="auto" w:sz="4" w:space="0"/>
            </w:tcBorders>
            <w:vAlign w:val="center"/>
          </w:tcPr>
          <w:p w14:paraId="1F9AE84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10≤X＜100</w:t>
            </w:r>
          </w:p>
        </w:tc>
        <w:tc>
          <w:tcPr>
            <w:tcW w:w="1091" w:type="dxa"/>
            <w:tcBorders>
              <w:top w:val="nil"/>
              <w:left w:val="nil"/>
              <w:bottom w:val="single" w:color="auto" w:sz="4" w:space="0"/>
              <w:right w:val="single" w:color="auto" w:sz="4" w:space="0"/>
            </w:tcBorders>
            <w:vAlign w:val="center"/>
          </w:tcPr>
          <w:p w14:paraId="14CE6CF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w:t>
            </w:r>
          </w:p>
        </w:tc>
      </w:tr>
      <w:tr w14:paraId="661D9BBF">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185CF8EC">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41C63C8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6D0D6CE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37187E1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1000≤Y＜100000</w:t>
            </w:r>
          </w:p>
        </w:tc>
        <w:tc>
          <w:tcPr>
            <w:tcW w:w="1699" w:type="dxa"/>
            <w:tcBorders>
              <w:top w:val="nil"/>
              <w:left w:val="nil"/>
              <w:bottom w:val="single" w:color="auto" w:sz="4" w:space="0"/>
              <w:right w:val="single" w:color="auto" w:sz="4" w:space="0"/>
            </w:tcBorders>
            <w:vAlign w:val="center"/>
          </w:tcPr>
          <w:p w14:paraId="41A90E0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100≤Y＜1000</w:t>
            </w:r>
          </w:p>
        </w:tc>
        <w:tc>
          <w:tcPr>
            <w:tcW w:w="1091" w:type="dxa"/>
            <w:tcBorders>
              <w:top w:val="nil"/>
              <w:left w:val="nil"/>
              <w:bottom w:val="single" w:color="auto" w:sz="4" w:space="0"/>
              <w:right w:val="single" w:color="auto" w:sz="4" w:space="0"/>
            </w:tcBorders>
            <w:vAlign w:val="center"/>
          </w:tcPr>
          <w:p w14:paraId="0D8C9AD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w:t>
            </w:r>
          </w:p>
        </w:tc>
      </w:tr>
      <w:tr w14:paraId="7397B476">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18ECE693">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软件和信息技术服务业</w:t>
            </w:r>
          </w:p>
        </w:tc>
        <w:tc>
          <w:tcPr>
            <w:tcW w:w="1633" w:type="dxa"/>
            <w:tcBorders>
              <w:top w:val="nil"/>
              <w:left w:val="nil"/>
              <w:bottom w:val="single" w:color="auto" w:sz="4" w:space="0"/>
              <w:right w:val="single" w:color="auto" w:sz="4" w:space="0"/>
            </w:tcBorders>
            <w:vAlign w:val="center"/>
          </w:tcPr>
          <w:p w14:paraId="5356565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323C1A2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46C356D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100≤X＜300</w:t>
            </w:r>
          </w:p>
        </w:tc>
        <w:tc>
          <w:tcPr>
            <w:tcW w:w="1699" w:type="dxa"/>
            <w:tcBorders>
              <w:top w:val="nil"/>
              <w:left w:val="nil"/>
              <w:bottom w:val="single" w:color="auto" w:sz="4" w:space="0"/>
              <w:right w:val="single" w:color="auto" w:sz="4" w:space="0"/>
            </w:tcBorders>
            <w:vAlign w:val="center"/>
          </w:tcPr>
          <w:p w14:paraId="4EE7D47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10≤X＜100</w:t>
            </w:r>
          </w:p>
        </w:tc>
        <w:tc>
          <w:tcPr>
            <w:tcW w:w="1091" w:type="dxa"/>
            <w:tcBorders>
              <w:top w:val="nil"/>
              <w:left w:val="nil"/>
              <w:bottom w:val="single" w:color="auto" w:sz="4" w:space="0"/>
              <w:right w:val="single" w:color="auto" w:sz="4" w:space="0"/>
            </w:tcBorders>
            <w:vAlign w:val="center"/>
          </w:tcPr>
          <w:p w14:paraId="2ECFC3C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w:t>
            </w:r>
          </w:p>
        </w:tc>
      </w:tr>
      <w:tr w14:paraId="65AC45BF">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1DF31206">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11072D1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5B59E56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22C2B20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1000≤Y＜10000</w:t>
            </w:r>
          </w:p>
        </w:tc>
        <w:tc>
          <w:tcPr>
            <w:tcW w:w="1699" w:type="dxa"/>
            <w:tcBorders>
              <w:top w:val="nil"/>
              <w:left w:val="nil"/>
              <w:bottom w:val="single" w:color="auto" w:sz="4" w:space="0"/>
              <w:right w:val="single" w:color="auto" w:sz="4" w:space="0"/>
            </w:tcBorders>
            <w:vAlign w:val="center"/>
          </w:tcPr>
          <w:p w14:paraId="2233A76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50≤Y＜1000</w:t>
            </w:r>
          </w:p>
        </w:tc>
        <w:tc>
          <w:tcPr>
            <w:tcW w:w="1091" w:type="dxa"/>
            <w:tcBorders>
              <w:top w:val="nil"/>
              <w:left w:val="nil"/>
              <w:bottom w:val="single" w:color="auto" w:sz="4" w:space="0"/>
              <w:right w:val="single" w:color="auto" w:sz="4" w:space="0"/>
            </w:tcBorders>
            <w:vAlign w:val="center"/>
          </w:tcPr>
          <w:p w14:paraId="32AB035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Y＜50</w:t>
            </w:r>
          </w:p>
        </w:tc>
      </w:tr>
      <w:tr w14:paraId="6ADEC279">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1CFC971E">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房地产开发经营</w:t>
            </w:r>
          </w:p>
        </w:tc>
        <w:tc>
          <w:tcPr>
            <w:tcW w:w="1633" w:type="dxa"/>
            <w:tcBorders>
              <w:top w:val="nil"/>
              <w:left w:val="nil"/>
              <w:bottom w:val="single" w:color="auto" w:sz="4" w:space="0"/>
              <w:right w:val="single" w:color="auto" w:sz="4" w:space="0"/>
            </w:tcBorders>
            <w:vAlign w:val="center"/>
          </w:tcPr>
          <w:p w14:paraId="213E0E8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64BF0B9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102D219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1000≤Y＜200000</w:t>
            </w:r>
          </w:p>
        </w:tc>
        <w:tc>
          <w:tcPr>
            <w:tcW w:w="1699" w:type="dxa"/>
            <w:tcBorders>
              <w:top w:val="nil"/>
              <w:left w:val="nil"/>
              <w:bottom w:val="single" w:color="auto" w:sz="4" w:space="0"/>
              <w:right w:val="single" w:color="auto" w:sz="4" w:space="0"/>
            </w:tcBorders>
            <w:vAlign w:val="center"/>
          </w:tcPr>
          <w:p w14:paraId="2E6F318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100≤X＜1000</w:t>
            </w:r>
          </w:p>
        </w:tc>
        <w:tc>
          <w:tcPr>
            <w:tcW w:w="1091" w:type="dxa"/>
            <w:tcBorders>
              <w:top w:val="nil"/>
              <w:left w:val="nil"/>
              <w:bottom w:val="single" w:color="auto" w:sz="4" w:space="0"/>
              <w:right w:val="single" w:color="auto" w:sz="4" w:space="0"/>
            </w:tcBorders>
            <w:vAlign w:val="center"/>
          </w:tcPr>
          <w:p w14:paraId="7ACB789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X＜100</w:t>
            </w:r>
          </w:p>
        </w:tc>
      </w:tr>
      <w:tr w14:paraId="28AF2C0A">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7ED79902">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3015E81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资产总额（Z）</w:t>
            </w:r>
          </w:p>
        </w:tc>
        <w:tc>
          <w:tcPr>
            <w:tcW w:w="1077" w:type="dxa"/>
            <w:tcBorders>
              <w:top w:val="nil"/>
              <w:left w:val="nil"/>
              <w:bottom w:val="single" w:color="auto" w:sz="4" w:space="0"/>
              <w:right w:val="single" w:color="auto" w:sz="4" w:space="0"/>
            </w:tcBorders>
            <w:vAlign w:val="center"/>
          </w:tcPr>
          <w:p w14:paraId="5374EE9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47F271A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5000≤Z＜10000</w:t>
            </w:r>
          </w:p>
        </w:tc>
        <w:tc>
          <w:tcPr>
            <w:tcW w:w="1699" w:type="dxa"/>
            <w:tcBorders>
              <w:top w:val="nil"/>
              <w:left w:val="nil"/>
              <w:bottom w:val="single" w:color="auto" w:sz="4" w:space="0"/>
              <w:right w:val="single" w:color="auto" w:sz="4" w:space="0"/>
            </w:tcBorders>
            <w:vAlign w:val="center"/>
          </w:tcPr>
          <w:p w14:paraId="3AFEAFC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2000≤Y＜5000</w:t>
            </w:r>
          </w:p>
        </w:tc>
        <w:tc>
          <w:tcPr>
            <w:tcW w:w="1091" w:type="dxa"/>
            <w:tcBorders>
              <w:top w:val="nil"/>
              <w:left w:val="nil"/>
              <w:bottom w:val="single" w:color="auto" w:sz="4" w:space="0"/>
              <w:right w:val="single" w:color="auto" w:sz="4" w:space="0"/>
            </w:tcBorders>
            <w:vAlign w:val="center"/>
          </w:tcPr>
          <w:p w14:paraId="57A9D07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Y＜2000</w:t>
            </w:r>
          </w:p>
        </w:tc>
      </w:tr>
      <w:tr w14:paraId="3639556A">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6339480F">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物业管理</w:t>
            </w:r>
          </w:p>
        </w:tc>
        <w:tc>
          <w:tcPr>
            <w:tcW w:w="1633" w:type="dxa"/>
            <w:tcBorders>
              <w:top w:val="nil"/>
              <w:left w:val="nil"/>
              <w:bottom w:val="single" w:color="auto" w:sz="4" w:space="0"/>
              <w:right w:val="single" w:color="auto" w:sz="4" w:space="0"/>
            </w:tcBorders>
            <w:vAlign w:val="center"/>
          </w:tcPr>
          <w:p w14:paraId="278E4BC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18FDF37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61715AA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300≤X＜1000</w:t>
            </w:r>
          </w:p>
        </w:tc>
        <w:tc>
          <w:tcPr>
            <w:tcW w:w="1699" w:type="dxa"/>
            <w:tcBorders>
              <w:top w:val="nil"/>
              <w:left w:val="nil"/>
              <w:bottom w:val="single" w:color="auto" w:sz="4" w:space="0"/>
              <w:right w:val="single" w:color="auto" w:sz="4" w:space="0"/>
            </w:tcBorders>
            <w:vAlign w:val="center"/>
          </w:tcPr>
          <w:p w14:paraId="54B02E6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100≤X＜300</w:t>
            </w:r>
          </w:p>
        </w:tc>
        <w:tc>
          <w:tcPr>
            <w:tcW w:w="1091" w:type="dxa"/>
            <w:tcBorders>
              <w:top w:val="nil"/>
              <w:left w:val="nil"/>
              <w:bottom w:val="single" w:color="auto" w:sz="4" w:space="0"/>
              <w:right w:val="single" w:color="auto" w:sz="4" w:space="0"/>
            </w:tcBorders>
            <w:vAlign w:val="center"/>
          </w:tcPr>
          <w:p w14:paraId="05F229C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X＜100</w:t>
            </w:r>
          </w:p>
        </w:tc>
      </w:tr>
      <w:tr w14:paraId="63A5377B">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508E9E18">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0A53EFB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511FEFA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5139F85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1000≤Y＜5000</w:t>
            </w:r>
          </w:p>
        </w:tc>
        <w:tc>
          <w:tcPr>
            <w:tcW w:w="1699" w:type="dxa"/>
            <w:tcBorders>
              <w:top w:val="nil"/>
              <w:left w:val="nil"/>
              <w:bottom w:val="single" w:color="auto" w:sz="4" w:space="0"/>
              <w:right w:val="single" w:color="auto" w:sz="4" w:space="0"/>
            </w:tcBorders>
            <w:vAlign w:val="center"/>
          </w:tcPr>
          <w:p w14:paraId="37F9FD0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500≤Y＜1000</w:t>
            </w:r>
          </w:p>
        </w:tc>
        <w:tc>
          <w:tcPr>
            <w:tcW w:w="1091" w:type="dxa"/>
            <w:tcBorders>
              <w:top w:val="nil"/>
              <w:left w:val="nil"/>
              <w:bottom w:val="single" w:color="auto" w:sz="4" w:space="0"/>
              <w:right w:val="single" w:color="auto" w:sz="4" w:space="0"/>
            </w:tcBorders>
            <w:vAlign w:val="center"/>
          </w:tcPr>
          <w:p w14:paraId="0C6D997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Y＜500</w:t>
            </w:r>
          </w:p>
        </w:tc>
      </w:tr>
      <w:tr w14:paraId="2F36D5CD">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544E4DF0">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租赁和商务服务业</w:t>
            </w:r>
          </w:p>
        </w:tc>
        <w:tc>
          <w:tcPr>
            <w:tcW w:w="1633" w:type="dxa"/>
            <w:tcBorders>
              <w:top w:val="nil"/>
              <w:left w:val="nil"/>
              <w:bottom w:val="single" w:color="auto" w:sz="4" w:space="0"/>
              <w:right w:val="single" w:color="auto" w:sz="4" w:space="0"/>
            </w:tcBorders>
            <w:vAlign w:val="center"/>
          </w:tcPr>
          <w:p w14:paraId="5B10CB6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2E56FDE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5A56C96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100≤X＜300</w:t>
            </w:r>
          </w:p>
        </w:tc>
        <w:tc>
          <w:tcPr>
            <w:tcW w:w="1699" w:type="dxa"/>
            <w:tcBorders>
              <w:top w:val="nil"/>
              <w:left w:val="nil"/>
              <w:bottom w:val="single" w:color="auto" w:sz="4" w:space="0"/>
              <w:right w:val="single" w:color="auto" w:sz="4" w:space="0"/>
            </w:tcBorders>
            <w:vAlign w:val="center"/>
          </w:tcPr>
          <w:p w14:paraId="4E79496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10≤X＜100</w:t>
            </w:r>
          </w:p>
        </w:tc>
        <w:tc>
          <w:tcPr>
            <w:tcW w:w="1091" w:type="dxa"/>
            <w:tcBorders>
              <w:top w:val="nil"/>
              <w:left w:val="nil"/>
              <w:bottom w:val="single" w:color="auto" w:sz="4" w:space="0"/>
              <w:right w:val="single" w:color="auto" w:sz="4" w:space="0"/>
            </w:tcBorders>
            <w:vAlign w:val="center"/>
          </w:tcPr>
          <w:p w14:paraId="1E01340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w:t>
            </w:r>
          </w:p>
        </w:tc>
      </w:tr>
      <w:tr w14:paraId="2B57D001">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65B4F5B5">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6A43119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资产总额（Z）</w:t>
            </w:r>
          </w:p>
        </w:tc>
        <w:tc>
          <w:tcPr>
            <w:tcW w:w="1077" w:type="dxa"/>
            <w:tcBorders>
              <w:top w:val="nil"/>
              <w:left w:val="nil"/>
              <w:bottom w:val="single" w:color="auto" w:sz="4" w:space="0"/>
              <w:right w:val="single" w:color="auto" w:sz="4" w:space="0"/>
            </w:tcBorders>
            <w:vAlign w:val="center"/>
          </w:tcPr>
          <w:p w14:paraId="2A06E33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654682A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8000≤Z＜120000</w:t>
            </w:r>
          </w:p>
        </w:tc>
        <w:tc>
          <w:tcPr>
            <w:tcW w:w="1699" w:type="dxa"/>
            <w:tcBorders>
              <w:top w:val="nil"/>
              <w:left w:val="nil"/>
              <w:bottom w:val="single" w:color="auto" w:sz="4" w:space="0"/>
              <w:right w:val="single" w:color="auto" w:sz="4" w:space="0"/>
            </w:tcBorders>
            <w:vAlign w:val="center"/>
          </w:tcPr>
          <w:p w14:paraId="5D0F0ED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100≤Z＜8000</w:t>
            </w:r>
          </w:p>
        </w:tc>
        <w:tc>
          <w:tcPr>
            <w:tcW w:w="1091" w:type="dxa"/>
            <w:tcBorders>
              <w:top w:val="nil"/>
              <w:left w:val="nil"/>
              <w:bottom w:val="single" w:color="auto" w:sz="4" w:space="0"/>
              <w:right w:val="single" w:color="auto" w:sz="4" w:space="0"/>
            </w:tcBorders>
            <w:vAlign w:val="center"/>
          </w:tcPr>
          <w:p w14:paraId="25B8531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w:t>
            </w:r>
          </w:p>
        </w:tc>
      </w:tr>
      <w:tr w14:paraId="3360DC10">
        <w:tblPrEx>
          <w:tblCellMar>
            <w:top w:w="0" w:type="dxa"/>
            <w:left w:w="108" w:type="dxa"/>
            <w:bottom w:w="0" w:type="dxa"/>
            <w:right w:w="108" w:type="dxa"/>
          </w:tblCellMar>
        </w:tblPrEx>
        <w:trPr>
          <w:trHeight w:val="375" w:hRule="atLeast"/>
        </w:trPr>
        <w:tc>
          <w:tcPr>
            <w:tcW w:w="2007" w:type="dxa"/>
            <w:tcBorders>
              <w:top w:val="nil"/>
              <w:left w:val="single" w:color="auto" w:sz="4" w:space="0"/>
              <w:bottom w:val="single" w:color="auto" w:sz="4" w:space="0"/>
              <w:right w:val="single" w:color="auto" w:sz="4" w:space="0"/>
            </w:tcBorders>
            <w:vAlign w:val="bottom"/>
          </w:tcPr>
          <w:p w14:paraId="62D37081">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其他未列明行业</w:t>
            </w:r>
          </w:p>
        </w:tc>
        <w:tc>
          <w:tcPr>
            <w:tcW w:w="1633" w:type="dxa"/>
            <w:tcBorders>
              <w:top w:val="nil"/>
              <w:left w:val="nil"/>
              <w:bottom w:val="single" w:color="auto" w:sz="4" w:space="0"/>
              <w:right w:val="single" w:color="auto" w:sz="4" w:space="0"/>
            </w:tcBorders>
            <w:vAlign w:val="center"/>
          </w:tcPr>
          <w:p w14:paraId="6490034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03DA31F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64BB26D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100≤X＜300</w:t>
            </w:r>
          </w:p>
        </w:tc>
        <w:tc>
          <w:tcPr>
            <w:tcW w:w="1699" w:type="dxa"/>
            <w:tcBorders>
              <w:top w:val="nil"/>
              <w:left w:val="nil"/>
              <w:bottom w:val="single" w:color="auto" w:sz="4" w:space="0"/>
              <w:right w:val="single" w:color="auto" w:sz="4" w:space="0"/>
            </w:tcBorders>
            <w:vAlign w:val="center"/>
          </w:tcPr>
          <w:p w14:paraId="7ACE181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10≤X＜100</w:t>
            </w:r>
          </w:p>
        </w:tc>
        <w:tc>
          <w:tcPr>
            <w:tcW w:w="1091" w:type="dxa"/>
            <w:tcBorders>
              <w:top w:val="nil"/>
              <w:left w:val="nil"/>
              <w:bottom w:val="single" w:color="auto" w:sz="4" w:space="0"/>
              <w:right w:val="single" w:color="auto" w:sz="4" w:space="0"/>
            </w:tcBorders>
            <w:vAlign w:val="center"/>
          </w:tcPr>
          <w:p w14:paraId="4F7E17B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w:t>
            </w:r>
          </w:p>
        </w:tc>
      </w:tr>
    </w:tbl>
    <w:p w14:paraId="07B04FA0">
      <w:pPr>
        <w:spacing w:line="360" w:lineRule="auto"/>
        <w:ind w:firstLine="602" w:firstLineChars="250"/>
        <w:rPr>
          <w:rFonts w:ascii="楷体" w:hAnsi="楷体" w:eastAsia="楷体" w:cs="宋体"/>
          <w:b/>
          <w:color w:val="auto"/>
          <w:sz w:val="24"/>
          <w:highlight w:val="none"/>
        </w:rPr>
      </w:pPr>
      <w:r>
        <w:rPr>
          <w:rFonts w:hint="eastAsia" w:ascii="楷体" w:hAnsi="楷体" w:eastAsia="楷体" w:cs="宋体"/>
          <w:b/>
          <w:color w:val="auto"/>
          <w:sz w:val="24"/>
          <w:highlight w:val="none"/>
        </w:rPr>
        <w:t>说明：</w:t>
      </w:r>
    </w:p>
    <w:p w14:paraId="25E73312">
      <w:pPr>
        <w:spacing w:line="360" w:lineRule="auto"/>
        <w:ind w:firstLine="600" w:firstLineChars="250"/>
        <w:rPr>
          <w:rFonts w:ascii="楷体" w:hAnsi="楷体" w:eastAsia="楷体" w:cs="宋体"/>
          <w:color w:val="auto"/>
          <w:sz w:val="24"/>
          <w:highlight w:val="none"/>
        </w:rPr>
      </w:pPr>
      <w:r>
        <w:rPr>
          <w:rFonts w:hint="eastAsia" w:ascii="楷体" w:hAnsi="楷体" w:eastAsia="楷体" w:cs="宋体"/>
          <w:color w:val="auto"/>
          <w:sz w:val="24"/>
          <w:highlight w:val="none"/>
        </w:rPr>
        <w:t>上述标准参照《关于印发中小企业划型标准规定的通知》（工信部联企业</w:t>
      </w:r>
      <w:r>
        <w:rPr>
          <w:rFonts w:ascii="楷体" w:hAnsi="楷体" w:eastAsia="楷体" w:cs="宋体"/>
          <w:color w:val="auto"/>
          <w:sz w:val="24"/>
          <w:highlight w:val="none"/>
        </w:rPr>
        <w:t>[2011]300号），大型、中型和小型企业须同时满足所列指标的下限，否则下划一档；微型企业只须满足所列指标中的一项即可。</w:t>
      </w:r>
    </w:p>
    <w:p w14:paraId="3D64112C">
      <w:pPr>
        <w:pStyle w:val="2"/>
        <w:spacing w:before="0" w:after="0" w:line="360" w:lineRule="auto"/>
        <w:ind w:firstLine="883" w:firstLineChars="200"/>
        <w:jc w:val="left"/>
        <w:rPr>
          <w:rFonts w:ascii="宋体" w:hAnsi="宋体" w:cs="宋体"/>
          <w:color w:val="auto"/>
          <w:highlight w:val="none"/>
        </w:rPr>
      </w:pPr>
      <w:bookmarkStart w:id="25" w:name="_Toc207390929"/>
      <w:r>
        <w:rPr>
          <w:rFonts w:hint="eastAsia" w:ascii="宋体" w:hAnsi="宋体" w:cs="宋体"/>
          <w:color w:val="auto"/>
          <w:highlight w:val="none"/>
        </w:rPr>
        <w:t xml:space="preserve">第四章  </w:t>
      </w:r>
      <w:bookmarkStart w:id="26" w:name="_Hlk68601507"/>
      <w:r>
        <w:rPr>
          <w:rFonts w:hint="eastAsia" w:ascii="宋体" w:hAnsi="宋体" w:cs="宋体"/>
          <w:color w:val="auto"/>
          <w:highlight w:val="none"/>
        </w:rPr>
        <w:t>评审程序和评定成交的标准</w:t>
      </w:r>
      <w:bookmarkEnd w:id="25"/>
      <w:bookmarkEnd w:id="26"/>
    </w:p>
    <w:p w14:paraId="42F391F0">
      <w:pPr>
        <w:spacing w:line="360" w:lineRule="auto"/>
        <w:jc w:val="center"/>
        <w:rPr>
          <w:rFonts w:ascii="宋体" w:hAnsi="宋体" w:cs="宋体"/>
          <w:b/>
          <w:color w:val="auto"/>
          <w:sz w:val="32"/>
          <w:szCs w:val="32"/>
          <w:highlight w:val="none"/>
        </w:rPr>
      </w:pPr>
    </w:p>
    <w:p w14:paraId="15326C92">
      <w:pPr>
        <w:jc w:val="center"/>
        <w:rPr>
          <w:rFonts w:ascii="宋体" w:hAnsi="宋体" w:cs="宋体"/>
          <w:b/>
          <w:color w:val="auto"/>
          <w:sz w:val="32"/>
          <w:szCs w:val="32"/>
          <w:highlight w:val="none"/>
        </w:rPr>
      </w:pPr>
      <w:r>
        <w:rPr>
          <w:rFonts w:hint="eastAsia" w:ascii="宋体" w:hAnsi="宋体" w:cs="宋体"/>
          <w:b/>
          <w:color w:val="auto"/>
          <w:sz w:val="32"/>
          <w:szCs w:val="32"/>
          <w:highlight w:val="none"/>
        </w:rPr>
        <w:t>一、评审程序</w:t>
      </w:r>
    </w:p>
    <w:p w14:paraId="4A7BE259">
      <w:pPr>
        <w:spacing w:line="360" w:lineRule="auto"/>
        <w:ind w:firstLine="482" w:firstLineChars="200"/>
        <w:rPr>
          <w:rFonts w:ascii="宋体" w:hAnsi="宋体" w:cs="宋体"/>
          <w:b/>
          <w:bCs/>
          <w:color w:val="auto"/>
          <w:sz w:val="24"/>
          <w:highlight w:val="none"/>
        </w:rPr>
      </w:pPr>
    </w:p>
    <w:p w14:paraId="0DA74AD9">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1.确认谈判文件</w:t>
      </w:r>
    </w:p>
    <w:p w14:paraId="65EF2A7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由谈判小组确认谈判文件。</w:t>
      </w:r>
    </w:p>
    <w:p w14:paraId="233DFE70">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2.资格审查</w:t>
      </w:r>
    </w:p>
    <w:p w14:paraId="1C56E04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2.1响应文件开启后，谈判小组依法对供应商的资格证明文件进行审查。</w:t>
      </w:r>
    </w:p>
    <w:p w14:paraId="4BE722F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（1）查询渠道：“信用中国”网站（www.creditchina.gov.cn）、中国政府采购网（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s="宋体"/>
          <w:color w:val="auto"/>
          <w:sz w:val="24"/>
          <w:highlight w:val="none"/>
        </w:rPr>
        <w:t>www.ccgp.gov.cn</w:t>
      </w:r>
      <w:r>
        <w:rPr>
          <w:rFonts w:hint="eastAsia" w:ascii="宋体" w:hAnsi="宋体" w:cs="宋体"/>
          <w:color w:val="auto"/>
          <w:sz w:val="24"/>
          <w:highlight w:val="none"/>
        </w:rPr>
        <w:fldChar w:fldCharType="end"/>
      </w:r>
      <w:r>
        <w:rPr>
          <w:rFonts w:hint="eastAsia" w:ascii="宋体" w:hAnsi="宋体" w:cs="宋体"/>
          <w:color w:val="auto"/>
          <w:sz w:val="24"/>
          <w:highlight w:val="none"/>
        </w:rPr>
        <w:t xml:space="preserve">） </w:t>
      </w:r>
    </w:p>
    <w:p w14:paraId="7D3449E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（2）信用查询截止时点：资格审查结束前</w:t>
      </w:r>
    </w:p>
    <w:p w14:paraId="5A03C7EE">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（3）查询记录和证据留存方式：将查询网站中的查询记录截图并作为评审资料保存。</w:t>
      </w:r>
    </w:p>
    <w:p w14:paraId="5E19EB79">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（4）信用信息使用规则：信用信息使用规则：根据财政部《关于在政府采购活动中查询及使用信用记录有关问题的通知》（财库〔2016〕125号）的规定，对在“信用中国”网站(www.creditchina.gov.cn)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236B5E0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2.2资格审查标准为本谈判文件中载明对供应商资格要求的条件。本项目资格审查采用合格制，凡符合谈判文件规定的供应商资格要求的供应商均通过资格审查。</w:t>
      </w:r>
    </w:p>
    <w:p w14:paraId="6902B03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供应商有下列情形之一的，资格审查不通过，其响应文件按无效响应处理：</w:t>
      </w:r>
    </w:p>
    <w:p w14:paraId="272F3C5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（1）不具备谈判文件中规定的资格要求的；</w:t>
      </w:r>
    </w:p>
    <w:p w14:paraId="5A2ADA4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（2）响应文件中的资格证明文件缺少任一项“供应商须知前附表”资格证明文件规定的“必须提供”的文件资料的；</w:t>
      </w:r>
    </w:p>
    <w:p w14:paraId="3905B01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（3）响应文件中的资格证明文件出现任一项不符合“供应商须知前附表”资格证明文件规定的“必须提供”的文件资料要求或者无效的；</w:t>
      </w:r>
    </w:p>
    <w:p w14:paraId="2A4210D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（4）同一合同项下的不同供应商，单位负责人为同一人或者存在直接控股、管理关系的；为本项目提供过整体设计、规范编制或者项目管理、监理、检测等服务的供应商，再参加该采购项目的其他采购活动的。</w:t>
      </w:r>
    </w:p>
    <w:p w14:paraId="438CECC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2.4通过资格审查的合格供应商不足3家（本章3.7条规定除外）的，不得进入符合性审查环节，应当重新开展采购活动。</w:t>
      </w:r>
    </w:p>
    <w:p w14:paraId="10659FD6">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3.符合性审查</w:t>
      </w:r>
    </w:p>
    <w:p w14:paraId="25B1980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3.1由谈判小组对资格审查的合格的供应商的响应文件进行</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报价、商务、技术等实质性要求符合性审查，以确定其是否满足谈判文件的实质性要求。</w:t>
      </w:r>
    </w:p>
    <w:p w14:paraId="292222B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D9B1FC6">
      <w:pPr>
        <w:spacing w:line="360" w:lineRule="auto"/>
        <w:ind w:firstLine="480" w:firstLineChars="200"/>
        <w:rPr>
          <w:rFonts w:ascii="宋体" w:hAnsi="宋体" w:cs="宋体"/>
          <w:color w:val="auto"/>
          <w:spacing w:val="-6"/>
          <w:sz w:val="24"/>
          <w:highlight w:val="none"/>
        </w:rPr>
      </w:pPr>
      <w:r>
        <w:rPr>
          <w:rFonts w:hint="eastAsia" w:ascii="宋体" w:hAnsi="宋体" w:cs="宋体"/>
          <w:color w:val="auto"/>
          <w:sz w:val="24"/>
          <w:highlight w:val="none"/>
        </w:rPr>
        <w:t>3.3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由法定代表人或者其委托代理人签字或者加盖供应商公章。</w:t>
      </w:r>
    </w:p>
    <w:p w14:paraId="631EBF7A">
      <w:pPr>
        <w:spacing w:line="360" w:lineRule="auto"/>
        <w:ind w:firstLine="456" w:firstLineChars="200"/>
        <w:rPr>
          <w:rFonts w:ascii="宋体" w:hAnsi="宋体" w:cs="宋体"/>
          <w:color w:val="auto"/>
          <w:sz w:val="24"/>
          <w:highlight w:val="none"/>
        </w:rPr>
      </w:pPr>
      <w:r>
        <w:rPr>
          <w:rFonts w:hint="eastAsia" w:ascii="宋体" w:hAnsi="宋体" w:cs="宋体"/>
          <w:color w:val="auto"/>
          <w:spacing w:val="-6"/>
          <w:sz w:val="24"/>
          <w:highlight w:val="none"/>
        </w:rPr>
        <w:t>3.4</w:t>
      </w:r>
      <w:r>
        <w:rPr>
          <w:rFonts w:hint="eastAsia" w:ascii="宋体" w:hAnsi="宋体" w:cs="宋体"/>
          <w:color w:val="auto"/>
          <w:sz w:val="24"/>
          <w:highlight w:val="none"/>
        </w:rPr>
        <w:t xml:space="preserve">首次响应文件报价出现前后不一致的，按照下列规定修正： </w:t>
      </w:r>
    </w:p>
    <w:p w14:paraId="2DA48F4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（1）响应文件中报价表内容与响应文件中相应内容不一致的，以报价表为准；</w:t>
      </w:r>
    </w:p>
    <w:p w14:paraId="1D19561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（2）大写金额和小写金额不一致的，以大写金额为准；</w:t>
      </w:r>
    </w:p>
    <w:p w14:paraId="7009364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（3）单价金额小数点或者百分比有明显错位的，以报价表的总价为准，并修改单价；</w:t>
      </w:r>
    </w:p>
    <w:p w14:paraId="2C7528C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（4）总价金额与按单价汇总金额不一致的，以单价金额计算结果为准。</w:t>
      </w:r>
    </w:p>
    <w:p w14:paraId="25AA171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同时出现两种以上不一致的，按照以上（1）-（4）规定的顺序逐条进行修正。修正后的报价经供应商确认后产生约束力，供应商不确认的，其响应文件按无效响应处理。</w:t>
      </w:r>
    </w:p>
    <w:p w14:paraId="0943803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3.5商务技术报价评审</w:t>
      </w:r>
    </w:p>
    <w:p w14:paraId="7D9A17F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在评审时，如发现下列情形之一的，将被视为响应文件无效响应处理：</w:t>
      </w:r>
    </w:p>
    <w:p w14:paraId="1B97419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（1）商务技术评审</w:t>
      </w:r>
    </w:p>
    <w:p w14:paraId="14BC214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1）响应文件未按谈判文件要求签署、盖章的；</w:t>
      </w:r>
    </w:p>
    <w:p w14:paraId="1055C8C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2）委托代理人未能出具有效身份证或者出具的身份证与授权委托书中的信息不符的； </w:t>
      </w:r>
    </w:p>
    <w:p w14:paraId="460483A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3）提交的谈判保证金无效的或者未按照谈判文件的规定提交谈判保证金；</w:t>
      </w:r>
    </w:p>
    <w:p w14:paraId="363ADC0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4）响应文件中的报价商务技术文件出现任一项不符合“供应商须知前附表”中“必须提供”或者“委托时必须提供”文件资料要求的规定或者提供的报价商务技术文件无效。</w:t>
      </w:r>
    </w:p>
    <w:p w14:paraId="0B17F44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5）商务条款中标“▲”的条款发生负偏离或者允许负偏离的条款数超过“供应商须知前附表”规定项数的；</w:t>
      </w:r>
    </w:p>
    <w:p w14:paraId="310210D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6）未对</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有效期作出响应或者响应文件承诺的</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有效期不满足谈判文件要求；</w:t>
      </w:r>
    </w:p>
    <w:p w14:paraId="374C0C6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7）响应文件的实质性内容未使用中文表述、使用计量单位不符合谈判文件要求的；</w:t>
      </w:r>
    </w:p>
    <w:p w14:paraId="7B84832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8）响应文件中的文件资料因填写不齐全或者内容虚假或者出现其他情形而导致被谈判小组认定无效的；</w:t>
      </w:r>
    </w:p>
    <w:p w14:paraId="25A8C17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9）响应文件含有采购人不能接受的附加条件的；</w:t>
      </w:r>
    </w:p>
    <w:p w14:paraId="5613D38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10）属于“供应商须知正文”第7.</w:t>
      </w:r>
      <w:r>
        <w:rPr>
          <w:rFonts w:ascii="宋体" w:hAnsi="宋体" w:cs="宋体"/>
          <w:color w:val="auto"/>
          <w:sz w:val="24"/>
          <w:highlight w:val="none"/>
        </w:rPr>
        <w:t>4</w:t>
      </w:r>
      <w:r>
        <w:rPr>
          <w:rFonts w:hint="eastAsia" w:ascii="宋体" w:hAnsi="宋体" w:cs="宋体"/>
          <w:color w:val="auto"/>
          <w:sz w:val="24"/>
          <w:highlight w:val="none"/>
        </w:rPr>
        <w:t>条的情形的；</w:t>
      </w:r>
    </w:p>
    <w:p w14:paraId="51A6598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11）技术要求中标“▲”的条款发生负偏离或允许负偏离的条款数超过“供应商须知前附表”规定项数的；</w:t>
      </w:r>
    </w:p>
    <w:p w14:paraId="75C4689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12）虚假响应，或者出现其他情形而导致被谈判小组认定无效的；</w:t>
      </w:r>
    </w:p>
    <w:p w14:paraId="0AECD0E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w:t>
      </w:r>
      <w:bookmarkStart w:id="27" w:name="_Hlk71704147"/>
      <w:r>
        <w:rPr>
          <w:rFonts w:hint="eastAsia" w:ascii="宋体" w:hAnsi="宋体" w:cs="宋体"/>
          <w:color w:val="auto"/>
          <w:sz w:val="24"/>
          <w:highlight w:val="none"/>
        </w:rPr>
        <w:t>谈判文件未载明允许提供备选（替代）响应方案或明确不允许提供备选（替代）响应方案时，供应商提供了备选（替代）响应方案的；</w:t>
      </w:r>
      <w:bookmarkEnd w:id="27"/>
    </w:p>
    <w:p w14:paraId="3A161CC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14）响应文件标注的项目名称或者项目编号与谈判文件标注的项目名称或者项目编号不一致的；</w:t>
      </w:r>
    </w:p>
    <w:p w14:paraId="7D5B04B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w:t>
      </w:r>
      <w:r>
        <w:rPr>
          <w:rFonts w:hint="eastAsia" w:ascii="宋体" w:hAnsi="宋体" w:cs="宋体"/>
          <w:b/>
          <w:color w:val="auto"/>
          <w:sz w:val="24"/>
          <w:highlight w:val="none"/>
        </w:rPr>
        <w:t>谈判文件明确不允许分包，响应文件拟分包的；</w:t>
      </w:r>
    </w:p>
    <w:p w14:paraId="27D0B51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16）未响应谈判文件实质性要求；</w:t>
      </w:r>
    </w:p>
    <w:p w14:paraId="0CBF769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17）法律、法规和谈判文件规定的其他无效情形。</w:t>
      </w:r>
    </w:p>
    <w:p w14:paraId="28354CC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（2）报价评审</w:t>
      </w:r>
    </w:p>
    <w:p w14:paraId="1FCF6AE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1）响应文件未提供“供应商须知前附表” 报价商务技术文件中规定的“</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报价表”的；</w:t>
      </w:r>
    </w:p>
    <w:p w14:paraId="7344D60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2）未采用人民币报价或者未按照谈判文件标明的币种报价的；</w:t>
      </w:r>
    </w:p>
    <w:p w14:paraId="32D336D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3）供应商未就所参与</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分标进行报价或者存在漏项报价的；供应商未就所参与</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分标的单项内容作唯一报价的；供应商未就所参与</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分标的全部内容作完整唯一总价报价的；供应商响应文件中存在有选择、有条件报价的（谈判文件允许有备选方案或者其他约定的除外）；</w:t>
      </w:r>
    </w:p>
    <w:p w14:paraId="0625354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报价（包含首次报价、最后报价）超过所参与</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分标规定的采购预算金额或者最高限价的；</w:t>
      </w:r>
    </w:p>
    <w:p w14:paraId="6BEB926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报价（包含首次报价、最后报价）超过分项采购预算金额或者最高限价的，其响应文件将作无效处理；</w:t>
      </w:r>
    </w:p>
    <w:p w14:paraId="475D1B8A">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）修正后的报价，供应商不确认的；或者经供应商确认修正后的最后报价超过所参与</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分标规定的采购预算金额或者最高限价（如本项目公布了最高限价）；</w:t>
      </w:r>
    </w:p>
    <w:p w14:paraId="59F662F6">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7</w:t>
      </w:r>
      <w:r>
        <w:rPr>
          <w:rFonts w:hint="eastAsia" w:ascii="宋体" w:hAnsi="宋体" w:cs="宋体"/>
          <w:color w:val="auto"/>
          <w:sz w:val="24"/>
          <w:highlight w:val="none"/>
        </w:rPr>
        <w:t>）响应文件响应的标的数量及单位与竞争性谈判采购文件要求实质性不一致的。</w:t>
      </w:r>
    </w:p>
    <w:p w14:paraId="5C3F4B6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谈判小组对响应文件进行评审，未实质性响应谈判文件的响应文件按无效响应处理。谈判小组应当将资格和符合性不通过的情况告知有关供应商。谈判小组从符合谈判文件规定的相应资格条件的供应商名单中确定不少于3家的供应商参加谈判。</w:t>
      </w:r>
    </w:p>
    <w:p w14:paraId="033DD9E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3.7竞争性谈判方式采购的货物、服务项目，竞争性谈判过程中提交响应文件或者经评审实质性响应文件要求的供应商只有两家时，采购人、采购代理机构按照《政府采购非招标采购方式管理办法》（财政部74号令）第四条经本级财政部门批准后可以与该两家供应商进行竞争性谈判采购，采购人、采购代理机构应当根据</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文件中的采购需求编制谈判文件，成立谈判小组，由谈判小组对谈判文件进行确认。</w:t>
      </w:r>
    </w:p>
    <w:p w14:paraId="76DC96E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3.8通过符合性审查的合格供应商不足3家的，不得进入谈判环节，应当重新开展采购活动。</w:t>
      </w:r>
    </w:p>
    <w:p w14:paraId="07961A07">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4.谈判程序</w:t>
      </w:r>
    </w:p>
    <w:p w14:paraId="24713D8F">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4.1谈判小组按照“供应商须知前附表”第26条确定的</w:t>
      </w:r>
      <w:r>
        <w:rPr>
          <w:rFonts w:hint="eastAsia" w:ascii="宋体" w:hAnsi="宋体" w:cs="宋体"/>
          <w:color w:val="auto"/>
          <w:sz w:val="24"/>
          <w:highlight w:val="none"/>
        </w:rPr>
        <w:t>顺序，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响应处理。</w:t>
      </w:r>
    </w:p>
    <w:p w14:paraId="2753679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4.2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45B936F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4.3对谈判文件作出的实质性变动是谈判文件的有效组成部分，谈判小组应当及时以电子谈判记录形式同时通知所有参加谈判的供应商。</w:t>
      </w:r>
    </w:p>
    <w:p w14:paraId="6D7E5CE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4.4供应商必须按照谈判文件的变动情况和谈判小组的要求以电子回函的形式重新提交响应文件，并由其法定代表人或者委托代理人签字或者加盖供应商公章。由委托代理人签字的，</w:t>
      </w:r>
      <w:r>
        <w:rPr>
          <w:rFonts w:hint="eastAsia" w:ascii="宋体" w:hAnsi="宋体" w:cs="宋体"/>
          <w:bCs/>
          <w:color w:val="auto"/>
          <w:sz w:val="24"/>
          <w:highlight w:val="none"/>
        </w:rPr>
        <w:t>若委托代理人不是响应文件中授权的委托代理人时，必须同时出示有效的授权委托书原件</w:t>
      </w:r>
      <w:r>
        <w:rPr>
          <w:rFonts w:hint="eastAsia" w:ascii="宋体" w:hAnsi="宋体" w:cs="宋体"/>
          <w:color w:val="auto"/>
          <w:sz w:val="24"/>
          <w:highlight w:val="none"/>
        </w:rPr>
        <w:t>。供应商为自然人的，必须由本人签字并附身份证明。参加谈判的供应商未在规定时间内以电子回函的形式重新提交响应文件的，视同退出谈判，其响应文件按无效响应处理。</w:t>
      </w:r>
    </w:p>
    <w:p w14:paraId="23BFB69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4.5谈判中，谈判的任何一方不得透露与谈判有关的其他供应商的技术资料、价格和其他信息。</w:t>
      </w:r>
    </w:p>
    <w:p w14:paraId="0CCD2F4E">
      <w:pPr>
        <w:tabs>
          <w:tab w:val="left" w:pos="283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4.6对谈判过程提交的响应文件进行有效性、完整性和响应程度审查，通过审查的合格供应商不足3家的，采购人或者采购代理机构应当重新开展采购活动。</w:t>
      </w:r>
    </w:p>
    <w:p w14:paraId="369C7264">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5.最后报价</w:t>
      </w:r>
    </w:p>
    <w:p w14:paraId="2ADD42D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5.1谈判文件能够详细列明采购标的的技术、服务要求的，谈判结束后，谈判小组应当要求所有继续参加谈判的供应商在规定时间内以电子文件形式提交最后报价，提交最后报价的供应商不得少于3家，除本章第3.7条外，否则必须重新采购。</w:t>
      </w:r>
    </w:p>
    <w:p w14:paraId="055AFEA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以电子文件形式提交最后报价。</w:t>
      </w:r>
    </w:p>
    <w:p w14:paraId="0EE791B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5.3最后报价是供应商响应文件的有效组成部分。</w:t>
      </w:r>
    </w:p>
    <w:p w14:paraId="64CD5BB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5.4已经提交响应文件的供应商，在提交最后报价之前，可以根据谈判情况退出谈判。采购人、采购代理机构将退还退出谈判的供应商的保证金。</w:t>
      </w:r>
    </w:p>
    <w:p w14:paraId="3545481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5.5供应商未在规定时间内提交最后报价的，视为退出谈判，其响应文件按无效响应处理。</w:t>
      </w:r>
    </w:p>
    <w:p w14:paraId="3DEB597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5.6谈判小组收齐某一分标最后报价后或达到规定时间后统一开启，谈判小组对最后报价进行有效性、完整性和响应程度的审查。</w:t>
      </w:r>
    </w:p>
    <w:p w14:paraId="08D3420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5.7响应文件首次及最后报价出现前后不一致的，按照本章第3.4条的规定修正。 </w:t>
      </w:r>
    </w:p>
    <w:p w14:paraId="2B98072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5.8经供应商确认修正后的最后报价作为评审及签订合同的依据。</w:t>
      </w:r>
    </w:p>
    <w:p w14:paraId="0257B83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5.9供应商出现最后报价按无效响应处理或者响应文件按无效响应处理时，谈判小组应当告知有关供应商。</w:t>
      </w:r>
    </w:p>
    <w:p w14:paraId="7A41F2C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5.10最后报价结束后，谈判小组不得再与供应商进行任何形式的商谈。</w:t>
      </w:r>
    </w:p>
    <w:p w14:paraId="4F0BF1B2">
      <w:pPr>
        <w:spacing w:line="360" w:lineRule="auto"/>
        <w:ind w:firstLine="472" w:firstLineChars="196"/>
        <w:rPr>
          <w:rFonts w:ascii="宋体" w:hAnsi="宋体" w:cs="宋体"/>
          <w:b/>
          <w:bCs/>
          <w:color w:val="auto"/>
          <w:sz w:val="24"/>
          <w:highlight w:val="none"/>
        </w:rPr>
      </w:pPr>
      <w:r>
        <w:rPr>
          <w:rFonts w:hint="eastAsia" w:ascii="宋体" w:hAnsi="宋体" w:cs="宋体"/>
          <w:b/>
          <w:bCs/>
          <w:color w:val="auto"/>
          <w:sz w:val="24"/>
          <w:highlight w:val="none"/>
        </w:rPr>
        <w:t>6.最后报价政府采购政策性扣除</w:t>
      </w:r>
    </w:p>
    <w:p w14:paraId="184420F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6.1评标价为供应商的最后报价进行政策性扣除后的价格，评标价只是作为评审时使用。最终成交供应商的成交金额等于最后报价（如有修正，以确认修正后的最后报价为准）。</w:t>
      </w:r>
    </w:p>
    <w:p w14:paraId="08B2764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6.2政策性扣除计算方法。</w:t>
      </w:r>
    </w:p>
    <w:p w14:paraId="416F8E7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根据《政府采购促进中小企业发展管理办法》</w:t>
      </w:r>
      <w:r>
        <w:rPr>
          <w:rFonts w:hint="eastAsia" w:hAnsi="宋体" w:cs="宋体"/>
          <w:bCs/>
          <w:color w:val="auto"/>
          <w:sz w:val="24"/>
          <w:highlight w:val="none"/>
        </w:rPr>
        <w:t>及《广西壮族自治区财政厅关于持续优化政府采购营商环境推动高质量发展的通知》</w:t>
      </w:r>
      <w:r>
        <w:rPr>
          <w:rFonts w:hint="eastAsia" w:ascii="宋体" w:hAnsi="宋体" w:cs="宋体"/>
          <w:color w:val="auto"/>
          <w:sz w:val="24"/>
          <w:highlight w:val="none"/>
        </w:rPr>
        <w:t>的规定，</w:t>
      </w:r>
      <w:r>
        <w:rPr>
          <w:rFonts w:hint="eastAsia" w:hAnsi="宋体" w:cs="宋体"/>
          <w:bCs/>
          <w:color w:val="auto"/>
          <w:sz w:val="24"/>
          <w:highlight w:val="none"/>
        </w:rPr>
        <w:t>调整对小微企业的价格评审优惠幅度</w:t>
      </w:r>
      <w:r>
        <w:rPr>
          <w:rFonts w:hint="eastAsia" w:ascii="宋体" w:hAnsi="宋体" w:cs="宋体"/>
          <w:color w:val="auto"/>
          <w:sz w:val="24"/>
          <w:highlight w:val="none"/>
        </w:rPr>
        <w:t>，供应商属于《政府采购促进中小企业发展管理办法》规定的小微企业的，对</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报价给予20%的扣除，用扣除后的价格参加评审；大中型企业与小微企业组成联合体或者大中型企业向一家或者多家小微企业分包，且联合协议或者分包意向协议约定小微企业的合同份额占到合同总金额30%以上的，对联合体或者大中型企业的报价给予6%的扣除，用扣除后的价格参加评审。符合上述规定对报价给予扣除的，扣除后的价格为评标价，即评标价=最后报价×（1 - 扣除比例）。</w:t>
      </w:r>
    </w:p>
    <w:p w14:paraId="6FB9C99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4578906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3D49CAA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6.5除上述情况外，评标价＝最后报价。</w:t>
      </w:r>
    </w:p>
    <w:p w14:paraId="52F0BB84">
      <w:pPr>
        <w:spacing w:line="360" w:lineRule="auto"/>
        <w:ind w:firstLine="480" w:firstLineChars="200"/>
        <w:rPr>
          <w:rFonts w:ascii="宋体" w:hAnsi="宋体" w:cs="宋体"/>
          <w:color w:val="auto"/>
          <w:sz w:val="24"/>
          <w:highlight w:val="none"/>
        </w:rPr>
      </w:pPr>
    </w:p>
    <w:p w14:paraId="092CE42D">
      <w:pPr>
        <w:spacing w:line="360" w:lineRule="auto"/>
        <w:jc w:val="center"/>
        <w:rPr>
          <w:rFonts w:ascii="宋体" w:hAnsi="宋体" w:cs="宋体"/>
          <w:b/>
          <w:color w:val="auto"/>
          <w:sz w:val="24"/>
          <w:highlight w:val="none"/>
        </w:rPr>
      </w:pPr>
    </w:p>
    <w:p w14:paraId="78569609">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二、评定成交的标准</w:t>
      </w:r>
    </w:p>
    <w:p w14:paraId="2CC6C45E">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7.成交候选人推荐原则</w:t>
      </w:r>
    </w:p>
    <w:p w14:paraId="60680F9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谈判小组应当从质量和服务均能满足谈判文件实质性响应要求的供应商中，按照评标价由低到高的顺序提出3名以上成交候选人（评标价相同时，按照最后报价由低到高顺序依次推荐；最后报价相同时，由谈判小组按“供应商须知前附表”第26条规定的顺序推荐）,并编写评审报告。</w:t>
      </w:r>
    </w:p>
    <w:p w14:paraId="132B95C3">
      <w:pPr>
        <w:pStyle w:val="2"/>
        <w:spacing w:before="0" w:after="0" w:line="360" w:lineRule="auto"/>
        <w:jc w:val="center"/>
        <w:rPr>
          <w:rFonts w:ascii="宋体" w:hAnsi="宋体" w:cs="宋体"/>
          <w:color w:val="auto"/>
          <w:highlight w:val="none"/>
        </w:rPr>
      </w:pPr>
      <w:r>
        <w:rPr>
          <w:rFonts w:hint="eastAsia" w:ascii="宋体" w:hAnsi="宋体" w:cs="宋体"/>
          <w:color w:val="auto"/>
          <w:sz w:val="24"/>
          <w:szCs w:val="24"/>
          <w:highlight w:val="none"/>
        </w:rPr>
        <w:br w:type="page"/>
      </w:r>
    </w:p>
    <w:p w14:paraId="359CE639">
      <w:pPr>
        <w:rPr>
          <w:rFonts w:ascii="宋体" w:hAnsi="宋体" w:cs="宋体"/>
          <w:color w:val="auto"/>
          <w:highlight w:val="none"/>
        </w:rPr>
      </w:pPr>
    </w:p>
    <w:p w14:paraId="5F38DBD7">
      <w:pPr>
        <w:pStyle w:val="2"/>
        <w:spacing w:before="0" w:after="0"/>
        <w:jc w:val="center"/>
        <w:rPr>
          <w:rFonts w:ascii="宋体" w:hAnsi="宋体" w:cs="宋体"/>
          <w:color w:val="auto"/>
          <w:highlight w:val="none"/>
        </w:rPr>
      </w:pPr>
      <w:bookmarkStart w:id="28" w:name="_Toc207390930"/>
      <w:r>
        <w:rPr>
          <w:rFonts w:hint="eastAsia" w:ascii="宋体" w:hAnsi="宋体" w:cs="宋体"/>
          <w:color w:val="auto"/>
          <w:highlight w:val="none"/>
        </w:rPr>
        <w:t>第五章 响应文件格式</w:t>
      </w:r>
      <w:bookmarkEnd w:id="28"/>
    </w:p>
    <w:p w14:paraId="2356BDB8">
      <w:pPr>
        <w:spacing w:line="240" w:lineRule="atLeast"/>
        <w:rPr>
          <w:rFonts w:ascii="宋体" w:hAnsi="宋体" w:cs="宋体"/>
          <w:b/>
          <w:color w:val="auto"/>
          <w:sz w:val="32"/>
          <w:szCs w:val="32"/>
          <w:highlight w:val="none"/>
        </w:rPr>
      </w:pPr>
    </w:p>
    <w:p w14:paraId="60087986">
      <w:pPr>
        <w:spacing w:line="240" w:lineRule="atLeast"/>
        <w:rPr>
          <w:rFonts w:ascii="宋体" w:hAnsi="宋体" w:cs="宋体"/>
          <w:b/>
          <w:color w:val="auto"/>
          <w:sz w:val="32"/>
          <w:szCs w:val="32"/>
          <w:highlight w:val="none"/>
        </w:rPr>
      </w:pPr>
    </w:p>
    <w:p w14:paraId="402AEB29">
      <w:pPr>
        <w:spacing w:line="360" w:lineRule="auto"/>
        <w:rPr>
          <w:rFonts w:ascii="宋体" w:hAnsi="宋体" w:cs="宋体"/>
          <w:b/>
          <w:color w:val="auto"/>
          <w:sz w:val="32"/>
          <w:szCs w:val="32"/>
          <w:highlight w:val="none"/>
        </w:rPr>
      </w:pPr>
      <w:bookmarkStart w:id="29" w:name="_Toc71365382"/>
      <w:bookmarkStart w:id="30" w:name="_Toc71366060"/>
      <w:r>
        <w:rPr>
          <w:rFonts w:hint="eastAsia" w:ascii="宋体" w:hAnsi="宋体" w:cs="宋体"/>
          <w:b/>
          <w:color w:val="auto"/>
          <w:sz w:val="32"/>
          <w:szCs w:val="32"/>
          <w:highlight w:val="none"/>
        </w:rPr>
        <w:t>一、资格证明文件格式</w:t>
      </w:r>
      <w:bookmarkEnd w:id="29"/>
      <w:bookmarkEnd w:id="30"/>
    </w:p>
    <w:p w14:paraId="498C69CC">
      <w:pPr>
        <w:snapToGrid w:val="0"/>
        <w:spacing w:line="360" w:lineRule="auto"/>
        <w:jc w:val="left"/>
        <w:rPr>
          <w:rFonts w:ascii="宋体" w:hAnsi="宋体" w:cs="宋体"/>
          <w:b/>
          <w:color w:val="auto"/>
          <w:sz w:val="24"/>
          <w:highlight w:val="none"/>
        </w:rPr>
      </w:pPr>
      <w:r>
        <w:rPr>
          <w:rFonts w:hint="eastAsia" w:ascii="宋体" w:hAnsi="宋体" w:cs="宋体"/>
          <w:b/>
          <w:color w:val="auto"/>
          <w:sz w:val="32"/>
          <w:szCs w:val="32"/>
          <w:highlight w:val="none"/>
        </w:rPr>
        <w:t>1.资格证明文件封面格式：</w:t>
      </w:r>
      <w:r>
        <w:rPr>
          <w:rFonts w:hint="eastAsia" w:ascii="宋体" w:hAnsi="宋体" w:cs="宋体"/>
          <w:b/>
          <w:color w:val="auto"/>
          <w:sz w:val="24"/>
          <w:highlight w:val="none"/>
        </w:rPr>
        <w:t xml:space="preserve"> </w:t>
      </w:r>
    </w:p>
    <w:p w14:paraId="2AC39226">
      <w:pPr>
        <w:snapToGrid w:val="0"/>
        <w:spacing w:line="360" w:lineRule="auto"/>
        <w:rPr>
          <w:rFonts w:ascii="宋体" w:hAnsi="宋体" w:cs="宋体"/>
          <w:bCs/>
          <w:color w:val="auto"/>
          <w:sz w:val="32"/>
          <w:szCs w:val="20"/>
          <w:highlight w:val="none"/>
        </w:rPr>
      </w:pPr>
      <w:r>
        <w:rPr>
          <w:rFonts w:hint="eastAsia" w:ascii="宋体" w:hAnsi="宋体" w:cs="宋体"/>
          <w:color w:val="auto"/>
          <w:sz w:val="24"/>
          <w:highlight w:val="none"/>
        </w:rPr>
        <w:t xml:space="preserve">                                                  </w:t>
      </w:r>
    </w:p>
    <w:p w14:paraId="2BCA89E2">
      <w:pPr>
        <w:snapToGrid w:val="0"/>
        <w:spacing w:line="360" w:lineRule="auto"/>
        <w:jc w:val="center"/>
        <w:rPr>
          <w:rFonts w:ascii="宋体" w:hAnsi="宋体" w:cs="宋体"/>
          <w:bCs/>
          <w:color w:val="auto"/>
          <w:sz w:val="44"/>
          <w:szCs w:val="44"/>
          <w:highlight w:val="none"/>
        </w:rPr>
      </w:pPr>
    </w:p>
    <w:p w14:paraId="141860EC">
      <w:pPr>
        <w:snapToGrid w:val="0"/>
        <w:spacing w:line="360" w:lineRule="auto"/>
        <w:jc w:val="center"/>
        <w:rPr>
          <w:rFonts w:ascii="宋体" w:hAnsi="宋体" w:cs="宋体"/>
          <w:bCs/>
          <w:color w:val="auto"/>
          <w:sz w:val="84"/>
          <w:szCs w:val="84"/>
          <w:highlight w:val="none"/>
        </w:rPr>
      </w:pPr>
      <w:r>
        <w:rPr>
          <w:rFonts w:hint="eastAsia" w:ascii="宋体" w:hAnsi="宋体" w:cs="宋体"/>
          <w:bCs/>
          <w:color w:val="auto"/>
          <w:sz w:val="84"/>
          <w:szCs w:val="84"/>
          <w:highlight w:val="none"/>
        </w:rPr>
        <w:t>响  应  文  件</w:t>
      </w:r>
    </w:p>
    <w:p w14:paraId="064AEB98">
      <w:pPr>
        <w:snapToGrid w:val="0"/>
        <w:spacing w:line="360" w:lineRule="auto"/>
        <w:rPr>
          <w:rFonts w:ascii="宋体" w:hAnsi="宋体" w:cs="宋体"/>
          <w:color w:val="auto"/>
          <w:sz w:val="24"/>
          <w:szCs w:val="20"/>
          <w:highlight w:val="none"/>
        </w:rPr>
      </w:pPr>
    </w:p>
    <w:p w14:paraId="033CDFFE">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资  格  证  明  文  件</w:t>
      </w:r>
    </w:p>
    <w:p w14:paraId="5169C879">
      <w:pPr>
        <w:snapToGrid w:val="0"/>
        <w:spacing w:line="360" w:lineRule="auto"/>
        <w:rPr>
          <w:rFonts w:ascii="宋体" w:hAnsi="宋体" w:cs="宋体"/>
          <w:bCs/>
          <w:color w:val="auto"/>
          <w:sz w:val="24"/>
          <w:szCs w:val="20"/>
          <w:highlight w:val="none"/>
        </w:rPr>
      </w:pPr>
    </w:p>
    <w:p w14:paraId="623CA273">
      <w:pPr>
        <w:snapToGrid w:val="0"/>
        <w:spacing w:line="360" w:lineRule="auto"/>
        <w:rPr>
          <w:rFonts w:ascii="宋体" w:hAnsi="宋体" w:cs="宋体"/>
          <w:bCs/>
          <w:color w:val="auto"/>
          <w:sz w:val="24"/>
          <w:szCs w:val="20"/>
          <w:highlight w:val="none"/>
        </w:rPr>
      </w:pPr>
    </w:p>
    <w:p w14:paraId="4B30F41D">
      <w:pPr>
        <w:snapToGrid w:val="0"/>
        <w:spacing w:line="360" w:lineRule="auto"/>
        <w:ind w:firstLine="2739" w:firstLineChars="856"/>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3011CA50">
      <w:pPr>
        <w:snapToGrid w:val="0"/>
        <w:spacing w:line="360" w:lineRule="auto"/>
        <w:ind w:firstLine="2739" w:firstLineChars="856"/>
        <w:rPr>
          <w:rFonts w:ascii="宋体" w:hAnsi="宋体" w:cs="宋体"/>
          <w:bCs/>
          <w:color w:val="auto"/>
          <w:sz w:val="32"/>
          <w:szCs w:val="32"/>
          <w:highlight w:val="none"/>
        </w:rPr>
      </w:pPr>
      <w:r>
        <w:rPr>
          <w:rFonts w:hint="eastAsia" w:ascii="宋体" w:hAnsi="宋体" w:cs="宋体"/>
          <w:bCs/>
          <w:color w:val="auto"/>
          <w:sz w:val="32"/>
          <w:szCs w:val="32"/>
          <w:highlight w:val="none"/>
        </w:rPr>
        <w:t xml:space="preserve">项目编号： </w:t>
      </w:r>
    </w:p>
    <w:p w14:paraId="358B275F">
      <w:pPr>
        <w:snapToGrid w:val="0"/>
        <w:spacing w:line="360" w:lineRule="auto"/>
        <w:ind w:firstLine="2739" w:firstLineChars="856"/>
        <w:rPr>
          <w:rFonts w:ascii="宋体" w:hAnsi="宋体" w:cs="宋体"/>
          <w:bCs/>
          <w:color w:val="auto"/>
          <w:sz w:val="32"/>
          <w:szCs w:val="32"/>
          <w:highlight w:val="none"/>
        </w:rPr>
      </w:pPr>
      <w:r>
        <w:rPr>
          <w:rFonts w:hint="eastAsia" w:ascii="宋体" w:hAnsi="宋体" w:cs="宋体"/>
          <w:bCs/>
          <w:color w:val="auto"/>
          <w:sz w:val="32"/>
          <w:szCs w:val="32"/>
          <w:highlight w:val="none"/>
        </w:rPr>
        <w:t>所竞分标（如有）：</w:t>
      </w:r>
    </w:p>
    <w:p w14:paraId="367225DA">
      <w:pPr>
        <w:pStyle w:val="7"/>
        <w:snapToGrid w:val="0"/>
        <w:spacing w:line="360" w:lineRule="auto"/>
        <w:ind w:firstLine="2739" w:firstLineChars="856"/>
        <w:rPr>
          <w:rFonts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5422FAD4">
      <w:pPr>
        <w:pStyle w:val="7"/>
        <w:snapToGrid w:val="0"/>
        <w:spacing w:line="360" w:lineRule="auto"/>
        <w:ind w:firstLine="0"/>
        <w:rPr>
          <w:rFonts w:ascii="宋体" w:hAnsi="宋体" w:cs="宋体"/>
          <w:bCs/>
          <w:color w:val="auto"/>
          <w:sz w:val="32"/>
          <w:szCs w:val="32"/>
          <w:highlight w:val="none"/>
        </w:rPr>
      </w:pPr>
    </w:p>
    <w:p w14:paraId="5CFD80AA">
      <w:pPr>
        <w:pStyle w:val="7"/>
        <w:snapToGrid w:val="0"/>
        <w:spacing w:line="360" w:lineRule="auto"/>
        <w:ind w:firstLine="1280" w:firstLineChars="400"/>
        <w:rPr>
          <w:rFonts w:ascii="宋体" w:hAnsi="宋体" w:cs="宋体"/>
          <w:bCs/>
          <w:color w:val="auto"/>
          <w:sz w:val="32"/>
          <w:szCs w:val="32"/>
          <w:highlight w:val="none"/>
        </w:rPr>
      </w:pPr>
    </w:p>
    <w:p w14:paraId="043DD7F2">
      <w:pPr>
        <w:snapToGrid w:val="0"/>
        <w:spacing w:line="360" w:lineRule="auto"/>
        <w:jc w:val="center"/>
        <w:rPr>
          <w:rFonts w:ascii="宋体" w:hAnsi="宋体" w:cs="宋体"/>
          <w:color w:val="auto"/>
          <w:sz w:val="32"/>
          <w:szCs w:val="32"/>
          <w:highlight w:val="none"/>
        </w:rPr>
      </w:pPr>
      <w:r>
        <w:rPr>
          <w:rFonts w:hint="eastAsia" w:ascii="宋体" w:hAnsi="宋体" w:cs="宋体"/>
          <w:color w:val="auto"/>
          <w:sz w:val="32"/>
          <w:szCs w:val="32"/>
          <w:highlight w:val="none"/>
        </w:rPr>
        <w:t>年    月    日</w:t>
      </w:r>
    </w:p>
    <w:p w14:paraId="53921EC1">
      <w:pPr>
        <w:snapToGrid w:val="0"/>
        <w:spacing w:line="360" w:lineRule="auto"/>
        <w:jc w:val="left"/>
        <w:rPr>
          <w:rFonts w:ascii="宋体" w:hAnsi="宋体" w:cs="宋体"/>
          <w:b/>
          <w:bCs/>
          <w:color w:val="auto"/>
          <w:sz w:val="32"/>
          <w:szCs w:val="32"/>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2.资格证明文件目录</w:t>
      </w:r>
    </w:p>
    <w:p w14:paraId="27B2A2AA">
      <w:pPr>
        <w:snapToGrid w:val="0"/>
        <w:spacing w:line="360" w:lineRule="auto"/>
        <w:ind w:firstLine="645"/>
        <w:rPr>
          <w:rFonts w:ascii="宋体" w:hAnsi="宋体" w:cs="宋体"/>
          <w:color w:val="auto"/>
          <w:sz w:val="32"/>
          <w:szCs w:val="32"/>
          <w:highlight w:val="none"/>
        </w:rPr>
      </w:pPr>
      <w:r>
        <w:rPr>
          <w:rFonts w:hint="eastAsia" w:ascii="宋体" w:hAnsi="宋体" w:cs="宋体"/>
          <w:color w:val="auto"/>
          <w:sz w:val="32"/>
          <w:szCs w:val="32"/>
          <w:highlight w:val="none"/>
        </w:rPr>
        <w:t>根据谈判文件规定及供应商提供的材料自行编写目录（部分格式后附）。</w:t>
      </w:r>
    </w:p>
    <w:p w14:paraId="0B17115A">
      <w:pPr>
        <w:snapToGrid w:val="0"/>
        <w:spacing w:line="360" w:lineRule="auto"/>
        <w:rPr>
          <w:rFonts w:ascii="宋体" w:hAnsi="宋体" w:cs="宋体"/>
          <w:color w:val="auto"/>
          <w:sz w:val="24"/>
          <w:szCs w:val="20"/>
          <w:highlight w:val="none"/>
        </w:rPr>
      </w:pPr>
      <w:r>
        <w:rPr>
          <w:rFonts w:hint="eastAsia" w:ascii="宋体" w:hAnsi="宋体" w:cs="宋体"/>
          <w:color w:val="auto"/>
          <w:sz w:val="24"/>
          <w:szCs w:val="20"/>
          <w:highlight w:val="none"/>
        </w:rPr>
        <w:t xml:space="preserve"> </w:t>
      </w:r>
    </w:p>
    <w:p w14:paraId="0F016903">
      <w:pPr>
        <w:spacing w:line="360" w:lineRule="auto"/>
        <w:rPr>
          <w:rFonts w:ascii="宋体" w:hAnsi="宋体" w:cs="宋体"/>
          <w:color w:val="auto"/>
          <w:szCs w:val="21"/>
          <w:highlight w:val="none"/>
        </w:rPr>
      </w:pPr>
    </w:p>
    <w:p w14:paraId="44265E39">
      <w:pPr>
        <w:spacing w:line="360" w:lineRule="auto"/>
        <w:rPr>
          <w:rFonts w:ascii="宋体" w:hAnsi="宋体" w:cs="宋体"/>
          <w:color w:val="auto"/>
          <w:szCs w:val="21"/>
          <w:highlight w:val="none"/>
        </w:rPr>
      </w:pPr>
    </w:p>
    <w:p w14:paraId="0EF98B26">
      <w:pPr>
        <w:spacing w:line="360" w:lineRule="auto"/>
        <w:rPr>
          <w:rFonts w:ascii="宋体" w:hAnsi="宋体" w:cs="宋体"/>
          <w:color w:val="auto"/>
          <w:szCs w:val="21"/>
          <w:highlight w:val="none"/>
        </w:rPr>
      </w:pPr>
    </w:p>
    <w:p w14:paraId="165BED80">
      <w:pPr>
        <w:spacing w:line="360" w:lineRule="auto"/>
        <w:rPr>
          <w:rFonts w:ascii="宋体" w:hAnsi="宋体" w:cs="宋体"/>
          <w:color w:val="auto"/>
          <w:szCs w:val="21"/>
          <w:highlight w:val="none"/>
        </w:rPr>
      </w:pPr>
    </w:p>
    <w:p w14:paraId="5FB2FFEB">
      <w:pPr>
        <w:spacing w:line="360" w:lineRule="auto"/>
        <w:rPr>
          <w:rFonts w:ascii="宋体" w:hAnsi="宋体" w:cs="宋体"/>
          <w:color w:val="auto"/>
          <w:szCs w:val="21"/>
          <w:highlight w:val="none"/>
        </w:rPr>
      </w:pPr>
    </w:p>
    <w:p w14:paraId="7110D1F4">
      <w:pPr>
        <w:spacing w:line="360" w:lineRule="auto"/>
        <w:rPr>
          <w:rFonts w:ascii="宋体" w:hAnsi="宋体" w:cs="宋体"/>
          <w:color w:val="auto"/>
          <w:szCs w:val="21"/>
          <w:highlight w:val="none"/>
        </w:rPr>
      </w:pPr>
    </w:p>
    <w:p w14:paraId="2D5379F3">
      <w:pPr>
        <w:spacing w:line="360" w:lineRule="auto"/>
        <w:rPr>
          <w:rFonts w:ascii="宋体" w:hAnsi="宋体" w:cs="宋体"/>
          <w:color w:val="auto"/>
          <w:szCs w:val="21"/>
          <w:highlight w:val="none"/>
        </w:rPr>
      </w:pPr>
    </w:p>
    <w:p w14:paraId="767A1FF0">
      <w:pPr>
        <w:spacing w:line="360" w:lineRule="auto"/>
        <w:rPr>
          <w:rFonts w:ascii="宋体" w:hAnsi="宋体" w:cs="宋体"/>
          <w:color w:val="auto"/>
          <w:szCs w:val="21"/>
          <w:highlight w:val="none"/>
        </w:rPr>
      </w:pPr>
    </w:p>
    <w:p w14:paraId="46283106">
      <w:pPr>
        <w:spacing w:line="360" w:lineRule="auto"/>
        <w:rPr>
          <w:rFonts w:ascii="宋体" w:hAnsi="宋体" w:cs="宋体"/>
          <w:color w:val="auto"/>
          <w:szCs w:val="21"/>
          <w:highlight w:val="none"/>
        </w:rPr>
      </w:pPr>
    </w:p>
    <w:p w14:paraId="0EED9052">
      <w:pPr>
        <w:spacing w:line="360" w:lineRule="auto"/>
        <w:rPr>
          <w:rFonts w:ascii="宋体" w:hAnsi="宋体" w:cs="宋体"/>
          <w:color w:val="auto"/>
          <w:szCs w:val="21"/>
          <w:highlight w:val="none"/>
        </w:rPr>
      </w:pPr>
    </w:p>
    <w:p w14:paraId="4AC644CC">
      <w:pPr>
        <w:spacing w:line="360" w:lineRule="auto"/>
        <w:rPr>
          <w:rFonts w:ascii="宋体" w:hAnsi="宋体" w:cs="宋体"/>
          <w:color w:val="auto"/>
          <w:szCs w:val="21"/>
          <w:highlight w:val="none"/>
        </w:rPr>
      </w:pPr>
    </w:p>
    <w:p w14:paraId="334A29FD">
      <w:pPr>
        <w:spacing w:line="360" w:lineRule="auto"/>
        <w:rPr>
          <w:rFonts w:ascii="宋体" w:hAnsi="宋体" w:cs="宋体"/>
          <w:color w:val="auto"/>
          <w:szCs w:val="21"/>
          <w:highlight w:val="none"/>
        </w:rPr>
      </w:pPr>
    </w:p>
    <w:p w14:paraId="3F39AD9F">
      <w:pPr>
        <w:spacing w:line="360" w:lineRule="auto"/>
        <w:rPr>
          <w:rFonts w:ascii="宋体" w:hAnsi="宋体" w:cs="宋体"/>
          <w:color w:val="auto"/>
          <w:szCs w:val="21"/>
          <w:highlight w:val="none"/>
        </w:rPr>
      </w:pPr>
    </w:p>
    <w:p w14:paraId="22C67705">
      <w:pPr>
        <w:spacing w:line="360" w:lineRule="auto"/>
        <w:rPr>
          <w:rFonts w:ascii="宋体" w:hAnsi="宋体" w:cs="宋体"/>
          <w:color w:val="auto"/>
          <w:szCs w:val="21"/>
          <w:highlight w:val="none"/>
        </w:rPr>
      </w:pPr>
    </w:p>
    <w:p w14:paraId="32D0AE85">
      <w:pPr>
        <w:spacing w:line="360" w:lineRule="auto"/>
        <w:rPr>
          <w:rFonts w:ascii="宋体" w:hAnsi="宋体" w:cs="宋体"/>
          <w:color w:val="auto"/>
          <w:szCs w:val="21"/>
          <w:highlight w:val="none"/>
        </w:rPr>
      </w:pPr>
    </w:p>
    <w:p w14:paraId="0AC3E489">
      <w:pPr>
        <w:spacing w:line="360" w:lineRule="auto"/>
        <w:jc w:val="left"/>
        <w:rPr>
          <w:rFonts w:ascii="宋体" w:hAnsi="宋体" w:cs="宋体"/>
          <w:color w:val="auto"/>
          <w:szCs w:val="21"/>
          <w:highlight w:val="none"/>
        </w:rPr>
      </w:pPr>
    </w:p>
    <w:p w14:paraId="1823026F">
      <w:pPr>
        <w:snapToGrid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color w:val="auto"/>
          <w:sz w:val="32"/>
          <w:szCs w:val="32"/>
          <w:highlight w:val="none"/>
        </w:rPr>
        <w:t>3.供应商直接控股、管理关系信息表</w:t>
      </w:r>
    </w:p>
    <w:p w14:paraId="12212BAD">
      <w:pPr>
        <w:snapToGrid w:val="0"/>
        <w:spacing w:line="360" w:lineRule="auto"/>
        <w:jc w:val="center"/>
        <w:rPr>
          <w:rFonts w:ascii="宋体" w:hAnsi="宋体" w:cs="宋体"/>
          <w:b/>
          <w:color w:val="auto"/>
          <w:sz w:val="32"/>
          <w:szCs w:val="32"/>
          <w:highlight w:val="none"/>
        </w:rPr>
      </w:pPr>
    </w:p>
    <w:p w14:paraId="1D954D0A">
      <w:pPr>
        <w:snapToGrid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供应商直接控股股东信息表</w:t>
      </w:r>
    </w:p>
    <w:p w14:paraId="03B92D29">
      <w:pPr>
        <w:snapToGrid w:val="0"/>
        <w:spacing w:line="360" w:lineRule="auto"/>
        <w:jc w:val="center"/>
        <w:rPr>
          <w:rFonts w:ascii="宋体" w:hAnsi="宋体" w:cs="宋体"/>
          <w:b/>
          <w:color w:val="auto"/>
          <w:sz w:val="32"/>
          <w:szCs w:val="32"/>
          <w:highlight w:val="none"/>
        </w:rPr>
      </w:pPr>
    </w:p>
    <w:tbl>
      <w:tblPr>
        <w:tblStyle w:val="29"/>
        <w:tblW w:w="9318" w:type="dxa"/>
        <w:jc w:val="center"/>
        <w:shd w:val="clear" w:color="auto" w:fill="FBFBFB"/>
        <w:tblLayout w:type="fixed"/>
        <w:tblCellMar>
          <w:top w:w="0" w:type="dxa"/>
          <w:left w:w="0" w:type="dxa"/>
          <w:bottom w:w="0" w:type="dxa"/>
          <w:right w:w="0" w:type="dxa"/>
        </w:tblCellMar>
      </w:tblPr>
      <w:tblGrid>
        <w:gridCol w:w="880"/>
        <w:gridCol w:w="2655"/>
        <w:gridCol w:w="1455"/>
        <w:gridCol w:w="3503"/>
        <w:gridCol w:w="825"/>
      </w:tblGrid>
      <w:tr w14:paraId="6403331B">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063E08">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486A553">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C815B0F">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出资比例</w:t>
            </w:r>
          </w:p>
        </w:tc>
        <w:tc>
          <w:tcPr>
            <w:tcW w:w="3503"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98F3CAB">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身份证号码或者统一社会信用代码</w:t>
            </w:r>
          </w:p>
        </w:tc>
        <w:tc>
          <w:tcPr>
            <w:tcW w:w="82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7174D74">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108F60E6">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CC7616">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DB1DAE">
            <w:pPr>
              <w:widowControl/>
              <w:spacing w:line="360" w:lineRule="auto"/>
              <w:jc w:val="center"/>
              <w:rPr>
                <w:rFonts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80E876E">
            <w:pPr>
              <w:widowControl/>
              <w:spacing w:line="360" w:lineRule="auto"/>
              <w:jc w:val="center"/>
              <w:rPr>
                <w:rFonts w:ascii="宋体" w:hAnsi="宋体" w:cs="宋体"/>
                <w:color w:val="auto"/>
                <w:kern w:val="0"/>
                <w:sz w:val="28"/>
                <w:szCs w:val="28"/>
                <w:highlight w:val="none"/>
              </w:rPr>
            </w:pPr>
          </w:p>
        </w:tc>
        <w:tc>
          <w:tcPr>
            <w:tcW w:w="350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6E8465">
            <w:pPr>
              <w:widowControl/>
              <w:spacing w:line="360" w:lineRule="auto"/>
              <w:jc w:val="center"/>
              <w:rPr>
                <w:rFonts w:ascii="宋体" w:hAnsi="宋体" w:cs="宋体"/>
                <w:color w:val="auto"/>
                <w:kern w:val="0"/>
                <w:sz w:val="28"/>
                <w:szCs w:val="28"/>
                <w:highlight w:val="none"/>
              </w:rPr>
            </w:pPr>
          </w:p>
        </w:tc>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D9CCB6">
            <w:pPr>
              <w:widowControl/>
              <w:spacing w:line="360" w:lineRule="auto"/>
              <w:jc w:val="center"/>
              <w:rPr>
                <w:rFonts w:ascii="宋体" w:hAnsi="宋体" w:cs="宋体"/>
                <w:color w:val="auto"/>
                <w:kern w:val="0"/>
                <w:sz w:val="28"/>
                <w:szCs w:val="28"/>
                <w:highlight w:val="none"/>
              </w:rPr>
            </w:pPr>
          </w:p>
        </w:tc>
      </w:tr>
      <w:tr w14:paraId="020C6937">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78517EA">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F36D55">
            <w:pPr>
              <w:widowControl/>
              <w:spacing w:line="360" w:lineRule="auto"/>
              <w:jc w:val="center"/>
              <w:rPr>
                <w:rFonts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B64359">
            <w:pPr>
              <w:widowControl/>
              <w:spacing w:line="360" w:lineRule="auto"/>
              <w:jc w:val="center"/>
              <w:rPr>
                <w:rFonts w:ascii="宋体" w:hAnsi="宋体" w:cs="宋体"/>
                <w:color w:val="auto"/>
                <w:kern w:val="0"/>
                <w:sz w:val="28"/>
                <w:szCs w:val="28"/>
                <w:highlight w:val="none"/>
              </w:rPr>
            </w:pPr>
          </w:p>
        </w:tc>
        <w:tc>
          <w:tcPr>
            <w:tcW w:w="350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4295B4">
            <w:pPr>
              <w:widowControl/>
              <w:spacing w:line="360" w:lineRule="auto"/>
              <w:jc w:val="center"/>
              <w:rPr>
                <w:rFonts w:ascii="宋体" w:hAnsi="宋体" w:cs="宋体"/>
                <w:color w:val="auto"/>
                <w:kern w:val="0"/>
                <w:sz w:val="28"/>
                <w:szCs w:val="28"/>
                <w:highlight w:val="none"/>
              </w:rPr>
            </w:pPr>
          </w:p>
        </w:tc>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761B91">
            <w:pPr>
              <w:widowControl/>
              <w:spacing w:line="360" w:lineRule="auto"/>
              <w:jc w:val="center"/>
              <w:rPr>
                <w:rFonts w:ascii="宋体" w:hAnsi="宋体" w:cs="宋体"/>
                <w:color w:val="auto"/>
                <w:kern w:val="0"/>
                <w:sz w:val="28"/>
                <w:szCs w:val="28"/>
                <w:highlight w:val="none"/>
              </w:rPr>
            </w:pPr>
          </w:p>
        </w:tc>
      </w:tr>
      <w:tr w14:paraId="52253A20">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2D06CC">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6A9336">
            <w:pPr>
              <w:widowControl/>
              <w:spacing w:line="360" w:lineRule="auto"/>
              <w:jc w:val="center"/>
              <w:rPr>
                <w:rFonts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E9E3398">
            <w:pPr>
              <w:widowControl/>
              <w:spacing w:line="360" w:lineRule="auto"/>
              <w:jc w:val="center"/>
              <w:rPr>
                <w:rFonts w:ascii="宋体" w:hAnsi="宋体" w:cs="宋体"/>
                <w:color w:val="auto"/>
                <w:kern w:val="0"/>
                <w:sz w:val="28"/>
                <w:szCs w:val="28"/>
                <w:highlight w:val="none"/>
              </w:rPr>
            </w:pPr>
          </w:p>
        </w:tc>
        <w:tc>
          <w:tcPr>
            <w:tcW w:w="350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2E11CE">
            <w:pPr>
              <w:widowControl/>
              <w:spacing w:line="360" w:lineRule="auto"/>
              <w:jc w:val="center"/>
              <w:rPr>
                <w:rFonts w:ascii="宋体" w:hAnsi="宋体" w:cs="宋体"/>
                <w:color w:val="auto"/>
                <w:kern w:val="0"/>
                <w:sz w:val="28"/>
                <w:szCs w:val="28"/>
                <w:highlight w:val="none"/>
              </w:rPr>
            </w:pPr>
          </w:p>
        </w:tc>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6DDF88">
            <w:pPr>
              <w:widowControl/>
              <w:spacing w:line="360" w:lineRule="auto"/>
              <w:jc w:val="center"/>
              <w:rPr>
                <w:rFonts w:ascii="宋体" w:hAnsi="宋体" w:cs="宋体"/>
                <w:color w:val="auto"/>
                <w:kern w:val="0"/>
                <w:sz w:val="28"/>
                <w:szCs w:val="28"/>
                <w:highlight w:val="none"/>
              </w:rPr>
            </w:pPr>
          </w:p>
        </w:tc>
      </w:tr>
      <w:tr w14:paraId="13E7A450">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33AFAB">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E72F5A">
            <w:pPr>
              <w:widowControl/>
              <w:spacing w:line="360" w:lineRule="auto"/>
              <w:jc w:val="center"/>
              <w:rPr>
                <w:rFonts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106FD5">
            <w:pPr>
              <w:widowControl/>
              <w:spacing w:line="360" w:lineRule="auto"/>
              <w:jc w:val="center"/>
              <w:rPr>
                <w:rFonts w:ascii="宋体" w:hAnsi="宋体" w:cs="宋体"/>
                <w:color w:val="auto"/>
                <w:kern w:val="0"/>
                <w:sz w:val="28"/>
                <w:szCs w:val="28"/>
                <w:highlight w:val="none"/>
              </w:rPr>
            </w:pPr>
          </w:p>
        </w:tc>
        <w:tc>
          <w:tcPr>
            <w:tcW w:w="350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F9EF395">
            <w:pPr>
              <w:widowControl/>
              <w:spacing w:line="360" w:lineRule="auto"/>
              <w:jc w:val="center"/>
              <w:rPr>
                <w:rFonts w:ascii="宋体" w:hAnsi="宋体" w:cs="宋体"/>
                <w:color w:val="auto"/>
                <w:kern w:val="0"/>
                <w:sz w:val="28"/>
                <w:szCs w:val="28"/>
                <w:highlight w:val="none"/>
              </w:rPr>
            </w:pPr>
          </w:p>
        </w:tc>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FF34D41">
            <w:pPr>
              <w:widowControl/>
              <w:spacing w:line="360" w:lineRule="auto"/>
              <w:jc w:val="center"/>
              <w:rPr>
                <w:rFonts w:ascii="宋体" w:hAnsi="宋体" w:cs="宋体"/>
                <w:color w:val="auto"/>
                <w:kern w:val="0"/>
                <w:sz w:val="28"/>
                <w:szCs w:val="28"/>
                <w:highlight w:val="none"/>
              </w:rPr>
            </w:pPr>
          </w:p>
        </w:tc>
      </w:tr>
    </w:tbl>
    <w:p w14:paraId="3897418B">
      <w:pPr>
        <w:spacing w:line="360" w:lineRule="auto"/>
        <w:contextualSpacing/>
        <w:jc w:val="left"/>
        <w:rPr>
          <w:rFonts w:ascii="楷体" w:hAnsi="楷体" w:eastAsia="楷体" w:cs="宋体"/>
          <w:b/>
          <w:color w:val="auto"/>
          <w:sz w:val="24"/>
          <w:highlight w:val="none"/>
        </w:rPr>
      </w:pPr>
      <w:r>
        <w:rPr>
          <w:rFonts w:hint="eastAsia" w:ascii="楷体" w:hAnsi="楷体" w:eastAsia="楷体" w:cs="宋体"/>
          <w:b/>
          <w:color w:val="auto"/>
          <w:sz w:val="24"/>
          <w:highlight w:val="none"/>
        </w:rPr>
        <w:t>注：</w:t>
      </w:r>
    </w:p>
    <w:p w14:paraId="1DBA38FB">
      <w:pPr>
        <w:spacing w:line="360" w:lineRule="auto"/>
        <w:ind w:firstLine="480" w:firstLineChars="200"/>
        <w:contextualSpacing/>
        <w:jc w:val="left"/>
        <w:rPr>
          <w:rFonts w:ascii="楷体" w:hAnsi="楷体" w:eastAsia="楷体" w:cs="宋体"/>
          <w:color w:val="auto"/>
          <w:sz w:val="24"/>
          <w:highlight w:val="none"/>
        </w:rPr>
      </w:pPr>
      <w:r>
        <w:rPr>
          <w:rFonts w:ascii="楷体" w:hAnsi="楷体" w:eastAsia="楷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C28B39A">
      <w:pPr>
        <w:spacing w:line="360" w:lineRule="auto"/>
        <w:ind w:firstLine="480" w:firstLineChars="200"/>
        <w:contextualSpacing/>
        <w:jc w:val="left"/>
        <w:rPr>
          <w:rFonts w:ascii="楷体" w:hAnsi="楷体" w:eastAsia="楷体" w:cs="宋体"/>
          <w:color w:val="auto"/>
          <w:sz w:val="24"/>
          <w:highlight w:val="none"/>
        </w:rPr>
      </w:pPr>
      <w:r>
        <w:rPr>
          <w:rFonts w:ascii="楷体" w:hAnsi="楷体" w:eastAsia="楷体" w:cs="宋体"/>
          <w:color w:val="auto"/>
          <w:sz w:val="24"/>
          <w:highlight w:val="none"/>
        </w:rPr>
        <w:t>2.本表所指的控股关系仅限于直接控股关系，不包括间接的控股关系。公司实际控制人与公司之间的关系不属于本表所指的直接控股关系。</w:t>
      </w:r>
    </w:p>
    <w:p w14:paraId="107EDA30">
      <w:pPr>
        <w:spacing w:line="360" w:lineRule="auto"/>
        <w:ind w:firstLine="480" w:firstLineChars="200"/>
        <w:contextualSpacing/>
        <w:jc w:val="left"/>
        <w:rPr>
          <w:rFonts w:ascii="楷体" w:hAnsi="楷体" w:eastAsia="楷体" w:cs="宋体"/>
          <w:color w:val="auto"/>
          <w:sz w:val="24"/>
          <w:highlight w:val="none"/>
        </w:rPr>
      </w:pPr>
      <w:r>
        <w:rPr>
          <w:rFonts w:ascii="楷体" w:hAnsi="楷体" w:eastAsia="楷体" w:cs="宋体"/>
          <w:color w:val="auto"/>
          <w:sz w:val="24"/>
          <w:highlight w:val="none"/>
        </w:rPr>
        <w:t>3.供应商不存在直接控股股东的，则填“无”。</w:t>
      </w:r>
    </w:p>
    <w:p w14:paraId="6D852299">
      <w:pPr>
        <w:spacing w:line="360" w:lineRule="auto"/>
        <w:ind w:firstLine="420" w:firstLineChars="200"/>
        <w:contextualSpacing/>
        <w:jc w:val="left"/>
        <w:rPr>
          <w:rFonts w:ascii="宋体" w:hAnsi="宋体" w:cs="宋体"/>
          <w:color w:val="auto"/>
          <w:szCs w:val="21"/>
          <w:highlight w:val="none"/>
        </w:rPr>
      </w:pPr>
    </w:p>
    <w:p w14:paraId="278D4C82">
      <w:pPr>
        <w:spacing w:line="360" w:lineRule="auto"/>
        <w:ind w:firstLine="560" w:firstLineChars="200"/>
        <w:contextualSpacing/>
        <w:jc w:val="left"/>
        <w:rPr>
          <w:rFonts w:ascii="宋体" w:hAnsi="宋体" w:cs="宋体"/>
          <w:color w:val="auto"/>
          <w:sz w:val="28"/>
          <w:szCs w:val="28"/>
          <w:highlight w:val="none"/>
        </w:rPr>
      </w:pPr>
    </w:p>
    <w:p w14:paraId="51121D8B">
      <w:pPr>
        <w:spacing w:line="360" w:lineRule="auto"/>
        <w:ind w:firstLine="3120" w:firstLineChars="1300"/>
        <w:contextualSpacing/>
        <w:rPr>
          <w:rFonts w:ascii="宋体" w:hAnsi="宋体" w:cs="宋体"/>
          <w:color w:val="auto"/>
          <w:sz w:val="24"/>
          <w:highlight w:val="none"/>
          <w:u w:val="single"/>
        </w:rPr>
      </w:pPr>
      <w:r>
        <w:rPr>
          <w:rFonts w:hint="eastAsia" w:ascii="宋体" w:hAnsi="宋体" w:cs="宋体"/>
          <w:color w:val="auto"/>
          <w:sz w:val="24"/>
          <w:highlight w:val="none"/>
        </w:rPr>
        <w:t xml:space="preserve">供应商（公章 ）： </w:t>
      </w:r>
      <w:r>
        <w:rPr>
          <w:rFonts w:hint="eastAsia" w:ascii="宋体" w:hAnsi="宋体" w:cs="宋体"/>
          <w:color w:val="auto"/>
          <w:sz w:val="24"/>
          <w:highlight w:val="none"/>
          <w:u w:val="single"/>
        </w:rPr>
        <w:t xml:space="preserve">                              </w:t>
      </w:r>
    </w:p>
    <w:p w14:paraId="20612931">
      <w:pPr>
        <w:spacing w:line="360" w:lineRule="auto"/>
        <w:ind w:firstLine="3120" w:firstLineChars="1300"/>
        <w:contextualSpacing/>
        <w:rPr>
          <w:rFonts w:ascii="宋体" w:hAnsi="宋体" w:cs="宋体"/>
          <w:b/>
          <w:color w:val="auto"/>
          <w:sz w:val="28"/>
          <w:szCs w:val="28"/>
          <w:highlight w:val="none"/>
        </w:rPr>
      </w:pPr>
      <w:r>
        <w:rPr>
          <w:rFonts w:hint="eastAsia" w:ascii="宋体" w:hAnsi="宋体" w:cs="宋体"/>
          <w:color w:val="auto"/>
          <w:sz w:val="24"/>
          <w:highlight w:val="none"/>
        </w:rPr>
        <w:t>日期：</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r>
        <w:rPr>
          <w:rFonts w:hint="eastAsia" w:ascii="宋体" w:hAnsi="宋体" w:cs="宋体"/>
          <w:b/>
          <w:color w:val="auto"/>
          <w:sz w:val="28"/>
          <w:szCs w:val="28"/>
          <w:highlight w:val="none"/>
        </w:rPr>
        <w:br w:type="page"/>
      </w:r>
    </w:p>
    <w:p w14:paraId="4A75FFB6">
      <w:pPr>
        <w:snapToGrid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供应商直接管理关系信息表</w:t>
      </w:r>
    </w:p>
    <w:p w14:paraId="2BDFCAD3">
      <w:pPr>
        <w:snapToGrid w:val="0"/>
        <w:spacing w:line="360" w:lineRule="auto"/>
        <w:jc w:val="center"/>
        <w:rPr>
          <w:rFonts w:ascii="宋体" w:hAnsi="宋体" w:cs="宋体"/>
          <w:b/>
          <w:color w:val="auto"/>
          <w:sz w:val="32"/>
          <w:szCs w:val="32"/>
          <w:highlight w:val="none"/>
        </w:rPr>
      </w:pPr>
    </w:p>
    <w:tbl>
      <w:tblPr>
        <w:tblStyle w:val="29"/>
        <w:tblW w:w="8942" w:type="dxa"/>
        <w:jc w:val="center"/>
        <w:shd w:val="clear" w:color="auto" w:fill="FBFBFB"/>
        <w:tblLayout w:type="fixed"/>
        <w:tblCellMar>
          <w:top w:w="0" w:type="dxa"/>
          <w:left w:w="0" w:type="dxa"/>
          <w:bottom w:w="0" w:type="dxa"/>
          <w:right w:w="0" w:type="dxa"/>
        </w:tblCellMar>
      </w:tblPr>
      <w:tblGrid>
        <w:gridCol w:w="808"/>
        <w:gridCol w:w="3600"/>
        <w:gridCol w:w="3555"/>
        <w:gridCol w:w="979"/>
      </w:tblGrid>
      <w:tr w14:paraId="3829AEDE">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374D519">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41FEEC1">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81757AE">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统一社会信用代码</w:t>
            </w:r>
          </w:p>
        </w:tc>
        <w:tc>
          <w:tcPr>
            <w:tcW w:w="97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28B618A">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29994060">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265C49">
            <w:pPr>
              <w:widowControl/>
              <w:wordWrap w:val="0"/>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4AF1AA4">
            <w:pPr>
              <w:widowControl/>
              <w:wordWrap w:val="0"/>
              <w:spacing w:line="360" w:lineRule="auto"/>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C9DA8F2">
            <w:pPr>
              <w:widowControl/>
              <w:wordWrap w:val="0"/>
              <w:spacing w:line="360" w:lineRule="auto"/>
              <w:jc w:val="center"/>
              <w:rPr>
                <w:rFonts w:ascii="宋体" w:hAnsi="宋体" w:cs="宋体"/>
                <w:color w:val="auto"/>
                <w:kern w:val="0"/>
                <w:sz w:val="28"/>
                <w:szCs w:val="28"/>
                <w:highlight w:val="none"/>
              </w:rPr>
            </w:pPr>
          </w:p>
        </w:tc>
        <w:tc>
          <w:tcPr>
            <w:tcW w:w="9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7671B90">
            <w:pPr>
              <w:widowControl/>
              <w:wordWrap w:val="0"/>
              <w:spacing w:line="360" w:lineRule="auto"/>
              <w:jc w:val="center"/>
              <w:rPr>
                <w:rFonts w:ascii="宋体" w:hAnsi="宋体" w:cs="宋体"/>
                <w:color w:val="auto"/>
                <w:kern w:val="0"/>
                <w:sz w:val="28"/>
                <w:szCs w:val="28"/>
                <w:highlight w:val="none"/>
              </w:rPr>
            </w:pPr>
          </w:p>
        </w:tc>
      </w:tr>
      <w:tr w14:paraId="09D1731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476D47">
            <w:pPr>
              <w:widowControl/>
              <w:wordWrap w:val="0"/>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3824CC">
            <w:pPr>
              <w:widowControl/>
              <w:wordWrap w:val="0"/>
              <w:spacing w:line="360" w:lineRule="auto"/>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E85E15">
            <w:pPr>
              <w:widowControl/>
              <w:wordWrap w:val="0"/>
              <w:spacing w:line="360" w:lineRule="auto"/>
              <w:jc w:val="center"/>
              <w:rPr>
                <w:rFonts w:ascii="宋体" w:hAnsi="宋体" w:cs="宋体"/>
                <w:color w:val="auto"/>
                <w:kern w:val="0"/>
                <w:sz w:val="28"/>
                <w:szCs w:val="28"/>
                <w:highlight w:val="none"/>
              </w:rPr>
            </w:pPr>
          </w:p>
        </w:tc>
        <w:tc>
          <w:tcPr>
            <w:tcW w:w="9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B6E1968">
            <w:pPr>
              <w:widowControl/>
              <w:wordWrap w:val="0"/>
              <w:spacing w:line="360" w:lineRule="auto"/>
              <w:jc w:val="center"/>
              <w:rPr>
                <w:rFonts w:ascii="宋体" w:hAnsi="宋体" w:cs="宋体"/>
                <w:color w:val="auto"/>
                <w:kern w:val="0"/>
                <w:sz w:val="28"/>
                <w:szCs w:val="28"/>
                <w:highlight w:val="none"/>
              </w:rPr>
            </w:pPr>
          </w:p>
        </w:tc>
      </w:tr>
      <w:tr w14:paraId="275717EA">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338F7B2">
            <w:pPr>
              <w:widowControl/>
              <w:wordWrap w:val="0"/>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83464C">
            <w:pPr>
              <w:widowControl/>
              <w:wordWrap w:val="0"/>
              <w:spacing w:line="360" w:lineRule="auto"/>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2CBB41">
            <w:pPr>
              <w:widowControl/>
              <w:wordWrap w:val="0"/>
              <w:spacing w:line="360" w:lineRule="auto"/>
              <w:jc w:val="center"/>
              <w:rPr>
                <w:rFonts w:ascii="宋体" w:hAnsi="宋体" w:cs="宋体"/>
                <w:color w:val="auto"/>
                <w:kern w:val="0"/>
                <w:sz w:val="28"/>
                <w:szCs w:val="28"/>
                <w:highlight w:val="none"/>
              </w:rPr>
            </w:pPr>
          </w:p>
        </w:tc>
        <w:tc>
          <w:tcPr>
            <w:tcW w:w="9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D18B150">
            <w:pPr>
              <w:widowControl/>
              <w:wordWrap w:val="0"/>
              <w:spacing w:line="360" w:lineRule="auto"/>
              <w:jc w:val="center"/>
              <w:rPr>
                <w:rFonts w:ascii="宋体" w:hAnsi="宋体" w:cs="宋体"/>
                <w:color w:val="auto"/>
                <w:kern w:val="0"/>
                <w:sz w:val="28"/>
                <w:szCs w:val="28"/>
                <w:highlight w:val="none"/>
              </w:rPr>
            </w:pPr>
          </w:p>
        </w:tc>
      </w:tr>
      <w:tr w14:paraId="157E04D5">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3D3B48">
            <w:pPr>
              <w:widowControl/>
              <w:wordWrap w:val="0"/>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1819BC">
            <w:pPr>
              <w:widowControl/>
              <w:wordWrap w:val="0"/>
              <w:spacing w:line="360" w:lineRule="auto"/>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A046AC">
            <w:pPr>
              <w:widowControl/>
              <w:wordWrap w:val="0"/>
              <w:spacing w:line="360" w:lineRule="auto"/>
              <w:jc w:val="center"/>
              <w:rPr>
                <w:rFonts w:ascii="宋体" w:hAnsi="宋体" w:cs="宋体"/>
                <w:color w:val="auto"/>
                <w:kern w:val="0"/>
                <w:sz w:val="28"/>
                <w:szCs w:val="28"/>
                <w:highlight w:val="none"/>
              </w:rPr>
            </w:pPr>
          </w:p>
        </w:tc>
        <w:tc>
          <w:tcPr>
            <w:tcW w:w="9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C3F440">
            <w:pPr>
              <w:widowControl/>
              <w:wordWrap w:val="0"/>
              <w:spacing w:line="360" w:lineRule="auto"/>
              <w:jc w:val="center"/>
              <w:rPr>
                <w:rFonts w:ascii="宋体" w:hAnsi="宋体" w:cs="宋体"/>
                <w:color w:val="auto"/>
                <w:kern w:val="0"/>
                <w:sz w:val="28"/>
                <w:szCs w:val="28"/>
                <w:highlight w:val="none"/>
              </w:rPr>
            </w:pPr>
          </w:p>
        </w:tc>
      </w:tr>
    </w:tbl>
    <w:p w14:paraId="1E8C2118">
      <w:pPr>
        <w:spacing w:line="360" w:lineRule="auto"/>
        <w:contextualSpacing/>
        <w:jc w:val="left"/>
        <w:rPr>
          <w:rFonts w:ascii="楷体" w:hAnsi="楷体" w:eastAsia="楷体" w:cs="宋体"/>
          <w:b/>
          <w:color w:val="auto"/>
          <w:sz w:val="24"/>
          <w:highlight w:val="none"/>
        </w:rPr>
      </w:pPr>
      <w:r>
        <w:rPr>
          <w:rFonts w:hint="eastAsia" w:ascii="楷体" w:hAnsi="楷体" w:eastAsia="楷体" w:cs="宋体"/>
          <w:b/>
          <w:color w:val="auto"/>
          <w:sz w:val="24"/>
          <w:highlight w:val="none"/>
        </w:rPr>
        <w:t>注：</w:t>
      </w:r>
    </w:p>
    <w:p w14:paraId="00DE54AA">
      <w:pPr>
        <w:spacing w:line="360" w:lineRule="auto"/>
        <w:ind w:firstLine="480" w:firstLineChars="200"/>
        <w:contextualSpacing/>
        <w:jc w:val="left"/>
        <w:rPr>
          <w:rFonts w:ascii="楷体" w:hAnsi="楷体" w:eastAsia="楷体" w:cs="宋体"/>
          <w:color w:val="auto"/>
          <w:sz w:val="24"/>
          <w:highlight w:val="none"/>
        </w:rPr>
      </w:pPr>
      <w:r>
        <w:rPr>
          <w:rFonts w:ascii="楷体" w:hAnsi="楷体" w:eastAsia="楷体" w:cs="宋体"/>
          <w:color w:val="auto"/>
          <w:sz w:val="24"/>
          <w:highlight w:val="none"/>
        </w:rPr>
        <w:t>1.管理关系：是指不具有出资持股关系的其他单位之间存在的管理与被管理关系，如一些上下级关系的事业单位和团体组织。</w:t>
      </w:r>
    </w:p>
    <w:p w14:paraId="6C62A10C">
      <w:pPr>
        <w:spacing w:line="360" w:lineRule="auto"/>
        <w:ind w:firstLine="480" w:firstLineChars="200"/>
        <w:contextualSpacing/>
        <w:jc w:val="left"/>
        <w:rPr>
          <w:rFonts w:ascii="楷体" w:hAnsi="楷体" w:eastAsia="楷体" w:cs="宋体"/>
          <w:color w:val="auto"/>
          <w:sz w:val="24"/>
          <w:highlight w:val="none"/>
        </w:rPr>
      </w:pPr>
      <w:r>
        <w:rPr>
          <w:rFonts w:ascii="楷体" w:hAnsi="楷体" w:eastAsia="楷体" w:cs="宋体"/>
          <w:color w:val="auto"/>
          <w:sz w:val="24"/>
          <w:highlight w:val="none"/>
        </w:rPr>
        <w:t>2.</w:t>
      </w:r>
      <w:r>
        <w:rPr>
          <w:rFonts w:hint="eastAsia" w:ascii="楷体" w:hAnsi="楷体" w:eastAsia="楷体" w:cs="宋体"/>
          <w:color w:val="auto"/>
          <w:spacing w:val="-6"/>
          <w:sz w:val="24"/>
          <w:highlight w:val="none"/>
        </w:rPr>
        <w:t>本表所指的管理关系仅限于直接管理关系，不包括间接的管理关系。</w:t>
      </w:r>
    </w:p>
    <w:p w14:paraId="1EC93868">
      <w:pPr>
        <w:spacing w:line="360" w:lineRule="auto"/>
        <w:ind w:firstLine="480" w:firstLineChars="200"/>
        <w:contextualSpacing/>
        <w:jc w:val="left"/>
        <w:rPr>
          <w:rFonts w:ascii="楷体" w:hAnsi="楷体" w:eastAsia="楷体" w:cs="宋体"/>
          <w:color w:val="auto"/>
          <w:sz w:val="24"/>
          <w:highlight w:val="none"/>
        </w:rPr>
      </w:pPr>
      <w:r>
        <w:rPr>
          <w:rFonts w:ascii="楷体" w:hAnsi="楷体" w:eastAsia="楷体" w:cs="宋体"/>
          <w:color w:val="auto"/>
          <w:sz w:val="24"/>
          <w:highlight w:val="none"/>
        </w:rPr>
        <w:t>3.供应商不存在直接管理关系的，则填“无”。</w:t>
      </w:r>
    </w:p>
    <w:p w14:paraId="2885B424">
      <w:pPr>
        <w:spacing w:line="360" w:lineRule="auto"/>
        <w:contextualSpacing/>
        <w:jc w:val="left"/>
        <w:rPr>
          <w:rFonts w:ascii="宋体" w:hAnsi="宋体" w:cs="宋体"/>
          <w:color w:val="auto"/>
          <w:sz w:val="28"/>
          <w:szCs w:val="28"/>
          <w:highlight w:val="none"/>
        </w:rPr>
      </w:pPr>
    </w:p>
    <w:p w14:paraId="2C5C920F">
      <w:pPr>
        <w:spacing w:line="360" w:lineRule="auto"/>
        <w:contextualSpacing/>
        <w:jc w:val="left"/>
        <w:rPr>
          <w:rFonts w:ascii="宋体" w:hAnsi="宋体" w:cs="宋体"/>
          <w:color w:val="auto"/>
          <w:sz w:val="28"/>
          <w:szCs w:val="28"/>
          <w:highlight w:val="none"/>
        </w:rPr>
      </w:pPr>
    </w:p>
    <w:p w14:paraId="765C2023">
      <w:pPr>
        <w:spacing w:line="360" w:lineRule="auto"/>
        <w:contextualSpacing/>
        <w:jc w:val="left"/>
        <w:rPr>
          <w:rFonts w:ascii="宋体" w:hAnsi="宋体" w:cs="宋体"/>
          <w:color w:val="auto"/>
          <w:sz w:val="28"/>
          <w:szCs w:val="28"/>
          <w:highlight w:val="none"/>
        </w:rPr>
      </w:pPr>
    </w:p>
    <w:p w14:paraId="4749E4FC">
      <w:pPr>
        <w:spacing w:line="360" w:lineRule="auto"/>
        <w:contextualSpacing/>
        <w:jc w:val="left"/>
        <w:rPr>
          <w:rFonts w:ascii="宋体" w:hAnsi="宋体" w:cs="宋体"/>
          <w:color w:val="auto"/>
          <w:sz w:val="28"/>
          <w:szCs w:val="28"/>
          <w:highlight w:val="none"/>
        </w:rPr>
      </w:pPr>
    </w:p>
    <w:p w14:paraId="78E28490">
      <w:pPr>
        <w:spacing w:line="360" w:lineRule="auto"/>
        <w:contextualSpacing/>
        <w:jc w:val="left"/>
        <w:rPr>
          <w:rFonts w:ascii="宋体" w:hAnsi="宋体" w:cs="宋体"/>
          <w:color w:val="auto"/>
          <w:sz w:val="28"/>
          <w:szCs w:val="28"/>
          <w:highlight w:val="none"/>
        </w:rPr>
      </w:pPr>
    </w:p>
    <w:p w14:paraId="25049388">
      <w:pPr>
        <w:spacing w:line="360" w:lineRule="auto"/>
        <w:contextualSpacing/>
        <w:jc w:val="left"/>
        <w:rPr>
          <w:rFonts w:ascii="宋体" w:hAnsi="宋体" w:cs="宋体"/>
          <w:color w:val="auto"/>
          <w:sz w:val="28"/>
          <w:szCs w:val="28"/>
          <w:highlight w:val="none"/>
        </w:rPr>
      </w:pPr>
    </w:p>
    <w:p w14:paraId="001DBE30">
      <w:pPr>
        <w:spacing w:line="360" w:lineRule="auto"/>
        <w:ind w:firstLine="3600" w:firstLineChars="1500"/>
        <w:contextualSpacing/>
        <w:rPr>
          <w:rFonts w:ascii="宋体" w:hAnsi="宋体" w:cs="宋体"/>
          <w:color w:val="auto"/>
          <w:sz w:val="24"/>
          <w:highlight w:val="none"/>
        </w:rPr>
      </w:pPr>
      <w:r>
        <w:rPr>
          <w:rFonts w:hint="eastAsia" w:ascii="宋体" w:hAnsi="宋体" w:cs="宋体"/>
          <w:color w:val="auto"/>
          <w:sz w:val="24"/>
          <w:highlight w:val="none"/>
        </w:rPr>
        <w:t>供应商（公章）：</w:t>
      </w:r>
      <w:r>
        <w:rPr>
          <w:rFonts w:hint="eastAsia" w:ascii="宋体" w:hAnsi="宋体" w:cs="宋体"/>
          <w:color w:val="auto"/>
          <w:sz w:val="24"/>
          <w:highlight w:val="none"/>
          <w:u w:val="single"/>
        </w:rPr>
        <w:t xml:space="preserve">                </w:t>
      </w:r>
    </w:p>
    <w:p w14:paraId="1015E7C5">
      <w:pPr>
        <w:spacing w:line="360" w:lineRule="auto"/>
        <w:ind w:firstLine="240" w:firstLineChars="100"/>
        <w:contextualSpacing/>
        <w:jc w:val="center"/>
        <w:rPr>
          <w:rFonts w:ascii="宋体" w:hAnsi="宋体" w:cs="宋体"/>
          <w:color w:val="auto"/>
          <w:sz w:val="28"/>
          <w:szCs w:val="28"/>
          <w:highlight w:val="none"/>
        </w:rPr>
      </w:pPr>
      <w:r>
        <w:rPr>
          <w:rFonts w:hint="eastAsia" w:ascii="宋体" w:hAnsi="宋体" w:cs="宋体"/>
          <w:color w:val="auto"/>
          <w:sz w:val="24"/>
          <w:highlight w:val="none"/>
        </w:rPr>
        <w:t xml:space="preserve">        日期：</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p>
    <w:p w14:paraId="33692A1D">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color w:val="auto"/>
          <w:sz w:val="32"/>
          <w:szCs w:val="32"/>
          <w:highlight w:val="none"/>
        </w:rPr>
        <w:t>参与竞争性谈判声明</w:t>
      </w:r>
    </w:p>
    <w:p w14:paraId="64816F8F">
      <w:pPr>
        <w:spacing w:line="360" w:lineRule="auto"/>
        <w:jc w:val="center"/>
        <w:rPr>
          <w:rFonts w:ascii="宋体" w:hAnsi="宋体" w:cs="宋体"/>
          <w:color w:val="auto"/>
          <w:sz w:val="24"/>
          <w:szCs w:val="20"/>
          <w:highlight w:val="none"/>
        </w:rPr>
      </w:pPr>
    </w:p>
    <w:p w14:paraId="54A1A8E0">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58D870B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269FAE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，为便于贵方公正、择优地确定成交供应商及其参与</w:t>
      </w:r>
      <w:r>
        <w:rPr>
          <w:rFonts w:hint="eastAsia" w:ascii="宋体" w:hAnsi="宋体" w:cs="宋体"/>
          <w:color w:val="auto"/>
          <w:sz w:val="24"/>
          <w:highlight w:val="none"/>
          <w:lang w:bidi="ar"/>
        </w:rPr>
        <w:t>竞争性谈判的</w:t>
      </w:r>
      <w:r>
        <w:rPr>
          <w:rFonts w:hint="eastAsia" w:ascii="宋体" w:hAnsi="宋体" w:cs="宋体"/>
          <w:color w:val="auto"/>
          <w:sz w:val="24"/>
          <w:highlight w:val="none"/>
        </w:rPr>
        <w:t>产品和服务，我方就本次参与</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有关事项郑重声明如下：</w:t>
      </w:r>
    </w:p>
    <w:p w14:paraId="36CBF7A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49E91CF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2.我方不是为本次采购项目提供整体设计、规范编制或者项目管理、监理、检测等服务的供应商。</w:t>
      </w:r>
    </w:p>
    <w:p w14:paraId="0F09D36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0700DB5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（1）将按谈判文件的约定履行合同责任和义务；</w:t>
      </w:r>
    </w:p>
    <w:p w14:paraId="46EA2FF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（2）已详细审查全部谈判文件，包括补遗文件（如有）；</w:t>
      </w:r>
    </w:p>
    <w:p w14:paraId="213E7DB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（3）同意提供按照贵方可能要求的与谈判有关的一切数据或者资料；</w:t>
      </w:r>
    </w:p>
    <w:p w14:paraId="756948F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（4）响应谈判文件规定的</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有效期。</w:t>
      </w:r>
    </w:p>
    <w:p w14:paraId="63211F1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08B3B79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7197C33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66293C9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570679C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2E7B542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4C57921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568B575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AA365A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29805DF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3CA278F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40079590">
      <w:pPr>
        <w:pStyle w:val="16"/>
        <w:spacing w:line="360" w:lineRule="auto"/>
        <w:ind w:firstLine="480" w:firstLineChars="200"/>
        <w:contextualSpacing/>
        <w:rPr>
          <w:rFonts w:hAnsi="宋体" w:cs="宋体"/>
          <w:color w:val="auto"/>
          <w:sz w:val="24"/>
          <w:szCs w:val="24"/>
          <w:highlight w:val="none"/>
          <w:u w:val="single"/>
        </w:rPr>
      </w:pPr>
      <w:r>
        <w:rPr>
          <w:rFonts w:hint="eastAsia" w:hAnsi="宋体" w:cs="宋体"/>
          <w:color w:val="auto"/>
          <w:sz w:val="24"/>
          <w:szCs w:val="24"/>
          <w:highlight w:val="none"/>
        </w:rPr>
        <w:t>7.与本谈判有关的一切正式往来信函请寄：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邮政编码：</w:t>
      </w:r>
      <w:r>
        <w:rPr>
          <w:rFonts w:hint="eastAsia" w:hAnsi="宋体" w:cs="宋体"/>
          <w:color w:val="auto"/>
          <w:sz w:val="24"/>
          <w:szCs w:val="24"/>
          <w:highlight w:val="none"/>
          <w:u w:val="single"/>
        </w:rPr>
        <w:t xml:space="preserve">    </w:t>
      </w:r>
    </w:p>
    <w:p w14:paraId="7E019C7C">
      <w:pPr>
        <w:pStyle w:val="16"/>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电子函件：</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1EDD45D2">
      <w:pPr>
        <w:pStyle w:val="14"/>
        <w:tabs>
          <w:tab w:val="left" w:pos="939"/>
        </w:tabs>
        <w:spacing w:line="360" w:lineRule="auto"/>
        <w:ind w:left="0" w:leftChars="0" w:firstLine="360" w:firstLineChars="150"/>
        <w:rPr>
          <w:rFonts w:ascii="宋体" w:hAnsi="宋体" w:cs="宋体"/>
          <w:color w:val="auto"/>
          <w:sz w:val="24"/>
          <w:highlight w:val="none"/>
          <w:u w:val="singl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账号/行号：</w:t>
      </w:r>
      <w:r>
        <w:rPr>
          <w:rFonts w:hint="eastAsia" w:ascii="宋体" w:hAnsi="宋体" w:cs="宋体"/>
          <w:color w:val="auto"/>
          <w:sz w:val="24"/>
          <w:highlight w:val="none"/>
          <w:u w:val="single"/>
        </w:rPr>
        <w:t xml:space="preserve">           </w:t>
      </w:r>
    </w:p>
    <w:p w14:paraId="7D5BF548">
      <w:pPr>
        <w:pStyle w:val="14"/>
        <w:tabs>
          <w:tab w:val="left" w:pos="939"/>
        </w:tabs>
        <w:spacing w:line="360" w:lineRule="auto"/>
        <w:ind w:left="0" w:leftChars="0" w:firstLine="360" w:firstLineChars="150"/>
        <w:rPr>
          <w:rFonts w:ascii="宋体" w:hAnsi="宋体" w:cs="宋体"/>
          <w:color w:val="auto"/>
          <w:sz w:val="24"/>
          <w:highlight w:val="none"/>
        </w:rPr>
      </w:pPr>
      <w:r>
        <w:rPr>
          <w:rFonts w:ascii="宋体" w:hAnsi="宋体" w:cs="宋体"/>
          <w:color w:val="auto"/>
          <w:sz w:val="24"/>
          <w:highlight w:val="none"/>
        </w:rPr>
        <w:t>8</w:t>
      </w:r>
      <w:r>
        <w:rPr>
          <w:rFonts w:hint="eastAsia" w:ascii="宋体" w:hAnsi="宋体" w:cs="宋体"/>
          <w:color w:val="auto"/>
          <w:sz w:val="24"/>
          <w:highlight w:val="none"/>
        </w:rPr>
        <w:t>.</w:t>
      </w:r>
      <w:r>
        <w:rPr>
          <w:rFonts w:ascii="宋体" w:hAnsi="宋体" w:cs="宋体"/>
          <w:color w:val="auto"/>
          <w:sz w:val="24"/>
          <w:highlight w:val="none"/>
        </w:rPr>
        <w:t>我方若</w:t>
      </w:r>
      <w:r>
        <w:rPr>
          <w:rFonts w:hint="eastAsia" w:ascii="宋体" w:hAnsi="宋体" w:cs="宋体"/>
          <w:color w:val="auto"/>
          <w:sz w:val="24"/>
          <w:highlight w:val="none"/>
        </w:rPr>
        <w:t>参与</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成功</w:t>
      </w:r>
      <w:r>
        <w:rPr>
          <w:rFonts w:ascii="宋体" w:hAnsi="宋体" w:cs="宋体"/>
          <w:color w:val="auto"/>
          <w:sz w:val="24"/>
          <w:highlight w:val="none"/>
        </w:rPr>
        <w:t>，将采取</w:t>
      </w:r>
      <w:r>
        <w:rPr>
          <w:rFonts w:ascii="宋体" w:hAnsi="宋体" w:cs="宋体"/>
          <w:color w:val="auto"/>
          <w:sz w:val="24"/>
          <w:highlight w:val="none"/>
          <w:u w:val="single"/>
        </w:rPr>
        <w:t>      </w:t>
      </w:r>
      <w:r>
        <w:rPr>
          <w:rFonts w:ascii="宋体" w:hAnsi="宋体" w:cs="宋体"/>
          <w:color w:val="auto"/>
          <w:sz w:val="24"/>
          <w:highlight w:val="none"/>
        </w:rPr>
        <w:t>（</w:t>
      </w:r>
      <w:r>
        <w:rPr>
          <w:rFonts w:hint="eastAsia" w:ascii="宋体" w:hAnsi="宋体" w:cs="宋体"/>
          <w:color w:val="auto"/>
          <w:sz w:val="24"/>
          <w:highlight w:val="none"/>
        </w:rPr>
        <w:t>汽车、火车、飞机等</w:t>
      </w:r>
      <w:r>
        <w:rPr>
          <w:rFonts w:ascii="宋体" w:hAnsi="宋体" w:cs="宋体"/>
          <w:color w:val="auto"/>
          <w:sz w:val="24"/>
          <w:highlight w:val="none"/>
        </w:rPr>
        <w:t>）方式运输货物。</w:t>
      </w:r>
    </w:p>
    <w:p w14:paraId="5D1DB1F7">
      <w:pPr>
        <w:pStyle w:val="14"/>
        <w:tabs>
          <w:tab w:val="left" w:pos="939"/>
        </w:tabs>
        <w:spacing w:line="360" w:lineRule="auto"/>
        <w:ind w:left="0" w:leftChars="0" w:firstLine="360" w:firstLineChars="150"/>
        <w:rPr>
          <w:rFonts w:ascii="宋体" w:hAnsi="宋体" w:cs="宋体"/>
          <w:color w:val="auto"/>
          <w:sz w:val="24"/>
          <w:highlight w:val="none"/>
        </w:rPr>
      </w:pPr>
      <w:r>
        <w:rPr>
          <w:rFonts w:hint="eastAsia" w:ascii="宋体" w:hAnsi="宋体" w:cs="宋体"/>
          <w:color w:val="auto"/>
          <w:sz w:val="24"/>
          <w:highlight w:val="none"/>
        </w:rPr>
        <w:t>9</w:t>
      </w:r>
      <w:r>
        <w:rPr>
          <w:rFonts w:ascii="宋体" w:hAnsi="宋体" w:cs="宋体"/>
          <w:color w:val="auto"/>
          <w:sz w:val="24"/>
          <w:highlight w:val="none"/>
        </w:rPr>
        <w:t>.</w:t>
      </w:r>
      <w:r>
        <w:rPr>
          <w:rFonts w:hint="eastAsia" w:ascii="宋体" w:hAnsi="宋体" w:cs="宋体"/>
          <w:color w:val="auto"/>
          <w:sz w:val="24"/>
          <w:highlight w:val="none"/>
        </w:rPr>
        <w:t>我方若参与</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成功，除非发生不可抗力，承诺与采购人及时签订《合同书》。如果放弃，自愿按照本文件之《供应商须知正文》第2</w:t>
      </w:r>
      <w:r>
        <w:rPr>
          <w:rFonts w:ascii="宋体" w:hAnsi="宋体" w:cs="宋体"/>
          <w:color w:val="auto"/>
          <w:sz w:val="24"/>
          <w:highlight w:val="none"/>
        </w:rPr>
        <w:t>7.5</w:t>
      </w:r>
      <w:r>
        <w:rPr>
          <w:rFonts w:hint="eastAsia" w:ascii="宋体" w:hAnsi="宋体" w:cs="宋体"/>
          <w:color w:val="auto"/>
          <w:sz w:val="24"/>
          <w:highlight w:val="none"/>
        </w:rPr>
        <w:t>条的要求承担法律责任和失信惩戒。</w:t>
      </w:r>
    </w:p>
    <w:p w14:paraId="29CC5E09">
      <w:pPr>
        <w:pStyle w:val="14"/>
        <w:tabs>
          <w:tab w:val="left" w:pos="939"/>
        </w:tabs>
        <w:spacing w:line="360" w:lineRule="auto"/>
        <w:ind w:left="0" w:leftChars="0" w:firstLine="360" w:firstLineChars="150"/>
        <w:rPr>
          <w:rFonts w:ascii="宋体" w:hAnsi="宋体" w:cs="宋体"/>
          <w:color w:val="auto"/>
          <w:sz w:val="24"/>
          <w:highlight w:val="none"/>
        </w:rPr>
      </w:pPr>
      <w:r>
        <w:rPr>
          <w:rFonts w:ascii="宋体" w:hAnsi="宋体" w:cs="宋体"/>
          <w:color w:val="auto"/>
          <w:sz w:val="24"/>
          <w:highlight w:val="none"/>
        </w:rPr>
        <w:t>10</w:t>
      </w:r>
      <w:r>
        <w:rPr>
          <w:rFonts w:hint="eastAsia" w:ascii="宋体" w:hAnsi="宋体" w:cs="宋体"/>
          <w:color w:val="auto"/>
          <w:sz w:val="24"/>
          <w:highlight w:val="none"/>
        </w:rPr>
        <w:t>.以上事项如有虚假或者隐瞒，我方愿意承担一切后果，并不再寻求任何旨在减轻或者免除法律责任的辩解。</w:t>
      </w:r>
    </w:p>
    <w:p w14:paraId="20404375">
      <w:pPr>
        <w:pStyle w:val="14"/>
        <w:tabs>
          <w:tab w:val="left" w:pos="939"/>
        </w:tabs>
        <w:spacing w:line="360" w:lineRule="auto"/>
        <w:ind w:left="0" w:leftChars="0" w:firstLine="360" w:firstLineChars="150"/>
        <w:rPr>
          <w:rFonts w:ascii="宋体" w:hAnsi="宋体" w:cs="宋体"/>
          <w:color w:val="auto"/>
          <w:szCs w:val="21"/>
          <w:highlight w:val="none"/>
        </w:rPr>
      </w:pPr>
      <w:r>
        <w:rPr>
          <w:rFonts w:hint="eastAsia" w:ascii="宋体" w:hAnsi="宋体" w:cs="宋体"/>
          <w:color w:val="auto"/>
          <w:sz w:val="24"/>
          <w:highlight w:val="none"/>
        </w:rPr>
        <w:t>特此承诺。</w:t>
      </w:r>
    </w:p>
    <w:p w14:paraId="5C689E38">
      <w:pPr>
        <w:spacing w:line="360" w:lineRule="auto"/>
        <w:contextualSpacing/>
        <w:jc w:val="left"/>
        <w:rPr>
          <w:rFonts w:ascii="楷体" w:hAnsi="楷体" w:eastAsia="楷体" w:cs="宋体"/>
          <w:b/>
          <w:color w:val="auto"/>
          <w:sz w:val="24"/>
          <w:highlight w:val="none"/>
        </w:rPr>
      </w:pPr>
      <w:r>
        <w:rPr>
          <w:rFonts w:hint="eastAsia" w:ascii="宋体" w:hAnsi="宋体" w:cs="宋体"/>
          <w:b/>
          <w:color w:val="auto"/>
          <w:sz w:val="24"/>
          <w:highlight w:val="none"/>
        </w:rPr>
        <w:t xml:space="preserve">   </w:t>
      </w:r>
      <w:r>
        <w:rPr>
          <w:rFonts w:hint="eastAsia" w:ascii="楷体" w:hAnsi="楷体" w:eastAsia="楷体" w:cs="宋体"/>
          <w:b/>
          <w:color w:val="auto"/>
          <w:sz w:val="24"/>
          <w:highlight w:val="none"/>
        </w:rPr>
        <w:t xml:space="preserve"> 注：如为联合体参与</w:t>
      </w:r>
      <w:r>
        <w:rPr>
          <w:rFonts w:hint="eastAsia" w:ascii="楷体" w:hAnsi="楷体" w:eastAsia="楷体" w:cs="宋体"/>
          <w:b/>
          <w:color w:val="auto"/>
          <w:sz w:val="24"/>
          <w:highlight w:val="none"/>
          <w:lang w:bidi="ar"/>
        </w:rPr>
        <w:t>竞争性谈判</w:t>
      </w:r>
      <w:r>
        <w:rPr>
          <w:rFonts w:hint="eastAsia" w:ascii="楷体" w:hAnsi="楷体" w:eastAsia="楷体" w:cs="宋体"/>
          <w:b/>
          <w:color w:val="auto"/>
          <w:sz w:val="24"/>
          <w:highlight w:val="none"/>
        </w:rPr>
        <w:t>，盖章处须加盖联合体各方公章并由联合体各方法定代表人分别签署，否则响应文件按无效响应处理。</w:t>
      </w:r>
    </w:p>
    <w:p w14:paraId="348AA575">
      <w:pPr>
        <w:spacing w:line="360" w:lineRule="auto"/>
        <w:contextualSpacing/>
        <w:jc w:val="left"/>
        <w:rPr>
          <w:rFonts w:ascii="宋体" w:hAnsi="宋体" w:cs="宋体"/>
          <w:color w:val="auto"/>
          <w:szCs w:val="21"/>
          <w:highlight w:val="none"/>
        </w:rPr>
      </w:pPr>
    </w:p>
    <w:p w14:paraId="45FA4E8C">
      <w:pPr>
        <w:spacing w:line="360" w:lineRule="auto"/>
        <w:ind w:firstLine="4320" w:firstLineChars="1800"/>
        <w:contextualSpacing/>
        <w:rPr>
          <w:rFonts w:ascii="宋体" w:hAnsi="宋体" w:cs="宋体"/>
          <w:color w:val="auto"/>
          <w:sz w:val="24"/>
          <w:highlight w:val="none"/>
        </w:rPr>
      </w:pPr>
      <w:r>
        <w:rPr>
          <w:rFonts w:hint="eastAsia" w:ascii="宋体" w:hAnsi="宋体" w:cs="宋体"/>
          <w:color w:val="auto"/>
          <w:sz w:val="24"/>
          <w:highlight w:val="none"/>
        </w:rPr>
        <w:t>法定代表人（签字）：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2EA430EB">
      <w:pPr>
        <w:spacing w:line="360" w:lineRule="auto"/>
        <w:ind w:firstLine="4320" w:firstLineChars="1800"/>
        <w:contextualSpacing/>
        <w:rPr>
          <w:rFonts w:ascii="宋体" w:hAnsi="宋体" w:cs="宋体"/>
          <w:color w:val="auto"/>
          <w:sz w:val="24"/>
          <w:highlight w:val="none"/>
          <w:u w:val="single"/>
        </w:rPr>
      </w:pPr>
      <w:r>
        <w:rPr>
          <w:rFonts w:hint="eastAsia" w:ascii="宋体" w:hAnsi="宋体" w:cs="宋体"/>
          <w:color w:val="auto"/>
          <w:sz w:val="24"/>
          <w:highlight w:val="none"/>
        </w:rPr>
        <w:t>供应商（公章）：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43A18F58">
      <w:pPr>
        <w:spacing w:line="360" w:lineRule="auto"/>
        <w:ind w:firstLine="240" w:firstLineChars="100"/>
        <w:contextualSpacing/>
        <w:jc w:val="center"/>
        <w:rPr>
          <w:rFonts w:ascii="宋体" w:hAnsi="宋体" w:cs="宋体"/>
          <w:b/>
          <w:color w:val="auto"/>
          <w:sz w:val="32"/>
          <w:szCs w:val="32"/>
          <w:highlight w:val="none"/>
        </w:rPr>
      </w:pPr>
      <w:r>
        <w:rPr>
          <w:rFonts w:hint="eastAsia" w:ascii="宋体" w:hAnsi="宋体" w:cs="宋体"/>
          <w:color w:val="auto"/>
          <w:sz w:val="24"/>
          <w:highlight w:val="none"/>
        </w:rPr>
        <w:t xml:space="preserve">                      日期： </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r>
        <w:rPr>
          <w:rFonts w:hint="eastAsia" w:ascii="宋体" w:hAnsi="宋体" w:cs="宋体"/>
          <w:color w:val="auto"/>
          <w:sz w:val="32"/>
          <w:szCs w:val="32"/>
          <w:highlight w:val="none"/>
        </w:rPr>
        <w:br w:type="page"/>
      </w:r>
      <w:r>
        <w:rPr>
          <w:rFonts w:hint="eastAsia" w:ascii="宋体" w:hAnsi="宋体" w:cs="宋体"/>
          <w:b/>
          <w:color w:val="auto"/>
          <w:sz w:val="32"/>
          <w:szCs w:val="32"/>
          <w:highlight w:val="none"/>
        </w:rPr>
        <w:t>联合体参与竞争性谈判协议书</w:t>
      </w:r>
    </w:p>
    <w:p w14:paraId="2804E9ED">
      <w:pPr>
        <w:pStyle w:val="7"/>
        <w:overflowPunct w:val="0"/>
        <w:spacing w:line="360" w:lineRule="auto"/>
        <w:ind w:firstLine="0"/>
        <w:contextualSpacing/>
        <w:rPr>
          <w:rFonts w:ascii="宋体" w:hAnsi="宋体" w:cs="宋体"/>
          <w:color w:val="auto"/>
          <w:sz w:val="24"/>
          <w:szCs w:val="24"/>
          <w:highlight w:val="none"/>
        </w:rPr>
      </w:pPr>
    </w:p>
    <w:p w14:paraId="5F8F0376">
      <w:pPr>
        <w:pStyle w:val="7"/>
        <w:overflowPunct w:val="0"/>
        <w:spacing w:line="360" w:lineRule="auto"/>
        <w:ind w:firstLine="480" w:firstLineChars="200"/>
        <w:contextualSpacing/>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（所有成员单位名称）自愿组成</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（联合体名称）联合体，共同参加</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（项目名称）采购项目</w:t>
      </w:r>
      <w:r>
        <w:rPr>
          <w:rFonts w:hint="eastAsia" w:ascii="宋体" w:hAnsi="宋体" w:cs="宋体"/>
          <w:color w:val="auto"/>
          <w:sz w:val="24"/>
          <w:highlight w:val="none"/>
          <w:lang w:bidi="ar"/>
        </w:rPr>
        <w:t>竞争性谈判</w:t>
      </w:r>
      <w:r>
        <w:rPr>
          <w:rFonts w:hint="eastAsia" w:ascii="宋体" w:hAnsi="宋体" w:cs="宋体"/>
          <w:color w:val="auto"/>
          <w:sz w:val="24"/>
          <w:szCs w:val="24"/>
          <w:highlight w:val="none"/>
        </w:rPr>
        <w:t>。现就联合体参与</w:t>
      </w:r>
      <w:r>
        <w:rPr>
          <w:rFonts w:hint="eastAsia" w:ascii="宋体" w:hAnsi="宋体" w:cs="宋体"/>
          <w:color w:val="auto"/>
          <w:sz w:val="24"/>
          <w:highlight w:val="none"/>
          <w:lang w:bidi="ar"/>
        </w:rPr>
        <w:t>竞争性谈判</w:t>
      </w:r>
      <w:r>
        <w:rPr>
          <w:rFonts w:hint="eastAsia" w:ascii="宋体" w:hAnsi="宋体" w:cs="宋体"/>
          <w:color w:val="auto"/>
          <w:sz w:val="24"/>
          <w:szCs w:val="24"/>
          <w:highlight w:val="none"/>
        </w:rPr>
        <w:t>事宜订立如下协议。</w:t>
      </w:r>
    </w:p>
    <w:p w14:paraId="0C84A1F5">
      <w:pPr>
        <w:pStyle w:val="7"/>
        <w:overflowPunct w:val="0"/>
        <w:spacing w:line="360" w:lineRule="auto"/>
        <w:ind w:firstLine="480" w:firstLineChars="200"/>
        <w:contextualSpacing/>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（某成员单位名称）为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（联合体名称）牵头人。</w:t>
      </w:r>
    </w:p>
    <w:p w14:paraId="5745F08B">
      <w:pPr>
        <w:pStyle w:val="7"/>
        <w:overflowPunct w:val="0"/>
        <w:spacing w:line="360" w:lineRule="auto"/>
        <w:ind w:firstLine="480" w:firstLineChars="200"/>
        <w:contextualSpacing/>
        <w:rPr>
          <w:rFonts w:ascii="宋体" w:hAnsi="宋体" w:cs="宋体"/>
          <w:color w:val="auto"/>
          <w:sz w:val="24"/>
          <w:szCs w:val="24"/>
          <w:highlight w:val="none"/>
        </w:rPr>
      </w:pPr>
      <w:r>
        <w:rPr>
          <w:rFonts w:hint="eastAsia" w:ascii="宋体" w:hAnsi="宋体" w:cs="宋体"/>
          <w:color w:val="auto"/>
          <w:sz w:val="24"/>
          <w:szCs w:val="24"/>
          <w:highlight w:val="none"/>
        </w:rPr>
        <w:t>2.联合体各成员授权牵头人代表联合体参加</w:t>
      </w:r>
      <w:r>
        <w:rPr>
          <w:rFonts w:hint="eastAsia" w:ascii="宋体" w:hAnsi="宋体" w:cs="宋体"/>
          <w:color w:val="auto"/>
          <w:sz w:val="24"/>
          <w:highlight w:val="none"/>
          <w:lang w:bidi="ar"/>
        </w:rPr>
        <w:t>竞争性谈判</w:t>
      </w:r>
      <w:r>
        <w:rPr>
          <w:rFonts w:hint="eastAsia" w:ascii="宋体" w:hAnsi="宋体" w:cs="宋体"/>
          <w:color w:val="auto"/>
          <w:sz w:val="24"/>
          <w:szCs w:val="24"/>
          <w:highlight w:val="none"/>
        </w:rPr>
        <w:t>活动，签署文件及对文件的盖章，提交和接收相关的资料、信息及指示，进行合同谈判活动，负责合同实施阶段的组织和协调工作，以及处理与本</w:t>
      </w:r>
      <w:r>
        <w:rPr>
          <w:rFonts w:hint="eastAsia" w:ascii="宋体" w:hAnsi="宋体" w:cs="宋体"/>
          <w:color w:val="auto"/>
          <w:sz w:val="24"/>
          <w:highlight w:val="none"/>
          <w:lang w:bidi="ar"/>
        </w:rPr>
        <w:t>竞争性谈判</w:t>
      </w:r>
      <w:r>
        <w:rPr>
          <w:rFonts w:hint="eastAsia" w:ascii="宋体" w:hAnsi="宋体" w:cs="宋体"/>
          <w:color w:val="auto"/>
          <w:sz w:val="24"/>
          <w:szCs w:val="24"/>
          <w:highlight w:val="none"/>
        </w:rPr>
        <w:t>项目有关的一切事宜。</w:t>
      </w:r>
    </w:p>
    <w:p w14:paraId="3129FBB5">
      <w:pPr>
        <w:pStyle w:val="7"/>
        <w:overflowPunct w:val="0"/>
        <w:spacing w:line="360" w:lineRule="auto"/>
        <w:ind w:firstLine="480" w:firstLineChars="200"/>
        <w:contextualSpacing/>
        <w:rPr>
          <w:rFonts w:ascii="宋体" w:hAnsi="宋体" w:cs="宋体"/>
          <w:color w:val="auto"/>
          <w:sz w:val="24"/>
          <w:szCs w:val="24"/>
          <w:highlight w:val="none"/>
        </w:rPr>
      </w:pPr>
      <w:r>
        <w:rPr>
          <w:rFonts w:hint="eastAsia" w:ascii="宋体" w:hAnsi="宋体" w:cs="宋体"/>
          <w:color w:val="auto"/>
          <w:sz w:val="24"/>
          <w:szCs w:val="24"/>
          <w:highlight w:val="none"/>
        </w:rPr>
        <w:t>3.联合体牵头人在本项目中签署和盖章的一切文件和处理的一切事宜，联合体各成员均予以承认。联合体各成员将严格按照谈判文件、响应文件和合同的要求全面履行义务，并向采购人承担连带责任。</w:t>
      </w:r>
    </w:p>
    <w:p w14:paraId="32AA2838">
      <w:pPr>
        <w:pStyle w:val="7"/>
        <w:overflowPunct w:val="0"/>
        <w:spacing w:line="360" w:lineRule="auto"/>
        <w:ind w:firstLine="480" w:firstLineChars="200"/>
        <w:contextualSpacing/>
        <w:rPr>
          <w:rFonts w:ascii="宋体" w:hAnsi="宋体" w:cs="宋体"/>
          <w:color w:val="auto"/>
          <w:sz w:val="24"/>
          <w:szCs w:val="24"/>
          <w:highlight w:val="none"/>
        </w:rPr>
      </w:pPr>
      <w:r>
        <w:rPr>
          <w:rFonts w:hint="eastAsia" w:ascii="宋体" w:hAnsi="宋体" w:cs="宋体"/>
          <w:color w:val="auto"/>
          <w:sz w:val="24"/>
          <w:szCs w:val="24"/>
          <w:highlight w:val="none"/>
        </w:rPr>
        <w:t>4.联合体各成员单位内部的职责分工如下：</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14:paraId="44D5C18A">
      <w:pPr>
        <w:pStyle w:val="7"/>
        <w:overflowPunct w:val="0"/>
        <w:spacing w:line="360" w:lineRule="auto"/>
        <w:ind w:firstLine="480" w:firstLineChars="200"/>
        <w:contextualSpacing/>
        <w:rPr>
          <w:rFonts w:ascii="宋体" w:hAnsi="宋体" w:cs="宋体"/>
          <w:color w:val="auto"/>
          <w:sz w:val="24"/>
          <w:szCs w:val="24"/>
          <w:highlight w:val="none"/>
        </w:rPr>
      </w:pPr>
      <w:r>
        <w:rPr>
          <w:rFonts w:hint="eastAsia" w:ascii="宋体" w:hAnsi="宋体" w:cs="宋体"/>
          <w:color w:val="auto"/>
          <w:sz w:val="24"/>
          <w:szCs w:val="24"/>
          <w:highlight w:val="none"/>
        </w:rPr>
        <w:t>5.本</w:t>
      </w:r>
      <w:r>
        <w:rPr>
          <w:rFonts w:hint="eastAsia" w:ascii="宋体" w:hAnsi="宋体" w:cs="宋体"/>
          <w:color w:val="auto"/>
          <w:spacing w:val="-6"/>
          <w:sz w:val="24"/>
          <w:szCs w:val="24"/>
          <w:highlight w:val="none"/>
        </w:rPr>
        <w:t>协议书自所有成员单位法定代表人或者其委托代理人签字或者盖单位章之日起生效，合同履行完毕后自动失效。</w:t>
      </w:r>
    </w:p>
    <w:p w14:paraId="576E92C3">
      <w:pPr>
        <w:pStyle w:val="7"/>
        <w:overflowPunct w:val="0"/>
        <w:spacing w:line="360" w:lineRule="auto"/>
        <w:ind w:firstLine="480" w:firstLineChars="200"/>
        <w:contextualSpacing/>
        <w:rPr>
          <w:rFonts w:ascii="宋体" w:hAnsi="宋体" w:cs="宋体"/>
          <w:color w:val="auto"/>
          <w:sz w:val="24"/>
          <w:szCs w:val="24"/>
          <w:highlight w:val="none"/>
        </w:rPr>
      </w:pPr>
      <w:r>
        <w:rPr>
          <w:rFonts w:hint="eastAsia" w:ascii="宋体" w:hAnsi="宋体" w:cs="宋体"/>
          <w:color w:val="auto"/>
          <w:sz w:val="24"/>
          <w:szCs w:val="24"/>
          <w:highlight w:val="none"/>
        </w:rPr>
        <w:t>6.本协议书一式</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rPr>
        <w:t>份，联合体成员和采购人各执壹份。</w:t>
      </w:r>
    </w:p>
    <w:p w14:paraId="4801358E">
      <w:pPr>
        <w:pStyle w:val="7"/>
        <w:overflowPunct w:val="0"/>
        <w:spacing w:line="360" w:lineRule="auto"/>
        <w:ind w:firstLine="480" w:firstLineChars="200"/>
        <w:contextualSpacing/>
        <w:rPr>
          <w:rFonts w:ascii="宋体" w:hAnsi="宋体" w:cs="宋体"/>
          <w:color w:val="auto"/>
          <w:sz w:val="24"/>
          <w:szCs w:val="24"/>
          <w:highlight w:val="none"/>
        </w:rPr>
      </w:pPr>
      <w:r>
        <w:rPr>
          <w:rFonts w:hint="eastAsia" w:ascii="宋体" w:hAnsi="宋体" w:cs="宋体"/>
          <w:color w:val="auto"/>
          <w:sz w:val="24"/>
          <w:szCs w:val="24"/>
          <w:highlight w:val="none"/>
        </w:rPr>
        <w:t>注：本协议书由法定代表人签字的，应附法定代表人身份证明；由委托代理人签字的，应附联合体协议签订授权委托书（格式自拟）。</w:t>
      </w:r>
    </w:p>
    <w:p w14:paraId="717065F2">
      <w:pPr>
        <w:pStyle w:val="7"/>
        <w:overflowPunct w:val="0"/>
        <w:spacing w:line="360" w:lineRule="auto"/>
        <w:ind w:firstLineChars="175"/>
        <w:contextualSpacing/>
        <w:rPr>
          <w:rFonts w:ascii="宋体" w:hAnsi="宋体" w:cs="宋体"/>
          <w:color w:val="auto"/>
          <w:sz w:val="24"/>
          <w:szCs w:val="24"/>
          <w:highlight w:val="none"/>
        </w:rPr>
      </w:pPr>
    </w:p>
    <w:p w14:paraId="0003DB32">
      <w:pPr>
        <w:pStyle w:val="7"/>
        <w:overflowPunct w:val="0"/>
        <w:spacing w:line="360" w:lineRule="auto"/>
        <w:ind w:firstLine="0"/>
        <w:contextualSpacing/>
        <w:rPr>
          <w:rFonts w:ascii="宋体" w:hAnsi="宋体" w:cs="宋体"/>
          <w:color w:val="auto"/>
          <w:sz w:val="24"/>
          <w:szCs w:val="24"/>
          <w:highlight w:val="none"/>
          <w:u w:val="single"/>
        </w:rPr>
      </w:pPr>
      <w:r>
        <w:rPr>
          <w:rFonts w:hint="eastAsia" w:ascii="宋体" w:hAnsi="宋体" w:cs="宋体"/>
          <w:color w:val="auto"/>
          <w:sz w:val="24"/>
          <w:szCs w:val="24"/>
          <w:highlight w:val="none"/>
        </w:rPr>
        <w:t>联合体牵头人名称（公章）：</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 xml:space="preserve">               </w:t>
      </w:r>
    </w:p>
    <w:p w14:paraId="2EFCBE65">
      <w:pPr>
        <w:pStyle w:val="7"/>
        <w:overflowPunct w:val="0"/>
        <w:spacing w:line="360" w:lineRule="auto"/>
        <w:ind w:firstLine="0"/>
        <w:contextualSpacing/>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法定代表人或者其委托代理人（签字）：</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 xml:space="preserve">               </w:t>
      </w:r>
    </w:p>
    <w:p w14:paraId="3120E922">
      <w:pPr>
        <w:pStyle w:val="7"/>
        <w:overflowPunct w:val="0"/>
        <w:spacing w:line="360" w:lineRule="auto"/>
        <w:ind w:firstLine="0"/>
        <w:contextualSpacing/>
        <w:rPr>
          <w:rFonts w:ascii="宋体" w:hAnsi="宋体" w:cs="宋体"/>
          <w:color w:val="auto"/>
          <w:sz w:val="24"/>
          <w:szCs w:val="24"/>
          <w:highlight w:val="none"/>
        </w:rPr>
      </w:pPr>
    </w:p>
    <w:p w14:paraId="569C86BE">
      <w:pPr>
        <w:pStyle w:val="7"/>
        <w:overflowPunct w:val="0"/>
        <w:spacing w:line="360" w:lineRule="auto"/>
        <w:ind w:firstLine="0"/>
        <w:contextualSpacing/>
        <w:rPr>
          <w:rFonts w:ascii="宋体" w:hAnsi="宋体" w:cs="宋体"/>
          <w:color w:val="auto"/>
          <w:sz w:val="24"/>
          <w:szCs w:val="24"/>
          <w:highlight w:val="none"/>
          <w:u w:val="single"/>
        </w:rPr>
      </w:pPr>
      <w:r>
        <w:rPr>
          <w:rFonts w:hint="eastAsia" w:ascii="宋体" w:hAnsi="宋体" w:cs="宋体"/>
          <w:color w:val="auto"/>
          <w:sz w:val="24"/>
          <w:szCs w:val="24"/>
          <w:highlight w:val="none"/>
        </w:rPr>
        <w:t>联合体成员名称（公章）：</w:t>
      </w:r>
      <w:r>
        <w:rPr>
          <w:rFonts w:ascii="宋体" w:hAnsi="宋体" w:cs="宋体"/>
          <w:color w:val="auto"/>
          <w:sz w:val="24"/>
          <w:szCs w:val="24"/>
          <w:highlight w:val="none"/>
          <w:u w:val="single"/>
        </w:rPr>
        <w:t xml:space="preserve">               </w:t>
      </w:r>
    </w:p>
    <w:p w14:paraId="4DEA10DC">
      <w:pPr>
        <w:pStyle w:val="7"/>
        <w:overflowPunct w:val="0"/>
        <w:spacing w:line="360" w:lineRule="auto"/>
        <w:ind w:firstLine="0"/>
        <w:contextualSpacing/>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法定代表人或者其委托代理人（签字）：</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 xml:space="preserve">              </w:t>
      </w:r>
    </w:p>
    <w:p w14:paraId="2795A463">
      <w:pPr>
        <w:pStyle w:val="7"/>
        <w:overflowPunct w:val="0"/>
        <w:spacing w:line="360" w:lineRule="auto"/>
        <w:ind w:firstLine="0"/>
        <w:contextualSpacing/>
        <w:rPr>
          <w:rFonts w:ascii="宋体" w:hAnsi="宋体" w:cs="宋体"/>
          <w:color w:val="auto"/>
          <w:sz w:val="24"/>
          <w:szCs w:val="24"/>
          <w:highlight w:val="none"/>
        </w:rPr>
      </w:pPr>
    </w:p>
    <w:p w14:paraId="32D022FD">
      <w:pPr>
        <w:pStyle w:val="7"/>
        <w:overflowPunct w:val="0"/>
        <w:spacing w:line="360" w:lineRule="auto"/>
        <w:ind w:firstLine="0"/>
        <w:contextualSpacing/>
        <w:rPr>
          <w:rFonts w:ascii="宋体" w:hAnsi="宋体" w:cs="宋体"/>
          <w:color w:val="auto"/>
          <w:sz w:val="24"/>
          <w:szCs w:val="24"/>
          <w:highlight w:val="none"/>
          <w:u w:val="single"/>
        </w:rPr>
      </w:pPr>
      <w:r>
        <w:rPr>
          <w:rFonts w:hint="eastAsia" w:ascii="宋体" w:hAnsi="宋体" w:cs="宋体"/>
          <w:color w:val="auto"/>
          <w:sz w:val="24"/>
          <w:szCs w:val="24"/>
          <w:highlight w:val="none"/>
        </w:rPr>
        <w:t>联合体成员名称（公章）：</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 xml:space="preserve">                </w:t>
      </w:r>
    </w:p>
    <w:p w14:paraId="75DB0026">
      <w:pPr>
        <w:pStyle w:val="7"/>
        <w:overflowPunct w:val="0"/>
        <w:spacing w:line="360" w:lineRule="auto"/>
        <w:ind w:firstLine="0"/>
        <w:contextualSpacing/>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法定代表人或者其委托代理人（签字）：</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 xml:space="preserve">             </w:t>
      </w:r>
    </w:p>
    <w:p w14:paraId="6DA1B381">
      <w:pPr>
        <w:pStyle w:val="7"/>
        <w:overflowPunct w:val="0"/>
        <w:spacing w:line="360" w:lineRule="auto"/>
        <w:ind w:firstLine="0"/>
        <w:contextualSpacing/>
        <w:rPr>
          <w:rFonts w:ascii="宋体" w:hAnsi="宋体" w:cs="宋体"/>
          <w:color w:val="auto"/>
          <w:sz w:val="24"/>
          <w:szCs w:val="24"/>
          <w:highlight w:val="none"/>
        </w:rPr>
      </w:pPr>
      <w:r>
        <w:rPr>
          <w:rFonts w:hint="eastAsia" w:ascii="宋体" w:hAnsi="宋体" w:cs="宋体"/>
          <w:color w:val="auto"/>
          <w:sz w:val="24"/>
          <w:szCs w:val="24"/>
          <w:highlight w:val="none"/>
        </w:rPr>
        <w:t>……</w:t>
      </w:r>
    </w:p>
    <w:p w14:paraId="6F7045E2">
      <w:pPr>
        <w:spacing w:line="360" w:lineRule="auto"/>
        <w:contextualSpacing/>
        <w:jc w:val="right"/>
        <w:rPr>
          <w:rFonts w:ascii="宋体" w:hAnsi="宋体" w:cs="宋体"/>
          <w:color w:val="auto"/>
          <w:sz w:val="24"/>
          <w:highlight w:val="none"/>
        </w:rPr>
      </w:pPr>
      <w:r>
        <w:rPr>
          <w:rFonts w:hint="eastAsia" w:ascii="宋体" w:hAnsi="宋体" w:cs="宋体"/>
          <w:color w:val="auto"/>
          <w:sz w:val="24"/>
          <w:highlight w:val="none"/>
        </w:rPr>
        <w:t>日期：</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r>
        <w:rPr>
          <w:rFonts w:hint="eastAsia" w:ascii="宋体" w:hAnsi="宋体" w:cs="宋体"/>
          <w:color w:val="auto"/>
          <w:sz w:val="32"/>
          <w:szCs w:val="32"/>
          <w:highlight w:val="none"/>
        </w:rPr>
        <w:t xml:space="preserve"> </w:t>
      </w:r>
    </w:p>
    <w:p w14:paraId="4135F034">
      <w:pPr>
        <w:spacing w:line="360" w:lineRule="auto"/>
        <w:contextualSpacing/>
        <w:jc w:val="left"/>
        <w:rPr>
          <w:rFonts w:ascii="宋体" w:hAnsi="宋体" w:cs="宋体"/>
          <w:b/>
          <w:color w:val="auto"/>
          <w:sz w:val="32"/>
          <w:szCs w:val="32"/>
          <w:highlight w:val="none"/>
        </w:rPr>
      </w:pPr>
      <w:r>
        <w:rPr>
          <w:rFonts w:hint="eastAsia" w:ascii="宋体" w:hAnsi="宋体" w:cs="宋体"/>
          <w:color w:val="auto"/>
          <w:szCs w:val="21"/>
          <w:highlight w:val="none"/>
        </w:rPr>
        <w:br w:type="page"/>
      </w:r>
      <w:r>
        <w:rPr>
          <w:rFonts w:hint="eastAsia" w:ascii="宋体" w:hAnsi="宋体" w:cs="宋体"/>
          <w:b/>
          <w:bCs/>
          <w:color w:val="auto"/>
          <w:sz w:val="32"/>
          <w:szCs w:val="32"/>
          <w:highlight w:val="none"/>
        </w:rPr>
        <w:t>二、</w:t>
      </w:r>
      <w:r>
        <w:rPr>
          <w:rFonts w:hint="eastAsia" w:ascii="宋体" w:hAnsi="宋体" w:cs="宋体"/>
          <w:b/>
          <w:color w:val="auto"/>
          <w:sz w:val="32"/>
          <w:szCs w:val="32"/>
          <w:highlight w:val="none"/>
        </w:rPr>
        <w:t xml:space="preserve">报价商务技术文件格式 </w:t>
      </w:r>
    </w:p>
    <w:p w14:paraId="4D4CD388">
      <w:pPr>
        <w:snapToGrid w:val="0"/>
        <w:spacing w:line="360" w:lineRule="auto"/>
        <w:jc w:val="left"/>
        <w:rPr>
          <w:rFonts w:ascii="宋体" w:hAnsi="宋体" w:cs="宋体"/>
          <w:b/>
          <w:color w:val="auto"/>
          <w:sz w:val="32"/>
          <w:szCs w:val="32"/>
          <w:highlight w:val="none"/>
        </w:rPr>
      </w:pPr>
      <w:r>
        <w:rPr>
          <w:rFonts w:hint="eastAsia" w:ascii="宋体" w:hAnsi="宋体" w:cs="宋体"/>
          <w:b/>
          <w:color w:val="auto"/>
          <w:sz w:val="32"/>
          <w:szCs w:val="32"/>
          <w:highlight w:val="none"/>
        </w:rPr>
        <w:t>1.报价商务技术文件封面格式</w:t>
      </w:r>
    </w:p>
    <w:p w14:paraId="175BDDA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3A540473">
      <w:pPr>
        <w:snapToGrid w:val="0"/>
        <w:spacing w:line="360" w:lineRule="auto"/>
        <w:rPr>
          <w:rFonts w:ascii="宋体" w:hAnsi="宋体" w:cs="宋体"/>
          <w:color w:val="auto"/>
          <w:sz w:val="24"/>
          <w:highlight w:val="none"/>
        </w:rPr>
      </w:pPr>
    </w:p>
    <w:p w14:paraId="443B7802">
      <w:pPr>
        <w:snapToGrid w:val="0"/>
        <w:spacing w:line="360" w:lineRule="auto"/>
        <w:rPr>
          <w:rFonts w:ascii="宋体" w:hAnsi="宋体" w:cs="宋体"/>
          <w:color w:val="auto"/>
          <w:sz w:val="24"/>
          <w:szCs w:val="20"/>
          <w:highlight w:val="none"/>
        </w:rPr>
      </w:pPr>
    </w:p>
    <w:p w14:paraId="3877C276">
      <w:pPr>
        <w:snapToGrid w:val="0"/>
        <w:spacing w:line="360" w:lineRule="auto"/>
        <w:jc w:val="center"/>
        <w:rPr>
          <w:rFonts w:ascii="宋体" w:hAnsi="宋体" w:cs="宋体"/>
          <w:bCs/>
          <w:color w:val="auto"/>
          <w:sz w:val="84"/>
          <w:szCs w:val="84"/>
          <w:highlight w:val="none"/>
        </w:rPr>
      </w:pPr>
      <w:r>
        <w:rPr>
          <w:rFonts w:hint="eastAsia" w:ascii="宋体" w:hAnsi="宋体" w:cs="宋体"/>
          <w:b/>
          <w:color w:val="auto"/>
          <w:sz w:val="84"/>
          <w:szCs w:val="84"/>
          <w:highlight w:val="none"/>
        </w:rPr>
        <w:t>响  应  文  件</w:t>
      </w:r>
    </w:p>
    <w:p w14:paraId="656C0B9F">
      <w:pPr>
        <w:snapToGrid w:val="0"/>
        <w:spacing w:line="360" w:lineRule="auto"/>
        <w:rPr>
          <w:rFonts w:ascii="宋体" w:hAnsi="宋体" w:cs="宋体"/>
          <w:color w:val="auto"/>
          <w:sz w:val="24"/>
          <w:szCs w:val="20"/>
          <w:highlight w:val="none"/>
        </w:rPr>
      </w:pPr>
    </w:p>
    <w:p w14:paraId="7D06BC08">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报价商务技术文件</w:t>
      </w:r>
    </w:p>
    <w:p w14:paraId="066886FB">
      <w:pPr>
        <w:snapToGrid w:val="0"/>
        <w:spacing w:line="360" w:lineRule="auto"/>
        <w:rPr>
          <w:rFonts w:ascii="宋体" w:hAnsi="宋体" w:cs="宋体"/>
          <w:bCs/>
          <w:color w:val="auto"/>
          <w:sz w:val="28"/>
          <w:szCs w:val="28"/>
          <w:highlight w:val="none"/>
        </w:rPr>
      </w:pPr>
    </w:p>
    <w:p w14:paraId="730EF943">
      <w:pPr>
        <w:snapToGrid w:val="0"/>
        <w:spacing w:line="360" w:lineRule="auto"/>
        <w:rPr>
          <w:rFonts w:ascii="宋体" w:hAnsi="宋体" w:cs="宋体"/>
          <w:bCs/>
          <w:color w:val="auto"/>
          <w:sz w:val="28"/>
          <w:szCs w:val="28"/>
          <w:highlight w:val="none"/>
        </w:rPr>
      </w:pPr>
    </w:p>
    <w:p w14:paraId="207D7461">
      <w:pPr>
        <w:snapToGrid w:val="0"/>
        <w:spacing w:line="360" w:lineRule="auto"/>
        <w:ind w:firstLine="1680" w:firstLineChars="600"/>
        <w:rPr>
          <w:rFonts w:ascii="宋体" w:hAnsi="宋体" w:cs="宋体"/>
          <w:bCs/>
          <w:color w:val="auto"/>
          <w:sz w:val="28"/>
          <w:szCs w:val="28"/>
          <w:highlight w:val="none"/>
        </w:rPr>
      </w:pPr>
      <w:r>
        <w:rPr>
          <w:rFonts w:hint="eastAsia" w:ascii="宋体" w:hAnsi="宋体" w:cs="宋体"/>
          <w:bCs/>
          <w:color w:val="auto"/>
          <w:sz w:val="28"/>
          <w:szCs w:val="28"/>
          <w:highlight w:val="none"/>
        </w:rPr>
        <w:t>项目名称：</w:t>
      </w:r>
    </w:p>
    <w:p w14:paraId="07E67C97">
      <w:pPr>
        <w:snapToGrid w:val="0"/>
        <w:spacing w:line="360" w:lineRule="auto"/>
        <w:ind w:firstLine="1680" w:firstLineChars="600"/>
        <w:rPr>
          <w:rFonts w:ascii="宋体" w:hAnsi="宋体" w:cs="宋体"/>
          <w:bCs/>
          <w:color w:val="auto"/>
          <w:sz w:val="28"/>
          <w:szCs w:val="28"/>
          <w:highlight w:val="none"/>
        </w:rPr>
      </w:pPr>
      <w:r>
        <w:rPr>
          <w:rFonts w:hint="eastAsia" w:ascii="宋体" w:hAnsi="宋体" w:cs="宋体"/>
          <w:bCs/>
          <w:color w:val="auto"/>
          <w:sz w:val="28"/>
          <w:szCs w:val="28"/>
          <w:highlight w:val="none"/>
        </w:rPr>
        <w:t xml:space="preserve">项目编号： </w:t>
      </w:r>
    </w:p>
    <w:p w14:paraId="30466E0B">
      <w:pPr>
        <w:snapToGrid w:val="0"/>
        <w:spacing w:line="360" w:lineRule="auto"/>
        <w:ind w:firstLine="1680" w:firstLineChars="600"/>
        <w:rPr>
          <w:rFonts w:ascii="宋体" w:hAnsi="宋体" w:cs="宋体"/>
          <w:bCs/>
          <w:color w:val="auto"/>
          <w:sz w:val="28"/>
          <w:szCs w:val="28"/>
          <w:highlight w:val="none"/>
        </w:rPr>
      </w:pPr>
      <w:r>
        <w:rPr>
          <w:rFonts w:hint="eastAsia" w:ascii="宋体" w:hAnsi="宋体" w:cs="宋体"/>
          <w:bCs/>
          <w:color w:val="auto"/>
          <w:sz w:val="28"/>
          <w:szCs w:val="28"/>
          <w:highlight w:val="none"/>
        </w:rPr>
        <w:t>所竞分标（如有）：</w:t>
      </w:r>
    </w:p>
    <w:p w14:paraId="18F876E3">
      <w:pPr>
        <w:pStyle w:val="7"/>
        <w:snapToGrid w:val="0"/>
        <w:spacing w:line="360" w:lineRule="auto"/>
        <w:ind w:firstLine="1680" w:firstLineChars="600"/>
        <w:rPr>
          <w:rFonts w:ascii="宋体" w:hAnsi="宋体" w:cs="宋体"/>
          <w:bCs/>
          <w:color w:val="auto"/>
          <w:sz w:val="28"/>
          <w:szCs w:val="28"/>
          <w:highlight w:val="none"/>
        </w:rPr>
      </w:pPr>
      <w:r>
        <w:rPr>
          <w:rFonts w:hint="eastAsia" w:ascii="宋体" w:hAnsi="宋体" w:cs="宋体"/>
          <w:bCs/>
          <w:color w:val="auto"/>
          <w:sz w:val="28"/>
          <w:szCs w:val="28"/>
          <w:highlight w:val="none"/>
        </w:rPr>
        <w:t>供应商名称：</w:t>
      </w:r>
    </w:p>
    <w:p w14:paraId="0EF5A29B">
      <w:pPr>
        <w:pStyle w:val="7"/>
        <w:snapToGrid w:val="0"/>
        <w:spacing w:line="360" w:lineRule="auto"/>
        <w:ind w:firstLine="1680" w:firstLineChars="600"/>
        <w:rPr>
          <w:rFonts w:ascii="宋体" w:hAnsi="宋体" w:cs="宋体"/>
          <w:bCs/>
          <w:color w:val="auto"/>
          <w:sz w:val="28"/>
          <w:szCs w:val="28"/>
          <w:highlight w:val="none"/>
        </w:rPr>
      </w:pPr>
    </w:p>
    <w:p w14:paraId="006BDA5F">
      <w:pPr>
        <w:snapToGrid w:val="0"/>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年    月    日</w:t>
      </w:r>
    </w:p>
    <w:p w14:paraId="44A51B9E">
      <w:pPr>
        <w:snapToGrid w:val="0"/>
        <w:spacing w:line="360" w:lineRule="auto"/>
        <w:jc w:val="left"/>
        <w:rPr>
          <w:rFonts w:ascii="宋体" w:hAnsi="宋体" w:cs="宋体"/>
          <w:b/>
          <w:bCs/>
          <w:color w:val="auto"/>
          <w:sz w:val="24"/>
          <w:highlight w:val="none"/>
        </w:rPr>
      </w:pPr>
      <w:r>
        <w:rPr>
          <w:rFonts w:hint="eastAsia" w:ascii="宋体" w:hAnsi="宋体" w:cs="宋体"/>
          <w:color w:val="auto"/>
          <w:sz w:val="28"/>
          <w:szCs w:val="28"/>
          <w:highlight w:val="none"/>
        </w:rPr>
        <w:br w:type="page"/>
      </w:r>
      <w:r>
        <w:rPr>
          <w:rFonts w:hint="eastAsia" w:ascii="宋体" w:hAnsi="宋体" w:cs="宋体"/>
          <w:b/>
          <w:bCs/>
          <w:color w:val="auto"/>
          <w:sz w:val="32"/>
          <w:szCs w:val="32"/>
          <w:highlight w:val="none"/>
        </w:rPr>
        <w:t>2.报价商务技术文件目录</w:t>
      </w:r>
    </w:p>
    <w:p w14:paraId="0D21639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根据谈判文件规定及供应商提供的材料自行编写目录（部分格式后附）。</w:t>
      </w:r>
    </w:p>
    <w:p w14:paraId="54F5E846">
      <w:pPr>
        <w:spacing w:line="360" w:lineRule="auto"/>
        <w:rPr>
          <w:rFonts w:ascii="宋体" w:hAnsi="宋体" w:cs="宋体"/>
          <w:color w:val="auto"/>
          <w:sz w:val="32"/>
          <w:szCs w:val="32"/>
          <w:highlight w:val="none"/>
        </w:rPr>
      </w:pPr>
    </w:p>
    <w:p w14:paraId="78DCB884">
      <w:pPr>
        <w:spacing w:line="360" w:lineRule="auto"/>
        <w:jc w:val="center"/>
        <w:rPr>
          <w:rFonts w:ascii="宋体" w:hAnsi="宋体" w:cs="宋体"/>
          <w:b/>
          <w:color w:val="auto"/>
          <w:sz w:val="32"/>
          <w:szCs w:val="32"/>
          <w:highlight w:val="none"/>
        </w:rPr>
      </w:pPr>
      <w:r>
        <w:rPr>
          <w:rFonts w:hint="eastAsia" w:ascii="宋体" w:hAnsi="宋体" w:cs="宋体"/>
          <w:color w:val="auto"/>
          <w:sz w:val="44"/>
          <w:szCs w:val="44"/>
          <w:highlight w:val="none"/>
        </w:rPr>
        <w:br w:type="page"/>
      </w:r>
      <w:r>
        <w:rPr>
          <w:rFonts w:hint="eastAsia" w:ascii="宋体" w:hAnsi="宋体" w:cs="宋体"/>
          <w:b/>
          <w:color w:val="auto"/>
          <w:sz w:val="44"/>
          <w:szCs w:val="44"/>
          <w:highlight w:val="none"/>
        </w:rPr>
        <w:t>无串通参与竞争性谈判行为的承诺函</w:t>
      </w:r>
    </w:p>
    <w:p w14:paraId="469FA028">
      <w:pPr>
        <w:spacing w:line="360" w:lineRule="auto"/>
        <w:ind w:firstLine="640" w:firstLineChars="200"/>
        <w:contextualSpacing/>
        <w:rPr>
          <w:rFonts w:ascii="宋体" w:hAnsi="宋体" w:cs="宋体"/>
          <w:color w:val="auto"/>
          <w:sz w:val="32"/>
          <w:szCs w:val="32"/>
          <w:highlight w:val="none"/>
        </w:rPr>
      </w:pPr>
    </w:p>
    <w:p w14:paraId="74CFF046">
      <w:pPr>
        <w:spacing w:line="360" w:lineRule="auto"/>
        <w:ind w:firstLine="482" w:firstLineChars="200"/>
        <w:contextualSpacing/>
        <w:rPr>
          <w:rFonts w:ascii="宋体" w:hAnsi="宋体" w:cs="宋体"/>
          <w:b/>
          <w:bCs/>
          <w:color w:val="auto"/>
          <w:sz w:val="24"/>
          <w:highlight w:val="none"/>
        </w:rPr>
      </w:pPr>
      <w:r>
        <w:rPr>
          <w:rFonts w:hint="eastAsia" w:ascii="宋体" w:hAnsi="宋体" w:cs="宋体"/>
          <w:b/>
          <w:bCs/>
          <w:color w:val="auto"/>
          <w:sz w:val="24"/>
          <w:highlight w:val="none"/>
        </w:rPr>
        <w:t>一、我方承诺无下列相互串通参与</w:t>
      </w:r>
      <w:r>
        <w:rPr>
          <w:rFonts w:hint="eastAsia" w:ascii="宋体" w:hAnsi="宋体" w:cs="宋体"/>
          <w:b/>
          <w:color w:val="auto"/>
          <w:sz w:val="24"/>
          <w:highlight w:val="none"/>
          <w:lang w:bidi="ar"/>
        </w:rPr>
        <w:t>竞争性谈判</w:t>
      </w:r>
      <w:r>
        <w:rPr>
          <w:rFonts w:hint="eastAsia" w:ascii="宋体" w:hAnsi="宋体" w:cs="宋体"/>
          <w:b/>
          <w:bCs/>
          <w:color w:val="auto"/>
          <w:sz w:val="24"/>
          <w:highlight w:val="none"/>
        </w:rPr>
        <w:t>的情形：</w:t>
      </w:r>
    </w:p>
    <w:p w14:paraId="6841B42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1.不同供应商的</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文件由同一单位或者个人编制；或者不同供应商报名的IP地址一致的；或者编制标书硬件设备CPU编号、硬盘编号、网卡地址一致的情况；</w:t>
      </w:r>
    </w:p>
    <w:p w14:paraId="3BA9066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2.不同供应商委托同一单位或者个人办理参与</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事宜；</w:t>
      </w:r>
    </w:p>
    <w:p w14:paraId="5E68374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3.不同的供应商的响应文件载明的项目管理员为同一个人；</w:t>
      </w:r>
    </w:p>
    <w:p w14:paraId="5F1E452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4.不</w:t>
      </w:r>
      <w:r>
        <w:rPr>
          <w:rFonts w:hint="eastAsia" w:ascii="宋体" w:hAnsi="宋体" w:cs="宋体"/>
          <w:color w:val="auto"/>
          <w:spacing w:val="-6"/>
          <w:sz w:val="24"/>
          <w:highlight w:val="none"/>
        </w:rPr>
        <w:t>同供应商的响应文件异常一致或者参与</w:t>
      </w:r>
      <w:r>
        <w:rPr>
          <w:rFonts w:hint="eastAsia" w:ascii="宋体" w:hAnsi="宋体" w:cs="宋体"/>
          <w:color w:val="auto"/>
          <w:sz w:val="24"/>
          <w:highlight w:val="none"/>
          <w:lang w:bidi="ar"/>
        </w:rPr>
        <w:t>竞争性谈判的</w:t>
      </w:r>
      <w:r>
        <w:rPr>
          <w:rFonts w:hint="eastAsia" w:ascii="宋体" w:hAnsi="宋体" w:cs="宋体"/>
          <w:color w:val="auto"/>
          <w:spacing w:val="-6"/>
          <w:sz w:val="24"/>
          <w:highlight w:val="none"/>
        </w:rPr>
        <w:t>报价呈规律性差异；</w:t>
      </w:r>
    </w:p>
    <w:p w14:paraId="27510F7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5.不同供应商的响应文件相互混装；</w:t>
      </w:r>
    </w:p>
    <w:p w14:paraId="6BCB179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6.不同供应商的谈判保证金从同一单位或者个人账户转出。</w:t>
      </w:r>
    </w:p>
    <w:p w14:paraId="69547050">
      <w:pPr>
        <w:spacing w:line="360" w:lineRule="auto"/>
        <w:ind w:firstLine="482" w:firstLineChars="200"/>
        <w:contextualSpacing/>
        <w:rPr>
          <w:rFonts w:ascii="宋体" w:hAnsi="宋体" w:cs="宋体"/>
          <w:b/>
          <w:bCs/>
          <w:color w:val="auto"/>
          <w:sz w:val="24"/>
          <w:highlight w:val="none"/>
        </w:rPr>
      </w:pPr>
      <w:r>
        <w:rPr>
          <w:rFonts w:hint="eastAsia" w:ascii="宋体" w:hAnsi="宋体" w:cs="宋体"/>
          <w:b/>
          <w:bCs/>
          <w:color w:val="auto"/>
          <w:sz w:val="24"/>
          <w:highlight w:val="none"/>
        </w:rPr>
        <w:t>二、我方承诺无下列恶意串通的情形：</w:t>
      </w:r>
    </w:p>
    <w:p w14:paraId="6765AE76">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1.供应商直接或者间接从采购人或者采购代理机构处获得其他供应商的相关信息并修改其响应文件；</w:t>
      </w:r>
    </w:p>
    <w:p w14:paraId="42E2D94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2.供应商按照采购人或者采购代理机构的授意撤换、修改响应文件；</w:t>
      </w:r>
    </w:p>
    <w:p w14:paraId="13B7698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3.供</w:t>
      </w:r>
      <w:r>
        <w:rPr>
          <w:rFonts w:hint="eastAsia" w:ascii="宋体" w:hAnsi="宋体" w:cs="宋体"/>
          <w:color w:val="auto"/>
          <w:spacing w:val="-6"/>
          <w:sz w:val="24"/>
          <w:highlight w:val="none"/>
        </w:rPr>
        <w:t>应商之间协商报价、技术方案等响应文件的实质性内容；</w:t>
      </w:r>
    </w:p>
    <w:p w14:paraId="7E57C12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4.属于同一集团、协会、商会等组织成员的供应商按照该组织要求协同参加政府采购活动；</w:t>
      </w:r>
    </w:p>
    <w:p w14:paraId="079A951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5.供应商之间事先约定一致抬高或者压低</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报价,或者在竞争性谈判项目中事先约定轮流以高价位或者低价位成交,或者事先约定由某一特定供应商成交,然后再参加</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w:t>
      </w:r>
    </w:p>
    <w:p w14:paraId="50577B8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6.供应商之间商定部分供应商放弃参加政府采购活动或者放弃成交；</w:t>
      </w:r>
    </w:p>
    <w:p w14:paraId="472B163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7.供应商与采购人或者采购代理机构之间、供应商相互之间，为</w:t>
      </w:r>
      <w:r>
        <w:rPr>
          <w:rFonts w:hint="eastAsia" w:ascii="宋体" w:hAnsi="宋体" w:cs="宋体"/>
          <w:color w:val="auto"/>
          <w:spacing w:val="-6"/>
          <w:sz w:val="24"/>
          <w:highlight w:val="none"/>
        </w:rPr>
        <w:t>谋求特定供应商成交或者排斥其他供应商的其他串通行为。</w:t>
      </w:r>
    </w:p>
    <w:p w14:paraId="5B0098A5">
      <w:pPr>
        <w:spacing w:line="360" w:lineRule="auto"/>
        <w:ind w:firstLine="480" w:firstLineChars="200"/>
        <w:contextualSpacing/>
        <w:rPr>
          <w:rFonts w:ascii="宋体" w:hAnsi="宋体" w:cs="宋体"/>
          <w:color w:val="auto"/>
          <w:sz w:val="24"/>
          <w:highlight w:val="none"/>
        </w:rPr>
      </w:pPr>
    </w:p>
    <w:p w14:paraId="40ECC929">
      <w:pPr>
        <w:spacing w:line="360" w:lineRule="auto"/>
        <w:ind w:firstLine="482" w:firstLineChars="200"/>
        <w:contextualSpacing/>
        <w:rPr>
          <w:rFonts w:ascii="宋体" w:hAnsi="宋体" w:cs="宋体"/>
          <w:b/>
          <w:bCs/>
          <w:color w:val="auto"/>
          <w:sz w:val="24"/>
          <w:highlight w:val="none"/>
        </w:rPr>
      </w:pPr>
      <w:r>
        <w:rPr>
          <w:rFonts w:hint="eastAsia" w:ascii="宋体" w:hAnsi="宋体" w:cs="宋体"/>
          <w:b/>
          <w:bCs/>
          <w:color w:val="auto"/>
          <w:sz w:val="24"/>
          <w:highlight w:val="none"/>
        </w:rPr>
        <w:t>以上情形一经核查属实，我方愿意承担一切后果，并不再寻求任何旨在减轻或者免除法律责任的辩解。</w:t>
      </w:r>
    </w:p>
    <w:p w14:paraId="00CABABC">
      <w:pPr>
        <w:spacing w:line="360" w:lineRule="auto"/>
        <w:ind w:firstLine="3600" w:firstLineChars="1500"/>
        <w:contextualSpacing/>
        <w:rPr>
          <w:rFonts w:ascii="宋体" w:hAnsi="宋体" w:cs="宋体"/>
          <w:color w:val="auto"/>
          <w:sz w:val="24"/>
          <w:highlight w:val="none"/>
          <w:u w:val="single"/>
        </w:rPr>
      </w:pPr>
      <w:r>
        <w:rPr>
          <w:rFonts w:hint="eastAsia" w:ascii="宋体" w:hAnsi="宋体" w:cs="宋体"/>
          <w:color w:val="auto"/>
          <w:sz w:val="24"/>
          <w:highlight w:val="none"/>
        </w:rPr>
        <w:t>供应商（公章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7C6A7F68">
      <w:pPr>
        <w:spacing w:line="360" w:lineRule="auto"/>
        <w:ind w:firstLine="480" w:firstLineChars="200"/>
        <w:contextualSpacing/>
        <w:jc w:val="center"/>
        <w:rPr>
          <w:rFonts w:ascii="宋体" w:hAnsi="宋体" w:cs="宋体"/>
          <w:color w:val="auto"/>
          <w:sz w:val="24"/>
          <w:highlight w:val="none"/>
        </w:rPr>
      </w:pPr>
      <w:r>
        <w:rPr>
          <w:rFonts w:hint="eastAsia" w:ascii="宋体" w:hAnsi="宋体" w:cs="宋体"/>
          <w:color w:val="auto"/>
          <w:sz w:val="24"/>
          <w:highlight w:val="none"/>
        </w:rPr>
        <w:t xml:space="preserve"> 日期：</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p>
    <w:p w14:paraId="1CA6B311">
      <w:pPr>
        <w:tabs>
          <w:tab w:val="left" w:pos="3479"/>
        </w:tabs>
        <w:spacing w:line="360" w:lineRule="auto"/>
        <w:jc w:val="center"/>
        <w:rPr>
          <w:rFonts w:ascii="宋体" w:hAnsi="宋体" w:cs="宋体"/>
          <w:b/>
          <w:bCs/>
          <w:color w:val="auto"/>
          <w:sz w:val="32"/>
          <w:szCs w:val="32"/>
          <w:highlight w:val="none"/>
        </w:rPr>
      </w:pPr>
      <w:r>
        <w:rPr>
          <w:rFonts w:hint="eastAsia" w:ascii="宋体" w:hAnsi="宋体" w:cs="宋体"/>
          <w:b/>
          <w:bCs/>
          <w:color w:val="auto"/>
          <w:sz w:val="44"/>
          <w:szCs w:val="44"/>
          <w:highlight w:val="none"/>
        </w:rPr>
        <w:t>竞争性谈判报价表</w:t>
      </w:r>
    </w:p>
    <w:p w14:paraId="423062F9">
      <w:pPr>
        <w:spacing w:line="360" w:lineRule="auto"/>
        <w:jc w:val="center"/>
        <w:rPr>
          <w:rFonts w:ascii="宋体" w:hAnsi="宋体" w:cs="宋体"/>
          <w:bCs/>
          <w:color w:val="auto"/>
          <w:sz w:val="24"/>
          <w:highlight w:val="none"/>
        </w:rPr>
      </w:pPr>
    </w:p>
    <w:p w14:paraId="5551D57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分标（如有）：</w:t>
      </w:r>
      <w:r>
        <w:rPr>
          <w:rFonts w:hint="eastAsia" w:ascii="宋体" w:hAnsi="宋体" w:cs="宋体"/>
          <w:color w:val="auto"/>
          <w:sz w:val="24"/>
          <w:highlight w:val="none"/>
          <w:u w:val="single"/>
        </w:rPr>
        <w:t xml:space="preserve">            </w:t>
      </w:r>
    </w:p>
    <w:p w14:paraId="3F76ABA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46A48182">
      <w:pPr>
        <w:snapToGrid w:val="0"/>
        <w:spacing w:line="360" w:lineRule="auto"/>
        <w:ind w:firstLine="5520" w:firstLineChars="2300"/>
        <w:rPr>
          <w:rFonts w:ascii="宋体" w:hAnsi="宋体" w:cs="宋体"/>
          <w:color w:val="auto"/>
          <w:sz w:val="24"/>
          <w:highlight w:val="none"/>
        </w:rPr>
      </w:pPr>
      <w:r>
        <w:rPr>
          <w:rFonts w:hint="eastAsia" w:ascii="宋体" w:hAnsi="宋体" w:cs="宋体"/>
          <w:color w:val="auto"/>
          <w:sz w:val="24"/>
          <w:highlight w:val="none"/>
        </w:rPr>
        <w:t>货币单位：人民币元</w:t>
      </w:r>
    </w:p>
    <w:tbl>
      <w:tblPr>
        <w:tblStyle w:val="29"/>
        <w:tblW w:w="10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34"/>
        <w:gridCol w:w="1134"/>
        <w:gridCol w:w="1381"/>
        <w:gridCol w:w="1029"/>
        <w:gridCol w:w="992"/>
        <w:gridCol w:w="709"/>
        <w:gridCol w:w="830"/>
        <w:gridCol w:w="1405"/>
        <w:gridCol w:w="1333"/>
      </w:tblGrid>
      <w:tr w14:paraId="279C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709" w:type="dxa"/>
            <w:vAlign w:val="center"/>
          </w:tcPr>
          <w:p w14:paraId="218DEF4F">
            <w:pPr>
              <w:snapToGrid w:val="0"/>
              <w:spacing w:line="460" w:lineRule="exact"/>
              <w:jc w:val="center"/>
              <w:rPr>
                <w:rFonts w:ascii="宋体" w:hAnsi="宋体" w:cs="宋体"/>
                <w:color w:val="auto"/>
                <w:sz w:val="24"/>
                <w:highlight w:val="none"/>
              </w:rPr>
            </w:pPr>
            <w:r>
              <w:rPr>
                <w:rFonts w:hint="eastAsia" w:ascii="宋体" w:hAnsi="宋体" w:cs="宋体"/>
                <w:color w:val="auto"/>
                <w:sz w:val="24"/>
                <w:highlight w:val="none"/>
              </w:rPr>
              <w:t>序号</w:t>
            </w:r>
          </w:p>
        </w:tc>
        <w:tc>
          <w:tcPr>
            <w:tcW w:w="1034" w:type="dxa"/>
            <w:vAlign w:val="center"/>
          </w:tcPr>
          <w:p w14:paraId="5D2261D2">
            <w:pPr>
              <w:snapToGrid w:val="0"/>
              <w:spacing w:line="460" w:lineRule="exact"/>
              <w:jc w:val="center"/>
              <w:rPr>
                <w:rFonts w:ascii="宋体" w:hAnsi="宋体" w:cs="宋体"/>
                <w:color w:val="auto"/>
                <w:sz w:val="24"/>
                <w:highlight w:val="none"/>
              </w:rPr>
            </w:pPr>
            <w:r>
              <w:rPr>
                <w:rFonts w:hint="eastAsia" w:ascii="宋体" w:hAnsi="宋体" w:cs="宋体"/>
                <w:color w:val="auto"/>
                <w:sz w:val="24"/>
                <w:highlight w:val="none"/>
              </w:rPr>
              <w:t>标的名称</w:t>
            </w:r>
          </w:p>
        </w:tc>
        <w:tc>
          <w:tcPr>
            <w:tcW w:w="1134" w:type="dxa"/>
            <w:vAlign w:val="center"/>
          </w:tcPr>
          <w:p w14:paraId="0B0F9101">
            <w:pPr>
              <w:snapToGrid w:val="0"/>
              <w:spacing w:line="460" w:lineRule="exact"/>
              <w:jc w:val="center"/>
              <w:rPr>
                <w:rFonts w:ascii="宋体" w:hAnsi="宋体" w:cs="宋体"/>
                <w:color w:val="auto"/>
                <w:sz w:val="24"/>
                <w:highlight w:val="none"/>
              </w:rPr>
            </w:pPr>
            <w:r>
              <w:rPr>
                <w:rFonts w:hint="eastAsia" w:ascii="宋体" w:hAnsi="宋体" w:cs="宋体"/>
                <w:color w:val="auto"/>
                <w:sz w:val="24"/>
                <w:highlight w:val="none"/>
              </w:rPr>
              <w:t>品牌</w:t>
            </w:r>
          </w:p>
        </w:tc>
        <w:tc>
          <w:tcPr>
            <w:tcW w:w="1381" w:type="dxa"/>
            <w:vAlign w:val="center"/>
          </w:tcPr>
          <w:p w14:paraId="6F3A936D">
            <w:pPr>
              <w:snapToGrid w:val="0"/>
              <w:spacing w:line="460" w:lineRule="exact"/>
              <w:jc w:val="center"/>
              <w:rPr>
                <w:rFonts w:ascii="宋体" w:hAnsi="宋体" w:cs="宋体"/>
                <w:color w:val="auto"/>
                <w:sz w:val="24"/>
                <w:highlight w:val="none"/>
              </w:rPr>
            </w:pPr>
            <w:r>
              <w:rPr>
                <w:rFonts w:hint="eastAsia" w:ascii="宋体" w:hAnsi="宋体" w:cs="宋体"/>
                <w:color w:val="auto"/>
                <w:sz w:val="24"/>
                <w:highlight w:val="none"/>
              </w:rPr>
              <w:t>型号（与铭牌一致）</w:t>
            </w:r>
          </w:p>
        </w:tc>
        <w:tc>
          <w:tcPr>
            <w:tcW w:w="1029" w:type="dxa"/>
            <w:vAlign w:val="center"/>
          </w:tcPr>
          <w:p w14:paraId="3536A20D">
            <w:pPr>
              <w:snapToGrid w:val="0"/>
              <w:jc w:val="center"/>
              <w:rPr>
                <w:rFonts w:ascii="宋体" w:hAnsi="宋体" w:cs="宋体"/>
                <w:color w:val="auto"/>
                <w:sz w:val="24"/>
                <w:highlight w:val="none"/>
              </w:rPr>
            </w:pPr>
            <w:r>
              <w:rPr>
                <w:rFonts w:hint="eastAsia" w:ascii="宋体" w:hAnsi="宋体" w:cs="宋体"/>
                <w:color w:val="auto"/>
                <w:sz w:val="24"/>
                <w:highlight w:val="none"/>
              </w:rPr>
              <w:t>生产厂家</w:t>
            </w:r>
          </w:p>
        </w:tc>
        <w:tc>
          <w:tcPr>
            <w:tcW w:w="992" w:type="dxa"/>
            <w:vAlign w:val="center"/>
          </w:tcPr>
          <w:p w14:paraId="0BF3A478">
            <w:pPr>
              <w:snapToGrid w:val="0"/>
              <w:jc w:val="center"/>
              <w:rPr>
                <w:rFonts w:ascii="宋体" w:hAnsi="宋体" w:cs="宋体"/>
                <w:color w:val="auto"/>
                <w:sz w:val="24"/>
                <w:highlight w:val="none"/>
              </w:rPr>
            </w:pPr>
            <w:r>
              <w:rPr>
                <w:rFonts w:hint="eastAsia" w:ascii="宋体" w:hAnsi="宋体" w:cs="宋体"/>
                <w:color w:val="auto"/>
                <w:sz w:val="24"/>
                <w:highlight w:val="none"/>
              </w:rPr>
              <w:t>产地</w:t>
            </w:r>
          </w:p>
        </w:tc>
        <w:tc>
          <w:tcPr>
            <w:tcW w:w="709" w:type="dxa"/>
            <w:vAlign w:val="center"/>
          </w:tcPr>
          <w:p w14:paraId="1CF9379C">
            <w:pPr>
              <w:snapToGrid w:val="0"/>
              <w:jc w:val="center"/>
              <w:rPr>
                <w:rFonts w:ascii="宋体" w:hAnsi="宋体" w:cs="宋体"/>
                <w:color w:val="auto"/>
                <w:sz w:val="24"/>
                <w:highlight w:val="none"/>
              </w:rPr>
            </w:pPr>
            <w:r>
              <w:rPr>
                <w:rFonts w:hint="eastAsia" w:ascii="宋体" w:hAnsi="宋体" w:cs="宋体"/>
                <w:color w:val="auto"/>
                <w:sz w:val="24"/>
                <w:highlight w:val="none"/>
              </w:rPr>
              <w:t>数  量①</w:t>
            </w:r>
          </w:p>
        </w:tc>
        <w:tc>
          <w:tcPr>
            <w:tcW w:w="830" w:type="dxa"/>
            <w:vAlign w:val="center"/>
          </w:tcPr>
          <w:p w14:paraId="1FD70F00">
            <w:pPr>
              <w:snapToGrid w:val="0"/>
              <w:jc w:val="center"/>
              <w:rPr>
                <w:rFonts w:ascii="宋体" w:hAnsi="宋体" w:cs="宋体"/>
                <w:color w:val="auto"/>
                <w:sz w:val="24"/>
                <w:highlight w:val="none"/>
              </w:rPr>
            </w:pPr>
            <w:r>
              <w:rPr>
                <w:rFonts w:hint="eastAsia" w:ascii="宋体" w:hAnsi="宋体" w:cs="宋体"/>
                <w:color w:val="auto"/>
                <w:sz w:val="24"/>
                <w:highlight w:val="none"/>
              </w:rPr>
              <w:t>单位</w:t>
            </w:r>
          </w:p>
        </w:tc>
        <w:tc>
          <w:tcPr>
            <w:tcW w:w="1405" w:type="dxa"/>
            <w:vAlign w:val="center"/>
          </w:tcPr>
          <w:p w14:paraId="186736BD">
            <w:pPr>
              <w:snapToGrid w:val="0"/>
              <w:jc w:val="center"/>
              <w:rPr>
                <w:rFonts w:ascii="宋体" w:hAnsi="宋体" w:cs="宋体"/>
                <w:color w:val="auto"/>
                <w:sz w:val="24"/>
                <w:highlight w:val="none"/>
              </w:rPr>
            </w:pPr>
            <w:r>
              <w:rPr>
                <w:rFonts w:hint="eastAsia" w:ascii="宋体" w:hAnsi="宋体" w:cs="宋体"/>
                <w:color w:val="auto"/>
                <w:sz w:val="24"/>
                <w:highlight w:val="none"/>
              </w:rPr>
              <w:t>单  价</w:t>
            </w:r>
          </w:p>
          <w:p w14:paraId="4AABABEE">
            <w:pPr>
              <w:snapToGrid w:val="0"/>
              <w:jc w:val="center"/>
              <w:rPr>
                <w:rFonts w:ascii="宋体" w:hAnsi="宋体" w:cs="宋体"/>
                <w:color w:val="auto"/>
                <w:sz w:val="24"/>
                <w:highlight w:val="none"/>
              </w:rPr>
            </w:pPr>
            <w:r>
              <w:rPr>
                <w:rFonts w:hint="eastAsia" w:ascii="宋体" w:hAnsi="宋体" w:cs="宋体"/>
                <w:color w:val="auto"/>
                <w:sz w:val="24"/>
                <w:highlight w:val="none"/>
              </w:rPr>
              <w:t>②</w:t>
            </w:r>
          </w:p>
        </w:tc>
        <w:tc>
          <w:tcPr>
            <w:tcW w:w="1333" w:type="dxa"/>
            <w:vAlign w:val="center"/>
          </w:tcPr>
          <w:p w14:paraId="36EF96F0">
            <w:pPr>
              <w:snapToGrid w:val="0"/>
              <w:spacing w:before="50" w:after="50" w:line="360" w:lineRule="auto"/>
              <w:jc w:val="center"/>
              <w:rPr>
                <w:rFonts w:ascii="宋体" w:hAnsi="宋体" w:cs="宋体"/>
                <w:color w:val="auto"/>
                <w:sz w:val="24"/>
                <w:highlight w:val="none"/>
              </w:rPr>
            </w:pPr>
            <w:r>
              <w:rPr>
                <w:rFonts w:hint="eastAsia" w:ascii="宋体" w:hAnsi="宋体" w:cs="宋体"/>
                <w:color w:val="auto"/>
                <w:sz w:val="24"/>
                <w:highlight w:val="none"/>
                <w:lang w:bidi="ar"/>
              </w:rPr>
              <w:t>竞争性谈判</w:t>
            </w:r>
            <w:r>
              <w:rPr>
                <w:rFonts w:hint="eastAsia" w:ascii="宋体" w:hAnsi="宋体" w:cs="宋体"/>
                <w:color w:val="auto"/>
                <w:sz w:val="24"/>
                <w:highlight w:val="none"/>
              </w:rPr>
              <w:t>报价</w:t>
            </w:r>
          </w:p>
          <w:p w14:paraId="207E47FC">
            <w:pPr>
              <w:snapToGrid w:val="0"/>
              <w:jc w:val="center"/>
              <w:rPr>
                <w:rFonts w:ascii="宋体" w:hAnsi="宋体" w:cs="宋体"/>
                <w:color w:val="auto"/>
                <w:sz w:val="24"/>
                <w:highlight w:val="none"/>
              </w:rPr>
            </w:pPr>
            <w:r>
              <w:rPr>
                <w:rFonts w:hint="eastAsia" w:ascii="宋体" w:hAnsi="宋体" w:cs="宋体"/>
                <w:color w:val="auto"/>
                <w:sz w:val="24"/>
                <w:highlight w:val="none"/>
              </w:rPr>
              <w:t>③=①×②</w:t>
            </w:r>
          </w:p>
        </w:tc>
      </w:tr>
      <w:tr w14:paraId="41EA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09" w:type="dxa"/>
            <w:vAlign w:val="center"/>
          </w:tcPr>
          <w:p w14:paraId="34B6E2A6">
            <w:pPr>
              <w:snapToGrid w:val="0"/>
              <w:spacing w:line="46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1034" w:type="dxa"/>
            <w:vAlign w:val="center"/>
          </w:tcPr>
          <w:p w14:paraId="6721CBAD">
            <w:pPr>
              <w:snapToGrid w:val="0"/>
              <w:spacing w:line="460" w:lineRule="exact"/>
              <w:jc w:val="center"/>
              <w:rPr>
                <w:rFonts w:ascii="宋体" w:hAnsi="宋体" w:cs="宋体"/>
                <w:color w:val="auto"/>
                <w:sz w:val="24"/>
                <w:highlight w:val="none"/>
              </w:rPr>
            </w:pPr>
          </w:p>
        </w:tc>
        <w:tc>
          <w:tcPr>
            <w:tcW w:w="1134" w:type="dxa"/>
            <w:vAlign w:val="center"/>
          </w:tcPr>
          <w:p w14:paraId="168F8FBB">
            <w:pPr>
              <w:snapToGrid w:val="0"/>
              <w:spacing w:line="460" w:lineRule="exact"/>
              <w:jc w:val="center"/>
              <w:rPr>
                <w:rFonts w:ascii="宋体" w:hAnsi="宋体" w:cs="宋体"/>
                <w:color w:val="auto"/>
                <w:sz w:val="24"/>
                <w:highlight w:val="none"/>
              </w:rPr>
            </w:pPr>
          </w:p>
        </w:tc>
        <w:tc>
          <w:tcPr>
            <w:tcW w:w="1381" w:type="dxa"/>
            <w:vAlign w:val="center"/>
          </w:tcPr>
          <w:p w14:paraId="1C89B148">
            <w:pPr>
              <w:snapToGrid w:val="0"/>
              <w:spacing w:line="460" w:lineRule="exact"/>
              <w:jc w:val="center"/>
              <w:rPr>
                <w:rFonts w:ascii="宋体" w:hAnsi="宋体" w:cs="宋体"/>
                <w:color w:val="auto"/>
                <w:sz w:val="24"/>
                <w:highlight w:val="none"/>
              </w:rPr>
            </w:pPr>
          </w:p>
        </w:tc>
        <w:tc>
          <w:tcPr>
            <w:tcW w:w="1029" w:type="dxa"/>
          </w:tcPr>
          <w:p w14:paraId="6962E168">
            <w:pPr>
              <w:snapToGrid w:val="0"/>
              <w:spacing w:line="460" w:lineRule="exact"/>
              <w:jc w:val="center"/>
              <w:rPr>
                <w:rFonts w:ascii="宋体" w:hAnsi="宋体" w:cs="宋体"/>
                <w:color w:val="auto"/>
                <w:sz w:val="24"/>
                <w:highlight w:val="none"/>
              </w:rPr>
            </w:pPr>
          </w:p>
        </w:tc>
        <w:tc>
          <w:tcPr>
            <w:tcW w:w="992" w:type="dxa"/>
            <w:vAlign w:val="center"/>
          </w:tcPr>
          <w:p w14:paraId="116E5336">
            <w:pPr>
              <w:snapToGrid w:val="0"/>
              <w:spacing w:line="460" w:lineRule="exact"/>
              <w:jc w:val="center"/>
              <w:rPr>
                <w:rFonts w:ascii="宋体" w:hAnsi="宋体" w:cs="宋体"/>
                <w:color w:val="auto"/>
                <w:sz w:val="24"/>
                <w:highlight w:val="none"/>
              </w:rPr>
            </w:pPr>
          </w:p>
        </w:tc>
        <w:tc>
          <w:tcPr>
            <w:tcW w:w="709" w:type="dxa"/>
            <w:vAlign w:val="center"/>
          </w:tcPr>
          <w:p w14:paraId="507AFED4">
            <w:pPr>
              <w:pStyle w:val="74"/>
              <w:snapToGrid w:val="0"/>
              <w:spacing w:line="460" w:lineRule="exact"/>
              <w:ind w:left="360" w:firstLine="0" w:firstLineChars="0"/>
              <w:rPr>
                <w:rFonts w:ascii="宋体" w:hAnsi="宋体" w:cs="宋体"/>
                <w:color w:val="auto"/>
                <w:sz w:val="24"/>
                <w:highlight w:val="none"/>
              </w:rPr>
            </w:pPr>
          </w:p>
        </w:tc>
        <w:tc>
          <w:tcPr>
            <w:tcW w:w="830" w:type="dxa"/>
          </w:tcPr>
          <w:p w14:paraId="198EFE68">
            <w:pPr>
              <w:snapToGrid w:val="0"/>
              <w:spacing w:line="460" w:lineRule="exact"/>
              <w:jc w:val="center"/>
              <w:rPr>
                <w:rFonts w:ascii="宋体" w:hAnsi="宋体" w:cs="宋体"/>
                <w:color w:val="auto"/>
                <w:sz w:val="24"/>
                <w:highlight w:val="none"/>
              </w:rPr>
            </w:pPr>
          </w:p>
        </w:tc>
        <w:tc>
          <w:tcPr>
            <w:tcW w:w="1405" w:type="dxa"/>
            <w:vAlign w:val="center"/>
          </w:tcPr>
          <w:p w14:paraId="1DC2AB22">
            <w:pPr>
              <w:pStyle w:val="74"/>
              <w:snapToGrid w:val="0"/>
              <w:spacing w:line="460" w:lineRule="exact"/>
              <w:ind w:left="360" w:firstLine="0" w:firstLineChars="0"/>
              <w:rPr>
                <w:rFonts w:ascii="宋体" w:hAnsi="宋体" w:cs="宋体"/>
                <w:color w:val="auto"/>
                <w:sz w:val="24"/>
                <w:highlight w:val="none"/>
              </w:rPr>
            </w:pPr>
          </w:p>
        </w:tc>
        <w:tc>
          <w:tcPr>
            <w:tcW w:w="1333" w:type="dxa"/>
          </w:tcPr>
          <w:p w14:paraId="502BF88A">
            <w:pPr>
              <w:snapToGrid w:val="0"/>
              <w:spacing w:line="460" w:lineRule="exact"/>
              <w:jc w:val="center"/>
              <w:rPr>
                <w:rFonts w:ascii="宋体" w:hAnsi="宋体" w:cs="宋体"/>
                <w:color w:val="auto"/>
                <w:sz w:val="24"/>
                <w:highlight w:val="none"/>
              </w:rPr>
            </w:pPr>
          </w:p>
        </w:tc>
      </w:tr>
      <w:tr w14:paraId="7208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09" w:type="dxa"/>
            <w:vAlign w:val="center"/>
          </w:tcPr>
          <w:p w14:paraId="68FAAD64">
            <w:pPr>
              <w:snapToGrid w:val="0"/>
              <w:spacing w:line="46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p>
        </w:tc>
        <w:tc>
          <w:tcPr>
            <w:tcW w:w="1034" w:type="dxa"/>
            <w:vAlign w:val="center"/>
          </w:tcPr>
          <w:p w14:paraId="3A149DF0">
            <w:pPr>
              <w:snapToGrid w:val="0"/>
              <w:spacing w:line="460" w:lineRule="exact"/>
              <w:jc w:val="center"/>
              <w:rPr>
                <w:rFonts w:ascii="宋体" w:hAnsi="宋体" w:cs="宋体"/>
                <w:color w:val="auto"/>
                <w:sz w:val="24"/>
                <w:highlight w:val="none"/>
              </w:rPr>
            </w:pPr>
          </w:p>
        </w:tc>
        <w:tc>
          <w:tcPr>
            <w:tcW w:w="1134" w:type="dxa"/>
            <w:vAlign w:val="center"/>
          </w:tcPr>
          <w:p w14:paraId="4FCDF69D">
            <w:pPr>
              <w:snapToGrid w:val="0"/>
              <w:spacing w:line="460" w:lineRule="exact"/>
              <w:jc w:val="center"/>
              <w:rPr>
                <w:rFonts w:ascii="宋体" w:hAnsi="宋体" w:cs="宋体"/>
                <w:color w:val="auto"/>
                <w:sz w:val="24"/>
                <w:highlight w:val="none"/>
              </w:rPr>
            </w:pPr>
          </w:p>
        </w:tc>
        <w:tc>
          <w:tcPr>
            <w:tcW w:w="1381" w:type="dxa"/>
            <w:vAlign w:val="center"/>
          </w:tcPr>
          <w:p w14:paraId="7C30335D">
            <w:pPr>
              <w:snapToGrid w:val="0"/>
              <w:spacing w:line="460" w:lineRule="exact"/>
              <w:jc w:val="center"/>
              <w:rPr>
                <w:rFonts w:ascii="宋体" w:hAnsi="宋体" w:cs="宋体"/>
                <w:color w:val="auto"/>
                <w:sz w:val="24"/>
                <w:highlight w:val="none"/>
              </w:rPr>
            </w:pPr>
          </w:p>
        </w:tc>
        <w:tc>
          <w:tcPr>
            <w:tcW w:w="1029" w:type="dxa"/>
          </w:tcPr>
          <w:p w14:paraId="7413F21F">
            <w:pPr>
              <w:snapToGrid w:val="0"/>
              <w:spacing w:line="460" w:lineRule="exact"/>
              <w:jc w:val="center"/>
              <w:rPr>
                <w:rFonts w:ascii="宋体" w:hAnsi="宋体" w:cs="宋体"/>
                <w:color w:val="auto"/>
                <w:sz w:val="24"/>
                <w:highlight w:val="none"/>
              </w:rPr>
            </w:pPr>
          </w:p>
        </w:tc>
        <w:tc>
          <w:tcPr>
            <w:tcW w:w="992" w:type="dxa"/>
            <w:vAlign w:val="center"/>
          </w:tcPr>
          <w:p w14:paraId="7AAFEE42">
            <w:pPr>
              <w:snapToGrid w:val="0"/>
              <w:spacing w:line="460" w:lineRule="exact"/>
              <w:jc w:val="center"/>
              <w:rPr>
                <w:rFonts w:ascii="宋体" w:hAnsi="宋体" w:cs="宋体"/>
                <w:color w:val="auto"/>
                <w:sz w:val="24"/>
                <w:highlight w:val="none"/>
              </w:rPr>
            </w:pPr>
          </w:p>
        </w:tc>
        <w:tc>
          <w:tcPr>
            <w:tcW w:w="709" w:type="dxa"/>
            <w:vAlign w:val="center"/>
          </w:tcPr>
          <w:p w14:paraId="128145D1">
            <w:pPr>
              <w:pStyle w:val="74"/>
              <w:snapToGrid w:val="0"/>
              <w:spacing w:line="460" w:lineRule="exact"/>
              <w:ind w:left="360" w:firstLine="0" w:firstLineChars="0"/>
              <w:rPr>
                <w:rFonts w:ascii="宋体" w:hAnsi="宋体" w:cs="宋体"/>
                <w:color w:val="auto"/>
                <w:sz w:val="24"/>
                <w:highlight w:val="none"/>
              </w:rPr>
            </w:pPr>
          </w:p>
        </w:tc>
        <w:tc>
          <w:tcPr>
            <w:tcW w:w="830" w:type="dxa"/>
          </w:tcPr>
          <w:p w14:paraId="76372B99">
            <w:pPr>
              <w:snapToGrid w:val="0"/>
              <w:spacing w:line="460" w:lineRule="exact"/>
              <w:jc w:val="center"/>
              <w:rPr>
                <w:rFonts w:ascii="宋体" w:hAnsi="宋体" w:cs="宋体"/>
                <w:color w:val="auto"/>
                <w:sz w:val="24"/>
                <w:highlight w:val="none"/>
              </w:rPr>
            </w:pPr>
          </w:p>
        </w:tc>
        <w:tc>
          <w:tcPr>
            <w:tcW w:w="1405" w:type="dxa"/>
            <w:vAlign w:val="center"/>
          </w:tcPr>
          <w:p w14:paraId="733285D9">
            <w:pPr>
              <w:pStyle w:val="74"/>
              <w:snapToGrid w:val="0"/>
              <w:spacing w:line="460" w:lineRule="exact"/>
              <w:ind w:left="360" w:firstLine="0" w:firstLineChars="0"/>
              <w:rPr>
                <w:rFonts w:ascii="宋体" w:hAnsi="宋体" w:cs="宋体"/>
                <w:color w:val="auto"/>
                <w:sz w:val="24"/>
                <w:highlight w:val="none"/>
              </w:rPr>
            </w:pPr>
          </w:p>
        </w:tc>
        <w:tc>
          <w:tcPr>
            <w:tcW w:w="1333" w:type="dxa"/>
          </w:tcPr>
          <w:p w14:paraId="0BE76554">
            <w:pPr>
              <w:snapToGrid w:val="0"/>
              <w:spacing w:line="460" w:lineRule="exact"/>
              <w:jc w:val="center"/>
              <w:rPr>
                <w:rFonts w:ascii="宋体" w:hAnsi="宋体" w:cs="宋体"/>
                <w:color w:val="auto"/>
                <w:sz w:val="24"/>
                <w:highlight w:val="none"/>
              </w:rPr>
            </w:pPr>
          </w:p>
        </w:tc>
      </w:tr>
      <w:tr w14:paraId="4F7F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09" w:type="dxa"/>
            <w:vAlign w:val="center"/>
          </w:tcPr>
          <w:p w14:paraId="6683BCD3">
            <w:pPr>
              <w:snapToGrid w:val="0"/>
              <w:spacing w:line="460" w:lineRule="exact"/>
              <w:jc w:val="center"/>
              <w:rPr>
                <w:rFonts w:hint="eastAsia" w:ascii="宋体" w:hAnsi="宋体" w:cs="宋体"/>
                <w:color w:val="auto"/>
                <w:sz w:val="24"/>
                <w:highlight w:val="none"/>
              </w:rPr>
            </w:pPr>
            <w:r>
              <w:rPr>
                <w:rFonts w:hint="default" w:ascii="Arial" w:hAnsi="Arial" w:cs="Arial"/>
                <w:color w:val="auto"/>
                <w:sz w:val="24"/>
                <w:highlight w:val="none"/>
              </w:rPr>
              <w:t>…</w:t>
            </w:r>
          </w:p>
        </w:tc>
        <w:tc>
          <w:tcPr>
            <w:tcW w:w="1034" w:type="dxa"/>
            <w:vAlign w:val="center"/>
          </w:tcPr>
          <w:p w14:paraId="134E3D38">
            <w:pPr>
              <w:snapToGrid w:val="0"/>
              <w:spacing w:line="460" w:lineRule="exact"/>
              <w:jc w:val="center"/>
              <w:rPr>
                <w:rFonts w:ascii="宋体" w:hAnsi="宋体" w:cs="宋体"/>
                <w:color w:val="auto"/>
                <w:sz w:val="24"/>
                <w:highlight w:val="none"/>
              </w:rPr>
            </w:pPr>
          </w:p>
        </w:tc>
        <w:tc>
          <w:tcPr>
            <w:tcW w:w="1134" w:type="dxa"/>
            <w:vAlign w:val="center"/>
          </w:tcPr>
          <w:p w14:paraId="2AE96D4D">
            <w:pPr>
              <w:snapToGrid w:val="0"/>
              <w:spacing w:line="460" w:lineRule="exact"/>
              <w:jc w:val="center"/>
              <w:rPr>
                <w:rFonts w:ascii="宋体" w:hAnsi="宋体" w:cs="宋体"/>
                <w:color w:val="auto"/>
                <w:sz w:val="24"/>
                <w:highlight w:val="none"/>
              </w:rPr>
            </w:pPr>
          </w:p>
        </w:tc>
        <w:tc>
          <w:tcPr>
            <w:tcW w:w="1381" w:type="dxa"/>
            <w:vAlign w:val="center"/>
          </w:tcPr>
          <w:p w14:paraId="38C0C211">
            <w:pPr>
              <w:snapToGrid w:val="0"/>
              <w:spacing w:line="460" w:lineRule="exact"/>
              <w:jc w:val="center"/>
              <w:rPr>
                <w:rFonts w:ascii="宋体" w:hAnsi="宋体" w:cs="宋体"/>
                <w:color w:val="auto"/>
                <w:sz w:val="24"/>
                <w:highlight w:val="none"/>
              </w:rPr>
            </w:pPr>
          </w:p>
        </w:tc>
        <w:tc>
          <w:tcPr>
            <w:tcW w:w="1029" w:type="dxa"/>
          </w:tcPr>
          <w:p w14:paraId="28B562C8">
            <w:pPr>
              <w:snapToGrid w:val="0"/>
              <w:spacing w:line="460" w:lineRule="exact"/>
              <w:jc w:val="center"/>
              <w:rPr>
                <w:rFonts w:ascii="宋体" w:hAnsi="宋体" w:cs="宋体"/>
                <w:color w:val="auto"/>
                <w:sz w:val="24"/>
                <w:highlight w:val="none"/>
              </w:rPr>
            </w:pPr>
          </w:p>
        </w:tc>
        <w:tc>
          <w:tcPr>
            <w:tcW w:w="992" w:type="dxa"/>
            <w:vAlign w:val="center"/>
          </w:tcPr>
          <w:p w14:paraId="2ADD35F2">
            <w:pPr>
              <w:snapToGrid w:val="0"/>
              <w:spacing w:line="460" w:lineRule="exact"/>
              <w:jc w:val="center"/>
              <w:rPr>
                <w:rFonts w:ascii="宋体" w:hAnsi="宋体" w:cs="宋体"/>
                <w:color w:val="auto"/>
                <w:sz w:val="24"/>
                <w:highlight w:val="none"/>
              </w:rPr>
            </w:pPr>
          </w:p>
        </w:tc>
        <w:tc>
          <w:tcPr>
            <w:tcW w:w="709" w:type="dxa"/>
            <w:vAlign w:val="center"/>
          </w:tcPr>
          <w:p w14:paraId="5F34B3B9">
            <w:pPr>
              <w:pStyle w:val="74"/>
              <w:snapToGrid w:val="0"/>
              <w:spacing w:line="460" w:lineRule="exact"/>
              <w:ind w:left="360" w:firstLine="0" w:firstLineChars="0"/>
              <w:rPr>
                <w:rFonts w:ascii="宋体" w:hAnsi="宋体" w:cs="宋体"/>
                <w:color w:val="auto"/>
                <w:sz w:val="24"/>
                <w:highlight w:val="none"/>
              </w:rPr>
            </w:pPr>
          </w:p>
        </w:tc>
        <w:tc>
          <w:tcPr>
            <w:tcW w:w="830" w:type="dxa"/>
          </w:tcPr>
          <w:p w14:paraId="37E19272">
            <w:pPr>
              <w:snapToGrid w:val="0"/>
              <w:spacing w:line="460" w:lineRule="exact"/>
              <w:jc w:val="center"/>
              <w:rPr>
                <w:rFonts w:ascii="宋体" w:hAnsi="宋体" w:cs="宋体"/>
                <w:color w:val="auto"/>
                <w:sz w:val="24"/>
                <w:highlight w:val="none"/>
              </w:rPr>
            </w:pPr>
          </w:p>
        </w:tc>
        <w:tc>
          <w:tcPr>
            <w:tcW w:w="1405" w:type="dxa"/>
            <w:vAlign w:val="center"/>
          </w:tcPr>
          <w:p w14:paraId="35ED6B50">
            <w:pPr>
              <w:pStyle w:val="74"/>
              <w:snapToGrid w:val="0"/>
              <w:spacing w:line="460" w:lineRule="exact"/>
              <w:ind w:left="360" w:firstLine="0" w:firstLineChars="0"/>
              <w:rPr>
                <w:rFonts w:ascii="宋体" w:hAnsi="宋体" w:cs="宋体"/>
                <w:color w:val="auto"/>
                <w:sz w:val="24"/>
                <w:highlight w:val="none"/>
              </w:rPr>
            </w:pPr>
          </w:p>
        </w:tc>
        <w:tc>
          <w:tcPr>
            <w:tcW w:w="1333" w:type="dxa"/>
          </w:tcPr>
          <w:p w14:paraId="7BD675D6">
            <w:pPr>
              <w:snapToGrid w:val="0"/>
              <w:spacing w:line="460" w:lineRule="exact"/>
              <w:jc w:val="center"/>
              <w:rPr>
                <w:rFonts w:ascii="宋体" w:hAnsi="宋体" w:cs="宋体"/>
                <w:color w:val="auto"/>
                <w:sz w:val="24"/>
                <w:highlight w:val="none"/>
              </w:rPr>
            </w:pPr>
          </w:p>
        </w:tc>
      </w:tr>
      <w:tr w14:paraId="0EC7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10556" w:type="dxa"/>
            <w:gridSpan w:val="10"/>
          </w:tcPr>
          <w:p w14:paraId="61302351">
            <w:pPr>
              <w:snapToGrid w:val="0"/>
              <w:spacing w:line="460" w:lineRule="exact"/>
              <w:jc w:val="left"/>
              <w:rPr>
                <w:color w:val="auto"/>
                <w:highlight w:val="none"/>
              </w:rPr>
            </w:pPr>
            <w:r>
              <w:rPr>
                <w:rFonts w:hint="eastAsia" w:ascii="宋体" w:hAnsi="宋体" w:cs="宋体"/>
                <w:color w:val="auto"/>
                <w:sz w:val="24"/>
                <w:highlight w:val="none"/>
              </w:rPr>
              <w:t>合计金额（人民币大写</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b/>
                <w:bCs/>
                <w:color w:val="auto"/>
                <w:sz w:val="24"/>
                <w:highlight w:val="none"/>
                <w:u w:val="single"/>
              </w:rPr>
              <w:t xml:space="preserve"> </w:t>
            </w:r>
            <w:r>
              <w:rPr>
                <w:rFonts w:ascii="宋体" w:hAnsi="宋体" w:cs="宋体"/>
                <w:b/>
                <w:bCs/>
                <w:color w:val="auto"/>
                <w:sz w:val="24"/>
                <w:highlight w:val="none"/>
                <w:u w:val="single"/>
              </w:rPr>
              <w:t xml:space="preserve">              </w:t>
            </w:r>
            <w:r>
              <w:rPr>
                <w:rFonts w:hint="eastAsia" w:ascii="宋体" w:hAnsi="宋体" w:cs="宋体"/>
                <w:bCs/>
                <w:color w:val="auto"/>
                <w:sz w:val="24"/>
                <w:highlight w:val="none"/>
                <w:u w:val="single"/>
              </w:rPr>
              <w:t>元整</w:t>
            </w:r>
            <w:r>
              <w:rPr>
                <w:rFonts w:hint="eastAsia" w:ascii="宋体" w:hAnsi="宋体" w:cs="宋体"/>
                <w:bCs/>
                <w:color w:val="auto"/>
                <w:sz w:val="24"/>
                <w:highlight w:val="none"/>
              </w:rPr>
              <w:t>（小写）</w:t>
            </w:r>
            <w:r>
              <w:rPr>
                <w:rFonts w:hint="eastAsia" w:ascii="宋体" w:hAnsi="宋体" w:cs="宋体"/>
                <w:bCs/>
                <w:color w:val="auto"/>
                <w:sz w:val="24"/>
                <w:highlight w:val="none"/>
                <w:u w:val="single"/>
              </w:rPr>
              <w:t xml:space="preserve">¥ </w:t>
            </w:r>
            <w:r>
              <w:rPr>
                <w:rFonts w:ascii="宋体" w:hAnsi="宋体" w:cs="宋体"/>
                <w:bCs/>
                <w:color w:val="auto"/>
                <w:sz w:val="24"/>
                <w:highlight w:val="none"/>
                <w:u w:val="single"/>
              </w:rPr>
              <w:t xml:space="preserve">         </w:t>
            </w:r>
          </w:p>
        </w:tc>
      </w:tr>
      <w:tr w14:paraId="07A9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0556" w:type="dxa"/>
            <w:gridSpan w:val="10"/>
          </w:tcPr>
          <w:p w14:paraId="2124464E">
            <w:pPr>
              <w:snapToGrid w:val="0"/>
              <w:spacing w:line="460" w:lineRule="exact"/>
              <w:jc w:val="left"/>
              <w:rPr>
                <w:rFonts w:ascii="宋体" w:hAnsi="宋体" w:cs="宋体"/>
                <w:color w:val="auto"/>
                <w:sz w:val="24"/>
                <w:highlight w:val="none"/>
              </w:rPr>
            </w:pPr>
            <w:r>
              <w:rPr>
                <w:rFonts w:hint="eastAsia" w:ascii="宋体" w:hAnsi="宋体" w:cs="宋体"/>
                <w:color w:val="auto"/>
                <w:sz w:val="24"/>
                <w:highlight w:val="none"/>
              </w:rPr>
              <w:t>交付时间：自签订合同之日起</w:t>
            </w:r>
            <w:r>
              <w:rPr>
                <w:rFonts w:ascii="宋体" w:hAnsi="宋体" w:cs="宋体"/>
                <w:color w:val="auto"/>
                <w:sz w:val="24"/>
                <w:highlight w:val="none"/>
                <w:u w:val="single"/>
              </w:rPr>
              <w:t xml:space="preserve">   </w:t>
            </w:r>
            <w:r>
              <w:rPr>
                <w:rFonts w:hint="eastAsia" w:ascii="宋体" w:hAnsi="宋体" w:cs="宋体"/>
                <w:color w:val="auto"/>
                <w:sz w:val="24"/>
                <w:highlight w:val="none"/>
              </w:rPr>
              <w:t>日历天内到货安装调试完成并通过验收。</w:t>
            </w:r>
          </w:p>
        </w:tc>
      </w:tr>
    </w:tbl>
    <w:p w14:paraId="1705C3F0">
      <w:pPr>
        <w:pStyle w:val="35"/>
        <w:rPr>
          <w:color w:val="auto"/>
          <w:highlight w:val="none"/>
        </w:rPr>
      </w:pPr>
    </w:p>
    <w:p w14:paraId="66995AE8">
      <w:pPr>
        <w:contextualSpacing/>
        <w:jc w:val="left"/>
        <w:rPr>
          <w:rFonts w:ascii="楷体" w:hAnsi="楷体" w:eastAsia="楷体" w:cs="宋体"/>
          <w:b/>
          <w:color w:val="auto"/>
          <w:sz w:val="24"/>
          <w:highlight w:val="none"/>
        </w:rPr>
      </w:pPr>
      <w:r>
        <w:rPr>
          <w:rFonts w:hint="eastAsia" w:ascii="楷体" w:hAnsi="楷体" w:eastAsia="楷体" w:cs="宋体"/>
          <w:b/>
          <w:color w:val="auto"/>
          <w:sz w:val="24"/>
          <w:highlight w:val="none"/>
        </w:rPr>
        <w:t>注</w:t>
      </w:r>
      <w:r>
        <w:rPr>
          <w:rFonts w:ascii="楷体" w:hAnsi="楷体" w:eastAsia="楷体" w:cs="宋体"/>
          <w:b/>
          <w:color w:val="auto"/>
          <w:sz w:val="24"/>
          <w:highlight w:val="none"/>
        </w:rPr>
        <w:t xml:space="preserve">: </w:t>
      </w:r>
    </w:p>
    <w:p w14:paraId="24416806">
      <w:pPr>
        <w:ind w:firstLine="480" w:firstLineChars="200"/>
        <w:contextualSpacing/>
        <w:jc w:val="left"/>
        <w:rPr>
          <w:rFonts w:ascii="楷体" w:hAnsi="楷体" w:eastAsia="楷体" w:cs="宋体"/>
          <w:b/>
          <w:color w:val="auto"/>
          <w:sz w:val="24"/>
          <w:highlight w:val="none"/>
        </w:rPr>
      </w:pPr>
      <w:r>
        <w:rPr>
          <w:rFonts w:ascii="楷体" w:hAnsi="楷体" w:eastAsia="楷体" w:cs="宋体"/>
          <w:color w:val="auto"/>
          <w:sz w:val="24"/>
          <w:highlight w:val="none"/>
        </w:rPr>
        <w:t>1.</w:t>
      </w:r>
      <w:r>
        <w:rPr>
          <w:rFonts w:hint="eastAsia" w:ascii="楷体" w:hAnsi="楷体" w:eastAsia="楷体" w:cs="宋体"/>
          <w:color w:val="auto"/>
          <w:sz w:val="24"/>
          <w:highlight w:val="none"/>
        </w:rPr>
        <w:t>竞争性谈判报价表中“货物名称、数量、单位、品牌、型号、生产厂家、产地”必须如实填写完整，定制产品在型号栏中填写“定制”。</w:t>
      </w:r>
      <w:r>
        <w:rPr>
          <w:rFonts w:hint="eastAsia" w:ascii="楷体" w:hAnsi="楷体" w:eastAsia="楷体" w:cs="宋体"/>
          <w:b/>
          <w:color w:val="auto"/>
          <w:sz w:val="24"/>
          <w:highlight w:val="none"/>
        </w:rPr>
        <w:t>填写有缺漏</w:t>
      </w:r>
      <w:r>
        <w:rPr>
          <w:rFonts w:hint="eastAsia" w:ascii="楷体" w:hAnsi="楷体" w:eastAsia="楷体" w:cs="宋体"/>
          <w:b/>
          <w:bCs/>
          <w:color w:val="auto"/>
          <w:sz w:val="24"/>
          <w:highlight w:val="none"/>
        </w:rPr>
        <w:t>的，</w:t>
      </w:r>
      <w:r>
        <w:rPr>
          <w:rFonts w:hint="eastAsia" w:ascii="楷体" w:hAnsi="楷体" w:eastAsia="楷体" w:cs="宋体"/>
          <w:b/>
          <w:color w:val="auto"/>
          <w:sz w:val="24"/>
          <w:highlight w:val="none"/>
        </w:rPr>
        <w:t>其响应文件按无效响应处理。</w:t>
      </w:r>
    </w:p>
    <w:p w14:paraId="592D822D">
      <w:pPr>
        <w:snapToGrid w:val="0"/>
        <w:spacing w:before="50" w:after="50"/>
        <w:ind w:firstLine="482" w:firstLineChars="200"/>
        <w:jc w:val="left"/>
        <w:rPr>
          <w:rFonts w:ascii="楷体" w:hAnsi="楷体" w:eastAsia="楷体"/>
          <w:color w:val="auto"/>
          <w:highlight w:val="none"/>
        </w:rPr>
      </w:pPr>
      <w:r>
        <w:rPr>
          <w:rFonts w:ascii="楷体" w:hAnsi="楷体" w:eastAsia="楷体" w:cs="宋体"/>
          <w:b/>
          <w:color w:val="auto"/>
          <w:sz w:val="24"/>
          <w:highlight w:val="none"/>
        </w:rPr>
        <w:t>2.所填写的型号与货物铭牌一致。</w:t>
      </w:r>
    </w:p>
    <w:p w14:paraId="7C407DAD">
      <w:pPr>
        <w:ind w:firstLine="480" w:firstLineChars="200"/>
        <w:contextualSpacing/>
        <w:jc w:val="left"/>
        <w:rPr>
          <w:rFonts w:ascii="楷体" w:hAnsi="楷体" w:eastAsia="楷体" w:cs="宋体"/>
          <w:color w:val="auto"/>
          <w:sz w:val="24"/>
          <w:highlight w:val="none"/>
        </w:rPr>
      </w:pPr>
      <w:r>
        <w:rPr>
          <w:rFonts w:ascii="楷体" w:hAnsi="楷体" w:eastAsia="楷体" w:cs="宋体"/>
          <w:color w:val="auto"/>
          <w:sz w:val="24"/>
          <w:highlight w:val="none"/>
        </w:rPr>
        <w:t>3.供应商的报价表必须加盖供应商公章并由法定代表人或者委托代理人签字，</w:t>
      </w:r>
      <w:r>
        <w:rPr>
          <w:rFonts w:hint="eastAsia" w:ascii="楷体" w:hAnsi="楷体" w:eastAsia="楷体" w:cs="宋体"/>
          <w:b/>
          <w:color w:val="auto"/>
          <w:sz w:val="24"/>
          <w:highlight w:val="none"/>
        </w:rPr>
        <w:t>否则其响应文件按无效响应处理</w:t>
      </w:r>
      <w:r>
        <w:rPr>
          <w:rFonts w:hint="eastAsia" w:ascii="楷体" w:hAnsi="楷体" w:eastAsia="楷体" w:cs="宋体"/>
          <w:color w:val="auto"/>
          <w:sz w:val="24"/>
          <w:highlight w:val="none"/>
        </w:rPr>
        <w:t>。</w:t>
      </w:r>
    </w:p>
    <w:p w14:paraId="51224B56">
      <w:pPr>
        <w:ind w:firstLine="480" w:firstLineChars="200"/>
        <w:contextualSpacing/>
        <w:jc w:val="left"/>
        <w:rPr>
          <w:rFonts w:ascii="楷体" w:hAnsi="楷体" w:eastAsia="楷体" w:cs="宋体"/>
          <w:b/>
          <w:color w:val="auto"/>
          <w:sz w:val="24"/>
          <w:highlight w:val="none"/>
        </w:rPr>
      </w:pPr>
      <w:r>
        <w:rPr>
          <w:rFonts w:ascii="楷体" w:hAnsi="楷体" w:eastAsia="楷体" w:cs="宋体"/>
          <w:bCs/>
          <w:color w:val="auto"/>
          <w:sz w:val="24"/>
          <w:highlight w:val="none"/>
        </w:rPr>
        <w:t>4.</w:t>
      </w:r>
      <w:r>
        <w:rPr>
          <w:rFonts w:hint="eastAsia" w:ascii="楷体" w:hAnsi="楷体" w:eastAsia="楷体" w:cs="宋体"/>
          <w:color w:val="auto"/>
          <w:sz w:val="24"/>
          <w:highlight w:val="none"/>
        </w:rPr>
        <w:t>报价一经涂改，应在涂改处加盖供应商公章或者由法定代表人或者授权委托人签字或者盖章</w:t>
      </w:r>
      <w:r>
        <w:rPr>
          <w:rFonts w:hint="eastAsia" w:ascii="楷体" w:hAnsi="楷体" w:eastAsia="楷体" w:cs="宋体"/>
          <w:b/>
          <w:color w:val="auto"/>
          <w:sz w:val="24"/>
          <w:highlight w:val="none"/>
        </w:rPr>
        <w:t>，否则其响应文件按无效响应处理。</w:t>
      </w:r>
    </w:p>
    <w:p w14:paraId="2BB0F4E4">
      <w:pPr>
        <w:ind w:firstLine="480" w:firstLineChars="200"/>
        <w:contextualSpacing/>
        <w:jc w:val="left"/>
        <w:rPr>
          <w:rFonts w:ascii="楷体" w:hAnsi="楷体" w:eastAsia="楷体" w:cs="宋体"/>
          <w:color w:val="auto"/>
          <w:sz w:val="24"/>
          <w:highlight w:val="none"/>
        </w:rPr>
      </w:pPr>
      <w:r>
        <w:rPr>
          <w:rFonts w:ascii="楷体" w:hAnsi="楷体" w:eastAsia="楷体" w:cs="宋体"/>
          <w:color w:val="auto"/>
          <w:sz w:val="24"/>
          <w:highlight w:val="none"/>
        </w:rPr>
        <w:t>5.谈判文件中列明采购专用耗材的，应按谈判文件规定的耗材量或者按耗材的常规</w:t>
      </w:r>
      <w:r>
        <w:rPr>
          <w:rFonts w:hint="eastAsia" w:ascii="楷体" w:hAnsi="楷体" w:eastAsia="楷体" w:cs="宋体"/>
          <w:color w:val="auto"/>
          <w:sz w:val="24"/>
          <w:highlight w:val="none"/>
        </w:rPr>
        <w:t>使用量提供报价。</w:t>
      </w:r>
    </w:p>
    <w:p w14:paraId="3EAF8FB7">
      <w:pPr>
        <w:ind w:firstLine="480" w:firstLineChars="200"/>
        <w:contextualSpacing/>
        <w:jc w:val="left"/>
        <w:rPr>
          <w:rFonts w:ascii="楷体" w:hAnsi="楷体" w:eastAsia="楷体" w:cs="宋体"/>
          <w:color w:val="auto"/>
          <w:sz w:val="24"/>
          <w:highlight w:val="none"/>
        </w:rPr>
      </w:pPr>
      <w:r>
        <w:rPr>
          <w:rFonts w:ascii="楷体" w:hAnsi="楷体" w:eastAsia="楷体" w:cs="宋体"/>
          <w:color w:val="auto"/>
          <w:sz w:val="24"/>
          <w:highlight w:val="none"/>
        </w:rPr>
        <w:t>6.如为联合体</w:t>
      </w:r>
      <w:r>
        <w:rPr>
          <w:rFonts w:hint="eastAsia" w:ascii="楷体" w:hAnsi="楷体" w:eastAsia="楷体" w:cs="宋体"/>
          <w:color w:val="auto"/>
          <w:sz w:val="24"/>
          <w:highlight w:val="none"/>
        </w:rPr>
        <w:t>参与竞争性谈判</w:t>
      </w:r>
      <w:r>
        <w:rPr>
          <w:rFonts w:ascii="楷体" w:hAnsi="楷体" w:eastAsia="楷体" w:cs="宋体"/>
          <w:color w:val="auto"/>
          <w:sz w:val="24"/>
          <w:highlight w:val="none"/>
        </w:rPr>
        <w:t>,“供应商名称”处必须列明联合体各方名称，标注联合体牵头人名称，</w:t>
      </w:r>
      <w:r>
        <w:rPr>
          <w:rFonts w:hint="eastAsia" w:ascii="楷体" w:hAnsi="楷体" w:eastAsia="楷体" w:cs="宋体"/>
          <w:b/>
          <w:color w:val="auto"/>
          <w:sz w:val="24"/>
          <w:highlight w:val="none"/>
        </w:rPr>
        <w:t>否则其响应文件按无效响应处理。（采购人可根据项目情况自行修改是否需要联合体各方签字盖章）</w:t>
      </w:r>
    </w:p>
    <w:p w14:paraId="702944DB">
      <w:pPr>
        <w:ind w:firstLine="480" w:firstLineChars="200"/>
        <w:contextualSpacing/>
        <w:jc w:val="left"/>
        <w:rPr>
          <w:rFonts w:ascii="楷体" w:hAnsi="楷体" w:eastAsia="楷体" w:cs="宋体"/>
          <w:color w:val="auto"/>
          <w:sz w:val="24"/>
          <w:highlight w:val="none"/>
        </w:rPr>
      </w:pPr>
      <w:r>
        <w:rPr>
          <w:rFonts w:ascii="楷体" w:hAnsi="楷体" w:eastAsia="楷体" w:cs="宋体"/>
          <w:color w:val="auto"/>
          <w:sz w:val="24"/>
          <w:highlight w:val="none"/>
        </w:rPr>
        <w:t>7.如为联合体</w:t>
      </w:r>
      <w:r>
        <w:rPr>
          <w:rFonts w:hint="eastAsia" w:ascii="楷体" w:hAnsi="楷体" w:eastAsia="楷体" w:cs="宋体"/>
          <w:color w:val="auto"/>
          <w:sz w:val="24"/>
          <w:highlight w:val="none"/>
        </w:rPr>
        <w:t>参与竞争性谈判</w:t>
      </w:r>
      <w:r>
        <w:rPr>
          <w:rFonts w:ascii="楷体" w:hAnsi="楷体" w:eastAsia="楷体" w:cs="宋体"/>
          <w:color w:val="auto"/>
          <w:sz w:val="24"/>
          <w:highlight w:val="none"/>
        </w:rPr>
        <w:t>,盖章处须加盖联合体各方公章，</w:t>
      </w:r>
      <w:r>
        <w:rPr>
          <w:rFonts w:hint="eastAsia" w:ascii="楷体" w:hAnsi="楷体" w:eastAsia="楷体" w:cs="宋体"/>
          <w:b/>
          <w:color w:val="auto"/>
          <w:sz w:val="24"/>
          <w:highlight w:val="none"/>
        </w:rPr>
        <w:t>否则其响应文件按无效响应处理。</w:t>
      </w:r>
    </w:p>
    <w:p w14:paraId="7A437C8B">
      <w:pPr>
        <w:ind w:firstLine="480" w:firstLineChars="200"/>
        <w:contextualSpacing/>
        <w:rPr>
          <w:rFonts w:ascii="楷体" w:hAnsi="楷体" w:eastAsia="楷体" w:cs="宋体"/>
          <w:b/>
          <w:color w:val="auto"/>
          <w:sz w:val="24"/>
          <w:highlight w:val="none"/>
        </w:rPr>
      </w:pPr>
      <w:r>
        <w:rPr>
          <w:rFonts w:ascii="楷体" w:hAnsi="楷体" w:eastAsia="楷体" w:cs="宋体"/>
          <w:color w:val="auto"/>
          <w:sz w:val="24"/>
          <w:highlight w:val="none"/>
        </w:rPr>
        <w:t>8.</w:t>
      </w:r>
      <w:r>
        <w:rPr>
          <w:rFonts w:hint="eastAsia" w:ascii="楷体" w:hAnsi="楷体" w:eastAsia="楷体" w:cs="宋体"/>
          <w:color w:val="auto"/>
          <w:spacing w:val="-6"/>
          <w:sz w:val="24"/>
          <w:highlight w:val="none"/>
        </w:rPr>
        <w:t>如有多分标，分别列明各分标的报价表，</w:t>
      </w:r>
      <w:r>
        <w:rPr>
          <w:rFonts w:hint="eastAsia" w:ascii="楷体" w:hAnsi="楷体" w:eastAsia="楷体" w:cs="宋体"/>
          <w:b/>
          <w:color w:val="auto"/>
          <w:spacing w:val="-6"/>
          <w:sz w:val="24"/>
          <w:highlight w:val="none"/>
        </w:rPr>
        <w:t>否则其响应文件按无效响应处理。</w:t>
      </w:r>
      <w:r>
        <w:rPr>
          <w:rFonts w:hint="eastAsia" w:ascii="楷体" w:hAnsi="楷体" w:eastAsia="楷体" w:cs="宋体"/>
          <w:b/>
          <w:color w:val="auto"/>
          <w:sz w:val="24"/>
          <w:highlight w:val="none"/>
        </w:rPr>
        <w:t>（采购人可根据项目情况自行修改是否需要联合体各方签字盖章）</w:t>
      </w:r>
    </w:p>
    <w:p w14:paraId="031D22FD">
      <w:pPr>
        <w:pStyle w:val="35"/>
        <w:rPr>
          <w:color w:val="auto"/>
          <w:highlight w:val="none"/>
        </w:rPr>
      </w:pPr>
    </w:p>
    <w:p w14:paraId="4E41A981">
      <w:pPr>
        <w:spacing w:line="360" w:lineRule="auto"/>
        <w:ind w:firstLine="2640" w:firstLineChars="1100"/>
        <w:contextualSpacing/>
        <w:rPr>
          <w:rFonts w:ascii="宋体" w:hAnsi="宋体" w:cs="宋体"/>
          <w:color w:val="auto"/>
          <w:sz w:val="24"/>
          <w:highlight w:val="none"/>
        </w:rPr>
      </w:pPr>
      <w:r>
        <w:rPr>
          <w:rFonts w:hint="eastAsia" w:ascii="宋体" w:hAnsi="宋体" w:cs="宋体"/>
          <w:color w:val="auto"/>
          <w:sz w:val="24"/>
          <w:highlight w:val="none"/>
        </w:rPr>
        <w:t>供应商（公章）：</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48108757">
      <w:pPr>
        <w:spacing w:line="360" w:lineRule="auto"/>
        <w:ind w:firstLine="2640" w:firstLineChars="1100"/>
        <w:contextualSpacing/>
        <w:rPr>
          <w:rFonts w:ascii="宋体" w:hAnsi="宋体" w:cs="宋体"/>
          <w:b/>
          <w:color w:val="auto"/>
          <w:sz w:val="24"/>
          <w:highlight w:val="none"/>
        </w:rPr>
      </w:pPr>
      <w:r>
        <w:rPr>
          <w:rFonts w:hint="eastAsia" w:ascii="宋体" w:hAnsi="宋体" w:cs="宋体"/>
          <w:color w:val="auto"/>
          <w:sz w:val="24"/>
          <w:highlight w:val="none"/>
        </w:rPr>
        <w:t>日期：</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p>
    <w:p w14:paraId="3D24E767">
      <w:pPr>
        <w:spacing w:line="360" w:lineRule="auto"/>
        <w:jc w:val="center"/>
        <w:rPr>
          <w:rFonts w:ascii="宋体" w:hAnsi="宋体" w:cs="宋体"/>
          <w:b/>
          <w:color w:val="auto"/>
          <w:sz w:val="32"/>
          <w:szCs w:val="32"/>
          <w:highlight w:val="none"/>
        </w:rPr>
      </w:pPr>
      <w:r>
        <w:rPr>
          <w:rFonts w:hint="eastAsia" w:ascii="宋体" w:hAnsi="宋体" w:cs="宋体"/>
          <w:b/>
          <w:bCs/>
          <w:color w:val="auto"/>
          <w:sz w:val="44"/>
          <w:szCs w:val="44"/>
          <w:highlight w:val="none"/>
        </w:rPr>
        <w:t>法定代表人身份证明</w:t>
      </w:r>
    </w:p>
    <w:p w14:paraId="4BCE293E">
      <w:pPr>
        <w:spacing w:line="360" w:lineRule="auto"/>
        <w:contextualSpacing/>
        <w:rPr>
          <w:rFonts w:ascii="宋体" w:hAnsi="宋体" w:cs="宋体"/>
          <w:color w:val="auto"/>
          <w:sz w:val="32"/>
          <w:szCs w:val="32"/>
          <w:highlight w:val="none"/>
        </w:rPr>
      </w:pPr>
    </w:p>
    <w:p w14:paraId="3F110CA9">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w:t>
      </w:r>
    </w:p>
    <w:p w14:paraId="0C1F80C5">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p>
    <w:p w14:paraId="2F9BC315">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性      别：</w:t>
      </w:r>
      <w:r>
        <w:rPr>
          <w:rFonts w:hint="eastAsia" w:ascii="宋体" w:hAnsi="宋体" w:cs="宋体"/>
          <w:color w:val="auto"/>
          <w:sz w:val="24"/>
          <w:highlight w:val="none"/>
          <w:u w:val="single"/>
        </w:rPr>
        <w:t xml:space="preserve">                      </w:t>
      </w:r>
    </w:p>
    <w:p w14:paraId="0597DB58">
      <w:pPr>
        <w:spacing w:line="360" w:lineRule="auto"/>
        <w:contextualSpacing/>
        <w:rPr>
          <w:rFonts w:ascii="宋体" w:hAnsi="宋体" w:cs="宋体"/>
          <w:color w:val="auto"/>
          <w:sz w:val="24"/>
          <w:highlight w:val="none"/>
          <w:u w:val="single"/>
        </w:rPr>
      </w:pPr>
      <w:r>
        <w:rPr>
          <w:rFonts w:hint="eastAsia" w:ascii="宋体" w:hAnsi="宋体" w:cs="宋体"/>
          <w:color w:val="auto"/>
          <w:sz w:val="24"/>
          <w:highlight w:val="none"/>
        </w:rPr>
        <w:t>年    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p>
    <w:p w14:paraId="2DC662DC">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14:paraId="2ECB6BFD">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（供应商名称）   </w:t>
      </w:r>
      <w:r>
        <w:rPr>
          <w:rFonts w:hint="eastAsia" w:ascii="宋体" w:hAnsi="宋体" w:cs="宋体"/>
          <w:color w:val="auto"/>
          <w:sz w:val="24"/>
          <w:highlight w:val="none"/>
        </w:rPr>
        <w:t>的法定代表人。</w:t>
      </w:r>
    </w:p>
    <w:p w14:paraId="4CFA8920">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特此证明。</w:t>
      </w:r>
    </w:p>
    <w:p w14:paraId="426B5DA7">
      <w:pPr>
        <w:spacing w:line="360" w:lineRule="auto"/>
        <w:contextualSpacing/>
        <w:rPr>
          <w:rFonts w:ascii="宋体" w:hAnsi="宋体" w:cs="宋体"/>
          <w:color w:val="auto"/>
          <w:sz w:val="24"/>
          <w:highlight w:val="none"/>
        </w:rPr>
      </w:pPr>
    </w:p>
    <w:p w14:paraId="2BF49F05">
      <w:pPr>
        <w:spacing w:line="360" w:lineRule="auto"/>
        <w:contextualSpacing/>
        <w:rPr>
          <w:rFonts w:ascii="宋体" w:hAnsi="宋体" w:cs="宋体"/>
          <w:color w:val="auto"/>
          <w:sz w:val="24"/>
          <w:highlight w:val="none"/>
        </w:rPr>
      </w:pPr>
    </w:p>
    <w:p w14:paraId="62854401">
      <w:pPr>
        <w:spacing w:line="360" w:lineRule="auto"/>
        <w:contextualSpacing/>
        <w:rPr>
          <w:rFonts w:ascii="宋体" w:hAnsi="宋体" w:cs="宋体"/>
          <w:color w:val="auto"/>
          <w:sz w:val="24"/>
          <w:highlight w:val="none"/>
        </w:rPr>
      </w:pPr>
    </w:p>
    <w:p w14:paraId="2D8EB541">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附件：法定代表人有效身份证正反面复印件</w:t>
      </w:r>
    </w:p>
    <w:p w14:paraId="56CC3EC0">
      <w:pPr>
        <w:spacing w:line="360" w:lineRule="auto"/>
        <w:contextualSpacing/>
        <w:rPr>
          <w:rFonts w:ascii="宋体" w:hAnsi="宋体" w:cs="宋体"/>
          <w:color w:val="auto"/>
          <w:sz w:val="24"/>
          <w:highlight w:val="none"/>
        </w:rPr>
      </w:pPr>
    </w:p>
    <w:p w14:paraId="7490382B">
      <w:pPr>
        <w:spacing w:line="360" w:lineRule="auto"/>
        <w:ind w:right="960" w:firstLine="5040" w:firstLineChars="2100"/>
        <w:contextualSpacing/>
        <w:rPr>
          <w:rFonts w:ascii="宋体" w:hAnsi="宋体" w:cs="宋体"/>
          <w:color w:val="auto"/>
          <w:sz w:val="24"/>
          <w:highlight w:val="none"/>
        </w:rPr>
      </w:pPr>
      <w:r>
        <w:rPr>
          <w:rFonts w:hint="eastAsia" w:ascii="宋体" w:hAnsi="宋体" w:cs="宋体"/>
          <w:color w:val="auto"/>
          <w:sz w:val="24"/>
          <w:highlight w:val="none"/>
        </w:rPr>
        <w:t>供应商（公章）：</w:t>
      </w:r>
      <w:r>
        <w:rPr>
          <w:rFonts w:hint="eastAsia" w:ascii="宋体" w:hAnsi="宋体" w:cs="宋体"/>
          <w:color w:val="auto"/>
          <w:sz w:val="24"/>
          <w:highlight w:val="none"/>
          <w:u w:val="single"/>
        </w:rPr>
        <w:t xml:space="preserve">               </w:t>
      </w:r>
    </w:p>
    <w:p w14:paraId="5BC7C374">
      <w:pPr>
        <w:spacing w:line="360" w:lineRule="auto"/>
        <w:ind w:firstLine="5040" w:firstLineChars="2100"/>
        <w:contextualSpacing/>
        <w:rPr>
          <w:rFonts w:ascii="宋体" w:hAnsi="宋体" w:cs="宋体"/>
          <w:color w:val="auto"/>
          <w:sz w:val="24"/>
          <w:highlight w:val="none"/>
        </w:rPr>
      </w:pP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19A22078">
      <w:pPr>
        <w:spacing w:line="360" w:lineRule="auto"/>
        <w:contextualSpacing/>
        <w:jc w:val="center"/>
        <w:rPr>
          <w:rFonts w:ascii="宋体" w:hAnsi="宋体" w:cs="宋体"/>
          <w:b/>
          <w:color w:val="auto"/>
          <w:sz w:val="24"/>
          <w:highlight w:val="none"/>
        </w:rPr>
      </w:pPr>
    </w:p>
    <w:p w14:paraId="54E5A926">
      <w:pPr>
        <w:spacing w:line="360" w:lineRule="auto"/>
        <w:contextualSpacing/>
        <w:jc w:val="left"/>
        <w:rPr>
          <w:rFonts w:ascii="楷体" w:hAnsi="楷体" w:eastAsia="楷体" w:cs="宋体"/>
          <w:b/>
          <w:color w:val="auto"/>
          <w:sz w:val="24"/>
          <w:highlight w:val="none"/>
        </w:rPr>
      </w:pPr>
      <w:r>
        <w:rPr>
          <w:rFonts w:hint="eastAsia" w:ascii="楷体" w:hAnsi="楷体" w:eastAsia="楷体" w:cs="宋体"/>
          <w:b/>
          <w:color w:val="auto"/>
          <w:sz w:val="24"/>
          <w:highlight w:val="none"/>
        </w:rPr>
        <w:t>注：</w:t>
      </w:r>
    </w:p>
    <w:p w14:paraId="7BC46193">
      <w:pPr>
        <w:spacing w:line="360" w:lineRule="auto"/>
        <w:ind w:firstLine="480" w:firstLineChars="200"/>
        <w:contextualSpacing/>
        <w:jc w:val="left"/>
        <w:rPr>
          <w:rFonts w:ascii="楷体" w:hAnsi="楷体" w:eastAsia="楷体" w:cs="宋体"/>
          <w:color w:val="auto"/>
          <w:sz w:val="24"/>
          <w:highlight w:val="none"/>
        </w:rPr>
      </w:pPr>
      <w:r>
        <w:rPr>
          <w:rFonts w:hint="eastAsia" w:ascii="楷体" w:hAnsi="楷体" w:eastAsia="楷体" w:cs="宋体"/>
          <w:color w:val="auto"/>
          <w:sz w:val="24"/>
          <w:highlight w:val="none"/>
        </w:rPr>
        <w:t>自然人参与</w:t>
      </w:r>
      <w:r>
        <w:rPr>
          <w:rFonts w:hint="eastAsia" w:ascii="楷体" w:hAnsi="楷体" w:eastAsia="楷体" w:cs="宋体"/>
          <w:color w:val="auto"/>
          <w:sz w:val="24"/>
          <w:highlight w:val="none"/>
          <w:lang w:bidi="ar"/>
        </w:rPr>
        <w:t>竞争性谈判</w:t>
      </w:r>
      <w:r>
        <w:rPr>
          <w:rFonts w:hint="eastAsia" w:ascii="楷体" w:hAnsi="楷体" w:eastAsia="楷体" w:cs="宋体"/>
          <w:color w:val="auto"/>
          <w:sz w:val="24"/>
          <w:highlight w:val="none"/>
        </w:rPr>
        <w:t>的无需提供，联合体参与</w:t>
      </w:r>
      <w:r>
        <w:rPr>
          <w:rFonts w:hint="eastAsia" w:ascii="楷体" w:hAnsi="楷体" w:eastAsia="楷体" w:cs="宋体"/>
          <w:color w:val="auto"/>
          <w:sz w:val="24"/>
          <w:highlight w:val="none"/>
          <w:lang w:bidi="ar"/>
        </w:rPr>
        <w:t>竞争性谈判</w:t>
      </w:r>
      <w:r>
        <w:rPr>
          <w:rFonts w:hint="eastAsia" w:ascii="楷体" w:hAnsi="楷体" w:eastAsia="楷体" w:cs="宋体"/>
          <w:color w:val="auto"/>
          <w:sz w:val="24"/>
          <w:highlight w:val="none"/>
        </w:rPr>
        <w:t>的只需牵头人出具。</w:t>
      </w:r>
    </w:p>
    <w:p w14:paraId="37E03745">
      <w:pPr>
        <w:adjustRightInd w:val="0"/>
        <w:snapToGrid w:val="0"/>
        <w:spacing w:line="360" w:lineRule="auto"/>
        <w:jc w:val="left"/>
        <w:rPr>
          <w:rFonts w:ascii="楷体" w:hAnsi="楷体" w:eastAsia="楷体" w:cs="宋体"/>
          <w:b/>
          <w:color w:val="auto"/>
          <w:szCs w:val="21"/>
          <w:highlight w:val="none"/>
        </w:rPr>
      </w:pPr>
    </w:p>
    <w:p w14:paraId="2FB51714">
      <w:pPr>
        <w:spacing w:line="360" w:lineRule="auto"/>
        <w:jc w:val="center"/>
        <w:rPr>
          <w:rFonts w:ascii="宋体" w:hAnsi="宋体" w:cs="宋体"/>
          <w:b/>
          <w:color w:val="auto"/>
          <w:sz w:val="44"/>
          <w:szCs w:val="44"/>
          <w:highlight w:val="none"/>
        </w:rPr>
      </w:pPr>
      <w:r>
        <w:rPr>
          <w:rFonts w:hint="eastAsia" w:ascii="宋体" w:hAnsi="宋体" w:cs="宋体"/>
          <w:color w:val="auto"/>
          <w:sz w:val="44"/>
          <w:szCs w:val="44"/>
          <w:highlight w:val="none"/>
        </w:rPr>
        <w:br w:type="page"/>
      </w:r>
      <w:r>
        <w:rPr>
          <w:rFonts w:hint="eastAsia" w:ascii="宋体" w:hAnsi="宋体" w:cs="宋体"/>
          <w:b/>
          <w:color w:val="auto"/>
          <w:sz w:val="44"/>
          <w:szCs w:val="44"/>
          <w:highlight w:val="none"/>
        </w:rPr>
        <w:t>授权委托书</w:t>
      </w:r>
    </w:p>
    <w:p w14:paraId="514318E8">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（非联合体参与竞争性谈判格式）</w:t>
      </w:r>
    </w:p>
    <w:p w14:paraId="161F506E">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（如有委托时）</w:t>
      </w:r>
    </w:p>
    <w:p w14:paraId="4A5D3EC3">
      <w:pPr>
        <w:spacing w:line="360" w:lineRule="auto"/>
        <w:contextualSpacing/>
        <w:rPr>
          <w:rFonts w:ascii="宋体" w:hAnsi="宋体" w:cs="宋体"/>
          <w:color w:val="auto"/>
          <w:sz w:val="32"/>
          <w:szCs w:val="32"/>
          <w:highlight w:val="none"/>
        </w:rPr>
      </w:pPr>
    </w:p>
    <w:p w14:paraId="763D9E85">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34F752C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（姓名）  </w:t>
      </w: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（供应商名称）  </w:t>
      </w:r>
      <w:r>
        <w:rPr>
          <w:rFonts w:hint="eastAsia" w:ascii="宋体" w:hAnsi="宋体" w:cs="宋体"/>
          <w:color w:val="auto"/>
          <w:sz w:val="24"/>
          <w:highlight w:val="none"/>
        </w:rPr>
        <w:t>的（</w:t>
      </w:r>
      <w:r>
        <w:rPr>
          <w:rFonts w:hint="eastAsia" w:ascii="宋体" w:hAnsi="宋体" w:cs="宋体"/>
          <w:color w:val="auto"/>
          <w:sz w:val="24"/>
          <w:highlight w:val="none"/>
          <w:u w:val="single"/>
        </w:rPr>
        <w:t>□法定代表人/□负责人/□自然人本人</w:t>
      </w:r>
      <w:r>
        <w:rPr>
          <w:rFonts w:hint="eastAsia" w:ascii="宋体" w:hAnsi="宋体" w:cs="宋体"/>
          <w:color w:val="auto"/>
          <w:sz w:val="24"/>
          <w:highlight w:val="none"/>
        </w:rPr>
        <w:t>），现授权</w:t>
      </w:r>
      <w:r>
        <w:rPr>
          <w:rFonts w:hint="eastAsia" w:ascii="宋体" w:hAnsi="宋体" w:cs="宋体"/>
          <w:color w:val="auto"/>
          <w:sz w:val="24"/>
          <w:highlight w:val="none"/>
          <w:u w:val="single"/>
        </w:rPr>
        <w:t xml:space="preserve"> （姓名） </w:t>
      </w:r>
      <w:r>
        <w:rPr>
          <w:rFonts w:hint="eastAsia" w:ascii="宋体" w:hAnsi="宋体" w:cs="宋体"/>
          <w:color w:val="auto"/>
          <w:sz w:val="24"/>
          <w:highlight w:val="none"/>
        </w:rPr>
        <w:t>以我方的名义参加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w:t>
      </w:r>
      <w:r>
        <w:rPr>
          <w:rFonts w:hint="eastAsia" w:ascii="宋体" w:hAnsi="宋体" w:cs="宋体"/>
          <w:color w:val="auto"/>
          <w:sz w:val="24"/>
          <w:highlight w:val="none"/>
          <w:lang w:bidi="ar"/>
        </w:rPr>
        <w:t>竞争性谈判</w:t>
      </w:r>
      <w:r>
        <w:rPr>
          <w:rFonts w:hint="eastAsia" w:ascii="宋体" w:hAnsi="宋体" w:cs="宋体"/>
          <w:color w:val="auto"/>
          <w:sz w:val="24"/>
          <w:highlight w:val="none"/>
        </w:rPr>
        <w:t>活动，并代表我方全权办理针对上述项目的所有采购程序和环节的具体事务和签署相关文件。</w:t>
      </w:r>
    </w:p>
    <w:p w14:paraId="0F3026F7">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 xml:space="preserve">    我方对委托代理人的签字事项负全部责任。</w:t>
      </w:r>
    </w:p>
    <w:p w14:paraId="455396D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本授权书自签署之日起生效，在撤销授权的书面通知以前，本授权书一直有效。委托代理人在授权书有效期内签署的所有文件不因授权的撤销而失效。</w:t>
      </w:r>
    </w:p>
    <w:p w14:paraId="32CD958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委托代理人无转委托权，特此委托。</w:t>
      </w:r>
    </w:p>
    <w:p w14:paraId="13EE78C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附：法定代表人身份证明及委托代理人有效身份证正反面复印件</w:t>
      </w:r>
    </w:p>
    <w:p w14:paraId="3E9CDD49">
      <w:pPr>
        <w:spacing w:line="360" w:lineRule="auto"/>
        <w:contextualSpacing/>
        <w:rPr>
          <w:rFonts w:ascii="宋体" w:hAnsi="宋体" w:cs="宋体"/>
          <w:color w:val="auto"/>
          <w:sz w:val="24"/>
          <w:highlight w:val="none"/>
        </w:rPr>
      </w:pPr>
    </w:p>
    <w:p w14:paraId="22E215AF">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委托代理人（签字）：</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法定代表人（签字）：</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56669E15">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委托代理人身份证号码：</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39CB7EB8">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 xml:space="preserve">                                </w:t>
      </w:r>
    </w:p>
    <w:p w14:paraId="4EC932AF">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 xml:space="preserve">                         供应商（公章）：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17AA3540">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 xml:space="preserve">                         日期：</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p>
    <w:p w14:paraId="77C98B46">
      <w:pPr>
        <w:spacing w:line="360" w:lineRule="auto"/>
        <w:contextualSpacing/>
        <w:rPr>
          <w:rFonts w:ascii="宋体" w:hAnsi="宋体" w:cs="宋体"/>
          <w:color w:val="auto"/>
          <w:sz w:val="24"/>
          <w:highlight w:val="none"/>
        </w:rPr>
      </w:pPr>
    </w:p>
    <w:p w14:paraId="2E2E5650">
      <w:pPr>
        <w:spacing w:line="360" w:lineRule="auto"/>
        <w:contextualSpacing/>
        <w:rPr>
          <w:rFonts w:ascii="楷体" w:hAnsi="楷体" w:eastAsia="楷体" w:cs="宋体"/>
          <w:b/>
          <w:color w:val="auto"/>
          <w:sz w:val="24"/>
          <w:highlight w:val="none"/>
        </w:rPr>
      </w:pPr>
      <w:r>
        <w:rPr>
          <w:rFonts w:hint="eastAsia" w:ascii="楷体" w:hAnsi="楷体" w:eastAsia="楷体" w:cs="宋体"/>
          <w:b/>
          <w:color w:val="auto"/>
          <w:sz w:val="24"/>
          <w:highlight w:val="none"/>
        </w:rPr>
        <w:t>注：</w:t>
      </w:r>
    </w:p>
    <w:p w14:paraId="09F0F106">
      <w:pPr>
        <w:spacing w:line="360" w:lineRule="auto"/>
        <w:ind w:firstLine="480" w:firstLineChars="200"/>
        <w:contextualSpacing/>
        <w:rPr>
          <w:rFonts w:ascii="楷体" w:hAnsi="楷体" w:eastAsia="楷体" w:cs="宋体"/>
          <w:color w:val="auto"/>
          <w:sz w:val="24"/>
          <w:highlight w:val="none"/>
        </w:rPr>
      </w:pPr>
      <w:r>
        <w:rPr>
          <w:rFonts w:ascii="楷体" w:hAnsi="楷体" w:eastAsia="楷体" w:cs="宋体"/>
          <w:color w:val="auto"/>
          <w:sz w:val="24"/>
          <w:highlight w:val="none"/>
        </w:rPr>
        <w:t>1.</w:t>
      </w:r>
      <w:r>
        <w:rPr>
          <w:rFonts w:hint="eastAsia" w:ascii="楷体" w:hAnsi="楷体" w:eastAsia="楷体" w:cs="宋体"/>
          <w:color w:val="auto"/>
          <w:sz w:val="24"/>
          <w:highlight w:val="none"/>
        </w:rPr>
        <w:t>法定代表人必须在授权委托书上亲笔签字或者盖章，委托代理人必须在授权委托书上亲笔签字，</w:t>
      </w:r>
      <w:r>
        <w:rPr>
          <w:rFonts w:hint="eastAsia" w:ascii="楷体" w:hAnsi="楷体" w:eastAsia="楷体" w:cs="宋体"/>
          <w:b/>
          <w:color w:val="auto"/>
          <w:sz w:val="24"/>
          <w:highlight w:val="none"/>
        </w:rPr>
        <w:t>否则其响应文件按无效响应处理。</w:t>
      </w:r>
    </w:p>
    <w:p w14:paraId="7B5B1891">
      <w:pPr>
        <w:spacing w:line="360" w:lineRule="auto"/>
        <w:ind w:firstLine="480" w:firstLineChars="200"/>
        <w:contextualSpacing/>
        <w:jc w:val="left"/>
        <w:rPr>
          <w:rFonts w:ascii="楷体" w:hAnsi="楷体" w:eastAsia="楷体" w:cs="宋体"/>
          <w:color w:val="auto"/>
          <w:sz w:val="24"/>
          <w:highlight w:val="none"/>
        </w:rPr>
      </w:pPr>
      <w:r>
        <w:rPr>
          <w:rFonts w:ascii="楷体" w:hAnsi="楷体" w:eastAsia="楷体" w:cs="宋体"/>
          <w:color w:val="auto"/>
          <w:sz w:val="24"/>
          <w:highlight w:val="none"/>
        </w:rPr>
        <w:t>2.法人、其他组织</w:t>
      </w:r>
      <w:r>
        <w:rPr>
          <w:rFonts w:hint="eastAsia" w:ascii="楷体" w:hAnsi="楷体" w:eastAsia="楷体" w:cs="宋体"/>
          <w:color w:val="auto"/>
          <w:sz w:val="24"/>
          <w:highlight w:val="none"/>
        </w:rPr>
        <w:t>参与</w:t>
      </w:r>
      <w:r>
        <w:rPr>
          <w:rFonts w:hint="eastAsia" w:ascii="楷体" w:hAnsi="楷体" w:eastAsia="楷体" w:cs="宋体"/>
          <w:color w:val="auto"/>
          <w:sz w:val="24"/>
          <w:highlight w:val="none"/>
          <w:lang w:bidi="ar"/>
        </w:rPr>
        <w:t>竞争性谈判</w:t>
      </w:r>
      <w:r>
        <w:rPr>
          <w:rFonts w:hint="eastAsia" w:ascii="楷体" w:hAnsi="楷体" w:eastAsia="楷体" w:cs="宋体"/>
          <w:color w:val="auto"/>
          <w:sz w:val="24"/>
          <w:highlight w:val="none"/>
        </w:rPr>
        <w:t>时“我方”是指“我单位”，自然人参与</w:t>
      </w:r>
      <w:r>
        <w:rPr>
          <w:rFonts w:hint="eastAsia" w:ascii="楷体" w:hAnsi="楷体" w:eastAsia="楷体" w:cs="宋体"/>
          <w:color w:val="auto"/>
          <w:sz w:val="24"/>
          <w:highlight w:val="none"/>
          <w:lang w:bidi="ar"/>
        </w:rPr>
        <w:t>竞争性谈判</w:t>
      </w:r>
      <w:r>
        <w:rPr>
          <w:rFonts w:hint="eastAsia" w:ascii="楷体" w:hAnsi="楷体" w:eastAsia="楷体" w:cs="宋体"/>
          <w:color w:val="auto"/>
          <w:sz w:val="24"/>
          <w:highlight w:val="none"/>
        </w:rPr>
        <w:t>时“我方”是指“本人”。</w:t>
      </w:r>
    </w:p>
    <w:p w14:paraId="70CA6504">
      <w:pPr>
        <w:spacing w:line="360" w:lineRule="auto"/>
        <w:ind w:firstLine="420" w:firstLineChars="200"/>
        <w:contextualSpacing/>
        <w:jc w:val="left"/>
        <w:rPr>
          <w:rFonts w:ascii="宋体" w:hAnsi="宋体" w:cs="宋体"/>
          <w:color w:val="auto"/>
          <w:szCs w:val="21"/>
          <w:highlight w:val="none"/>
        </w:rPr>
      </w:pPr>
    </w:p>
    <w:p w14:paraId="1F922B7D">
      <w:pPr>
        <w:spacing w:line="360" w:lineRule="auto"/>
        <w:contextualSpacing/>
        <w:jc w:val="center"/>
        <w:rPr>
          <w:rFonts w:ascii="宋体" w:hAnsi="宋体" w:cs="宋体"/>
          <w:b/>
          <w:color w:val="auto"/>
          <w:sz w:val="44"/>
          <w:szCs w:val="44"/>
          <w:highlight w:val="none"/>
        </w:rPr>
      </w:pPr>
      <w:r>
        <w:rPr>
          <w:rFonts w:hint="eastAsia" w:ascii="宋体" w:hAnsi="宋体" w:cs="宋体"/>
          <w:color w:val="auto"/>
          <w:szCs w:val="21"/>
          <w:highlight w:val="none"/>
        </w:rPr>
        <w:br w:type="page"/>
      </w:r>
      <w:r>
        <w:rPr>
          <w:rFonts w:hint="eastAsia" w:ascii="宋体" w:hAnsi="宋体" w:cs="宋体"/>
          <w:b/>
          <w:color w:val="auto"/>
          <w:sz w:val="44"/>
          <w:szCs w:val="44"/>
          <w:highlight w:val="none"/>
        </w:rPr>
        <w:t>授权委托书</w:t>
      </w:r>
    </w:p>
    <w:p w14:paraId="459B1694">
      <w:pPr>
        <w:spacing w:line="360" w:lineRule="auto"/>
        <w:contextualSpacing/>
        <w:jc w:val="center"/>
        <w:rPr>
          <w:rFonts w:ascii="宋体" w:hAnsi="宋体" w:cs="宋体"/>
          <w:color w:val="auto"/>
          <w:sz w:val="28"/>
          <w:szCs w:val="28"/>
          <w:highlight w:val="none"/>
        </w:rPr>
      </w:pPr>
      <w:r>
        <w:rPr>
          <w:rFonts w:hint="eastAsia" w:ascii="宋体" w:hAnsi="宋体" w:cs="宋体"/>
          <w:color w:val="auto"/>
          <w:sz w:val="28"/>
          <w:szCs w:val="28"/>
          <w:highlight w:val="none"/>
        </w:rPr>
        <w:t>（联合体参与竞争性谈判格式）</w:t>
      </w:r>
    </w:p>
    <w:p w14:paraId="69BE0022">
      <w:pPr>
        <w:spacing w:line="360" w:lineRule="auto"/>
        <w:contextualSpacing/>
        <w:jc w:val="center"/>
        <w:rPr>
          <w:rFonts w:ascii="宋体" w:hAnsi="宋体" w:cs="宋体"/>
          <w:color w:val="auto"/>
          <w:sz w:val="28"/>
          <w:szCs w:val="28"/>
          <w:highlight w:val="none"/>
        </w:rPr>
      </w:pPr>
      <w:r>
        <w:rPr>
          <w:rFonts w:hint="eastAsia" w:ascii="宋体" w:hAnsi="宋体" w:cs="宋体"/>
          <w:color w:val="auto"/>
          <w:sz w:val="28"/>
          <w:szCs w:val="28"/>
          <w:highlight w:val="none"/>
        </w:rPr>
        <w:t>（如有委托时）</w:t>
      </w:r>
    </w:p>
    <w:p w14:paraId="3918066C">
      <w:pPr>
        <w:spacing w:line="360" w:lineRule="auto"/>
        <w:contextualSpacing/>
        <w:rPr>
          <w:rFonts w:ascii="宋体" w:hAnsi="宋体" w:cs="宋体"/>
          <w:color w:val="auto"/>
          <w:sz w:val="32"/>
          <w:szCs w:val="32"/>
          <w:highlight w:val="none"/>
        </w:rPr>
      </w:pPr>
    </w:p>
    <w:p w14:paraId="69BB308D">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本授权委托书声明：根据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（牵头人名称）与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（联合体其他成员名称）签订的《联合体参与竞争性谈判协议书》的内容，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（牵头人名称）的法定代表人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（姓名）现授权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（姓名）为联合委托代理人，并代表我方全权办理针对上述项目的所有采购程序和环节的具体事务和签署相关文件。</w:t>
      </w:r>
    </w:p>
    <w:p w14:paraId="4D4290D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我方对委托代理人的签字事项负全部责任。</w:t>
      </w:r>
    </w:p>
    <w:p w14:paraId="0DBAD54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本授权书自签署之日起生效，在撤销授权的书面通知以前，本授权书一直有效。委托代理人在授权书有效期内签署的所有文件不因授权的撤销而失效。</w:t>
      </w:r>
    </w:p>
    <w:p w14:paraId="5395E55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委托代理人无转委托权，特此委托。</w:t>
      </w:r>
    </w:p>
    <w:p w14:paraId="388BB91C">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 xml:space="preserve">    附：法定代表人身份证明及委托代理人有效身份证正反面复印件</w:t>
      </w:r>
    </w:p>
    <w:p w14:paraId="634928B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牵头人法定代表人（签字）：</w:t>
      </w:r>
    </w:p>
    <w:p w14:paraId="08AC8BAB">
      <w:pPr>
        <w:spacing w:line="360" w:lineRule="auto"/>
        <w:ind w:firstLine="3120" w:firstLineChars="1300"/>
        <w:contextualSpacing/>
        <w:rPr>
          <w:rFonts w:ascii="宋体" w:hAnsi="宋体" w:cs="宋体"/>
          <w:color w:val="auto"/>
          <w:sz w:val="24"/>
          <w:highlight w:val="none"/>
          <w:u w:val="single"/>
        </w:rPr>
      </w:pPr>
      <w:r>
        <w:rPr>
          <w:rFonts w:hint="eastAsia" w:ascii="宋体" w:hAnsi="宋体" w:cs="宋体"/>
          <w:color w:val="auto"/>
          <w:sz w:val="24"/>
          <w:highlight w:val="none"/>
        </w:rPr>
        <w:t>牵头人（公章）：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5E76CAA7">
      <w:pPr>
        <w:spacing w:line="360" w:lineRule="auto"/>
        <w:ind w:firstLine="3840" w:firstLineChars="1600"/>
        <w:contextualSpacing/>
        <w:rPr>
          <w:rFonts w:ascii="宋体" w:hAnsi="宋体" w:cs="宋体"/>
          <w:color w:val="auto"/>
          <w:sz w:val="24"/>
          <w:highlight w:val="none"/>
        </w:rPr>
      </w:pPr>
      <w:r>
        <w:rPr>
          <w:rFonts w:hint="eastAsia" w:ascii="宋体" w:hAnsi="宋体" w:cs="宋体"/>
          <w:color w:val="auto"/>
          <w:sz w:val="24"/>
          <w:highlight w:val="none"/>
        </w:rPr>
        <w:t>日期：</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p>
    <w:p w14:paraId="0E4956F7">
      <w:pPr>
        <w:spacing w:line="360" w:lineRule="auto"/>
        <w:contextualSpacing/>
        <w:rPr>
          <w:rFonts w:ascii="宋体" w:hAnsi="宋体" w:cs="宋体"/>
          <w:color w:val="auto"/>
          <w:sz w:val="24"/>
          <w:highlight w:val="none"/>
        </w:rPr>
      </w:pPr>
    </w:p>
    <w:p w14:paraId="2E9A0398">
      <w:pPr>
        <w:spacing w:line="360" w:lineRule="auto"/>
        <w:ind w:firstLine="3120" w:firstLineChars="1300"/>
        <w:contextualSpacing/>
        <w:rPr>
          <w:rFonts w:ascii="宋体" w:hAnsi="宋体" w:cs="宋体"/>
          <w:color w:val="auto"/>
          <w:sz w:val="24"/>
          <w:highlight w:val="none"/>
          <w:u w:val="single"/>
        </w:rPr>
      </w:pPr>
      <w:r>
        <w:rPr>
          <w:rFonts w:hint="eastAsia" w:ascii="宋体" w:hAnsi="宋体" w:cs="宋体"/>
          <w:color w:val="auto"/>
          <w:sz w:val="24"/>
          <w:highlight w:val="none"/>
        </w:rPr>
        <w:t>被授权人（签字）：</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6588AB18">
      <w:pPr>
        <w:spacing w:line="360" w:lineRule="auto"/>
        <w:ind w:firstLine="3840" w:firstLineChars="1600"/>
        <w:contextualSpacing/>
        <w:rPr>
          <w:rFonts w:ascii="宋体" w:hAnsi="宋体" w:cs="宋体"/>
          <w:color w:val="auto"/>
          <w:sz w:val="24"/>
          <w:highlight w:val="none"/>
        </w:rPr>
      </w:pPr>
      <w:r>
        <w:rPr>
          <w:rFonts w:hint="eastAsia" w:ascii="宋体" w:hAnsi="宋体" w:cs="宋体"/>
          <w:color w:val="auto"/>
          <w:sz w:val="24"/>
          <w:highlight w:val="none"/>
        </w:rPr>
        <w:t>日期：</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p>
    <w:p w14:paraId="47189F7F">
      <w:pPr>
        <w:spacing w:line="360" w:lineRule="auto"/>
        <w:contextualSpacing/>
        <w:rPr>
          <w:rFonts w:ascii="宋体" w:hAnsi="宋体" w:cs="宋体"/>
          <w:color w:val="auto"/>
          <w:sz w:val="24"/>
          <w:highlight w:val="none"/>
        </w:rPr>
      </w:pPr>
    </w:p>
    <w:p w14:paraId="60A41173">
      <w:pPr>
        <w:spacing w:line="360" w:lineRule="auto"/>
        <w:contextualSpacing/>
        <w:rPr>
          <w:rFonts w:ascii="楷体" w:hAnsi="楷体" w:eastAsia="楷体" w:cs="宋体"/>
          <w:b/>
          <w:color w:val="auto"/>
          <w:sz w:val="24"/>
          <w:highlight w:val="none"/>
        </w:rPr>
      </w:pPr>
      <w:r>
        <w:rPr>
          <w:rFonts w:hint="eastAsia" w:ascii="楷体" w:hAnsi="楷体" w:eastAsia="楷体" w:cs="宋体"/>
          <w:b/>
          <w:color w:val="auto"/>
          <w:sz w:val="24"/>
          <w:highlight w:val="none"/>
        </w:rPr>
        <w:t>注：</w:t>
      </w:r>
    </w:p>
    <w:p w14:paraId="16AB9492">
      <w:pPr>
        <w:spacing w:line="360" w:lineRule="auto"/>
        <w:ind w:firstLine="480" w:firstLineChars="200"/>
        <w:contextualSpacing/>
        <w:rPr>
          <w:rFonts w:ascii="楷体" w:hAnsi="楷体" w:eastAsia="楷体" w:cs="宋体"/>
          <w:color w:val="auto"/>
          <w:sz w:val="24"/>
          <w:highlight w:val="none"/>
        </w:rPr>
      </w:pPr>
      <w:r>
        <w:rPr>
          <w:rFonts w:ascii="楷体" w:hAnsi="楷体" w:eastAsia="楷体" w:cs="宋体"/>
          <w:color w:val="auto"/>
          <w:sz w:val="24"/>
          <w:highlight w:val="none"/>
        </w:rPr>
        <w:t>1.</w:t>
      </w:r>
      <w:r>
        <w:rPr>
          <w:rFonts w:hint="eastAsia" w:ascii="楷体" w:hAnsi="楷体" w:eastAsia="楷体" w:cs="宋体"/>
          <w:color w:val="auto"/>
          <w:sz w:val="24"/>
          <w:highlight w:val="none"/>
        </w:rPr>
        <w:t>法定代表人必须在授权委托书上亲笔签字或者盖章，委托代理人必须在授权委托书上亲笔签字，</w:t>
      </w:r>
      <w:r>
        <w:rPr>
          <w:rFonts w:hint="eastAsia" w:ascii="楷体" w:hAnsi="楷体" w:eastAsia="楷体" w:cs="宋体"/>
          <w:b/>
          <w:bCs/>
          <w:color w:val="auto"/>
          <w:sz w:val="24"/>
          <w:highlight w:val="none"/>
        </w:rPr>
        <w:t>否</w:t>
      </w:r>
      <w:r>
        <w:rPr>
          <w:rFonts w:hint="eastAsia" w:ascii="楷体" w:hAnsi="楷体" w:eastAsia="楷体" w:cs="宋体"/>
          <w:b/>
          <w:color w:val="auto"/>
          <w:sz w:val="24"/>
          <w:highlight w:val="none"/>
        </w:rPr>
        <w:t>则其响应文件按无效响应处理。</w:t>
      </w:r>
    </w:p>
    <w:p w14:paraId="4F6F58D0">
      <w:pPr>
        <w:spacing w:line="360" w:lineRule="auto"/>
        <w:ind w:firstLine="480" w:firstLineChars="200"/>
        <w:contextualSpacing/>
        <w:jc w:val="left"/>
        <w:rPr>
          <w:rFonts w:ascii="楷体" w:hAnsi="楷体" w:eastAsia="楷体" w:cs="宋体"/>
          <w:color w:val="auto"/>
          <w:sz w:val="24"/>
          <w:highlight w:val="none"/>
        </w:rPr>
      </w:pPr>
      <w:r>
        <w:rPr>
          <w:rFonts w:ascii="楷体" w:hAnsi="楷体" w:eastAsia="楷体" w:cs="宋体"/>
          <w:color w:val="auto"/>
          <w:sz w:val="24"/>
          <w:highlight w:val="none"/>
        </w:rPr>
        <w:t>2.本授权委托书应由联合体牵头人的法定代表人按上述规定签署。</w:t>
      </w:r>
    </w:p>
    <w:p w14:paraId="7DAF111B">
      <w:pPr>
        <w:spacing w:line="360" w:lineRule="auto"/>
        <w:ind w:firstLine="480" w:firstLineChars="200"/>
        <w:contextualSpacing/>
        <w:jc w:val="left"/>
        <w:rPr>
          <w:rFonts w:ascii="楷体" w:hAnsi="楷体" w:eastAsia="楷体" w:cs="宋体"/>
          <w:color w:val="auto"/>
          <w:szCs w:val="21"/>
          <w:highlight w:val="none"/>
        </w:rPr>
      </w:pPr>
      <w:r>
        <w:rPr>
          <w:rFonts w:ascii="楷体" w:hAnsi="楷体" w:eastAsia="楷体" w:cs="宋体"/>
          <w:color w:val="auto"/>
          <w:sz w:val="24"/>
          <w:highlight w:val="none"/>
        </w:rPr>
        <w:t>3.法人、其他组织</w:t>
      </w:r>
      <w:r>
        <w:rPr>
          <w:rFonts w:hint="eastAsia" w:ascii="楷体" w:hAnsi="楷体" w:eastAsia="楷体" w:cs="宋体"/>
          <w:color w:val="auto"/>
          <w:sz w:val="24"/>
          <w:highlight w:val="none"/>
        </w:rPr>
        <w:t>参与竞争性谈判时“我方”是指“我单位”，自然人参与竞争性谈判时“我方”是指“本人”。</w:t>
      </w:r>
    </w:p>
    <w:p w14:paraId="40302814">
      <w:pPr>
        <w:spacing w:line="360" w:lineRule="auto"/>
        <w:jc w:val="center"/>
        <w:rPr>
          <w:rFonts w:ascii="宋体" w:hAnsi="宋体" w:cs="宋体"/>
          <w:b/>
          <w:bCs/>
          <w:color w:val="auto"/>
          <w:sz w:val="44"/>
          <w:szCs w:val="44"/>
          <w:highlight w:val="none"/>
        </w:rPr>
      </w:pPr>
      <w:r>
        <w:rPr>
          <w:rFonts w:hint="eastAsia" w:ascii="宋体" w:hAnsi="宋体" w:cs="宋体"/>
          <w:color w:val="auto"/>
          <w:sz w:val="32"/>
          <w:szCs w:val="32"/>
          <w:highlight w:val="none"/>
        </w:rPr>
        <w:br w:type="page"/>
      </w:r>
      <w:r>
        <w:rPr>
          <w:rFonts w:hint="eastAsia" w:ascii="宋体" w:hAnsi="宋体" w:cs="宋体"/>
          <w:b/>
          <w:bCs/>
          <w:color w:val="auto"/>
          <w:sz w:val="44"/>
          <w:szCs w:val="44"/>
          <w:highlight w:val="none"/>
        </w:rPr>
        <w:t>商务要求偏离表格式</w:t>
      </w:r>
    </w:p>
    <w:p w14:paraId="127E5711">
      <w:pPr>
        <w:spacing w:line="360" w:lineRule="auto"/>
        <w:jc w:val="center"/>
        <w:rPr>
          <w:rFonts w:ascii="宋体" w:hAnsi="宋体" w:cs="宋体"/>
          <w:b/>
          <w:color w:val="auto"/>
          <w:sz w:val="28"/>
          <w:szCs w:val="28"/>
          <w:highlight w:val="none"/>
        </w:rPr>
      </w:pPr>
      <w:r>
        <w:rPr>
          <w:rFonts w:hint="eastAsia" w:ascii="宋体" w:hAnsi="宋体" w:cs="宋体"/>
          <w:bCs/>
          <w:color w:val="auto"/>
          <w:sz w:val="28"/>
          <w:szCs w:val="28"/>
          <w:highlight w:val="none"/>
        </w:rPr>
        <w:t>（注：按采购需求具体条款修改）</w:t>
      </w:r>
    </w:p>
    <w:p w14:paraId="13DEEBD0">
      <w:pPr>
        <w:snapToGrid w:val="0"/>
        <w:spacing w:line="360" w:lineRule="auto"/>
        <w:jc w:val="left"/>
        <w:rPr>
          <w:rFonts w:ascii="宋体" w:hAnsi="宋体" w:cs="宋体"/>
          <w:color w:val="auto"/>
          <w:sz w:val="24"/>
          <w:highlight w:val="none"/>
        </w:rPr>
      </w:pPr>
    </w:p>
    <w:p w14:paraId="6A094CB9">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p>
    <w:p w14:paraId="01D13DF6">
      <w:pPr>
        <w:spacing w:line="360" w:lineRule="auto"/>
        <w:rPr>
          <w:rFonts w:ascii="宋体" w:hAnsi="宋体" w:cs="宋体"/>
          <w:color w:val="auto"/>
          <w:sz w:val="24"/>
          <w:highlight w:val="non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5342B74B">
      <w:pPr>
        <w:spacing w:line="360" w:lineRule="auto"/>
        <w:rPr>
          <w:rFonts w:ascii="宋体" w:hAnsi="宋体" w:cs="宋体"/>
          <w:color w:val="auto"/>
          <w:sz w:val="24"/>
          <w:highlight w:val="none"/>
          <w:u w:val="single"/>
        </w:rPr>
      </w:pPr>
      <w:r>
        <w:rPr>
          <w:rFonts w:hint="eastAsia" w:ascii="宋体" w:hAnsi="宋体" w:cs="宋体"/>
          <w:color w:val="auto"/>
          <w:sz w:val="24"/>
          <w:highlight w:val="none"/>
        </w:rPr>
        <w:t>所竞分标（如有）：</w:t>
      </w:r>
      <w:r>
        <w:rPr>
          <w:rFonts w:hint="eastAsia" w:ascii="宋体" w:hAnsi="宋体" w:cs="宋体"/>
          <w:color w:val="auto"/>
          <w:sz w:val="24"/>
          <w:highlight w:val="none"/>
          <w:u w:val="single"/>
        </w:rPr>
        <w:t xml:space="preserve">                </w:t>
      </w:r>
    </w:p>
    <w:tbl>
      <w:tblPr>
        <w:tblStyle w:val="29"/>
        <w:tblpPr w:leftFromText="180" w:rightFromText="180" w:vertAnchor="text" w:horzAnchor="margin" w:tblpY="311"/>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633"/>
        <w:gridCol w:w="1829"/>
      </w:tblGrid>
      <w:tr w14:paraId="725BE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vAlign w:val="center"/>
          </w:tcPr>
          <w:p w14:paraId="417EA98A">
            <w:pPr>
              <w:snapToGrid w:val="0"/>
              <w:spacing w:line="500" w:lineRule="exact"/>
              <w:jc w:val="center"/>
              <w:rPr>
                <w:rFonts w:ascii="宋体" w:hAnsi="宋体" w:cs="宋体"/>
                <w:color w:val="auto"/>
                <w:sz w:val="24"/>
                <w:highlight w:val="none"/>
              </w:rPr>
            </w:pPr>
            <w:r>
              <w:rPr>
                <w:rFonts w:hint="eastAsia" w:ascii="宋体" w:hAnsi="宋体" w:cs="宋体"/>
                <w:color w:val="auto"/>
                <w:sz w:val="24"/>
                <w:highlight w:val="none"/>
              </w:rPr>
              <w:t>项目</w:t>
            </w:r>
          </w:p>
        </w:tc>
        <w:tc>
          <w:tcPr>
            <w:tcW w:w="2668" w:type="dxa"/>
            <w:tcBorders>
              <w:top w:val="single" w:color="auto" w:sz="4" w:space="0"/>
              <w:left w:val="single" w:color="auto" w:sz="4" w:space="0"/>
              <w:bottom w:val="single" w:color="auto" w:sz="4" w:space="0"/>
              <w:right w:val="single" w:color="auto" w:sz="4" w:space="0"/>
            </w:tcBorders>
            <w:vAlign w:val="center"/>
          </w:tcPr>
          <w:p w14:paraId="333AF630">
            <w:pPr>
              <w:snapToGrid w:val="0"/>
              <w:spacing w:line="500" w:lineRule="exact"/>
              <w:jc w:val="center"/>
              <w:rPr>
                <w:rFonts w:ascii="宋体" w:hAnsi="宋体" w:cs="宋体"/>
                <w:color w:val="auto"/>
                <w:sz w:val="24"/>
                <w:highlight w:val="none"/>
              </w:rPr>
            </w:pPr>
            <w:r>
              <w:rPr>
                <w:rFonts w:hint="eastAsia" w:ascii="宋体" w:hAnsi="宋体" w:cs="宋体"/>
                <w:color w:val="auto"/>
                <w:sz w:val="24"/>
                <w:highlight w:val="none"/>
              </w:rPr>
              <w:t>谈判文件商务要求</w:t>
            </w:r>
          </w:p>
        </w:tc>
        <w:tc>
          <w:tcPr>
            <w:tcW w:w="2633" w:type="dxa"/>
            <w:tcBorders>
              <w:top w:val="single" w:color="auto" w:sz="4" w:space="0"/>
              <w:left w:val="single" w:color="auto" w:sz="4" w:space="0"/>
              <w:bottom w:val="single" w:color="auto" w:sz="4" w:space="0"/>
              <w:right w:val="single" w:color="auto" w:sz="4" w:space="0"/>
            </w:tcBorders>
            <w:vAlign w:val="center"/>
          </w:tcPr>
          <w:p w14:paraId="78036E38">
            <w:pPr>
              <w:snapToGrid w:val="0"/>
              <w:spacing w:line="500" w:lineRule="exact"/>
              <w:jc w:val="center"/>
              <w:rPr>
                <w:rFonts w:ascii="宋体" w:hAnsi="宋体" w:cs="宋体"/>
                <w:color w:val="auto"/>
                <w:sz w:val="24"/>
                <w:highlight w:val="none"/>
              </w:rPr>
            </w:pPr>
            <w:r>
              <w:rPr>
                <w:rFonts w:hint="eastAsia" w:ascii="宋体" w:hAnsi="宋体" w:cs="宋体"/>
                <w:color w:val="auto"/>
                <w:sz w:val="24"/>
                <w:highlight w:val="none"/>
              </w:rPr>
              <w:t>供应商的响应</w:t>
            </w:r>
          </w:p>
        </w:tc>
        <w:tc>
          <w:tcPr>
            <w:tcW w:w="1829" w:type="dxa"/>
            <w:tcBorders>
              <w:top w:val="single" w:color="auto" w:sz="4" w:space="0"/>
              <w:left w:val="single" w:color="auto" w:sz="4" w:space="0"/>
              <w:bottom w:val="single" w:color="auto" w:sz="4" w:space="0"/>
              <w:right w:val="single" w:color="auto" w:sz="4" w:space="0"/>
            </w:tcBorders>
            <w:vAlign w:val="center"/>
          </w:tcPr>
          <w:p w14:paraId="36A851EE">
            <w:pPr>
              <w:snapToGrid w:val="0"/>
              <w:spacing w:line="500" w:lineRule="exact"/>
              <w:jc w:val="center"/>
              <w:rPr>
                <w:rFonts w:ascii="宋体" w:hAnsi="宋体" w:cs="宋体"/>
                <w:color w:val="auto"/>
                <w:sz w:val="24"/>
                <w:highlight w:val="none"/>
              </w:rPr>
            </w:pPr>
            <w:r>
              <w:rPr>
                <w:rFonts w:hint="eastAsia" w:ascii="宋体" w:hAnsi="宋体" w:cs="宋体"/>
                <w:color w:val="auto"/>
                <w:sz w:val="24"/>
                <w:highlight w:val="none"/>
              </w:rPr>
              <w:t>偏离说明</w:t>
            </w:r>
          </w:p>
        </w:tc>
      </w:tr>
      <w:tr w14:paraId="22D7EE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2178" w:type="dxa"/>
            <w:tcBorders>
              <w:top w:val="single" w:color="auto" w:sz="4" w:space="0"/>
              <w:left w:val="single" w:color="auto" w:sz="4" w:space="0"/>
              <w:bottom w:val="single" w:color="auto" w:sz="4" w:space="0"/>
              <w:right w:val="single" w:color="auto" w:sz="4" w:space="0"/>
            </w:tcBorders>
            <w:vAlign w:val="center"/>
          </w:tcPr>
          <w:p w14:paraId="4BAF6F5E">
            <w:pPr>
              <w:spacing w:line="500" w:lineRule="exact"/>
              <w:jc w:val="center"/>
              <w:rPr>
                <w:rFonts w:ascii="宋体" w:hAnsi="宋体" w:cs="宋体"/>
                <w:color w:val="auto"/>
                <w:sz w:val="24"/>
                <w:highlight w:val="none"/>
              </w:rPr>
            </w:pPr>
          </w:p>
        </w:tc>
        <w:tc>
          <w:tcPr>
            <w:tcW w:w="2668" w:type="dxa"/>
            <w:tcBorders>
              <w:top w:val="single" w:color="auto" w:sz="4" w:space="0"/>
              <w:left w:val="single" w:color="auto" w:sz="4" w:space="0"/>
              <w:bottom w:val="single" w:color="auto" w:sz="4" w:space="0"/>
              <w:right w:val="single" w:color="auto" w:sz="4" w:space="0"/>
            </w:tcBorders>
            <w:vAlign w:val="center"/>
          </w:tcPr>
          <w:p w14:paraId="2450592B">
            <w:pPr>
              <w:spacing w:line="500" w:lineRule="exact"/>
              <w:jc w:val="center"/>
              <w:rPr>
                <w:rFonts w:ascii="宋体" w:hAnsi="宋体" w:cs="宋体"/>
                <w:color w:val="auto"/>
                <w:sz w:val="24"/>
                <w:highlight w:val="none"/>
              </w:rPr>
            </w:pPr>
          </w:p>
        </w:tc>
        <w:tc>
          <w:tcPr>
            <w:tcW w:w="2633" w:type="dxa"/>
            <w:tcBorders>
              <w:top w:val="single" w:color="auto" w:sz="4" w:space="0"/>
              <w:left w:val="single" w:color="auto" w:sz="4" w:space="0"/>
              <w:bottom w:val="single" w:color="auto" w:sz="4" w:space="0"/>
              <w:right w:val="single" w:color="auto" w:sz="4" w:space="0"/>
            </w:tcBorders>
            <w:vAlign w:val="center"/>
          </w:tcPr>
          <w:p w14:paraId="39798F4D">
            <w:pPr>
              <w:snapToGrid w:val="0"/>
              <w:spacing w:line="500" w:lineRule="exact"/>
              <w:jc w:val="center"/>
              <w:rPr>
                <w:rFonts w:ascii="宋体" w:hAnsi="宋体" w:cs="宋体"/>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vAlign w:val="center"/>
          </w:tcPr>
          <w:p w14:paraId="077B5E29">
            <w:pPr>
              <w:snapToGrid w:val="0"/>
              <w:spacing w:line="500" w:lineRule="exact"/>
              <w:jc w:val="center"/>
              <w:rPr>
                <w:rFonts w:ascii="宋体" w:hAnsi="宋体" w:cs="宋体"/>
                <w:color w:val="auto"/>
                <w:sz w:val="24"/>
                <w:highlight w:val="none"/>
              </w:rPr>
            </w:pPr>
          </w:p>
        </w:tc>
      </w:tr>
      <w:tr w14:paraId="156911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vAlign w:val="center"/>
          </w:tcPr>
          <w:p w14:paraId="50E7CF78">
            <w:pPr>
              <w:spacing w:line="500" w:lineRule="exact"/>
              <w:jc w:val="center"/>
              <w:rPr>
                <w:rFonts w:ascii="宋体" w:hAnsi="宋体" w:cs="宋体"/>
                <w:color w:val="auto"/>
                <w:sz w:val="24"/>
                <w:highlight w:val="none"/>
              </w:rPr>
            </w:pPr>
          </w:p>
        </w:tc>
        <w:tc>
          <w:tcPr>
            <w:tcW w:w="2668" w:type="dxa"/>
            <w:tcBorders>
              <w:top w:val="single" w:color="auto" w:sz="4" w:space="0"/>
              <w:left w:val="single" w:color="auto" w:sz="4" w:space="0"/>
              <w:bottom w:val="single" w:color="auto" w:sz="4" w:space="0"/>
              <w:right w:val="single" w:color="auto" w:sz="4" w:space="0"/>
            </w:tcBorders>
            <w:vAlign w:val="center"/>
          </w:tcPr>
          <w:p w14:paraId="680F2188">
            <w:pPr>
              <w:spacing w:line="500" w:lineRule="exact"/>
              <w:jc w:val="center"/>
              <w:rPr>
                <w:rFonts w:ascii="宋体" w:hAnsi="宋体" w:cs="宋体"/>
                <w:color w:val="auto"/>
                <w:sz w:val="24"/>
                <w:highlight w:val="none"/>
              </w:rPr>
            </w:pPr>
          </w:p>
        </w:tc>
        <w:tc>
          <w:tcPr>
            <w:tcW w:w="2633" w:type="dxa"/>
            <w:tcBorders>
              <w:top w:val="single" w:color="auto" w:sz="4" w:space="0"/>
              <w:left w:val="single" w:color="auto" w:sz="4" w:space="0"/>
              <w:bottom w:val="single" w:color="auto" w:sz="4" w:space="0"/>
              <w:right w:val="single" w:color="auto" w:sz="4" w:space="0"/>
            </w:tcBorders>
            <w:vAlign w:val="center"/>
          </w:tcPr>
          <w:p w14:paraId="278650AC">
            <w:pPr>
              <w:snapToGrid w:val="0"/>
              <w:spacing w:line="500" w:lineRule="exact"/>
              <w:jc w:val="center"/>
              <w:rPr>
                <w:rFonts w:ascii="宋体" w:hAnsi="宋体" w:cs="宋体"/>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vAlign w:val="center"/>
          </w:tcPr>
          <w:p w14:paraId="66D1B065">
            <w:pPr>
              <w:snapToGrid w:val="0"/>
              <w:spacing w:line="500" w:lineRule="exact"/>
              <w:jc w:val="center"/>
              <w:rPr>
                <w:rFonts w:ascii="宋体" w:hAnsi="宋体" w:cs="宋体"/>
                <w:color w:val="auto"/>
                <w:sz w:val="24"/>
                <w:highlight w:val="none"/>
              </w:rPr>
            </w:pPr>
          </w:p>
        </w:tc>
      </w:tr>
      <w:tr w14:paraId="3E0ADA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vAlign w:val="center"/>
          </w:tcPr>
          <w:p w14:paraId="7AD8AEEE">
            <w:pPr>
              <w:snapToGrid w:val="0"/>
              <w:spacing w:line="50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2668" w:type="dxa"/>
            <w:tcBorders>
              <w:top w:val="single" w:color="auto" w:sz="4" w:space="0"/>
              <w:left w:val="single" w:color="auto" w:sz="4" w:space="0"/>
              <w:bottom w:val="single" w:color="auto" w:sz="4" w:space="0"/>
              <w:right w:val="single" w:color="auto" w:sz="4" w:space="0"/>
            </w:tcBorders>
            <w:vAlign w:val="center"/>
          </w:tcPr>
          <w:p w14:paraId="65BBD56C">
            <w:pPr>
              <w:snapToGrid w:val="0"/>
              <w:spacing w:line="500" w:lineRule="exact"/>
              <w:jc w:val="center"/>
              <w:rPr>
                <w:rFonts w:ascii="宋体" w:hAnsi="宋体" w:cs="宋体"/>
                <w:color w:val="auto"/>
                <w:sz w:val="24"/>
                <w:highlight w:val="none"/>
              </w:rPr>
            </w:pPr>
          </w:p>
        </w:tc>
        <w:tc>
          <w:tcPr>
            <w:tcW w:w="2633" w:type="dxa"/>
            <w:tcBorders>
              <w:top w:val="single" w:color="auto" w:sz="4" w:space="0"/>
              <w:left w:val="single" w:color="auto" w:sz="4" w:space="0"/>
              <w:bottom w:val="single" w:color="auto" w:sz="4" w:space="0"/>
              <w:right w:val="single" w:color="auto" w:sz="4" w:space="0"/>
            </w:tcBorders>
            <w:vAlign w:val="center"/>
          </w:tcPr>
          <w:p w14:paraId="71F77EE7">
            <w:pPr>
              <w:snapToGrid w:val="0"/>
              <w:spacing w:line="500" w:lineRule="exact"/>
              <w:jc w:val="center"/>
              <w:rPr>
                <w:rFonts w:ascii="宋体" w:hAnsi="宋体" w:cs="宋体"/>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vAlign w:val="center"/>
          </w:tcPr>
          <w:p w14:paraId="3ECC489F">
            <w:pPr>
              <w:snapToGrid w:val="0"/>
              <w:spacing w:line="500" w:lineRule="exact"/>
              <w:jc w:val="center"/>
              <w:rPr>
                <w:rFonts w:ascii="宋体" w:hAnsi="宋体" w:cs="宋体"/>
                <w:color w:val="auto"/>
                <w:sz w:val="24"/>
                <w:highlight w:val="none"/>
              </w:rPr>
            </w:pPr>
          </w:p>
        </w:tc>
      </w:tr>
    </w:tbl>
    <w:p w14:paraId="41693E57">
      <w:pPr>
        <w:pStyle w:val="11"/>
        <w:spacing w:after="0" w:line="360" w:lineRule="auto"/>
        <w:contextualSpacing/>
        <w:rPr>
          <w:rFonts w:ascii="楷体" w:hAnsi="楷体" w:eastAsia="楷体" w:cs="宋体"/>
          <w:b/>
          <w:color w:val="auto"/>
          <w:kern w:val="0"/>
          <w:sz w:val="24"/>
          <w:szCs w:val="24"/>
          <w:highlight w:val="none"/>
        </w:rPr>
      </w:pPr>
      <w:r>
        <w:rPr>
          <w:rFonts w:hint="eastAsia" w:ascii="楷体" w:hAnsi="楷体" w:eastAsia="楷体" w:cs="宋体"/>
          <w:b/>
          <w:color w:val="auto"/>
          <w:kern w:val="0"/>
          <w:sz w:val="24"/>
          <w:szCs w:val="24"/>
          <w:highlight w:val="none"/>
        </w:rPr>
        <w:t>注：</w:t>
      </w:r>
    </w:p>
    <w:p w14:paraId="7D896DC9">
      <w:pPr>
        <w:pStyle w:val="11"/>
        <w:spacing w:after="0" w:line="360" w:lineRule="auto"/>
        <w:ind w:firstLine="480" w:firstLineChars="200"/>
        <w:contextualSpacing/>
        <w:rPr>
          <w:rFonts w:ascii="楷体" w:hAnsi="楷体" w:eastAsia="楷体" w:cs="宋体"/>
          <w:color w:val="auto"/>
          <w:kern w:val="0"/>
          <w:sz w:val="24"/>
          <w:szCs w:val="24"/>
          <w:highlight w:val="none"/>
        </w:rPr>
      </w:pPr>
      <w:r>
        <w:rPr>
          <w:rFonts w:ascii="楷体" w:hAnsi="楷体" w:eastAsia="楷体" w:cs="宋体"/>
          <w:color w:val="auto"/>
          <w:kern w:val="0"/>
          <w:sz w:val="24"/>
          <w:szCs w:val="24"/>
          <w:highlight w:val="none"/>
        </w:rPr>
        <w:t xml:space="preserve">1.说明：应对照谈判文件“第三章 </w:t>
      </w:r>
      <w:r>
        <w:rPr>
          <w:rFonts w:hint="eastAsia" w:ascii="楷体" w:hAnsi="楷体" w:eastAsia="楷体" w:cs="宋体"/>
          <w:color w:val="auto"/>
          <w:kern w:val="0"/>
          <w:sz w:val="24"/>
          <w:szCs w:val="24"/>
          <w:highlight w:val="none"/>
        </w:rPr>
        <w:t>采购需求”中的商务要求逐条明确响应，并作出偏离说明。</w:t>
      </w:r>
    </w:p>
    <w:p w14:paraId="1C45C496">
      <w:pPr>
        <w:pStyle w:val="11"/>
        <w:spacing w:after="0" w:line="360" w:lineRule="auto"/>
        <w:ind w:firstLine="480" w:firstLineChars="200"/>
        <w:contextualSpacing/>
        <w:rPr>
          <w:rFonts w:ascii="楷体" w:hAnsi="楷体" w:eastAsia="楷体" w:cs="宋体"/>
          <w:color w:val="auto"/>
          <w:kern w:val="0"/>
          <w:sz w:val="24"/>
          <w:szCs w:val="24"/>
          <w:highlight w:val="none"/>
        </w:rPr>
      </w:pPr>
      <w:r>
        <w:rPr>
          <w:rFonts w:ascii="楷体" w:hAnsi="楷体" w:eastAsia="楷体" w:cs="宋体"/>
          <w:color w:val="auto"/>
          <w:kern w:val="0"/>
          <w:sz w:val="24"/>
          <w:szCs w:val="24"/>
          <w:highlight w:val="none"/>
        </w:rPr>
        <w:t>2.供应商应根据自身的承诺，对照谈判文件要求在“偏离说明”中注明“正偏离”、“负偏离”或者“无偏离”。既不属于“正偏离”也不属于“负偏离”即为“无偏离”。</w:t>
      </w:r>
    </w:p>
    <w:p w14:paraId="3B937F0A">
      <w:pPr>
        <w:spacing w:line="360" w:lineRule="auto"/>
        <w:contextualSpacing/>
        <w:jc w:val="left"/>
        <w:rPr>
          <w:rFonts w:ascii="宋体" w:hAnsi="宋体" w:cs="宋体"/>
          <w:color w:val="auto"/>
          <w:sz w:val="24"/>
          <w:highlight w:val="none"/>
          <w:u w:val="single"/>
        </w:rPr>
      </w:pPr>
    </w:p>
    <w:p w14:paraId="247D8697">
      <w:pPr>
        <w:spacing w:line="360" w:lineRule="auto"/>
        <w:contextualSpacing/>
        <w:jc w:val="left"/>
        <w:rPr>
          <w:rFonts w:ascii="宋体" w:hAnsi="宋体" w:cs="宋体"/>
          <w:color w:val="auto"/>
          <w:sz w:val="24"/>
          <w:highlight w:val="none"/>
          <w:u w:val="single"/>
        </w:rPr>
      </w:pPr>
    </w:p>
    <w:p w14:paraId="7EA10E2B">
      <w:pPr>
        <w:spacing w:line="360" w:lineRule="auto"/>
        <w:contextualSpacing/>
        <w:rPr>
          <w:rFonts w:ascii="宋体" w:hAnsi="宋体" w:cs="宋体"/>
          <w:color w:val="auto"/>
          <w:sz w:val="24"/>
          <w:highlight w:val="none"/>
        </w:rPr>
      </w:pPr>
    </w:p>
    <w:p w14:paraId="16D87D57">
      <w:pPr>
        <w:spacing w:line="360" w:lineRule="auto"/>
        <w:ind w:firstLine="3240" w:firstLineChars="1350"/>
        <w:contextualSpacing/>
        <w:rPr>
          <w:rFonts w:ascii="宋体" w:hAnsi="宋体" w:cs="宋体"/>
          <w:color w:val="auto"/>
          <w:sz w:val="24"/>
          <w:highlight w:val="none"/>
        </w:rPr>
      </w:pPr>
      <w:r>
        <w:rPr>
          <w:rFonts w:hint="eastAsia" w:ascii="宋体" w:hAnsi="宋体" w:cs="宋体"/>
          <w:color w:val="auto"/>
          <w:sz w:val="24"/>
          <w:highlight w:val="none"/>
        </w:rPr>
        <w:t>供应商（公章）：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0A4D2F4D">
      <w:pPr>
        <w:spacing w:line="360" w:lineRule="auto"/>
        <w:ind w:firstLine="3240" w:firstLineChars="1350"/>
        <w:contextualSpacing/>
        <w:rPr>
          <w:rFonts w:ascii="宋体" w:hAnsi="宋体" w:cs="宋体"/>
          <w:color w:val="auto"/>
          <w:sz w:val="24"/>
          <w:highlight w:val="none"/>
        </w:rPr>
      </w:pPr>
      <w:r>
        <w:rPr>
          <w:rFonts w:hint="eastAsia" w:ascii="宋体" w:hAnsi="宋体" w:cs="宋体"/>
          <w:color w:val="auto"/>
          <w:sz w:val="24"/>
          <w:highlight w:val="none"/>
        </w:rPr>
        <w:t>日期：</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p>
    <w:p w14:paraId="4E1C5565">
      <w:pPr>
        <w:adjustRightInd w:val="0"/>
        <w:snapToGrid w:val="0"/>
        <w:spacing w:line="360" w:lineRule="auto"/>
        <w:ind w:firstLine="7040" w:firstLineChars="1600"/>
        <w:jc w:val="center"/>
        <w:rPr>
          <w:rFonts w:ascii="宋体" w:hAnsi="宋体" w:cs="宋体"/>
          <w:bCs/>
          <w:color w:val="auto"/>
          <w:sz w:val="44"/>
          <w:szCs w:val="44"/>
          <w:highlight w:val="none"/>
        </w:rPr>
      </w:pPr>
    </w:p>
    <w:p w14:paraId="3004D4EA">
      <w:pPr>
        <w:adjustRightInd w:val="0"/>
        <w:snapToGrid w:val="0"/>
        <w:spacing w:line="360" w:lineRule="auto"/>
        <w:jc w:val="center"/>
        <w:rPr>
          <w:rFonts w:ascii="宋体" w:hAnsi="宋体" w:cs="宋体"/>
          <w:b/>
          <w:color w:val="auto"/>
          <w:sz w:val="32"/>
          <w:szCs w:val="32"/>
          <w:highlight w:val="none"/>
        </w:rPr>
      </w:pPr>
      <w:r>
        <w:rPr>
          <w:rFonts w:hint="eastAsia" w:ascii="宋体" w:hAnsi="宋体" w:cs="宋体"/>
          <w:bCs/>
          <w:color w:val="auto"/>
          <w:sz w:val="44"/>
          <w:szCs w:val="44"/>
          <w:highlight w:val="none"/>
        </w:rPr>
        <w:br w:type="page"/>
      </w:r>
      <w:r>
        <w:rPr>
          <w:rFonts w:hint="eastAsia" w:ascii="宋体" w:hAnsi="宋体" w:cs="宋体"/>
          <w:b/>
          <w:bCs/>
          <w:color w:val="auto"/>
          <w:sz w:val="44"/>
          <w:szCs w:val="44"/>
          <w:highlight w:val="none"/>
        </w:rPr>
        <w:t>货物配置清单</w:t>
      </w:r>
    </w:p>
    <w:p w14:paraId="534F879A">
      <w:pPr>
        <w:spacing w:line="360" w:lineRule="auto"/>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080A533C">
      <w:pPr>
        <w:spacing w:line="360" w:lineRule="auto"/>
        <w:rPr>
          <w:rFonts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042E234C">
      <w:pPr>
        <w:spacing w:line="360" w:lineRule="auto"/>
        <w:rPr>
          <w:rFonts w:ascii="宋体" w:hAnsi="宋体" w:cs="宋体"/>
          <w:color w:val="auto"/>
          <w:sz w:val="24"/>
          <w:highlight w:val="none"/>
          <w:u w:val="single"/>
        </w:rPr>
      </w:pPr>
      <w:r>
        <w:rPr>
          <w:rFonts w:hint="eastAsia" w:ascii="宋体" w:hAnsi="宋体" w:cs="宋体"/>
          <w:color w:val="auto"/>
          <w:sz w:val="24"/>
          <w:highlight w:val="none"/>
        </w:rPr>
        <w:t>所竞分标（如有）：</w:t>
      </w:r>
      <w:r>
        <w:rPr>
          <w:rFonts w:hint="eastAsia" w:ascii="宋体" w:hAnsi="宋体" w:cs="宋体"/>
          <w:color w:val="auto"/>
          <w:sz w:val="24"/>
          <w:highlight w:val="none"/>
          <w:u w:val="single"/>
        </w:rPr>
        <w:t xml:space="preserve">                 </w:t>
      </w:r>
    </w:p>
    <w:tbl>
      <w:tblPr>
        <w:tblStyle w:val="29"/>
        <w:tblW w:w="1081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7"/>
        <w:gridCol w:w="1293"/>
        <w:gridCol w:w="929"/>
        <w:gridCol w:w="1854"/>
        <w:gridCol w:w="1293"/>
        <w:gridCol w:w="765"/>
        <w:gridCol w:w="797"/>
        <w:gridCol w:w="971"/>
        <w:gridCol w:w="2147"/>
      </w:tblGrid>
      <w:tr w14:paraId="5088B6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14:paraId="390BBFF1">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序号</w:t>
            </w:r>
          </w:p>
        </w:tc>
        <w:tc>
          <w:tcPr>
            <w:tcW w:w="1293" w:type="dxa"/>
            <w:tcBorders>
              <w:top w:val="single" w:color="auto" w:sz="4" w:space="0"/>
              <w:left w:val="single" w:color="auto" w:sz="4" w:space="0"/>
              <w:bottom w:val="single" w:color="auto" w:sz="4" w:space="0"/>
              <w:right w:val="single" w:color="auto" w:sz="4" w:space="0"/>
            </w:tcBorders>
            <w:vAlign w:val="center"/>
          </w:tcPr>
          <w:p w14:paraId="50D55F2C">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标的</w:t>
            </w:r>
          </w:p>
          <w:p w14:paraId="12CF4929">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（货物）名称</w:t>
            </w:r>
          </w:p>
        </w:tc>
        <w:tc>
          <w:tcPr>
            <w:tcW w:w="929" w:type="dxa"/>
            <w:tcBorders>
              <w:top w:val="single" w:color="auto" w:sz="4" w:space="0"/>
              <w:left w:val="single" w:color="auto" w:sz="4" w:space="0"/>
              <w:bottom w:val="single" w:color="auto" w:sz="4" w:space="0"/>
              <w:right w:val="single" w:color="auto" w:sz="4" w:space="0"/>
            </w:tcBorders>
            <w:vAlign w:val="center"/>
          </w:tcPr>
          <w:p w14:paraId="35365DBF">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品牌</w:t>
            </w:r>
          </w:p>
        </w:tc>
        <w:tc>
          <w:tcPr>
            <w:tcW w:w="1854" w:type="dxa"/>
            <w:tcBorders>
              <w:top w:val="single" w:color="auto" w:sz="4" w:space="0"/>
              <w:left w:val="single" w:color="auto" w:sz="4" w:space="0"/>
              <w:bottom w:val="single" w:color="auto" w:sz="4" w:space="0"/>
              <w:right w:val="single" w:color="auto" w:sz="4" w:space="0"/>
            </w:tcBorders>
            <w:vAlign w:val="center"/>
          </w:tcPr>
          <w:p w14:paraId="01B7368B">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型号</w:t>
            </w:r>
          </w:p>
        </w:tc>
        <w:tc>
          <w:tcPr>
            <w:tcW w:w="1293" w:type="dxa"/>
            <w:tcBorders>
              <w:top w:val="single" w:color="auto" w:sz="4" w:space="0"/>
              <w:left w:val="single" w:color="auto" w:sz="4" w:space="0"/>
              <w:bottom w:val="single" w:color="auto" w:sz="4" w:space="0"/>
              <w:right w:val="single" w:color="auto" w:sz="4" w:space="0"/>
            </w:tcBorders>
            <w:vAlign w:val="center"/>
          </w:tcPr>
          <w:p w14:paraId="6CB410EA">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生产厂家</w:t>
            </w:r>
          </w:p>
        </w:tc>
        <w:tc>
          <w:tcPr>
            <w:tcW w:w="765" w:type="dxa"/>
            <w:tcBorders>
              <w:top w:val="single" w:color="auto" w:sz="4" w:space="0"/>
              <w:left w:val="single" w:color="auto" w:sz="4" w:space="0"/>
              <w:bottom w:val="single" w:color="auto" w:sz="4" w:space="0"/>
              <w:right w:val="single" w:color="auto" w:sz="4" w:space="0"/>
            </w:tcBorders>
            <w:vAlign w:val="center"/>
          </w:tcPr>
          <w:p w14:paraId="52F9D779">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产地</w:t>
            </w:r>
          </w:p>
        </w:tc>
        <w:tc>
          <w:tcPr>
            <w:tcW w:w="797" w:type="dxa"/>
            <w:tcBorders>
              <w:top w:val="single" w:color="auto" w:sz="4" w:space="0"/>
              <w:left w:val="single" w:color="auto" w:sz="4" w:space="0"/>
              <w:bottom w:val="single" w:color="auto" w:sz="4" w:space="0"/>
              <w:right w:val="single" w:color="auto" w:sz="4" w:space="0"/>
            </w:tcBorders>
            <w:vAlign w:val="center"/>
          </w:tcPr>
          <w:p w14:paraId="55CC0E1A">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数量</w:t>
            </w:r>
          </w:p>
        </w:tc>
        <w:tc>
          <w:tcPr>
            <w:tcW w:w="971" w:type="dxa"/>
            <w:tcBorders>
              <w:top w:val="single" w:color="auto" w:sz="4" w:space="0"/>
              <w:left w:val="single" w:color="auto" w:sz="4" w:space="0"/>
              <w:bottom w:val="single" w:color="auto" w:sz="4" w:space="0"/>
              <w:right w:val="single" w:color="auto" w:sz="4" w:space="0"/>
            </w:tcBorders>
            <w:vAlign w:val="center"/>
          </w:tcPr>
          <w:p w14:paraId="1045F0C9">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单位</w:t>
            </w:r>
          </w:p>
        </w:tc>
        <w:tc>
          <w:tcPr>
            <w:tcW w:w="2147" w:type="dxa"/>
            <w:tcBorders>
              <w:top w:val="single" w:color="auto" w:sz="4" w:space="0"/>
              <w:left w:val="single" w:color="auto" w:sz="4" w:space="0"/>
              <w:bottom w:val="single" w:color="auto" w:sz="4" w:space="0"/>
              <w:right w:val="single" w:color="auto" w:sz="4" w:space="0"/>
            </w:tcBorders>
            <w:vAlign w:val="center"/>
          </w:tcPr>
          <w:p w14:paraId="663313BA">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参数性能、指标及配置</w:t>
            </w:r>
          </w:p>
        </w:tc>
      </w:tr>
      <w:tr w14:paraId="17DA4E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14:paraId="27BD6871">
            <w:pPr>
              <w:snapToGrid w:val="0"/>
              <w:spacing w:before="50" w:after="50"/>
              <w:jc w:val="center"/>
              <w:rPr>
                <w:rFonts w:ascii="宋体" w:hAnsi="宋体" w:cs="宋体"/>
                <w:color w:val="auto"/>
                <w:sz w:val="24"/>
                <w:highlight w:val="none"/>
              </w:rPr>
            </w:pPr>
          </w:p>
        </w:tc>
        <w:tc>
          <w:tcPr>
            <w:tcW w:w="1293" w:type="dxa"/>
            <w:tcBorders>
              <w:top w:val="single" w:color="auto" w:sz="4" w:space="0"/>
              <w:left w:val="single" w:color="auto" w:sz="4" w:space="0"/>
              <w:bottom w:val="single" w:color="auto" w:sz="4" w:space="0"/>
              <w:right w:val="single" w:color="auto" w:sz="4" w:space="0"/>
            </w:tcBorders>
            <w:vAlign w:val="center"/>
          </w:tcPr>
          <w:p w14:paraId="285C8EB8">
            <w:pPr>
              <w:snapToGrid w:val="0"/>
              <w:spacing w:before="50" w:after="50"/>
              <w:jc w:val="center"/>
              <w:rPr>
                <w:rFonts w:ascii="宋体" w:hAnsi="宋体" w:cs="宋体"/>
                <w:color w:val="auto"/>
                <w:sz w:val="24"/>
                <w:highlight w:val="none"/>
              </w:rPr>
            </w:pPr>
          </w:p>
        </w:tc>
        <w:tc>
          <w:tcPr>
            <w:tcW w:w="929" w:type="dxa"/>
            <w:tcBorders>
              <w:top w:val="single" w:color="auto" w:sz="4" w:space="0"/>
              <w:left w:val="single" w:color="auto" w:sz="4" w:space="0"/>
              <w:bottom w:val="single" w:color="auto" w:sz="4" w:space="0"/>
              <w:right w:val="single" w:color="auto" w:sz="4" w:space="0"/>
            </w:tcBorders>
            <w:vAlign w:val="center"/>
          </w:tcPr>
          <w:p w14:paraId="01DBF041">
            <w:pPr>
              <w:snapToGrid w:val="0"/>
              <w:spacing w:before="50" w:after="50"/>
              <w:jc w:val="center"/>
              <w:rPr>
                <w:rFonts w:ascii="宋体" w:hAnsi="宋体" w:cs="宋体"/>
                <w:color w:val="auto"/>
                <w:sz w:val="24"/>
                <w:highlight w:val="none"/>
              </w:rPr>
            </w:pPr>
          </w:p>
        </w:tc>
        <w:tc>
          <w:tcPr>
            <w:tcW w:w="1854" w:type="dxa"/>
            <w:tcBorders>
              <w:top w:val="single" w:color="auto" w:sz="4" w:space="0"/>
              <w:left w:val="single" w:color="auto" w:sz="4" w:space="0"/>
              <w:bottom w:val="single" w:color="auto" w:sz="4" w:space="0"/>
              <w:right w:val="single" w:color="auto" w:sz="4" w:space="0"/>
            </w:tcBorders>
          </w:tcPr>
          <w:p w14:paraId="6D9CA50F">
            <w:pPr>
              <w:snapToGrid w:val="0"/>
              <w:spacing w:before="50" w:after="50"/>
              <w:jc w:val="center"/>
              <w:rPr>
                <w:rFonts w:ascii="宋体" w:hAnsi="宋体" w:cs="宋体"/>
                <w:color w:val="auto"/>
                <w:sz w:val="24"/>
                <w:highlight w:val="none"/>
              </w:rPr>
            </w:pPr>
          </w:p>
        </w:tc>
        <w:tc>
          <w:tcPr>
            <w:tcW w:w="1293" w:type="dxa"/>
            <w:tcBorders>
              <w:top w:val="single" w:color="auto" w:sz="4" w:space="0"/>
              <w:left w:val="single" w:color="auto" w:sz="4" w:space="0"/>
              <w:bottom w:val="single" w:color="auto" w:sz="4" w:space="0"/>
              <w:right w:val="single" w:color="auto" w:sz="4" w:space="0"/>
            </w:tcBorders>
            <w:vAlign w:val="center"/>
          </w:tcPr>
          <w:p w14:paraId="2D751A2D">
            <w:pPr>
              <w:snapToGrid w:val="0"/>
              <w:spacing w:before="50" w:after="50"/>
              <w:jc w:val="center"/>
              <w:rPr>
                <w:rFonts w:ascii="宋体" w:hAnsi="宋体" w:cs="宋体"/>
                <w:color w:val="auto"/>
                <w:sz w:val="24"/>
                <w:highlight w:val="none"/>
              </w:rPr>
            </w:pPr>
          </w:p>
        </w:tc>
        <w:tc>
          <w:tcPr>
            <w:tcW w:w="765" w:type="dxa"/>
            <w:tcBorders>
              <w:top w:val="single" w:color="auto" w:sz="4" w:space="0"/>
              <w:left w:val="single" w:color="auto" w:sz="4" w:space="0"/>
              <w:bottom w:val="single" w:color="auto" w:sz="4" w:space="0"/>
              <w:right w:val="single" w:color="auto" w:sz="4" w:space="0"/>
            </w:tcBorders>
            <w:vAlign w:val="center"/>
          </w:tcPr>
          <w:p w14:paraId="007A0625">
            <w:pPr>
              <w:snapToGrid w:val="0"/>
              <w:spacing w:before="50" w:after="50"/>
              <w:jc w:val="center"/>
              <w:rPr>
                <w:rFonts w:ascii="宋体" w:hAnsi="宋体" w:cs="宋体"/>
                <w:color w:val="auto"/>
                <w:sz w:val="24"/>
                <w:highlight w:val="none"/>
              </w:rPr>
            </w:pPr>
          </w:p>
        </w:tc>
        <w:tc>
          <w:tcPr>
            <w:tcW w:w="797" w:type="dxa"/>
            <w:tcBorders>
              <w:top w:val="single" w:color="auto" w:sz="4" w:space="0"/>
              <w:left w:val="single" w:color="auto" w:sz="4" w:space="0"/>
              <w:bottom w:val="single" w:color="auto" w:sz="4" w:space="0"/>
              <w:right w:val="single" w:color="auto" w:sz="4" w:space="0"/>
            </w:tcBorders>
          </w:tcPr>
          <w:p w14:paraId="644A6C17">
            <w:pPr>
              <w:snapToGrid w:val="0"/>
              <w:spacing w:before="50" w:after="50"/>
              <w:jc w:val="center"/>
              <w:rPr>
                <w:rFonts w:ascii="宋体" w:hAnsi="宋体" w:cs="宋体"/>
                <w:color w:val="auto"/>
                <w:sz w:val="24"/>
                <w:highlight w:val="none"/>
              </w:rPr>
            </w:pPr>
          </w:p>
        </w:tc>
        <w:tc>
          <w:tcPr>
            <w:tcW w:w="971" w:type="dxa"/>
            <w:tcBorders>
              <w:top w:val="single" w:color="auto" w:sz="4" w:space="0"/>
              <w:left w:val="single" w:color="auto" w:sz="4" w:space="0"/>
              <w:bottom w:val="single" w:color="auto" w:sz="4" w:space="0"/>
              <w:right w:val="single" w:color="auto" w:sz="4" w:space="0"/>
            </w:tcBorders>
          </w:tcPr>
          <w:p w14:paraId="1621A678">
            <w:pPr>
              <w:snapToGrid w:val="0"/>
              <w:spacing w:before="50" w:after="50"/>
              <w:jc w:val="center"/>
              <w:rPr>
                <w:rFonts w:ascii="宋体" w:hAnsi="宋体" w:cs="宋体"/>
                <w:color w:val="auto"/>
                <w:sz w:val="24"/>
                <w:highlight w:val="none"/>
              </w:rPr>
            </w:pPr>
          </w:p>
        </w:tc>
        <w:tc>
          <w:tcPr>
            <w:tcW w:w="2147" w:type="dxa"/>
            <w:tcBorders>
              <w:top w:val="single" w:color="auto" w:sz="4" w:space="0"/>
              <w:left w:val="single" w:color="auto" w:sz="4" w:space="0"/>
              <w:bottom w:val="single" w:color="auto" w:sz="4" w:space="0"/>
              <w:right w:val="single" w:color="auto" w:sz="4" w:space="0"/>
            </w:tcBorders>
            <w:vAlign w:val="center"/>
          </w:tcPr>
          <w:p w14:paraId="23FC0F0E">
            <w:pPr>
              <w:snapToGrid w:val="0"/>
              <w:spacing w:before="50" w:after="50"/>
              <w:jc w:val="center"/>
              <w:rPr>
                <w:rFonts w:ascii="宋体" w:hAnsi="宋体" w:cs="宋体"/>
                <w:color w:val="auto"/>
                <w:sz w:val="24"/>
                <w:highlight w:val="none"/>
              </w:rPr>
            </w:pPr>
          </w:p>
        </w:tc>
      </w:tr>
      <w:tr w14:paraId="1C94DC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14:paraId="2CF5CFC4">
            <w:pPr>
              <w:snapToGrid w:val="0"/>
              <w:spacing w:before="50" w:after="50"/>
              <w:jc w:val="center"/>
              <w:rPr>
                <w:rFonts w:ascii="宋体" w:hAnsi="宋体" w:cs="宋体"/>
                <w:color w:val="auto"/>
                <w:sz w:val="24"/>
                <w:highlight w:val="none"/>
              </w:rPr>
            </w:pPr>
          </w:p>
        </w:tc>
        <w:tc>
          <w:tcPr>
            <w:tcW w:w="1293" w:type="dxa"/>
            <w:tcBorders>
              <w:top w:val="single" w:color="auto" w:sz="4" w:space="0"/>
              <w:left w:val="single" w:color="auto" w:sz="4" w:space="0"/>
              <w:bottom w:val="single" w:color="auto" w:sz="4" w:space="0"/>
              <w:right w:val="single" w:color="auto" w:sz="4" w:space="0"/>
            </w:tcBorders>
            <w:vAlign w:val="center"/>
          </w:tcPr>
          <w:p w14:paraId="6D306D9D">
            <w:pPr>
              <w:snapToGrid w:val="0"/>
              <w:spacing w:before="50" w:after="50"/>
              <w:jc w:val="center"/>
              <w:rPr>
                <w:rFonts w:ascii="宋体" w:hAnsi="宋体" w:cs="宋体"/>
                <w:color w:val="auto"/>
                <w:sz w:val="24"/>
                <w:highlight w:val="none"/>
              </w:rPr>
            </w:pPr>
          </w:p>
        </w:tc>
        <w:tc>
          <w:tcPr>
            <w:tcW w:w="929" w:type="dxa"/>
            <w:tcBorders>
              <w:top w:val="single" w:color="auto" w:sz="4" w:space="0"/>
              <w:left w:val="single" w:color="auto" w:sz="4" w:space="0"/>
              <w:bottom w:val="single" w:color="auto" w:sz="4" w:space="0"/>
              <w:right w:val="single" w:color="auto" w:sz="4" w:space="0"/>
            </w:tcBorders>
            <w:vAlign w:val="center"/>
          </w:tcPr>
          <w:p w14:paraId="75EA10F3">
            <w:pPr>
              <w:snapToGrid w:val="0"/>
              <w:spacing w:before="50" w:after="50"/>
              <w:jc w:val="center"/>
              <w:rPr>
                <w:rFonts w:ascii="宋体" w:hAnsi="宋体" w:cs="宋体"/>
                <w:color w:val="auto"/>
                <w:sz w:val="24"/>
                <w:highlight w:val="none"/>
              </w:rPr>
            </w:pPr>
          </w:p>
        </w:tc>
        <w:tc>
          <w:tcPr>
            <w:tcW w:w="1854" w:type="dxa"/>
            <w:tcBorders>
              <w:top w:val="single" w:color="auto" w:sz="4" w:space="0"/>
              <w:left w:val="single" w:color="auto" w:sz="4" w:space="0"/>
              <w:bottom w:val="single" w:color="auto" w:sz="4" w:space="0"/>
              <w:right w:val="single" w:color="auto" w:sz="4" w:space="0"/>
            </w:tcBorders>
          </w:tcPr>
          <w:p w14:paraId="2F99304A">
            <w:pPr>
              <w:snapToGrid w:val="0"/>
              <w:spacing w:before="50" w:after="50"/>
              <w:jc w:val="center"/>
              <w:rPr>
                <w:rFonts w:ascii="宋体" w:hAnsi="宋体" w:cs="宋体"/>
                <w:color w:val="auto"/>
                <w:sz w:val="24"/>
                <w:highlight w:val="none"/>
              </w:rPr>
            </w:pPr>
          </w:p>
        </w:tc>
        <w:tc>
          <w:tcPr>
            <w:tcW w:w="1293" w:type="dxa"/>
            <w:tcBorders>
              <w:top w:val="single" w:color="auto" w:sz="4" w:space="0"/>
              <w:left w:val="single" w:color="auto" w:sz="4" w:space="0"/>
              <w:bottom w:val="single" w:color="auto" w:sz="4" w:space="0"/>
              <w:right w:val="single" w:color="auto" w:sz="4" w:space="0"/>
            </w:tcBorders>
            <w:vAlign w:val="center"/>
          </w:tcPr>
          <w:p w14:paraId="22DE6405">
            <w:pPr>
              <w:snapToGrid w:val="0"/>
              <w:spacing w:before="50" w:after="50"/>
              <w:jc w:val="center"/>
              <w:rPr>
                <w:rFonts w:ascii="宋体" w:hAnsi="宋体" w:cs="宋体"/>
                <w:color w:val="auto"/>
                <w:sz w:val="24"/>
                <w:highlight w:val="none"/>
              </w:rPr>
            </w:pPr>
          </w:p>
        </w:tc>
        <w:tc>
          <w:tcPr>
            <w:tcW w:w="765" w:type="dxa"/>
            <w:tcBorders>
              <w:top w:val="single" w:color="auto" w:sz="4" w:space="0"/>
              <w:left w:val="single" w:color="auto" w:sz="4" w:space="0"/>
              <w:bottom w:val="single" w:color="auto" w:sz="4" w:space="0"/>
              <w:right w:val="single" w:color="auto" w:sz="4" w:space="0"/>
            </w:tcBorders>
            <w:vAlign w:val="center"/>
          </w:tcPr>
          <w:p w14:paraId="48AFE530">
            <w:pPr>
              <w:snapToGrid w:val="0"/>
              <w:spacing w:before="50" w:after="50"/>
              <w:jc w:val="center"/>
              <w:rPr>
                <w:rFonts w:ascii="宋体" w:hAnsi="宋体" w:cs="宋体"/>
                <w:color w:val="auto"/>
                <w:sz w:val="24"/>
                <w:highlight w:val="none"/>
              </w:rPr>
            </w:pPr>
          </w:p>
        </w:tc>
        <w:tc>
          <w:tcPr>
            <w:tcW w:w="797" w:type="dxa"/>
            <w:tcBorders>
              <w:top w:val="single" w:color="auto" w:sz="4" w:space="0"/>
              <w:left w:val="single" w:color="auto" w:sz="4" w:space="0"/>
              <w:bottom w:val="single" w:color="auto" w:sz="4" w:space="0"/>
              <w:right w:val="single" w:color="auto" w:sz="4" w:space="0"/>
            </w:tcBorders>
          </w:tcPr>
          <w:p w14:paraId="1EF84652">
            <w:pPr>
              <w:snapToGrid w:val="0"/>
              <w:spacing w:before="50" w:after="50"/>
              <w:jc w:val="center"/>
              <w:rPr>
                <w:rFonts w:ascii="宋体" w:hAnsi="宋体" w:cs="宋体"/>
                <w:color w:val="auto"/>
                <w:sz w:val="24"/>
                <w:highlight w:val="none"/>
              </w:rPr>
            </w:pPr>
          </w:p>
        </w:tc>
        <w:tc>
          <w:tcPr>
            <w:tcW w:w="971" w:type="dxa"/>
            <w:tcBorders>
              <w:top w:val="single" w:color="auto" w:sz="4" w:space="0"/>
              <w:left w:val="single" w:color="auto" w:sz="4" w:space="0"/>
              <w:bottom w:val="single" w:color="auto" w:sz="4" w:space="0"/>
              <w:right w:val="single" w:color="auto" w:sz="4" w:space="0"/>
            </w:tcBorders>
          </w:tcPr>
          <w:p w14:paraId="35AE7023">
            <w:pPr>
              <w:snapToGrid w:val="0"/>
              <w:spacing w:before="50" w:after="50"/>
              <w:jc w:val="center"/>
              <w:rPr>
                <w:rFonts w:ascii="宋体" w:hAnsi="宋体" w:cs="宋体"/>
                <w:color w:val="auto"/>
                <w:sz w:val="24"/>
                <w:highlight w:val="none"/>
              </w:rPr>
            </w:pPr>
          </w:p>
        </w:tc>
        <w:tc>
          <w:tcPr>
            <w:tcW w:w="2147" w:type="dxa"/>
            <w:tcBorders>
              <w:top w:val="single" w:color="auto" w:sz="4" w:space="0"/>
              <w:left w:val="single" w:color="auto" w:sz="4" w:space="0"/>
              <w:bottom w:val="single" w:color="auto" w:sz="4" w:space="0"/>
              <w:right w:val="single" w:color="auto" w:sz="4" w:space="0"/>
            </w:tcBorders>
            <w:vAlign w:val="center"/>
          </w:tcPr>
          <w:p w14:paraId="0010B8F9">
            <w:pPr>
              <w:snapToGrid w:val="0"/>
              <w:spacing w:before="50" w:after="50"/>
              <w:jc w:val="center"/>
              <w:rPr>
                <w:rFonts w:ascii="宋体" w:hAnsi="宋体" w:cs="宋体"/>
                <w:color w:val="auto"/>
                <w:sz w:val="24"/>
                <w:highlight w:val="none"/>
              </w:rPr>
            </w:pPr>
          </w:p>
        </w:tc>
      </w:tr>
      <w:tr w14:paraId="011810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14:paraId="15CED11D">
            <w:pPr>
              <w:snapToGrid w:val="0"/>
              <w:spacing w:before="50" w:after="50"/>
              <w:jc w:val="center"/>
              <w:rPr>
                <w:rFonts w:ascii="宋体" w:hAnsi="宋体" w:cs="宋体"/>
                <w:color w:val="auto"/>
                <w:sz w:val="24"/>
                <w:highlight w:val="none"/>
              </w:rPr>
            </w:pPr>
          </w:p>
        </w:tc>
        <w:tc>
          <w:tcPr>
            <w:tcW w:w="1293" w:type="dxa"/>
            <w:tcBorders>
              <w:top w:val="single" w:color="auto" w:sz="4" w:space="0"/>
              <w:left w:val="single" w:color="auto" w:sz="4" w:space="0"/>
              <w:bottom w:val="single" w:color="auto" w:sz="4" w:space="0"/>
              <w:right w:val="single" w:color="auto" w:sz="4" w:space="0"/>
            </w:tcBorders>
            <w:vAlign w:val="center"/>
          </w:tcPr>
          <w:p w14:paraId="3A38F9D6">
            <w:pPr>
              <w:snapToGrid w:val="0"/>
              <w:spacing w:before="50" w:after="50"/>
              <w:jc w:val="center"/>
              <w:rPr>
                <w:rFonts w:ascii="宋体" w:hAnsi="宋体" w:cs="宋体"/>
                <w:color w:val="auto"/>
                <w:sz w:val="24"/>
                <w:highlight w:val="none"/>
              </w:rPr>
            </w:pPr>
          </w:p>
        </w:tc>
        <w:tc>
          <w:tcPr>
            <w:tcW w:w="929" w:type="dxa"/>
            <w:tcBorders>
              <w:top w:val="single" w:color="auto" w:sz="4" w:space="0"/>
              <w:left w:val="single" w:color="auto" w:sz="4" w:space="0"/>
              <w:bottom w:val="single" w:color="auto" w:sz="4" w:space="0"/>
              <w:right w:val="single" w:color="auto" w:sz="4" w:space="0"/>
            </w:tcBorders>
            <w:vAlign w:val="center"/>
          </w:tcPr>
          <w:p w14:paraId="36D55857">
            <w:pPr>
              <w:snapToGrid w:val="0"/>
              <w:spacing w:before="50" w:after="50"/>
              <w:jc w:val="center"/>
              <w:rPr>
                <w:rFonts w:ascii="宋体" w:hAnsi="宋体" w:cs="宋体"/>
                <w:color w:val="auto"/>
                <w:sz w:val="24"/>
                <w:highlight w:val="none"/>
              </w:rPr>
            </w:pPr>
          </w:p>
        </w:tc>
        <w:tc>
          <w:tcPr>
            <w:tcW w:w="1854" w:type="dxa"/>
            <w:tcBorders>
              <w:top w:val="single" w:color="auto" w:sz="4" w:space="0"/>
              <w:left w:val="single" w:color="auto" w:sz="4" w:space="0"/>
              <w:bottom w:val="single" w:color="auto" w:sz="4" w:space="0"/>
              <w:right w:val="single" w:color="auto" w:sz="4" w:space="0"/>
            </w:tcBorders>
          </w:tcPr>
          <w:p w14:paraId="31AAD407">
            <w:pPr>
              <w:snapToGrid w:val="0"/>
              <w:spacing w:before="50" w:after="50"/>
              <w:jc w:val="center"/>
              <w:rPr>
                <w:rFonts w:ascii="宋体" w:hAnsi="宋体" w:cs="宋体"/>
                <w:color w:val="auto"/>
                <w:sz w:val="24"/>
                <w:highlight w:val="none"/>
              </w:rPr>
            </w:pPr>
          </w:p>
        </w:tc>
        <w:tc>
          <w:tcPr>
            <w:tcW w:w="1293" w:type="dxa"/>
            <w:tcBorders>
              <w:top w:val="single" w:color="auto" w:sz="4" w:space="0"/>
              <w:left w:val="single" w:color="auto" w:sz="4" w:space="0"/>
              <w:bottom w:val="single" w:color="auto" w:sz="4" w:space="0"/>
              <w:right w:val="single" w:color="auto" w:sz="4" w:space="0"/>
            </w:tcBorders>
            <w:vAlign w:val="center"/>
          </w:tcPr>
          <w:p w14:paraId="0194E2E5">
            <w:pPr>
              <w:snapToGrid w:val="0"/>
              <w:spacing w:before="50" w:after="50"/>
              <w:jc w:val="center"/>
              <w:rPr>
                <w:rFonts w:ascii="宋体" w:hAnsi="宋体" w:cs="宋体"/>
                <w:color w:val="auto"/>
                <w:sz w:val="24"/>
                <w:highlight w:val="none"/>
              </w:rPr>
            </w:pPr>
          </w:p>
        </w:tc>
        <w:tc>
          <w:tcPr>
            <w:tcW w:w="765" w:type="dxa"/>
            <w:tcBorders>
              <w:top w:val="single" w:color="auto" w:sz="4" w:space="0"/>
              <w:left w:val="single" w:color="auto" w:sz="4" w:space="0"/>
              <w:bottom w:val="single" w:color="auto" w:sz="4" w:space="0"/>
              <w:right w:val="single" w:color="auto" w:sz="4" w:space="0"/>
            </w:tcBorders>
            <w:vAlign w:val="center"/>
          </w:tcPr>
          <w:p w14:paraId="47D11035">
            <w:pPr>
              <w:snapToGrid w:val="0"/>
              <w:spacing w:before="50" w:after="50"/>
              <w:jc w:val="center"/>
              <w:rPr>
                <w:rFonts w:ascii="宋体" w:hAnsi="宋体" w:cs="宋体"/>
                <w:color w:val="auto"/>
                <w:sz w:val="24"/>
                <w:highlight w:val="none"/>
              </w:rPr>
            </w:pPr>
          </w:p>
        </w:tc>
        <w:tc>
          <w:tcPr>
            <w:tcW w:w="797" w:type="dxa"/>
            <w:tcBorders>
              <w:top w:val="single" w:color="auto" w:sz="4" w:space="0"/>
              <w:left w:val="single" w:color="auto" w:sz="4" w:space="0"/>
              <w:bottom w:val="single" w:color="auto" w:sz="4" w:space="0"/>
              <w:right w:val="single" w:color="auto" w:sz="4" w:space="0"/>
            </w:tcBorders>
          </w:tcPr>
          <w:p w14:paraId="3A6790C1">
            <w:pPr>
              <w:snapToGrid w:val="0"/>
              <w:spacing w:before="50" w:after="50"/>
              <w:jc w:val="center"/>
              <w:rPr>
                <w:rFonts w:ascii="宋体" w:hAnsi="宋体" w:cs="宋体"/>
                <w:color w:val="auto"/>
                <w:sz w:val="24"/>
                <w:highlight w:val="none"/>
              </w:rPr>
            </w:pPr>
          </w:p>
        </w:tc>
        <w:tc>
          <w:tcPr>
            <w:tcW w:w="971" w:type="dxa"/>
            <w:tcBorders>
              <w:top w:val="single" w:color="auto" w:sz="4" w:space="0"/>
              <w:left w:val="single" w:color="auto" w:sz="4" w:space="0"/>
              <w:bottom w:val="single" w:color="auto" w:sz="4" w:space="0"/>
              <w:right w:val="single" w:color="auto" w:sz="4" w:space="0"/>
            </w:tcBorders>
          </w:tcPr>
          <w:p w14:paraId="322916B4">
            <w:pPr>
              <w:snapToGrid w:val="0"/>
              <w:spacing w:before="50" w:after="50"/>
              <w:jc w:val="center"/>
              <w:rPr>
                <w:rFonts w:ascii="宋体" w:hAnsi="宋体" w:cs="宋体"/>
                <w:color w:val="auto"/>
                <w:sz w:val="24"/>
                <w:highlight w:val="none"/>
              </w:rPr>
            </w:pPr>
          </w:p>
        </w:tc>
        <w:tc>
          <w:tcPr>
            <w:tcW w:w="2147" w:type="dxa"/>
            <w:tcBorders>
              <w:top w:val="single" w:color="auto" w:sz="4" w:space="0"/>
              <w:left w:val="single" w:color="auto" w:sz="4" w:space="0"/>
              <w:bottom w:val="single" w:color="auto" w:sz="4" w:space="0"/>
              <w:right w:val="single" w:color="auto" w:sz="4" w:space="0"/>
            </w:tcBorders>
            <w:vAlign w:val="center"/>
          </w:tcPr>
          <w:p w14:paraId="6D58C204">
            <w:pPr>
              <w:snapToGrid w:val="0"/>
              <w:spacing w:before="50" w:after="50"/>
              <w:jc w:val="center"/>
              <w:rPr>
                <w:rFonts w:ascii="宋体" w:hAnsi="宋体" w:cs="宋体"/>
                <w:color w:val="auto"/>
                <w:sz w:val="24"/>
                <w:highlight w:val="none"/>
              </w:rPr>
            </w:pPr>
          </w:p>
        </w:tc>
      </w:tr>
    </w:tbl>
    <w:p w14:paraId="4DD121F9">
      <w:pPr>
        <w:spacing w:line="360" w:lineRule="auto"/>
        <w:contextualSpacing/>
        <w:rPr>
          <w:rFonts w:ascii="楷体" w:hAnsi="楷体" w:eastAsia="楷体" w:cs="宋体"/>
          <w:b/>
          <w:color w:val="auto"/>
          <w:sz w:val="24"/>
          <w:highlight w:val="none"/>
        </w:rPr>
      </w:pPr>
      <w:r>
        <w:rPr>
          <w:rFonts w:hint="eastAsia" w:ascii="楷体" w:hAnsi="楷体" w:eastAsia="楷体" w:cs="宋体"/>
          <w:b/>
          <w:color w:val="auto"/>
          <w:sz w:val="24"/>
          <w:highlight w:val="none"/>
        </w:rPr>
        <w:t>备注：</w:t>
      </w:r>
    </w:p>
    <w:p w14:paraId="6B112EA3">
      <w:pPr>
        <w:tabs>
          <w:tab w:val="left" w:pos="1065"/>
        </w:tabs>
        <w:adjustRightInd w:val="0"/>
        <w:spacing w:line="360" w:lineRule="auto"/>
        <w:ind w:firstLine="482" w:firstLineChars="200"/>
        <w:contextualSpacing/>
        <w:rPr>
          <w:rFonts w:ascii="楷体" w:hAnsi="楷体" w:eastAsia="楷体" w:cs="宋体"/>
          <w:color w:val="auto"/>
          <w:sz w:val="24"/>
          <w:highlight w:val="none"/>
        </w:rPr>
      </w:pPr>
      <w:r>
        <w:rPr>
          <w:rFonts w:hint="eastAsia" w:ascii="楷体" w:hAnsi="楷体" w:eastAsia="楷体" w:cs="宋体"/>
          <w:b/>
          <w:bCs/>
          <w:color w:val="auto"/>
          <w:sz w:val="24"/>
          <w:highlight w:val="none"/>
        </w:rPr>
        <w:t>以上货物配置清单中“货物名称、数量、单位、品牌、型号、生产厂家、产地、参数性能、指标及配置”必须如实填写完整，定制产品在型号栏中填写“定制”。填写有缺漏的，响应文件按无效响应处理</w:t>
      </w:r>
      <w:r>
        <w:rPr>
          <w:rFonts w:hint="eastAsia" w:ascii="楷体" w:hAnsi="楷体" w:eastAsia="楷体" w:cs="宋体"/>
          <w:b/>
          <w:color w:val="auto"/>
          <w:sz w:val="24"/>
          <w:highlight w:val="none"/>
        </w:rPr>
        <w:t>。</w:t>
      </w:r>
      <w:r>
        <w:rPr>
          <w:rFonts w:hint="eastAsia" w:ascii="楷体" w:hAnsi="楷体" w:eastAsia="楷体" w:cs="宋体"/>
          <w:color w:val="auto"/>
          <w:sz w:val="24"/>
          <w:highlight w:val="none"/>
        </w:rPr>
        <w:t>货物名称、数量、单位、品牌等必须与“</w:t>
      </w:r>
      <w:r>
        <w:rPr>
          <w:rFonts w:hint="eastAsia" w:ascii="楷体" w:hAnsi="楷体" w:eastAsia="楷体" w:cs="宋体"/>
          <w:color w:val="auto"/>
          <w:sz w:val="24"/>
          <w:highlight w:val="none"/>
          <w:lang w:bidi="ar"/>
        </w:rPr>
        <w:t>竞争性谈判</w:t>
      </w:r>
      <w:r>
        <w:rPr>
          <w:rFonts w:hint="eastAsia" w:ascii="楷体" w:hAnsi="楷体" w:eastAsia="楷体" w:cs="宋体"/>
          <w:color w:val="auto"/>
          <w:sz w:val="24"/>
          <w:highlight w:val="none"/>
        </w:rPr>
        <w:t>报价表”一致，</w:t>
      </w:r>
      <w:r>
        <w:rPr>
          <w:rFonts w:hint="eastAsia" w:ascii="楷体" w:hAnsi="楷体" w:eastAsia="楷体" w:cs="宋体"/>
          <w:bCs/>
          <w:color w:val="auto"/>
          <w:sz w:val="24"/>
          <w:highlight w:val="none"/>
        </w:rPr>
        <w:t>否则响应文件按无效响应处理</w:t>
      </w:r>
      <w:r>
        <w:rPr>
          <w:rFonts w:hint="eastAsia" w:ascii="楷体" w:hAnsi="楷体" w:eastAsia="楷体" w:cs="宋体"/>
          <w:b/>
          <w:color w:val="auto"/>
          <w:sz w:val="24"/>
          <w:highlight w:val="none"/>
        </w:rPr>
        <w:t>。</w:t>
      </w:r>
      <w:r>
        <w:rPr>
          <w:rFonts w:ascii="楷体" w:hAnsi="楷体" w:eastAsia="楷体" w:cs="宋体"/>
          <w:color w:val="auto"/>
          <w:sz w:val="24"/>
          <w:highlight w:val="none"/>
        </w:rPr>
        <w:tab/>
      </w:r>
    </w:p>
    <w:p w14:paraId="0D37139C">
      <w:pPr>
        <w:adjustRightInd w:val="0"/>
        <w:spacing w:line="360" w:lineRule="auto"/>
        <w:contextualSpacing/>
        <w:jc w:val="left"/>
        <w:rPr>
          <w:rFonts w:ascii="宋体" w:hAnsi="宋体" w:cs="宋体"/>
          <w:color w:val="auto"/>
          <w:sz w:val="24"/>
          <w:highlight w:val="none"/>
        </w:rPr>
      </w:pPr>
    </w:p>
    <w:p w14:paraId="14F80CD5">
      <w:pPr>
        <w:adjustRightInd w:val="0"/>
        <w:spacing w:line="360" w:lineRule="auto"/>
        <w:contextualSpacing/>
        <w:jc w:val="left"/>
        <w:rPr>
          <w:rFonts w:ascii="宋体" w:hAnsi="宋体" w:cs="宋体"/>
          <w:color w:val="auto"/>
          <w:sz w:val="24"/>
          <w:highlight w:val="none"/>
        </w:rPr>
      </w:pPr>
    </w:p>
    <w:p w14:paraId="0B1113F6">
      <w:pPr>
        <w:adjustRightInd w:val="0"/>
        <w:spacing w:line="360" w:lineRule="auto"/>
        <w:contextualSpacing/>
        <w:jc w:val="left"/>
        <w:rPr>
          <w:rFonts w:ascii="宋体" w:hAnsi="宋体" w:cs="宋体"/>
          <w:color w:val="auto"/>
          <w:sz w:val="24"/>
          <w:highlight w:val="none"/>
        </w:rPr>
      </w:pPr>
    </w:p>
    <w:p w14:paraId="4DE6C332">
      <w:pPr>
        <w:spacing w:line="360" w:lineRule="auto"/>
        <w:ind w:firstLine="3240" w:firstLineChars="1350"/>
        <w:contextualSpacing/>
        <w:rPr>
          <w:rFonts w:ascii="宋体" w:hAnsi="宋体" w:cs="宋体"/>
          <w:color w:val="auto"/>
          <w:sz w:val="24"/>
          <w:highlight w:val="none"/>
        </w:rPr>
      </w:pPr>
      <w:r>
        <w:rPr>
          <w:rFonts w:hint="eastAsia" w:ascii="宋体" w:hAnsi="宋体" w:cs="宋体"/>
          <w:color w:val="auto"/>
          <w:sz w:val="24"/>
          <w:highlight w:val="none"/>
        </w:rPr>
        <w:t>供应商（公章）：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7B790D1A">
      <w:pPr>
        <w:spacing w:line="360" w:lineRule="auto"/>
        <w:ind w:firstLine="3240" w:firstLineChars="1350"/>
        <w:contextualSpacing/>
        <w:rPr>
          <w:rFonts w:ascii="宋体" w:hAnsi="宋体" w:cs="宋体"/>
          <w:color w:val="auto"/>
          <w:szCs w:val="21"/>
          <w:highlight w:val="none"/>
          <w:u w:val="single"/>
        </w:rPr>
      </w:pPr>
      <w:r>
        <w:rPr>
          <w:rFonts w:hint="eastAsia" w:ascii="宋体" w:hAnsi="宋体" w:cs="宋体"/>
          <w:color w:val="auto"/>
          <w:sz w:val="24"/>
          <w:highlight w:val="none"/>
        </w:rPr>
        <w:t>日期：</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p>
    <w:p w14:paraId="6DF89368">
      <w:pPr>
        <w:adjustRightInd w:val="0"/>
        <w:snapToGrid w:val="0"/>
        <w:spacing w:line="360" w:lineRule="auto"/>
        <w:rPr>
          <w:rFonts w:ascii="宋体" w:hAnsi="宋体" w:cs="宋体"/>
          <w:color w:val="auto"/>
          <w:szCs w:val="21"/>
          <w:highlight w:val="none"/>
          <w:u w:val="single"/>
        </w:rPr>
      </w:pPr>
    </w:p>
    <w:p w14:paraId="743BEB73">
      <w:pPr>
        <w:adjustRightInd w:val="0"/>
        <w:snapToGrid w:val="0"/>
        <w:spacing w:line="360" w:lineRule="auto"/>
        <w:rPr>
          <w:rFonts w:ascii="宋体" w:hAnsi="宋体" w:cs="宋体"/>
          <w:color w:val="auto"/>
          <w:szCs w:val="21"/>
          <w:highlight w:val="none"/>
          <w:u w:val="single"/>
        </w:rPr>
      </w:pPr>
    </w:p>
    <w:p w14:paraId="39C47F8E">
      <w:pPr>
        <w:adjustRightInd w:val="0"/>
        <w:snapToGrid w:val="0"/>
        <w:spacing w:line="360" w:lineRule="auto"/>
        <w:rPr>
          <w:rFonts w:ascii="宋体" w:hAnsi="宋体" w:cs="宋体"/>
          <w:color w:val="auto"/>
          <w:szCs w:val="21"/>
          <w:highlight w:val="none"/>
          <w:u w:val="single"/>
        </w:rPr>
      </w:pPr>
    </w:p>
    <w:p w14:paraId="425E5044">
      <w:pPr>
        <w:adjustRightInd w:val="0"/>
        <w:snapToGrid w:val="0"/>
        <w:spacing w:line="360" w:lineRule="auto"/>
        <w:rPr>
          <w:rFonts w:ascii="宋体" w:hAnsi="宋体" w:cs="宋体"/>
          <w:color w:val="auto"/>
          <w:szCs w:val="21"/>
          <w:highlight w:val="none"/>
          <w:u w:val="single"/>
        </w:rPr>
      </w:pPr>
    </w:p>
    <w:p w14:paraId="373A06D6">
      <w:pPr>
        <w:adjustRightInd w:val="0"/>
        <w:snapToGrid w:val="0"/>
        <w:spacing w:line="360" w:lineRule="auto"/>
        <w:rPr>
          <w:rFonts w:ascii="宋体" w:hAnsi="宋体" w:cs="宋体"/>
          <w:color w:val="auto"/>
          <w:szCs w:val="21"/>
          <w:highlight w:val="none"/>
          <w:u w:val="single"/>
        </w:rPr>
      </w:pPr>
    </w:p>
    <w:p w14:paraId="48251A2E">
      <w:pPr>
        <w:adjustRightInd w:val="0"/>
        <w:snapToGrid w:val="0"/>
        <w:spacing w:line="360" w:lineRule="auto"/>
        <w:jc w:val="center"/>
        <w:rPr>
          <w:rFonts w:ascii="宋体" w:hAnsi="宋体" w:cs="宋体"/>
          <w:b/>
          <w:bCs/>
          <w:color w:val="auto"/>
          <w:sz w:val="44"/>
          <w:szCs w:val="44"/>
          <w:highlight w:val="none"/>
        </w:rPr>
      </w:pPr>
      <w:r>
        <w:rPr>
          <w:rFonts w:hint="eastAsia" w:ascii="宋体" w:hAnsi="宋体" w:cs="宋体"/>
          <w:bCs/>
          <w:color w:val="auto"/>
          <w:sz w:val="44"/>
          <w:szCs w:val="44"/>
          <w:highlight w:val="none"/>
        </w:rPr>
        <w:br w:type="page"/>
      </w:r>
      <w:r>
        <w:rPr>
          <w:rFonts w:hint="eastAsia" w:ascii="宋体" w:hAnsi="宋体" w:cs="宋体"/>
          <w:b/>
          <w:bCs/>
          <w:color w:val="auto"/>
          <w:sz w:val="44"/>
          <w:szCs w:val="44"/>
          <w:highlight w:val="none"/>
        </w:rPr>
        <w:t>技术要求偏离表</w:t>
      </w:r>
    </w:p>
    <w:p w14:paraId="526A39C4">
      <w:pPr>
        <w:spacing w:line="360" w:lineRule="auto"/>
        <w:rPr>
          <w:rFonts w:ascii="宋体" w:hAnsi="宋体" w:cs="宋体"/>
          <w:color w:val="auto"/>
          <w:sz w:val="32"/>
          <w:szCs w:val="32"/>
          <w:highlight w:val="non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6714A521">
      <w:pPr>
        <w:spacing w:line="360" w:lineRule="auto"/>
        <w:rPr>
          <w:rFonts w:ascii="宋体" w:hAnsi="宋体" w:cs="宋体"/>
          <w:color w:val="auto"/>
          <w:sz w:val="24"/>
          <w:highlight w:val="non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p>
    <w:p w14:paraId="1E0FDF4C">
      <w:pPr>
        <w:spacing w:line="360" w:lineRule="auto"/>
        <w:rPr>
          <w:rFonts w:ascii="宋体" w:hAnsi="宋体" w:cs="宋体"/>
          <w:color w:val="auto"/>
          <w:sz w:val="24"/>
          <w:highlight w:val="none"/>
          <w:u w:val="single"/>
        </w:rPr>
      </w:pPr>
      <w:r>
        <w:rPr>
          <w:rFonts w:hint="eastAsia" w:ascii="宋体" w:hAnsi="宋体" w:cs="宋体"/>
          <w:color w:val="auto"/>
          <w:sz w:val="24"/>
          <w:highlight w:val="none"/>
        </w:rPr>
        <w:t>所竞分标（如有）：</w:t>
      </w:r>
      <w:r>
        <w:rPr>
          <w:rFonts w:hint="eastAsia" w:ascii="宋体" w:hAnsi="宋体" w:cs="宋体"/>
          <w:color w:val="auto"/>
          <w:sz w:val="24"/>
          <w:highlight w:val="none"/>
          <w:u w:val="single"/>
        </w:rPr>
        <w:t xml:space="preserve">                </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9"/>
        <w:gridCol w:w="988"/>
        <w:gridCol w:w="3294"/>
        <w:gridCol w:w="2965"/>
        <w:gridCol w:w="1617"/>
      </w:tblGrid>
      <w:tr w14:paraId="183600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2" w:type="pct"/>
            <w:vAlign w:val="center"/>
          </w:tcPr>
          <w:p w14:paraId="61F62732">
            <w:pPr>
              <w:pStyle w:val="13"/>
              <w:spacing w:line="500" w:lineRule="exact"/>
              <w:ind w:firstLine="0" w:firstLineChars="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序号</w:t>
            </w:r>
          </w:p>
        </w:tc>
        <w:tc>
          <w:tcPr>
            <w:tcW w:w="501" w:type="pct"/>
            <w:tcBorders>
              <w:right w:val="single" w:color="auto" w:sz="4" w:space="0"/>
            </w:tcBorders>
            <w:vAlign w:val="center"/>
          </w:tcPr>
          <w:p w14:paraId="3B4A9908">
            <w:pPr>
              <w:pStyle w:val="13"/>
              <w:spacing w:line="500" w:lineRule="exact"/>
              <w:ind w:firstLine="0" w:firstLineChars="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标的名称</w:t>
            </w:r>
          </w:p>
        </w:tc>
        <w:tc>
          <w:tcPr>
            <w:tcW w:w="1671" w:type="pct"/>
            <w:tcBorders>
              <w:left w:val="single" w:color="auto" w:sz="4" w:space="0"/>
            </w:tcBorders>
            <w:vAlign w:val="center"/>
          </w:tcPr>
          <w:p w14:paraId="37DDA904">
            <w:pPr>
              <w:pStyle w:val="13"/>
              <w:spacing w:line="500" w:lineRule="exact"/>
              <w:ind w:firstLine="0" w:firstLineChars="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技术要求</w:t>
            </w:r>
          </w:p>
        </w:tc>
        <w:tc>
          <w:tcPr>
            <w:tcW w:w="1504" w:type="pct"/>
            <w:vAlign w:val="center"/>
          </w:tcPr>
          <w:p w14:paraId="4DA9C183">
            <w:pPr>
              <w:pStyle w:val="13"/>
              <w:spacing w:line="500" w:lineRule="exact"/>
              <w:ind w:firstLine="0" w:firstLineChars="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竞争性谈判响应</w:t>
            </w:r>
          </w:p>
        </w:tc>
        <w:tc>
          <w:tcPr>
            <w:tcW w:w="820" w:type="pct"/>
            <w:vAlign w:val="center"/>
          </w:tcPr>
          <w:p w14:paraId="0471AE3D">
            <w:pPr>
              <w:pStyle w:val="13"/>
              <w:spacing w:line="500" w:lineRule="exact"/>
              <w:ind w:firstLine="0" w:firstLineChars="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偏离说明</w:t>
            </w:r>
          </w:p>
        </w:tc>
      </w:tr>
      <w:tr w14:paraId="6D1D31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2" w:type="pct"/>
            <w:vAlign w:val="center"/>
          </w:tcPr>
          <w:p w14:paraId="6AAACF6C">
            <w:pPr>
              <w:pStyle w:val="13"/>
              <w:spacing w:line="500" w:lineRule="exact"/>
              <w:ind w:firstLine="0" w:firstLineChars="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w:t>
            </w:r>
          </w:p>
        </w:tc>
        <w:tc>
          <w:tcPr>
            <w:tcW w:w="501" w:type="pct"/>
            <w:tcBorders>
              <w:right w:val="single" w:color="auto" w:sz="4" w:space="0"/>
            </w:tcBorders>
            <w:vAlign w:val="center"/>
          </w:tcPr>
          <w:p w14:paraId="35E450C1">
            <w:pPr>
              <w:pStyle w:val="13"/>
              <w:spacing w:line="500" w:lineRule="exact"/>
              <w:ind w:firstLine="0" w:firstLineChars="0"/>
              <w:jc w:val="center"/>
              <w:rPr>
                <w:rFonts w:ascii="宋体" w:hAnsi="宋体" w:eastAsia="宋体" w:cs="宋体"/>
                <w:color w:val="auto"/>
                <w:kern w:val="2"/>
                <w:sz w:val="24"/>
                <w:szCs w:val="24"/>
                <w:highlight w:val="none"/>
              </w:rPr>
            </w:pPr>
          </w:p>
        </w:tc>
        <w:tc>
          <w:tcPr>
            <w:tcW w:w="1671" w:type="pct"/>
            <w:tcBorders>
              <w:left w:val="single" w:color="auto" w:sz="4" w:space="0"/>
            </w:tcBorders>
            <w:vAlign w:val="center"/>
          </w:tcPr>
          <w:p w14:paraId="12FAD2E2">
            <w:pPr>
              <w:pStyle w:val="13"/>
              <w:spacing w:line="500" w:lineRule="exact"/>
              <w:ind w:firstLine="0" w:firstLineChars="0"/>
              <w:jc w:val="center"/>
              <w:rPr>
                <w:rFonts w:ascii="宋体" w:hAnsi="宋体" w:eastAsia="宋体" w:cs="宋体"/>
                <w:color w:val="auto"/>
                <w:kern w:val="2"/>
                <w:sz w:val="24"/>
                <w:szCs w:val="24"/>
                <w:highlight w:val="none"/>
              </w:rPr>
            </w:pPr>
          </w:p>
        </w:tc>
        <w:tc>
          <w:tcPr>
            <w:tcW w:w="1504" w:type="pct"/>
            <w:vAlign w:val="center"/>
          </w:tcPr>
          <w:p w14:paraId="3B78E89E">
            <w:pPr>
              <w:pStyle w:val="13"/>
              <w:spacing w:line="500" w:lineRule="exact"/>
              <w:ind w:firstLine="0" w:firstLineChars="0"/>
              <w:jc w:val="center"/>
              <w:rPr>
                <w:rFonts w:ascii="宋体" w:hAnsi="宋体" w:eastAsia="宋体" w:cs="宋体"/>
                <w:color w:val="auto"/>
                <w:kern w:val="2"/>
                <w:sz w:val="24"/>
                <w:szCs w:val="24"/>
                <w:highlight w:val="none"/>
              </w:rPr>
            </w:pPr>
          </w:p>
        </w:tc>
        <w:tc>
          <w:tcPr>
            <w:tcW w:w="820" w:type="pct"/>
            <w:vAlign w:val="center"/>
          </w:tcPr>
          <w:p w14:paraId="2880B7F0">
            <w:pPr>
              <w:pStyle w:val="13"/>
              <w:spacing w:line="500" w:lineRule="exact"/>
              <w:ind w:firstLine="0" w:firstLineChars="0"/>
              <w:jc w:val="center"/>
              <w:rPr>
                <w:rFonts w:ascii="宋体" w:hAnsi="宋体" w:eastAsia="宋体" w:cs="宋体"/>
                <w:color w:val="auto"/>
                <w:kern w:val="2"/>
                <w:sz w:val="24"/>
                <w:szCs w:val="24"/>
                <w:highlight w:val="none"/>
              </w:rPr>
            </w:pPr>
          </w:p>
        </w:tc>
      </w:tr>
      <w:tr w14:paraId="09B86F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2" w:type="pct"/>
            <w:vAlign w:val="center"/>
          </w:tcPr>
          <w:p w14:paraId="13EFA8C6">
            <w:pPr>
              <w:pStyle w:val="13"/>
              <w:spacing w:line="500" w:lineRule="exact"/>
              <w:ind w:firstLine="0" w:firstLineChars="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w:t>
            </w:r>
          </w:p>
        </w:tc>
        <w:tc>
          <w:tcPr>
            <w:tcW w:w="501" w:type="pct"/>
            <w:tcBorders>
              <w:right w:val="single" w:color="auto" w:sz="4" w:space="0"/>
            </w:tcBorders>
            <w:vAlign w:val="center"/>
          </w:tcPr>
          <w:p w14:paraId="6C2A80E1">
            <w:pPr>
              <w:pStyle w:val="13"/>
              <w:spacing w:line="500" w:lineRule="exact"/>
              <w:ind w:firstLine="0" w:firstLineChars="0"/>
              <w:jc w:val="center"/>
              <w:rPr>
                <w:rFonts w:ascii="宋体" w:hAnsi="宋体" w:eastAsia="宋体" w:cs="宋体"/>
                <w:color w:val="auto"/>
                <w:kern w:val="2"/>
                <w:sz w:val="24"/>
                <w:szCs w:val="24"/>
                <w:highlight w:val="none"/>
              </w:rPr>
            </w:pPr>
          </w:p>
        </w:tc>
        <w:tc>
          <w:tcPr>
            <w:tcW w:w="1671" w:type="pct"/>
            <w:tcBorders>
              <w:left w:val="single" w:color="auto" w:sz="4" w:space="0"/>
            </w:tcBorders>
            <w:vAlign w:val="center"/>
          </w:tcPr>
          <w:p w14:paraId="359F267C">
            <w:pPr>
              <w:pStyle w:val="13"/>
              <w:spacing w:line="500" w:lineRule="exact"/>
              <w:ind w:firstLine="0" w:firstLineChars="0"/>
              <w:jc w:val="center"/>
              <w:rPr>
                <w:rFonts w:ascii="宋体" w:hAnsi="宋体" w:eastAsia="宋体" w:cs="宋体"/>
                <w:color w:val="auto"/>
                <w:kern w:val="2"/>
                <w:sz w:val="24"/>
                <w:szCs w:val="24"/>
                <w:highlight w:val="none"/>
              </w:rPr>
            </w:pPr>
          </w:p>
        </w:tc>
        <w:tc>
          <w:tcPr>
            <w:tcW w:w="1504" w:type="pct"/>
            <w:vAlign w:val="center"/>
          </w:tcPr>
          <w:p w14:paraId="35942882">
            <w:pPr>
              <w:pStyle w:val="13"/>
              <w:spacing w:line="500" w:lineRule="exact"/>
              <w:ind w:firstLine="0" w:firstLineChars="0"/>
              <w:jc w:val="center"/>
              <w:rPr>
                <w:rFonts w:ascii="宋体" w:hAnsi="宋体" w:eastAsia="宋体" w:cs="宋体"/>
                <w:color w:val="auto"/>
                <w:kern w:val="2"/>
                <w:sz w:val="24"/>
                <w:szCs w:val="24"/>
                <w:highlight w:val="none"/>
              </w:rPr>
            </w:pPr>
          </w:p>
        </w:tc>
        <w:tc>
          <w:tcPr>
            <w:tcW w:w="820" w:type="pct"/>
            <w:vAlign w:val="center"/>
          </w:tcPr>
          <w:p w14:paraId="0FE2C551">
            <w:pPr>
              <w:pStyle w:val="13"/>
              <w:spacing w:line="500" w:lineRule="exact"/>
              <w:ind w:firstLine="0" w:firstLineChars="0"/>
              <w:jc w:val="center"/>
              <w:rPr>
                <w:rFonts w:ascii="宋体" w:hAnsi="宋体" w:eastAsia="宋体" w:cs="宋体"/>
                <w:color w:val="auto"/>
                <w:kern w:val="2"/>
                <w:sz w:val="24"/>
                <w:szCs w:val="24"/>
                <w:highlight w:val="none"/>
              </w:rPr>
            </w:pPr>
          </w:p>
        </w:tc>
      </w:tr>
      <w:tr w14:paraId="78DE4E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2" w:type="pct"/>
            <w:vAlign w:val="center"/>
          </w:tcPr>
          <w:p w14:paraId="03A78CE3">
            <w:pPr>
              <w:pStyle w:val="13"/>
              <w:spacing w:line="500" w:lineRule="exact"/>
              <w:ind w:firstLine="0" w:firstLineChars="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w:t>
            </w:r>
          </w:p>
        </w:tc>
        <w:tc>
          <w:tcPr>
            <w:tcW w:w="501" w:type="pct"/>
            <w:tcBorders>
              <w:right w:val="single" w:color="auto" w:sz="4" w:space="0"/>
            </w:tcBorders>
            <w:vAlign w:val="center"/>
          </w:tcPr>
          <w:p w14:paraId="4DD484A8">
            <w:pPr>
              <w:pStyle w:val="13"/>
              <w:spacing w:line="500" w:lineRule="exact"/>
              <w:ind w:firstLine="0" w:firstLineChars="0"/>
              <w:jc w:val="center"/>
              <w:rPr>
                <w:rFonts w:ascii="宋体" w:hAnsi="宋体" w:eastAsia="宋体" w:cs="宋体"/>
                <w:color w:val="auto"/>
                <w:kern w:val="2"/>
                <w:sz w:val="24"/>
                <w:szCs w:val="24"/>
                <w:highlight w:val="none"/>
              </w:rPr>
            </w:pPr>
          </w:p>
        </w:tc>
        <w:tc>
          <w:tcPr>
            <w:tcW w:w="1671" w:type="pct"/>
            <w:tcBorders>
              <w:left w:val="single" w:color="auto" w:sz="4" w:space="0"/>
            </w:tcBorders>
            <w:vAlign w:val="center"/>
          </w:tcPr>
          <w:p w14:paraId="6CF1F09A">
            <w:pPr>
              <w:pStyle w:val="13"/>
              <w:spacing w:line="500" w:lineRule="exact"/>
              <w:ind w:firstLine="0" w:firstLineChars="0"/>
              <w:jc w:val="center"/>
              <w:rPr>
                <w:rFonts w:ascii="宋体" w:hAnsi="宋体" w:eastAsia="宋体" w:cs="宋体"/>
                <w:color w:val="auto"/>
                <w:kern w:val="2"/>
                <w:sz w:val="24"/>
                <w:szCs w:val="24"/>
                <w:highlight w:val="none"/>
              </w:rPr>
            </w:pPr>
          </w:p>
        </w:tc>
        <w:tc>
          <w:tcPr>
            <w:tcW w:w="1504" w:type="pct"/>
            <w:vAlign w:val="center"/>
          </w:tcPr>
          <w:p w14:paraId="18A84067">
            <w:pPr>
              <w:pStyle w:val="13"/>
              <w:spacing w:line="500" w:lineRule="exact"/>
              <w:ind w:firstLine="0" w:firstLineChars="0"/>
              <w:jc w:val="center"/>
              <w:rPr>
                <w:rFonts w:ascii="宋体" w:hAnsi="宋体" w:eastAsia="宋体" w:cs="宋体"/>
                <w:color w:val="auto"/>
                <w:kern w:val="2"/>
                <w:sz w:val="24"/>
                <w:szCs w:val="24"/>
                <w:highlight w:val="none"/>
              </w:rPr>
            </w:pPr>
          </w:p>
        </w:tc>
        <w:tc>
          <w:tcPr>
            <w:tcW w:w="820" w:type="pct"/>
            <w:vAlign w:val="center"/>
          </w:tcPr>
          <w:p w14:paraId="09BB7E05">
            <w:pPr>
              <w:pStyle w:val="13"/>
              <w:spacing w:line="500" w:lineRule="exact"/>
              <w:ind w:firstLine="0" w:firstLineChars="0"/>
              <w:jc w:val="center"/>
              <w:rPr>
                <w:rFonts w:ascii="宋体" w:hAnsi="宋体" w:eastAsia="宋体" w:cs="宋体"/>
                <w:color w:val="auto"/>
                <w:kern w:val="2"/>
                <w:sz w:val="24"/>
                <w:szCs w:val="24"/>
                <w:highlight w:val="none"/>
              </w:rPr>
            </w:pPr>
          </w:p>
        </w:tc>
      </w:tr>
      <w:tr w14:paraId="441F52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502" w:type="pct"/>
            <w:vAlign w:val="center"/>
          </w:tcPr>
          <w:p w14:paraId="03650019">
            <w:pPr>
              <w:pStyle w:val="13"/>
              <w:spacing w:line="500" w:lineRule="exact"/>
              <w:ind w:firstLine="0" w:firstLineChars="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w:t>
            </w:r>
          </w:p>
        </w:tc>
        <w:tc>
          <w:tcPr>
            <w:tcW w:w="501" w:type="pct"/>
            <w:tcBorders>
              <w:right w:val="single" w:color="auto" w:sz="4" w:space="0"/>
            </w:tcBorders>
            <w:vAlign w:val="center"/>
          </w:tcPr>
          <w:p w14:paraId="54C17B8C">
            <w:pPr>
              <w:pStyle w:val="13"/>
              <w:spacing w:line="500" w:lineRule="exact"/>
              <w:ind w:firstLine="0" w:firstLineChars="0"/>
              <w:jc w:val="center"/>
              <w:rPr>
                <w:rFonts w:ascii="宋体" w:hAnsi="宋体" w:eastAsia="宋体" w:cs="宋体"/>
                <w:color w:val="auto"/>
                <w:kern w:val="2"/>
                <w:sz w:val="24"/>
                <w:szCs w:val="24"/>
                <w:highlight w:val="none"/>
              </w:rPr>
            </w:pPr>
          </w:p>
        </w:tc>
        <w:tc>
          <w:tcPr>
            <w:tcW w:w="1671" w:type="pct"/>
            <w:tcBorders>
              <w:left w:val="single" w:color="auto" w:sz="4" w:space="0"/>
            </w:tcBorders>
            <w:vAlign w:val="center"/>
          </w:tcPr>
          <w:p w14:paraId="1DAD9A1B">
            <w:pPr>
              <w:pStyle w:val="13"/>
              <w:spacing w:line="500" w:lineRule="exact"/>
              <w:ind w:firstLine="0" w:firstLineChars="0"/>
              <w:jc w:val="center"/>
              <w:rPr>
                <w:rFonts w:ascii="宋体" w:hAnsi="宋体" w:eastAsia="宋体" w:cs="宋体"/>
                <w:color w:val="auto"/>
                <w:kern w:val="2"/>
                <w:sz w:val="24"/>
                <w:szCs w:val="24"/>
                <w:highlight w:val="none"/>
              </w:rPr>
            </w:pPr>
          </w:p>
        </w:tc>
        <w:tc>
          <w:tcPr>
            <w:tcW w:w="1504" w:type="pct"/>
            <w:vAlign w:val="center"/>
          </w:tcPr>
          <w:p w14:paraId="27FDB508">
            <w:pPr>
              <w:pStyle w:val="13"/>
              <w:spacing w:line="500" w:lineRule="exact"/>
              <w:ind w:firstLine="0" w:firstLineChars="0"/>
              <w:jc w:val="center"/>
              <w:rPr>
                <w:rFonts w:ascii="宋体" w:hAnsi="宋体" w:eastAsia="宋体" w:cs="宋体"/>
                <w:color w:val="auto"/>
                <w:kern w:val="2"/>
                <w:sz w:val="24"/>
                <w:szCs w:val="24"/>
                <w:highlight w:val="none"/>
              </w:rPr>
            </w:pPr>
          </w:p>
        </w:tc>
        <w:tc>
          <w:tcPr>
            <w:tcW w:w="820" w:type="pct"/>
            <w:tcBorders>
              <w:right w:val="single" w:color="auto" w:sz="4" w:space="0"/>
            </w:tcBorders>
            <w:vAlign w:val="center"/>
          </w:tcPr>
          <w:p w14:paraId="4B16C8BA">
            <w:pPr>
              <w:pStyle w:val="13"/>
              <w:spacing w:line="500" w:lineRule="exact"/>
              <w:ind w:firstLine="0" w:firstLineChars="0"/>
              <w:jc w:val="center"/>
              <w:rPr>
                <w:rFonts w:ascii="宋体" w:hAnsi="宋体" w:eastAsia="宋体" w:cs="宋体"/>
                <w:color w:val="auto"/>
                <w:kern w:val="2"/>
                <w:sz w:val="24"/>
                <w:szCs w:val="24"/>
                <w:highlight w:val="none"/>
              </w:rPr>
            </w:pPr>
          </w:p>
        </w:tc>
      </w:tr>
    </w:tbl>
    <w:p w14:paraId="00B5642B">
      <w:pPr>
        <w:pStyle w:val="13"/>
        <w:spacing w:line="360" w:lineRule="auto"/>
        <w:ind w:firstLine="0" w:firstLineChars="0"/>
        <w:contextualSpacing/>
        <w:rPr>
          <w:rFonts w:ascii="楷体" w:hAnsi="楷体" w:eastAsia="楷体" w:cs="宋体"/>
          <w:b/>
          <w:color w:val="auto"/>
          <w:sz w:val="24"/>
          <w:szCs w:val="24"/>
          <w:highlight w:val="none"/>
        </w:rPr>
      </w:pPr>
      <w:r>
        <w:rPr>
          <w:rFonts w:hint="eastAsia" w:ascii="楷体" w:hAnsi="楷体" w:eastAsia="楷体" w:cs="宋体"/>
          <w:b/>
          <w:color w:val="auto"/>
          <w:sz w:val="24"/>
          <w:szCs w:val="24"/>
          <w:highlight w:val="none"/>
        </w:rPr>
        <w:t>注：</w:t>
      </w:r>
    </w:p>
    <w:p w14:paraId="49D07ABF">
      <w:pPr>
        <w:pStyle w:val="13"/>
        <w:spacing w:line="360" w:lineRule="auto"/>
        <w:ind w:firstLine="480" w:firstLineChars="200"/>
        <w:contextualSpacing/>
        <w:rPr>
          <w:rFonts w:ascii="楷体" w:hAnsi="楷体" w:eastAsia="楷体" w:cs="宋体"/>
          <w:color w:val="auto"/>
          <w:sz w:val="24"/>
          <w:szCs w:val="24"/>
          <w:highlight w:val="none"/>
        </w:rPr>
      </w:pPr>
      <w:r>
        <w:rPr>
          <w:rFonts w:ascii="楷体" w:hAnsi="楷体" w:eastAsia="楷体" w:cs="宋体"/>
          <w:color w:val="auto"/>
          <w:sz w:val="24"/>
          <w:szCs w:val="24"/>
          <w:highlight w:val="none"/>
        </w:rPr>
        <w:t>1.</w:t>
      </w:r>
      <w:r>
        <w:rPr>
          <w:rFonts w:hint="eastAsia" w:ascii="楷体" w:hAnsi="楷体" w:eastAsia="楷体" w:cs="宋体"/>
          <w:color w:val="auto"/>
          <w:sz w:val="24"/>
          <w:szCs w:val="24"/>
          <w:highlight w:val="none"/>
        </w:rPr>
        <w:t>说明：应对照谈判文件“第三章</w:t>
      </w:r>
      <w:r>
        <w:rPr>
          <w:rFonts w:ascii="楷体" w:hAnsi="楷体" w:eastAsia="楷体" w:cs="宋体"/>
          <w:color w:val="auto"/>
          <w:sz w:val="24"/>
          <w:szCs w:val="24"/>
          <w:highlight w:val="none"/>
        </w:rPr>
        <w:t xml:space="preserve"> </w:t>
      </w:r>
      <w:r>
        <w:rPr>
          <w:rFonts w:hint="eastAsia" w:ascii="楷体" w:hAnsi="楷体" w:eastAsia="楷体" w:cs="宋体"/>
          <w:color w:val="auto"/>
          <w:sz w:val="24"/>
          <w:szCs w:val="24"/>
          <w:highlight w:val="none"/>
        </w:rPr>
        <w:t>采购需求”中的技术要求逐条实质性响应，并作出偏离说明。</w:t>
      </w:r>
    </w:p>
    <w:p w14:paraId="5E01C2E9">
      <w:pPr>
        <w:pStyle w:val="13"/>
        <w:spacing w:line="360" w:lineRule="auto"/>
        <w:ind w:firstLine="480" w:firstLineChars="200"/>
        <w:contextualSpacing/>
        <w:rPr>
          <w:rFonts w:ascii="楷体" w:hAnsi="楷体" w:eastAsia="楷体" w:cs="宋体"/>
          <w:color w:val="auto"/>
          <w:sz w:val="24"/>
          <w:szCs w:val="24"/>
          <w:highlight w:val="none"/>
        </w:rPr>
      </w:pPr>
      <w:r>
        <w:rPr>
          <w:rFonts w:ascii="楷体" w:hAnsi="楷体" w:eastAsia="楷体" w:cs="宋体"/>
          <w:color w:val="auto"/>
          <w:sz w:val="24"/>
          <w:szCs w:val="24"/>
          <w:highlight w:val="none"/>
        </w:rPr>
        <w:t>2.供应商应根据</w:t>
      </w:r>
      <w:r>
        <w:rPr>
          <w:rFonts w:hint="eastAsia" w:ascii="楷体" w:hAnsi="楷体" w:eastAsia="楷体" w:cs="宋体"/>
          <w:color w:val="auto"/>
          <w:sz w:val="24"/>
          <w:szCs w:val="24"/>
          <w:highlight w:val="none"/>
        </w:rPr>
        <w:t>其参与</w:t>
      </w:r>
      <w:r>
        <w:rPr>
          <w:rFonts w:hint="eastAsia" w:ascii="楷体" w:hAnsi="楷体" w:eastAsia="楷体" w:cs="宋体"/>
          <w:color w:val="auto"/>
          <w:sz w:val="24"/>
          <w:highlight w:val="none"/>
          <w:lang w:bidi="ar"/>
        </w:rPr>
        <w:t>竞争性谈判</w:t>
      </w:r>
      <w:r>
        <w:rPr>
          <w:rFonts w:hint="eastAsia" w:ascii="楷体" w:hAnsi="楷体" w:eastAsia="楷体" w:cs="宋体"/>
          <w:color w:val="auto"/>
          <w:sz w:val="24"/>
          <w:szCs w:val="24"/>
          <w:highlight w:val="none"/>
        </w:rPr>
        <w:t>设备的性能指标，对照谈判文件要求，在“偏离说明”中注明“正偏离”、“负偏离”或者“无偏离”。既不属于“正偏离”也不属于“负偏离”即为“无偏离”。</w:t>
      </w:r>
    </w:p>
    <w:p w14:paraId="049F3B91">
      <w:pPr>
        <w:pStyle w:val="13"/>
        <w:spacing w:line="360" w:lineRule="auto"/>
        <w:ind w:firstLine="480" w:firstLineChars="200"/>
        <w:contextualSpacing/>
        <w:rPr>
          <w:rFonts w:ascii="楷体" w:hAnsi="楷体" w:eastAsia="楷体" w:cs="宋体"/>
          <w:color w:val="auto"/>
          <w:sz w:val="24"/>
          <w:szCs w:val="24"/>
          <w:highlight w:val="none"/>
        </w:rPr>
      </w:pPr>
      <w:r>
        <w:rPr>
          <w:rFonts w:ascii="楷体" w:hAnsi="楷体" w:eastAsia="楷体" w:cs="宋体"/>
          <w:color w:val="auto"/>
          <w:sz w:val="24"/>
          <w:szCs w:val="24"/>
          <w:highlight w:val="none"/>
        </w:rPr>
        <w:t>3.供应商认为其</w:t>
      </w:r>
      <w:r>
        <w:rPr>
          <w:rFonts w:hint="eastAsia" w:ascii="楷体" w:hAnsi="楷体" w:eastAsia="楷体" w:cs="宋体"/>
          <w:color w:val="auto"/>
          <w:sz w:val="24"/>
          <w:highlight w:val="none"/>
          <w:lang w:bidi="ar"/>
        </w:rPr>
        <w:t>竞争性谈判</w:t>
      </w:r>
      <w:r>
        <w:rPr>
          <w:rFonts w:hint="eastAsia" w:ascii="楷体" w:hAnsi="楷体" w:eastAsia="楷体" w:cs="宋体"/>
          <w:color w:val="auto"/>
          <w:sz w:val="24"/>
          <w:szCs w:val="24"/>
          <w:highlight w:val="none"/>
        </w:rPr>
        <w:t>响应有正偏离的，请在技术偏离表中列明，且在响应文件中提供参与</w:t>
      </w:r>
      <w:r>
        <w:rPr>
          <w:rFonts w:hint="eastAsia" w:ascii="楷体" w:hAnsi="楷体" w:eastAsia="楷体" w:cs="宋体"/>
          <w:color w:val="auto"/>
          <w:sz w:val="24"/>
          <w:highlight w:val="none"/>
          <w:lang w:bidi="ar"/>
        </w:rPr>
        <w:t>竞争性谈判</w:t>
      </w:r>
      <w:r>
        <w:rPr>
          <w:rFonts w:hint="eastAsia" w:ascii="楷体" w:hAnsi="楷体" w:eastAsia="楷体" w:cs="宋体"/>
          <w:color w:val="auto"/>
          <w:sz w:val="24"/>
          <w:szCs w:val="24"/>
          <w:highlight w:val="none"/>
        </w:rPr>
        <w:t>产品的彩页或国家认可有资质的第三方检测机构出具的检测报告复印件或产品生产厂家出具的技术参数说明证明作为佐证，以上佐证材料均需加盖</w:t>
      </w:r>
      <w:r>
        <w:rPr>
          <w:rFonts w:hint="eastAsia" w:ascii="楷体" w:hAnsi="楷体" w:eastAsia="楷体" w:cs="宋体"/>
          <w:color w:val="auto"/>
          <w:sz w:val="24"/>
          <w:szCs w:val="24"/>
          <w:highlight w:val="none"/>
          <w:lang w:val="en-US" w:eastAsia="zh-CN"/>
        </w:rPr>
        <w:t>竞标供应商</w:t>
      </w:r>
      <w:r>
        <w:rPr>
          <w:rFonts w:hint="eastAsia" w:ascii="楷体" w:hAnsi="楷体" w:eastAsia="楷体" w:cs="宋体"/>
          <w:color w:val="auto"/>
          <w:sz w:val="24"/>
          <w:szCs w:val="24"/>
          <w:highlight w:val="none"/>
        </w:rPr>
        <w:t>公章。</w:t>
      </w:r>
    </w:p>
    <w:p w14:paraId="6BBCD1C3">
      <w:pPr>
        <w:pStyle w:val="13"/>
        <w:spacing w:line="360" w:lineRule="auto"/>
        <w:ind w:firstLine="480" w:firstLineChars="200"/>
        <w:contextualSpacing/>
        <w:rPr>
          <w:rFonts w:ascii="楷体" w:hAnsi="楷体" w:eastAsia="楷体" w:cs="宋体"/>
          <w:color w:val="auto"/>
          <w:sz w:val="24"/>
          <w:szCs w:val="24"/>
          <w:highlight w:val="none"/>
        </w:rPr>
      </w:pPr>
      <w:r>
        <w:rPr>
          <w:rFonts w:ascii="楷体" w:hAnsi="楷体" w:eastAsia="楷体" w:cs="宋体"/>
          <w:color w:val="auto"/>
          <w:sz w:val="24"/>
          <w:szCs w:val="24"/>
          <w:highlight w:val="none"/>
        </w:rPr>
        <w:t>4.</w:t>
      </w:r>
      <w:r>
        <w:rPr>
          <w:rFonts w:hint="eastAsia" w:ascii="楷体" w:hAnsi="楷体" w:eastAsia="楷体" w:cs="宋体"/>
          <w:color w:val="auto"/>
          <w:sz w:val="24"/>
          <w:szCs w:val="24"/>
          <w:highlight w:val="none"/>
        </w:rPr>
        <w:t>如技术偏离表中的</w:t>
      </w:r>
      <w:r>
        <w:rPr>
          <w:rFonts w:hint="eastAsia" w:ascii="楷体" w:hAnsi="楷体" w:eastAsia="楷体" w:cs="宋体"/>
          <w:color w:val="auto"/>
          <w:sz w:val="24"/>
          <w:highlight w:val="none"/>
          <w:lang w:bidi="ar"/>
        </w:rPr>
        <w:t>竞争性谈判</w:t>
      </w:r>
      <w:r>
        <w:rPr>
          <w:rFonts w:hint="eastAsia" w:ascii="楷体" w:hAnsi="楷体" w:eastAsia="楷体" w:cs="宋体"/>
          <w:color w:val="auto"/>
          <w:sz w:val="24"/>
          <w:szCs w:val="24"/>
          <w:highlight w:val="none"/>
        </w:rPr>
        <w:t>响应与佐证材料不一致的，以佐证材料为准。</w:t>
      </w:r>
    </w:p>
    <w:p w14:paraId="45C8067F">
      <w:pPr>
        <w:pStyle w:val="13"/>
        <w:spacing w:line="360" w:lineRule="auto"/>
        <w:ind w:firstLine="0" w:firstLineChars="0"/>
        <w:contextualSpacing/>
        <w:rPr>
          <w:rFonts w:ascii="宋体" w:hAnsi="宋体" w:eastAsia="宋体" w:cs="宋体"/>
          <w:color w:val="auto"/>
          <w:sz w:val="24"/>
          <w:szCs w:val="24"/>
          <w:highlight w:val="none"/>
        </w:rPr>
      </w:pPr>
    </w:p>
    <w:p w14:paraId="25AE1C44">
      <w:pPr>
        <w:spacing w:line="360" w:lineRule="auto"/>
        <w:contextualSpacing/>
        <w:rPr>
          <w:rFonts w:ascii="宋体" w:hAnsi="宋体" w:cs="宋体"/>
          <w:color w:val="auto"/>
          <w:sz w:val="24"/>
          <w:highlight w:val="none"/>
        </w:rPr>
      </w:pPr>
    </w:p>
    <w:p w14:paraId="5FEC803B">
      <w:pPr>
        <w:spacing w:line="360" w:lineRule="auto"/>
        <w:ind w:firstLine="2880" w:firstLineChars="1200"/>
        <w:contextualSpacing/>
        <w:rPr>
          <w:rFonts w:ascii="宋体" w:hAnsi="宋体" w:cs="宋体"/>
          <w:color w:val="auto"/>
          <w:sz w:val="24"/>
          <w:highlight w:val="none"/>
        </w:rPr>
      </w:pPr>
      <w:r>
        <w:rPr>
          <w:rFonts w:hint="eastAsia" w:ascii="宋体" w:hAnsi="宋体" w:cs="宋体"/>
          <w:color w:val="auto"/>
          <w:sz w:val="24"/>
          <w:highlight w:val="none"/>
        </w:rPr>
        <w:t>供应商（公章）：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0F003CBD">
      <w:pPr>
        <w:spacing w:line="360" w:lineRule="auto"/>
        <w:ind w:firstLine="2880" w:firstLineChars="1200"/>
        <w:contextualSpacing/>
        <w:rPr>
          <w:rFonts w:ascii="宋体" w:hAnsi="宋体" w:cs="宋体"/>
          <w:color w:val="auto"/>
          <w:sz w:val="32"/>
          <w:szCs w:val="32"/>
          <w:highlight w:val="none"/>
        </w:rPr>
      </w:pPr>
      <w:r>
        <w:rPr>
          <w:rFonts w:hint="eastAsia" w:ascii="宋体" w:hAnsi="宋体" w:cs="宋体"/>
          <w:color w:val="auto"/>
          <w:sz w:val="24"/>
          <w:highlight w:val="none"/>
        </w:rPr>
        <w:t>日期：</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p>
    <w:p w14:paraId="1726E851">
      <w:pPr>
        <w:spacing w:line="360" w:lineRule="auto"/>
        <w:rPr>
          <w:rFonts w:ascii="宋体" w:hAnsi="宋体" w:cs="宋体"/>
          <w:color w:val="auto"/>
          <w:szCs w:val="21"/>
          <w:highlight w:val="none"/>
        </w:rPr>
      </w:pPr>
      <w:r>
        <w:rPr>
          <w:rFonts w:hint="eastAsia" w:ascii="宋体" w:hAnsi="宋体" w:cs="宋体"/>
          <w:b/>
          <w:bCs/>
          <w:color w:val="auto"/>
          <w:sz w:val="24"/>
          <w:highlight w:val="none"/>
        </w:rPr>
        <w:br w:type="page"/>
      </w:r>
      <w:r>
        <w:rPr>
          <w:rFonts w:hint="eastAsia" w:ascii="宋体" w:hAnsi="宋体" w:cs="宋体"/>
          <w:b/>
          <w:bCs/>
          <w:color w:val="auto"/>
          <w:sz w:val="24"/>
          <w:highlight w:val="none"/>
        </w:rPr>
        <w:t>其他文书、文件格式</w:t>
      </w:r>
    </w:p>
    <w:p w14:paraId="4AAB341B">
      <w:pPr>
        <w:adjustRightInd w:val="0"/>
        <w:snapToGrid w:val="0"/>
        <w:spacing w:line="360" w:lineRule="auto"/>
        <w:jc w:val="center"/>
        <w:rPr>
          <w:rFonts w:ascii="宋体" w:hAnsi="宋体" w:cs="宋体"/>
          <w:b/>
          <w:bCs/>
          <w:color w:val="auto"/>
          <w:sz w:val="44"/>
          <w:szCs w:val="44"/>
          <w:highlight w:val="none"/>
        </w:rPr>
      </w:pPr>
      <w:bookmarkStart w:id="31" w:name="_Toc71365383"/>
      <w:bookmarkStart w:id="32" w:name="_Toc71366061"/>
      <w:r>
        <w:rPr>
          <w:rFonts w:hint="eastAsia" w:ascii="宋体" w:hAnsi="宋体" w:cs="宋体"/>
          <w:b/>
          <w:bCs/>
          <w:color w:val="auto"/>
          <w:sz w:val="44"/>
          <w:szCs w:val="44"/>
          <w:highlight w:val="none"/>
        </w:rPr>
        <w:t>中小企业声明函（货物）</w:t>
      </w:r>
      <w:bookmarkEnd w:id="31"/>
      <w:bookmarkEnd w:id="32"/>
    </w:p>
    <w:p w14:paraId="24FAD0FE">
      <w:pPr>
        <w:spacing w:line="360" w:lineRule="auto"/>
        <w:rPr>
          <w:rFonts w:ascii="宋体" w:hAnsi="宋体" w:cs="宋体"/>
          <w:color w:val="auto"/>
          <w:highlight w:val="none"/>
        </w:rPr>
      </w:pPr>
    </w:p>
    <w:p w14:paraId="45306A4D">
      <w:pPr>
        <w:pStyle w:val="12"/>
        <w:spacing w:after="0" w:line="360" w:lineRule="auto"/>
        <w:ind w:firstLine="640"/>
        <w:contextualSpacing/>
        <w:rPr>
          <w:rFonts w:ascii="宋体" w:hAnsi="宋体" w:cs="宋体"/>
          <w:color w:val="auto"/>
          <w:sz w:val="24"/>
          <w:highlight w:val="none"/>
        </w:rPr>
      </w:pPr>
      <w:r>
        <w:rPr>
          <w:rFonts w:hint="eastAsia" w:ascii="宋体" w:hAnsi="宋体" w:cs="宋体"/>
          <w:color w:val="auto"/>
          <w:sz w:val="24"/>
          <w:highlight w:val="none"/>
        </w:rPr>
        <w:t>本公司（联合体）郑重声明，根据《政府采购促进中小企业发展管理办法》（财库﹝2020﹞46号）的规定，本公司（联合体）参加</w:t>
      </w:r>
      <w:r>
        <w:rPr>
          <w:rFonts w:hint="eastAsia" w:ascii="宋体" w:hAnsi="宋体" w:cs="宋体"/>
          <w:color w:val="auto"/>
          <w:sz w:val="24"/>
          <w:highlight w:val="none"/>
          <w:u w:val="single"/>
        </w:rPr>
        <w:t>（单位名称）</w:t>
      </w:r>
      <w:r>
        <w:rPr>
          <w:rFonts w:hint="eastAsia" w:ascii="宋体" w:hAnsi="宋体" w:cs="宋体"/>
          <w:color w:val="auto"/>
          <w:sz w:val="24"/>
          <w:highlight w:val="none"/>
        </w:rPr>
        <w:t>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采购活动，提供的货物全部由符合政策要求的中小企业制造。相关企业（含联合体中的中小企业、签订分包意向协议的中小企业）的具体情况如下：</w:t>
      </w:r>
    </w:p>
    <w:p w14:paraId="6D6AF77E">
      <w:pPr>
        <w:tabs>
          <w:tab w:val="left" w:pos="1384"/>
          <w:tab w:val="left" w:pos="4562"/>
          <w:tab w:val="left" w:pos="6803"/>
        </w:tabs>
        <w:spacing w:line="360" w:lineRule="auto"/>
        <w:ind w:firstLine="655"/>
        <w:contextualSpacing/>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行业；制造商为</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w:t>
      </w:r>
    </w:p>
    <w:p w14:paraId="3BA58FB7">
      <w:pPr>
        <w:tabs>
          <w:tab w:val="left" w:pos="1065"/>
          <w:tab w:val="left" w:pos="6477"/>
        </w:tabs>
        <w:spacing w:line="360" w:lineRule="auto"/>
        <w:ind w:firstLine="655"/>
        <w:contextualSpacing/>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行业；制造商为</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w:t>
      </w:r>
    </w:p>
    <w:p w14:paraId="59872B88">
      <w:pPr>
        <w:pStyle w:val="12"/>
        <w:spacing w:after="0" w:line="360" w:lineRule="auto"/>
        <w:contextualSpacing/>
        <w:rPr>
          <w:rFonts w:ascii="宋体" w:hAnsi="宋体" w:cs="宋体"/>
          <w:color w:val="auto"/>
          <w:sz w:val="24"/>
          <w:highlight w:val="none"/>
        </w:rPr>
      </w:pPr>
      <w:r>
        <w:rPr>
          <w:rFonts w:hint="eastAsia" w:ascii="宋体" w:hAnsi="宋体" w:cs="宋体"/>
          <w:color w:val="auto"/>
          <w:sz w:val="24"/>
          <w:highlight w:val="none"/>
        </w:rPr>
        <w:t xml:space="preserve">…… </w:t>
      </w:r>
    </w:p>
    <w:p w14:paraId="319DE842">
      <w:pPr>
        <w:pStyle w:val="12"/>
        <w:spacing w:after="0" w:line="360" w:lineRule="auto"/>
        <w:ind w:firstLine="453" w:firstLineChars="189"/>
        <w:contextualSpacing/>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11E3FC61">
      <w:pPr>
        <w:pStyle w:val="12"/>
        <w:spacing w:after="0" w:line="360" w:lineRule="auto"/>
        <w:ind w:firstLine="567"/>
        <w:contextualSpacing/>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7255C4E4">
      <w:pPr>
        <w:pStyle w:val="12"/>
        <w:spacing w:after="0" w:line="360" w:lineRule="auto"/>
        <w:contextualSpacing/>
        <w:rPr>
          <w:rFonts w:ascii="宋体" w:hAnsi="宋体" w:cs="宋体"/>
          <w:color w:val="auto"/>
          <w:sz w:val="24"/>
          <w:highlight w:val="none"/>
        </w:rPr>
      </w:pPr>
    </w:p>
    <w:p w14:paraId="5F6F4CBF">
      <w:pPr>
        <w:pStyle w:val="12"/>
        <w:spacing w:after="0" w:line="360" w:lineRule="auto"/>
        <w:ind w:firstLine="3360" w:firstLineChars="1400"/>
        <w:contextualSpacing/>
        <w:rPr>
          <w:rFonts w:ascii="宋体" w:hAnsi="宋体" w:cs="宋体"/>
          <w:color w:val="auto"/>
          <w:sz w:val="24"/>
          <w:highlight w:val="none"/>
          <w:u w:val="single"/>
        </w:rPr>
      </w:pPr>
      <w:r>
        <w:rPr>
          <w:rFonts w:hint="eastAsia" w:ascii="宋体" w:hAnsi="宋体" w:cs="宋体"/>
          <w:color w:val="auto"/>
          <w:sz w:val="24"/>
          <w:highlight w:val="none"/>
        </w:rPr>
        <w:t xml:space="preserve">企业名称（公章）： </w:t>
      </w:r>
      <w:r>
        <w:rPr>
          <w:rFonts w:ascii="宋体" w:hAnsi="宋体" w:cs="宋体"/>
          <w:color w:val="auto"/>
          <w:sz w:val="24"/>
          <w:highlight w:val="none"/>
          <w:u w:val="single"/>
        </w:rPr>
        <w:t xml:space="preserve">                   </w:t>
      </w:r>
    </w:p>
    <w:p w14:paraId="4BE02735">
      <w:pPr>
        <w:pStyle w:val="12"/>
        <w:spacing w:after="0" w:line="360" w:lineRule="auto"/>
        <w:ind w:firstLine="3360" w:firstLineChars="1400"/>
        <w:contextualSpacing/>
        <w:rPr>
          <w:rFonts w:ascii="宋体" w:hAnsi="宋体" w:cs="宋体"/>
          <w:color w:val="auto"/>
          <w:sz w:val="24"/>
          <w:highlight w:val="none"/>
        </w:rPr>
      </w:pPr>
      <w:r>
        <w:rPr>
          <w:rFonts w:hint="eastAsia" w:ascii="宋体" w:hAnsi="宋体" w:cs="宋体"/>
          <w:color w:val="auto"/>
          <w:sz w:val="24"/>
          <w:highlight w:val="none"/>
        </w:rPr>
        <w:t>日 期：</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p>
    <w:p w14:paraId="714D04B4">
      <w:pPr>
        <w:pStyle w:val="12"/>
        <w:spacing w:after="0" w:line="360" w:lineRule="auto"/>
        <w:contextualSpacing/>
        <w:rPr>
          <w:rFonts w:ascii="宋体" w:hAnsi="宋体" w:cs="宋体"/>
          <w:color w:val="auto"/>
          <w:highlight w:val="none"/>
        </w:rPr>
      </w:pPr>
    </w:p>
    <w:p w14:paraId="3D3C4C23">
      <w:pPr>
        <w:spacing w:line="360" w:lineRule="auto"/>
        <w:contextualSpacing/>
        <w:jc w:val="left"/>
        <w:rPr>
          <w:rFonts w:ascii="楷体" w:hAnsi="楷体" w:eastAsia="楷体" w:cs="宋体"/>
          <w:b/>
          <w:color w:val="auto"/>
          <w:sz w:val="24"/>
          <w:highlight w:val="none"/>
        </w:rPr>
      </w:pPr>
      <w:r>
        <w:rPr>
          <w:rFonts w:hint="eastAsia" w:ascii="楷体" w:hAnsi="楷体" w:eastAsia="楷体" w:cs="宋体"/>
          <w:b/>
          <w:color w:val="auto"/>
          <w:sz w:val="24"/>
          <w:highlight w:val="none"/>
        </w:rPr>
        <w:t>注：</w:t>
      </w:r>
    </w:p>
    <w:p w14:paraId="32BA4F2C">
      <w:pPr>
        <w:spacing w:line="360" w:lineRule="auto"/>
        <w:ind w:firstLine="480" w:firstLineChars="200"/>
        <w:contextualSpacing/>
        <w:jc w:val="left"/>
        <w:rPr>
          <w:rFonts w:ascii="楷体" w:hAnsi="楷体" w:eastAsia="楷体" w:cs="宋体"/>
          <w:color w:val="auto"/>
          <w:sz w:val="24"/>
          <w:highlight w:val="none"/>
        </w:rPr>
      </w:pPr>
      <w:r>
        <w:rPr>
          <w:rFonts w:hint="eastAsia" w:ascii="楷体" w:hAnsi="楷体" w:eastAsia="楷体" w:cs="宋体"/>
          <w:color w:val="auto"/>
          <w:sz w:val="24"/>
          <w:highlight w:val="none"/>
        </w:rPr>
        <w:t>享受《政府采购促进中小企业发展管理办法》（财库〔</w:t>
      </w:r>
      <w:r>
        <w:rPr>
          <w:rFonts w:ascii="楷体" w:hAnsi="楷体" w:eastAsia="楷体" w:cs="宋体"/>
          <w:color w:val="auto"/>
          <w:sz w:val="24"/>
          <w:highlight w:val="none"/>
        </w:rPr>
        <w:t>2020〕46号）规定的中小企业扶持政策的，采购人、采购代理机构应当随成交结果公开成交供应商的《中小企业声明函》。从业人员、营业收入、资产总额填报上一年度数据，无上一年度数据的新成立企业可不填报。</w:t>
      </w:r>
    </w:p>
    <w:p w14:paraId="307C2679">
      <w:pPr>
        <w:spacing w:line="360" w:lineRule="auto"/>
        <w:contextualSpacing/>
        <w:jc w:val="center"/>
        <w:rPr>
          <w:rFonts w:ascii="宋体" w:hAnsi="宋体" w:cs="宋体"/>
          <w:color w:val="auto"/>
          <w:sz w:val="24"/>
          <w:highlight w:val="none"/>
        </w:rPr>
      </w:pPr>
    </w:p>
    <w:p w14:paraId="25DCC17B">
      <w:pPr>
        <w:spacing w:line="360" w:lineRule="auto"/>
        <w:contextualSpacing/>
        <w:jc w:val="center"/>
        <w:rPr>
          <w:rFonts w:ascii="宋体" w:hAnsi="宋体" w:cs="宋体"/>
          <w:color w:val="auto"/>
          <w:sz w:val="24"/>
          <w:highlight w:val="none"/>
        </w:rPr>
      </w:pPr>
    </w:p>
    <w:p w14:paraId="20F75723">
      <w:pPr>
        <w:spacing w:line="360" w:lineRule="auto"/>
        <w:ind w:firstLine="800" w:firstLineChars="250"/>
        <w:jc w:val="center"/>
        <w:rPr>
          <w:rFonts w:ascii="宋体" w:hAnsi="宋体" w:cs="宋体"/>
          <w:b/>
          <w:color w:val="auto"/>
          <w:sz w:val="32"/>
          <w:szCs w:val="32"/>
          <w:highlight w:val="none"/>
        </w:rPr>
      </w:pPr>
      <w:r>
        <w:rPr>
          <w:rFonts w:hint="eastAsia" w:hAnsi="宋体" w:cs="宋体"/>
          <w:color w:val="auto"/>
          <w:sz w:val="32"/>
          <w:szCs w:val="32"/>
          <w:highlight w:val="none"/>
        </w:rPr>
        <w:br w:type="page"/>
      </w:r>
      <w:r>
        <w:rPr>
          <w:rFonts w:hint="eastAsia" w:ascii="宋体" w:hAnsi="宋体" w:cs="宋体"/>
          <w:b/>
          <w:color w:val="auto"/>
          <w:sz w:val="44"/>
          <w:szCs w:val="44"/>
          <w:highlight w:val="none"/>
        </w:rPr>
        <w:t>残疾人福利性单位声明函</w:t>
      </w:r>
    </w:p>
    <w:p w14:paraId="4BD6B02F">
      <w:pPr>
        <w:spacing w:line="360" w:lineRule="auto"/>
        <w:rPr>
          <w:rFonts w:ascii="宋体" w:hAnsi="宋体" w:cs="宋体"/>
          <w:color w:val="auto"/>
          <w:sz w:val="32"/>
          <w:szCs w:val="32"/>
          <w:highlight w:val="none"/>
        </w:rPr>
      </w:pPr>
    </w:p>
    <w:p w14:paraId="0631C61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3E88C04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1F459440">
      <w:pPr>
        <w:spacing w:line="360" w:lineRule="auto"/>
        <w:contextualSpacing/>
        <w:rPr>
          <w:rFonts w:ascii="宋体" w:hAnsi="宋体" w:cs="宋体"/>
          <w:color w:val="auto"/>
          <w:sz w:val="24"/>
          <w:highlight w:val="none"/>
        </w:rPr>
      </w:pPr>
    </w:p>
    <w:p w14:paraId="4B552C06">
      <w:pPr>
        <w:spacing w:line="360" w:lineRule="auto"/>
        <w:contextualSpacing/>
        <w:rPr>
          <w:rFonts w:ascii="宋体" w:hAnsi="宋体" w:cs="宋体"/>
          <w:color w:val="auto"/>
          <w:sz w:val="24"/>
          <w:highlight w:val="none"/>
        </w:rPr>
      </w:pPr>
    </w:p>
    <w:p w14:paraId="1D86B4AE">
      <w:pPr>
        <w:spacing w:line="360" w:lineRule="auto"/>
        <w:contextualSpacing/>
        <w:rPr>
          <w:rFonts w:ascii="宋体" w:hAnsi="宋体" w:cs="宋体"/>
          <w:color w:val="auto"/>
          <w:sz w:val="24"/>
          <w:highlight w:val="none"/>
        </w:rPr>
      </w:pPr>
    </w:p>
    <w:p w14:paraId="53CE2A29">
      <w:pPr>
        <w:spacing w:line="360" w:lineRule="auto"/>
        <w:ind w:firstLine="3600" w:firstLineChars="1500"/>
        <w:contextualSpacing/>
        <w:rPr>
          <w:rFonts w:ascii="宋体" w:hAnsi="宋体" w:cs="宋体"/>
          <w:color w:val="auto"/>
          <w:sz w:val="24"/>
          <w:highlight w:val="none"/>
          <w:u w:val="single"/>
        </w:rPr>
      </w:pPr>
      <w:r>
        <w:rPr>
          <w:rFonts w:hint="eastAsia" w:ascii="宋体" w:hAnsi="宋体" w:cs="宋体"/>
          <w:color w:val="auto"/>
          <w:sz w:val="24"/>
          <w:highlight w:val="none"/>
        </w:rPr>
        <w:t>单位名称（公章）：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27345484">
      <w:pPr>
        <w:spacing w:line="360" w:lineRule="auto"/>
        <w:ind w:firstLine="3600" w:firstLineChars="1500"/>
        <w:contextualSpacing/>
        <w:rPr>
          <w:rFonts w:ascii="宋体" w:hAnsi="宋体" w:cs="宋体"/>
          <w:color w:val="auto"/>
          <w:sz w:val="24"/>
          <w:highlight w:val="none"/>
        </w:rPr>
      </w:pPr>
      <w:r>
        <w:rPr>
          <w:rFonts w:hint="eastAsia" w:ascii="宋体" w:hAnsi="宋体" w:cs="宋体"/>
          <w:color w:val="auto"/>
          <w:sz w:val="24"/>
          <w:highlight w:val="none"/>
        </w:rPr>
        <w:t>日  期：</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p>
    <w:p w14:paraId="1D9B1BD4">
      <w:pPr>
        <w:spacing w:line="360" w:lineRule="auto"/>
        <w:contextualSpacing/>
        <w:rPr>
          <w:rFonts w:ascii="宋体" w:hAnsi="宋体" w:cs="宋体"/>
          <w:color w:val="auto"/>
          <w:sz w:val="24"/>
          <w:highlight w:val="none"/>
        </w:rPr>
      </w:pPr>
    </w:p>
    <w:p w14:paraId="62875F9E">
      <w:pPr>
        <w:spacing w:line="360" w:lineRule="auto"/>
        <w:contextualSpacing/>
        <w:rPr>
          <w:rFonts w:ascii="宋体" w:hAnsi="宋体" w:cs="宋体"/>
          <w:color w:val="auto"/>
          <w:sz w:val="24"/>
          <w:highlight w:val="none"/>
        </w:rPr>
      </w:pPr>
    </w:p>
    <w:p w14:paraId="7E6C14CD">
      <w:pPr>
        <w:spacing w:line="360" w:lineRule="auto"/>
        <w:contextualSpacing/>
        <w:rPr>
          <w:rFonts w:ascii="宋体" w:hAnsi="宋体" w:cs="宋体"/>
          <w:color w:val="auto"/>
          <w:sz w:val="24"/>
          <w:highlight w:val="none"/>
        </w:rPr>
      </w:pPr>
    </w:p>
    <w:p w14:paraId="30799301">
      <w:pPr>
        <w:spacing w:line="360" w:lineRule="auto"/>
        <w:contextualSpacing/>
        <w:rPr>
          <w:rFonts w:ascii="楷体" w:hAnsi="楷体" w:eastAsia="楷体" w:cs="宋体"/>
          <w:b/>
          <w:color w:val="auto"/>
          <w:sz w:val="24"/>
          <w:highlight w:val="none"/>
        </w:rPr>
      </w:pPr>
      <w:r>
        <w:rPr>
          <w:rFonts w:hint="eastAsia" w:ascii="楷体" w:hAnsi="楷体" w:eastAsia="楷体" w:cs="宋体"/>
          <w:b/>
          <w:color w:val="auto"/>
          <w:sz w:val="24"/>
          <w:highlight w:val="none"/>
        </w:rPr>
        <w:t>注：</w:t>
      </w:r>
    </w:p>
    <w:p w14:paraId="1366E59A">
      <w:pPr>
        <w:spacing w:line="360" w:lineRule="auto"/>
        <w:ind w:firstLine="480" w:firstLineChars="200"/>
        <w:contextualSpacing/>
        <w:rPr>
          <w:rFonts w:ascii="楷体" w:hAnsi="楷体" w:eastAsia="楷体" w:cs="宋体"/>
          <w:color w:val="auto"/>
          <w:sz w:val="24"/>
          <w:highlight w:val="none"/>
        </w:rPr>
      </w:pPr>
      <w:r>
        <w:rPr>
          <w:rFonts w:hint="eastAsia" w:ascii="楷体" w:hAnsi="楷体" w:eastAsia="楷体" w:cs="宋体"/>
          <w:color w:val="auto"/>
          <w:sz w:val="24"/>
          <w:highlight w:val="none"/>
        </w:rPr>
        <w:t>请根据自己的真实情况出具《残疾人福利性单位声明函》。依法享受中小企业优惠政策的，采购人或者采购代理机构在公告中标结果时，同时公告其《残疾人福利性单位声明函》，接受社会监督。</w:t>
      </w:r>
    </w:p>
    <w:p w14:paraId="6D82F26D">
      <w:pPr>
        <w:spacing w:line="360" w:lineRule="auto"/>
        <w:jc w:val="center"/>
        <w:rPr>
          <w:rFonts w:ascii="宋体" w:hAnsi="宋体" w:cs="宋体"/>
          <w:b/>
          <w:bCs/>
          <w:color w:val="auto"/>
          <w:sz w:val="32"/>
          <w:szCs w:val="32"/>
          <w:highlight w:val="none"/>
        </w:rPr>
      </w:pPr>
      <w:r>
        <w:rPr>
          <w:rFonts w:hint="eastAsia" w:ascii="宋体" w:hAnsi="宋体" w:cs="宋体"/>
          <w:color w:val="auto"/>
          <w:sz w:val="24"/>
          <w:highlight w:val="none"/>
        </w:rPr>
        <w:br w:type="page"/>
      </w:r>
      <w:r>
        <w:rPr>
          <w:rFonts w:hint="eastAsia" w:ascii="宋体" w:hAnsi="宋体" w:cs="宋体"/>
          <w:b/>
          <w:color w:val="auto"/>
          <w:sz w:val="44"/>
          <w:szCs w:val="44"/>
          <w:highlight w:val="none"/>
        </w:rPr>
        <w:t>质疑函</w:t>
      </w:r>
      <w:r>
        <w:rPr>
          <w:rFonts w:hint="eastAsia" w:ascii="宋体" w:hAnsi="宋体" w:cs="宋体"/>
          <w:color w:val="auto"/>
          <w:sz w:val="28"/>
          <w:szCs w:val="28"/>
          <w:highlight w:val="none"/>
        </w:rPr>
        <w:t>（格式）</w:t>
      </w:r>
    </w:p>
    <w:p w14:paraId="539B2340">
      <w:pPr>
        <w:spacing w:line="360" w:lineRule="auto"/>
        <w:jc w:val="center"/>
        <w:rPr>
          <w:rFonts w:ascii="宋体" w:hAnsi="宋体" w:cs="宋体"/>
          <w:b/>
          <w:bCs/>
          <w:color w:val="auto"/>
          <w:sz w:val="32"/>
          <w:szCs w:val="32"/>
          <w:highlight w:val="none"/>
        </w:rPr>
      </w:pPr>
    </w:p>
    <w:p w14:paraId="01A43E92">
      <w:pPr>
        <w:pStyle w:val="16"/>
        <w:spacing w:line="360" w:lineRule="auto"/>
        <w:ind w:firstLine="482" w:firstLineChars="200"/>
        <w:contextualSpacing/>
        <w:rPr>
          <w:rFonts w:hAnsi="宋体" w:cs="宋体"/>
          <w:b/>
          <w:bCs/>
          <w:color w:val="auto"/>
          <w:sz w:val="24"/>
          <w:szCs w:val="24"/>
          <w:highlight w:val="none"/>
        </w:rPr>
      </w:pPr>
      <w:r>
        <w:rPr>
          <w:rFonts w:hint="eastAsia" w:hAnsi="宋体" w:cs="宋体"/>
          <w:b/>
          <w:bCs/>
          <w:color w:val="auto"/>
          <w:sz w:val="24"/>
          <w:szCs w:val="24"/>
          <w:highlight w:val="none"/>
        </w:rPr>
        <w:t>一、质疑供应商基本信息：</w:t>
      </w:r>
    </w:p>
    <w:p w14:paraId="1501253C">
      <w:pPr>
        <w:pStyle w:val="16"/>
        <w:spacing w:line="360" w:lineRule="auto"/>
        <w:ind w:firstLine="480" w:firstLineChars="200"/>
        <w:contextualSpacing/>
        <w:rPr>
          <w:rFonts w:hAnsi="宋体" w:cs="宋体"/>
          <w:bCs/>
          <w:color w:val="auto"/>
          <w:sz w:val="24"/>
          <w:szCs w:val="24"/>
          <w:highlight w:val="none"/>
          <w:u w:val="single"/>
        </w:rPr>
      </w:pPr>
      <w:r>
        <w:rPr>
          <w:rFonts w:hint="eastAsia" w:hAnsi="宋体" w:cs="宋体"/>
          <w:bCs/>
          <w:color w:val="auto"/>
          <w:sz w:val="24"/>
          <w:szCs w:val="24"/>
          <w:highlight w:val="none"/>
        </w:rPr>
        <w:t>质疑供应商：</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67FE1921">
      <w:pPr>
        <w:pStyle w:val="16"/>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1A170462">
      <w:pPr>
        <w:pStyle w:val="16"/>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000FE94A">
      <w:pPr>
        <w:pStyle w:val="16"/>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授权代表：</w:t>
      </w:r>
      <w:r>
        <w:rPr>
          <w:rFonts w:hint="eastAsia" w:hAnsi="宋体" w:cs="宋体"/>
          <w:bCs/>
          <w:color w:val="auto"/>
          <w:sz w:val="24"/>
          <w:szCs w:val="24"/>
          <w:highlight w:val="none"/>
          <w:u w:val="single"/>
        </w:rPr>
        <w:t xml:space="preserve">                      </w:t>
      </w:r>
    </w:p>
    <w:p w14:paraId="7D756C82">
      <w:pPr>
        <w:pStyle w:val="16"/>
        <w:spacing w:line="360" w:lineRule="auto"/>
        <w:ind w:firstLine="480" w:firstLineChars="200"/>
        <w:contextualSpacing/>
        <w:rPr>
          <w:rFonts w:hAnsi="宋体" w:cs="宋体"/>
          <w:bCs/>
          <w:color w:val="auto"/>
          <w:sz w:val="24"/>
          <w:szCs w:val="24"/>
          <w:highlight w:val="none"/>
          <w:u w:val="single"/>
        </w:rPr>
      </w:pP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1CD0B303">
      <w:pPr>
        <w:pStyle w:val="16"/>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0D703E0E">
      <w:pPr>
        <w:pStyle w:val="16"/>
        <w:spacing w:line="360" w:lineRule="auto"/>
        <w:ind w:firstLine="482" w:firstLineChars="200"/>
        <w:contextualSpacing/>
        <w:rPr>
          <w:rFonts w:hAnsi="宋体" w:cs="宋体"/>
          <w:b/>
          <w:bCs/>
          <w:color w:val="auto"/>
          <w:sz w:val="24"/>
          <w:szCs w:val="24"/>
          <w:highlight w:val="none"/>
        </w:rPr>
      </w:pPr>
      <w:r>
        <w:rPr>
          <w:rFonts w:hint="eastAsia" w:hAnsi="宋体" w:cs="宋体"/>
          <w:b/>
          <w:bCs/>
          <w:color w:val="auto"/>
          <w:sz w:val="24"/>
          <w:szCs w:val="24"/>
          <w:highlight w:val="none"/>
        </w:rPr>
        <w:t>二、质疑项目基本情况：</w:t>
      </w:r>
    </w:p>
    <w:p w14:paraId="260948E6">
      <w:pPr>
        <w:pStyle w:val="16"/>
        <w:spacing w:line="360" w:lineRule="auto"/>
        <w:ind w:firstLine="472" w:firstLineChars="197"/>
        <w:contextualSpacing/>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项目的名称：</w:t>
      </w:r>
      <w:r>
        <w:rPr>
          <w:rFonts w:hint="eastAsia" w:hAnsi="宋体" w:cs="宋体"/>
          <w:bCs/>
          <w:color w:val="auto"/>
          <w:sz w:val="24"/>
          <w:szCs w:val="24"/>
          <w:highlight w:val="none"/>
          <w:u w:val="single"/>
        </w:rPr>
        <w:t xml:space="preserve">                                     </w:t>
      </w:r>
    </w:p>
    <w:p w14:paraId="4D3E60AB">
      <w:pPr>
        <w:pStyle w:val="16"/>
        <w:spacing w:line="360" w:lineRule="auto"/>
        <w:ind w:firstLine="472" w:firstLineChars="197"/>
        <w:contextualSpacing/>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项目的编号：</w:t>
      </w:r>
      <w:r>
        <w:rPr>
          <w:rFonts w:hint="eastAsia" w:hAnsi="宋体" w:cs="宋体"/>
          <w:bCs/>
          <w:color w:val="auto"/>
          <w:sz w:val="24"/>
          <w:szCs w:val="24"/>
          <w:highlight w:val="none"/>
          <w:u w:val="single"/>
        </w:rPr>
        <w:t xml:space="preserve">                                     </w:t>
      </w:r>
    </w:p>
    <w:p w14:paraId="6D0F540A">
      <w:pPr>
        <w:pStyle w:val="16"/>
        <w:spacing w:line="360" w:lineRule="auto"/>
        <w:ind w:firstLine="472" w:firstLineChars="197"/>
        <w:contextualSpacing/>
        <w:rPr>
          <w:rFonts w:hAnsi="宋体" w:cs="宋体"/>
          <w:color w:val="auto"/>
          <w:sz w:val="24"/>
          <w:szCs w:val="24"/>
          <w:highlight w:val="none"/>
        </w:rPr>
      </w:pPr>
      <w:r>
        <w:rPr>
          <w:rFonts w:hint="eastAsia" w:hAnsi="宋体" w:cs="宋体"/>
          <w:color w:val="auto"/>
          <w:sz w:val="24"/>
          <w:szCs w:val="24"/>
          <w:highlight w:val="none"/>
        </w:rPr>
        <w:t>采购人名称：</w:t>
      </w:r>
      <w:r>
        <w:rPr>
          <w:rFonts w:hint="eastAsia" w:hAnsi="宋体" w:cs="宋体"/>
          <w:bCs/>
          <w:color w:val="auto"/>
          <w:sz w:val="24"/>
          <w:szCs w:val="24"/>
          <w:highlight w:val="none"/>
          <w:u w:val="single"/>
        </w:rPr>
        <w:t xml:space="preserve">                                         </w:t>
      </w:r>
    </w:p>
    <w:p w14:paraId="0017EE43">
      <w:pPr>
        <w:pStyle w:val="16"/>
        <w:spacing w:line="360" w:lineRule="auto"/>
        <w:ind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质疑事项：</w:t>
      </w:r>
    </w:p>
    <w:p w14:paraId="311C1FBC">
      <w:pPr>
        <w:pStyle w:val="16"/>
        <w:spacing w:line="360" w:lineRule="auto"/>
        <w:ind w:firstLine="352" w:firstLineChars="147"/>
        <w:contextualSpacing/>
        <w:rPr>
          <w:rFonts w:hAnsi="宋体" w:cs="宋体"/>
          <w:color w:val="auto"/>
          <w:sz w:val="24"/>
          <w:szCs w:val="24"/>
          <w:highlight w:val="none"/>
        </w:rPr>
      </w:pPr>
      <w:r>
        <w:rPr>
          <w:rFonts w:hint="eastAsia" w:hAnsi="宋体" w:cs="宋体"/>
          <w:color w:val="auto"/>
          <w:sz w:val="24"/>
          <w:szCs w:val="24"/>
          <w:highlight w:val="none"/>
        </w:rPr>
        <w:t>□采购文件   采购文件获取日期：</w:t>
      </w:r>
      <w:r>
        <w:rPr>
          <w:rFonts w:hint="eastAsia" w:hAnsi="宋体" w:cs="宋体"/>
          <w:bCs/>
          <w:color w:val="auto"/>
          <w:sz w:val="24"/>
          <w:szCs w:val="24"/>
          <w:highlight w:val="none"/>
          <w:u w:val="single"/>
        </w:rPr>
        <w:t xml:space="preserve">                                   </w:t>
      </w:r>
    </w:p>
    <w:p w14:paraId="1EFA4D43">
      <w:pPr>
        <w:pStyle w:val="16"/>
        <w:spacing w:line="360" w:lineRule="auto"/>
        <w:ind w:firstLine="352" w:firstLineChars="147"/>
        <w:contextualSpacing/>
        <w:rPr>
          <w:rFonts w:hAnsi="宋体" w:cs="宋体"/>
          <w:color w:val="auto"/>
          <w:sz w:val="24"/>
          <w:szCs w:val="24"/>
          <w:highlight w:val="none"/>
        </w:rPr>
      </w:pPr>
      <w:r>
        <w:rPr>
          <w:rFonts w:hint="eastAsia" w:hAnsi="宋体" w:cs="宋体"/>
          <w:color w:val="auto"/>
          <w:sz w:val="24"/>
          <w:szCs w:val="24"/>
          <w:highlight w:val="none"/>
        </w:rPr>
        <w:t xml:space="preserve">□采购过程   </w:t>
      </w:r>
    </w:p>
    <w:p w14:paraId="0372BBEA">
      <w:pPr>
        <w:pStyle w:val="16"/>
        <w:spacing w:line="360" w:lineRule="auto"/>
        <w:ind w:firstLine="352" w:firstLineChars="147"/>
        <w:contextualSpacing/>
        <w:rPr>
          <w:rFonts w:hAnsi="宋体" w:cs="宋体"/>
          <w:bCs/>
          <w:color w:val="auto"/>
          <w:sz w:val="24"/>
          <w:szCs w:val="24"/>
          <w:highlight w:val="none"/>
          <w:u w:val="single"/>
        </w:rPr>
      </w:pPr>
      <w:r>
        <w:rPr>
          <w:rFonts w:hint="eastAsia" w:hAnsi="宋体" w:cs="宋体"/>
          <w:color w:val="auto"/>
          <w:sz w:val="24"/>
          <w:szCs w:val="24"/>
          <w:highlight w:val="none"/>
        </w:rPr>
        <w:t xml:space="preserve">□成交结果   </w:t>
      </w:r>
    </w:p>
    <w:p w14:paraId="639FB8CD">
      <w:pPr>
        <w:pStyle w:val="16"/>
        <w:spacing w:line="360" w:lineRule="auto"/>
        <w:ind w:firstLine="472" w:firstLineChars="196"/>
        <w:contextualSpacing/>
        <w:rPr>
          <w:rFonts w:hAnsi="宋体" w:cs="宋体"/>
          <w:b/>
          <w:color w:val="auto"/>
          <w:sz w:val="24"/>
          <w:szCs w:val="24"/>
          <w:highlight w:val="none"/>
        </w:rPr>
      </w:pPr>
      <w:r>
        <w:rPr>
          <w:rFonts w:hint="eastAsia" w:hAnsi="宋体" w:cs="宋体"/>
          <w:b/>
          <w:color w:val="auto"/>
          <w:sz w:val="24"/>
          <w:szCs w:val="24"/>
          <w:highlight w:val="none"/>
        </w:rPr>
        <w:t>三、质疑事项具体内容</w:t>
      </w:r>
    </w:p>
    <w:p w14:paraId="0181848A">
      <w:pPr>
        <w:pStyle w:val="16"/>
        <w:spacing w:line="360" w:lineRule="auto"/>
        <w:ind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质疑事项1：</w:t>
      </w:r>
      <w:r>
        <w:rPr>
          <w:rFonts w:hint="eastAsia" w:hAnsi="宋体" w:cs="宋体"/>
          <w:bCs/>
          <w:color w:val="auto"/>
          <w:sz w:val="24"/>
          <w:szCs w:val="24"/>
          <w:highlight w:val="none"/>
          <w:u w:val="single"/>
        </w:rPr>
        <w:t xml:space="preserve">                                                                    </w:t>
      </w:r>
    </w:p>
    <w:p w14:paraId="60C66378">
      <w:pPr>
        <w:pStyle w:val="16"/>
        <w:spacing w:line="360" w:lineRule="auto"/>
        <w:ind w:firstLine="472" w:firstLineChars="197"/>
        <w:contextualSpacing/>
        <w:rPr>
          <w:rFonts w:hAnsi="宋体" w:cs="宋体"/>
          <w:color w:val="auto"/>
          <w:sz w:val="24"/>
          <w:szCs w:val="24"/>
          <w:highlight w:val="none"/>
        </w:rPr>
      </w:pPr>
      <w:r>
        <w:rPr>
          <w:rFonts w:hint="eastAsia" w:hAnsi="宋体" w:cs="宋体"/>
          <w:color w:val="auto"/>
          <w:sz w:val="24"/>
          <w:szCs w:val="24"/>
          <w:highlight w:val="none"/>
        </w:rPr>
        <w:t>事实依据：</w:t>
      </w:r>
      <w:r>
        <w:rPr>
          <w:rFonts w:hint="eastAsia" w:hAnsi="宋体" w:cs="宋体"/>
          <w:bCs/>
          <w:color w:val="auto"/>
          <w:sz w:val="24"/>
          <w:szCs w:val="24"/>
          <w:highlight w:val="none"/>
          <w:u w:val="single"/>
        </w:rPr>
        <w:t xml:space="preserve">                                                                      </w:t>
      </w:r>
    </w:p>
    <w:p w14:paraId="35E2DB6C">
      <w:pPr>
        <w:pStyle w:val="16"/>
        <w:spacing w:line="360" w:lineRule="auto"/>
        <w:ind w:firstLine="472" w:firstLineChars="197"/>
        <w:contextualSpacing/>
        <w:rPr>
          <w:rFonts w:hAnsi="宋体" w:cs="宋体"/>
          <w:color w:val="auto"/>
          <w:sz w:val="24"/>
          <w:szCs w:val="24"/>
          <w:highlight w:val="none"/>
        </w:rPr>
      </w:pPr>
      <w:r>
        <w:rPr>
          <w:rFonts w:hint="eastAsia" w:hAnsi="宋体" w:cs="宋体"/>
          <w:color w:val="auto"/>
          <w:sz w:val="24"/>
          <w:szCs w:val="24"/>
          <w:highlight w:val="none"/>
        </w:rPr>
        <w:t>法律依据：</w:t>
      </w:r>
      <w:r>
        <w:rPr>
          <w:rFonts w:hint="eastAsia" w:hAnsi="宋体" w:cs="宋体"/>
          <w:color w:val="auto"/>
          <w:sz w:val="24"/>
          <w:szCs w:val="24"/>
          <w:highlight w:val="none"/>
          <w:u w:val="single"/>
        </w:rPr>
        <w:t xml:space="preserve">                                                        </w:t>
      </w:r>
      <w:r>
        <w:rPr>
          <w:rFonts w:hint="eastAsia" w:hAnsi="宋体" w:cs="宋体"/>
          <w:bCs/>
          <w:color w:val="auto"/>
          <w:sz w:val="24"/>
          <w:szCs w:val="24"/>
          <w:highlight w:val="none"/>
          <w:u w:val="single"/>
        </w:rPr>
        <w:t xml:space="preserve">               </w:t>
      </w:r>
    </w:p>
    <w:p w14:paraId="5B088198">
      <w:pPr>
        <w:pStyle w:val="16"/>
        <w:spacing w:line="360" w:lineRule="auto"/>
        <w:ind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质疑事项2</w:t>
      </w:r>
    </w:p>
    <w:p w14:paraId="7060895F">
      <w:pPr>
        <w:pStyle w:val="16"/>
        <w:spacing w:line="360" w:lineRule="auto"/>
        <w:ind w:firstLine="472" w:firstLineChars="197"/>
        <w:contextualSpacing/>
        <w:rPr>
          <w:rFonts w:hAnsi="宋体" w:cs="宋体"/>
          <w:color w:val="auto"/>
          <w:sz w:val="24"/>
          <w:szCs w:val="24"/>
          <w:highlight w:val="none"/>
        </w:rPr>
      </w:pPr>
      <w:r>
        <w:rPr>
          <w:rFonts w:hint="eastAsia" w:hAnsi="宋体" w:cs="宋体"/>
          <w:color w:val="auto"/>
          <w:sz w:val="24"/>
          <w:szCs w:val="24"/>
          <w:highlight w:val="none"/>
        </w:rPr>
        <w:t>……</w:t>
      </w:r>
    </w:p>
    <w:p w14:paraId="4282E398">
      <w:pPr>
        <w:pStyle w:val="16"/>
        <w:spacing w:line="360" w:lineRule="auto"/>
        <w:ind w:firstLine="472" w:firstLineChars="197"/>
        <w:contextualSpacing/>
        <w:rPr>
          <w:rFonts w:hAnsi="宋体" w:cs="宋体"/>
          <w:color w:val="auto"/>
          <w:sz w:val="24"/>
          <w:szCs w:val="24"/>
          <w:highlight w:val="none"/>
        </w:rPr>
      </w:pPr>
      <w:r>
        <w:rPr>
          <w:rFonts w:hint="eastAsia" w:hAnsi="宋体" w:cs="宋体"/>
          <w:color w:val="auto"/>
          <w:sz w:val="24"/>
          <w:szCs w:val="24"/>
          <w:highlight w:val="none"/>
        </w:rPr>
        <w:t>四、与质疑事项相关的质疑请求：</w:t>
      </w:r>
    </w:p>
    <w:p w14:paraId="32620F38">
      <w:pPr>
        <w:pStyle w:val="16"/>
        <w:spacing w:line="360" w:lineRule="auto"/>
        <w:ind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请求：</w:t>
      </w:r>
      <w:r>
        <w:rPr>
          <w:rFonts w:hint="eastAsia" w:hAnsi="宋体" w:cs="宋体"/>
          <w:bCs/>
          <w:color w:val="auto"/>
          <w:sz w:val="24"/>
          <w:szCs w:val="24"/>
          <w:highlight w:val="none"/>
          <w:u w:val="single"/>
        </w:rPr>
        <w:t xml:space="preserve">                                                                </w:t>
      </w:r>
    </w:p>
    <w:p w14:paraId="76EE9861">
      <w:pPr>
        <w:pStyle w:val="16"/>
        <w:spacing w:line="360" w:lineRule="auto"/>
        <w:ind w:firstLine="352" w:firstLineChars="147"/>
        <w:contextualSpacing/>
        <w:rPr>
          <w:rFonts w:hAnsi="宋体" w:cs="宋体"/>
          <w:color w:val="auto"/>
          <w:sz w:val="24"/>
          <w:szCs w:val="24"/>
          <w:highlight w:val="none"/>
        </w:rPr>
      </w:pPr>
    </w:p>
    <w:p w14:paraId="7813740A">
      <w:pPr>
        <w:pStyle w:val="16"/>
        <w:spacing w:line="360" w:lineRule="auto"/>
        <w:ind w:firstLine="472" w:firstLineChars="197"/>
        <w:contextualSpacing/>
        <w:rPr>
          <w:rFonts w:hAnsi="宋体" w:cs="宋体"/>
          <w:color w:val="auto"/>
          <w:sz w:val="24"/>
          <w:szCs w:val="24"/>
          <w:highlight w:val="none"/>
          <w:u w:val="single"/>
        </w:rPr>
      </w:pPr>
      <w:r>
        <w:rPr>
          <w:rFonts w:hint="eastAsia" w:hAnsi="宋体" w:cs="宋体"/>
          <w:color w:val="auto"/>
          <w:sz w:val="24"/>
          <w:szCs w:val="24"/>
          <w:highlight w:val="none"/>
        </w:rPr>
        <w:t>签字（签章）：</w:t>
      </w:r>
      <w:r>
        <w:rPr>
          <w:rFonts w:hint="eastAsia" w:hAnsi="宋体" w:cs="宋体"/>
          <w:color w:val="auto"/>
          <w:sz w:val="24"/>
          <w:szCs w:val="24"/>
          <w:highlight w:val="none"/>
          <w:u w:val="single"/>
        </w:rPr>
        <w:t xml:space="preserve"> </w:t>
      </w:r>
      <w:r>
        <w:rPr>
          <w:rFonts w:hAnsi="宋体" w:cs="宋体"/>
          <w:color w:val="auto"/>
          <w:sz w:val="24"/>
          <w:szCs w:val="24"/>
          <w:highlight w:val="none"/>
          <w:u w:val="single"/>
        </w:rPr>
        <w:t xml:space="preserve">              </w:t>
      </w:r>
      <w:r>
        <w:rPr>
          <w:rFonts w:hint="eastAsia" w:hAnsi="宋体" w:cs="宋体"/>
          <w:color w:val="auto"/>
          <w:sz w:val="24"/>
          <w:szCs w:val="24"/>
          <w:highlight w:val="none"/>
        </w:rPr>
        <w:t xml:space="preserve">                     公章：</w:t>
      </w:r>
      <w:r>
        <w:rPr>
          <w:rFonts w:hint="eastAsia" w:hAnsi="宋体" w:cs="宋体"/>
          <w:color w:val="auto"/>
          <w:sz w:val="24"/>
          <w:szCs w:val="24"/>
          <w:highlight w:val="none"/>
          <w:u w:val="single"/>
        </w:rPr>
        <w:t xml:space="preserve"> </w:t>
      </w:r>
      <w:r>
        <w:rPr>
          <w:rFonts w:hAnsi="宋体" w:cs="宋体"/>
          <w:color w:val="auto"/>
          <w:sz w:val="24"/>
          <w:szCs w:val="24"/>
          <w:highlight w:val="none"/>
          <w:u w:val="single"/>
        </w:rPr>
        <w:t xml:space="preserve">                 </w:t>
      </w:r>
    </w:p>
    <w:p w14:paraId="1D579647">
      <w:pPr>
        <w:pStyle w:val="16"/>
        <w:spacing w:line="360" w:lineRule="auto"/>
        <w:ind w:firstLine="472" w:firstLineChars="197"/>
        <w:contextualSpacing/>
        <w:rPr>
          <w:rFonts w:hAnsi="宋体" w:cs="宋体"/>
          <w:color w:val="auto"/>
          <w:sz w:val="24"/>
          <w:szCs w:val="24"/>
          <w:highlight w:val="none"/>
        </w:rPr>
      </w:pPr>
      <w:r>
        <w:rPr>
          <w:rFonts w:hint="eastAsia" w:hAnsi="宋体" w:cs="宋体"/>
          <w:color w:val="auto"/>
          <w:sz w:val="24"/>
          <w:szCs w:val="24"/>
          <w:highlight w:val="none"/>
        </w:rPr>
        <w:t>日期：</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p>
    <w:p w14:paraId="442CD1F9">
      <w:pPr>
        <w:pStyle w:val="16"/>
        <w:spacing w:line="360" w:lineRule="auto"/>
        <w:contextualSpacing/>
        <w:rPr>
          <w:rFonts w:hAnsi="宋体" w:cs="宋体"/>
          <w:b/>
          <w:color w:val="auto"/>
          <w:sz w:val="24"/>
          <w:szCs w:val="24"/>
          <w:highlight w:val="none"/>
        </w:rPr>
      </w:pPr>
    </w:p>
    <w:p w14:paraId="06800F6F">
      <w:pPr>
        <w:pStyle w:val="16"/>
        <w:spacing w:line="360" w:lineRule="auto"/>
        <w:contextualSpacing/>
        <w:rPr>
          <w:rFonts w:ascii="楷体" w:hAnsi="楷体" w:eastAsia="楷体" w:cs="宋体"/>
          <w:b/>
          <w:color w:val="auto"/>
          <w:sz w:val="24"/>
          <w:szCs w:val="24"/>
          <w:highlight w:val="none"/>
        </w:rPr>
      </w:pPr>
      <w:r>
        <w:rPr>
          <w:rFonts w:hint="eastAsia" w:ascii="楷体" w:hAnsi="楷体" w:eastAsia="楷体" w:cs="宋体"/>
          <w:b/>
          <w:color w:val="auto"/>
          <w:sz w:val="24"/>
          <w:szCs w:val="24"/>
          <w:highlight w:val="none"/>
        </w:rPr>
        <w:t>说明：</w:t>
      </w:r>
    </w:p>
    <w:p w14:paraId="79DCBDDB">
      <w:pPr>
        <w:pStyle w:val="16"/>
        <w:spacing w:line="360" w:lineRule="auto"/>
        <w:ind w:firstLine="354" w:firstLineChars="147"/>
        <w:contextualSpacing/>
        <w:rPr>
          <w:rFonts w:ascii="楷体" w:hAnsi="楷体" w:eastAsia="楷体" w:cs="宋体"/>
          <w:b/>
          <w:bCs/>
          <w:color w:val="auto"/>
          <w:sz w:val="24"/>
          <w:szCs w:val="24"/>
          <w:highlight w:val="none"/>
        </w:rPr>
      </w:pPr>
      <w:r>
        <w:rPr>
          <w:rFonts w:ascii="楷体" w:hAnsi="楷体" w:eastAsia="楷体" w:cs="宋体"/>
          <w:b/>
          <w:color w:val="auto"/>
          <w:sz w:val="24"/>
          <w:szCs w:val="24"/>
          <w:highlight w:val="none"/>
        </w:rPr>
        <w:t>1.供应商提出质疑时，应提交质疑函和必要的证明材料</w:t>
      </w:r>
      <w:r>
        <w:rPr>
          <w:rFonts w:hint="eastAsia" w:ascii="楷体" w:hAnsi="楷体" w:eastAsia="楷体" w:cs="宋体"/>
          <w:b/>
          <w:bCs/>
          <w:color w:val="auto"/>
          <w:sz w:val="24"/>
          <w:szCs w:val="24"/>
          <w:highlight w:val="none"/>
        </w:rPr>
        <w:t>。</w:t>
      </w:r>
    </w:p>
    <w:p w14:paraId="246C8507">
      <w:pPr>
        <w:pStyle w:val="16"/>
        <w:spacing w:line="360" w:lineRule="auto"/>
        <w:ind w:firstLine="354" w:firstLineChars="147"/>
        <w:contextualSpacing/>
        <w:rPr>
          <w:rFonts w:ascii="楷体" w:hAnsi="楷体" w:eastAsia="楷体" w:cs="宋体"/>
          <w:b/>
          <w:color w:val="auto"/>
          <w:sz w:val="24"/>
          <w:szCs w:val="24"/>
          <w:highlight w:val="none"/>
        </w:rPr>
      </w:pPr>
      <w:r>
        <w:rPr>
          <w:rFonts w:ascii="楷体" w:hAnsi="楷体" w:eastAsia="楷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2382ACB">
      <w:pPr>
        <w:pStyle w:val="16"/>
        <w:spacing w:line="360" w:lineRule="auto"/>
        <w:ind w:firstLine="354" w:firstLineChars="147"/>
        <w:contextualSpacing/>
        <w:rPr>
          <w:rFonts w:ascii="楷体" w:hAnsi="楷体" w:eastAsia="楷体" w:cs="宋体"/>
          <w:b/>
          <w:color w:val="auto"/>
          <w:sz w:val="24"/>
          <w:szCs w:val="24"/>
          <w:highlight w:val="none"/>
        </w:rPr>
      </w:pPr>
      <w:r>
        <w:rPr>
          <w:rFonts w:ascii="楷体" w:hAnsi="楷体" w:eastAsia="楷体" w:cs="宋体"/>
          <w:b/>
          <w:color w:val="auto"/>
          <w:sz w:val="24"/>
          <w:szCs w:val="24"/>
          <w:highlight w:val="none"/>
        </w:rPr>
        <w:t>3.质疑函的质疑事项应具体、明确，并有必要的事实依据和法律依据。</w:t>
      </w:r>
    </w:p>
    <w:p w14:paraId="6FCE91FF">
      <w:pPr>
        <w:pStyle w:val="16"/>
        <w:spacing w:line="360" w:lineRule="auto"/>
        <w:ind w:firstLine="354" w:firstLineChars="147"/>
        <w:contextualSpacing/>
        <w:rPr>
          <w:rFonts w:ascii="楷体" w:hAnsi="楷体" w:eastAsia="楷体" w:cs="宋体"/>
          <w:b/>
          <w:color w:val="auto"/>
          <w:sz w:val="24"/>
          <w:szCs w:val="24"/>
          <w:highlight w:val="none"/>
        </w:rPr>
      </w:pPr>
      <w:r>
        <w:rPr>
          <w:rFonts w:ascii="楷体" w:hAnsi="楷体" w:eastAsia="楷体" w:cs="宋体"/>
          <w:b/>
          <w:color w:val="auto"/>
          <w:sz w:val="24"/>
          <w:szCs w:val="24"/>
          <w:highlight w:val="none"/>
        </w:rPr>
        <w:t>4.质疑函的质疑请求应与质疑事项相关。</w:t>
      </w:r>
    </w:p>
    <w:p w14:paraId="62C3E556">
      <w:pPr>
        <w:pStyle w:val="16"/>
        <w:spacing w:line="360" w:lineRule="auto"/>
        <w:ind w:firstLine="354" w:firstLineChars="147"/>
        <w:contextualSpacing/>
        <w:rPr>
          <w:rFonts w:ascii="楷体" w:hAnsi="楷体" w:eastAsia="楷体" w:cs="宋体"/>
          <w:b/>
          <w:color w:val="auto"/>
          <w:highlight w:val="none"/>
        </w:rPr>
      </w:pPr>
      <w:r>
        <w:rPr>
          <w:rFonts w:ascii="楷体" w:hAnsi="楷体" w:eastAsia="楷体" w:cs="宋体"/>
          <w:b/>
          <w:color w:val="auto"/>
          <w:sz w:val="24"/>
          <w:szCs w:val="24"/>
          <w:highlight w:val="none"/>
        </w:rPr>
        <w:t>5.质疑供应商为法人或者其他组织的，质疑函应由法定代表人、主要负责人，或者其授权代表签字或者盖章，并加盖公章。</w:t>
      </w:r>
    </w:p>
    <w:p w14:paraId="1041FE45">
      <w:pPr>
        <w:pStyle w:val="16"/>
        <w:snapToGrid w:val="0"/>
        <w:spacing w:line="360" w:lineRule="auto"/>
        <w:rPr>
          <w:rFonts w:hAnsi="宋体" w:cs="宋体"/>
          <w:b/>
          <w:color w:val="auto"/>
          <w:sz w:val="24"/>
          <w:szCs w:val="24"/>
          <w:highlight w:val="none"/>
        </w:rPr>
      </w:pPr>
    </w:p>
    <w:p w14:paraId="4EC4515E">
      <w:pPr>
        <w:spacing w:line="360" w:lineRule="auto"/>
        <w:rPr>
          <w:rFonts w:ascii="宋体" w:hAnsi="宋体" w:cs="宋体"/>
          <w:color w:val="auto"/>
          <w:highlight w:val="none"/>
        </w:rPr>
      </w:pPr>
      <w:r>
        <w:rPr>
          <w:rFonts w:hint="eastAsia" w:ascii="宋体" w:hAnsi="宋体" w:cs="宋体"/>
          <w:color w:val="auto"/>
          <w:highlight w:val="none"/>
        </w:rPr>
        <w:br w:type="page"/>
      </w:r>
    </w:p>
    <w:p w14:paraId="5C7254BE">
      <w:pPr>
        <w:spacing w:line="360" w:lineRule="auto"/>
        <w:jc w:val="center"/>
        <w:rPr>
          <w:rFonts w:ascii="宋体" w:hAnsi="宋体" w:cs="宋体"/>
          <w:color w:val="auto"/>
          <w:sz w:val="44"/>
          <w:szCs w:val="44"/>
          <w:highlight w:val="none"/>
        </w:rPr>
      </w:pPr>
      <w:r>
        <w:rPr>
          <w:rFonts w:hint="eastAsia" w:ascii="宋体" w:hAnsi="宋体" w:cs="宋体"/>
          <w:b/>
          <w:color w:val="auto"/>
          <w:sz w:val="44"/>
          <w:szCs w:val="44"/>
          <w:highlight w:val="none"/>
        </w:rPr>
        <w:t>投诉书</w:t>
      </w:r>
      <w:r>
        <w:rPr>
          <w:rFonts w:hint="eastAsia" w:ascii="宋体" w:hAnsi="宋体" w:cs="宋体"/>
          <w:color w:val="auto"/>
          <w:sz w:val="28"/>
          <w:szCs w:val="28"/>
          <w:highlight w:val="none"/>
        </w:rPr>
        <w:t>（格式）</w:t>
      </w:r>
    </w:p>
    <w:p w14:paraId="2929F5CF">
      <w:pPr>
        <w:pStyle w:val="16"/>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一、投诉相关主体基本情况：</w:t>
      </w:r>
    </w:p>
    <w:p w14:paraId="49C7D88C">
      <w:pPr>
        <w:pStyle w:val="16"/>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供应商：</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12CB3E3E">
      <w:pPr>
        <w:pStyle w:val="16"/>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1A1F79A9">
      <w:pPr>
        <w:pStyle w:val="16"/>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法定代表人/主要负责人：</w:t>
      </w:r>
      <w:r>
        <w:rPr>
          <w:rFonts w:hint="eastAsia" w:hAnsi="宋体" w:cs="宋体"/>
          <w:bCs/>
          <w:color w:val="auto"/>
          <w:sz w:val="24"/>
          <w:szCs w:val="24"/>
          <w:highlight w:val="none"/>
          <w:u w:val="single"/>
        </w:rPr>
        <w:t xml:space="preserve">                                                         </w:t>
      </w:r>
    </w:p>
    <w:p w14:paraId="448B1785">
      <w:pPr>
        <w:pStyle w:val="16"/>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27121BF7">
      <w:pPr>
        <w:pStyle w:val="16"/>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授权代表：</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7CC7939D">
      <w:pPr>
        <w:pStyle w:val="16"/>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p>
    <w:p w14:paraId="0F76F9C8">
      <w:pPr>
        <w:pStyle w:val="16"/>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625917FD">
      <w:pPr>
        <w:pStyle w:val="16"/>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被投诉人1：</w:t>
      </w:r>
    </w:p>
    <w:p w14:paraId="0EFA36CE">
      <w:pPr>
        <w:pStyle w:val="16"/>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p>
    <w:p w14:paraId="301533E9">
      <w:pPr>
        <w:pStyle w:val="16"/>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38753887">
      <w:pPr>
        <w:pStyle w:val="16"/>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04066671">
      <w:pPr>
        <w:pStyle w:val="16"/>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被投诉人2：</w:t>
      </w:r>
    </w:p>
    <w:p w14:paraId="0494B6E6">
      <w:pPr>
        <w:pStyle w:val="16"/>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w:t>
      </w:r>
    </w:p>
    <w:p w14:paraId="583951B9">
      <w:pPr>
        <w:pStyle w:val="16"/>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相关供应商：</w:t>
      </w:r>
      <w:r>
        <w:rPr>
          <w:rFonts w:hint="eastAsia" w:hAnsi="宋体" w:cs="宋体"/>
          <w:bCs/>
          <w:color w:val="auto"/>
          <w:sz w:val="24"/>
          <w:szCs w:val="24"/>
          <w:highlight w:val="none"/>
          <w:u w:val="single"/>
        </w:rPr>
        <w:t xml:space="preserve">                                                                       </w:t>
      </w:r>
    </w:p>
    <w:p w14:paraId="2A00FA94">
      <w:pPr>
        <w:pStyle w:val="16"/>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p>
    <w:p w14:paraId="0299C77A">
      <w:pPr>
        <w:pStyle w:val="16"/>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60864047">
      <w:pPr>
        <w:pStyle w:val="16"/>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二、投诉项目基本情况：</w:t>
      </w:r>
    </w:p>
    <w:p w14:paraId="195CBD0A">
      <w:pPr>
        <w:pStyle w:val="16"/>
        <w:spacing w:line="360" w:lineRule="auto"/>
        <w:ind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项目的名称：</w:t>
      </w:r>
      <w:r>
        <w:rPr>
          <w:rFonts w:hint="eastAsia" w:hAnsi="宋体" w:cs="宋体"/>
          <w:bCs/>
          <w:color w:val="auto"/>
          <w:sz w:val="24"/>
          <w:szCs w:val="24"/>
          <w:highlight w:val="none"/>
          <w:u w:val="single"/>
        </w:rPr>
        <w:t xml:space="preserve">                                                                   </w:t>
      </w:r>
    </w:p>
    <w:p w14:paraId="15CCD990">
      <w:pPr>
        <w:pStyle w:val="16"/>
        <w:spacing w:line="360" w:lineRule="auto"/>
        <w:ind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项目的编号：</w:t>
      </w:r>
      <w:r>
        <w:rPr>
          <w:rFonts w:hint="eastAsia" w:hAnsi="宋体" w:cs="宋体"/>
          <w:bCs/>
          <w:color w:val="auto"/>
          <w:sz w:val="24"/>
          <w:szCs w:val="24"/>
          <w:highlight w:val="none"/>
          <w:u w:val="single"/>
        </w:rPr>
        <w:t xml:space="preserve">                                          </w:t>
      </w:r>
    </w:p>
    <w:p w14:paraId="6EC3343D">
      <w:pPr>
        <w:pStyle w:val="16"/>
        <w:spacing w:line="360" w:lineRule="auto"/>
        <w:ind w:firstLine="472" w:firstLineChars="197"/>
        <w:rPr>
          <w:rFonts w:hAnsi="宋体" w:cs="宋体"/>
          <w:bCs/>
          <w:color w:val="auto"/>
          <w:sz w:val="24"/>
          <w:szCs w:val="24"/>
          <w:highlight w:val="none"/>
          <w:u w:val="single"/>
        </w:rPr>
      </w:pPr>
      <w:r>
        <w:rPr>
          <w:rFonts w:hint="eastAsia" w:hAnsi="宋体" w:cs="宋体"/>
          <w:color w:val="auto"/>
          <w:sz w:val="24"/>
          <w:szCs w:val="24"/>
          <w:highlight w:val="none"/>
        </w:rPr>
        <w:t>采购人名称：</w:t>
      </w:r>
      <w:r>
        <w:rPr>
          <w:rFonts w:hint="eastAsia" w:hAnsi="宋体" w:cs="宋体"/>
          <w:bCs/>
          <w:color w:val="auto"/>
          <w:sz w:val="24"/>
          <w:szCs w:val="24"/>
          <w:highlight w:val="none"/>
          <w:u w:val="single"/>
        </w:rPr>
        <w:t xml:space="preserve">                                                                        </w:t>
      </w:r>
    </w:p>
    <w:p w14:paraId="51B7FA93">
      <w:pPr>
        <w:pStyle w:val="16"/>
        <w:spacing w:line="360" w:lineRule="auto"/>
        <w:ind w:firstLine="472" w:firstLineChars="197"/>
        <w:rPr>
          <w:rFonts w:hAnsi="宋体" w:cs="宋体"/>
          <w:bCs/>
          <w:color w:val="auto"/>
          <w:sz w:val="24"/>
          <w:szCs w:val="24"/>
          <w:highlight w:val="none"/>
          <w:u w:val="single"/>
        </w:rPr>
      </w:pPr>
      <w:r>
        <w:rPr>
          <w:rFonts w:hint="eastAsia" w:hAnsi="宋体" w:cs="宋体"/>
          <w:color w:val="auto"/>
          <w:sz w:val="24"/>
          <w:szCs w:val="24"/>
          <w:highlight w:val="none"/>
        </w:rPr>
        <w:t>代理机构名称：</w:t>
      </w:r>
      <w:r>
        <w:rPr>
          <w:rFonts w:hint="eastAsia" w:hAnsi="宋体" w:cs="宋体"/>
          <w:bCs/>
          <w:color w:val="auto"/>
          <w:sz w:val="24"/>
          <w:szCs w:val="24"/>
          <w:highlight w:val="none"/>
          <w:u w:val="single"/>
        </w:rPr>
        <w:t xml:space="preserve">                                                                      </w:t>
      </w:r>
    </w:p>
    <w:p w14:paraId="1A14C155">
      <w:pPr>
        <w:pStyle w:val="16"/>
        <w:spacing w:line="360" w:lineRule="auto"/>
        <w:ind w:firstLine="472" w:firstLineChars="197"/>
        <w:rPr>
          <w:rFonts w:hAnsi="宋体" w:cs="宋体"/>
          <w:bCs/>
          <w:color w:val="auto"/>
          <w:sz w:val="24"/>
          <w:szCs w:val="24"/>
          <w:highlight w:val="none"/>
          <w:u w:val="single"/>
        </w:rPr>
      </w:pPr>
      <w:r>
        <w:rPr>
          <w:rFonts w:hint="eastAsia" w:hAnsi="宋体" w:cs="宋体"/>
          <w:bCs/>
          <w:color w:val="auto"/>
          <w:sz w:val="24"/>
          <w:szCs w:val="24"/>
          <w:highlight w:val="none"/>
        </w:rPr>
        <w:t>采购文件公告：</w:t>
      </w:r>
      <w:r>
        <w:rPr>
          <w:rFonts w:hint="eastAsia" w:hAnsi="宋体" w:cs="宋体"/>
          <w:bCs/>
          <w:color w:val="auto"/>
          <w:sz w:val="24"/>
          <w:szCs w:val="24"/>
          <w:highlight w:val="none"/>
          <w:u w:val="single"/>
        </w:rPr>
        <w:t>是/否</w:t>
      </w:r>
      <w:r>
        <w:rPr>
          <w:rFonts w:hint="eastAsia" w:hAnsi="宋体" w:cs="宋体"/>
          <w:bCs/>
          <w:color w:val="auto"/>
          <w:sz w:val="24"/>
          <w:szCs w:val="24"/>
          <w:highlight w:val="none"/>
        </w:rPr>
        <w:t>公告期限：</w:t>
      </w:r>
      <w:r>
        <w:rPr>
          <w:rFonts w:hint="eastAsia" w:hAnsi="宋体" w:cs="宋体"/>
          <w:bCs/>
          <w:color w:val="auto"/>
          <w:sz w:val="24"/>
          <w:szCs w:val="24"/>
          <w:highlight w:val="none"/>
          <w:u w:val="single"/>
        </w:rPr>
        <w:t xml:space="preserve">                                                       </w:t>
      </w:r>
    </w:p>
    <w:p w14:paraId="29498AE2">
      <w:pPr>
        <w:pStyle w:val="16"/>
        <w:spacing w:line="360" w:lineRule="auto"/>
        <w:ind w:firstLine="472" w:firstLineChars="197"/>
        <w:rPr>
          <w:rFonts w:hAnsi="宋体" w:cs="宋体"/>
          <w:b/>
          <w:color w:val="auto"/>
          <w:sz w:val="24"/>
          <w:szCs w:val="24"/>
          <w:highlight w:val="none"/>
        </w:rPr>
      </w:pPr>
      <w:r>
        <w:rPr>
          <w:rFonts w:hint="eastAsia" w:hAnsi="宋体" w:cs="宋体"/>
          <w:bCs/>
          <w:color w:val="auto"/>
          <w:sz w:val="24"/>
          <w:szCs w:val="24"/>
          <w:highlight w:val="none"/>
        </w:rPr>
        <w:t>采购结果公告：</w:t>
      </w:r>
      <w:r>
        <w:rPr>
          <w:rFonts w:hint="eastAsia" w:hAnsi="宋体" w:cs="宋体"/>
          <w:bCs/>
          <w:color w:val="auto"/>
          <w:sz w:val="24"/>
          <w:szCs w:val="24"/>
          <w:highlight w:val="none"/>
          <w:u w:val="single"/>
        </w:rPr>
        <w:t>是/否</w:t>
      </w:r>
      <w:r>
        <w:rPr>
          <w:rFonts w:hint="eastAsia" w:hAnsi="宋体" w:cs="宋体"/>
          <w:bCs/>
          <w:color w:val="auto"/>
          <w:sz w:val="24"/>
          <w:szCs w:val="24"/>
          <w:highlight w:val="none"/>
        </w:rPr>
        <w:t>公告期限：</w:t>
      </w:r>
      <w:r>
        <w:rPr>
          <w:rFonts w:hint="eastAsia" w:hAnsi="宋体" w:cs="宋体"/>
          <w:bCs/>
          <w:color w:val="auto"/>
          <w:sz w:val="24"/>
          <w:szCs w:val="24"/>
          <w:highlight w:val="none"/>
          <w:u w:val="single"/>
        </w:rPr>
        <w:t xml:space="preserve">                                                       </w:t>
      </w:r>
    </w:p>
    <w:p w14:paraId="0561D201">
      <w:pPr>
        <w:pStyle w:val="16"/>
        <w:spacing w:line="360" w:lineRule="auto"/>
        <w:ind w:firstLine="472" w:firstLineChars="196"/>
        <w:rPr>
          <w:rFonts w:hAnsi="宋体" w:cs="宋体"/>
          <w:b/>
          <w:color w:val="auto"/>
          <w:sz w:val="24"/>
          <w:szCs w:val="24"/>
          <w:highlight w:val="none"/>
        </w:rPr>
      </w:pPr>
      <w:r>
        <w:rPr>
          <w:rFonts w:hint="eastAsia" w:hAnsi="宋体" w:cs="宋体"/>
          <w:b/>
          <w:color w:val="auto"/>
          <w:sz w:val="24"/>
          <w:szCs w:val="24"/>
          <w:highlight w:val="none"/>
        </w:rPr>
        <w:t>三、质疑基本情况</w:t>
      </w:r>
    </w:p>
    <w:p w14:paraId="14C211EF">
      <w:pPr>
        <w:pStyle w:val="16"/>
        <w:spacing w:line="360" w:lineRule="auto"/>
        <w:ind w:left="479" w:leftChars="228" w:firstLine="60" w:firstLineChars="25"/>
        <w:rPr>
          <w:rFonts w:hAnsi="宋体" w:cs="宋体"/>
          <w:color w:val="auto"/>
          <w:sz w:val="24"/>
          <w:szCs w:val="24"/>
          <w:highlight w:val="none"/>
        </w:rPr>
      </w:pPr>
      <w:r>
        <w:rPr>
          <w:rFonts w:hint="eastAsia" w:hAnsi="宋体" w:cs="宋体"/>
          <w:color w:val="auto"/>
          <w:sz w:val="24"/>
          <w:szCs w:val="24"/>
          <w:highlight w:val="none"/>
        </w:rPr>
        <w:t>投诉人于</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日，向</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提出质疑，质疑事项为：</w:t>
      </w:r>
    </w:p>
    <w:p w14:paraId="7436BFAF">
      <w:pPr>
        <w:pStyle w:val="16"/>
        <w:spacing w:line="360" w:lineRule="auto"/>
        <w:ind w:firstLine="540" w:firstLineChars="225"/>
        <w:rPr>
          <w:rFonts w:hAnsi="宋体" w:cs="宋体"/>
          <w:bCs/>
          <w:color w:val="auto"/>
          <w:sz w:val="24"/>
          <w:szCs w:val="24"/>
          <w:highlight w:val="none"/>
          <w:u w:val="single"/>
        </w:rPr>
      </w:pP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73648FD0">
      <w:pPr>
        <w:pStyle w:val="16"/>
        <w:spacing w:line="360" w:lineRule="auto"/>
        <w:ind w:firstLine="540" w:firstLineChars="225"/>
        <w:rPr>
          <w:rFonts w:hAnsi="宋体" w:cs="宋体"/>
          <w:bCs/>
          <w:color w:val="auto"/>
          <w:sz w:val="24"/>
          <w:szCs w:val="24"/>
          <w:highlight w:val="none"/>
          <w:u w:val="single"/>
        </w:rPr>
      </w:pPr>
      <w:r>
        <w:rPr>
          <w:rFonts w:hint="eastAsia" w:hAnsi="宋体" w:cs="宋体"/>
          <w:bCs/>
          <w:color w:val="auto"/>
          <w:sz w:val="24"/>
          <w:szCs w:val="24"/>
          <w:highlight w:val="none"/>
        </w:rPr>
        <w:t xml:space="preserve">    </w:t>
      </w:r>
      <w:r>
        <w:rPr>
          <w:rFonts w:hint="eastAsia" w:hAnsi="宋体" w:cs="宋体"/>
          <w:bCs/>
          <w:color w:val="auto"/>
          <w:sz w:val="24"/>
          <w:szCs w:val="24"/>
          <w:highlight w:val="none"/>
          <w:u w:val="single"/>
        </w:rPr>
        <w:t xml:space="preserve">                                                                                      </w:t>
      </w:r>
    </w:p>
    <w:p w14:paraId="73EE067C">
      <w:pPr>
        <w:pStyle w:val="16"/>
        <w:spacing w:line="360" w:lineRule="auto"/>
        <w:ind w:firstLine="540" w:firstLineChars="225"/>
        <w:rPr>
          <w:rFonts w:hAnsi="宋体" w:cs="宋体"/>
          <w:color w:val="auto"/>
          <w:sz w:val="24"/>
          <w:szCs w:val="24"/>
          <w:highlight w:val="none"/>
        </w:rPr>
      </w:pPr>
      <w:r>
        <w:rPr>
          <w:rFonts w:hint="eastAsia" w:hAnsi="宋体" w:cs="宋体"/>
          <w:bCs/>
          <w:color w:val="auto"/>
          <w:sz w:val="24"/>
          <w:szCs w:val="24"/>
          <w:highlight w:val="none"/>
          <w:u w:val="single"/>
        </w:rPr>
        <w:t>采购人/代理机构</w:t>
      </w:r>
      <w:r>
        <w:rPr>
          <w:rFonts w:hint="eastAsia" w:hAnsi="宋体" w:cs="宋体"/>
          <w:bCs/>
          <w:color w:val="auto"/>
          <w:sz w:val="24"/>
          <w:szCs w:val="24"/>
          <w:highlight w:val="none"/>
        </w:rPr>
        <w:t>于</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w:t>
      </w:r>
      <w:r>
        <w:rPr>
          <w:rFonts w:hint="eastAsia" w:hAnsi="宋体" w:cs="宋体"/>
          <w:bCs/>
          <w:color w:val="auto"/>
          <w:sz w:val="24"/>
          <w:szCs w:val="24"/>
          <w:highlight w:val="none"/>
        </w:rPr>
        <w:t xml:space="preserve">就质疑事项作出了答复/没有在法定期限内作出答复。                                                                                             </w:t>
      </w:r>
    </w:p>
    <w:p w14:paraId="0D7BC0DB">
      <w:pPr>
        <w:pStyle w:val="16"/>
        <w:spacing w:line="360" w:lineRule="auto"/>
        <w:ind w:firstLine="472" w:firstLineChars="196"/>
        <w:rPr>
          <w:rFonts w:hAnsi="宋体" w:cs="宋体"/>
          <w:b/>
          <w:color w:val="auto"/>
          <w:sz w:val="24"/>
          <w:szCs w:val="24"/>
          <w:highlight w:val="none"/>
        </w:rPr>
      </w:pPr>
      <w:r>
        <w:rPr>
          <w:rFonts w:hint="eastAsia" w:hAnsi="宋体" w:cs="宋体"/>
          <w:b/>
          <w:color w:val="auto"/>
          <w:sz w:val="24"/>
          <w:szCs w:val="24"/>
          <w:highlight w:val="none"/>
        </w:rPr>
        <w:t>四、投诉事项具体内容</w:t>
      </w:r>
    </w:p>
    <w:p w14:paraId="5FA24422">
      <w:pPr>
        <w:pStyle w:val="16"/>
        <w:spacing w:line="360" w:lineRule="auto"/>
        <w:ind w:firstLine="472" w:firstLineChars="197"/>
        <w:rPr>
          <w:rFonts w:hAnsi="宋体" w:cs="宋体"/>
          <w:bCs/>
          <w:color w:val="auto"/>
          <w:sz w:val="24"/>
          <w:szCs w:val="24"/>
          <w:highlight w:val="none"/>
          <w:u w:val="single"/>
        </w:rPr>
      </w:pPr>
      <w:r>
        <w:rPr>
          <w:rFonts w:hint="eastAsia" w:hAnsi="宋体" w:cs="宋体"/>
          <w:color w:val="auto"/>
          <w:sz w:val="24"/>
          <w:szCs w:val="24"/>
          <w:highlight w:val="none"/>
        </w:rPr>
        <w:t>投诉事项1：</w:t>
      </w:r>
      <w:r>
        <w:rPr>
          <w:rFonts w:hint="eastAsia" w:hAnsi="宋体" w:cs="宋体"/>
          <w:bCs/>
          <w:color w:val="auto"/>
          <w:sz w:val="24"/>
          <w:szCs w:val="24"/>
          <w:highlight w:val="none"/>
          <w:u w:val="single"/>
        </w:rPr>
        <w:t xml:space="preserve">                                                                           </w:t>
      </w:r>
    </w:p>
    <w:p w14:paraId="6F1CBD7E">
      <w:pPr>
        <w:pStyle w:val="16"/>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事实依据：</w:t>
      </w: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3C9E6F41">
      <w:pPr>
        <w:pStyle w:val="16"/>
        <w:spacing w:line="360" w:lineRule="auto"/>
        <w:ind w:firstLine="472" w:firstLineChars="197"/>
        <w:rPr>
          <w:rFonts w:hAnsi="宋体" w:cs="宋体"/>
          <w:color w:val="auto"/>
          <w:sz w:val="24"/>
          <w:szCs w:val="24"/>
          <w:highlight w:val="none"/>
        </w:rPr>
      </w:pPr>
      <w:r>
        <w:rPr>
          <w:rFonts w:hint="eastAsia" w:hAnsi="宋体" w:cs="宋体"/>
          <w:bCs/>
          <w:color w:val="auto"/>
          <w:sz w:val="24"/>
          <w:szCs w:val="24"/>
          <w:highlight w:val="none"/>
          <w:u w:val="single"/>
        </w:rPr>
        <w:t xml:space="preserve">                                                                                        </w:t>
      </w:r>
    </w:p>
    <w:p w14:paraId="251EDA6B">
      <w:pPr>
        <w:pStyle w:val="16"/>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法律依据：</w:t>
      </w: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2BAE117D">
      <w:pPr>
        <w:pStyle w:val="16"/>
        <w:spacing w:line="360" w:lineRule="auto"/>
        <w:ind w:firstLine="352" w:firstLineChars="147"/>
        <w:rPr>
          <w:rFonts w:hAnsi="宋体" w:cs="宋体"/>
          <w:bCs/>
          <w:color w:val="auto"/>
          <w:sz w:val="24"/>
          <w:szCs w:val="24"/>
          <w:highlight w:val="none"/>
          <w:u w:val="single"/>
        </w:rPr>
      </w:pPr>
      <w:r>
        <w:rPr>
          <w:rFonts w:hint="eastAsia" w:hAnsi="宋体" w:cs="宋体"/>
          <w:bCs/>
          <w:color w:val="auto"/>
          <w:sz w:val="24"/>
          <w:szCs w:val="24"/>
          <w:highlight w:val="none"/>
        </w:rPr>
        <w:t xml:space="preserve"> </w:t>
      </w:r>
      <w:r>
        <w:rPr>
          <w:rFonts w:hint="eastAsia" w:hAnsi="宋体" w:cs="宋体"/>
          <w:bCs/>
          <w:color w:val="auto"/>
          <w:sz w:val="24"/>
          <w:szCs w:val="24"/>
          <w:highlight w:val="none"/>
          <w:u w:val="single"/>
        </w:rPr>
        <w:t xml:space="preserve">                                                                                        </w:t>
      </w:r>
    </w:p>
    <w:p w14:paraId="4FE1C159">
      <w:pPr>
        <w:pStyle w:val="16"/>
        <w:spacing w:line="360" w:lineRule="auto"/>
        <w:ind w:firstLine="472" w:firstLineChars="197"/>
        <w:rPr>
          <w:rFonts w:hAnsi="宋体" w:cs="宋体"/>
          <w:bCs/>
          <w:color w:val="auto"/>
          <w:sz w:val="24"/>
          <w:szCs w:val="24"/>
          <w:highlight w:val="none"/>
        </w:rPr>
      </w:pPr>
      <w:r>
        <w:rPr>
          <w:rFonts w:hint="eastAsia" w:hAnsi="宋体" w:cs="宋体"/>
          <w:color w:val="auto"/>
          <w:sz w:val="24"/>
          <w:szCs w:val="24"/>
          <w:highlight w:val="none"/>
        </w:rPr>
        <w:t xml:space="preserve">投诉事项2  </w:t>
      </w:r>
      <w:r>
        <w:rPr>
          <w:rFonts w:hint="eastAsia" w:hAnsi="宋体" w:cs="宋体"/>
          <w:bCs/>
          <w:color w:val="auto"/>
          <w:sz w:val="24"/>
          <w:szCs w:val="24"/>
          <w:highlight w:val="none"/>
        </w:rPr>
        <w:t xml:space="preserve">   </w:t>
      </w:r>
    </w:p>
    <w:p w14:paraId="22C3647A">
      <w:pPr>
        <w:pStyle w:val="16"/>
        <w:spacing w:line="360" w:lineRule="auto"/>
        <w:ind w:firstLine="472" w:firstLineChars="197"/>
        <w:rPr>
          <w:rFonts w:hAnsi="宋体" w:cs="宋体"/>
          <w:bCs/>
          <w:color w:val="auto"/>
          <w:sz w:val="24"/>
          <w:szCs w:val="24"/>
          <w:highlight w:val="none"/>
        </w:rPr>
      </w:pPr>
      <w:r>
        <w:rPr>
          <w:rFonts w:hint="eastAsia" w:hAnsi="宋体" w:cs="宋体"/>
          <w:bCs/>
          <w:color w:val="auto"/>
          <w:sz w:val="24"/>
          <w:szCs w:val="24"/>
          <w:highlight w:val="none"/>
        </w:rPr>
        <w:t>……</w:t>
      </w:r>
    </w:p>
    <w:p w14:paraId="3CF25A70">
      <w:pPr>
        <w:pStyle w:val="16"/>
        <w:spacing w:line="360" w:lineRule="auto"/>
        <w:ind w:firstLine="472" w:firstLineChars="196"/>
        <w:rPr>
          <w:rFonts w:hAnsi="宋体" w:cs="宋体"/>
          <w:b/>
          <w:color w:val="auto"/>
          <w:sz w:val="24"/>
          <w:szCs w:val="24"/>
          <w:highlight w:val="none"/>
        </w:rPr>
      </w:pPr>
      <w:r>
        <w:rPr>
          <w:rFonts w:hint="eastAsia" w:hAnsi="宋体" w:cs="宋体"/>
          <w:b/>
          <w:color w:val="auto"/>
          <w:sz w:val="24"/>
          <w:szCs w:val="24"/>
          <w:highlight w:val="none"/>
        </w:rPr>
        <w:t>五、与投诉事项相关的投诉请求：</w:t>
      </w:r>
    </w:p>
    <w:p w14:paraId="3884446B">
      <w:pPr>
        <w:pStyle w:val="16"/>
        <w:spacing w:line="360" w:lineRule="auto"/>
        <w:ind w:firstLine="472" w:firstLineChars="197"/>
        <w:rPr>
          <w:rFonts w:hAnsi="宋体" w:cs="宋体"/>
          <w:color w:val="auto"/>
          <w:sz w:val="24"/>
          <w:szCs w:val="24"/>
          <w:highlight w:val="none"/>
        </w:rPr>
      </w:pPr>
      <w:r>
        <w:rPr>
          <w:rFonts w:hint="eastAsia" w:hAnsi="宋体" w:cs="宋体"/>
          <w:color w:val="auto"/>
          <w:sz w:val="24"/>
          <w:szCs w:val="24"/>
          <w:highlight w:val="none"/>
        </w:rPr>
        <w:t>请求：</w:t>
      </w:r>
      <w:r>
        <w:rPr>
          <w:rFonts w:hint="eastAsia" w:hAnsi="宋体" w:cs="宋体"/>
          <w:bCs/>
          <w:color w:val="auto"/>
          <w:sz w:val="24"/>
          <w:szCs w:val="24"/>
          <w:highlight w:val="none"/>
          <w:u w:val="single"/>
        </w:rPr>
        <w:t xml:space="preserve">                                                                                 </w:t>
      </w:r>
    </w:p>
    <w:p w14:paraId="45418C85">
      <w:pPr>
        <w:pStyle w:val="16"/>
        <w:spacing w:line="360" w:lineRule="auto"/>
        <w:ind w:firstLine="352" w:firstLineChars="147"/>
        <w:rPr>
          <w:rFonts w:hAnsi="宋体" w:cs="宋体"/>
          <w:color w:val="auto"/>
          <w:sz w:val="24"/>
          <w:szCs w:val="24"/>
          <w:highlight w:val="none"/>
        </w:rPr>
      </w:pPr>
    </w:p>
    <w:p w14:paraId="7EB8A760">
      <w:pPr>
        <w:pStyle w:val="16"/>
        <w:spacing w:line="360" w:lineRule="auto"/>
        <w:ind w:firstLine="472" w:firstLineChars="197"/>
        <w:rPr>
          <w:rFonts w:hAnsi="宋体" w:cs="宋体"/>
          <w:color w:val="auto"/>
          <w:sz w:val="24"/>
          <w:szCs w:val="24"/>
          <w:highlight w:val="none"/>
          <w:u w:val="single"/>
        </w:rPr>
      </w:pPr>
      <w:r>
        <w:rPr>
          <w:rFonts w:hint="eastAsia" w:hAnsi="宋体" w:cs="宋体"/>
          <w:color w:val="auto"/>
          <w:sz w:val="24"/>
          <w:szCs w:val="24"/>
          <w:highlight w:val="none"/>
        </w:rPr>
        <w:t>签字（签章）：</w:t>
      </w:r>
      <w:r>
        <w:rPr>
          <w:rFonts w:hint="eastAsia" w:hAnsi="宋体" w:cs="宋体"/>
          <w:color w:val="auto"/>
          <w:sz w:val="24"/>
          <w:szCs w:val="24"/>
          <w:highlight w:val="none"/>
          <w:u w:val="single"/>
        </w:rPr>
        <w:t xml:space="preserve"> </w:t>
      </w:r>
      <w:r>
        <w:rPr>
          <w:rFonts w:hAnsi="宋体" w:cs="宋体"/>
          <w:color w:val="auto"/>
          <w:sz w:val="24"/>
          <w:szCs w:val="24"/>
          <w:highlight w:val="none"/>
          <w:u w:val="single"/>
        </w:rPr>
        <w:t xml:space="preserve">            </w:t>
      </w:r>
      <w:r>
        <w:rPr>
          <w:rFonts w:hint="eastAsia" w:hAnsi="宋体" w:cs="宋体"/>
          <w:color w:val="auto"/>
          <w:sz w:val="24"/>
          <w:szCs w:val="24"/>
          <w:highlight w:val="none"/>
        </w:rPr>
        <w:t xml:space="preserve">                          公章：</w:t>
      </w:r>
      <w:r>
        <w:rPr>
          <w:rFonts w:hAnsi="宋体" w:cs="宋体"/>
          <w:color w:val="auto"/>
          <w:sz w:val="24"/>
          <w:szCs w:val="24"/>
          <w:highlight w:val="none"/>
          <w:u w:val="single"/>
        </w:rPr>
        <w:t xml:space="preserve">            </w:t>
      </w:r>
    </w:p>
    <w:p w14:paraId="0CF9FEA5">
      <w:pPr>
        <w:pStyle w:val="16"/>
        <w:spacing w:line="360" w:lineRule="auto"/>
        <w:ind w:firstLine="352" w:firstLineChars="147"/>
        <w:rPr>
          <w:rFonts w:hAnsi="宋体" w:cs="宋体"/>
          <w:color w:val="auto"/>
          <w:sz w:val="24"/>
          <w:szCs w:val="24"/>
          <w:highlight w:val="none"/>
        </w:rPr>
      </w:pPr>
    </w:p>
    <w:p w14:paraId="6DAAC1A7">
      <w:pPr>
        <w:pStyle w:val="16"/>
        <w:spacing w:line="360" w:lineRule="auto"/>
        <w:ind w:firstLine="472" w:firstLineChars="197"/>
        <w:rPr>
          <w:rFonts w:hAnsi="宋体" w:cs="宋体"/>
          <w:color w:val="auto"/>
          <w:sz w:val="24"/>
          <w:szCs w:val="24"/>
          <w:highlight w:val="none"/>
        </w:rPr>
      </w:pPr>
      <w:r>
        <w:rPr>
          <w:rFonts w:hint="eastAsia" w:hAnsi="宋体" w:cs="宋体"/>
          <w:color w:val="auto"/>
          <w:sz w:val="24"/>
          <w:szCs w:val="24"/>
          <w:highlight w:val="none"/>
        </w:rPr>
        <w:t>日期：</w:t>
      </w:r>
      <w:r>
        <w:rPr>
          <w:rFonts w:hint="eastAsia" w:hAnsi="宋体" w:cs="宋体"/>
          <w:bCs/>
          <w:color w:val="auto"/>
          <w:sz w:val="24"/>
          <w:szCs w:val="24"/>
          <w:highlight w:val="none"/>
        </w:rPr>
        <w:t xml:space="preserve">    </w:t>
      </w:r>
      <w:r>
        <w:rPr>
          <w:rFonts w:hint="eastAsia" w:cs="宋体" w:asciiTheme="minorEastAsia" w:hAnsiTheme="minorEastAsia" w:eastAsiaTheme="minorEastAsia"/>
          <w:color w:val="auto"/>
          <w:spacing w:val="20"/>
          <w:sz w:val="24"/>
          <w:highlight w:val="none"/>
          <w:u w:val="single"/>
        </w:rPr>
        <w:t xml:space="preserve"> </w:t>
      </w:r>
      <w:r>
        <w:rPr>
          <w:rFonts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年</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月</w:t>
      </w:r>
      <w:r>
        <w:rPr>
          <w:rFonts w:hint="eastAsia" w:cs="宋体" w:asciiTheme="minorEastAsia" w:hAnsiTheme="minorEastAsia" w:eastAsiaTheme="minorEastAsia"/>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r>
        <w:rPr>
          <w:rFonts w:hint="eastAsia" w:cs="宋体" w:asciiTheme="minorEastAsia" w:hAnsiTheme="minorEastAsia" w:eastAsiaTheme="minorEastAsia"/>
          <w:bCs/>
          <w:color w:val="auto"/>
          <w:sz w:val="24"/>
          <w:szCs w:val="24"/>
          <w:highlight w:val="none"/>
        </w:rPr>
        <w:t xml:space="preserve"> </w:t>
      </w:r>
      <w:r>
        <w:rPr>
          <w:rFonts w:hint="eastAsia" w:hAnsi="宋体" w:cs="宋体"/>
          <w:bCs/>
          <w:color w:val="auto"/>
          <w:sz w:val="24"/>
          <w:szCs w:val="24"/>
          <w:highlight w:val="none"/>
        </w:rPr>
        <w:t xml:space="preserve">                                                        </w:t>
      </w:r>
    </w:p>
    <w:p w14:paraId="4AD408F8">
      <w:pPr>
        <w:pStyle w:val="16"/>
        <w:snapToGrid w:val="0"/>
        <w:spacing w:line="360" w:lineRule="auto"/>
        <w:rPr>
          <w:rFonts w:hAnsi="宋体" w:cs="宋体"/>
          <w:b/>
          <w:color w:val="auto"/>
          <w:sz w:val="24"/>
          <w:szCs w:val="24"/>
          <w:highlight w:val="none"/>
        </w:rPr>
      </w:pPr>
    </w:p>
    <w:p w14:paraId="4369021D">
      <w:pPr>
        <w:pStyle w:val="16"/>
        <w:snapToGrid w:val="0"/>
        <w:spacing w:line="360" w:lineRule="auto"/>
        <w:rPr>
          <w:rFonts w:ascii="楷体" w:hAnsi="楷体" w:eastAsia="楷体" w:cs="宋体"/>
          <w:b/>
          <w:color w:val="auto"/>
          <w:sz w:val="24"/>
          <w:szCs w:val="24"/>
          <w:highlight w:val="none"/>
        </w:rPr>
      </w:pPr>
      <w:r>
        <w:rPr>
          <w:rFonts w:hint="eastAsia" w:ascii="楷体" w:hAnsi="楷体" w:eastAsia="楷体" w:cs="宋体"/>
          <w:b/>
          <w:color w:val="auto"/>
          <w:sz w:val="24"/>
          <w:szCs w:val="24"/>
          <w:highlight w:val="none"/>
        </w:rPr>
        <w:t>说明：</w:t>
      </w:r>
    </w:p>
    <w:p w14:paraId="2E82DB38">
      <w:pPr>
        <w:pStyle w:val="16"/>
        <w:spacing w:line="360" w:lineRule="auto"/>
        <w:ind w:firstLine="354" w:firstLineChars="147"/>
        <w:rPr>
          <w:rFonts w:ascii="楷体" w:hAnsi="楷体" w:eastAsia="楷体" w:cs="宋体"/>
          <w:b/>
          <w:bCs/>
          <w:color w:val="auto"/>
          <w:sz w:val="24"/>
          <w:szCs w:val="24"/>
          <w:highlight w:val="none"/>
        </w:rPr>
      </w:pPr>
      <w:r>
        <w:rPr>
          <w:rFonts w:ascii="楷体" w:hAnsi="楷体" w:eastAsia="楷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楷体" w:hAnsi="楷体" w:eastAsia="楷体" w:cs="宋体"/>
          <w:b/>
          <w:bCs/>
          <w:color w:val="auto"/>
          <w:sz w:val="24"/>
          <w:szCs w:val="24"/>
          <w:highlight w:val="none"/>
        </w:rPr>
        <w:t>。</w:t>
      </w:r>
    </w:p>
    <w:p w14:paraId="6D20AE29">
      <w:pPr>
        <w:pStyle w:val="16"/>
        <w:spacing w:line="360" w:lineRule="auto"/>
        <w:ind w:firstLine="354" w:firstLineChars="147"/>
        <w:rPr>
          <w:rFonts w:ascii="楷体" w:hAnsi="楷体" w:eastAsia="楷体" w:cs="宋体"/>
          <w:b/>
          <w:color w:val="auto"/>
          <w:sz w:val="24"/>
          <w:szCs w:val="24"/>
          <w:highlight w:val="none"/>
        </w:rPr>
      </w:pPr>
      <w:r>
        <w:rPr>
          <w:rFonts w:ascii="楷体" w:hAnsi="楷体" w:eastAsia="楷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9C64B4A">
      <w:pPr>
        <w:pStyle w:val="16"/>
        <w:spacing w:line="360" w:lineRule="auto"/>
        <w:ind w:firstLine="354" w:firstLineChars="147"/>
        <w:rPr>
          <w:rFonts w:ascii="楷体" w:hAnsi="楷体" w:eastAsia="楷体" w:cs="宋体"/>
          <w:b/>
          <w:color w:val="auto"/>
          <w:sz w:val="24"/>
          <w:szCs w:val="24"/>
          <w:highlight w:val="none"/>
        </w:rPr>
      </w:pPr>
      <w:r>
        <w:rPr>
          <w:rFonts w:ascii="楷体" w:hAnsi="楷体" w:eastAsia="楷体" w:cs="宋体"/>
          <w:b/>
          <w:color w:val="auto"/>
          <w:sz w:val="24"/>
          <w:szCs w:val="24"/>
          <w:highlight w:val="none"/>
        </w:rPr>
        <w:t>3.投诉书应简要列明质疑事项，质疑函、质疑答复等作为附件材料提供。</w:t>
      </w:r>
    </w:p>
    <w:p w14:paraId="67431B0A">
      <w:pPr>
        <w:pStyle w:val="16"/>
        <w:spacing w:line="360" w:lineRule="auto"/>
        <w:ind w:firstLine="354" w:firstLineChars="147"/>
        <w:rPr>
          <w:rFonts w:ascii="楷体" w:hAnsi="楷体" w:eastAsia="楷体" w:cs="宋体"/>
          <w:b/>
          <w:color w:val="auto"/>
          <w:sz w:val="24"/>
          <w:szCs w:val="24"/>
          <w:highlight w:val="none"/>
        </w:rPr>
      </w:pPr>
      <w:r>
        <w:rPr>
          <w:rFonts w:ascii="楷体" w:hAnsi="楷体" w:eastAsia="楷体" w:cs="宋体"/>
          <w:b/>
          <w:color w:val="auto"/>
          <w:sz w:val="24"/>
          <w:szCs w:val="24"/>
          <w:highlight w:val="none"/>
        </w:rPr>
        <w:t>4.投诉书的投诉事项应具体、明确，并有必要的事实依据和法律依据。</w:t>
      </w:r>
    </w:p>
    <w:p w14:paraId="14714193">
      <w:pPr>
        <w:pStyle w:val="16"/>
        <w:spacing w:line="360" w:lineRule="auto"/>
        <w:ind w:firstLine="354" w:firstLineChars="147"/>
        <w:rPr>
          <w:rFonts w:ascii="楷体" w:hAnsi="楷体" w:eastAsia="楷体" w:cs="宋体"/>
          <w:b/>
          <w:color w:val="auto"/>
          <w:sz w:val="24"/>
          <w:szCs w:val="24"/>
          <w:highlight w:val="none"/>
        </w:rPr>
      </w:pPr>
      <w:r>
        <w:rPr>
          <w:rFonts w:ascii="楷体" w:hAnsi="楷体" w:eastAsia="楷体" w:cs="宋体"/>
          <w:b/>
          <w:color w:val="auto"/>
          <w:sz w:val="24"/>
          <w:szCs w:val="24"/>
          <w:highlight w:val="none"/>
        </w:rPr>
        <w:t>5.投诉书的投诉请求应与投诉事项相关。</w:t>
      </w:r>
    </w:p>
    <w:p w14:paraId="57ED704E">
      <w:pPr>
        <w:pStyle w:val="16"/>
        <w:spacing w:line="360" w:lineRule="auto"/>
        <w:ind w:firstLine="354" w:firstLineChars="147"/>
        <w:rPr>
          <w:rFonts w:ascii="楷体" w:hAnsi="楷体" w:eastAsia="楷体" w:cs="宋体"/>
          <w:b/>
          <w:color w:val="auto"/>
          <w:sz w:val="24"/>
          <w:szCs w:val="24"/>
          <w:highlight w:val="none"/>
        </w:rPr>
      </w:pPr>
      <w:r>
        <w:rPr>
          <w:rFonts w:ascii="楷体" w:hAnsi="楷体" w:eastAsia="楷体" w:cs="宋体"/>
          <w:b/>
          <w:color w:val="auto"/>
          <w:sz w:val="24"/>
          <w:szCs w:val="24"/>
          <w:highlight w:val="none"/>
        </w:rPr>
        <w:t>6.投诉人为法人或者其他组织的，投诉书应由法定代表人、主要负责人，或者其授权代表签字或者盖章，并加盖公章。</w:t>
      </w:r>
    </w:p>
    <w:p w14:paraId="4AFA3A40">
      <w:pPr>
        <w:pStyle w:val="2"/>
        <w:spacing w:before="0" w:after="0" w:line="360" w:lineRule="auto"/>
        <w:jc w:val="center"/>
        <w:rPr>
          <w:rFonts w:ascii="宋体" w:hAnsi="宋体" w:cs="宋体"/>
          <w:color w:val="auto"/>
          <w:highlight w:val="none"/>
        </w:rPr>
      </w:pPr>
      <w:bookmarkStart w:id="33" w:name="_Toc207390931"/>
      <w:r>
        <w:rPr>
          <w:rFonts w:hint="eastAsia" w:ascii="宋体" w:hAnsi="宋体" w:cs="宋体"/>
          <w:color w:val="auto"/>
          <w:highlight w:val="none"/>
        </w:rPr>
        <w:t>第六章 合同文本</w:t>
      </w:r>
      <w:bookmarkEnd w:id="33"/>
    </w:p>
    <w:p w14:paraId="7C9981E3">
      <w:pPr>
        <w:adjustRightInd w:val="0"/>
        <w:snapToGrid w:val="0"/>
        <w:spacing w:line="360" w:lineRule="auto"/>
        <w:ind w:firstLine="420" w:firstLineChars="200"/>
        <w:rPr>
          <w:rFonts w:ascii="宋体" w:hAnsi="宋体" w:cs="宋体"/>
          <w:color w:val="auto"/>
          <w:szCs w:val="21"/>
          <w:highlight w:val="none"/>
        </w:rPr>
      </w:pPr>
    </w:p>
    <w:p w14:paraId="2818DD19">
      <w:pPr>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一般货物类</w:t>
      </w:r>
    </w:p>
    <w:p w14:paraId="74D5446F">
      <w:pPr>
        <w:spacing w:line="440" w:lineRule="exact"/>
        <w:rPr>
          <w:rFonts w:ascii="宋体" w:hAnsi="宋体" w:cs="宋体"/>
          <w:color w:val="auto"/>
          <w:sz w:val="24"/>
          <w:highlight w:val="none"/>
        </w:rPr>
      </w:pPr>
      <w:r>
        <w:rPr>
          <w:rFonts w:hint="eastAsia" w:ascii="宋体" w:hAnsi="宋体" w:cs="宋体"/>
          <w:color w:val="auto"/>
          <w:sz w:val="24"/>
          <w:highlight w:val="none"/>
        </w:rPr>
        <w:t>项目名称：</w:t>
      </w:r>
    </w:p>
    <w:p w14:paraId="1ECC7F8C">
      <w:pPr>
        <w:spacing w:line="440" w:lineRule="exact"/>
        <w:rPr>
          <w:rFonts w:ascii="宋体" w:hAnsi="宋体" w:cs="宋体"/>
          <w:color w:val="auto"/>
          <w:sz w:val="24"/>
          <w:highlight w:val="none"/>
        </w:rPr>
      </w:pPr>
      <w:r>
        <w:rPr>
          <w:rFonts w:hint="eastAsia" w:ascii="宋体" w:hAnsi="宋体" w:cs="宋体"/>
          <w:color w:val="auto"/>
          <w:sz w:val="24"/>
          <w:highlight w:val="none"/>
        </w:rPr>
        <w:t>合同编号：</w:t>
      </w:r>
    </w:p>
    <w:p w14:paraId="2645F35B">
      <w:pPr>
        <w:spacing w:line="440" w:lineRule="exact"/>
        <w:rPr>
          <w:rFonts w:ascii="宋体" w:hAnsi="宋体" w:cs="宋体"/>
          <w:color w:val="auto"/>
          <w:sz w:val="24"/>
          <w:highlight w:val="none"/>
        </w:rPr>
      </w:pPr>
      <w:r>
        <w:rPr>
          <w:rFonts w:hint="eastAsia" w:ascii="宋体" w:hAnsi="宋体" w:cs="宋体"/>
          <w:color w:val="auto"/>
          <w:sz w:val="24"/>
          <w:highlight w:val="none"/>
        </w:rPr>
        <w:t>采购人（甲方）：</w:t>
      </w:r>
      <w:r>
        <w:rPr>
          <w:rFonts w:hint="eastAsia" w:ascii="宋体" w:hAnsi="宋体" w:cs="宋体"/>
          <w:color w:val="auto"/>
          <w:sz w:val="24"/>
          <w:highlight w:val="none"/>
          <w:lang w:eastAsia="zh-CN"/>
        </w:rPr>
        <w:t>广西自然资源职业技术学院</w:t>
      </w:r>
      <w:r>
        <w:rPr>
          <w:rFonts w:hint="eastAsia" w:ascii="宋体" w:hAnsi="宋体" w:cs="宋体"/>
          <w:color w:val="auto"/>
          <w:sz w:val="24"/>
          <w:highlight w:val="none"/>
        </w:rPr>
        <w:t xml:space="preserve">                      </w:t>
      </w:r>
    </w:p>
    <w:p w14:paraId="6495A733">
      <w:pPr>
        <w:spacing w:line="440" w:lineRule="exact"/>
        <w:rPr>
          <w:rFonts w:ascii="宋体" w:hAnsi="宋体" w:cs="宋体"/>
          <w:color w:val="auto"/>
          <w:sz w:val="24"/>
          <w:highlight w:val="none"/>
        </w:rPr>
      </w:pPr>
      <w:r>
        <w:rPr>
          <w:rFonts w:hint="eastAsia" w:ascii="宋体" w:hAnsi="宋体" w:cs="宋体"/>
          <w:color w:val="auto"/>
          <w:sz w:val="24"/>
          <w:highlight w:val="none"/>
        </w:rPr>
        <w:t xml:space="preserve">供应商（乙方）：   </w:t>
      </w:r>
    </w:p>
    <w:p w14:paraId="5C3C31C2">
      <w:pPr>
        <w:spacing w:line="440" w:lineRule="exact"/>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项目编号：</w:t>
      </w:r>
      <w:r>
        <w:rPr>
          <w:rFonts w:hint="eastAsia" w:ascii="宋体" w:hAnsi="宋体" w:cs="宋体"/>
          <w:color w:val="auto"/>
          <w:sz w:val="24"/>
          <w:highlight w:val="none"/>
          <w:u w:val="single"/>
          <w:lang w:val="en-US" w:eastAsia="zh-CN"/>
        </w:rPr>
        <w:t xml:space="preserve"> </w:t>
      </w:r>
    </w:p>
    <w:p w14:paraId="0C4DBE57">
      <w:pPr>
        <w:spacing w:line="440" w:lineRule="exact"/>
        <w:rPr>
          <w:rFonts w:ascii="宋体" w:hAnsi="宋体" w:cs="宋体"/>
          <w:color w:val="auto"/>
          <w:sz w:val="24"/>
          <w:highlight w:val="none"/>
        </w:rPr>
      </w:pPr>
      <w:r>
        <w:rPr>
          <w:rFonts w:hint="eastAsia" w:ascii="宋体" w:hAnsi="宋体" w:cs="宋体"/>
          <w:color w:val="auto"/>
          <w:sz w:val="24"/>
          <w:highlight w:val="none"/>
        </w:rPr>
        <w:t>签订地点：</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 xml:space="preserve">  </w:t>
      </w:r>
    </w:p>
    <w:p w14:paraId="34DBB9AE">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本合同为中小企业预留合同：（是</w:t>
      </w:r>
      <w:r>
        <w:rPr>
          <w:rFonts w:hint="eastAsia" w:ascii="黑体" w:hAnsi="黑体" w:eastAsia="黑体" w:cs="宋体"/>
          <w:b/>
          <w:color w:val="auto"/>
          <w:sz w:val="24"/>
          <w:highlight w:val="none"/>
        </w:rPr>
        <w:t>□</w:t>
      </w:r>
      <w:r>
        <w:rPr>
          <w:rFonts w:hint="eastAsia" w:ascii="宋体" w:hAnsi="宋体" w:cs="宋体"/>
          <w:color w:val="auto"/>
          <w:sz w:val="24"/>
          <w:highlight w:val="none"/>
        </w:rPr>
        <w:t>/否</w:t>
      </w:r>
      <w:r>
        <w:rPr>
          <w:rFonts w:hint="eastAsia" w:ascii="黑体" w:hAnsi="黑体" w:eastAsia="黑体" w:cs="宋体"/>
          <w:b/>
          <w:color w:val="auto"/>
          <w:sz w:val="24"/>
          <w:highlight w:val="none"/>
        </w:rPr>
        <w:t>□</w:t>
      </w:r>
      <w:r>
        <w:rPr>
          <w:rFonts w:hint="eastAsia" w:ascii="宋体" w:hAnsi="宋体" w:cs="宋体"/>
          <w:color w:val="auto"/>
          <w:sz w:val="24"/>
          <w:highlight w:val="none"/>
        </w:rPr>
        <w:t>）</w:t>
      </w:r>
    </w:p>
    <w:p w14:paraId="5EE8FFDD">
      <w:pPr>
        <w:pStyle w:val="35"/>
        <w:rPr>
          <w:color w:val="auto"/>
          <w:highlight w:val="none"/>
        </w:rPr>
      </w:pPr>
    </w:p>
    <w:p w14:paraId="1D8BC16F">
      <w:pPr>
        <w:snapToGrid w:val="0"/>
        <w:spacing w:line="360" w:lineRule="auto"/>
        <w:ind w:firstLine="480" w:firstLineChars="200"/>
        <w:rPr>
          <w:rFonts w:ascii="宋体" w:hAnsi="宋体" w:cs="宋体"/>
          <w:color w:val="auto"/>
          <w:sz w:val="24"/>
          <w:highlight w:val="none"/>
        </w:rPr>
      </w:pPr>
      <w:bookmarkStart w:id="34" w:name="_Hlk55381736"/>
    </w:p>
    <w:p w14:paraId="1588912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根据《中华人民共和国政府采购法》《中华人民共和国民法典》等法律、法规规定，按照竞争性谈判采购文件规定条款和成交供应商承诺，甲乙双方签订本合同。</w:t>
      </w:r>
    </w:p>
    <w:p w14:paraId="08B80E5A">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第一条　合同标的</w:t>
      </w:r>
    </w:p>
    <w:p w14:paraId="18108E8D">
      <w:pPr>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w:t>
      </w:r>
      <w:r>
        <w:rPr>
          <w:rFonts w:hint="eastAsia" w:ascii="宋体" w:hAnsi="宋体" w:cs="宋体"/>
          <w:color w:val="auto"/>
          <w:sz w:val="24"/>
          <w:highlight w:val="none"/>
        </w:rPr>
        <w:t>供货一览表</w:t>
      </w:r>
    </w:p>
    <w:tbl>
      <w:tblPr>
        <w:tblStyle w:val="29"/>
        <w:tblW w:w="10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34"/>
        <w:gridCol w:w="1134"/>
        <w:gridCol w:w="1276"/>
        <w:gridCol w:w="1134"/>
        <w:gridCol w:w="992"/>
        <w:gridCol w:w="709"/>
        <w:gridCol w:w="830"/>
        <w:gridCol w:w="1722"/>
        <w:gridCol w:w="1276"/>
      </w:tblGrid>
      <w:tr w14:paraId="33E1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709" w:type="dxa"/>
            <w:vAlign w:val="center"/>
          </w:tcPr>
          <w:p w14:paraId="7458F517">
            <w:pPr>
              <w:snapToGrid w:val="0"/>
              <w:spacing w:line="460" w:lineRule="exac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034" w:type="dxa"/>
            <w:vAlign w:val="center"/>
          </w:tcPr>
          <w:p w14:paraId="13BF5A4F">
            <w:pPr>
              <w:snapToGrid w:val="0"/>
              <w:spacing w:line="460" w:lineRule="exact"/>
              <w:jc w:val="center"/>
              <w:rPr>
                <w:rFonts w:ascii="宋体" w:hAnsi="宋体" w:cs="宋体"/>
                <w:b/>
                <w:color w:val="auto"/>
                <w:sz w:val="24"/>
                <w:highlight w:val="none"/>
              </w:rPr>
            </w:pPr>
            <w:r>
              <w:rPr>
                <w:rFonts w:hint="eastAsia" w:ascii="宋体" w:hAnsi="宋体" w:cs="宋体"/>
                <w:b/>
                <w:color w:val="auto"/>
                <w:sz w:val="24"/>
                <w:highlight w:val="none"/>
              </w:rPr>
              <w:t>标的名称</w:t>
            </w:r>
          </w:p>
        </w:tc>
        <w:tc>
          <w:tcPr>
            <w:tcW w:w="1134" w:type="dxa"/>
            <w:vAlign w:val="center"/>
          </w:tcPr>
          <w:p w14:paraId="2EF8525B">
            <w:pPr>
              <w:snapToGrid w:val="0"/>
              <w:spacing w:line="460" w:lineRule="exact"/>
              <w:jc w:val="center"/>
              <w:rPr>
                <w:rFonts w:ascii="宋体" w:hAnsi="宋体" w:cs="宋体"/>
                <w:b/>
                <w:color w:val="auto"/>
                <w:sz w:val="24"/>
                <w:highlight w:val="none"/>
              </w:rPr>
            </w:pPr>
            <w:r>
              <w:rPr>
                <w:rFonts w:hint="eastAsia" w:ascii="宋体" w:hAnsi="宋体" w:cs="宋体"/>
                <w:b/>
                <w:color w:val="auto"/>
                <w:sz w:val="24"/>
                <w:highlight w:val="none"/>
              </w:rPr>
              <w:t>商标品牌</w:t>
            </w:r>
          </w:p>
        </w:tc>
        <w:tc>
          <w:tcPr>
            <w:tcW w:w="1276" w:type="dxa"/>
            <w:vAlign w:val="center"/>
          </w:tcPr>
          <w:p w14:paraId="077C35BE">
            <w:pPr>
              <w:snapToGrid w:val="0"/>
              <w:spacing w:line="460" w:lineRule="exact"/>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1134" w:type="dxa"/>
            <w:vAlign w:val="center"/>
          </w:tcPr>
          <w:p w14:paraId="432674D8">
            <w:pPr>
              <w:snapToGrid w:val="0"/>
              <w:jc w:val="center"/>
              <w:rPr>
                <w:rFonts w:ascii="宋体" w:hAnsi="宋体" w:cs="宋体"/>
                <w:b/>
                <w:color w:val="auto"/>
                <w:sz w:val="24"/>
                <w:highlight w:val="none"/>
              </w:rPr>
            </w:pPr>
            <w:r>
              <w:rPr>
                <w:rFonts w:hint="eastAsia" w:ascii="宋体" w:hAnsi="宋体" w:cs="宋体"/>
                <w:b/>
                <w:color w:val="auto"/>
                <w:sz w:val="24"/>
                <w:highlight w:val="none"/>
              </w:rPr>
              <w:t>生产厂家</w:t>
            </w:r>
          </w:p>
        </w:tc>
        <w:tc>
          <w:tcPr>
            <w:tcW w:w="992" w:type="dxa"/>
            <w:vAlign w:val="center"/>
          </w:tcPr>
          <w:p w14:paraId="355D4C80">
            <w:pPr>
              <w:snapToGrid w:val="0"/>
              <w:jc w:val="center"/>
              <w:rPr>
                <w:rFonts w:ascii="宋体" w:hAnsi="宋体" w:cs="宋体"/>
                <w:b/>
                <w:color w:val="auto"/>
                <w:sz w:val="24"/>
                <w:highlight w:val="none"/>
              </w:rPr>
            </w:pPr>
            <w:r>
              <w:rPr>
                <w:rFonts w:hint="eastAsia" w:ascii="宋体" w:hAnsi="宋体" w:cs="宋体"/>
                <w:b/>
                <w:color w:val="auto"/>
                <w:sz w:val="24"/>
                <w:highlight w:val="none"/>
              </w:rPr>
              <w:t>产地</w:t>
            </w:r>
          </w:p>
        </w:tc>
        <w:tc>
          <w:tcPr>
            <w:tcW w:w="709" w:type="dxa"/>
            <w:vAlign w:val="center"/>
          </w:tcPr>
          <w:p w14:paraId="574C8FA8">
            <w:pPr>
              <w:snapToGrid w:val="0"/>
              <w:jc w:val="center"/>
              <w:rPr>
                <w:rFonts w:ascii="宋体" w:hAnsi="宋体" w:cs="宋体"/>
                <w:b/>
                <w:color w:val="auto"/>
                <w:sz w:val="24"/>
                <w:highlight w:val="none"/>
              </w:rPr>
            </w:pPr>
            <w:r>
              <w:rPr>
                <w:rFonts w:hint="eastAsia" w:ascii="宋体" w:hAnsi="宋体" w:cs="宋体"/>
                <w:b/>
                <w:color w:val="auto"/>
                <w:sz w:val="24"/>
                <w:highlight w:val="none"/>
              </w:rPr>
              <w:t>数  量</w:t>
            </w:r>
          </w:p>
        </w:tc>
        <w:tc>
          <w:tcPr>
            <w:tcW w:w="830" w:type="dxa"/>
            <w:vAlign w:val="center"/>
          </w:tcPr>
          <w:p w14:paraId="2F3012F9">
            <w:pPr>
              <w:snapToGrid w:val="0"/>
              <w:jc w:val="center"/>
              <w:rPr>
                <w:rFonts w:ascii="宋体" w:hAnsi="宋体" w:cs="宋体"/>
                <w:b/>
                <w:color w:val="auto"/>
                <w:sz w:val="24"/>
                <w:highlight w:val="none"/>
              </w:rPr>
            </w:pPr>
            <w:r>
              <w:rPr>
                <w:rFonts w:hint="eastAsia" w:ascii="宋体" w:hAnsi="宋体" w:cs="宋体"/>
                <w:b/>
                <w:color w:val="auto"/>
                <w:sz w:val="24"/>
                <w:highlight w:val="none"/>
              </w:rPr>
              <w:t>单位</w:t>
            </w:r>
          </w:p>
        </w:tc>
        <w:tc>
          <w:tcPr>
            <w:tcW w:w="1722" w:type="dxa"/>
            <w:vAlign w:val="center"/>
          </w:tcPr>
          <w:p w14:paraId="6254A65C">
            <w:pPr>
              <w:snapToGrid w:val="0"/>
              <w:jc w:val="center"/>
              <w:rPr>
                <w:rFonts w:ascii="宋体" w:hAnsi="宋体" w:cs="宋体"/>
                <w:b/>
                <w:color w:val="auto"/>
                <w:sz w:val="24"/>
                <w:highlight w:val="none"/>
              </w:rPr>
            </w:pPr>
            <w:r>
              <w:rPr>
                <w:rFonts w:hint="eastAsia" w:ascii="宋体" w:hAnsi="宋体" w:cs="宋体"/>
                <w:b/>
                <w:color w:val="auto"/>
                <w:sz w:val="24"/>
                <w:highlight w:val="none"/>
              </w:rPr>
              <w:t>单  价</w:t>
            </w:r>
          </w:p>
          <w:p w14:paraId="647EF155">
            <w:pPr>
              <w:snapToGrid w:val="0"/>
              <w:jc w:val="center"/>
              <w:rPr>
                <w:rFonts w:ascii="宋体" w:hAnsi="宋体" w:cs="宋体"/>
                <w:b/>
                <w:color w:val="auto"/>
                <w:sz w:val="24"/>
                <w:highlight w:val="none"/>
              </w:rPr>
            </w:pPr>
            <w:r>
              <w:rPr>
                <w:rFonts w:hint="eastAsia" w:ascii="宋体" w:hAnsi="宋体" w:cs="宋体"/>
                <w:b/>
                <w:color w:val="auto"/>
                <w:sz w:val="24"/>
                <w:highlight w:val="none"/>
              </w:rPr>
              <w:t>（元/人民币）</w:t>
            </w:r>
          </w:p>
        </w:tc>
        <w:tc>
          <w:tcPr>
            <w:tcW w:w="1276" w:type="dxa"/>
            <w:vAlign w:val="center"/>
          </w:tcPr>
          <w:p w14:paraId="74FD48E1">
            <w:pPr>
              <w:snapToGrid w:val="0"/>
              <w:jc w:val="center"/>
              <w:rPr>
                <w:rFonts w:ascii="宋体" w:hAnsi="宋体" w:cs="宋体"/>
                <w:b/>
                <w:color w:val="auto"/>
                <w:sz w:val="24"/>
                <w:highlight w:val="none"/>
              </w:rPr>
            </w:pPr>
            <w:r>
              <w:rPr>
                <w:rFonts w:hint="eastAsia" w:ascii="宋体" w:hAnsi="宋体" w:cs="宋体"/>
                <w:b/>
                <w:color w:val="auto"/>
                <w:sz w:val="24"/>
                <w:highlight w:val="none"/>
              </w:rPr>
              <w:t>单项合计</w:t>
            </w:r>
            <w:r>
              <w:rPr>
                <w:rFonts w:hint="eastAsia" w:ascii="宋体" w:hAnsi="宋体" w:cs="宋体"/>
                <w:b/>
                <w:color w:val="auto"/>
                <w:szCs w:val="21"/>
                <w:highlight w:val="none"/>
              </w:rPr>
              <w:t>（元/人民币）</w:t>
            </w:r>
          </w:p>
        </w:tc>
      </w:tr>
      <w:tr w14:paraId="4218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vAlign w:val="center"/>
          </w:tcPr>
          <w:p w14:paraId="7AA99A42">
            <w:pPr>
              <w:snapToGrid w:val="0"/>
              <w:spacing w:line="46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1034" w:type="dxa"/>
            <w:vAlign w:val="center"/>
          </w:tcPr>
          <w:p w14:paraId="578FD282">
            <w:pPr>
              <w:snapToGrid w:val="0"/>
              <w:spacing w:line="460" w:lineRule="exact"/>
              <w:jc w:val="center"/>
              <w:rPr>
                <w:rFonts w:ascii="宋体" w:hAnsi="宋体" w:cs="宋体"/>
                <w:color w:val="auto"/>
                <w:sz w:val="24"/>
                <w:highlight w:val="none"/>
              </w:rPr>
            </w:pPr>
          </w:p>
        </w:tc>
        <w:tc>
          <w:tcPr>
            <w:tcW w:w="1134" w:type="dxa"/>
            <w:vAlign w:val="center"/>
          </w:tcPr>
          <w:p w14:paraId="438B9ADF">
            <w:pPr>
              <w:snapToGrid w:val="0"/>
              <w:spacing w:line="460" w:lineRule="exact"/>
              <w:jc w:val="center"/>
              <w:rPr>
                <w:rFonts w:ascii="宋体" w:hAnsi="宋体" w:cs="宋体"/>
                <w:color w:val="auto"/>
                <w:sz w:val="24"/>
                <w:highlight w:val="none"/>
              </w:rPr>
            </w:pPr>
          </w:p>
        </w:tc>
        <w:tc>
          <w:tcPr>
            <w:tcW w:w="1276" w:type="dxa"/>
            <w:vAlign w:val="center"/>
          </w:tcPr>
          <w:p w14:paraId="5DC12817">
            <w:pPr>
              <w:snapToGrid w:val="0"/>
              <w:spacing w:line="460" w:lineRule="exact"/>
              <w:jc w:val="center"/>
              <w:rPr>
                <w:rFonts w:ascii="宋体" w:hAnsi="宋体" w:cs="宋体"/>
                <w:color w:val="auto"/>
                <w:sz w:val="24"/>
                <w:highlight w:val="none"/>
              </w:rPr>
            </w:pPr>
          </w:p>
        </w:tc>
        <w:tc>
          <w:tcPr>
            <w:tcW w:w="1134" w:type="dxa"/>
          </w:tcPr>
          <w:p w14:paraId="562BD458">
            <w:pPr>
              <w:snapToGrid w:val="0"/>
              <w:spacing w:line="460" w:lineRule="exact"/>
              <w:jc w:val="center"/>
              <w:rPr>
                <w:rFonts w:ascii="宋体" w:hAnsi="宋体" w:cs="宋体"/>
                <w:color w:val="auto"/>
                <w:sz w:val="24"/>
                <w:highlight w:val="none"/>
              </w:rPr>
            </w:pPr>
          </w:p>
        </w:tc>
        <w:tc>
          <w:tcPr>
            <w:tcW w:w="992" w:type="dxa"/>
            <w:vAlign w:val="center"/>
          </w:tcPr>
          <w:p w14:paraId="6A7E1393">
            <w:pPr>
              <w:snapToGrid w:val="0"/>
              <w:spacing w:line="460" w:lineRule="exact"/>
              <w:jc w:val="center"/>
              <w:rPr>
                <w:rFonts w:ascii="宋体" w:hAnsi="宋体" w:cs="宋体"/>
                <w:color w:val="auto"/>
                <w:sz w:val="24"/>
                <w:highlight w:val="none"/>
              </w:rPr>
            </w:pPr>
          </w:p>
        </w:tc>
        <w:tc>
          <w:tcPr>
            <w:tcW w:w="709" w:type="dxa"/>
            <w:vAlign w:val="center"/>
          </w:tcPr>
          <w:p w14:paraId="01C1E5EB">
            <w:pPr>
              <w:snapToGrid w:val="0"/>
              <w:spacing w:line="460" w:lineRule="exact"/>
              <w:jc w:val="center"/>
              <w:rPr>
                <w:rFonts w:ascii="宋体" w:hAnsi="宋体" w:cs="宋体"/>
                <w:color w:val="auto"/>
                <w:sz w:val="24"/>
                <w:highlight w:val="none"/>
              </w:rPr>
            </w:pPr>
          </w:p>
        </w:tc>
        <w:tc>
          <w:tcPr>
            <w:tcW w:w="830" w:type="dxa"/>
          </w:tcPr>
          <w:p w14:paraId="069E10FC">
            <w:pPr>
              <w:snapToGrid w:val="0"/>
              <w:spacing w:line="460" w:lineRule="exact"/>
              <w:jc w:val="center"/>
              <w:rPr>
                <w:rFonts w:ascii="宋体" w:hAnsi="宋体" w:cs="宋体"/>
                <w:color w:val="auto"/>
                <w:sz w:val="24"/>
                <w:highlight w:val="none"/>
              </w:rPr>
            </w:pPr>
          </w:p>
        </w:tc>
        <w:tc>
          <w:tcPr>
            <w:tcW w:w="1722" w:type="dxa"/>
            <w:vAlign w:val="center"/>
          </w:tcPr>
          <w:p w14:paraId="78FE5841">
            <w:pPr>
              <w:snapToGrid w:val="0"/>
              <w:spacing w:line="460" w:lineRule="exact"/>
              <w:jc w:val="center"/>
              <w:rPr>
                <w:rFonts w:ascii="宋体" w:hAnsi="宋体" w:cs="宋体"/>
                <w:color w:val="auto"/>
                <w:sz w:val="24"/>
                <w:highlight w:val="none"/>
              </w:rPr>
            </w:pPr>
          </w:p>
        </w:tc>
        <w:tc>
          <w:tcPr>
            <w:tcW w:w="1276" w:type="dxa"/>
          </w:tcPr>
          <w:p w14:paraId="508CBC19">
            <w:pPr>
              <w:snapToGrid w:val="0"/>
              <w:spacing w:line="460" w:lineRule="exact"/>
              <w:jc w:val="center"/>
              <w:rPr>
                <w:rFonts w:ascii="宋体" w:hAnsi="宋体" w:cs="宋体"/>
                <w:color w:val="auto"/>
                <w:sz w:val="24"/>
                <w:highlight w:val="none"/>
              </w:rPr>
            </w:pPr>
          </w:p>
        </w:tc>
      </w:tr>
      <w:tr w14:paraId="1131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vAlign w:val="center"/>
          </w:tcPr>
          <w:p w14:paraId="7BFA435E">
            <w:pPr>
              <w:snapToGrid w:val="0"/>
              <w:spacing w:line="460" w:lineRule="exact"/>
              <w:jc w:val="center"/>
              <w:rPr>
                <w:rFonts w:ascii="宋体" w:hAnsi="宋体" w:cs="宋体"/>
                <w:color w:val="auto"/>
                <w:sz w:val="24"/>
                <w:highlight w:val="none"/>
              </w:rPr>
            </w:pPr>
          </w:p>
        </w:tc>
        <w:tc>
          <w:tcPr>
            <w:tcW w:w="1034" w:type="dxa"/>
            <w:vAlign w:val="center"/>
          </w:tcPr>
          <w:p w14:paraId="4AF763AF">
            <w:pPr>
              <w:snapToGrid w:val="0"/>
              <w:spacing w:line="460" w:lineRule="exact"/>
              <w:jc w:val="center"/>
              <w:rPr>
                <w:rFonts w:ascii="宋体" w:hAnsi="宋体" w:cs="宋体"/>
                <w:color w:val="auto"/>
                <w:sz w:val="24"/>
                <w:highlight w:val="none"/>
              </w:rPr>
            </w:pPr>
          </w:p>
        </w:tc>
        <w:tc>
          <w:tcPr>
            <w:tcW w:w="1134" w:type="dxa"/>
            <w:vAlign w:val="center"/>
          </w:tcPr>
          <w:p w14:paraId="0FB81834">
            <w:pPr>
              <w:snapToGrid w:val="0"/>
              <w:spacing w:line="460" w:lineRule="exact"/>
              <w:jc w:val="center"/>
              <w:rPr>
                <w:rFonts w:ascii="宋体" w:hAnsi="宋体" w:cs="宋体"/>
                <w:color w:val="auto"/>
                <w:sz w:val="24"/>
                <w:highlight w:val="none"/>
              </w:rPr>
            </w:pPr>
          </w:p>
        </w:tc>
        <w:tc>
          <w:tcPr>
            <w:tcW w:w="1276" w:type="dxa"/>
            <w:vAlign w:val="center"/>
          </w:tcPr>
          <w:p w14:paraId="24853E63">
            <w:pPr>
              <w:snapToGrid w:val="0"/>
              <w:spacing w:line="460" w:lineRule="exact"/>
              <w:jc w:val="center"/>
              <w:rPr>
                <w:rFonts w:ascii="宋体" w:hAnsi="宋体" w:cs="宋体"/>
                <w:color w:val="auto"/>
                <w:sz w:val="24"/>
                <w:highlight w:val="none"/>
              </w:rPr>
            </w:pPr>
          </w:p>
        </w:tc>
        <w:tc>
          <w:tcPr>
            <w:tcW w:w="1134" w:type="dxa"/>
          </w:tcPr>
          <w:p w14:paraId="26B717FC">
            <w:pPr>
              <w:snapToGrid w:val="0"/>
              <w:spacing w:line="460" w:lineRule="exact"/>
              <w:jc w:val="center"/>
              <w:rPr>
                <w:rFonts w:ascii="宋体" w:hAnsi="宋体" w:cs="宋体"/>
                <w:color w:val="auto"/>
                <w:sz w:val="24"/>
                <w:highlight w:val="none"/>
              </w:rPr>
            </w:pPr>
          </w:p>
        </w:tc>
        <w:tc>
          <w:tcPr>
            <w:tcW w:w="992" w:type="dxa"/>
            <w:vAlign w:val="center"/>
          </w:tcPr>
          <w:p w14:paraId="591FE4FA">
            <w:pPr>
              <w:snapToGrid w:val="0"/>
              <w:spacing w:line="460" w:lineRule="exact"/>
              <w:jc w:val="center"/>
              <w:rPr>
                <w:rFonts w:ascii="宋体" w:hAnsi="宋体" w:cs="宋体"/>
                <w:color w:val="auto"/>
                <w:sz w:val="24"/>
                <w:highlight w:val="none"/>
              </w:rPr>
            </w:pPr>
          </w:p>
        </w:tc>
        <w:tc>
          <w:tcPr>
            <w:tcW w:w="709" w:type="dxa"/>
            <w:vAlign w:val="center"/>
          </w:tcPr>
          <w:p w14:paraId="37A04122">
            <w:pPr>
              <w:snapToGrid w:val="0"/>
              <w:spacing w:line="460" w:lineRule="exact"/>
              <w:jc w:val="center"/>
              <w:rPr>
                <w:rFonts w:ascii="宋体" w:hAnsi="宋体" w:cs="宋体"/>
                <w:color w:val="auto"/>
                <w:sz w:val="24"/>
                <w:highlight w:val="none"/>
              </w:rPr>
            </w:pPr>
          </w:p>
        </w:tc>
        <w:tc>
          <w:tcPr>
            <w:tcW w:w="830" w:type="dxa"/>
          </w:tcPr>
          <w:p w14:paraId="19EF87ED">
            <w:pPr>
              <w:snapToGrid w:val="0"/>
              <w:spacing w:line="460" w:lineRule="exact"/>
              <w:jc w:val="center"/>
              <w:rPr>
                <w:rFonts w:ascii="宋体" w:hAnsi="宋体" w:cs="宋体"/>
                <w:color w:val="auto"/>
                <w:sz w:val="24"/>
                <w:highlight w:val="none"/>
              </w:rPr>
            </w:pPr>
          </w:p>
        </w:tc>
        <w:tc>
          <w:tcPr>
            <w:tcW w:w="1722" w:type="dxa"/>
            <w:vAlign w:val="center"/>
          </w:tcPr>
          <w:p w14:paraId="153E4905">
            <w:pPr>
              <w:snapToGrid w:val="0"/>
              <w:spacing w:line="460" w:lineRule="exact"/>
              <w:jc w:val="center"/>
              <w:rPr>
                <w:rFonts w:ascii="宋体" w:hAnsi="宋体" w:cs="宋体"/>
                <w:color w:val="auto"/>
                <w:sz w:val="24"/>
                <w:highlight w:val="none"/>
              </w:rPr>
            </w:pPr>
          </w:p>
        </w:tc>
        <w:tc>
          <w:tcPr>
            <w:tcW w:w="1276" w:type="dxa"/>
          </w:tcPr>
          <w:p w14:paraId="118407F5">
            <w:pPr>
              <w:snapToGrid w:val="0"/>
              <w:spacing w:line="460" w:lineRule="exact"/>
              <w:jc w:val="center"/>
              <w:rPr>
                <w:rFonts w:ascii="宋体" w:hAnsi="宋体" w:cs="宋体"/>
                <w:color w:val="auto"/>
                <w:sz w:val="24"/>
                <w:highlight w:val="none"/>
              </w:rPr>
            </w:pPr>
          </w:p>
        </w:tc>
      </w:tr>
      <w:tr w14:paraId="07C7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10816" w:type="dxa"/>
            <w:gridSpan w:val="10"/>
          </w:tcPr>
          <w:p w14:paraId="53CD5878">
            <w:pPr>
              <w:snapToGrid w:val="0"/>
              <w:spacing w:line="460" w:lineRule="exact"/>
              <w:jc w:val="left"/>
              <w:rPr>
                <w:rFonts w:ascii="宋体" w:hAnsi="宋体" w:cs="宋体"/>
                <w:color w:val="auto"/>
                <w:sz w:val="24"/>
                <w:highlight w:val="none"/>
              </w:rPr>
            </w:pPr>
            <w:r>
              <w:rPr>
                <w:rFonts w:hint="eastAsia" w:ascii="宋体" w:hAnsi="宋体" w:cs="宋体"/>
                <w:color w:val="auto"/>
                <w:sz w:val="24"/>
                <w:highlight w:val="none"/>
              </w:rPr>
              <w:t>合计金额（人民币大写</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b/>
                <w:bCs/>
                <w:color w:val="auto"/>
                <w:sz w:val="24"/>
                <w:highlight w:val="none"/>
                <w:u w:val="single"/>
              </w:rPr>
              <w:t xml:space="preserve"> </w:t>
            </w:r>
            <w:r>
              <w:rPr>
                <w:rFonts w:ascii="宋体" w:hAnsi="宋体" w:cs="宋体"/>
                <w:b/>
                <w:bCs/>
                <w:color w:val="auto"/>
                <w:sz w:val="24"/>
                <w:highlight w:val="none"/>
                <w:u w:val="single"/>
              </w:rPr>
              <w:t xml:space="preserve">            </w:t>
            </w:r>
            <w:r>
              <w:rPr>
                <w:rFonts w:ascii="宋体" w:hAnsi="宋体" w:cs="宋体"/>
                <w:bCs/>
                <w:color w:val="auto"/>
                <w:sz w:val="24"/>
                <w:highlight w:val="none"/>
                <w:u w:val="single"/>
              </w:rPr>
              <w:t xml:space="preserve"> </w:t>
            </w:r>
            <w:r>
              <w:rPr>
                <w:rFonts w:hint="eastAsia" w:ascii="宋体" w:hAnsi="宋体" w:cs="宋体"/>
                <w:bCs/>
                <w:color w:val="auto"/>
                <w:sz w:val="24"/>
                <w:highlight w:val="none"/>
              </w:rPr>
              <w:t>（小写）</w:t>
            </w:r>
            <w:r>
              <w:rPr>
                <w:rFonts w:hint="eastAsia" w:ascii="宋体" w:hAnsi="宋体" w:cs="宋体"/>
                <w:bCs/>
                <w:color w:val="auto"/>
                <w:sz w:val="24"/>
                <w:highlight w:val="none"/>
                <w:u w:val="single"/>
              </w:rPr>
              <w:t xml:space="preserve">¥ </w:t>
            </w:r>
            <w:r>
              <w:rPr>
                <w:rFonts w:ascii="宋体" w:hAnsi="宋体" w:cs="宋体"/>
                <w:bCs/>
                <w:color w:val="auto"/>
                <w:sz w:val="24"/>
                <w:highlight w:val="none"/>
                <w:u w:val="single"/>
              </w:rPr>
              <w:t xml:space="preserve">         </w:t>
            </w:r>
          </w:p>
        </w:tc>
      </w:tr>
    </w:tbl>
    <w:p w14:paraId="66AB2C0C">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合同合计金额包括货物价款、配套软件、标准附件、随配附件、备品备件、辅助材料、专用工具、包装、运抵指定交货地点、运输、装卸、完工清场清洁、货到就位、安装、调试、检验、技术培训、技术资料、售后服务、保险、投标费用、预验收及履约验收及售后服务、人工费、一切税费等全部费用。税费因政策等原因发生变化的，由乙方承担。合同履行过程中，甲方不再支付合同以外的其他费用。</w:t>
      </w:r>
    </w:p>
    <w:p w14:paraId="35A862A2">
      <w:pPr>
        <w:snapToGrid w:val="0"/>
        <w:spacing w:line="46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第二条　质量要求</w:t>
      </w:r>
    </w:p>
    <w:p w14:paraId="17DCAC28">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1.乙方所提供的产品名称、商标品牌、生产厂家、规格型号、技术参数等质量必须与采购文件规定及响应文件承诺相一致。乙方提供的节能和环保产品必须是列入政府采购品目清单的产品。</w:t>
      </w:r>
    </w:p>
    <w:p w14:paraId="07C54311">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2.乙方所提供的货物必须是全新、未使用的原装产品，且在正常安装、使用和保养条件下，其使用寿命期内各项指标均达到采购文件规定或者响应文件承诺的质量要求。</w:t>
      </w:r>
    </w:p>
    <w:p w14:paraId="751BBCCD">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本项目货物已按规定办妥进口产品采购审核手续，投标产品是进口产品（即通过中国海关报关验放进入中国境内且产自关境外的产品）时，必须为全套原装进口产品；免税进口设备必须由甲方指定的外贸代理机构办理进口产品的相关手续，乙方不得自行选择外贸代理机构；乙方在中标后负责与指定外贸代理机构办理进口产品的相关手续，承担相关的所有费用（含办理免税证的费用），甲方负责协助乙方办理免税手续。</w:t>
      </w:r>
    </w:p>
    <w:p w14:paraId="4426FB62">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4.依法不能办理免税的进口设备由乙方办理进口产品的相关手续，供货时乙方需提供进口设备报关单。</w:t>
      </w:r>
    </w:p>
    <w:p w14:paraId="1E8D440C">
      <w:pPr>
        <w:pStyle w:val="35"/>
        <w:rPr>
          <w:color w:val="auto"/>
          <w:highlight w:val="none"/>
        </w:rPr>
      </w:pPr>
    </w:p>
    <w:p w14:paraId="35AA900F">
      <w:pPr>
        <w:snapToGrid w:val="0"/>
        <w:spacing w:line="46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第三条　权利保证</w:t>
      </w:r>
    </w:p>
    <w:p w14:paraId="6B6561B8">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1.乙方应保证所提供货物在使用时不会侵犯任何第三方的专利权、商标权、工业设计权或者其他权利。</w:t>
      </w:r>
    </w:p>
    <w:p w14:paraId="2B62BA9E">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2.乙方应按采购文件规定或者响应文件承诺的时间向甲方提供使用货物的有关技术资料。</w:t>
      </w:r>
    </w:p>
    <w:p w14:paraId="059E1319">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w:t>
      </w:r>
    </w:p>
    <w:p w14:paraId="1C4F5570">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4.乙方保证将要交付的货物的所有权完全属于乙方且无任何抵押、质押、查封等产权瑕疵。</w:t>
      </w:r>
    </w:p>
    <w:p w14:paraId="2A8D7BBC">
      <w:pPr>
        <w:snapToGrid w:val="0"/>
        <w:spacing w:line="4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第四条　包装、运输和签收</w:t>
      </w:r>
    </w:p>
    <w:p w14:paraId="10D0B12B">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1.乙方提供的货物均应包装完整，每一包装单元内应附详细的装箱单和质量合格证。</w:t>
      </w:r>
    </w:p>
    <w:p w14:paraId="3129783E">
      <w:pPr>
        <w:pStyle w:val="16"/>
        <w:snapToGrid w:val="0"/>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2.货物的运输：</w:t>
      </w:r>
      <w:r>
        <w:rPr>
          <w:rFonts w:hAnsi="宋体" w:cs="宋体"/>
          <w:color w:val="auto"/>
          <w:sz w:val="24"/>
          <w:szCs w:val="24"/>
          <w:highlight w:val="none"/>
          <w:u w:val="single"/>
        </w:rPr>
        <w:t xml:space="preserve"> 。</w:t>
      </w:r>
    </w:p>
    <w:p w14:paraId="1EF6B027">
      <w:pPr>
        <w:pStyle w:val="16"/>
        <w:snapToGrid w:val="0"/>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 乙方负责货物运输，货物运输合理损耗及计算方法：</w:t>
      </w:r>
      <w:r>
        <w:rPr>
          <w:rFonts w:hint="eastAsia" w:hAnsi="宋体" w:cs="宋体"/>
          <w:color w:val="auto"/>
          <w:sz w:val="24"/>
          <w:szCs w:val="24"/>
          <w:highlight w:val="none"/>
          <w:u w:val="single"/>
        </w:rPr>
        <w:t>甲方不接受损耗。</w:t>
      </w:r>
    </w:p>
    <w:p w14:paraId="78D08289">
      <w:pPr>
        <w:pStyle w:val="16"/>
        <w:snapToGrid w:val="0"/>
        <w:spacing w:line="440" w:lineRule="exact"/>
        <w:ind w:firstLine="480" w:firstLineChars="200"/>
        <w:rPr>
          <w:rFonts w:hAnsi="宋体" w:cs="宋体"/>
          <w:color w:val="auto"/>
          <w:sz w:val="24"/>
          <w:szCs w:val="24"/>
          <w:highlight w:val="none"/>
        </w:rPr>
      </w:pPr>
      <w:r>
        <w:rPr>
          <w:rFonts w:hAnsi="宋体" w:cs="宋体"/>
          <w:color w:val="auto"/>
          <w:sz w:val="24"/>
          <w:szCs w:val="24"/>
          <w:highlight w:val="none"/>
        </w:rPr>
        <w:t>4.</w:t>
      </w:r>
      <w:r>
        <w:rPr>
          <w:rFonts w:hint="eastAsia" w:hAnsi="宋体" w:cs="宋体"/>
          <w:color w:val="auto"/>
          <w:sz w:val="24"/>
          <w:szCs w:val="24"/>
          <w:highlight w:val="none"/>
        </w:rPr>
        <w:t>乙方应在货物发运前对其进行满足运输距离、防潮、防震、防锈和防破损装卸等要求包装，以保证货物安全运达甲方指定地点。</w:t>
      </w:r>
    </w:p>
    <w:p w14:paraId="722CAEB6">
      <w:pPr>
        <w:pStyle w:val="16"/>
        <w:snapToGrid w:val="0"/>
        <w:spacing w:line="440" w:lineRule="exact"/>
        <w:ind w:firstLine="480" w:firstLineChars="200"/>
        <w:rPr>
          <w:rFonts w:hAnsi="宋体" w:cs="宋体"/>
          <w:color w:val="auto"/>
          <w:sz w:val="24"/>
          <w:szCs w:val="24"/>
          <w:highlight w:val="none"/>
        </w:rPr>
      </w:pPr>
      <w:r>
        <w:rPr>
          <w:rFonts w:hAnsi="宋体" w:cs="宋体"/>
          <w:color w:val="auto"/>
          <w:sz w:val="24"/>
          <w:szCs w:val="24"/>
          <w:highlight w:val="none"/>
        </w:rPr>
        <w:t>5.</w:t>
      </w:r>
      <w:r>
        <w:rPr>
          <w:rFonts w:hint="eastAsia" w:hAnsi="宋体" w:cs="宋体"/>
          <w:color w:val="auto"/>
          <w:sz w:val="24"/>
          <w:szCs w:val="24"/>
          <w:highlight w:val="none"/>
        </w:rPr>
        <w:t xml:space="preserve"> 使用说明书（货物属于进口产品的，供货时应同时附上中文使用说明书）、质量检验证明书、随配附件和工具以及清单一并附于货物内。</w:t>
      </w:r>
    </w:p>
    <w:p w14:paraId="37378084">
      <w:pPr>
        <w:pStyle w:val="16"/>
        <w:snapToGrid w:val="0"/>
        <w:spacing w:line="440" w:lineRule="exact"/>
        <w:ind w:firstLine="480" w:firstLineChars="200"/>
        <w:rPr>
          <w:rFonts w:hAnsi="宋体" w:cs="宋体"/>
          <w:color w:val="auto"/>
          <w:sz w:val="24"/>
          <w:szCs w:val="24"/>
          <w:highlight w:val="none"/>
        </w:rPr>
      </w:pPr>
      <w:r>
        <w:rPr>
          <w:rFonts w:hAnsi="宋体" w:cs="宋体"/>
          <w:color w:val="auto"/>
          <w:sz w:val="24"/>
          <w:szCs w:val="24"/>
          <w:highlight w:val="none"/>
        </w:rPr>
        <w:t>6</w:t>
      </w:r>
      <w:r>
        <w:rPr>
          <w:rFonts w:hint="eastAsia" w:hAnsi="宋体" w:cs="宋体"/>
          <w:color w:val="auto"/>
          <w:sz w:val="24"/>
          <w:szCs w:val="24"/>
          <w:highlight w:val="none"/>
        </w:rPr>
        <w:t>.乙方在货物发运手续办理完毕后2</w:t>
      </w:r>
      <w:r>
        <w:rPr>
          <w:rFonts w:hAnsi="宋体" w:cs="宋体"/>
          <w:color w:val="auto"/>
          <w:sz w:val="24"/>
          <w:szCs w:val="24"/>
          <w:highlight w:val="none"/>
        </w:rPr>
        <w:t>4</w:t>
      </w:r>
      <w:r>
        <w:rPr>
          <w:rFonts w:hint="eastAsia" w:hAnsi="宋体" w:cs="宋体"/>
          <w:color w:val="auto"/>
          <w:sz w:val="24"/>
          <w:szCs w:val="24"/>
          <w:highlight w:val="none"/>
        </w:rPr>
        <w:t>小时内或者货到甲方4</w:t>
      </w:r>
      <w:r>
        <w:rPr>
          <w:rFonts w:hAnsi="宋体" w:cs="宋体"/>
          <w:color w:val="auto"/>
          <w:sz w:val="24"/>
          <w:szCs w:val="24"/>
          <w:highlight w:val="none"/>
        </w:rPr>
        <w:t>8</w:t>
      </w:r>
      <w:r>
        <w:rPr>
          <w:rFonts w:hint="eastAsia" w:hAnsi="宋体" w:cs="宋体"/>
          <w:color w:val="auto"/>
          <w:sz w:val="24"/>
          <w:szCs w:val="24"/>
          <w:highlight w:val="none"/>
        </w:rPr>
        <w:t>小时前通知甲方，以准备接货。</w:t>
      </w:r>
    </w:p>
    <w:p w14:paraId="21C5BD02">
      <w:pPr>
        <w:pStyle w:val="16"/>
        <w:snapToGrid w:val="0"/>
        <w:spacing w:line="440" w:lineRule="exact"/>
        <w:ind w:firstLine="480" w:firstLineChars="200"/>
        <w:rPr>
          <w:rFonts w:hAnsi="宋体" w:cs="宋体"/>
          <w:color w:val="auto"/>
          <w:sz w:val="24"/>
          <w:szCs w:val="24"/>
          <w:highlight w:val="none"/>
        </w:rPr>
      </w:pPr>
      <w:r>
        <w:rPr>
          <w:rFonts w:hAnsi="宋体" w:cs="宋体"/>
          <w:color w:val="auto"/>
          <w:sz w:val="24"/>
          <w:szCs w:val="24"/>
          <w:highlight w:val="none"/>
        </w:rPr>
        <w:t>7</w:t>
      </w:r>
      <w:r>
        <w:rPr>
          <w:rFonts w:hint="eastAsia" w:hAnsi="宋体" w:cs="宋体"/>
          <w:color w:val="auto"/>
          <w:sz w:val="24"/>
          <w:szCs w:val="24"/>
          <w:highlight w:val="none"/>
        </w:rPr>
        <w:t>.货物在规定的交付期限内由乙方送达甲方指定的地点，乙方同时需通知甲方货物已送达，甲方清点货物后签收，货物签收不作为最终验收合格的依据。</w:t>
      </w:r>
    </w:p>
    <w:p w14:paraId="39F0AE73">
      <w:pPr>
        <w:snapToGrid w:val="0"/>
        <w:spacing w:line="460" w:lineRule="exact"/>
        <w:ind w:firstLine="482" w:firstLineChars="200"/>
        <w:rPr>
          <w:rFonts w:hAnsi="宋体" w:cs="宋体"/>
          <w:b/>
          <w:color w:val="auto"/>
          <w:sz w:val="24"/>
          <w:highlight w:val="none"/>
        </w:rPr>
      </w:pPr>
      <w:r>
        <w:rPr>
          <w:rFonts w:hint="eastAsia" w:ascii="宋体" w:hAnsi="宋体" w:cs="宋体"/>
          <w:b/>
          <w:color w:val="auto"/>
          <w:sz w:val="24"/>
          <w:highlight w:val="none"/>
        </w:rPr>
        <w:t>第五条　</w:t>
      </w:r>
      <w:r>
        <w:rPr>
          <w:rFonts w:hint="eastAsia" w:hAnsi="宋体" w:cs="宋体"/>
          <w:b/>
          <w:color w:val="auto"/>
          <w:sz w:val="24"/>
          <w:highlight w:val="none"/>
        </w:rPr>
        <w:t>安装和培训</w:t>
      </w:r>
    </w:p>
    <w:p w14:paraId="61613882">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1.甲方应提供必要安装条件（如场地、电源、水源等）。</w:t>
      </w:r>
    </w:p>
    <w:p w14:paraId="69C1BF0C">
      <w:pPr>
        <w:snapToGrid w:val="0"/>
        <w:spacing w:line="4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2.乙方响应文件承诺负责甲方有关人员的培训：</w:t>
      </w:r>
      <w:r>
        <w:rPr>
          <w:rFonts w:hint="eastAsia" w:ascii="宋体" w:hAnsi="宋体" w:cs="宋体"/>
          <w:color w:val="auto"/>
          <w:sz w:val="24"/>
          <w:highlight w:val="none"/>
          <w:u w:val="single"/>
        </w:rPr>
        <w:t>根据甲方要求开展。</w:t>
      </w:r>
    </w:p>
    <w:p w14:paraId="48CB17CF">
      <w:pPr>
        <w:snapToGrid w:val="0"/>
        <w:spacing w:line="460" w:lineRule="exact"/>
        <w:ind w:firstLine="480" w:firstLineChars="200"/>
        <w:rPr>
          <w:color w:val="auto"/>
          <w:highlight w:val="none"/>
        </w:rPr>
      </w:pPr>
      <w:r>
        <w:rPr>
          <w:rFonts w:hint="eastAsia" w:ascii="宋体" w:hAnsi="宋体" w:cs="宋体"/>
          <w:color w:val="auto"/>
          <w:sz w:val="24"/>
          <w:highlight w:val="none"/>
        </w:rPr>
        <w:t>3.培训时间、地点：</w:t>
      </w:r>
      <w:r>
        <w:rPr>
          <w:rFonts w:hint="eastAsia" w:ascii="宋体" w:hAnsi="宋体" w:cs="宋体"/>
          <w:color w:val="auto"/>
          <w:sz w:val="24"/>
          <w:highlight w:val="none"/>
          <w:u w:val="single"/>
        </w:rPr>
        <w:t>甲方指定。</w:t>
      </w:r>
    </w:p>
    <w:p w14:paraId="325D41FB">
      <w:pPr>
        <w:snapToGrid w:val="0"/>
        <w:spacing w:line="46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第六条　调试、交付和验收</w:t>
      </w:r>
    </w:p>
    <w:p w14:paraId="3EB91599">
      <w:pPr>
        <w:snapToGrid w:val="0"/>
        <w:spacing w:line="4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1.交付时间：</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w:t>
      </w:r>
    </w:p>
    <w:p w14:paraId="5D7E5922">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2.乙方提供不符合采购文件规定或者响应文件承诺的和本合同规定的货物，甲方有权拒绝接受。</w:t>
      </w:r>
    </w:p>
    <w:p w14:paraId="1C06C2EB">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3.乙方提供不符合招标文件要求或提供虚假承诺、虚假检测报告等虚假材料的，甲方有权拒绝验收并认定乙方违约，甲方有权单方面解除合同，乙方承担所有责任和费用，甲方保留进一步追究责任的权利。</w:t>
      </w:r>
    </w:p>
    <w:p w14:paraId="3B11C9B5">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乙方应将所提供货物的装箱清单、用户手册、原厂保修卡、随机资料、工具和备品、备件等交付给甲方，货物属于进口产品的，供货时应同时附上中文使用说明书，如有缺失应在5个工作日内补齐，否则视为逾期交货。</w:t>
      </w:r>
    </w:p>
    <w:p w14:paraId="35A3E3FA">
      <w:pPr>
        <w:snapToGrid w:val="0"/>
        <w:spacing w:line="360" w:lineRule="auto"/>
        <w:ind w:firstLine="480" w:firstLineChars="200"/>
        <w:rPr>
          <w:rFonts w:ascii="宋体" w:hAnsi="宋体" w:cs="宋体"/>
          <w:color w:val="auto"/>
          <w:sz w:val="24"/>
          <w:highlight w:val="none"/>
        </w:rPr>
      </w:pPr>
      <w:r>
        <w:rPr>
          <w:rFonts w:ascii="宋体" w:hAnsi="宋体"/>
          <w:color w:val="auto"/>
          <w:sz w:val="24"/>
          <w:highlight w:val="none"/>
        </w:rPr>
        <w:t>5.</w:t>
      </w:r>
      <w:r>
        <w:rPr>
          <w:rFonts w:hint="eastAsia" w:ascii="宋体" w:hAnsi="宋体" w:cs="宋体"/>
          <w:color w:val="auto"/>
          <w:sz w:val="24"/>
          <w:highlight w:val="none"/>
        </w:rPr>
        <w:t>乙方应对产品作出全面检查和对验收文件进行整理，并列出清单，作为甲方验收和使用的技术条件依据，检验的结果应随货物交甲方。</w:t>
      </w:r>
    </w:p>
    <w:p w14:paraId="6B6DBC58">
      <w:pPr>
        <w:pStyle w:val="16"/>
        <w:snapToGrid w:val="0"/>
        <w:spacing w:line="360" w:lineRule="auto"/>
        <w:ind w:firstLine="480" w:firstLineChars="200"/>
        <w:rPr>
          <w:rFonts w:hAnsi="宋体" w:cs="宋体"/>
          <w:color w:val="auto"/>
          <w:sz w:val="24"/>
          <w:szCs w:val="24"/>
          <w:highlight w:val="none"/>
        </w:rPr>
      </w:pPr>
      <w:r>
        <w:rPr>
          <w:rFonts w:hAnsi="宋体"/>
          <w:color w:val="auto"/>
          <w:sz w:val="24"/>
          <w:szCs w:val="24"/>
          <w:highlight w:val="none"/>
        </w:rPr>
        <w:t>6.</w:t>
      </w:r>
      <w:r>
        <w:rPr>
          <w:rFonts w:hint="eastAsia" w:hAnsi="宋体" w:cs="宋体"/>
          <w:color w:val="auto"/>
          <w:sz w:val="24"/>
          <w:szCs w:val="24"/>
          <w:highlight w:val="none"/>
        </w:rPr>
        <w:t>甲方对乙方提供的货物在使用前进行调试时，乙方需负责安装并培训甲方的使用操作人员，并协助甲方一起调试，直到符合技术要求，甲方才做最终验收。</w:t>
      </w:r>
    </w:p>
    <w:p w14:paraId="6BDF6398">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7.</w:t>
      </w:r>
      <w:r>
        <w:rPr>
          <w:rFonts w:hint="eastAsia" w:ascii="宋体" w:hAnsi="宋体" w:cs="宋体"/>
          <w:color w:val="auto"/>
          <w:sz w:val="24"/>
          <w:highlight w:val="none"/>
        </w:rPr>
        <w:t>乙方应当在到货并安装、调试完毕后，达到验收条件时以书面形式提请甲方进行验收，甲方应在收到乙方书面验收请求后</w:t>
      </w:r>
      <w:r>
        <w:rPr>
          <w:rFonts w:ascii="宋体" w:hAnsi="宋体" w:cs="宋体"/>
          <w:color w:val="auto"/>
          <w:sz w:val="24"/>
          <w:highlight w:val="none"/>
        </w:rPr>
        <w:t>7</w:t>
      </w:r>
      <w:r>
        <w:rPr>
          <w:rFonts w:hint="eastAsia" w:ascii="宋体" w:hAnsi="宋体" w:cs="宋体"/>
          <w:color w:val="auto"/>
          <w:sz w:val="24"/>
          <w:highlight w:val="none"/>
        </w:rPr>
        <w:t>个工作日内组织开展履约验收（预验收）。验收合格后由甲乙双方签署货物验收单并加盖甲方公章，甲乙双方各执壹份。甲方使用单位预验收及甲方履约验收过程中所产生的一切费用均由乙方承担。</w:t>
      </w:r>
    </w:p>
    <w:p w14:paraId="73FCA026">
      <w:pPr>
        <w:pStyle w:val="16"/>
        <w:snapToGrid w:val="0"/>
        <w:spacing w:line="360" w:lineRule="auto"/>
        <w:ind w:firstLine="480" w:firstLineChars="200"/>
        <w:rPr>
          <w:rFonts w:hAnsi="宋体" w:cs="宋体"/>
          <w:color w:val="auto"/>
          <w:sz w:val="24"/>
          <w:szCs w:val="24"/>
          <w:highlight w:val="none"/>
        </w:rPr>
      </w:pPr>
      <w:r>
        <w:rPr>
          <w:rFonts w:hAnsi="宋体"/>
          <w:color w:val="auto"/>
          <w:sz w:val="24"/>
          <w:szCs w:val="24"/>
          <w:highlight w:val="none"/>
        </w:rPr>
        <w:t>8.</w:t>
      </w:r>
      <w:r>
        <w:rPr>
          <w:rFonts w:hint="eastAsia" w:hAnsi="宋体" w:cs="宋体"/>
          <w:color w:val="auto"/>
          <w:sz w:val="24"/>
          <w:szCs w:val="24"/>
          <w:highlight w:val="none"/>
        </w:rPr>
        <w:t>对技术复杂的货物，甲方可请国家认可的专业检测机构参与初步验收及最终验收，并由其出具质量检测报告。</w:t>
      </w:r>
    </w:p>
    <w:p w14:paraId="336908A1">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9.</w:t>
      </w:r>
      <w:r>
        <w:rPr>
          <w:rFonts w:hint="eastAsia" w:ascii="宋体" w:hAnsi="宋体" w:cs="宋体"/>
          <w:color w:val="auto"/>
          <w:sz w:val="24"/>
          <w:highlight w:val="none"/>
        </w:rPr>
        <w:t>预验收未通过或者履约验收未通过的，应限期整改或进行退换货处理，整改完成后重新组织履约验收。整改后仍不能通过验收的，依法追究相关责任。详细预验收及验收程序按《</w:t>
      </w:r>
      <w:r>
        <w:rPr>
          <w:rFonts w:hint="eastAsia" w:ascii="宋体" w:hAnsi="宋体" w:cs="宋体"/>
          <w:color w:val="auto"/>
          <w:sz w:val="24"/>
          <w:highlight w:val="none"/>
          <w:lang w:eastAsia="zh-CN"/>
        </w:rPr>
        <w:t>广西自然资源职业技术学院</w:t>
      </w:r>
      <w:r>
        <w:rPr>
          <w:rFonts w:hint="eastAsia" w:ascii="宋体" w:hAnsi="宋体" w:cs="宋体"/>
          <w:color w:val="auto"/>
          <w:sz w:val="24"/>
          <w:highlight w:val="none"/>
        </w:rPr>
        <w:t>采购合同履约验收管理办法（试行）》执行。</w:t>
      </w:r>
    </w:p>
    <w:p w14:paraId="3D98BB3B">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10.</w:t>
      </w:r>
      <w:r>
        <w:rPr>
          <w:rFonts w:hint="eastAsia" w:ascii="宋体" w:hAnsi="宋体" w:cs="宋体"/>
          <w:color w:val="auto"/>
          <w:sz w:val="24"/>
          <w:highlight w:val="none"/>
        </w:rPr>
        <w:t>在验收过程中发现乙方有违约情形，可暂缓资金结算，待乙方违约情形整改后，方可办理资金结算事宜。</w:t>
      </w:r>
    </w:p>
    <w:p w14:paraId="27538FCA">
      <w:pPr>
        <w:snapToGrid w:val="0"/>
        <w:spacing w:line="360" w:lineRule="auto"/>
        <w:ind w:firstLine="480" w:firstLineChars="200"/>
        <w:rPr>
          <w:rFonts w:ascii="宋体" w:hAnsi="宋体" w:cs="宋体"/>
          <w:color w:val="auto"/>
          <w:sz w:val="24"/>
          <w:highlight w:val="none"/>
          <w:u w:val="single"/>
        </w:rPr>
      </w:pPr>
      <w:r>
        <w:rPr>
          <w:rFonts w:ascii="宋体" w:hAnsi="宋体" w:cs="宋体"/>
          <w:color w:val="auto"/>
          <w:sz w:val="24"/>
          <w:highlight w:val="none"/>
        </w:rPr>
        <w:t>11.</w:t>
      </w:r>
      <w:r>
        <w:rPr>
          <w:rFonts w:hint="eastAsia" w:ascii="宋体" w:hAnsi="宋体" w:cs="宋体"/>
          <w:color w:val="auto"/>
          <w:sz w:val="24"/>
          <w:highlight w:val="none"/>
        </w:rPr>
        <w:t>甲方对验收有异议的，在验收后</w:t>
      </w:r>
      <w:r>
        <w:rPr>
          <w:rFonts w:ascii="宋体" w:hAnsi="宋体" w:cs="宋体"/>
          <w:color w:val="auto"/>
          <w:sz w:val="24"/>
          <w:highlight w:val="none"/>
        </w:rPr>
        <w:t>5</w:t>
      </w:r>
      <w:r>
        <w:rPr>
          <w:rFonts w:hint="eastAsia" w:ascii="宋体" w:hAnsi="宋体" w:cs="宋体"/>
          <w:color w:val="auto"/>
          <w:sz w:val="24"/>
          <w:highlight w:val="none"/>
        </w:rPr>
        <w:t>个工作日内以书面形式向乙方提出，乙方应自收到甲方书面异议后</w:t>
      </w:r>
      <w:r>
        <w:rPr>
          <w:rFonts w:ascii="宋体" w:hAnsi="宋体" w:cs="宋体"/>
          <w:color w:val="auto"/>
          <w:sz w:val="24"/>
          <w:highlight w:val="none"/>
        </w:rPr>
        <w:t>7</w:t>
      </w:r>
      <w:r>
        <w:rPr>
          <w:rFonts w:hint="eastAsia" w:ascii="宋体" w:hAnsi="宋体" w:cs="宋体"/>
          <w:color w:val="auto"/>
          <w:sz w:val="24"/>
          <w:highlight w:val="none"/>
        </w:rPr>
        <w:t>日内及时予以解决。</w:t>
      </w:r>
    </w:p>
    <w:p w14:paraId="4BC00B8E">
      <w:pPr>
        <w:snapToGrid w:val="0"/>
        <w:spacing w:line="360" w:lineRule="auto"/>
        <w:ind w:left="-61" w:firstLine="514"/>
        <w:rPr>
          <w:rFonts w:ascii="宋体" w:hAnsi="宋体" w:cs="宋体"/>
          <w:color w:val="auto"/>
          <w:sz w:val="24"/>
          <w:highlight w:val="none"/>
        </w:rPr>
      </w:pPr>
      <w:r>
        <w:rPr>
          <w:rFonts w:ascii="宋体" w:hAnsi="宋体" w:cs="宋体"/>
          <w:color w:val="auto"/>
          <w:sz w:val="24"/>
          <w:highlight w:val="none"/>
        </w:rPr>
        <w:t>12.</w:t>
      </w:r>
      <w:r>
        <w:rPr>
          <w:rFonts w:hint="eastAsia" w:ascii="宋体" w:hAnsi="宋体" w:cs="宋体"/>
          <w:color w:val="auto"/>
          <w:sz w:val="24"/>
          <w:highlight w:val="none"/>
        </w:rPr>
        <w:t>验收时乙方必须在现场，验收完毕后作出验收结果报告；验收过程所产生的一切费用均由乙方承担。</w:t>
      </w:r>
    </w:p>
    <w:p w14:paraId="2114F474">
      <w:pPr>
        <w:snapToGrid w:val="0"/>
        <w:spacing w:line="360" w:lineRule="auto"/>
        <w:ind w:left="-61" w:firstLine="514"/>
        <w:rPr>
          <w:rFonts w:hAnsi="宋体" w:cs="宋体"/>
          <w:color w:val="auto"/>
          <w:sz w:val="24"/>
          <w:highlight w:val="none"/>
        </w:rPr>
      </w:pPr>
      <w:r>
        <w:rPr>
          <w:rFonts w:ascii="宋体" w:hAnsi="宋体" w:cs="宋体"/>
          <w:color w:val="auto"/>
          <w:sz w:val="24"/>
          <w:highlight w:val="none"/>
        </w:rPr>
        <w:t>13.</w:t>
      </w:r>
      <w:r>
        <w:rPr>
          <w:rFonts w:hint="eastAsia" w:ascii="宋体" w:hAnsi="宋体" w:cs="宋体"/>
          <w:color w:val="auto"/>
          <w:sz w:val="24"/>
          <w:highlight w:val="none"/>
        </w:rPr>
        <w:t>货物在验收合同交付甲方前发生的风险均由乙方负责。</w:t>
      </w:r>
    </w:p>
    <w:p w14:paraId="79C476E5">
      <w:pPr>
        <w:pStyle w:val="12"/>
        <w:ind w:firstLine="480" w:firstLineChars="200"/>
        <w:rPr>
          <w:color w:val="auto"/>
          <w:highlight w:val="none"/>
        </w:rPr>
      </w:pPr>
      <w:r>
        <w:rPr>
          <w:rFonts w:ascii="宋体" w:hAnsi="宋体" w:cs="宋体"/>
          <w:color w:val="auto"/>
          <w:sz w:val="24"/>
          <w:highlight w:val="none"/>
        </w:rPr>
        <w:t>14.</w:t>
      </w:r>
      <w:r>
        <w:rPr>
          <w:rFonts w:hint="eastAsia" w:ascii="宋体" w:hAnsi="宋体" w:cs="宋体"/>
          <w:color w:val="auto"/>
          <w:sz w:val="24"/>
          <w:highlight w:val="none"/>
        </w:rPr>
        <w:t>本合同的验收条款与采购需求商务条款中的货物验收条款互为补充。</w:t>
      </w:r>
    </w:p>
    <w:p w14:paraId="218811E4">
      <w:pPr>
        <w:snapToGrid w:val="0"/>
        <w:spacing w:line="360" w:lineRule="auto"/>
        <w:ind w:left="-61" w:firstLine="514"/>
        <w:rPr>
          <w:rFonts w:ascii="宋体" w:hAnsi="宋体" w:cs="宋体"/>
          <w:b/>
          <w:color w:val="auto"/>
          <w:sz w:val="24"/>
          <w:highlight w:val="none"/>
        </w:rPr>
      </w:pPr>
      <w:r>
        <w:rPr>
          <w:rFonts w:hint="eastAsia" w:ascii="宋体" w:hAnsi="宋体" w:cs="宋体"/>
          <w:b/>
          <w:color w:val="auto"/>
          <w:sz w:val="24"/>
          <w:highlight w:val="none"/>
        </w:rPr>
        <w:t>第七条　付款方式</w:t>
      </w:r>
    </w:p>
    <w:p w14:paraId="300806D2">
      <w:pPr>
        <w:snapToGrid w:val="0"/>
        <w:spacing w:line="360" w:lineRule="auto"/>
        <w:ind w:left="-61" w:firstLine="514"/>
        <w:rPr>
          <w:rFonts w:hint="eastAsia" w:ascii="宋体" w:hAnsi="宋体" w:eastAsia="宋体" w:cs="宋体"/>
          <w:color w:val="auto"/>
          <w:sz w:val="24"/>
          <w:szCs w:val="24"/>
          <w:highlight w:val="none"/>
          <w:lang w:val="en-US" w:eastAsia="zh-CN"/>
        </w:rPr>
      </w:pPr>
      <w:r>
        <w:rPr>
          <w:rFonts w:hint="eastAsia" w:ascii="宋体" w:hAnsi="宋体" w:cs="宋体"/>
          <w:color w:val="auto"/>
          <w:sz w:val="24"/>
          <w:highlight w:val="none"/>
        </w:rPr>
        <w:t>1.付款方式：</w:t>
      </w:r>
      <w:r>
        <w:rPr>
          <w:rFonts w:hint="eastAsia" w:ascii="宋体" w:hAnsi="宋体" w:eastAsia="宋体" w:cs="宋体"/>
          <w:color w:val="auto"/>
          <w:sz w:val="24"/>
          <w:szCs w:val="24"/>
          <w:highlight w:val="none"/>
          <w:lang w:val="en-US" w:eastAsia="zh-CN"/>
        </w:rPr>
        <w:t>（1） 合同签订后，成交供应商开具等额增值税专用发票给采购人，采购人在收到发票后</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个工作日内支付合同款的 30%作为预付款。</w:t>
      </w:r>
    </w:p>
    <w:p w14:paraId="5506BBB6">
      <w:pPr>
        <w:snapToGrid w:val="0"/>
        <w:spacing w:line="360" w:lineRule="auto"/>
        <w:ind w:left="-61" w:firstLine="51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（2）所采购的设备及装修材料进场，提供设备验收报告及装修材料供货清单后5个工作日内，开具 30%项目款增值税专用发票给采购人，采购人收到发票后在</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个工作日内支付 30%合同款给成交供应商。</w:t>
      </w:r>
    </w:p>
    <w:p w14:paraId="732F5D8C">
      <w:pPr>
        <w:snapToGrid w:val="0"/>
        <w:spacing w:line="360" w:lineRule="auto"/>
        <w:ind w:left="-61" w:firstLine="514"/>
        <w:rPr>
          <w:rFonts w:ascii="宋体" w:hAnsi="宋体" w:cs="宋体"/>
          <w:color w:val="auto"/>
          <w:sz w:val="24"/>
          <w:highlight w:val="none"/>
        </w:rPr>
      </w:pPr>
      <w:r>
        <w:rPr>
          <w:rFonts w:hint="eastAsia" w:ascii="宋体" w:hAnsi="宋体" w:eastAsia="宋体" w:cs="宋体"/>
          <w:color w:val="auto"/>
          <w:sz w:val="24"/>
          <w:szCs w:val="24"/>
          <w:highlight w:val="none"/>
          <w:lang w:val="en-US" w:eastAsia="zh-CN"/>
        </w:rPr>
        <w:t>（3）项目实施完毕并经验收合格后，成交供应商开具剩余款项对应的增值税专用发票给采购人，收到发票后在</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个工作日内支付剩余款给成交供应商。</w:t>
      </w:r>
    </w:p>
    <w:p w14:paraId="6A9D3CAA">
      <w:pPr>
        <w:snapToGrid w:val="0"/>
        <w:spacing w:line="4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第八条　履约保证金</w:t>
      </w:r>
    </w:p>
    <w:p w14:paraId="2D2D3E78">
      <w:pPr>
        <w:snapToGrid w:val="0"/>
        <w:spacing w:line="4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1.履约保证金金额：</w:t>
      </w:r>
      <w:r>
        <w:rPr>
          <w:rFonts w:hint="eastAsia" w:ascii="宋体" w:hAnsi="宋体" w:cs="宋体"/>
          <w:color w:val="auto"/>
          <w:sz w:val="24"/>
          <w:highlight w:val="none"/>
          <w:u w:val="single"/>
          <w:lang w:eastAsia="zh-Hans"/>
        </w:rPr>
        <w:t>合同金额的</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即人民币（大写）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rPr>
        <w:t>乙方在签订合同时交至指定账户（履约保证金缴纳时须备注项目编号及项目名称：</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（项目名称 ）</w:t>
      </w:r>
      <w:r>
        <w:rPr>
          <w:rFonts w:hint="eastAsia" w:ascii="宋体" w:hAnsi="宋体" w:cs="宋体"/>
          <w:color w:val="auto"/>
          <w:sz w:val="24"/>
          <w:highlight w:val="none"/>
        </w:rPr>
        <w:t>履约保证金。）</w:t>
      </w:r>
    </w:p>
    <w:p w14:paraId="3BC24CF9">
      <w:pPr>
        <w:snapToGrid w:val="0"/>
        <w:spacing w:line="4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2.履约保证金递交方式：银行转账、保函等非现金方式。由乙方在签订合同时按规定的金额直接缴入以下甲方账户或将保函原件交给甲方。</w:t>
      </w:r>
    </w:p>
    <w:p w14:paraId="29FF0A8D">
      <w:pPr>
        <w:snapToGrid w:val="0"/>
        <w:spacing w:line="460" w:lineRule="exact"/>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3.履约保证金退付方式、时间及条件：</w:t>
      </w:r>
      <w:r>
        <w:rPr>
          <w:rFonts w:hint="eastAsia" w:ascii="宋体" w:hAnsi="宋体" w:cs="宋体"/>
          <w:color w:val="auto"/>
          <w:sz w:val="24"/>
          <w:highlight w:val="none"/>
          <w:lang w:eastAsia="zh-CN"/>
        </w:rPr>
        <w:t>成交供应商如未能完全履行合同，其履约保证金将不予退还；若完全履行合同且货物验收合格，履约保证金自动转为质保金，供应商可于质保期满后5个工作日内申请退还。</w:t>
      </w:r>
      <w:r>
        <w:rPr>
          <w:rFonts w:hint="eastAsia" w:ascii="宋体" w:hAnsi="宋体" w:cs="宋体"/>
          <w:color w:val="auto"/>
          <w:sz w:val="24"/>
          <w:highlight w:val="none"/>
          <w:lang w:val="en-US" w:eastAsia="zh-CN"/>
        </w:rPr>
        <w:t>质保期说明：依据国家产品"三包"规定执行质量保证政策，质保期自交货验收合格之日起计算，3年质保期（分项货物或配置有特殊要求的按分项标准执行；若生产厂家承诺的质保期长于前述期限，则按厂家承诺执行）。</w:t>
      </w:r>
    </w:p>
    <w:p w14:paraId="7EAA7520">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4.备注：</w:t>
      </w:r>
    </w:p>
    <w:p w14:paraId="57352B06">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（1）履约保证金必须足额缴纳，或出具的保函额度必须足额且保函有效期不能低于合同履行期限（即签订采购合同之日起至履行完合同约定的权利及义务之日止），否则视为无效履约保证金。</w:t>
      </w:r>
    </w:p>
    <w:p w14:paraId="2AE83F2E">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（2）采用保函的，必须为无条件保函，否则视为无效履约保证金。</w:t>
      </w:r>
    </w:p>
    <w:p w14:paraId="2ACC8DC5">
      <w:pPr>
        <w:snapToGrid w:val="0"/>
        <w:spacing w:line="4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（3）</w:t>
      </w:r>
      <w:r>
        <w:rPr>
          <w:rFonts w:ascii="宋体" w:hAnsi="宋体" w:cs="宋体"/>
          <w:b/>
          <w:color w:val="auto"/>
          <w:sz w:val="24"/>
          <w:highlight w:val="none"/>
        </w:rPr>
        <w:t>履约保证金缴纳时须明确备注项目</w:t>
      </w:r>
      <w:r>
        <w:rPr>
          <w:rFonts w:hint="eastAsia" w:ascii="宋体" w:hAnsi="宋体" w:cs="宋体"/>
          <w:b/>
          <w:color w:val="auto"/>
          <w:sz w:val="24"/>
          <w:highlight w:val="none"/>
        </w:rPr>
        <w:t>名称（编号）：</w:t>
      </w:r>
      <w:r>
        <w:rPr>
          <w:rFonts w:hint="eastAsia" w:ascii="宋体" w:hAnsi="宋体" w:cs="宋体"/>
          <w:b/>
          <w:color w:val="auto"/>
          <w:sz w:val="24"/>
          <w:highlight w:val="none"/>
          <w:u w:val="single"/>
          <w:lang w:val="en-US" w:eastAsia="zh-CN"/>
        </w:rPr>
        <w:t xml:space="preserve">              </w:t>
      </w:r>
      <w:r>
        <w:rPr>
          <w:rFonts w:hint="eastAsia" w:ascii="宋体" w:hAnsi="宋体" w:cs="宋体"/>
          <w:b/>
          <w:color w:val="auto"/>
          <w:sz w:val="24"/>
          <w:highlight w:val="none"/>
        </w:rPr>
        <w:t>履约保证金。</w:t>
      </w:r>
    </w:p>
    <w:p w14:paraId="0467920A">
      <w:pPr>
        <w:snapToGrid w:val="0"/>
        <w:spacing w:line="420" w:lineRule="exact"/>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（4）甲方账户信息如下：</w:t>
      </w:r>
    </w:p>
    <w:p w14:paraId="042DB8A0">
      <w:pPr>
        <w:snapToGrid w:val="0"/>
        <w:spacing w:line="460" w:lineRule="exact"/>
        <w:ind w:firstLine="482" w:firstLineChars="200"/>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户名：广西自然资源职业技术学院</w:t>
      </w:r>
    </w:p>
    <w:p w14:paraId="07F0C6BE">
      <w:pPr>
        <w:snapToGrid w:val="0"/>
        <w:spacing w:line="460" w:lineRule="exact"/>
        <w:ind w:firstLine="482" w:firstLineChars="200"/>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开户银行：中国建设银行股份有限公司南宁园湖北路支行</w:t>
      </w:r>
    </w:p>
    <w:p w14:paraId="021C5797">
      <w:pPr>
        <w:snapToGrid w:val="0"/>
        <w:spacing w:line="46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开户账号：45050160435300000429</w:t>
      </w:r>
      <w:r>
        <w:rPr>
          <w:rFonts w:hint="eastAsia" w:ascii="宋体" w:hAnsi="宋体" w:eastAsia="宋体" w:cs="宋体"/>
          <w:b/>
          <w:color w:val="auto"/>
          <w:sz w:val="24"/>
          <w:highlight w:val="none"/>
        </w:rPr>
        <w:t xml:space="preserve"> </w:t>
      </w:r>
    </w:p>
    <w:p w14:paraId="1827498A">
      <w:pPr>
        <w:snapToGrid w:val="0"/>
        <w:spacing w:line="460" w:lineRule="exact"/>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缴纳履约保证金注明：“项目名称+项目编号”履约保证金。</w:t>
      </w:r>
    </w:p>
    <w:p w14:paraId="75E99D45">
      <w:pPr>
        <w:snapToGrid w:val="0"/>
        <w:spacing w:line="420" w:lineRule="exact"/>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签订合同后，如乙方不按双方签订的合同规定履约，则其全部履约保证金甲方不予退还；履约保证金不足以赔偿甲方损失的，按实际损失赔偿。</w:t>
      </w:r>
    </w:p>
    <w:p w14:paraId="1E435B7A">
      <w:pPr>
        <w:snapToGrid w:val="0"/>
        <w:spacing w:line="460" w:lineRule="exact"/>
        <w:ind w:firstLine="514"/>
        <w:rPr>
          <w:rFonts w:ascii="宋体" w:hAnsi="宋体" w:cs="宋体"/>
          <w:b/>
          <w:color w:val="auto"/>
          <w:sz w:val="24"/>
          <w:highlight w:val="none"/>
        </w:rPr>
      </w:pPr>
      <w:r>
        <w:rPr>
          <w:rFonts w:hint="eastAsia" w:ascii="宋体" w:hAnsi="宋体" w:cs="宋体"/>
          <w:b/>
          <w:color w:val="auto"/>
          <w:sz w:val="24"/>
          <w:highlight w:val="none"/>
        </w:rPr>
        <w:t>第九条  税费</w:t>
      </w:r>
    </w:p>
    <w:p w14:paraId="19191118">
      <w:pPr>
        <w:snapToGrid w:val="0"/>
        <w:spacing w:line="460" w:lineRule="exact"/>
        <w:ind w:firstLine="514"/>
        <w:rPr>
          <w:rFonts w:ascii="宋体" w:hAnsi="宋体" w:cs="宋体"/>
          <w:color w:val="auto"/>
          <w:sz w:val="24"/>
          <w:highlight w:val="none"/>
        </w:rPr>
      </w:pPr>
      <w:r>
        <w:rPr>
          <w:rFonts w:hint="eastAsia" w:ascii="宋体" w:hAnsi="宋体" w:cs="宋体"/>
          <w:color w:val="auto"/>
          <w:sz w:val="24"/>
          <w:highlight w:val="none"/>
        </w:rPr>
        <w:t>本合同执行中相关的一切税费均由乙方负担，合同另有约定的除外。合同执行期间税费发生变化的，由乙方承担。</w:t>
      </w:r>
    </w:p>
    <w:p w14:paraId="71B17AEA">
      <w:pPr>
        <w:snapToGrid w:val="0"/>
        <w:spacing w:line="460" w:lineRule="exact"/>
        <w:ind w:firstLine="514"/>
        <w:rPr>
          <w:rFonts w:ascii="宋体" w:hAnsi="宋体" w:cs="宋体"/>
          <w:color w:val="auto"/>
          <w:sz w:val="24"/>
          <w:highlight w:val="none"/>
        </w:rPr>
      </w:pPr>
      <w:r>
        <w:rPr>
          <w:rFonts w:hint="eastAsia" w:ascii="宋体" w:hAnsi="宋体" w:cs="宋体"/>
          <w:b/>
          <w:color w:val="auto"/>
          <w:sz w:val="24"/>
          <w:highlight w:val="none"/>
        </w:rPr>
        <w:t>第十条  质量保证、售后服务</w:t>
      </w:r>
    </w:p>
    <w:p w14:paraId="40C561DD">
      <w:pPr>
        <w:snapToGrid w:val="0"/>
        <w:spacing w:line="460" w:lineRule="exact"/>
        <w:ind w:firstLine="480" w:firstLineChars="200"/>
        <w:rPr>
          <w:rFonts w:ascii="宋体" w:hAnsi="宋体" w:cs="宋体"/>
          <w:bCs/>
          <w:color w:val="auto"/>
          <w:kern w:val="0"/>
          <w:sz w:val="24"/>
          <w:highlight w:val="none"/>
        </w:rPr>
      </w:pPr>
      <w:r>
        <w:rPr>
          <w:rFonts w:hint="eastAsia" w:hAnsi="宋体" w:cs="宋体"/>
          <w:color w:val="auto"/>
          <w:sz w:val="24"/>
          <w:highlight w:val="none"/>
        </w:rPr>
        <w:t>1</w:t>
      </w:r>
      <w:r>
        <w:rPr>
          <w:rFonts w:hint="eastAsia" w:ascii="宋体" w:hAnsi="宋体" w:cs="宋体"/>
          <w:bCs/>
          <w:color w:val="auto"/>
          <w:kern w:val="0"/>
          <w:sz w:val="24"/>
          <w:highlight w:val="none"/>
        </w:rPr>
        <w:t>.乙方应按照国家有关法律法规和“三包”规定以及采购文件要求、响应文件承诺和本合同所附的《售后服务承诺》，为甲方提供售后服务。</w:t>
      </w:r>
    </w:p>
    <w:p w14:paraId="6F4822B0">
      <w:pPr>
        <w:snapToGrid w:val="0"/>
        <w:spacing w:line="460" w:lineRule="exact"/>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2.乙方应按采购文件规定的设备和软件性能、技术要求、质量标准向甲方提供未经使用的全新产品。对达不到要求者，根据实际情况，经双方协商，可按以下办法处理：</w:t>
      </w:r>
    </w:p>
    <w:p w14:paraId="3D67BE1D">
      <w:pPr>
        <w:snapToGrid w:val="0"/>
        <w:spacing w:line="460" w:lineRule="exact"/>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（1）更换：由乙方承担所发生的全部费用。</w:t>
      </w:r>
    </w:p>
    <w:p w14:paraId="4FF521E5">
      <w:pPr>
        <w:snapToGrid w:val="0"/>
        <w:spacing w:line="460" w:lineRule="exact"/>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（2）贬值处理：由甲乙双方合议定价。</w:t>
      </w:r>
    </w:p>
    <w:p w14:paraId="0A223359">
      <w:pPr>
        <w:snapToGrid w:val="0"/>
        <w:spacing w:line="460" w:lineRule="exact"/>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（3）退货处理：乙方应退还甲方支付的合同款，同时应承担该货物的直接费用（运输、保险、检验、货款利息及银行手续费等）。</w:t>
      </w:r>
    </w:p>
    <w:p w14:paraId="313E093A">
      <w:pPr>
        <w:snapToGrid w:val="0"/>
        <w:spacing w:line="460" w:lineRule="exact"/>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如果双方不能就上述第（1）、（2）项达成协议，则甲方有权单方选择第（3）项方式。</w:t>
      </w:r>
    </w:p>
    <w:p w14:paraId="5D18990C">
      <w:pPr>
        <w:snapToGrid w:val="0"/>
        <w:spacing w:line="460" w:lineRule="exact"/>
        <w:ind w:firstLine="480" w:firstLineChars="200"/>
        <w:rPr>
          <w:rFonts w:ascii="宋体" w:hAnsi="宋体" w:cs="宋体"/>
          <w:bCs/>
          <w:color w:val="auto"/>
          <w:kern w:val="0"/>
          <w:sz w:val="24"/>
          <w:highlight w:val="none"/>
        </w:rPr>
      </w:pPr>
      <w:r>
        <w:rPr>
          <w:rFonts w:ascii="宋体" w:hAnsi="宋体" w:cs="宋体"/>
          <w:bCs/>
          <w:color w:val="auto"/>
          <w:kern w:val="0"/>
          <w:sz w:val="24"/>
          <w:highlight w:val="none"/>
        </w:rPr>
        <w:t>3</w:t>
      </w:r>
      <w:r>
        <w:rPr>
          <w:rFonts w:hint="eastAsia" w:ascii="宋体" w:hAnsi="宋体" w:cs="宋体"/>
          <w:bCs/>
          <w:color w:val="auto"/>
          <w:kern w:val="0"/>
          <w:sz w:val="24"/>
          <w:highlight w:val="none"/>
        </w:rPr>
        <w:t>.乙方提供的服务承诺和售后服务及质量保证期责任等其他具体约定事项（见合同附件）。</w:t>
      </w:r>
    </w:p>
    <w:p w14:paraId="13B458A6">
      <w:pPr>
        <w:snapToGrid w:val="0"/>
        <w:spacing w:line="460" w:lineRule="exact"/>
        <w:ind w:firstLine="480" w:firstLineChars="200"/>
        <w:rPr>
          <w:rFonts w:ascii="宋体" w:hAnsi="宋体" w:cs="宋体"/>
          <w:bCs/>
          <w:color w:val="auto"/>
          <w:kern w:val="0"/>
          <w:sz w:val="24"/>
          <w:highlight w:val="none"/>
        </w:rPr>
      </w:pPr>
      <w:r>
        <w:rPr>
          <w:rFonts w:hAnsi="宋体" w:cs="宋体"/>
          <w:color w:val="auto"/>
          <w:sz w:val="24"/>
          <w:highlight w:val="none"/>
        </w:rPr>
        <w:t>4</w:t>
      </w:r>
      <w:r>
        <w:rPr>
          <w:rFonts w:hint="eastAsia" w:ascii="宋体" w:hAnsi="宋体" w:cs="宋体"/>
          <w:bCs/>
          <w:color w:val="auto"/>
          <w:kern w:val="0"/>
          <w:sz w:val="24"/>
          <w:highlight w:val="none"/>
        </w:rPr>
        <w:t>.乙方除承担运输、安装、调试、验收与培训等义务外，还将为甲方提供技术支持，包括质量保证期外的技术指导。</w:t>
      </w:r>
    </w:p>
    <w:p w14:paraId="08B99261">
      <w:pPr>
        <w:snapToGrid w:val="0"/>
        <w:spacing w:line="460" w:lineRule="exact"/>
        <w:ind w:firstLine="480" w:firstLineChars="200"/>
        <w:rPr>
          <w:rFonts w:ascii="宋体" w:hAnsi="宋体" w:cs="宋体"/>
          <w:bCs/>
          <w:color w:val="auto"/>
          <w:kern w:val="0"/>
          <w:sz w:val="24"/>
          <w:highlight w:val="none"/>
        </w:rPr>
      </w:pPr>
      <w:r>
        <w:rPr>
          <w:rFonts w:hAnsi="宋体" w:cs="宋体"/>
          <w:color w:val="auto"/>
          <w:sz w:val="24"/>
          <w:highlight w:val="none"/>
        </w:rPr>
        <w:t>5</w:t>
      </w:r>
      <w:r>
        <w:rPr>
          <w:rFonts w:hint="eastAsia" w:ascii="宋体" w:hAnsi="宋体" w:cs="宋体"/>
          <w:bCs/>
          <w:color w:val="auto"/>
          <w:kern w:val="0"/>
          <w:sz w:val="24"/>
          <w:highlight w:val="none"/>
        </w:rPr>
        <w:t>.在质保期内，乙方应对货物出现的质量及安全问题负责处理解决并承担一切费用。</w:t>
      </w:r>
    </w:p>
    <w:p w14:paraId="52313DF2">
      <w:pPr>
        <w:snapToGrid w:val="0"/>
        <w:spacing w:line="460" w:lineRule="exact"/>
        <w:ind w:firstLine="480" w:firstLineChars="200"/>
        <w:rPr>
          <w:rFonts w:ascii="宋体" w:hAnsi="宋体" w:cs="宋体"/>
          <w:bCs/>
          <w:color w:val="auto"/>
          <w:kern w:val="0"/>
          <w:sz w:val="24"/>
          <w:highlight w:val="none"/>
        </w:rPr>
      </w:pPr>
      <w:r>
        <w:rPr>
          <w:rFonts w:hAnsi="宋体" w:cs="宋体"/>
          <w:color w:val="auto"/>
          <w:sz w:val="24"/>
          <w:highlight w:val="none"/>
        </w:rPr>
        <w:t>6</w:t>
      </w:r>
      <w:r>
        <w:rPr>
          <w:rFonts w:hint="eastAsia" w:ascii="宋体" w:hAnsi="宋体" w:cs="宋体"/>
          <w:bCs/>
          <w:color w:val="auto"/>
          <w:kern w:val="0"/>
          <w:sz w:val="24"/>
          <w:highlight w:val="none"/>
        </w:rPr>
        <w:t>.超过质量保证期的机器设备，终身维修，维修时只收部件成本费。</w:t>
      </w:r>
    </w:p>
    <w:p w14:paraId="46225B49">
      <w:pPr>
        <w:snapToGrid w:val="0"/>
        <w:spacing w:line="460" w:lineRule="exact"/>
        <w:ind w:firstLine="480" w:firstLineChars="200"/>
        <w:rPr>
          <w:rFonts w:ascii="宋体" w:hAnsi="宋体" w:cs="宋体"/>
          <w:color w:val="auto"/>
          <w:sz w:val="24"/>
          <w:highlight w:val="none"/>
        </w:rPr>
      </w:pPr>
      <w:r>
        <w:rPr>
          <w:rFonts w:hAnsi="宋体" w:cs="宋体"/>
          <w:color w:val="auto"/>
          <w:sz w:val="24"/>
          <w:highlight w:val="none"/>
        </w:rPr>
        <w:t>7</w:t>
      </w:r>
      <w:r>
        <w:rPr>
          <w:rFonts w:hint="eastAsia" w:ascii="宋体" w:hAnsi="宋体" w:cs="宋体"/>
          <w:bCs/>
          <w:color w:val="auto"/>
          <w:kern w:val="0"/>
          <w:sz w:val="24"/>
          <w:highlight w:val="none"/>
        </w:rPr>
        <w:t>.货物质量保证期：</w:t>
      </w:r>
      <w:r>
        <w:rPr>
          <w:rFonts w:hint="eastAsia" w:ascii="宋体" w:hAnsi="宋体" w:cs="宋体"/>
          <w:color w:val="auto"/>
          <w:sz w:val="24"/>
          <w:highlight w:val="none"/>
          <w:u w:val="single"/>
        </w:rPr>
        <w:t>按国家有关产品“三包”规定执行“三包”，质量保证期不少于</w:t>
      </w:r>
      <w:r>
        <w:rPr>
          <w:rFonts w:hint="eastAsia" w:ascii="宋体" w:hAnsi="宋体" w:cs="宋体"/>
          <w:color w:val="auto"/>
          <w:sz w:val="24"/>
          <w:highlight w:val="none"/>
          <w:u w:val="single"/>
          <w:lang w:val="en-US" w:eastAsia="zh-CN"/>
        </w:rPr>
        <w:t>1</w:t>
      </w:r>
      <w:r>
        <w:rPr>
          <w:rFonts w:hint="eastAsia" w:ascii="宋体" w:hAnsi="宋体" w:cs="宋体"/>
          <w:color w:val="auto"/>
          <w:sz w:val="24"/>
          <w:highlight w:val="none"/>
          <w:u w:val="single"/>
        </w:rPr>
        <w:t>年（质量保证期自货物验收合格之日起计。分项货物或配置有明确要求的按分项要求；生产厂家承诺的</w:t>
      </w:r>
      <w:r>
        <w:rPr>
          <w:rFonts w:hint="eastAsia" w:ascii="宋体" w:hAnsi="宋体" w:cs="宋体"/>
          <w:bCs/>
          <w:color w:val="auto"/>
          <w:kern w:val="0"/>
          <w:sz w:val="24"/>
          <w:highlight w:val="none"/>
          <w:u w:val="single"/>
        </w:rPr>
        <w:t>质量保证期</w:t>
      </w:r>
      <w:r>
        <w:rPr>
          <w:rFonts w:hint="eastAsia" w:ascii="宋体" w:hAnsi="宋体" w:cs="宋体"/>
          <w:color w:val="auto"/>
          <w:sz w:val="24"/>
          <w:highlight w:val="none"/>
          <w:u w:val="single"/>
        </w:rPr>
        <w:t>更长的按生产厂家的承诺；</w:t>
      </w:r>
      <w:r>
        <w:rPr>
          <w:rFonts w:hint="eastAsia" w:ascii="宋体" w:hAnsi="宋体" w:cs="宋体"/>
          <w:bCs/>
          <w:color w:val="auto"/>
          <w:kern w:val="0"/>
          <w:sz w:val="24"/>
          <w:highlight w:val="none"/>
          <w:u w:val="single"/>
        </w:rPr>
        <w:t>乙方响应文件承诺更优的，以乙方响应文件承诺为准</w:t>
      </w:r>
      <w:r>
        <w:rPr>
          <w:rFonts w:hint="eastAsia" w:ascii="宋体" w:hAnsi="宋体" w:cs="宋体"/>
          <w:color w:val="auto"/>
          <w:sz w:val="24"/>
          <w:highlight w:val="none"/>
          <w:u w:val="single"/>
        </w:rPr>
        <w:t>）</w:t>
      </w:r>
      <w:r>
        <w:rPr>
          <w:rFonts w:hint="eastAsia" w:ascii="宋体" w:hAnsi="宋体" w:cs="宋体"/>
          <w:bCs/>
          <w:color w:val="auto"/>
          <w:kern w:val="0"/>
          <w:sz w:val="24"/>
          <w:highlight w:val="none"/>
          <w:u w:val="single"/>
        </w:rPr>
        <w:t>。</w:t>
      </w:r>
    </w:p>
    <w:p w14:paraId="2F14C85A">
      <w:pPr>
        <w:snapToGrid w:val="0"/>
        <w:spacing w:line="4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第十一条　违约责任</w:t>
      </w:r>
    </w:p>
    <w:p w14:paraId="4B56ED73">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 xml:space="preserve">1.乙方所提供的产品名称、商标品牌、生产厂家、规格型号、技术参数等质量不合格的，应及时更换，更换不及时的按逾期交货处理；因质量问题甲方不同意接收的或者特殊情况甲方同意接收的，乙方应按违约货款额5%向甲方支付违约金并赔偿甲方经济损失。                                       </w:t>
      </w:r>
    </w:p>
    <w:p w14:paraId="60E03CED">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2.乙方提供的货物如侵犯了第三方合法权益而引发的任何纠纷或者诉讼，均由乙方负责交涉并承担全部责任。</w:t>
      </w:r>
    </w:p>
    <w:p w14:paraId="158E3C5F">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3.因包装、运输引起的货物损坏，按质量不合格处理。</w:t>
      </w:r>
    </w:p>
    <w:p w14:paraId="0CAECE0C">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4.合同一方不履行合同义务、履行合同义务不符合约定或者违反合同项下所作保证的，应向对方承担继续履行、采取修理、更换、退货等补救措施或者赔偿损失等违约责任。</w:t>
      </w:r>
    </w:p>
    <w:p w14:paraId="29236B6B">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5.乙方未能按时交付货物的，应向甲方支付迟延交付违约金。迟延交付违约金的计算方法如下：</w:t>
      </w:r>
    </w:p>
    <w:p w14:paraId="4EDC9F2B">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（1）从迟交的第1日到第3</w:t>
      </w:r>
      <w:r>
        <w:rPr>
          <w:rFonts w:hAnsi="宋体" w:cs="宋体"/>
          <w:color w:val="auto"/>
          <w:sz w:val="24"/>
          <w:szCs w:val="24"/>
          <w:highlight w:val="none"/>
        </w:rPr>
        <w:t>0</w:t>
      </w:r>
      <w:r>
        <w:rPr>
          <w:rFonts w:hint="eastAsia" w:hAnsi="宋体" w:cs="宋体"/>
          <w:color w:val="auto"/>
          <w:sz w:val="24"/>
          <w:szCs w:val="24"/>
          <w:highlight w:val="none"/>
        </w:rPr>
        <w:t>日，每日迟延交付违约金为合同总价的 1.5‰；</w:t>
      </w:r>
    </w:p>
    <w:p w14:paraId="00D3106A">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（2）从迟交的第3</w:t>
      </w:r>
      <w:r>
        <w:rPr>
          <w:rFonts w:hAnsi="宋体" w:cs="宋体"/>
          <w:color w:val="auto"/>
          <w:sz w:val="24"/>
          <w:szCs w:val="24"/>
          <w:highlight w:val="none"/>
        </w:rPr>
        <w:t>1</w:t>
      </w:r>
      <w:r>
        <w:rPr>
          <w:rFonts w:hint="eastAsia" w:hAnsi="宋体" w:cs="宋体"/>
          <w:color w:val="auto"/>
          <w:sz w:val="24"/>
          <w:szCs w:val="24"/>
          <w:highlight w:val="none"/>
        </w:rPr>
        <w:t>到第6</w:t>
      </w:r>
      <w:r>
        <w:rPr>
          <w:rFonts w:hAnsi="宋体" w:cs="宋体"/>
          <w:color w:val="auto"/>
          <w:sz w:val="24"/>
          <w:szCs w:val="24"/>
          <w:highlight w:val="none"/>
        </w:rPr>
        <w:t>0</w:t>
      </w:r>
      <w:r>
        <w:rPr>
          <w:rFonts w:hint="eastAsia" w:hAnsi="宋体" w:cs="宋体"/>
          <w:color w:val="auto"/>
          <w:sz w:val="24"/>
          <w:szCs w:val="24"/>
          <w:highlight w:val="none"/>
        </w:rPr>
        <w:t>日，每日迟延交付违约金为合同总价的 3‰；</w:t>
      </w:r>
    </w:p>
    <w:p w14:paraId="3C29532D">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（3）从迟交的第6</w:t>
      </w:r>
      <w:r>
        <w:rPr>
          <w:rFonts w:hAnsi="宋体" w:cs="宋体"/>
          <w:color w:val="auto"/>
          <w:sz w:val="24"/>
          <w:szCs w:val="24"/>
          <w:highlight w:val="none"/>
        </w:rPr>
        <w:t>1</w:t>
      </w:r>
      <w:r>
        <w:rPr>
          <w:rFonts w:hint="eastAsia" w:hAnsi="宋体" w:cs="宋体"/>
          <w:color w:val="auto"/>
          <w:sz w:val="24"/>
          <w:szCs w:val="24"/>
          <w:highlight w:val="none"/>
        </w:rPr>
        <w:t>日起，每日迟延交付违约金为合同总价的5‰。</w:t>
      </w:r>
    </w:p>
    <w:p w14:paraId="1868C6AF">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（4）迟延交付违约金的总额不得超过合同总价的30%。迟延交付违约金的支付不能免除乙方继续交付相关合同货物的义务，但如迟延交付必然导致合同货物安装、调试、验收等工作推迟的，相关工作应相应顺延。</w:t>
      </w:r>
    </w:p>
    <w:p w14:paraId="069AE4A5">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6.甲方未能按合同约定支付合同价款的，应向乙方支付延迟付款违约金。迟延付款违约金的计算方法如下：</w:t>
      </w:r>
    </w:p>
    <w:p w14:paraId="7F4242D6">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（1）从迟交的第1日到第3</w:t>
      </w:r>
      <w:r>
        <w:rPr>
          <w:rFonts w:hAnsi="宋体" w:cs="宋体"/>
          <w:color w:val="auto"/>
          <w:sz w:val="24"/>
          <w:szCs w:val="24"/>
          <w:highlight w:val="none"/>
        </w:rPr>
        <w:t>0</w:t>
      </w:r>
      <w:r>
        <w:rPr>
          <w:rFonts w:hint="eastAsia" w:hAnsi="宋体" w:cs="宋体"/>
          <w:color w:val="auto"/>
          <w:sz w:val="24"/>
          <w:szCs w:val="24"/>
          <w:highlight w:val="none"/>
        </w:rPr>
        <w:t>日，每日迟延付款违约金为迟延付款金额的1.5‰；</w:t>
      </w:r>
    </w:p>
    <w:p w14:paraId="2C0B1516">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（2）从迟交的第3</w:t>
      </w:r>
      <w:r>
        <w:rPr>
          <w:rFonts w:hAnsi="宋体" w:cs="宋体"/>
          <w:color w:val="auto"/>
          <w:sz w:val="24"/>
          <w:szCs w:val="24"/>
          <w:highlight w:val="none"/>
        </w:rPr>
        <w:t>1</w:t>
      </w:r>
      <w:r>
        <w:rPr>
          <w:rFonts w:hint="eastAsia" w:hAnsi="宋体" w:cs="宋体"/>
          <w:color w:val="auto"/>
          <w:sz w:val="24"/>
          <w:szCs w:val="24"/>
          <w:highlight w:val="none"/>
        </w:rPr>
        <w:t>日到第60日，每日迟延付款违约金为迟延付款金额的3‰；</w:t>
      </w:r>
    </w:p>
    <w:p w14:paraId="4034C4E2">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（3）从迟交的第6</w:t>
      </w:r>
      <w:r>
        <w:rPr>
          <w:rFonts w:hAnsi="宋体" w:cs="宋体"/>
          <w:color w:val="auto"/>
          <w:sz w:val="24"/>
          <w:szCs w:val="24"/>
          <w:highlight w:val="none"/>
        </w:rPr>
        <w:t>1</w:t>
      </w:r>
      <w:r>
        <w:rPr>
          <w:rFonts w:hint="eastAsia" w:hAnsi="宋体" w:cs="宋体"/>
          <w:color w:val="auto"/>
          <w:sz w:val="24"/>
          <w:szCs w:val="24"/>
          <w:highlight w:val="none"/>
        </w:rPr>
        <w:t>日起，每日迟延付款违约金为迟延付款金额的 5‰。迟延付款违约金的总额不得超过迟延付款金额的30% 。</w:t>
      </w:r>
    </w:p>
    <w:p w14:paraId="4371EE6A">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7.乙方未按本合同和响应文件承诺提供售后服务的，乙方应按本合同总价的5%向甲方支付违约金。</w:t>
      </w:r>
    </w:p>
    <w:p w14:paraId="04D429F5">
      <w:pPr>
        <w:pStyle w:val="16"/>
        <w:snapToGrid w:val="0"/>
        <w:spacing w:line="440" w:lineRule="exact"/>
        <w:ind w:firstLine="480" w:firstLineChars="200"/>
        <w:rPr>
          <w:rFonts w:cs="宋体"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8.</w:t>
      </w:r>
      <w:r>
        <w:rPr>
          <w:rFonts w:hint="eastAsia" w:asciiTheme="minorEastAsia" w:hAnsiTheme="minorEastAsia" w:eastAsiaTheme="minorEastAsia"/>
          <w:color w:val="auto"/>
          <w:sz w:val="24"/>
          <w:szCs w:val="24"/>
          <w:highlight w:val="none"/>
        </w:rPr>
        <w:t>乙方违约，甲方对本合同享有单方解除权。</w:t>
      </w:r>
    </w:p>
    <w:p w14:paraId="5A5A607D">
      <w:pPr>
        <w:pStyle w:val="16"/>
        <w:snapToGrid w:val="0"/>
        <w:spacing w:line="440" w:lineRule="exact"/>
        <w:ind w:firstLine="480" w:firstLineChars="200"/>
        <w:rPr>
          <w:rFonts w:cs="宋体" w:asciiTheme="minorEastAsia" w:hAnsiTheme="minorEastAsia" w:eastAsiaTheme="minorEastAsia"/>
          <w:color w:val="auto"/>
          <w:sz w:val="24"/>
          <w:szCs w:val="24"/>
          <w:highlight w:val="none"/>
        </w:rPr>
      </w:pPr>
      <w:r>
        <w:rPr>
          <w:rFonts w:cs="宋体" w:asciiTheme="minorEastAsia" w:hAnsiTheme="minorEastAsia" w:eastAsiaTheme="minorEastAsia"/>
          <w:color w:val="auto"/>
          <w:sz w:val="24"/>
          <w:szCs w:val="24"/>
          <w:highlight w:val="none"/>
        </w:rPr>
        <w:t>9</w:t>
      </w:r>
      <w:r>
        <w:rPr>
          <w:rFonts w:hint="eastAsia" w:cs="宋体" w:asciiTheme="minorEastAsia" w:hAnsiTheme="minorEastAsia" w:eastAsiaTheme="minorEastAsia"/>
          <w:color w:val="auto"/>
          <w:sz w:val="24"/>
          <w:szCs w:val="24"/>
          <w:highlight w:val="none"/>
        </w:rPr>
        <w:t>.因某一方</w:t>
      </w:r>
      <w:r>
        <w:rPr>
          <w:rFonts w:hint="eastAsia" w:asciiTheme="minorEastAsia" w:hAnsiTheme="minorEastAsia" w:eastAsiaTheme="minorEastAsia"/>
          <w:bCs/>
          <w:color w:val="auto"/>
          <w:sz w:val="24"/>
          <w:highlight w:val="none"/>
          <w:shd w:val="clear" w:color="auto" w:fill="FFFFFF"/>
        </w:rPr>
        <w:t>单方面</w:t>
      </w:r>
      <w:r>
        <w:rPr>
          <w:rFonts w:hint="eastAsia" w:cs="宋体" w:asciiTheme="minorEastAsia" w:hAnsiTheme="minorEastAsia" w:eastAsiaTheme="minorEastAsia"/>
          <w:color w:val="auto"/>
          <w:sz w:val="24"/>
          <w:szCs w:val="24"/>
          <w:highlight w:val="none"/>
        </w:rPr>
        <w:t>原因导致变更、中止或者终止</w:t>
      </w:r>
      <w:bookmarkStart w:id="35" w:name="_Hlk123747227"/>
      <w:r>
        <w:rPr>
          <w:rFonts w:hint="eastAsia" w:asciiTheme="minorEastAsia" w:hAnsiTheme="minorEastAsia" w:eastAsiaTheme="minorEastAsia"/>
          <w:bCs/>
          <w:color w:val="auto"/>
          <w:sz w:val="24"/>
          <w:highlight w:val="none"/>
          <w:shd w:val="clear" w:color="auto" w:fill="FFFFFF"/>
        </w:rPr>
        <w:t>本</w:t>
      </w:r>
      <w:bookmarkEnd w:id="35"/>
      <w:r>
        <w:rPr>
          <w:rFonts w:hint="eastAsia" w:cs="宋体" w:asciiTheme="minorEastAsia" w:hAnsiTheme="minorEastAsia" w:eastAsiaTheme="minorEastAsia"/>
          <w:color w:val="auto"/>
          <w:sz w:val="24"/>
          <w:szCs w:val="24"/>
          <w:highlight w:val="none"/>
        </w:rPr>
        <w:t>合同的，该方应当对另一方</w:t>
      </w:r>
      <w:r>
        <w:rPr>
          <w:rFonts w:hint="eastAsia" w:asciiTheme="minorEastAsia" w:hAnsiTheme="minorEastAsia" w:eastAsiaTheme="minorEastAsia"/>
          <w:bCs/>
          <w:color w:val="auto"/>
          <w:sz w:val="24"/>
          <w:highlight w:val="none"/>
          <w:shd w:val="clear" w:color="auto" w:fill="FFFFFF"/>
        </w:rPr>
        <w:t>因此</w:t>
      </w:r>
      <w:r>
        <w:rPr>
          <w:rFonts w:hint="eastAsia" w:cs="宋体" w:asciiTheme="minorEastAsia" w:hAnsiTheme="minorEastAsia" w:eastAsiaTheme="minorEastAsia"/>
          <w:color w:val="auto"/>
          <w:sz w:val="24"/>
          <w:szCs w:val="24"/>
          <w:highlight w:val="none"/>
        </w:rPr>
        <w:t>受到的损失予以赔偿或者补偿。</w:t>
      </w:r>
    </w:p>
    <w:p w14:paraId="583475FF">
      <w:pPr>
        <w:pStyle w:val="16"/>
        <w:snapToGrid w:val="0"/>
        <w:spacing w:line="440" w:lineRule="exact"/>
        <w:ind w:firstLine="480" w:firstLineChars="200"/>
        <w:rPr>
          <w:rFonts w:hAnsi="宋体" w:cs="宋体"/>
          <w:color w:val="auto"/>
          <w:sz w:val="24"/>
          <w:szCs w:val="24"/>
          <w:highlight w:val="none"/>
        </w:rPr>
      </w:pPr>
      <w:r>
        <w:rPr>
          <w:rFonts w:hAnsi="宋体" w:cs="宋体"/>
          <w:color w:val="auto"/>
          <w:sz w:val="24"/>
          <w:szCs w:val="24"/>
          <w:highlight w:val="none"/>
        </w:rPr>
        <w:t>10</w:t>
      </w:r>
      <w:r>
        <w:rPr>
          <w:rFonts w:hint="eastAsia" w:hAnsi="宋体" w:cs="宋体"/>
          <w:color w:val="auto"/>
          <w:sz w:val="24"/>
          <w:szCs w:val="24"/>
          <w:highlight w:val="none"/>
        </w:rPr>
        <w:t>.乙方提供的货物在质量保证期内，因设计、工艺或者材料的缺陷和其它质量原因造成的问题，由乙方负责，费用从余款或者履约保证金中扣除，不足另补。</w:t>
      </w:r>
    </w:p>
    <w:p w14:paraId="6F9FA8A0">
      <w:pPr>
        <w:pStyle w:val="16"/>
        <w:snapToGrid w:val="0"/>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1</w:t>
      </w:r>
      <w:r>
        <w:rPr>
          <w:rFonts w:hAnsi="宋体" w:cs="宋体"/>
          <w:color w:val="auto"/>
          <w:sz w:val="24"/>
          <w:szCs w:val="24"/>
          <w:highlight w:val="none"/>
        </w:rPr>
        <w:t>1</w:t>
      </w:r>
      <w:r>
        <w:rPr>
          <w:rFonts w:hint="eastAsia" w:hAnsi="宋体" w:cs="宋体"/>
          <w:color w:val="auto"/>
          <w:sz w:val="24"/>
          <w:szCs w:val="24"/>
          <w:highlight w:val="none"/>
        </w:rPr>
        <w:t>.甲乙双方有其他违约行为的，由违约方向对方支付违约货款额的5%，违约货款额的5%不足以赔偿经济损失的，须按实际损失作出赔偿。若双方通过诉讼解决合同纠纷，败诉方还应承担胜诉方在诉讼期间支出的相关费用（包括但不限于诉讼费、律师费、诉讼期间差旅费、鉴定费、执行费、保全费、保全保险费等）。</w:t>
      </w:r>
    </w:p>
    <w:p w14:paraId="5B14FF07">
      <w:pPr>
        <w:pStyle w:val="16"/>
        <w:snapToGrid w:val="0"/>
        <w:spacing w:line="44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1</w:t>
      </w:r>
      <w:r>
        <w:rPr>
          <w:rFonts w:hAnsi="宋体" w:cs="宋体"/>
          <w:color w:val="auto"/>
          <w:sz w:val="24"/>
          <w:szCs w:val="24"/>
          <w:highlight w:val="none"/>
        </w:rPr>
        <w:t>2</w:t>
      </w:r>
      <w:r>
        <w:rPr>
          <w:rFonts w:hint="eastAsia" w:hAnsi="宋体" w:cs="宋体"/>
          <w:color w:val="auto"/>
          <w:sz w:val="24"/>
          <w:szCs w:val="24"/>
          <w:highlight w:val="none"/>
        </w:rPr>
        <w:t>.其他违约责任按《中华人民共和国民法典》处理。</w:t>
      </w:r>
    </w:p>
    <w:p w14:paraId="4F88A7F4">
      <w:pPr>
        <w:pStyle w:val="16"/>
        <w:snapToGrid w:val="0"/>
        <w:spacing w:line="460" w:lineRule="exact"/>
        <w:ind w:firstLine="472" w:firstLineChars="196"/>
        <w:rPr>
          <w:rFonts w:hAnsi="宋体" w:cs="宋体"/>
          <w:b/>
          <w:bCs/>
          <w:color w:val="auto"/>
          <w:sz w:val="24"/>
          <w:szCs w:val="24"/>
          <w:highlight w:val="none"/>
        </w:rPr>
      </w:pPr>
      <w:r>
        <w:rPr>
          <w:rFonts w:hint="eastAsia" w:hAnsi="宋体" w:cs="宋体"/>
          <w:b/>
          <w:bCs/>
          <w:color w:val="auto"/>
          <w:sz w:val="24"/>
          <w:szCs w:val="24"/>
          <w:highlight w:val="none"/>
        </w:rPr>
        <w:t>第十二条  不可抗力事件处理</w:t>
      </w:r>
    </w:p>
    <w:p w14:paraId="48A01182">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1.在合同有效期内，任何一方因不可抗力事件导致不能履行合同，则合同履行期可延长，其延长期与不可抗力影响期相同。</w:t>
      </w:r>
    </w:p>
    <w:p w14:paraId="3FCC8836">
      <w:pPr>
        <w:pStyle w:val="16"/>
        <w:snapToGrid w:val="0"/>
        <w:spacing w:line="46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2.不可抗力事件发生后，应立即通知对方，并寄送有关权威机构出具的证明。</w:t>
      </w:r>
    </w:p>
    <w:p w14:paraId="24924D3F">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3.不可抗力事件延续</w:t>
      </w:r>
      <w:r>
        <w:rPr>
          <w:rFonts w:ascii="宋体" w:hAnsi="宋体" w:cs="宋体"/>
          <w:color w:val="auto"/>
          <w:sz w:val="24"/>
          <w:highlight w:val="none"/>
        </w:rPr>
        <w:t>60</w:t>
      </w:r>
      <w:r>
        <w:rPr>
          <w:rFonts w:hint="eastAsia" w:ascii="宋体" w:hAnsi="宋体" w:cs="宋体"/>
          <w:color w:val="auto"/>
          <w:sz w:val="24"/>
          <w:highlight w:val="none"/>
        </w:rPr>
        <w:t>天以上，双方应通过友好协商，确定是否继续履行合同。</w:t>
      </w:r>
    </w:p>
    <w:p w14:paraId="1BAA2442">
      <w:pPr>
        <w:snapToGrid w:val="0"/>
        <w:spacing w:line="46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第十三条  合同争议解决</w:t>
      </w:r>
    </w:p>
    <w:p w14:paraId="693DBE8F">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1.因货物质量问题发生争议的，应邀请国家认可的质量检测机构对货物质量进行鉴定。货物符合标准的，鉴定费由甲方承担；货物不符合标准的，鉴定费由乙方承担。</w:t>
      </w:r>
    </w:p>
    <w:p w14:paraId="00C451D7">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2.因履行本合同引起的或者与本合同有关的争议，甲乙双方应首先通过友好协商解决，如果协商不能解决，任何一方可向甲方所在地有管辖权的人民法院提起诉讼。</w:t>
      </w:r>
    </w:p>
    <w:p w14:paraId="06844913">
      <w:pPr>
        <w:snapToGrid w:val="0"/>
        <w:spacing w:line="460" w:lineRule="exact"/>
        <w:ind w:firstLine="514"/>
        <w:rPr>
          <w:rFonts w:ascii="宋体" w:hAnsi="宋体" w:cs="宋体"/>
          <w:color w:val="auto"/>
          <w:sz w:val="24"/>
          <w:highlight w:val="none"/>
        </w:rPr>
      </w:pPr>
      <w:r>
        <w:rPr>
          <w:rFonts w:hint="eastAsia" w:ascii="宋体" w:hAnsi="宋体" w:cs="宋体"/>
          <w:color w:val="auto"/>
          <w:sz w:val="24"/>
          <w:highlight w:val="none"/>
        </w:rPr>
        <w:t>3.诉讼期间，本合同无争议部分须继续履行。</w:t>
      </w:r>
    </w:p>
    <w:p w14:paraId="1BF41893">
      <w:pPr>
        <w:pStyle w:val="16"/>
        <w:snapToGrid w:val="0"/>
        <w:spacing w:line="460" w:lineRule="exact"/>
        <w:ind w:firstLine="472" w:firstLineChars="196"/>
        <w:rPr>
          <w:rFonts w:hAnsi="宋体" w:cs="宋体"/>
          <w:b/>
          <w:color w:val="auto"/>
          <w:sz w:val="24"/>
          <w:szCs w:val="24"/>
          <w:highlight w:val="none"/>
        </w:rPr>
      </w:pPr>
      <w:r>
        <w:rPr>
          <w:rFonts w:hint="eastAsia" w:hAnsi="宋体" w:cs="宋体"/>
          <w:b/>
          <w:color w:val="auto"/>
          <w:sz w:val="24"/>
          <w:szCs w:val="24"/>
          <w:highlight w:val="none"/>
        </w:rPr>
        <w:t>第十四条  合同生效及其他</w:t>
      </w:r>
    </w:p>
    <w:p w14:paraId="7E5F86FD">
      <w:pPr>
        <w:pStyle w:val="16"/>
        <w:snapToGrid w:val="0"/>
        <w:spacing w:line="460" w:lineRule="exact"/>
        <w:ind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1.合同自双方法定代表人或者委托代理人签字并加盖单位公章或合同专用章之日起生效（委托代理人签字的须后附授权委托书，格式自拟）。</w:t>
      </w:r>
    </w:p>
    <w:p w14:paraId="31CA92AE">
      <w:pPr>
        <w:pStyle w:val="16"/>
        <w:snapToGrid w:val="0"/>
        <w:spacing w:line="460" w:lineRule="exact"/>
        <w:ind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2.本合同未尽事宜，遵照《中华人民共和国民法典》有关条文执行。</w:t>
      </w:r>
    </w:p>
    <w:p w14:paraId="4369FBB2">
      <w:pPr>
        <w:pStyle w:val="16"/>
        <w:snapToGrid w:val="0"/>
        <w:spacing w:line="460" w:lineRule="exact"/>
        <w:ind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3</w:t>
      </w:r>
      <w:r>
        <w:rPr>
          <w:rFonts w:hAnsi="宋体" w:cs="宋体"/>
          <w:color w:val="auto"/>
          <w:kern w:val="2"/>
          <w:sz w:val="24"/>
          <w:szCs w:val="24"/>
          <w:highlight w:val="none"/>
        </w:rPr>
        <w:t>.</w:t>
      </w:r>
      <w:r>
        <w:rPr>
          <w:rFonts w:hint="eastAsia" w:hAnsi="宋体" w:cs="宋体"/>
          <w:color w:val="auto"/>
          <w:kern w:val="2"/>
          <w:sz w:val="24"/>
          <w:szCs w:val="24"/>
          <w:highlight w:val="none"/>
        </w:rPr>
        <w:t>双方确认本合同落款通讯地址作为文书送达地址，该通讯地址适用于包括双方合同履行过程中的各类通知、补充协议等文件，以及因履行合同发生争议进入民事诉讼程序后的一审、二审、再审和执行程序等阶段法律文书的送达。通讯地址需要变更时应当提前15个工作日书面通知对方。因提供或者确认的通讯地址不准确、通讯地址变更后未及时依程序告知对方或受送达方拒绝签收或拒绝接听快递员投递电话等原因，导致文书未能被实际接收的，邮寄文书被退回之日视为送达之日。</w:t>
      </w:r>
    </w:p>
    <w:p w14:paraId="53E9B760">
      <w:pPr>
        <w:snapToGrid w:val="0"/>
        <w:spacing w:line="4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第十五条　合同的变更、终止与转让</w:t>
      </w:r>
    </w:p>
    <w:p w14:paraId="482CC44D">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1.除《中华人民共和国政府采购法》第五十条规定的情形外，本合同一经签订，甲乙双方不得擅自变更、中止或者终止。</w:t>
      </w:r>
    </w:p>
    <w:p w14:paraId="7873A36C">
      <w:pPr>
        <w:snapToGrid w:val="0"/>
        <w:spacing w:line="460" w:lineRule="exact"/>
        <w:ind w:firstLine="514"/>
        <w:rPr>
          <w:rFonts w:ascii="宋体" w:hAnsi="宋体" w:cs="宋体"/>
          <w:color w:val="auto"/>
          <w:sz w:val="24"/>
          <w:highlight w:val="none"/>
        </w:rPr>
      </w:pPr>
      <w:r>
        <w:rPr>
          <w:rFonts w:hint="eastAsia" w:ascii="宋体" w:hAnsi="宋体" w:cs="宋体"/>
          <w:color w:val="auto"/>
          <w:sz w:val="24"/>
          <w:highlight w:val="none"/>
        </w:rPr>
        <w:t>2.乙方不得擅自转让其应履行的合同义务。</w:t>
      </w:r>
    </w:p>
    <w:p w14:paraId="07516431">
      <w:pPr>
        <w:pStyle w:val="16"/>
        <w:snapToGrid w:val="0"/>
        <w:spacing w:line="460" w:lineRule="exact"/>
        <w:ind w:firstLine="472" w:firstLineChars="196"/>
        <w:rPr>
          <w:rFonts w:hAnsi="宋体" w:cs="宋体"/>
          <w:color w:val="auto"/>
          <w:sz w:val="24"/>
          <w:szCs w:val="24"/>
          <w:highlight w:val="none"/>
        </w:rPr>
      </w:pPr>
      <w:r>
        <w:rPr>
          <w:rFonts w:hint="eastAsia" w:hAnsi="宋体" w:cs="宋体"/>
          <w:b/>
          <w:color w:val="auto"/>
          <w:sz w:val="24"/>
          <w:szCs w:val="24"/>
          <w:highlight w:val="none"/>
        </w:rPr>
        <w:t>第十六条　</w:t>
      </w:r>
      <w:r>
        <w:rPr>
          <w:rFonts w:hint="eastAsia" w:hAnsi="宋体" w:cs="宋体"/>
          <w:color w:val="auto"/>
          <w:spacing w:val="-2"/>
          <w:sz w:val="24"/>
          <w:szCs w:val="24"/>
          <w:highlight w:val="none"/>
        </w:rPr>
        <w:t>本</w:t>
      </w:r>
      <w:r>
        <w:rPr>
          <w:rFonts w:hint="eastAsia" w:hAnsi="宋体" w:cs="宋体"/>
          <w:color w:val="auto"/>
          <w:sz w:val="24"/>
          <w:szCs w:val="24"/>
          <w:highlight w:val="none"/>
        </w:rPr>
        <w:t>合同书</w:t>
      </w:r>
      <w:r>
        <w:rPr>
          <w:rFonts w:hint="eastAsia" w:hAnsi="宋体" w:cs="宋体"/>
          <w:color w:val="auto"/>
          <w:spacing w:val="-2"/>
          <w:sz w:val="24"/>
          <w:szCs w:val="24"/>
          <w:highlight w:val="none"/>
        </w:rPr>
        <w:t>与</w:t>
      </w:r>
      <w:r>
        <w:rPr>
          <w:rFonts w:hint="eastAsia" w:hAnsi="宋体" w:cs="宋体"/>
          <w:color w:val="auto"/>
          <w:sz w:val="24"/>
          <w:szCs w:val="24"/>
          <w:highlight w:val="none"/>
        </w:rPr>
        <w:t>下</w:t>
      </w:r>
      <w:r>
        <w:rPr>
          <w:rFonts w:hint="eastAsia" w:hAnsi="宋体" w:cs="宋体"/>
          <w:color w:val="auto"/>
          <w:spacing w:val="-2"/>
          <w:sz w:val="24"/>
          <w:szCs w:val="24"/>
          <w:highlight w:val="none"/>
        </w:rPr>
        <w:t>列</w:t>
      </w:r>
      <w:r>
        <w:rPr>
          <w:rFonts w:hint="eastAsia" w:hAnsi="宋体" w:cs="宋体"/>
          <w:color w:val="auto"/>
          <w:sz w:val="24"/>
          <w:szCs w:val="24"/>
          <w:highlight w:val="none"/>
        </w:rPr>
        <w:t>文</w:t>
      </w:r>
      <w:r>
        <w:rPr>
          <w:rFonts w:hint="eastAsia" w:hAnsi="宋体" w:cs="宋体"/>
          <w:color w:val="auto"/>
          <w:spacing w:val="-2"/>
          <w:sz w:val="24"/>
          <w:szCs w:val="24"/>
          <w:highlight w:val="none"/>
        </w:rPr>
        <w:t>件一</w:t>
      </w:r>
      <w:r>
        <w:rPr>
          <w:rFonts w:hint="eastAsia" w:hAnsi="宋体" w:cs="宋体"/>
          <w:color w:val="auto"/>
          <w:sz w:val="24"/>
          <w:szCs w:val="24"/>
          <w:highlight w:val="none"/>
        </w:rPr>
        <w:t>起构</w:t>
      </w:r>
      <w:r>
        <w:rPr>
          <w:rFonts w:hint="eastAsia" w:hAnsi="宋体" w:cs="宋体"/>
          <w:color w:val="auto"/>
          <w:spacing w:val="-2"/>
          <w:sz w:val="24"/>
          <w:szCs w:val="24"/>
          <w:highlight w:val="none"/>
        </w:rPr>
        <w:t>成</w:t>
      </w:r>
      <w:r>
        <w:rPr>
          <w:rFonts w:hint="eastAsia" w:hAnsi="宋体" w:cs="宋体"/>
          <w:color w:val="auto"/>
          <w:sz w:val="24"/>
          <w:szCs w:val="24"/>
          <w:highlight w:val="none"/>
        </w:rPr>
        <w:t>合</w:t>
      </w:r>
      <w:r>
        <w:rPr>
          <w:rFonts w:hint="eastAsia" w:hAnsi="宋体" w:cs="宋体"/>
          <w:color w:val="auto"/>
          <w:spacing w:val="-2"/>
          <w:sz w:val="24"/>
          <w:szCs w:val="24"/>
          <w:highlight w:val="none"/>
        </w:rPr>
        <w:t>同</w:t>
      </w:r>
      <w:r>
        <w:rPr>
          <w:rFonts w:hint="eastAsia" w:hAnsi="宋体" w:cs="宋体"/>
          <w:color w:val="auto"/>
          <w:sz w:val="24"/>
          <w:szCs w:val="24"/>
          <w:highlight w:val="none"/>
        </w:rPr>
        <w:t>文</w:t>
      </w:r>
      <w:r>
        <w:rPr>
          <w:rFonts w:hint="eastAsia" w:hAnsi="宋体" w:cs="宋体"/>
          <w:color w:val="auto"/>
          <w:spacing w:val="-2"/>
          <w:sz w:val="24"/>
          <w:szCs w:val="24"/>
          <w:highlight w:val="none"/>
        </w:rPr>
        <w:t>件</w:t>
      </w:r>
    </w:p>
    <w:p w14:paraId="587D6C50">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1.成交通知书</w:t>
      </w:r>
    </w:p>
    <w:p w14:paraId="5EB121F6">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2.采购需求</w:t>
      </w:r>
    </w:p>
    <w:p w14:paraId="4C70BF98">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3.参与竞争性谈判声明函</w:t>
      </w:r>
    </w:p>
    <w:p w14:paraId="1C731345">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4.竞争性谈判报价表及货物配置清单</w:t>
      </w:r>
    </w:p>
    <w:p w14:paraId="05B70ADF">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5.商务要求偏离表和技术要求偏离表</w:t>
      </w:r>
    </w:p>
    <w:p w14:paraId="5A28C774">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6.售后服务承诺</w:t>
      </w:r>
    </w:p>
    <w:p w14:paraId="6978A10D">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7.其他合同文件</w:t>
      </w:r>
    </w:p>
    <w:p w14:paraId="53C76FD9">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上述合同文件互相补充和解释。如果合同文件之间存在矛盾或者不一致之处，以上述文件的排列顺序在先者为准。</w:t>
      </w:r>
    </w:p>
    <w:p w14:paraId="251AC8E7">
      <w:pPr>
        <w:pStyle w:val="16"/>
        <w:snapToGrid w:val="0"/>
        <w:spacing w:line="460" w:lineRule="exact"/>
        <w:ind w:firstLine="472" w:firstLineChars="196"/>
        <w:rPr>
          <w:rFonts w:hAnsi="宋体" w:cs="宋体"/>
          <w:color w:val="auto"/>
          <w:sz w:val="24"/>
          <w:highlight w:val="none"/>
        </w:rPr>
      </w:pPr>
      <w:r>
        <w:rPr>
          <w:rFonts w:hint="eastAsia" w:hAnsi="宋体" w:cs="宋体"/>
          <w:b/>
          <w:color w:val="auto"/>
          <w:sz w:val="24"/>
          <w:highlight w:val="none"/>
        </w:rPr>
        <w:t>第十七条　</w:t>
      </w:r>
      <w:r>
        <w:rPr>
          <w:rFonts w:hint="eastAsia" w:hAnsi="宋体" w:cs="宋体"/>
          <w:color w:val="auto"/>
          <w:sz w:val="24"/>
          <w:szCs w:val="24"/>
          <w:highlight w:val="none"/>
        </w:rPr>
        <w:t>本合同一式柒份，具有同等法律效力，甲方</w:t>
      </w:r>
      <w:r>
        <w:rPr>
          <w:rFonts w:hint="eastAsia" w:hAnsi="宋体" w:cs="宋体"/>
          <w:color w:val="auto"/>
          <w:sz w:val="24"/>
          <w:szCs w:val="24"/>
          <w:highlight w:val="none"/>
          <w:lang w:val="en-US" w:eastAsia="zh-CN"/>
        </w:rPr>
        <w:t>叁</w:t>
      </w:r>
      <w:r>
        <w:rPr>
          <w:rFonts w:hint="eastAsia" w:hAnsi="宋体" w:cs="宋体"/>
          <w:color w:val="auto"/>
          <w:sz w:val="24"/>
          <w:szCs w:val="24"/>
          <w:highlight w:val="none"/>
        </w:rPr>
        <w:t>份，乙方</w:t>
      </w:r>
      <w:r>
        <w:rPr>
          <w:rFonts w:hint="eastAsia" w:hAnsi="宋体" w:cs="宋体"/>
          <w:color w:val="auto"/>
          <w:sz w:val="24"/>
          <w:szCs w:val="24"/>
          <w:highlight w:val="none"/>
          <w:lang w:val="en-US" w:eastAsia="zh-CN"/>
        </w:rPr>
        <w:t>叁</w:t>
      </w:r>
      <w:r>
        <w:rPr>
          <w:rFonts w:hint="eastAsia" w:hAnsi="宋体" w:cs="宋体"/>
          <w:color w:val="auto"/>
          <w:sz w:val="24"/>
          <w:szCs w:val="24"/>
          <w:highlight w:val="none"/>
        </w:rPr>
        <w:t>份，采购代理机构壹份。</w:t>
      </w:r>
    </w:p>
    <w:p w14:paraId="55AAB222">
      <w:pPr>
        <w:pStyle w:val="16"/>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（以下无正文）</w:t>
      </w:r>
    </w:p>
    <w:p w14:paraId="69AE32D1">
      <w:pPr>
        <w:pStyle w:val="16"/>
        <w:snapToGrid w:val="0"/>
        <w:spacing w:line="460" w:lineRule="exact"/>
        <w:ind w:firstLine="470" w:firstLineChars="196"/>
        <w:rPr>
          <w:rFonts w:hAnsi="宋体" w:cs="宋体"/>
          <w:color w:val="auto"/>
          <w:sz w:val="24"/>
          <w:highlight w:val="none"/>
        </w:rPr>
      </w:pPr>
    </w:p>
    <w:bookmarkEnd w:id="34"/>
    <w:tbl>
      <w:tblPr>
        <w:tblStyle w:val="29"/>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60"/>
      </w:tblGrid>
      <w:tr w14:paraId="2F79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1" w:hRule="atLeast"/>
          <w:jc w:val="center"/>
        </w:trPr>
        <w:tc>
          <w:tcPr>
            <w:tcW w:w="4359" w:type="dxa"/>
            <w:vAlign w:val="center"/>
          </w:tcPr>
          <w:p w14:paraId="5AE05C82">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 xml:space="preserve">甲方（章）           </w:t>
            </w:r>
          </w:p>
          <w:p w14:paraId="6C49C63C">
            <w:pPr>
              <w:snapToGrid w:val="0"/>
              <w:spacing w:line="460" w:lineRule="exact"/>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广西自然资源职业技术学院</w:t>
            </w:r>
          </w:p>
          <w:p w14:paraId="6546D1EC">
            <w:pPr>
              <w:snapToGrid w:val="0"/>
              <w:spacing w:line="460" w:lineRule="exact"/>
              <w:ind w:firstLine="1080" w:firstLineChars="450"/>
              <w:jc w:val="right"/>
              <w:rPr>
                <w:rFonts w:ascii="宋体" w:hAnsi="宋体" w:cs="宋体"/>
                <w:color w:val="auto"/>
                <w:sz w:val="24"/>
                <w:highlight w:val="none"/>
              </w:rPr>
            </w:pPr>
            <w:r>
              <w:rPr>
                <w:rFonts w:hint="eastAsia" w:ascii="宋体" w:hAnsi="宋体" w:cs="宋体"/>
                <w:color w:val="auto"/>
                <w:sz w:val="24"/>
                <w:highlight w:val="none"/>
              </w:rPr>
              <w:t>年   月   日</w:t>
            </w:r>
          </w:p>
        </w:tc>
        <w:tc>
          <w:tcPr>
            <w:tcW w:w="4360" w:type="dxa"/>
            <w:vAlign w:val="center"/>
          </w:tcPr>
          <w:p w14:paraId="68F03AC0">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 xml:space="preserve">乙方（章）              </w:t>
            </w:r>
          </w:p>
          <w:p w14:paraId="630AC6CB">
            <w:pPr>
              <w:snapToGrid w:val="0"/>
              <w:spacing w:line="460" w:lineRule="exact"/>
              <w:jc w:val="right"/>
              <w:rPr>
                <w:rFonts w:ascii="宋体" w:hAnsi="宋体" w:cs="宋体"/>
                <w:color w:val="auto"/>
                <w:sz w:val="24"/>
                <w:highlight w:val="none"/>
              </w:rPr>
            </w:pPr>
            <w:r>
              <w:rPr>
                <w:rFonts w:hint="eastAsia" w:ascii="宋体" w:hAnsi="宋体" w:cs="宋体"/>
                <w:color w:val="auto"/>
                <w:sz w:val="24"/>
                <w:highlight w:val="none"/>
              </w:rPr>
              <w:t xml:space="preserve"> 年   月   日</w:t>
            </w:r>
          </w:p>
        </w:tc>
      </w:tr>
      <w:tr w14:paraId="43B1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atLeast"/>
          <w:jc w:val="center"/>
        </w:trPr>
        <w:tc>
          <w:tcPr>
            <w:tcW w:w="4359" w:type="dxa"/>
            <w:vAlign w:val="center"/>
          </w:tcPr>
          <w:p w14:paraId="58D6867D">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单位地址：</w:t>
            </w:r>
          </w:p>
        </w:tc>
        <w:tc>
          <w:tcPr>
            <w:tcW w:w="4360" w:type="dxa"/>
            <w:vAlign w:val="center"/>
          </w:tcPr>
          <w:p w14:paraId="38F254EF">
            <w:pPr>
              <w:pStyle w:val="24"/>
              <w:widowControl/>
              <w:spacing w:line="460" w:lineRule="exact"/>
              <w:rPr>
                <w:rFonts w:ascii="宋体" w:hAnsi="宋体" w:cs="宋体"/>
                <w:color w:val="auto"/>
                <w:highlight w:val="none"/>
              </w:rPr>
            </w:pPr>
            <w:r>
              <w:rPr>
                <w:rFonts w:hint="eastAsia" w:ascii="宋体" w:hAnsi="宋体" w:cs="宋体"/>
                <w:color w:val="auto"/>
                <w:highlight w:val="none"/>
              </w:rPr>
              <w:t>单位地址：</w:t>
            </w:r>
          </w:p>
        </w:tc>
      </w:tr>
      <w:tr w14:paraId="3B72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jc w:val="center"/>
        </w:trPr>
        <w:tc>
          <w:tcPr>
            <w:tcW w:w="4359" w:type="dxa"/>
            <w:vAlign w:val="center"/>
          </w:tcPr>
          <w:p w14:paraId="7D5B3851">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法定代表人（签字）：</w:t>
            </w:r>
          </w:p>
        </w:tc>
        <w:tc>
          <w:tcPr>
            <w:tcW w:w="4360" w:type="dxa"/>
            <w:vAlign w:val="center"/>
          </w:tcPr>
          <w:p w14:paraId="2F8C7BB4">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法定代表人（签字）：</w:t>
            </w:r>
          </w:p>
        </w:tc>
      </w:tr>
      <w:tr w14:paraId="5B03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jc w:val="center"/>
        </w:trPr>
        <w:tc>
          <w:tcPr>
            <w:tcW w:w="4359" w:type="dxa"/>
            <w:vAlign w:val="center"/>
          </w:tcPr>
          <w:p w14:paraId="32CCE52D">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委托代理人（签字）：</w:t>
            </w:r>
          </w:p>
        </w:tc>
        <w:tc>
          <w:tcPr>
            <w:tcW w:w="4360" w:type="dxa"/>
            <w:vAlign w:val="center"/>
          </w:tcPr>
          <w:p w14:paraId="7980BDF2">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委托代理人（签字）：</w:t>
            </w:r>
          </w:p>
        </w:tc>
      </w:tr>
      <w:tr w14:paraId="7F2C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359" w:type="dxa"/>
            <w:vAlign w:val="center"/>
          </w:tcPr>
          <w:p w14:paraId="3E08E7F6">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电话：</w:t>
            </w:r>
          </w:p>
        </w:tc>
        <w:tc>
          <w:tcPr>
            <w:tcW w:w="4360" w:type="dxa"/>
            <w:vAlign w:val="center"/>
          </w:tcPr>
          <w:p w14:paraId="76B7AB1F">
            <w:pPr>
              <w:widowControl/>
              <w:spacing w:line="4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电话：</w:t>
            </w:r>
            <w:r>
              <w:rPr>
                <w:rFonts w:hint="eastAsia" w:ascii="宋体" w:hAnsi="宋体" w:cs="宋体"/>
                <w:color w:val="auto"/>
                <w:kern w:val="0"/>
                <w:sz w:val="24"/>
                <w:highlight w:val="none"/>
                <w:lang w:bidi="ar"/>
              </w:rPr>
              <w:t xml:space="preserve"> </w:t>
            </w:r>
          </w:p>
        </w:tc>
      </w:tr>
      <w:tr w14:paraId="4AB0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359" w:type="dxa"/>
            <w:vAlign w:val="center"/>
          </w:tcPr>
          <w:p w14:paraId="700A428C">
            <w:pPr>
              <w:snapToGrid w:val="0"/>
              <w:spacing w:line="460" w:lineRule="exact"/>
              <w:rPr>
                <w:rFonts w:ascii="宋体" w:hAnsi="宋体" w:cs="宋体"/>
                <w:color w:val="auto"/>
                <w:kern w:val="0"/>
                <w:sz w:val="24"/>
                <w:highlight w:val="none"/>
              </w:rPr>
            </w:pPr>
            <w:r>
              <w:rPr>
                <w:rFonts w:hint="eastAsia" w:ascii="宋体" w:hAnsi="宋体" w:cs="宋体"/>
                <w:color w:val="auto"/>
                <w:kern w:val="0"/>
                <w:sz w:val="24"/>
                <w:highlight w:val="none"/>
              </w:rPr>
              <w:t>电子邮箱：</w:t>
            </w:r>
          </w:p>
        </w:tc>
        <w:tc>
          <w:tcPr>
            <w:tcW w:w="4360" w:type="dxa"/>
            <w:vAlign w:val="center"/>
          </w:tcPr>
          <w:p w14:paraId="54A7F6B6">
            <w:pPr>
              <w:snapToGrid w:val="0"/>
              <w:spacing w:line="460" w:lineRule="exact"/>
              <w:rPr>
                <w:rFonts w:ascii="宋体" w:hAnsi="宋体" w:cs="宋体"/>
                <w:color w:val="auto"/>
                <w:kern w:val="0"/>
                <w:sz w:val="24"/>
                <w:highlight w:val="none"/>
              </w:rPr>
            </w:pPr>
            <w:r>
              <w:rPr>
                <w:rFonts w:hint="eastAsia" w:ascii="宋体" w:hAnsi="宋体" w:cs="宋体"/>
                <w:color w:val="auto"/>
                <w:kern w:val="0"/>
                <w:sz w:val="24"/>
                <w:highlight w:val="none"/>
              </w:rPr>
              <w:t>电子邮箱：</w:t>
            </w:r>
          </w:p>
        </w:tc>
      </w:tr>
      <w:tr w14:paraId="102B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atLeast"/>
          <w:jc w:val="center"/>
        </w:trPr>
        <w:tc>
          <w:tcPr>
            <w:tcW w:w="4359" w:type="dxa"/>
            <w:vAlign w:val="center"/>
          </w:tcPr>
          <w:p w14:paraId="6EA0BFE6">
            <w:pPr>
              <w:snapToGrid w:val="0"/>
              <w:spacing w:line="460" w:lineRule="exact"/>
              <w:rPr>
                <w:rFonts w:ascii="宋体" w:hAnsi="宋体" w:cs="宋体"/>
                <w:color w:val="auto"/>
                <w:kern w:val="0"/>
                <w:sz w:val="24"/>
                <w:highlight w:val="none"/>
              </w:rPr>
            </w:pPr>
            <w:r>
              <w:rPr>
                <w:rFonts w:hint="eastAsia" w:ascii="宋体" w:hAnsi="宋体" w:cs="宋体"/>
                <w:color w:val="auto"/>
                <w:kern w:val="0"/>
                <w:sz w:val="24"/>
                <w:highlight w:val="none"/>
              </w:rPr>
              <w:t>开户银行：</w:t>
            </w:r>
          </w:p>
        </w:tc>
        <w:tc>
          <w:tcPr>
            <w:tcW w:w="4360" w:type="dxa"/>
            <w:vAlign w:val="center"/>
          </w:tcPr>
          <w:p w14:paraId="27EED344">
            <w:pPr>
              <w:widowControl/>
              <w:spacing w:line="4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开户银行：</w:t>
            </w:r>
          </w:p>
        </w:tc>
      </w:tr>
      <w:tr w14:paraId="2A11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359" w:type="dxa"/>
            <w:vAlign w:val="center"/>
          </w:tcPr>
          <w:p w14:paraId="751F0BFF">
            <w:pPr>
              <w:pStyle w:val="24"/>
              <w:widowControl/>
              <w:rPr>
                <w:rFonts w:ascii="宋体" w:hAnsi="宋体" w:cs="宋体"/>
                <w:color w:val="auto"/>
                <w:highlight w:val="none"/>
              </w:rPr>
            </w:pPr>
            <w:r>
              <w:rPr>
                <w:rFonts w:hint="eastAsia" w:ascii="宋体" w:hAnsi="宋体" w:cs="宋体"/>
                <w:color w:val="auto"/>
                <w:highlight w:val="none"/>
              </w:rPr>
              <w:t>账号：</w:t>
            </w:r>
          </w:p>
        </w:tc>
        <w:tc>
          <w:tcPr>
            <w:tcW w:w="4360" w:type="dxa"/>
            <w:vAlign w:val="center"/>
          </w:tcPr>
          <w:p w14:paraId="431C2701">
            <w:pPr>
              <w:widowControl/>
              <w:spacing w:line="460" w:lineRule="exact"/>
              <w:jc w:val="left"/>
              <w:rPr>
                <w:rFonts w:ascii="宋体" w:hAnsi="宋体" w:cs="宋体"/>
                <w:color w:val="auto"/>
                <w:highlight w:val="none"/>
              </w:rPr>
            </w:pPr>
            <w:r>
              <w:rPr>
                <w:rFonts w:hint="eastAsia" w:ascii="宋体" w:hAnsi="宋体" w:cs="宋体"/>
                <w:color w:val="auto"/>
                <w:highlight w:val="none"/>
              </w:rPr>
              <w:t>账号：</w:t>
            </w:r>
          </w:p>
        </w:tc>
      </w:tr>
      <w:tr w14:paraId="754B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4359" w:type="dxa"/>
            <w:vAlign w:val="center"/>
          </w:tcPr>
          <w:p w14:paraId="6EB08733">
            <w:pPr>
              <w:pStyle w:val="24"/>
              <w:widowControl/>
              <w:rPr>
                <w:rFonts w:ascii="宋体" w:hAnsi="宋体" w:cs="宋体"/>
                <w:color w:val="auto"/>
                <w:highlight w:val="none"/>
              </w:rPr>
            </w:pPr>
            <w:r>
              <w:rPr>
                <w:rFonts w:hint="eastAsia" w:ascii="宋体" w:hAnsi="宋体" w:cs="宋体"/>
                <w:color w:val="auto"/>
                <w:highlight w:val="none"/>
              </w:rPr>
              <w:t>邮政编码：</w:t>
            </w:r>
          </w:p>
        </w:tc>
        <w:tc>
          <w:tcPr>
            <w:tcW w:w="4360" w:type="dxa"/>
            <w:vAlign w:val="center"/>
          </w:tcPr>
          <w:p w14:paraId="053FA28C">
            <w:pPr>
              <w:widowControl/>
              <w:spacing w:line="4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邮政编码：</w:t>
            </w:r>
          </w:p>
        </w:tc>
      </w:tr>
    </w:tbl>
    <w:p w14:paraId="6CB1A8CF">
      <w:pPr>
        <w:spacing w:line="460" w:lineRule="exact"/>
        <w:rPr>
          <w:rFonts w:ascii="宋体" w:hAnsi="宋体" w:cs="宋体"/>
          <w:b/>
          <w:bCs/>
          <w:color w:val="auto"/>
          <w:kern w:val="0"/>
          <w:sz w:val="24"/>
          <w:highlight w:val="none"/>
        </w:rPr>
      </w:pPr>
      <w:r>
        <w:rPr>
          <w:rFonts w:hint="eastAsia" w:ascii="宋体" w:hAnsi="宋体" w:cs="宋体"/>
          <w:b/>
          <w:bCs/>
          <w:color w:val="auto"/>
          <w:kern w:val="0"/>
          <w:sz w:val="24"/>
          <w:highlight w:val="none"/>
        </w:rPr>
        <w:br w:type="page"/>
      </w:r>
    </w:p>
    <w:p w14:paraId="76A6089A">
      <w:pPr>
        <w:jc w:val="center"/>
        <w:rPr>
          <w:rFonts w:ascii="宋体" w:hAnsi="宋体" w:cs="宋体"/>
          <w:color w:val="auto"/>
          <w:sz w:val="32"/>
          <w:szCs w:val="32"/>
          <w:highlight w:val="none"/>
        </w:rPr>
      </w:pPr>
      <w:r>
        <w:rPr>
          <w:rFonts w:hint="eastAsia" w:ascii="宋体" w:hAnsi="宋体" w:cs="宋体"/>
          <w:b/>
          <w:bCs/>
          <w:color w:val="auto"/>
          <w:kern w:val="0"/>
          <w:sz w:val="32"/>
          <w:szCs w:val="32"/>
          <w:highlight w:val="none"/>
          <w:lang w:eastAsia="zh-CN"/>
        </w:rPr>
        <w:t>广西自然资源职业技术学院</w:t>
      </w:r>
      <w:r>
        <w:rPr>
          <w:rFonts w:hint="eastAsia" w:ascii="宋体" w:hAnsi="宋体" w:cs="宋体"/>
          <w:b/>
          <w:bCs/>
          <w:color w:val="auto"/>
          <w:kern w:val="0"/>
          <w:sz w:val="32"/>
          <w:szCs w:val="32"/>
          <w:highlight w:val="none"/>
        </w:rPr>
        <w:t>采购项目履约保证金退付意见书</w:t>
      </w:r>
    </w:p>
    <w:p w14:paraId="5AA50271">
      <w:pPr>
        <w:snapToGrid w:val="0"/>
        <w:spacing w:line="400" w:lineRule="exact"/>
        <w:jc w:val="center"/>
        <w:rPr>
          <w:rFonts w:ascii="宋体" w:hAnsi="宋体" w:cs="宋体"/>
          <w:b/>
          <w:color w:val="auto"/>
          <w:sz w:val="24"/>
          <w:highlight w:val="none"/>
        </w:rPr>
      </w:pPr>
    </w:p>
    <w:tbl>
      <w:tblPr>
        <w:tblStyle w:val="29"/>
        <w:tblW w:w="89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7174"/>
      </w:tblGrid>
      <w:tr w14:paraId="7882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730" w:type="dxa"/>
            <w:vMerge w:val="restart"/>
            <w:vAlign w:val="center"/>
          </w:tcPr>
          <w:p w14:paraId="414817B2">
            <w:pPr>
              <w:jc w:val="center"/>
              <w:rPr>
                <w:rFonts w:ascii="宋体" w:hAnsi="宋体"/>
                <w:color w:val="auto"/>
                <w:sz w:val="24"/>
                <w:highlight w:val="none"/>
              </w:rPr>
            </w:pPr>
            <w:r>
              <w:rPr>
                <w:rFonts w:hint="eastAsia" w:ascii="宋体" w:hAnsi="宋体"/>
                <w:color w:val="auto"/>
                <w:sz w:val="24"/>
                <w:highlight w:val="none"/>
              </w:rPr>
              <w:t>供应商申请</w:t>
            </w:r>
          </w:p>
        </w:tc>
        <w:tc>
          <w:tcPr>
            <w:tcW w:w="7174" w:type="dxa"/>
            <w:vAlign w:val="center"/>
          </w:tcPr>
          <w:p w14:paraId="05C1D7D7">
            <w:pPr>
              <w:rPr>
                <w:rFonts w:ascii="宋体" w:hAnsi="宋体"/>
                <w:color w:val="auto"/>
                <w:sz w:val="24"/>
                <w:highlight w:val="none"/>
              </w:rPr>
            </w:pPr>
            <w:r>
              <w:rPr>
                <w:rFonts w:hint="eastAsia" w:ascii="宋体" w:hAnsi="宋体"/>
                <w:color w:val="auto"/>
                <w:sz w:val="24"/>
                <w:highlight w:val="none"/>
              </w:rPr>
              <w:t>项目名称：</w:t>
            </w:r>
          </w:p>
        </w:tc>
      </w:tr>
      <w:tr w14:paraId="06EB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730" w:type="dxa"/>
            <w:vMerge w:val="continue"/>
          </w:tcPr>
          <w:p w14:paraId="314E7C44">
            <w:pPr>
              <w:rPr>
                <w:rFonts w:ascii="宋体" w:hAnsi="宋体"/>
                <w:color w:val="auto"/>
                <w:sz w:val="24"/>
                <w:highlight w:val="none"/>
              </w:rPr>
            </w:pPr>
          </w:p>
        </w:tc>
        <w:tc>
          <w:tcPr>
            <w:tcW w:w="7174" w:type="dxa"/>
            <w:vAlign w:val="center"/>
          </w:tcPr>
          <w:p w14:paraId="2B0200F7">
            <w:pPr>
              <w:rPr>
                <w:rFonts w:ascii="宋体" w:hAnsi="宋体"/>
                <w:color w:val="auto"/>
                <w:sz w:val="24"/>
                <w:highlight w:val="none"/>
              </w:rPr>
            </w:pPr>
            <w:r>
              <w:rPr>
                <w:rFonts w:hint="eastAsia" w:ascii="宋体" w:hAnsi="宋体"/>
                <w:color w:val="auto"/>
                <w:sz w:val="24"/>
                <w:highlight w:val="none"/>
              </w:rPr>
              <w:t>合同编号：</w:t>
            </w:r>
          </w:p>
        </w:tc>
      </w:tr>
      <w:tr w14:paraId="5EEC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1" w:hRule="atLeast"/>
        </w:trPr>
        <w:tc>
          <w:tcPr>
            <w:tcW w:w="1730" w:type="dxa"/>
            <w:vMerge w:val="continue"/>
          </w:tcPr>
          <w:p w14:paraId="1E9ABE80">
            <w:pPr>
              <w:rPr>
                <w:rFonts w:ascii="宋体" w:hAnsi="宋体"/>
                <w:color w:val="auto"/>
                <w:sz w:val="24"/>
                <w:highlight w:val="none"/>
              </w:rPr>
            </w:pPr>
          </w:p>
        </w:tc>
        <w:tc>
          <w:tcPr>
            <w:tcW w:w="7174" w:type="dxa"/>
          </w:tcPr>
          <w:p w14:paraId="318B09EB">
            <w:pPr>
              <w:rPr>
                <w:rFonts w:ascii="宋体" w:hAnsi="宋体"/>
                <w:color w:val="auto"/>
                <w:sz w:val="24"/>
                <w:highlight w:val="none"/>
              </w:rPr>
            </w:pPr>
          </w:p>
          <w:p w14:paraId="3E0858E8">
            <w:pPr>
              <w:ind w:firstLine="600" w:firstLineChars="250"/>
              <w:rPr>
                <w:rFonts w:ascii="宋体" w:hAnsi="宋体"/>
                <w:color w:val="auto"/>
                <w:sz w:val="24"/>
                <w:highlight w:val="none"/>
              </w:rPr>
            </w:pPr>
            <w:r>
              <w:rPr>
                <w:rFonts w:hint="eastAsia" w:ascii="宋体" w:hAnsi="宋体"/>
                <w:color w:val="auto"/>
                <w:sz w:val="24"/>
                <w:highlight w:val="none"/>
              </w:rPr>
              <w:t>该项目已于   年    月   日按合同要求履约完成。根据合同规定，可将履约保证金（大写）人民币</w:t>
            </w:r>
            <w:r>
              <w:rPr>
                <w:rFonts w:hint="eastAsia" w:ascii="宋体" w:hAnsi="宋体"/>
                <w:color w:val="auto"/>
                <w:sz w:val="24"/>
                <w:highlight w:val="none"/>
                <w:u w:val="single"/>
              </w:rPr>
              <w:t xml:space="preserve">                  </w:t>
            </w:r>
            <w:r>
              <w:rPr>
                <w:rFonts w:hint="eastAsia" w:ascii="宋体" w:hAnsi="宋体"/>
                <w:color w:val="auto"/>
                <w:sz w:val="24"/>
                <w:highlight w:val="none"/>
              </w:rPr>
              <w:t>（小写）¥</w:t>
            </w:r>
            <w:r>
              <w:rPr>
                <w:rFonts w:hint="eastAsia" w:ascii="宋体" w:hAnsi="宋体"/>
                <w:color w:val="auto"/>
                <w:sz w:val="24"/>
                <w:highlight w:val="none"/>
                <w:u w:val="single"/>
              </w:rPr>
              <w:t xml:space="preserve">            </w:t>
            </w:r>
            <w:r>
              <w:rPr>
                <w:rFonts w:ascii="宋体" w:hAnsi="宋体"/>
                <w:color w:val="auto"/>
                <w:sz w:val="24"/>
                <w:highlight w:val="none"/>
                <w:u w:val="single"/>
              </w:rPr>
              <w:t>.00</w:t>
            </w:r>
            <w:r>
              <w:rPr>
                <w:rFonts w:hint="eastAsia" w:ascii="宋体" w:hAnsi="宋体"/>
                <w:color w:val="auto"/>
                <w:sz w:val="24"/>
                <w:highlight w:val="none"/>
              </w:rPr>
              <w:t>退付到达以下账户：</w:t>
            </w:r>
          </w:p>
          <w:p w14:paraId="6147A2A2">
            <w:pPr>
              <w:rPr>
                <w:rFonts w:ascii="宋体" w:hAnsi="宋体"/>
                <w:color w:val="auto"/>
                <w:sz w:val="24"/>
                <w:highlight w:val="none"/>
              </w:rPr>
            </w:pPr>
          </w:p>
          <w:p w14:paraId="1436FF57">
            <w:pPr>
              <w:spacing w:line="420" w:lineRule="exact"/>
              <w:rPr>
                <w:rFonts w:ascii="宋体" w:hAnsi="宋体"/>
                <w:color w:val="auto"/>
                <w:sz w:val="24"/>
                <w:highlight w:val="none"/>
              </w:rPr>
            </w:pPr>
            <w:r>
              <w:rPr>
                <w:rFonts w:hint="eastAsia" w:ascii="宋体" w:hAnsi="宋体"/>
                <w:color w:val="auto"/>
                <w:sz w:val="24"/>
                <w:highlight w:val="none"/>
              </w:rPr>
              <w:t>单位名称：</w:t>
            </w:r>
          </w:p>
          <w:p w14:paraId="1CEE61F5">
            <w:pPr>
              <w:spacing w:line="420" w:lineRule="exact"/>
              <w:rPr>
                <w:rFonts w:ascii="宋体" w:hAnsi="宋体"/>
                <w:color w:val="auto"/>
                <w:sz w:val="24"/>
                <w:highlight w:val="none"/>
              </w:rPr>
            </w:pPr>
            <w:r>
              <w:rPr>
                <w:rFonts w:hint="eastAsia" w:ascii="宋体" w:hAnsi="宋体"/>
                <w:color w:val="auto"/>
                <w:sz w:val="24"/>
                <w:highlight w:val="none"/>
              </w:rPr>
              <w:t>开户银行：</w:t>
            </w:r>
          </w:p>
          <w:p w14:paraId="0030B412">
            <w:pPr>
              <w:spacing w:line="420" w:lineRule="exact"/>
              <w:rPr>
                <w:rFonts w:ascii="宋体" w:hAnsi="宋体"/>
                <w:color w:val="auto"/>
                <w:sz w:val="24"/>
                <w:highlight w:val="none"/>
              </w:rPr>
            </w:pPr>
            <w:r>
              <w:rPr>
                <w:rFonts w:hint="eastAsia" w:ascii="宋体" w:hAnsi="宋体"/>
                <w:color w:val="auto"/>
                <w:sz w:val="24"/>
                <w:highlight w:val="none"/>
              </w:rPr>
              <w:t>银行账户：</w:t>
            </w:r>
          </w:p>
          <w:p w14:paraId="6778D5A0">
            <w:pPr>
              <w:rPr>
                <w:rFonts w:ascii="宋体" w:hAnsi="宋体"/>
                <w:color w:val="auto"/>
                <w:sz w:val="24"/>
                <w:highlight w:val="none"/>
              </w:rPr>
            </w:pPr>
          </w:p>
          <w:p w14:paraId="21A85915">
            <w:pPr>
              <w:spacing w:line="420" w:lineRule="exact"/>
              <w:rPr>
                <w:rFonts w:ascii="宋体" w:hAnsi="宋体"/>
                <w:color w:val="auto"/>
                <w:sz w:val="24"/>
                <w:highlight w:val="none"/>
              </w:rPr>
            </w:pPr>
            <w:r>
              <w:rPr>
                <w:rFonts w:hint="eastAsia" w:ascii="宋体" w:hAnsi="宋体"/>
                <w:color w:val="auto"/>
                <w:sz w:val="24"/>
                <w:highlight w:val="none"/>
              </w:rPr>
              <w:t>联系人：</w:t>
            </w:r>
          </w:p>
          <w:p w14:paraId="526E4974">
            <w:pPr>
              <w:spacing w:line="420" w:lineRule="exact"/>
              <w:rPr>
                <w:rFonts w:ascii="宋体" w:hAnsi="宋体"/>
                <w:color w:val="auto"/>
                <w:sz w:val="24"/>
                <w:highlight w:val="none"/>
              </w:rPr>
            </w:pPr>
            <w:r>
              <w:rPr>
                <w:rFonts w:hint="eastAsia" w:ascii="宋体" w:hAnsi="宋体"/>
                <w:color w:val="auto"/>
                <w:sz w:val="24"/>
                <w:highlight w:val="none"/>
              </w:rPr>
              <w:t>联系电话：</w:t>
            </w:r>
          </w:p>
          <w:p w14:paraId="6C04C446">
            <w:pPr>
              <w:rPr>
                <w:rFonts w:ascii="宋体" w:hAnsi="宋体"/>
                <w:color w:val="auto"/>
                <w:sz w:val="24"/>
                <w:highlight w:val="none"/>
              </w:rPr>
            </w:pPr>
          </w:p>
          <w:p w14:paraId="0DEAA92B">
            <w:pPr>
              <w:spacing w:line="420" w:lineRule="exact"/>
              <w:rPr>
                <w:rFonts w:ascii="宋体" w:hAnsi="宋体"/>
                <w:color w:val="auto"/>
                <w:sz w:val="24"/>
                <w:highlight w:val="none"/>
                <w:u w:val="single"/>
              </w:rPr>
            </w:pPr>
            <w:r>
              <w:rPr>
                <w:rFonts w:hint="eastAsia" w:ascii="宋体" w:hAnsi="宋体"/>
                <w:color w:val="auto"/>
                <w:sz w:val="24"/>
                <w:highlight w:val="none"/>
              </w:rPr>
              <w:t xml:space="preserve">                                 供应商（签章）：</w:t>
            </w:r>
          </w:p>
          <w:p w14:paraId="7E689449">
            <w:pPr>
              <w:spacing w:line="420" w:lineRule="exact"/>
              <w:rPr>
                <w:rFonts w:ascii="宋体" w:hAnsi="宋体"/>
                <w:color w:val="auto"/>
                <w:sz w:val="24"/>
                <w:highlight w:val="none"/>
              </w:rPr>
            </w:pP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0D0DA12B">
            <w:pPr>
              <w:rPr>
                <w:rFonts w:ascii="宋体" w:hAnsi="宋体"/>
                <w:color w:val="auto"/>
                <w:sz w:val="24"/>
                <w:highlight w:val="none"/>
              </w:rPr>
            </w:pPr>
          </w:p>
        </w:tc>
      </w:tr>
      <w:tr w14:paraId="7E36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3" w:hRule="atLeast"/>
        </w:trPr>
        <w:tc>
          <w:tcPr>
            <w:tcW w:w="1730" w:type="dxa"/>
            <w:vAlign w:val="center"/>
          </w:tcPr>
          <w:p w14:paraId="00780A14">
            <w:pPr>
              <w:jc w:val="center"/>
              <w:rPr>
                <w:rFonts w:ascii="宋体" w:hAnsi="宋体"/>
                <w:color w:val="auto"/>
                <w:sz w:val="24"/>
                <w:highlight w:val="none"/>
              </w:rPr>
            </w:pPr>
            <w:r>
              <w:rPr>
                <w:rFonts w:hint="eastAsia" w:ascii="宋体" w:hAnsi="宋体"/>
                <w:color w:val="auto"/>
                <w:sz w:val="24"/>
                <w:highlight w:val="none"/>
              </w:rPr>
              <w:t>使用单位</w:t>
            </w:r>
          </w:p>
          <w:p w14:paraId="13834AF7">
            <w:pPr>
              <w:jc w:val="center"/>
              <w:rPr>
                <w:rFonts w:ascii="宋体" w:hAnsi="宋体"/>
                <w:color w:val="auto"/>
                <w:sz w:val="24"/>
                <w:highlight w:val="none"/>
              </w:rPr>
            </w:pPr>
            <w:r>
              <w:rPr>
                <w:rFonts w:hint="eastAsia" w:ascii="宋体" w:hAnsi="宋体"/>
                <w:color w:val="auto"/>
                <w:sz w:val="24"/>
                <w:highlight w:val="none"/>
              </w:rPr>
              <w:t>意见</w:t>
            </w:r>
          </w:p>
        </w:tc>
        <w:tc>
          <w:tcPr>
            <w:tcW w:w="7174" w:type="dxa"/>
          </w:tcPr>
          <w:p w14:paraId="2EDF9576">
            <w:pPr>
              <w:rPr>
                <w:rFonts w:ascii="宋体" w:hAnsi="宋体"/>
                <w:color w:val="auto"/>
                <w:sz w:val="24"/>
                <w:highlight w:val="none"/>
              </w:rPr>
            </w:pPr>
            <w:r>
              <w:rPr>
                <w:rFonts w:hint="eastAsia" w:ascii="宋体" w:hAnsi="宋体"/>
                <w:color w:val="auto"/>
                <w:sz w:val="24"/>
                <w:highlight w:val="none"/>
              </w:rPr>
              <w:t>（退付意见：是否同意退付履约保证金）</w:t>
            </w:r>
          </w:p>
          <w:p w14:paraId="52759E64">
            <w:pPr>
              <w:spacing w:line="420" w:lineRule="exact"/>
              <w:rPr>
                <w:rFonts w:ascii="宋体" w:hAnsi="宋体"/>
                <w:color w:val="auto"/>
                <w:sz w:val="24"/>
                <w:highlight w:val="none"/>
              </w:rPr>
            </w:pPr>
          </w:p>
          <w:p w14:paraId="054A49F5">
            <w:pPr>
              <w:spacing w:line="420" w:lineRule="exact"/>
              <w:rPr>
                <w:rFonts w:ascii="宋体" w:hAnsi="宋体"/>
                <w:color w:val="auto"/>
                <w:sz w:val="24"/>
                <w:highlight w:val="none"/>
              </w:rPr>
            </w:pPr>
            <w:r>
              <w:rPr>
                <w:rFonts w:hint="eastAsia" w:ascii="宋体" w:hAnsi="宋体"/>
                <w:color w:val="auto"/>
                <w:sz w:val="24"/>
                <w:highlight w:val="none"/>
              </w:rPr>
              <w:t>项目负责人意见：</w:t>
            </w:r>
          </w:p>
          <w:p w14:paraId="0E03F780">
            <w:pPr>
              <w:spacing w:line="420" w:lineRule="exact"/>
              <w:rPr>
                <w:rFonts w:ascii="宋体" w:hAnsi="宋体"/>
                <w:color w:val="auto"/>
                <w:sz w:val="24"/>
                <w:highlight w:val="none"/>
              </w:rPr>
            </w:pPr>
          </w:p>
          <w:p w14:paraId="45E1CFC9">
            <w:pPr>
              <w:spacing w:line="420" w:lineRule="exact"/>
              <w:rPr>
                <w:rFonts w:ascii="宋体" w:hAnsi="宋体"/>
                <w:color w:val="auto"/>
                <w:sz w:val="24"/>
                <w:highlight w:val="none"/>
              </w:rPr>
            </w:pPr>
            <w:r>
              <w:rPr>
                <w:rFonts w:hint="eastAsia" w:ascii="宋体" w:hAnsi="宋体"/>
                <w:color w:val="auto"/>
                <w:sz w:val="24"/>
                <w:highlight w:val="none"/>
              </w:rPr>
              <w:t>联系人：</w:t>
            </w:r>
          </w:p>
          <w:p w14:paraId="493AA584">
            <w:pPr>
              <w:spacing w:line="420" w:lineRule="exact"/>
              <w:rPr>
                <w:rFonts w:ascii="宋体" w:hAnsi="宋体"/>
                <w:color w:val="auto"/>
                <w:sz w:val="24"/>
                <w:highlight w:val="none"/>
              </w:rPr>
            </w:pPr>
            <w:r>
              <w:rPr>
                <w:rFonts w:hint="eastAsia" w:ascii="宋体" w:hAnsi="宋体"/>
                <w:color w:val="auto"/>
                <w:sz w:val="24"/>
                <w:highlight w:val="none"/>
              </w:rPr>
              <w:t>联系电话：</w:t>
            </w:r>
          </w:p>
          <w:p w14:paraId="69ECA5BF">
            <w:pPr>
              <w:rPr>
                <w:rFonts w:ascii="宋体" w:hAnsi="宋体"/>
                <w:color w:val="auto"/>
                <w:sz w:val="24"/>
                <w:highlight w:val="none"/>
              </w:rPr>
            </w:pPr>
          </w:p>
          <w:p w14:paraId="369F86B3">
            <w:pPr>
              <w:rPr>
                <w:rFonts w:ascii="宋体" w:hAnsi="宋体"/>
                <w:color w:val="auto"/>
                <w:sz w:val="24"/>
                <w:highlight w:val="none"/>
                <w:u w:val="single"/>
              </w:rPr>
            </w:pPr>
            <w:r>
              <w:rPr>
                <w:rFonts w:hint="eastAsia" w:ascii="宋体" w:hAnsi="宋体"/>
                <w:color w:val="auto"/>
                <w:sz w:val="24"/>
                <w:highlight w:val="none"/>
              </w:rPr>
              <w:t xml:space="preserve">                                   单位（签章）：</w:t>
            </w:r>
          </w:p>
          <w:p w14:paraId="20FF539A">
            <w:pPr>
              <w:spacing w:line="420" w:lineRule="exact"/>
              <w:rPr>
                <w:rFonts w:ascii="宋体" w:hAnsi="宋体"/>
                <w:color w:val="auto"/>
                <w:sz w:val="24"/>
                <w:highlight w:val="none"/>
              </w:rPr>
            </w:pP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tc>
      </w:tr>
      <w:tr w14:paraId="34DB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9" w:hRule="atLeast"/>
        </w:trPr>
        <w:tc>
          <w:tcPr>
            <w:tcW w:w="1730" w:type="dxa"/>
            <w:vAlign w:val="center"/>
          </w:tcPr>
          <w:p w14:paraId="1D5CABC9">
            <w:pPr>
              <w:jc w:val="center"/>
              <w:rPr>
                <w:rFonts w:ascii="宋体" w:hAnsi="宋体"/>
                <w:color w:val="auto"/>
                <w:sz w:val="24"/>
                <w:highlight w:val="none"/>
              </w:rPr>
            </w:pPr>
            <w:r>
              <w:rPr>
                <w:rFonts w:hint="eastAsia" w:ascii="宋体" w:hAnsi="宋体"/>
                <w:color w:val="auto"/>
                <w:sz w:val="24"/>
                <w:highlight w:val="none"/>
              </w:rPr>
              <w:t>招标与采购管理中心意见</w:t>
            </w:r>
          </w:p>
        </w:tc>
        <w:tc>
          <w:tcPr>
            <w:tcW w:w="7174" w:type="dxa"/>
          </w:tcPr>
          <w:p w14:paraId="07370E46">
            <w:pPr>
              <w:rPr>
                <w:rFonts w:ascii="宋体" w:hAnsi="宋体"/>
                <w:color w:val="auto"/>
                <w:sz w:val="24"/>
                <w:highlight w:val="none"/>
              </w:rPr>
            </w:pPr>
          </w:p>
          <w:p w14:paraId="662B3525">
            <w:pPr>
              <w:rPr>
                <w:rFonts w:ascii="宋体" w:hAnsi="宋体"/>
                <w:color w:val="auto"/>
                <w:sz w:val="24"/>
                <w:highlight w:val="none"/>
              </w:rPr>
            </w:pPr>
          </w:p>
          <w:p w14:paraId="22A2C29B">
            <w:pPr>
              <w:rPr>
                <w:rFonts w:ascii="宋体" w:hAnsi="宋体"/>
                <w:color w:val="auto"/>
                <w:sz w:val="24"/>
                <w:highlight w:val="none"/>
              </w:rPr>
            </w:pPr>
          </w:p>
          <w:p w14:paraId="591078F1">
            <w:pPr>
              <w:rPr>
                <w:rFonts w:ascii="宋体" w:hAnsi="宋体"/>
                <w:color w:val="auto"/>
                <w:sz w:val="24"/>
                <w:highlight w:val="none"/>
              </w:rPr>
            </w:pPr>
          </w:p>
          <w:p w14:paraId="67FC9E13">
            <w:pPr>
              <w:rPr>
                <w:rFonts w:ascii="宋体" w:hAnsi="宋体"/>
                <w:color w:val="auto"/>
                <w:sz w:val="24"/>
                <w:highlight w:val="none"/>
              </w:rPr>
            </w:pPr>
            <w:r>
              <w:rPr>
                <w:rFonts w:hint="eastAsia" w:ascii="宋体" w:hAnsi="宋体"/>
                <w:color w:val="auto"/>
                <w:sz w:val="24"/>
                <w:highlight w:val="none"/>
              </w:rPr>
              <w:t xml:space="preserve">                                       </w:t>
            </w:r>
          </w:p>
          <w:p w14:paraId="614927A6">
            <w:pPr>
              <w:rPr>
                <w:rFonts w:ascii="宋体" w:hAnsi="宋体"/>
                <w:color w:val="auto"/>
                <w:sz w:val="24"/>
                <w:highlight w:val="none"/>
              </w:rPr>
            </w:pPr>
          </w:p>
          <w:p w14:paraId="4E8308F5">
            <w:pPr>
              <w:ind w:firstLine="4080" w:firstLineChars="1700"/>
              <w:rPr>
                <w:rFonts w:ascii="宋体" w:hAnsi="宋体"/>
                <w:color w:val="auto"/>
                <w:sz w:val="24"/>
                <w:highlight w:val="none"/>
              </w:rPr>
            </w:pPr>
            <w:r>
              <w:rPr>
                <w:rFonts w:hint="eastAsia" w:ascii="宋体" w:hAnsi="宋体"/>
                <w:color w:val="auto"/>
                <w:sz w:val="24"/>
                <w:highlight w:val="none"/>
              </w:rPr>
              <w:t>单位（签章）：</w:t>
            </w:r>
          </w:p>
          <w:p w14:paraId="13FB904C">
            <w:pPr>
              <w:rPr>
                <w:rFonts w:ascii="宋体" w:hAnsi="宋体"/>
                <w:color w:val="auto"/>
                <w:sz w:val="24"/>
                <w:highlight w:val="none"/>
              </w:rPr>
            </w:pP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tc>
      </w:tr>
    </w:tbl>
    <w:p w14:paraId="43648426">
      <w:pPr>
        <w:rPr>
          <w:color w:val="auto"/>
          <w:highlight w:val="none"/>
        </w:rPr>
      </w:pPr>
    </w:p>
    <w:sectPr>
      <w:footerReference r:id="rId10" w:type="first"/>
      <w:footerReference r:id="rId9" w:type="default"/>
      <w:pgSz w:w="11905" w:h="16838"/>
      <w:pgMar w:top="1134" w:right="1134" w:bottom="1134" w:left="1134" w:header="720" w:footer="720" w:gutter="0"/>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04C404C-73FA-4915-ACAC-DA709F71B05F}"/>
  </w:font>
  <w:font w:name="Arial">
    <w:panose1 w:val="020B0604020202020204"/>
    <w:charset w:val="01"/>
    <w:family w:val="swiss"/>
    <w:pitch w:val="default"/>
    <w:sig w:usb0="E0002EFF" w:usb1="C000785B" w:usb2="00000009" w:usb3="00000000" w:csb0="400001FF" w:csb1="FFFF0000"/>
    <w:embedRegular r:id="rId2" w:fontKey="{A71B05EA-9C9E-4EE8-9B79-F17448EF339C}"/>
  </w:font>
  <w:font w:name="黑体">
    <w:panose1 w:val="02010609060101010101"/>
    <w:charset w:val="86"/>
    <w:family w:val="auto"/>
    <w:pitch w:val="default"/>
    <w:sig w:usb0="800002BF" w:usb1="38CF7CFA" w:usb2="00000016" w:usb3="00000000" w:csb0="00040001" w:csb1="00000000"/>
    <w:embedRegular r:id="rId3" w:fontKey="{F766D8B6-A7F6-4D5B-85B0-266C8329BB0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D03FECFD-092F-43FC-90B1-3D8FE2DC26C9}"/>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41CFE645-C090-49DE-954D-26E661E5A2A8}"/>
  </w:font>
  <w:font w:name="Tahoma">
    <w:panose1 w:val="020B0604030504040204"/>
    <w:charset w:val="00"/>
    <w:family w:val="swiss"/>
    <w:pitch w:val="default"/>
    <w:sig w:usb0="E1002EFF" w:usb1="C000605B" w:usb2="00000029" w:usb3="00000000" w:csb0="200101FF" w:csb1="20280000"/>
  </w:font>
  <w:font w:name="方正书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6" w:fontKey="{8607EDFB-84E0-4C38-A2C1-0114ED39BDFE}"/>
  </w:font>
  <w:font w:name="Calibri Light">
    <w:panose1 w:val="020F0302020204030204"/>
    <w:charset w:val="00"/>
    <w:family w:val="swiss"/>
    <w:pitch w:val="default"/>
    <w:sig w:usb0="E4002EFF" w:usb1="C000247B" w:usb2="00000009" w:usb3="00000000" w:csb0="200001FF" w:csb1="00000000"/>
  </w:font>
  <w:font w:name="Arial Unicode MS">
    <w:altName w:val="Malgun Gothic Semilight"/>
    <w:panose1 w:val="020B0604020202020204"/>
    <w:charset w:val="86"/>
    <w:family w:val="swiss"/>
    <w:pitch w:val="default"/>
    <w:sig w:usb0="00000000" w:usb1="00000000" w:usb2="0000003F" w:usb3="00000000" w:csb0="003F01FF" w:csb1="00000000"/>
    <w:embedRegular r:id="rId7" w:fontKey="{7D501363-7723-4348-96D4-9D996AB8392C}"/>
  </w:font>
  <w:font w:name="Malgun Gothic Semilight">
    <w:panose1 w:val="020B0502040204020203"/>
    <w:charset w:val="86"/>
    <w:family w:val="auto"/>
    <w:pitch w:val="default"/>
    <w:sig w:usb0="900002AF" w:usb1="01D77CFB" w:usb2="00000012" w:usb3="00000000" w:csb0="203E01BD" w:csb1="D7FF0000"/>
  </w:font>
  <w:font w:name="Batang">
    <w:altName w:val="Malgun Gothic"/>
    <w:panose1 w:val="02030600000101010101"/>
    <w:charset w:val="81"/>
    <w:family w:val="roman"/>
    <w:pitch w:val="default"/>
    <w:sig w:usb0="00000000" w:usb1="00000000" w:usb2="00000030" w:usb3="00000000" w:csb0="0008009F" w:csb1="00000000"/>
    <w:embedRegular r:id="rId8" w:fontKey="{64649C71-779B-4FBC-8F98-A2EC18072429}"/>
  </w:font>
  <w:font w:name="Malgun Gothic">
    <w:panose1 w:val="020B0503020000020004"/>
    <w:charset w:val="81"/>
    <w:family w:val="auto"/>
    <w:pitch w:val="default"/>
    <w:sig w:usb0="9000002F" w:usb1="29D77CFB" w:usb2="00000012" w:usb3="00000000" w:csb0="00080001" w:csb1="00000000"/>
  </w:font>
  <w:font w:name="Segoe UI Symbol">
    <w:panose1 w:val="020B0502040204020203"/>
    <w:charset w:val="00"/>
    <w:family w:val="swiss"/>
    <w:pitch w:val="default"/>
    <w:sig w:usb0="800001E3" w:usb1="1200FFEF" w:usb2="00040000" w:usb3="04000000" w:csb0="00000001" w:csb1="40000000"/>
    <w:embedRegular r:id="rId9" w:fontKey="{3FABF650-8CE7-4DD2-9B82-6A13844EF214}"/>
  </w:font>
  <w:font w:name="楷体">
    <w:panose1 w:val="02010609060101010101"/>
    <w:charset w:val="86"/>
    <w:family w:val="modern"/>
    <w:pitch w:val="default"/>
    <w:sig w:usb0="800002BF" w:usb1="38CF7CFA" w:usb2="00000016" w:usb3="00000000" w:csb0="00040001" w:csb1="00000000"/>
    <w:embedRegular r:id="rId10" w:fontKey="{E1E28A54-997D-4223-83F6-C8C93ED87251}"/>
  </w:font>
  <w:font w:name="方正小标宋简体">
    <w:panose1 w:val="02000000000000000000"/>
    <w:charset w:val="86"/>
    <w:family w:val="script"/>
    <w:pitch w:val="default"/>
    <w:sig w:usb0="00000001" w:usb1="08000000" w:usb2="00000000" w:usb3="00000000" w:csb0="00040000" w:csb1="00000000"/>
    <w:embedRegular r:id="rId11" w:fontKey="{68038797-B755-46E2-8B25-FA7BCE35F94B}"/>
  </w:font>
  <w:font w:name="Arial">
    <w:panose1 w:val="020B0604020202020204"/>
    <w:charset w:val="00"/>
    <w:family w:val="auto"/>
    <w:pitch w:val="default"/>
    <w:sig w:usb0="E0002EFF" w:usb1="C000785B" w:usb2="00000009" w:usb3="00000000" w:csb0="400001FF" w:csb1="FFFF0000"/>
    <w:embedRegular r:id="rId12" w:fontKey="{8942A338-E4DD-4A22-9751-D267E90283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F14E5">
    <w:pPr>
      <w:pStyle w:val="19"/>
      <w:framePr w:wrap="around" w:vAnchor="text" w:hAnchor="margin" w:xAlign="center" w:y="1"/>
      <w:jc w:val="center"/>
      <w:rPr>
        <w:rStyle w:val="32"/>
      </w:rPr>
    </w:pPr>
    <w:r>
      <w:fldChar w:fldCharType="begin"/>
    </w:r>
    <w:r>
      <w:rPr>
        <w:rStyle w:val="32"/>
      </w:rPr>
      <w:instrText xml:space="preserve">PAGE  </w:instrText>
    </w:r>
    <w:r>
      <w:fldChar w:fldCharType="separate"/>
    </w:r>
    <w:r>
      <w:rPr>
        <w:rStyle w:val="32"/>
      </w:rPr>
      <w:t>27</w:t>
    </w:r>
    <w:r>
      <w:fldChar w:fldCharType="end"/>
    </w:r>
  </w:p>
  <w:p w14:paraId="1B118C55">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43FA5">
    <w:pPr>
      <w:pStyle w:val="19"/>
      <w:framePr w:wrap="around" w:vAnchor="text" w:hAnchor="margin" w:xAlign="center" w:y="1"/>
      <w:rPr>
        <w:rStyle w:val="32"/>
      </w:rPr>
    </w:pPr>
    <w:r>
      <w:fldChar w:fldCharType="begin"/>
    </w:r>
    <w:r>
      <w:rPr>
        <w:rStyle w:val="32"/>
      </w:rPr>
      <w:instrText xml:space="preserve">PAGE  </w:instrText>
    </w:r>
    <w:r>
      <w:fldChar w:fldCharType="separate"/>
    </w:r>
    <w:r>
      <w:rPr>
        <w:rStyle w:val="32"/>
      </w:rPr>
      <w:t>1</w:t>
    </w:r>
    <w:r>
      <w:fldChar w:fldCharType="end"/>
    </w:r>
  </w:p>
  <w:p w14:paraId="726AAB9A">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D5CBB">
    <w:pPr>
      <w:pStyle w:val="19"/>
      <w:jc w:val="center"/>
    </w:pPr>
    <w:r>
      <w:fldChar w:fldCharType="begin"/>
    </w:r>
    <w:r>
      <w:instrText xml:space="preserve"> PAGE   \* MERGEFORMAT </w:instrText>
    </w:r>
    <w:r>
      <w:fldChar w:fldCharType="separate"/>
    </w:r>
    <w:r>
      <w:rPr>
        <w:lang w:val="zh-CN"/>
      </w:rPr>
      <w:t>28</w:t>
    </w:r>
    <w:r>
      <w:fldChar w:fldCharType="end"/>
    </w:r>
  </w:p>
  <w:p w14:paraId="4A6B5EA7">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155A6">
    <w:pPr>
      <w:pStyle w:val="19"/>
    </w:pPr>
    <w:r>
      <mc:AlternateContent>
        <mc:Choice Requires="wps">
          <w:drawing>
            <wp:anchor distT="0" distB="0" distL="114300" distR="114300" simplePos="0" relativeHeight="251660288" behindDoc="0" locked="0" layoutInCell="1" allowOverlap="1">
              <wp:simplePos x="0" y="0"/>
              <wp:positionH relativeFrom="margin">
                <wp:posOffset>3025140</wp:posOffset>
              </wp:positionH>
              <wp:positionV relativeFrom="paragraph">
                <wp:posOffset>1905</wp:posOffset>
              </wp:positionV>
              <wp:extent cx="328930" cy="155575"/>
              <wp:effectExtent l="0" t="0" r="0" b="0"/>
              <wp:wrapNone/>
              <wp:docPr id="9" name="文本框 9"/>
              <wp:cNvGraphicFramePr/>
              <a:graphic xmlns:a="http://schemas.openxmlformats.org/drawingml/2006/main">
                <a:graphicData uri="http://schemas.microsoft.com/office/word/2010/wordprocessingShape">
                  <wps:wsp>
                    <wps:cNvSpPr txBox="1"/>
                    <wps:spPr>
                      <a:xfrm>
                        <a:off x="0" y="0"/>
                        <a:ext cx="328930" cy="1557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C7121">
                          <w:pPr>
                            <w:pStyle w:val="19"/>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8.2pt;margin-top:0.15pt;height:12.25pt;width:25.9pt;mso-position-horizontal-relative:margin;z-index:251660288;mso-width-relative:page;mso-height-relative:page;" filled="f" stroked="f" coordsize="21600,21600" o:gfxdata="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AThjtYAAAAHAQAADwAAAAAAAAABACAAAAAiAAAAZHJzL2Rvd25yZXYueG1s&#10;UEsBAhQAFAAAAAgAh07iQEpeILkzAgAAVQQAAA4AAAAAAAAAAQAgAAAAJQEAAGRycy9lMm9Eb2Mu&#10;eG1sUEsFBgAAAAAGAAYAWQEAAMoFAAAAAA==&#10;">
              <v:fill on="f" focussize="0,0"/>
              <v:stroke on="f" weight="0.5pt"/>
              <v:imagedata o:title=""/>
              <o:lock v:ext="edit" aspectratio="f"/>
              <v:textbox inset="0mm,0mm,0mm,0mm">
                <w:txbxContent>
                  <w:p w14:paraId="65CC7121">
                    <w:pPr>
                      <w:pStyle w:val="19"/>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A269D">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F03515">
                          <w:pPr>
                            <w:pStyle w:val="19"/>
                          </w:pPr>
                          <w:r>
                            <w:rPr>
                              <w:rFonts w:hint="eastAsia"/>
                            </w:rPr>
                            <w:fldChar w:fldCharType="begin"/>
                          </w:r>
                          <w:r>
                            <w:rPr>
                              <w:rFonts w:hint="eastAsia"/>
                            </w:rPr>
                            <w:instrText xml:space="preserve"> PAGE  \* MERGEFORMAT </w:instrText>
                          </w:r>
                          <w:r>
                            <w:rPr>
                              <w:rFonts w:hint="eastAsia"/>
                            </w:rPr>
                            <w:fldChar w:fldCharType="separate"/>
                          </w:r>
                          <w:r>
                            <w:t>58</w:t>
                          </w:r>
                          <w:r>
                            <w:rPr>
                              <w:rFonts w:hint="eastAsia"/>
                            </w:rP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M7uMX7FAQAAkAMAAA4AAAAAAAAAAQAgAAAAHgEAAGRycy9lMm9Eb2MueG1s&#10;UEsFBgAAAAAGAAYAWQEAAFUFAAAAAA==&#10;">
              <v:fill on="f" focussize="0,0"/>
              <v:stroke on="f"/>
              <v:imagedata o:title=""/>
              <o:lock v:ext="edit" aspectratio="f"/>
              <v:textbox inset="0mm,0mm,0mm,0mm" style="mso-fit-shape-to-text:t;">
                <w:txbxContent>
                  <w:p w14:paraId="42F03515">
                    <w:pPr>
                      <w:pStyle w:val="19"/>
                    </w:pPr>
                    <w:r>
                      <w:rPr>
                        <w:rFonts w:hint="eastAsia"/>
                      </w:rPr>
                      <w:fldChar w:fldCharType="begin"/>
                    </w:r>
                    <w:r>
                      <w:rPr>
                        <w:rFonts w:hint="eastAsia"/>
                      </w:rPr>
                      <w:instrText xml:space="preserve"> PAGE  \* MERGEFORMAT </w:instrText>
                    </w:r>
                    <w:r>
                      <w:rPr>
                        <w:rFonts w:hint="eastAsia"/>
                      </w:rPr>
                      <w:fldChar w:fldCharType="separate"/>
                    </w:r>
                    <w:r>
                      <w:t>58</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A5451">
    <w:pPr>
      <w:pStyle w:val="20"/>
      <w:pBdr>
        <w:bottom w:val="none" w:color="auto" w:sz="0" w:space="0"/>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C94F6">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097D">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BF1AE8"/>
    <w:multiLevelType w:val="multilevel"/>
    <w:tmpl w:val="61BF1AE8"/>
    <w:lvl w:ilvl="0" w:tentative="0">
      <w:start w:val="1"/>
      <w:numFmt w:val="japaneseCounting"/>
      <w:lvlText w:val="第%1章"/>
      <w:lvlJc w:val="left"/>
      <w:pPr>
        <w:ind w:left="1545" w:hanging="154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21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NmYmNhODQxOWNkODc0ZjYxNTI4MThkY2UxMGM3NzYifQ=="/>
  </w:docVars>
  <w:rsids>
    <w:rsidRoot w:val="00F34B14"/>
    <w:rsid w:val="00000672"/>
    <w:rsid w:val="00001799"/>
    <w:rsid w:val="000022D9"/>
    <w:rsid w:val="00002D29"/>
    <w:rsid w:val="000040C5"/>
    <w:rsid w:val="000045C6"/>
    <w:rsid w:val="00004A8A"/>
    <w:rsid w:val="0000574C"/>
    <w:rsid w:val="00005B07"/>
    <w:rsid w:val="00005E55"/>
    <w:rsid w:val="00005FDF"/>
    <w:rsid w:val="00006586"/>
    <w:rsid w:val="000065BA"/>
    <w:rsid w:val="0001045D"/>
    <w:rsid w:val="00010D39"/>
    <w:rsid w:val="000112BB"/>
    <w:rsid w:val="0001149B"/>
    <w:rsid w:val="0001172C"/>
    <w:rsid w:val="00012854"/>
    <w:rsid w:val="00012E50"/>
    <w:rsid w:val="00012EA6"/>
    <w:rsid w:val="000139DC"/>
    <w:rsid w:val="00013D8C"/>
    <w:rsid w:val="00013DFE"/>
    <w:rsid w:val="00013F03"/>
    <w:rsid w:val="000141EA"/>
    <w:rsid w:val="00014385"/>
    <w:rsid w:val="00014D2F"/>
    <w:rsid w:val="000159F6"/>
    <w:rsid w:val="00016960"/>
    <w:rsid w:val="00017396"/>
    <w:rsid w:val="000177DB"/>
    <w:rsid w:val="00020227"/>
    <w:rsid w:val="000203E4"/>
    <w:rsid w:val="00020455"/>
    <w:rsid w:val="00020CCE"/>
    <w:rsid w:val="00022731"/>
    <w:rsid w:val="00022792"/>
    <w:rsid w:val="00022A07"/>
    <w:rsid w:val="000242CE"/>
    <w:rsid w:val="00024C72"/>
    <w:rsid w:val="00025382"/>
    <w:rsid w:val="00025636"/>
    <w:rsid w:val="00025E36"/>
    <w:rsid w:val="00026627"/>
    <w:rsid w:val="00026886"/>
    <w:rsid w:val="0002793A"/>
    <w:rsid w:val="00030496"/>
    <w:rsid w:val="00031A9A"/>
    <w:rsid w:val="000329E0"/>
    <w:rsid w:val="000333A0"/>
    <w:rsid w:val="00034060"/>
    <w:rsid w:val="000343BC"/>
    <w:rsid w:val="000352E9"/>
    <w:rsid w:val="00036A07"/>
    <w:rsid w:val="00036E33"/>
    <w:rsid w:val="00036FAD"/>
    <w:rsid w:val="00037363"/>
    <w:rsid w:val="00037E2D"/>
    <w:rsid w:val="00040571"/>
    <w:rsid w:val="0004156E"/>
    <w:rsid w:val="00041597"/>
    <w:rsid w:val="00041800"/>
    <w:rsid w:val="0004440C"/>
    <w:rsid w:val="00045880"/>
    <w:rsid w:val="000462CB"/>
    <w:rsid w:val="00046B5E"/>
    <w:rsid w:val="0004783A"/>
    <w:rsid w:val="00047B12"/>
    <w:rsid w:val="000509D9"/>
    <w:rsid w:val="0005398D"/>
    <w:rsid w:val="000552A6"/>
    <w:rsid w:val="00055D41"/>
    <w:rsid w:val="000569C7"/>
    <w:rsid w:val="00057CEC"/>
    <w:rsid w:val="00060DCE"/>
    <w:rsid w:val="00061A5A"/>
    <w:rsid w:val="000623B4"/>
    <w:rsid w:val="000634A3"/>
    <w:rsid w:val="000634A7"/>
    <w:rsid w:val="00063E85"/>
    <w:rsid w:val="00063F81"/>
    <w:rsid w:val="00064847"/>
    <w:rsid w:val="0006484B"/>
    <w:rsid w:val="000673E2"/>
    <w:rsid w:val="000703B6"/>
    <w:rsid w:val="000711E4"/>
    <w:rsid w:val="000719F9"/>
    <w:rsid w:val="0007228C"/>
    <w:rsid w:val="000722D1"/>
    <w:rsid w:val="00072AED"/>
    <w:rsid w:val="00073F47"/>
    <w:rsid w:val="00075B7E"/>
    <w:rsid w:val="00077C70"/>
    <w:rsid w:val="00080B57"/>
    <w:rsid w:val="00081BA3"/>
    <w:rsid w:val="00081D2E"/>
    <w:rsid w:val="00081E30"/>
    <w:rsid w:val="0008267B"/>
    <w:rsid w:val="00082D02"/>
    <w:rsid w:val="000833E9"/>
    <w:rsid w:val="000839D8"/>
    <w:rsid w:val="00083B91"/>
    <w:rsid w:val="0008520B"/>
    <w:rsid w:val="000871B8"/>
    <w:rsid w:val="00087DB6"/>
    <w:rsid w:val="000913BE"/>
    <w:rsid w:val="000918F8"/>
    <w:rsid w:val="00092442"/>
    <w:rsid w:val="00094183"/>
    <w:rsid w:val="00095233"/>
    <w:rsid w:val="000954CE"/>
    <w:rsid w:val="0009588E"/>
    <w:rsid w:val="000959EE"/>
    <w:rsid w:val="00095B51"/>
    <w:rsid w:val="00097DA0"/>
    <w:rsid w:val="000A0D6B"/>
    <w:rsid w:val="000A1389"/>
    <w:rsid w:val="000A166E"/>
    <w:rsid w:val="000A2B0E"/>
    <w:rsid w:val="000A398F"/>
    <w:rsid w:val="000A509C"/>
    <w:rsid w:val="000A5516"/>
    <w:rsid w:val="000A6007"/>
    <w:rsid w:val="000A617F"/>
    <w:rsid w:val="000A65A6"/>
    <w:rsid w:val="000A7275"/>
    <w:rsid w:val="000A7A12"/>
    <w:rsid w:val="000A7CA5"/>
    <w:rsid w:val="000B039A"/>
    <w:rsid w:val="000B1801"/>
    <w:rsid w:val="000B1D0C"/>
    <w:rsid w:val="000B2D03"/>
    <w:rsid w:val="000B3815"/>
    <w:rsid w:val="000B3C7B"/>
    <w:rsid w:val="000B5B24"/>
    <w:rsid w:val="000B666F"/>
    <w:rsid w:val="000B6C95"/>
    <w:rsid w:val="000C06D3"/>
    <w:rsid w:val="000C0C58"/>
    <w:rsid w:val="000C1679"/>
    <w:rsid w:val="000C2F89"/>
    <w:rsid w:val="000C30BB"/>
    <w:rsid w:val="000C366E"/>
    <w:rsid w:val="000C3B94"/>
    <w:rsid w:val="000C4635"/>
    <w:rsid w:val="000C548E"/>
    <w:rsid w:val="000C5698"/>
    <w:rsid w:val="000C5775"/>
    <w:rsid w:val="000C6DE4"/>
    <w:rsid w:val="000C716B"/>
    <w:rsid w:val="000C7C12"/>
    <w:rsid w:val="000D01EB"/>
    <w:rsid w:val="000D056E"/>
    <w:rsid w:val="000D0675"/>
    <w:rsid w:val="000D0A89"/>
    <w:rsid w:val="000D1389"/>
    <w:rsid w:val="000D1798"/>
    <w:rsid w:val="000D1A2A"/>
    <w:rsid w:val="000D1A53"/>
    <w:rsid w:val="000D2626"/>
    <w:rsid w:val="000D2B7D"/>
    <w:rsid w:val="000D4A06"/>
    <w:rsid w:val="000D6DCD"/>
    <w:rsid w:val="000D6FE6"/>
    <w:rsid w:val="000D73DD"/>
    <w:rsid w:val="000D7D9B"/>
    <w:rsid w:val="000E18E2"/>
    <w:rsid w:val="000E28AB"/>
    <w:rsid w:val="000E28C1"/>
    <w:rsid w:val="000E2E3E"/>
    <w:rsid w:val="000E33C5"/>
    <w:rsid w:val="000E3583"/>
    <w:rsid w:val="000E3AF0"/>
    <w:rsid w:val="000E3D53"/>
    <w:rsid w:val="000E4719"/>
    <w:rsid w:val="000E4E04"/>
    <w:rsid w:val="000E684C"/>
    <w:rsid w:val="000E6EC9"/>
    <w:rsid w:val="000E70B4"/>
    <w:rsid w:val="000F06FC"/>
    <w:rsid w:val="000F0742"/>
    <w:rsid w:val="000F3281"/>
    <w:rsid w:val="000F3733"/>
    <w:rsid w:val="000F4D88"/>
    <w:rsid w:val="000F4FC9"/>
    <w:rsid w:val="000F64AA"/>
    <w:rsid w:val="000F7AF4"/>
    <w:rsid w:val="000F7C33"/>
    <w:rsid w:val="000F7F0C"/>
    <w:rsid w:val="00100246"/>
    <w:rsid w:val="001004D6"/>
    <w:rsid w:val="00100D90"/>
    <w:rsid w:val="00102309"/>
    <w:rsid w:val="00102ECA"/>
    <w:rsid w:val="00103918"/>
    <w:rsid w:val="00104889"/>
    <w:rsid w:val="00104897"/>
    <w:rsid w:val="00104D7E"/>
    <w:rsid w:val="00104EDE"/>
    <w:rsid w:val="00105AA1"/>
    <w:rsid w:val="00105FAC"/>
    <w:rsid w:val="00106BEE"/>
    <w:rsid w:val="00110339"/>
    <w:rsid w:val="00110C92"/>
    <w:rsid w:val="00113134"/>
    <w:rsid w:val="00113AC0"/>
    <w:rsid w:val="00114851"/>
    <w:rsid w:val="00115E11"/>
    <w:rsid w:val="00115F56"/>
    <w:rsid w:val="00117CBD"/>
    <w:rsid w:val="0012006A"/>
    <w:rsid w:val="00120990"/>
    <w:rsid w:val="001217B5"/>
    <w:rsid w:val="00121979"/>
    <w:rsid w:val="00122064"/>
    <w:rsid w:val="0012378B"/>
    <w:rsid w:val="00123B26"/>
    <w:rsid w:val="00125004"/>
    <w:rsid w:val="001263B8"/>
    <w:rsid w:val="00126763"/>
    <w:rsid w:val="00130217"/>
    <w:rsid w:val="00130783"/>
    <w:rsid w:val="00130990"/>
    <w:rsid w:val="001312CB"/>
    <w:rsid w:val="00132B47"/>
    <w:rsid w:val="00132E64"/>
    <w:rsid w:val="00134816"/>
    <w:rsid w:val="001351CB"/>
    <w:rsid w:val="001359A2"/>
    <w:rsid w:val="00135E37"/>
    <w:rsid w:val="00136020"/>
    <w:rsid w:val="00136445"/>
    <w:rsid w:val="0013746E"/>
    <w:rsid w:val="001374F3"/>
    <w:rsid w:val="00140132"/>
    <w:rsid w:val="00141C9C"/>
    <w:rsid w:val="00142668"/>
    <w:rsid w:val="0014311B"/>
    <w:rsid w:val="001434BE"/>
    <w:rsid w:val="00144275"/>
    <w:rsid w:val="0014479F"/>
    <w:rsid w:val="001452B4"/>
    <w:rsid w:val="00146EC6"/>
    <w:rsid w:val="001478D2"/>
    <w:rsid w:val="00151C48"/>
    <w:rsid w:val="00152A87"/>
    <w:rsid w:val="00154486"/>
    <w:rsid w:val="00154663"/>
    <w:rsid w:val="00156D0E"/>
    <w:rsid w:val="00156DD9"/>
    <w:rsid w:val="0016086E"/>
    <w:rsid w:val="00160D0C"/>
    <w:rsid w:val="00161172"/>
    <w:rsid w:val="0016139E"/>
    <w:rsid w:val="00161E65"/>
    <w:rsid w:val="00162597"/>
    <w:rsid w:val="001629AF"/>
    <w:rsid w:val="00162C1D"/>
    <w:rsid w:val="001633A3"/>
    <w:rsid w:val="0016428A"/>
    <w:rsid w:val="001647C9"/>
    <w:rsid w:val="00164837"/>
    <w:rsid w:val="001661A3"/>
    <w:rsid w:val="0016782B"/>
    <w:rsid w:val="00170B05"/>
    <w:rsid w:val="00173256"/>
    <w:rsid w:val="001733E1"/>
    <w:rsid w:val="00173F74"/>
    <w:rsid w:val="00175086"/>
    <w:rsid w:val="00175BA6"/>
    <w:rsid w:val="0017617F"/>
    <w:rsid w:val="00176CA7"/>
    <w:rsid w:val="001778C5"/>
    <w:rsid w:val="00177E56"/>
    <w:rsid w:val="00177F0A"/>
    <w:rsid w:val="00183852"/>
    <w:rsid w:val="00184D24"/>
    <w:rsid w:val="00185617"/>
    <w:rsid w:val="00185C44"/>
    <w:rsid w:val="00186ADE"/>
    <w:rsid w:val="00186B36"/>
    <w:rsid w:val="00187F35"/>
    <w:rsid w:val="0019171E"/>
    <w:rsid w:val="0019220F"/>
    <w:rsid w:val="001928B1"/>
    <w:rsid w:val="00194ED5"/>
    <w:rsid w:val="00195424"/>
    <w:rsid w:val="001955FF"/>
    <w:rsid w:val="0019692F"/>
    <w:rsid w:val="00197EDD"/>
    <w:rsid w:val="00197F70"/>
    <w:rsid w:val="001A02B3"/>
    <w:rsid w:val="001A0322"/>
    <w:rsid w:val="001A04BB"/>
    <w:rsid w:val="001A08D0"/>
    <w:rsid w:val="001A14B1"/>
    <w:rsid w:val="001A1B39"/>
    <w:rsid w:val="001A2492"/>
    <w:rsid w:val="001A2E69"/>
    <w:rsid w:val="001A3C34"/>
    <w:rsid w:val="001A3EDE"/>
    <w:rsid w:val="001A4222"/>
    <w:rsid w:val="001A50EA"/>
    <w:rsid w:val="001A5E24"/>
    <w:rsid w:val="001A6D8B"/>
    <w:rsid w:val="001B079E"/>
    <w:rsid w:val="001B0CDA"/>
    <w:rsid w:val="001B0E26"/>
    <w:rsid w:val="001B125A"/>
    <w:rsid w:val="001B1EBA"/>
    <w:rsid w:val="001B2142"/>
    <w:rsid w:val="001B26CF"/>
    <w:rsid w:val="001B2F2B"/>
    <w:rsid w:val="001B327A"/>
    <w:rsid w:val="001B35DE"/>
    <w:rsid w:val="001B3A13"/>
    <w:rsid w:val="001B59FF"/>
    <w:rsid w:val="001B636D"/>
    <w:rsid w:val="001B65D7"/>
    <w:rsid w:val="001B6752"/>
    <w:rsid w:val="001B6768"/>
    <w:rsid w:val="001B6F1F"/>
    <w:rsid w:val="001B7ECC"/>
    <w:rsid w:val="001C1535"/>
    <w:rsid w:val="001C25A7"/>
    <w:rsid w:val="001C318C"/>
    <w:rsid w:val="001C38B0"/>
    <w:rsid w:val="001C4287"/>
    <w:rsid w:val="001C4479"/>
    <w:rsid w:val="001C76B7"/>
    <w:rsid w:val="001C76FB"/>
    <w:rsid w:val="001D1165"/>
    <w:rsid w:val="001D2764"/>
    <w:rsid w:val="001D324F"/>
    <w:rsid w:val="001D3697"/>
    <w:rsid w:val="001D51DE"/>
    <w:rsid w:val="001D540E"/>
    <w:rsid w:val="001D58A1"/>
    <w:rsid w:val="001D5A8A"/>
    <w:rsid w:val="001D735E"/>
    <w:rsid w:val="001D73C8"/>
    <w:rsid w:val="001D74D4"/>
    <w:rsid w:val="001D756D"/>
    <w:rsid w:val="001D778C"/>
    <w:rsid w:val="001D7E1F"/>
    <w:rsid w:val="001E0756"/>
    <w:rsid w:val="001E0A8D"/>
    <w:rsid w:val="001E0FFB"/>
    <w:rsid w:val="001E129E"/>
    <w:rsid w:val="001E1F33"/>
    <w:rsid w:val="001E2B9F"/>
    <w:rsid w:val="001E30C0"/>
    <w:rsid w:val="001E3108"/>
    <w:rsid w:val="001E3221"/>
    <w:rsid w:val="001E33BA"/>
    <w:rsid w:val="001E3E28"/>
    <w:rsid w:val="001E49F2"/>
    <w:rsid w:val="001E4A8D"/>
    <w:rsid w:val="001E5A94"/>
    <w:rsid w:val="001E6D88"/>
    <w:rsid w:val="001E7648"/>
    <w:rsid w:val="001F127B"/>
    <w:rsid w:val="001F15A8"/>
    <w:rsid w:val="001F2A2E"/>
    <w:rsid w:val="001F3B72"/>
    <w:rsid w:val="001F3B89"/>
    <w:rsid w:val="001F3C63"/>
    <w:rsid w:val="001F4460"/>
    <w:rsid w:val="001F5DAF"/>
    <w:rsid w:val="001F637C"/>
    <w:rsid w:val="001F6B6C"/>
    <w:rsid w:val="001F711A"/>
    <w:rsid w:val="001F75B0"/>
    <w:rsid w:val="001F7686"/>
    <w:rsid w:val="0020035F"/>
    <w:rsid w:val="0020072B"/>
    <w:rsid w:val="00200CE5"/>
    <w:rsid w:val="002014DB"/>
    <w:rsid w:val="00201E12"/>
    <w:rsid w:val="00202AEC"/>
    <w:rsid w:val="002031E2"/>
    <w:rsid w:val="002033B5"/>
    <w:rsid w:val="0020382C"/>
    <w:rsid w:val="0020437A"/>
    <w:rsid w:val="00204B5F"/>
    <w:rsid w:val="0020532C"/>
    <w:rsid w:val="00205D23"/>
    <w:rsid w:val="002078C9"/>
    <w:rsid w:val="0021064F"/>
    <w:rsid w:val="002114C7"/>
    <w:rsid w:val="00212220"/>
    <w:rsid w:val="00212756"/>
    <w:rsid w:val="0021302C"/>
    <w:rsid w:val="00213045"/>
    <w:rsid w:val="00213483"/>
    <w:rsid w:val="00213B1C"/>
    <w:rsid w:val="00214202"/>
    <w:rsid w:val="002146F3"/>
    <w:rsid w:val="002148E3"/>
    <w:rsid w:val="00215373"/>
    <w:rsid w:val="0021552D"/>
    <w:rsid w:val="002156AE"/>
    <w:rsid w:val="002175B6"/>
    <w:rsid w:val="002177BD"/>
    <w:rsid w:val="00217861"/>
    <w:rsid w:val="0022054D"/>
    <w:rsid w:val="00220949"/>
    <w:rsid w:val="002225FA"/>
    <w:rsid w:val="0022413B"/>
    <w:rsid w:val="00224DE1"/>
    <w:rsid w:val="002255B2"/>
    <w:rsid w:val="00225664"/>
    <w:rsid w:val="00226463"/>
    <w:rsid w:val="002269DC"/>
    <w:rsid w:val="00227C28"/>
    <w:rsid w:val="00227F2D"/>
    <w:rsid w:val="00231851"/>
    <w:rsid w:val="002319FB"/>
    <w:rsid w:val="00231B89"/>
    <w:rsid w:val="00231B8E"/>
    <w:rsid w:val="00233727"/>
    <w:rsid w:val="002355BE"/>
    <w:rsid w:val="00236D82"/>
    <w:rsid w:val="00236DE9"/>
    <w:rsid w:val="00237AE6"/>
    <w:rsid w:val="00237D5A"/>
    <w:rsid w:val="00241300"/>
    <w:rsid w:val="00241D3C"/>
    <w:rsid w:val="002439AB"/>
    <w:rsid w:val="002442F6"/>
    <w:rsid w:val="002450D5"/>
    <w:rsid w:val="00245587"/>
    <w:rsid w:val="002458A7"/>
    <w:rsid w:val="00245F2B"/>
    <w:rsid w:val="00246F95"/>
    <w:rsid w:val="0024703E"/>
    <w:rsid w:val="00247676"/>
    <w:rsid w:val="00247F3A"/>
    <w:rsid w:val="00250122"/>
    <w:rsid w:val="00250755"/>
    <w:rsid w:val="00250AE3"/>
    <w:rsid w:val="00251C4A"/>
    <w:rsid w:val="0025271C"/>
    <w:rsid w:val="00252A91"/>
    <w:rsid w:val="00252C5C"/>
    <w:rsid w:val="002533CD"/>
    <w:rsid w:val="002544C1"/>
    <w:rsid w:val="00254EAB"/>
    <w:rsid w:val="002557AF"/>
    <w:rsid w:val="00256474"/>
    <w:rsid w:val="002566B1"/>
    <w:rsid w:val="002575E3"/>
    <w:rsid w:val="002603C1"/>
    <w:rsid w:val="002609A1"/>
    <w:rsid w:val="002612B1"/>
    <w:rsid w:val="0026327C"/>
    <w:rsid w:val="00265600"/>
    <w:rsid w:val="00266165"/>
    <w:rsid w:val="002666A1"/>
    <w:rsid w:val="0026782A"/>
    <w:rsid w:val="002708B3"/>
    <w:rsid w:val="0027125E"/>
    <w:rsid w:val="00271767"/>
    <w:rsid w:val="002719C1"/>
    <w:rsid w:val="00272293"/>
    <w:rsid w:val="002723C8"/>
    <w:rsid w:val="00273379"/>
    <w:rsid w:val="00273CBE"/>
    <w:rsid w:val="00277F24"/>
    <w:rsid w:val="00280240"/>
    <w:rsid w:val="002802D7"/>
    <w:rsid w:val="0028232C"/>
    <w:rsid w:val="002827F1"/>
    <w:rsid w:val="00282EC3"/>
    <w:rsid w:val="002835B0"/>
    <w:rsid w:val="0028407E"/>
    <w:rsid w:val="0028410F"/>
    <w:rsid w:val="002854BF"/>
    <w:rsid w:val="00286603"/>
    <w:rsid w:val="00286A98"/>
    <w:rsid w:val="00286FB5"/>
    <w:rsid w:val="00287763"/>
    <w:rsid w:val="00290606"/>
    <w:rsid w:val="00290F9D"/>
    <w:rsid w:val="002918A7"/>
    <w:rsid w:val="00291D6D"/>
    <w:rsid w:val="00291FF1"/>
    <w:rsid w:val="002923F6"/>
    <w:rsid w:val="00293361"/>
    <w:rsid w:val="00293BAA"/>
    <w:rsid w:val="00294AE8"/>
    <w:rsid w:val="00295137"/>
    <w:rsid w:val="00295287"/>
    <w:rsid w:val="002952B1"/>
    <w:rsid w:val="00295D11"/>
    <w:rsid w:val="00295FA0"/>
    <w:rsid w:val="00297626"/>
    <w:rsid w:val="00297A7A"/>
    <w:rsid w:val="002A0620"/>
    <w:rsid w:val="002A0C3A"/>
    <w:rsid w:val="002A1130"/>
    <w:rsid w:val="002A14CC"/>
    <w:rsid w:val="002A14D3"/>
    <w:rsid w:val="002A1880"/>
    <w:rsid w:val="002A1D47"/>
    <w:rsid w:val="002A23B7"/>
    <w:rsid w:val="002A3A57"/>
    <w:rsid w:val="002A6D22"/>
    <w:rsid w:val="002A6DEF"/>
    <w:rsid w:val="002A7411"/>
    <w:rsid w:val="002A7C24"/>
    <w:rsid w:val="002B013E"/>
    <w:rsid w:val="002B058D"/>
    <w:rsid w:val="002B0C16"/>
    <w:rsid w:val="002B11C9"/>
    <w:rsid w:val="002B169E"/>
    <w:rsid w:val="002B1C7C"/>
    <w:rsid w:val="002B2621"/>
    <w:rsid w:val="002B2AC5"/>
    <w:rsid w:val="002B3528"/>
    <w:rsid w:val="002B3539"/>
    <w:rsid w:val="002B3B2B"/>
    <w:rsid w:val="002B6D17"/>
    <w:rsid w:val="002B6E71"/>
    <w:rsid w:val="002B6FA5"/>
    <w:rsid w:val="002B7169"/>
    <w:rsid w:val="002C0C1C"/>
    <w:rsid w:val="002C0F5A"/>
    <w:rsid w:val="002C184E"/>
    <w:rsid w:val="002C28F5"/>
    <w:rsid w:val="002C54C2"/>
    <w:rsid w:val="002C5D34"/>
    <w:rsid w:val="002C5EA7"/>
    <w:rsid w:val="002C661A"/>
    <w:rsid w:val="002C7C6E"/>
    <w:rsid w:val="002D0AF5"/>
    <w:rsid w:val="002D1C54"/>
    <w:rsid w:val="002D1FAA"/>
    <w:rsid w:val="002D2231"/>
    <w:rsid w:val="002D25FC"/>
    <w:rsid w:val="002D318B"/>
    <w:rsid w:val="002D3380"/>
    <w:rsid w:val="002D44D6"/>
    <w:rsid w:val="002D4925"/>
    <w:rsid w:val="002D4AC6"/>
    <w:rsid w:val="002D5C7B"/>
    <w:rsid w:val="002D60DF"/>
    <w:rsid w:val="002D6DFC"/>
    <w:rsid w:val="002D7648"/>
    <w:rsid w:val="002D7909"/>
    <w:rsid w:val="002D7AB7"/>
    <w:rsid w:val="002E109C"/>
    <w:rsid w:val="002E115E"/>
    <w:rsid w:val="002E131F"/>
    <w:rsid w:val="002E1439"/>
    <w:rsid w:val="002E193E"/>
    <w:rsid w:val="002E1D76"/>
    <w:rsid w:val="002E243C"/>
    <w:rsid w:val="002E26C4"/>
    <w:rsid w:val="002E30B3"/>
    <w:rsid w:val="002E33E9"/>
    <w:rsid w:val="002E4B37"/>
    <w:rsid w:val="002E4BF9"/>
    <w:rsid w:val="002E5A98"/>
    <w:rsid w:val="002E6F5B"/>
    <w:rsid w:val="002F16DD"/>
    <w:rsid w:val="002F199D"/>
    <w:rsid w:val="002F23B2"/>
    <w:rsid w:val="002F2558"/>
    <w:rsid w:val="002F28D9"/>
    <w:rsid w:val="002F4084"/>
    <w:rsid w:val="002F4672"/>
    <w:rsid w:val="002F4A08"/>
    <w:rsid w:val="002F4ADB"/>
    <w:rsid w:val="002F531E"/>
    <w:rsid w:val="002F5ACC"/>
    <w:rsid w:val="002F6C2C"/>
    <w:rsid w:val="002F704B"/>
    <w:rsid w:val="002F72C3"/>
    <w:rsid w:val="002F768C"/>
    <w:rsid w:val="002F7D1E"/>
    <w:rsid w:val="00301839"/>
    <w:rsid w:val="00301A68"/>
    <w:rsid w:val="003026AF"/>
    <w:rsid w:val="00302929"/>
    <w:rsid w:val="00302F0F"/>
    <w:rsid w:val="00303243"/>
    <w:rsid w:val="00303BCC"/>
    <w:rsid w:val="00303F2B"/>
    <w:rsid w:val="00303F8D"/>
    <w:rsid w:val="00304541"/>
    <w:rsid w:val="00304580"/>
    <w:rsid w:val="0030586A"/>
    <w:rsid w:val="003074C5"/>
    <w:rsid w:val="00307A3C"/>
    <w:rsid w:val="00307AF8"/>
    <w:rsid w:val="00307FA4"/>
    <w:rsid w:val="00310CC1"/>
    <w:rsid w:val="00313026"/>
    <w:rsid w:val="00313213"/>
    <w:rsid w:val="00313C14"/>
    <w:rsid w:val="0031421F"/>
    <w:rsid w:val="00314B31"/>
    <w:rsid w:val="00314B36"/>
    <w:rsid w:val="00315158"/>
    <w:rsid w:val="00315346"/>
    <w:rsid w:val="00315A65"/>
    <w:rsid w:val="00316E85"/>
    <w:rsid w:val="00317BA7"/>
    <w:rsid w:val="00320BE2"/>
    <w:rsid w:val="00321886"/>
    <w:rsid w:val="00321902"/>
    <w:rsid w:val="00322932"/>
    <w:rsid w:val="00323694"/>
    <w:rsid w:val="00324D63"/>
    <w:rsid w:val="003255AF"/>
    <w:rsid w:val="003256EB"/>
    <w:rsid w:val="003259DB"/>
    <w:rsid w:val="00325F20"/>
    <w:rsid w:val="00326039"/>
    <w:rsid w:val="003267F2"/>
    <w:rsid w:val="003300EA"/>
    <w:rsid w:val="00331A48"/>
    <w:rsid w:val="003330C9"/>
    <w:rsid w:val="0033364C"/>
    <w:rsid w:val="00334415"/>
    <w:rsid w:val="00335460"/>
    <w:rsid w:val="0033591B"/>
    <w:rsid w:val="0033691E"/>
    <w:rsid w:val="00336CCB"/>
    <w:rsid w:val="0033745F"/>
    <w:rsid w:val="00337631"/>
    <w:rsid w:val="00337F44"/>
    <w:rsid w:val="003401AC"/>
    <w:rsid w:val="003411D1"/>
    <w:rsid w:val="003416BA"/>
    <w:rsid w:val="00341BD6"/>
    <w:rsid w:val="00342A8A"/>
    <w:rsid w:val="00342F99"/>
    <w:rsid w:val="0034339D"/>
    <w:rsid w:val="00344726"/>
    <w:rsid w:val="003454A4"/>
    <w:rsid w:val="00345988"/>
    <w:rsid w:val="0034690D"/>
    <w:rsid w:val="00346E9A"/>
    <w:rsid w:val="00350E6C"/>
    <w:rsid w:val="003518A6"/>
    <w:rsid w:val="00351E7F"/>
    <w:rsid w:val="003526FD"/>
    <w:rsid w:val="00352953"/>
    <w:rsid w:val="00354062"/>
    <w:rsid w:val="003542B0"/>
    <w:rsid w:val="00355C0D"/>
    <w:rsid w:val="0035622C"/>
    <w:rsid w:val="003566A9"/>
    <w:rsid w:val="00356988"/>
    <w:rsid w:val="00356B20"/>
    <w:rsid w:val="003570D1"/>
    <w:rsid w:val="00357128"/>
    <w:rsid w:val="0035755E"/>
    <w:rsid w:val="00357A80"/>
    <w:rsid w:val="00361B8B"/>
    <w:rsid w:val="00363F39"/>
    <w:rsid w:val="003643C6"/>
    <w:rsid w:val="003644A3"/>
    <w:rsid w:val="00364AB0"/>
    <w:rsid w:val="00365A6E"/>
    <w:rsid w:val="003664B8"/>
    <w:rsid w:val="003667B0"/>
    <w:rsid w:val="003667DD"/>
    <w:rsid w:val="00366842"/>
    <w:rsid w:val="00366B48"/>
    <w:rsid w:val="00367764"/>
    <w:rsid w:val="00370316"/>
    <w:rsid w:val="00370DC7"/>
    <w:rsid w:val="0037156C"/>
    <w:rsid w:val="00371CBD"/>
    <w:rsid w:val="00373CBE"/>
    <w:rsid w:val="003740CC"/>
    <w:rsid w:val="0037435E"/>
    <w:rsid w:val="00374E79"/>
    <w:rsid w:val="00375388"/>
    <w:rsid w:val="00375B7E"/>
    <w:rsid w:val="00375FB9"/>
    <w:rsid w:val="00376851"/>
    <w:rsid w:val="00376FA2"/>
    <w:rsid w:val="00377A3B"/>
    <w:rsid w:val="00377E3C"/>
    <w:rsid w:val="00380B5C"/>
    <w:rsid w:val="00380BBE"/>
    <w:rsid w:val="00381D70"/>
    <w:rsid w:val="00382128"/>
    <w:rsid w:val="0038235E"/>
    <w:rsid w:val="003829D0"/>
    <w:rsid w:val="00382FBA"/>
    <w:rsid w:val="003835DD"/>
    <w:rsid w:val="0038444F"/>
    <w:rsid w:val="00384E83"/>
    <w:rsid w:val="00385C34"/>
    <w:rsid w:val="00386B36"/>
    <w:rsid w:val="00387051"/>
    <w:rsid w:val="00387ECF"/>
    <w:rsid w:val="0039021B"/>
    <w:rsid w:val="00390429"/>
    <w:rsid w:val="003907C0"/>
    <w:rsid w:val="00391298"/>
    <w:rsid w:val="0039275D"/>
    <w:rsid w:val="0039327C"/>
    <w:rsid w:val="003933A2"/>
    <w:rsid w:val="0039366C"/>
    <w:rsid w:val="003938F3"/>
    <w:rsid w:val="00393C4B"/>
    <w:rsid w:val="00393DE7"/>
    <w:rsid w:val="00393EC8"/>
    <w:rsid w:val="00395B8D"/>
    <w:rsid w:val="00395E42"/>
    <w:rsid w:val="00396052"/>
    <w:rsid w:val="00396A2D"/>
    <w:rsid w:val="00396FC3"/>
    <w:rsid w:val="00397730"/>
    <w:rsid w:val="003A1A94"/>
    <w:rsid w:val="003A204E"/>
    <w:rsid w:val="003A2D25"/>
    <w:rsid w:val="003A4DDB"/>
    <w:rsid w:val="003A60E7"/>
    <w:rsid w:val="003B07DF"/>
    <w:rsid w:val="003B0B6A"/>
    <w:rsid w:val="003B0F79"/>
    <w:rsid w:val="003B2247"/>
    <w:rsid w:val="003B29CF"/>
    <w:rsid w:val="003B54DF"/>
    <w:rsid w:val="003B6659"/>
    <w:rsid w:val="003B7733"/>
    <w:rsid w:val="003B7BC8"/>
    <w:rsid w:val="003B7D9A"/>
    <w:rsid w:val="003C0166"/>
    <w:rsid w:val="003C21AA"/>
    <w:rsid w:val="003C2B79"/>
    <w:rsid w:val="003C350C"/>
    <w:rsid w:val="003C3903"/>
    <w:rsid w:val="003C3BA0"/>
    <w:rsid w:val="003C4580"/>
    <w:rsid w:val="003C4956"/>
    <w:rsid w:val="003C52D8"/>
    <w:rsid w:val="003C5C5E"/>
    <w:rsid w:val="003C6746"/>
    <w:rsid w:val="003C7133"/>
    <w:rsid w:val="003C7555"/>
    <w:rsid w:val="003C7898"/>
    <w:rsid w:val="003C7C9F"/>
    <w:rsid w:val="003D0FF5"/>
    <w:rsid w:val="003D2D1B"/>
    <w:rsid w:val="003D30AB"/>
    <w:rsid w:val="003D3D94"/>
    <w:rsid w:val="003D48C7"/>
    <w:rsid w:val="003D4C08"/>
    <w:rsid w:val="003D51ED"/>
    <w:rsid w:val="003D7CE8"/>
    <w:rsid w:val="003E1032"/>
    <w:rsid w:val="003E1904"/>
    <w:rsid w:val="003E2114"/>
    <w:rsid w:val="003E285E"/>
    <w:rsid w:val="003E3300"/>
    <w:rsid w:val="003E5A6E"/>
    <w:rsid w:val="003E5B89"/>
    <w:rsid w:val="003E6340"/>
    <w:rsid w:val="003E65AC"/>
    <w:rsid w:val="003E6948"/>
    <w:rsid w:val="003E6E24"/>
    <w:rsid w:val="003E72B9"/>
    <w:rsid w:val="003E755C"/>
    <w:rsid w:val="003E7ED4"/>
    <w:rsid w:val="003F0E52"/>
    <w:rsid w:val="003F0EF2"/>
    <w:rsid w:val="003F0F6B"/>
    <w:rsid w:val="003F1F40"/>
    <w:rsid w:val="003F1FE3"/>
    <w:rsid w:val="003F3865"/>
    <w:rsid w:val="003F3A0A"/>
    <w:rsid w:val="003F4632"/>
    <w:rsid w:val="003F47BA"/>
    <w:rsid w:val="003F5DA1"/>
    <w:rsid w:val="003F6617"/>
    <w:rsid w:val="0040063B"/>
    <w:rsid w:val="00401070"/>
    <w:rsid w:val="004013C0"/>
    <w:rsid w:val="00402332"/>
    <w:rsid w:val="004025C2"/>
    <w:rsid w:val="00403E55"/>
    <w:rsid w:val="00404532"/>
    <w:rsid w:val="00404681"/>
    <w:rsid w:val="0040496D"/>
    <w:rsid w:val="00405010"/>
    <w:rsid w:val="0040595A"/>
    <w:rsid w:val="00406923"/>
    <w:rsid w:val="0040713A"/>
    <w:rsid w:val="0040763D"/>
    <w:rsid w:val="004105B0"/>
    <w:rsid w:val="004106F7"/>
    <w:rsid w:val="00410DC1"/>
    <w:rsid w:val="00410EC5"/>
    <w:rsid w:val="00411B1F"/>
    <w:rsid w:val="004133A8"/>
    <w:rsid w:val="00413821"/>
    <w:rsid w:val="00413D43"/>
    <w:rsid w:val="004141A3"/>
    <w:rsid w:val="004143E9"/>
    <w:rsid w:val="00414909"/>
    <w:rsid w:val="00415E66"/>
    <w:rsid w:val="00416112"/>
    <w:rsid w:val="00416DF0"/>
    <w:rsid w:val="00417AE0"/>
    <w:rsid w:val="00417BAA"/>
    <w:rsid w:val="00420BA9"/>
    <w:rsid w:val="00420D7A"/>
    <w:rsid w:val="00420D9E"/>
    <w:rsid w:val="004223DE"/>
    <w:rsid w:val="00422718"/>
    <w:rsid w:val="0042293E"/>
    <w:rsid w:val="00422A10"/>
    <w:rsid w:val="00424D17"/>
    <w:rsid w:val="00425DFD"/>
    <w:rsid w:val="004263A3"/>
    <w:rsid w:val="00426903"/>
    <w:rsid w:val="00427713"/>
    <w:rsid w:val="00427CCC"/>
    <w:rsid w:val="00427D54"/>
    <w:rsid w:val="00427DB8"/>
    <w:rsid w:val="0043013A"/>
    <w:rsid w:val="00430421"/>
    <w:rsid w:val="00430B4F"/>
    <w:rsid w:val="004314B1"/>
    <w:rsid w:val="00431AD0"/>
    <w:rsid w:val="00431E65"/>
    <w:rsid w:val="00432589"/>
    <w:rsid w:val="00432A94"/>
    <w:rsid w:val="00433827"/>
    <w:rsid w:val="00435041"/>
    <w:rsid w:val="004360C8"/>
    <w:rsid w:val="0044006B"/>
    <w:rsid w:val="0044033F"/>
    <w:rsid w:val="00440630"/>
    <w:rsid w:val="00441123"/>
    <w:rsid w:val="0044127B"/>
    <w:rsid w:val="00441705"/>
    <w:rsid w:val="00442095"/>
    <w:rsid w:val="00442965"/>
    <w:rsid w:val="00443FA3"/>
    <w:rsid w:val="00444157"/>
    <w:rsid w:val="0044417C"/>
    <w:rsid w:val="00444DB3"/>
    <w:rsid w:val="004452B9"/>
    <w:rsid w:val="00445A2F"/>
    <w:rsid w:val="00446328"/>
    <w:rsid w:val="00446341"/>
    <w:rsid w:val="0044684E"/>
    <w:rsid w:val="004479CA"/>
    <w:rsid w:val="004503A4"/>
    <w:rsid w:val="00450555"/>
    <w:rsid w:val="00450DC6"/>
    <w:rsid w:val="004516A5"/>
    <w:rsid w:val="004535AE"/>
    <w:rsid w:val="00453C42"/>
    <w:rsid w:val="0045463A"/>
    <w:rsid w:val="00454AC9"/>
    <w:rsid w:val="004554A3"/>
    <w:rsid w:val="00455A6E"/>
    <w:rsid w:val="004569CD"/>
    <w:rsid w:val="00456F2B"/>
    <w:rsid w:val="004578EB"/>
    <w:rsid w:val="00460303"/>
    <w:rsid w:val="00460697"/>
    <w:rsid w:val="004609AB"/>
    <w:rsid w:val="0046247F"/>
    <w:rsid w:val="00462593"/>
    <w:rsid w:val="00465EEF"/>
    <w:rsid w:val="00466D03"/>
    <w:rsid w:val="0046711B"/>
    <w:rsid w:val="00467312"/>
    <w:rsid w:val="00471156"/>
    <w:rsid w:val="00472429"/>
    <w:rsid w:val="004725E5"/>
    <w:rsid w:val="004726FE"/>
    <w:rsid w:val="00472751"/>
    <w:rsid w:val="00473128"/>
    <w:rsid w:val="0047470A"/>
    <w:rsid w:val="00475078"/>
    <w:rsid w:val="00475226"/>
    <w:rsid w:val="004777F1"/>
    <w:rsid w:val="004779A0"/>
    <w:rsid w:val="004808E3"/>
    <w:rsid w:val="0048097D"/>
    <w:rsid w:val="00481016"/>
    <w:rsid w:val="004814C8"/>
    <w:rsid w:val="004814D3"/>
    <w:rsid w:val="0048204C"/>
    <w:rsid w:val="004821BB"/>
    <w:rsid w:val="00482233"/>
    <w:rsid w:val="004826FE"/>
    <w:rsid w:val="004827D5"/>
    <w:rsid w:val="004830C9"/>
    <w:rsid w:val="00483347"/>
    <w:rsid w:val="00483D06"/>
    <w:rsid w:val="00483E2E"/>
    <w:rsid w:val="00484B69"/>
    <w:rsid w:val="00485406"/>
    <w:rsid w:val="0048590F"/>
    <w:rsid w:val="004867A5"/>
    <w:rsid w:val="00486D60"/>
    <w:rsid w:val="00487C87"/>
    <w:rsid w:val="00492A25"/>
    <w:rsid w:val="0049474A"/>
    <w:rsid w:val="004951C8"/>
    <w:rsid w:val="00496350"/>
    <w:rsid w:val="00496F91"/>
    <w:rsid w:val="00497274"/>
    <w:rsid w:val="0049797C"/>
    <w:rsid w:val="00497C2C"/>
    <w:rsid w:val="00497E9D"/>
    <w:rsid w:val="004A036E"/>
    <w:rsid w:val="004A1405"/>
    <w:rsid w:val="004A1FC6"/>
    <w:rsid w:val="004A3C03"/>
    <w:rsid w:val="004A3DB7"/>
    <w:rsid w:val="004A3FB3"/>
    <w:rsid w:val="004A5088"/>
    <w:rsid w:val="004A5255"/>
    <w:rsid w:val="004A6097"/>
    <w:rsid w:val="004A6CB0"/>
    <w:rsid w:val="004A70FF"/>
    <w:rsid w:val="004B1B84"/>
    <w:rsid w:val="004B288A"/>
    <w:rsid w:val="004B29AC"/>
    <w:rsid w:val="004B29E3"/>
    <w:rsid w:val="004B35DF"/>
    <w:rsid w:val="004B3627"/>
    <w:rsid w:val="004B3F3A"/>
    <w:rsid w:val="004B4779"/>
    <w:rsid w:val="004B4922"/>
    <w:rsid w:val="004B57DF"/>
    <w:rsid w:val="004C0238"/>
    <w:rsid w:val="004C03A0"/>
    <w:rsid w:val="004C2138"/>
    <w:rsid w:val="004C2ED0"/>
    <w:rsid w:val="004C32D4"/>
    <w:rsid w:val="004C3940"/>
    <w:rsid w:val="004C51FD"/>
    <w:rsid w:val="004C5C83"/>
    <w:rsid w:val="004C65A8"/>
    <w:rsid w:val="004C786C"/>
    <w:rsid w:val="004C7963"/>
    <w:rsid w:val="004D2314"/>
    <w:rsid w:val="004D2F63"/>
    <w:rsid w:val="004D35BA"/>
    <w:rsid w:val="004D3F08"/>
    <w:rsid w:val="004D45B8"/>
    <w:rsid w:val="004D4701"/>
    <w:rsid w:val="004D47C7"/>
    <w:rsid w:val="004D5ECC"/>
    <w:rsid w:val="004D618D"/>
    <w:rsid w:val="004D6202"/>
    <w:rsid w:val="004D62A9"/>
    <w:rsid w:val="004D62FC"/>
    <w:rsid w:val="004D6FC3"/>
    <w:rsid w:val="004D7476"/>
    <w:rsid w:val="004E0306"/>
    <w:rsid w:val="004E0572"/>
    <w:rsid w:val="004E0C97"/>
    <w:rsid w:val="004E25A8"/>
    <w:rsid w:val="004E2AA0"/>
    <w:rsid w:val="004E3930"/>
    <w:rsid w:val="004E3ED9"/>
    <w:rsid w:val="004E5362"/>
    <w:rsid w:val="004E5866"/>
    <w:rsid w:val="004E6097"/>
    <w:rsid w:val="004E61EF"/>
    <w:rsid w:val="004E6772"/>
    <w:rsid w:val="004E76A7"/>
    <w:rsid w:val="004E7736"/>
    <w:rsid w:val="004E7B03"/>
    <w:rsid w:val="004F0064"/>
    <w:rsid w:val="004F069F"/>
    <w:rsid w:val="004F06AC"/>
    <w:rsid w:val="004F1AE6"/>
    <w:rsid w:val="004F243F"/>
    <w:rsid w:val="004F3E0C"/>
    <w:rsid w:val="004F6929"/>
    <w:rsid w:val="004F6A2D"/>
    <w:rsid w:val="004F7160"/>
    <w:rsid w:val="00500258"/>
    <w:rsid w:val="0050175E"/>
    <w:rsid w:val="00501A99"/>
    <w:rsid w:val="00502569"/>
    <w:rsid w:val="00502CF3"/>
    <w:rsid w:val="00503180"/>
    <w:rsid w:val="0050417C"/>
    <w:rsid w:val="00505450"/>
    <w:rsid w:val="005100B7"/>
    <w:rsid w:val="005111C2"/>
    <w:rsid w:val="005113C9"/>
    <w:rsid w:val="0051280C"/>
    <w:rsid w:val="00512842"/>
    <w:rsid w:val="005128BE"/>
    <w:rsid w:val="00512B7B"/>
    <w:rsid w:val="00512E6C"/>
    <w:rsid w:val="0051356F"/>
    <w:rsid w:val="00513E7C"/>
    <w:rsid w:val="005140BB"/>
    <w:rsid w:val="005143C2"/>
    <w:rsid w:val="00514FD9"/>
    <w:rsid w:val="0051518F"/>
    <w:rsid w:val="00515FB2"/>
    <w:rsid w:val="0051608F"/>
    <w:rsid w:val="005165E9"/>
    <w:rsid w:val="005210F7"/>
    <w:rsid w:val="00521753"/>
    <w:rsid w:val="00521A44"/>
    <w:rsid w:val="00521D16"/>
    <w:rsid w:val="005222BE"/>
    <w:rsid w:val="005224EE"/>
    <w:rsid w:val="00523BB1"/>
    <w:rsid w:val="005242CF"/>
    <w:rsid w:val="00524401"/>
    <w:rsid w:val="0052451A"/>
    <w:rsid w:val="00524737"/>
    <w:rsid w:val="005253E7"/>
    <w:rsid w:val="005258DF"/>
    <w:rsid w:val="00526265"/>
    <w:rsid w:val="0052652D"/>
    <w:rsid w:val="0052655D"/>
    <w:rsid w:val="005265E0"/>
    <w:rsid w:val="00526930"/>
    <w:rsid w:val="00526BC3"/>
    <w:rsid w:val="00530F9E"/>
    <w:rsid w:val="00531A72"/>
    <w:rsid w:val="0053274E"/>
    <w:rsid w:val="0053358A"/>
    <w:rsid w:val="00534668"/>
    <w:rsid w:val="00534D38"/>
    <w:rsid w:val="00534DDD"/>
    <w:rsid w:val="00535291"/>
    <w:rsid w:val="00535A94"/>
    <w:rsid w:val="00537874"/>
    <w:rsid w:val="00537909"/>
    <w:rsid w:val="00540204"/>
    <w:rsid w:val="00540578"/>
    <w:rsid w:val="005407D2"/>
    <w:rsid w:val="00540808"/>
    <w:rsid w:val="0054080E"/>
    <w:rsid w:val="005408B4"/>
    <w:rsid w:val="00540EA1"/>
    <w:rsid w:val="005423B1"/>
    <w:rsid w:val="0054358E"/>
    <w:rsid w:val="00543AF4"/>
    <w:rsid w:val="00544191"/>
    <w:rsid w:val="00544F39"/>
    <w:rsid w:val="00546644"/>
    <w:rsid w:val="00547EFB"/>
    <w:rsid w:val="005531DF"/>
    <w:rsid w:val="00553874"/>
    <w:rsid w:val="00553ACC"/>
    <w:rsid w:val="00554AD8"/>
    <w:rsid w:val="00554F78"/>
    <w:rsid w:val="005556A5"/>
    <w:rsid w:val="005561F0"/>
    <w:rsid w:val="00556BF7"/>
    <w:rsid w:val="00560838"/>
    <w:rsid w:val="00560DB5"/>
    <w:rsid w:val="00562149"/>
    <w:rsid w:val="005630D8"/>
    <w:rsid w:val="00563FFD"/>
    <w:rsid w:val="00564C28"/>
    <w:rsid w:val="00565214"/>
    <w:rsid w:val="00565855"/>
    <w:rsid w:val="005677CE"/>
    <w:rsid w:val="00567B5D"/>
    <w:rsid w:val="00570445"/>
    <w:rsid w:val="00572E9A"/>
    <w:rsid w:val="00573733"/>
    <w:rsid w:val="005739F5"/>
    <w:rsid w:val="00574064"/>
    <w:rsid w:val="00574554"/>
    <w:rsid w:val="00576089"/>
    <w:rsid w:val="005764B1"/>
    <w:rsid w:val="00576A0D"/>
    <w:rsid w:val="00576A56"/>
    <w:rsid w:val="00576D06"/>
    <w:rsid w:val="005777CA"/>
    <w:rsid w:val="005779E4"/>
    <w:rsid w:val="00580AC5"/>
    <w:rsid w:val="005815E5"/>
    <w:rsid w:val="0058289C"/>
    <w:rsid w:val="00582C35"/>
    <w:rsid w:val="00582DC6"/>
    <w:rsid w:val="005836C7"/>
    <w:rsid w:val="0058408E"/>
    <w:rsid w:val="00585374"/>
    <w:rsid w:val="005876DF"/>
    <w:rsid w:val="0058789A"/>
    <w:rsid w:val="00590B77"/>
    <w:rsid w:val="005913A3"/>
    <w:rsid w:val="00591DCD"/>
    <w:rsid w:val="00594A7B"/>
    <w:rsid w:val="00594AFA"/>
    <w:rsid w:val="0059580E"/>
    <w:rsid w:val="00596636"/>
    <w:rsid w:val="00596A6F"/>
    <w:rsid w:val="00596B9C"/>
    <w:rsid w:val="005976E1"/>
    <w:rsid w:val="005A0541"/>
    <w:rsid w:val="005A0D64"/>
    <w:rsid w:val="005A1525"/>
    <w:rsid w:val="005A1EC3"/>
    <w:rsid w:val="005A252B"/>
    <w:rsid w:val="005A2A71"/>
    <w:rsid w:val="005A3204"/>
    <w:rsid w:val="005A32B6"/>
    <w:rsid w:val="005A3341"/>
    <w:rsid w:val="005A46EC"/>
    <w:rsid w:val="005A47AA"/>
    <w:rsid w:val="005A4847"/>
    <w:rsid w:val="005A494F"/>
    <w:rsid w:val="005B0160"/>
    <w:rsid w:val="005B0185"/>
    <w:rsid w:val="005B07EC"/>
    <w:rsid w:val="005B09D8"/>
    <w:rsid w:val="005B24F3"/>
    <w:rsid w:val="005B28A1"/>
    <w:rsid w:val="005B2B11"/>
    <w:rsid w:val="005B2E00"/>
    <w:rsid w:val="005B370E"/>
    <w:rsid w:val="005B4DA3"/>
    <w:rsid w:val="005B5B71"/>
    <w:rsid w:val="005B5BEE"/>
    <w:rsid w:val="005B7025"/>
    <w:rsid w:val="005B7784"/>
    <w:rsid w:val="005B77D2"/>
    <w:rsid w:val="005C019B"/>
    <w:rsid w:val="005C144E"/>
    <w:rsid w:val="005C1625"/>
    <w:rsid w:val="005C2D0A"/>
    <w:rsid w:val="005C30F5"/>
    <w:rsid w:val="005C357E"/>
    <w:rsid w:val="005C3604"/>
    <w:rsid w:val="005C51A5"/>
    <w:rsid w:val="005C5403"/>
    <w:rsid w:val="005C557A"/>
    <w:rsid w:val="005C5A03"/>
    <w:rsid w:val="005C61DD"/>
    <w:rsid w:val="005C6438"/>
    <w:rsid w:val="005C6B8B"/>
    <w:rsid w:val="005D02E3"/>
    <w:rsid w:val="005D0A7A"/>
    <w:rsid w:val="005D1F34"/>
    <w:rsid w:val="005D2529"/>
    <w:rsid w:val="005D25BF"/>
    <w:rsid w:val="005D2C1F"/>
    <w:rsid w:val="005D34B2"/>
    <w:rsid w:val="005D3B54"/>
    <w:rsid w:val="005D40CD"/>
    <w:rsid w:val="005D6B59"/>
    <w:rsid w:val="005D7037"/>
    <w:rsid w:val="005E03E4"/>
    <w:rsid w:val="005E0454"/>
    <w:rsid w:val="005E171D"/>
    <w:rsid w:val="005E34C2"/>
    <w:rsid w:val="005E35C6"/>
    <w:rsid w:val="005E3711"/>
    <w:rsid w:val="005E3AF9"/>
    <w:rsid w:val="005E4669"/>
    <w:rsid w:val="005E5099"/>
    <w:rsid w:val="005E5B01"/>
    <w:rsid w:val="005E7933"/>
    <w:rsid w:val="005E7E0B"/>
    <w:rsid w:val="005F009E"/>
    <w:rsid w:val="005F080C"/>
    <w:rsid w:val="005F0A88"/>
    <w:rsid w:val="005F0DF1"/>
    <w:rsid w:val="005F1516"/>
    <w:rsid w:val="005F229E"/>
    <w:rsid w:val="005F2564"/>
    <w:rsid w:val="005F3822"/>
    <w:rsid w:val="005F3E0B"/>
    <w:rsid w:val="005F4D16"/>
    <w:rsid w:val="005F4E52"/>
    <w:rsid w:val="005F5967"/>
    <w:rsid w:val="005F77C8"/>
    <w:rsid w:val="0060058E"/>
    <w:rsid w:val="00602A3C"/>
    <w:rsid w:val="00602EA4"/>
    <w:rsid w:val="00603EFD"/>
    <w:rsid w:val="006041DF"/>
    <w:rsid w:val="0060475B"/>
    <w:rsid w:val="00604FB6"/>
    <w:rsid w:val="00604FD6"/>
    <w:rsid w:val="00605387"/>
    <w:rsid w:val="00605552"/>
    <w:rsid w:val="00606302"/>
    <w:rsid w:val="006072EF"/>
    <w:rsid w:val="006076FD"/>
    <w:rsid w:val="00607BA3"/>
    <w:rsid w:val="00610CAA"/>
    <w:rsid w:val="0061143F"/>
    <w:rsid w:val="006114D8"/>
    <w:rsid w:val="00611585"/>
    <w:rsid w:val="00612931"/>
    <w:rsid w:val="00613601"/>
    <w:rsid w:val="00613791"/>
    <w:rsid w:val="00613AAB"/>
    <w:rsid w:val="006148C7"/>
    <w:rsid w:val="006150D6"/>
    <w:rsid w:val="006166A3"/>
    <w:rsid w:val="00617EEE"/>
    <w:rsid w:val="006210FE"/>
    <w:rsid w:val="00622811"/>
    <w:rsid w:val="00622878"/>
    <w:rsid w:val="00622894"/>
    <w:rsid w:val="00622BB7"/>
    <w:rsid w:val="00622F3B"/>
    <w:rsid w:val="00623130"/>
    <w:rsid w:val="00623389"/>
    <w:rsid w:val="0062352A"/>
    <w:rsid w:val="00625E45"/>
    <w:rsid w:val="006265C4"/>
    <w:rsid w:val="00626DB1"/>
    <w:rsid w:val="00627383"/>
    <w:rsid w:val="00627733"/>
    <w:rsid w:val="006301BB"/>
    <w:rsid w:val="00632605"/>
    <w:rsid w:val="00633F8D"/>
    <w:rsid w:val="006341EF"/>
    <w:rsid w:val="00634BED"/>
    <w:rsid w:val="00635A4A"/>
    <w:rsid w:val="00635F1C"/>
    <w:rsid w:val="00635FB9"/>
    <w:rsid w:val="00636765"/>
    <w:rsid w:val="00637774"/>
    <w:rsid w:val="0064024C"/>
    <w:rsid w:val="00640291"/>
    <w:rsid w:val="00641FAC"/>
    <w:rsid w:val="0064262E"/>
    <w:rsid w:val="006432A5"/>
    <w:rsid w:val="00643664"/>
    <w:rsid w:val="00643CAA"/>
    <w:rsid w:val="0064448B"/>
    <w:rsid w:val="00647B97"/>
    <w:rsid w:val="00651038"/>
    <w:rsid w:val="00652137"/>
    <w:rsid w:val="00652680"/>
    <w:rsid w:val="00652A09"/>
    <w:rsid w:val="006530A1"/>
    <w:rsid w:val="0065371D"/>
    <w:rsid w:val="00653CDE"/>
    <w:rsid w:val="006540B4"/>
    <w:rsid w:val="0065636A"/>
    <w:rsid w:val="00656C3C"/>
    <w:rsid w:val="00657003"/>
    <w:rsid w:val="00657126"/>
    <w:rsid w:val="006572C1"/>
    <w:rsid w:val="00660238"/>
    <w:rsid w:val="006602EF"/>
    <w:rsid w:val="00661277"/>
    <w:rsid w:val="006616FE"/>
    <w:rsid w:val="00661717"/>
    <w:rsid w:val="006619D1"/>
    <w:rsid w:val="006628AD"/>
    <w:rsid w:val="00663FEA"/>
    <w:rsid w:val="00664253"/>
    <w:rsid w:val="00664803"/>
    <w:rsid w:val="006661A4"/>
    <w:rsid w:val="006670E0"/>
    <w:rsid w:val="00667532"/>
    <w:rsid w:val="006704FD"/>
    <w:rsid w:val="00670F3A"/>
    <w:rsid w:val="006715E6"/>
    <w:rsid w:val="0067294B"/>
    <w:rsid w:val="00673AA4"/>
    <w:rsid w:val="00674066"/>
    <w:rsid w:val="00674187"/>
    <w:rsid w:val="0067483F"/>
    <w:rsid w:val="0067508F"/>
    <w:rsid w:val="00675349"/>
    <w:rsid w:val="00675E7E"/>
    <w:rsid w:val="0068051E"/>
    <w:rsid w:val="00680B9D"/>
    <w:rsid w:val="00681F13"/>
    <w:rsid w:val="0068231C"/>
    <w:rsid w:val="00682344"/>
    <w:rsid w:val="00682C6E"/>
    <w:rsid w:val="00682E78"/>
    <w:rsid w:val="00682F28"/>
    <w:rsid w:val="00684842"/>
    <w:rsid w:val="00685206"/>
    <w:rsid w:val="00685BD6"/>
    <w:rsid w:val="00686433"/>
    <w:rsid w:val="006878A6"/>
    <w:rsid w:val="00690437"/>
    <w:rsid w:val="00690E65"/>
    <w:rsid w:val="0069188E"/>
    <w:rsid w:val="00691974"/>
    <w:rsid w:val="00691A3F"/>
    <w:rsid w:val="00692CE6"/>
    <w:rsid w:val="00692DA8"/>
    <w:rsid w:val="00693B6C"/>
    <w:rsid w:val="006942AE"/>
    <w:rsid w:val="0069483C"/>
    <w:rsid w:val="00695421"/>
    <w:rsid w:val="00695AE4"/>
    <w:rsid w:val="00696D4B"/>
    <w:rsid w:val="006970D1"/>
    <w:rsid w:val="006977A8"/>
    <w:rsid w:val="00697BD3"/>
    <w:rsid w:val="00697DFA"/>
    <w:rsid w:val="006A10F3"/>
    <w:rsid w:val="006A16D5"/>
    <w:rsid w:val="006A1772"/>
    <w:rsid w:val="006A1780"/>
    <w:rsid w:val="006A25A5"/>
    <w:rsid w:val="006A2790"/>
    <w:rsid w:val="006A3CEC"/>
    <w:rsid w:val="006A3F75"/>
    <w:rsid w:val="006A4838"/>
    <w:rsid w:val="006A4FB3"/>
    <w:rsid w:val="006A5A3E"/>
    <w:rsid w:val="006A5BAB"/>
    <w:rsid w:val="006A6CA7"/>
    <w:rsid w:val="006A703E"/>
    <w:rsid w:val="006A7BE3"/>
    <w:rsid w:val="006B01D1"/>
    <w:rsid w:val="006B16EA"/>
    <w:rsid w:val="006B1780"/>
    <w:rsid w:val="006B224E"/>
    <w:rsid w:val="006B338C"/>
    <w:rsid w:val="006B362D"/>
    <w:rsid w:val="006B376E"/>
    <w:rsid w:val="006B4589"/>
    <w:rsid w:val="006B6805"/>
    <w:rsid w:val="006B6BBE"/>
    <w:rsid w:val="006B6DE0"/>
    <w:rsid w:val="006B7D5F"/>
    <w:rsid w:val="006C0FCC"/>
    <w:rsid w:val="006C2D83"/>
    <w:rsid w:val="006C32F4"/>
    <w:rsid w:val="006C3382"/>
    <w:rsid w:val="006C3C54"/>
    <w:rsid w:val="006C40F4"/>
    <w:rsid w:val="006C427B"/>
    <w:rsid w:val="006C4F9F"/>
    <w:rsid w:val="006C5019"/>
    <w:rsid w:val="006C5778"/>
    <w:rsid w:val="006C61AB"/>
    <w:rsid w:val="006C650D"/>
    <w:rsid w:val="006C686A"/>
    <w:rsid w:val="006C7479"/>
    <w:rsid w:val="006C748D"/>
    <w:rsid w:val="006D0C1D"/>
    <w:rsid w:val="006D0CE1"/>
    <w:rsid w:val="006D2004"/>
    <w:rsid w:val="006D2A8C"/>
    <w:rsid w:val="006D2E9D"/>
    <w:rsid w:val="006D32EB"/>
    <w:rsid w:val="006D4C1E"/>
    <w:rsid w:val="006D4C42"/>
    <w:rsid w:val="006D5809"/>
    <w:rsid w:val="006D630A"/>
    <w:rsid w:val="006D668D"/>
    <w:rsid w:val="006D7363"/>
    <w:rsid w:val="006D74F2"/>
    <w:rsid w:val="006D7548"/>
    <w:rsid w:val="006E04C8"/>
    <w:rsid w:val="006E061F"/>
    <w:rsid w:val="006E0712"/>
    <w:rsid w:val="006E0754"/>
    <w:rsid w:val="006E2668"/>
    <w:rsid w:val="006E2D39"/>
    <w:rsid w:val="006E32B0"/>
    <w:rsid w:val="006E36D8"/>
    <w:rsid w:val="006E396A"/>
    <w:rsid w:val="006E3A73"/>
    <w:rsid w:val="006E5825"/>
    <w:rsid w:val="006E5DD8"/>
    <w:rsid w:val="006E5EA1"/>
    <w:rsid w:val="006E6A4C"/>
    <w:rsid w:val="006E7ABC"/>
    <w:rsid w:val="006F0760"/>
    <w:rsid w:val="006F0FF1"/>
    <w:rsid w:val="006F11E2"/>
    <w:rsid w:val="006F12F5"/>
    <w:rsid w:val="006F2574"/>
    <w:rsid w:val="006F3231"/>
    <w:rsid w:val="006F3582"/>
    <w:rsid w:val="006F3DE3"/>
    <w:rsid w:val="006F4C05"/>
    <w:rsid w:val="006F511F"/>
    <w:rsid w:val="006F61D8"/>
    <w:rsid w:val="006F62B7"/>
    <w:rsid w:val="006F70BC"/>
    <w:rsid w:val="006F713A"/>
    <w:rsid w:val="006F76BF"/>
    <w:rsid w:val="006F7C48"/>
    <w:rsid w:val="00705161"/>
    <w:rsid w:val="007066A4"/>
    <w:rsid w:val="00706F37"/>
    <w:rsid w:val="00707D09"/>
    <w:rsid w:val="00710760"/>
    <w:rsid w:val="007107C7"/>
    <w:rsid w:val="0071209F"/>
    <w:rsid w:val="007125A2"/>
    <w:rsid w:val="00713F79"/>
    <w:rsid w:val="007148A8"/>
    <w:rsid w:val="00715A9B"/>
    <w:rsid w:val="00716125"/>
    <w:rsid w:val="00716C9F"/>
    <w:rsid w:val="007171E0"/>
    <w:rsid w:val="0071740B"/>
    <w:rsid w:val="00717C40"/>
    <w:rsid w:val="0072033C"/>
    <w:rsid w:val="00720B1B"/>
    <w:rsid w:val="00721062"/>
    <w:rsid w:val="00721A4E"/>
    <w:rsid w:val="00721E5D"/>
    <w:rsid w:val="007229D4"/>
    <w:rsid w:val="007230F8"/>
    <w:rsid w:val="007233F4"/>
    <w:rsid w:val="00723646"/>
    <w:rsid w:val="00724044"/>
    <w:rsid w:val="007244E1"/>
    <w:rsid w:val="007248D3"/>
    <w:rsid w:val="00725137"/>
    <w:rsid w:val="00725C63"/>
    <w:rsid w:val="007263ED"/>
    <w:rsid w:val="0072653B"/>
    <w:rsid w:val="00726C9E"/>
    <w:rsid w:val="00727A43"/>
    <w:rsid w:val="00727FF2"/>
    <w:rsid w:val="007323E0"/>
    <w:rsid w:val="007324ED"/>
    <w:rsid w:val="00733791"/>
    <w:rsid w:val="00733857"/>
    <w:rsid w:val="00733DE2"/>
    <w:rsid w:val="00734328"/>
    <w:rsid w:val="007346E7"/>
    <w:rsid w:val="007352EA"/>
    <w:rsid w:val="00736032"/>
    <w:rsid w:val="007364E5"/>
    <w:rsid w:val="0073792F"/>
    <w:rsid w:val="00737C48"/>
    <w:rsid w:val="007409CA"/>
    <w:rsid w:val="00740DA6"/>
    <w:rsid w:val="00741A0E"/>
    <w:rsid w:val="00741D1E"/>
    <w:rsid w:val="00741EE2"/>
    <w:rsid w:val="00742367"/>
    <w:rsid w:val="00742EAA"/>
    <w:rsid w:val="00743295"/>
    <w:rsid w:val="00743818"/>
    <w:rsid w:val="007439E2"/>
    <w:rsid w:val="00743E9C"/>
    <w:rsid w:val="007441FB"/>
    <w:rsid w:val="00744517"/>
    <w:rsid w:val="00744810"/>
    <w:rsid w:val="00747079"/>
    <w:rsid w:val="00747DD4"/>
    <w:rsid w:val="00747DE2"/>
    <w:rsid w:val="007504BF"/>
    <w:rsid w:val="007506CD"/>
    <w:rsid w:val="007525DB"/>
    <w:rsid w:val="0075267F"/>
    <w:rsid w:val="007526EC"/>
    <w:rsid w:val="0075310C"/>
    <w:rsid w:val="00753347"/>
    <w:rsid w:val="00753C48"/>
    <w:rsid w:val="007545C1"/>
    <w:rsid w:val="00754C97"/>
    <w:rsid w:val="00754FE4"/>
    <w:rsid w:val="00755538"/>
    <w:rsid w:val="00755971"/>
    <w:rsid w:val="00756236"/>
    <w:rsid w:val="00756271"/>
    <w:rsid w:val="00756521"/>
    <w:rsid w:val="00756AB7"/>
    <w:rsid w:val="0075745C"/>
    <w:rsid w:val="00760477"/>
    <w:rsid w:val="007615CE"/>
    <w:rsid w:val="00761AF4"/>
    <w:rsid w:val="00762071"/>
    <w:rsid w:val="007623FB"/>
    <w:rsid w:val="0076376A"/>
    <w:rsid w:val="0076500F"/>
    <w:rsid w:val="0076504E"/>
    <w:rsid w:val="00765D24"/>
    <w:rsid w:val="00765E6A"/>
    <w:rsid w:val="007664E0"/>
    <w:rsid w:val="00767EA0"/>
    <w:rsid w:val="0077068F"/>
    <w:rsid w:val="007711EA"/>
    <w:rsid w:val="00771870"/>
    <w:rsid w:val="0077408D"/>
    <w:rsid w:val="007741CF"/>
    <w:rsid w:val="00774270"/>
    <w:rsid w:val="00775679"/>
    <w:rsid w:val="00775803"/>
    <w:rsid w:val="007761F1"/>
    <w:rsid w:val="00777B32"/>
    <w:rsid w:val="0078051E"/>
    <w:rsid w:val="00781FDD"/>
    <w:rsid w:val="00782A9F"/>
    <w:rsid w:val="0078508A"/>
    <w:rsid w:val="00786443"/>
    <w:rsid w:val="00786D5C"/>
    <w:rsid w:val="00786E96"/>
    <w:rsid w:val="00787F93"/>
    <w:rsid w:val="00790684"/>
    <w:rsid w:val="007907CA"/>
    <w:rsid w:val="00791170"/>
    <w:rsid w:val="00791E6D"/>
    <w:rsid w:val="007928DC"/>
    <w:rsid w:val="00792CB3"/>
    <w:rsid w:val="00792E53"/>
    <w:rsid w:val="007933DF"/>
    <w:rsid w:val="0079384D"/>
    <w:rsid w:val="007939CC"/>
    <w:rsid w:val="00796FB8"/>
    <w:rsid w:val="007A11C2"/>
    <w:rsid w:val="007A2367"/>
    <w:rsid w:val="007A41BF"/>
    <w:rsid w:val="007A490A"/>
    <w:rsid w:val="007A581D"/>
    <w:rsid w:val="007A7B95"/>
    <w:rsid w:val="007B0297"/>
    <w:rsid w:val="007B0F53"/>
    <w:rsid w:val="007B1DD8"/>
    <w:rsid w:val="007B21AE"/>
    <w:rsid w:val="007B2570"/>
    <w:rsid w:val="007B2C31"/>
    <w:rsid w:val="007B3113"/>
    <w:rsid w:val="007B3304"/>
    <w:rsid w:val="007B332B"/>
    <w:rsid w:val="007B394D"/>
    <w:rsid w:val="007B53FA"/>
    <w:rsid w:val="007B6423"/>
    <w:rsid w:val="007B7490"/>
    <w:rsid w:val="007B774A"/>
    <w:rsid w:val="007C0525"/>
    <w:rsid w:val="007C0B56"/>
    <w:rsid w:val="007C13F7"/>
    <w:rsid w:val="007C218D"/>
    <w:rsid w:val="007C2D28"/>
    <w:rsid w:val="007C3E22"/>
    <w:rsid w:val="007C67C6"/>
    <w:rsid w:val="007C707A"/>
    <w:rsid w:val="007C7E59"/>
    <w:rsid w:val="007D0A39"/>
    <w:rsid w:val="007D0B91"/>
    <w:rsid w:val="007D1452"/>
    <w:rsid w:val="007D1E29"/>
    <w:rsid w:val="007D460C"/>
    <w:rsid w:val="007D484A"/>
    <w:rsid w:val="007D4AD3"/>
    <w:rsid w:val="007D4C8D"/>
    <w:rsid w:val="007D5D19"/>
    <w:rsid w:val="007D5FDC"/>
    <w:rsid w:val="007D6D68"/>
    <w:rsid w:val="007E01DA"/>
    <w:rsid w:val="007E0ADB"/>
    <w:rsid w:val="007E1603"/>
    <w:rsid w:val="007E2E85"/>
    <w:rsid w:val="007E32DA"/>
    <w:rsid w:val="007E3896"/>
    <w:rsid w:val="007E3FFB"/>
    <w:rsid w:val="007E4998"/>
    <w:rsid w:val="007E4A9C"/>
    <w:rsid w:val="007E4B2B"/>
    <w:rsid w:val="007E6914"/>
    <w:rsid w:val="007E7F78"/>
    <w:rsid w:val="007F0C8B"/>
    <w:rsid w:val="007F1517"/>
    <w:rsid w:val="007F1D44"/>
    <w:rsid w:val="007F23A5"/>
    <w:rsid w:val="007F2C13"/>
    <w:rsid w:val="007F2CEC"/>
    <w:rsid w:val="007F4949"/>
    <w:rsid w:val="007F55DE"/>
    <w:rsid w:val="007F5605"/>
    <w:rsid w:val="007F6147"/>
    <w:rsid w:val="007F78FF"/>
    <w:rsid w:val="007F7D26"/>
    <w:rsid w:val="00800F6C"/>
    <w:rsid w:val="008025BE"/>
    <w:rsid w:val="00803674"/>
    <w:rsid w:val="0080381C"/>
    <w:rsid w:val="00804C86"/>
    <w:rsid w:val="008051FC"/>
    <w:rsid w:val="008055A9"/>
    <w:rsid w:val="008070EB"/>
    <w:rsid w:val="00807376"/>
    <w:rsid w:val="00810B0E"/>
    <w:rsid w:val="00810B14"/>
    <w:rsid w:val="00810E8E"/>
    <w:rsid w:val="0081142D"/>
    <w:rsid w:val="00812462"/>
    <w:rsid w:val="008126E2"/>
    <w:rsid w:val="008133A5"/>
    <w:rsid w:val="0081481D"/>
    <w:rsid w:val="00814BE8"/>
    <w:rsid w:val="00814F6E"/>
    <w:rsid w:val="0081565F"/>
    <w:rsid w:val="00815B84"/>
    <w:rsid w:val="00821A3D"/>
    <w:rsid w:val="00821B06"/>
    <w:rsid w:val="00822037"/>
    <w:rsid w:val="00822634"/>
    <w:rsid w:val="00823FC6"/>
    <w:rsid w:val="00823FFC"/>
    <w:rsid w:val="00824811"/>
    <w:rsid w:val="00825C74"/>
    <w:rsid w:val="00826AB9"/>
    <w:rsid w:val="00826E0E"/>
    <w:rsid w:val="0082731F"/>
    <w:rsid w:val="00827D11"/>
    <w:rsid w:val="00827E0F"/>
    <w:rsid w:val="00827F6E"/>
    <w:rsid w:val="00831758"/>
    <w:rsid w:val="00831977"/>
    <w:rsid w:val="0083279F"/>
    <w:rsid w:val="00833601"/>
    <w:rsid w:val="00833B7F"/>
    <w:rsid w:val="00834906"/>
    <w:rsid w:val="00835A99"/>
    <w:rsid w:val="00836075"/>
    <w:rsid w:val="00836417"/>
    <w:rsid w:val="008377F7"/>
    <w:rsid w:val="008411F9"/>
    <w:rsid w:val="008413AB"/>
    <w:rsid w:val="00842D10"/>
    <w:rsid w:val="0084322B"/>
    <w:rsid w:val="00843B93"/>
    <w:rsid w:val="00843C08"/>
    <w:rsid w:val="00843F81"/>
    <w:rsid w:val="00844087"/>
    <w:rsid w:val="0084519E"/>
    <w:rsid w:val="00846370"/>
    <w:rsid w:val="00847C2B"/>
    <w:rsid w:val="00851256"/>
    <w:rsid w:val="00851A7C"/>
    <w:rsid w:val="00852438"/>
    <w:rsid w:val="0085270D"/>
    <w:rsid w:val="008532BF"/>
    <w:rsid w:val="008532EE"/>
    <w:rsid w:val="00853BF4"/>
    <w:rsid w:val="00854294"/>
    <w:rsid w:val="008555FB"/>
    <w:rsid w:val="0085788B"/>
    <w:rsid w:val="00857941"/>
    <w:rsid w:val="00857A9E"/>
    <w:rsid w:val="00857DE2"/>
    <w:rsid w:val="00863E7D"/>
    <w:rsid w:val="0086407F"/>
    <w:rsid w:val="00864548"/>
    <w:rsid w:val="00864D9C"/>
    <w:rsid w:val="00864E79"/>
    <w:rsid w:val="00866111"/>
    <w:rsid w:val="0086661F"/>
    <w:rsid w:val="00866A0D"/>
    <w:rsid w:val="00866DB5"/>
    <w:rsid w:val="0086784E"/>
    <w:rsid w:val="00867AF1"/>
    <w:rsid w:val="00870EE1"/>
    <w:rsid w:val="00870EF2"/>
    <w:rsid w:val="008720B3"/>
    <w:rsid w:val="00872118"/>
    <w:rsid w:val="008727CE"/>
    <w:rsid w:val="00872827"/>
    <w:rsid w:val="00872A32"/>
    <w:rsid w:val="00874ECA"/>
    <w:rsid w:val="00875D0E"/>
    <w:rsid w:val="00876EAE"/>
    <w:rsid w:val="00880F95"/>
    <w:rsid w:val="00881F68"/>
    <w:rsid w:val="00882B44"/>
    <w:rsid w:val="00882FE5"/>
    <w:rsid w:val="0088417C"/>
    <w:rsid w:val="00886138"/>
    <w:rsid w:val="00886E66"/>
    <w:rsid w:val="008871B0"/>
    <w:rsid w:val="008912F5"/>
    <w:rsid w:val="008915A7"/>
    <w:rsid w:val="008918EB"/>
    <w:rsid w:val="0089217C"/>
    <w:rsid w:val="008928A1"/>
    <w:rsid w:val="00893671"/>
    <w:rsid w:val="00895838"/>
    <w:rsid w:val="00895A72"/>
    <w:rsid w:val="00895CDF"/>
    <w:rsid w:val="008968C7"/>
    <w:rsid w:val="00896AFD"/>
    <w:rsid w:val="00897A55"/>
    <w:rsid w:val="00897DEA"/>
    <w:rsid w:val="008A0154"/>
    <w:rsid w:val="008A0FC9"/>
    <w:rsid w:val="008A1956"/>
    <w:rsid w:val="008A40D3"/>
    <w:rsid w:val="008A469C"/>
    <w:rsid w:val="008A484A"/>
    <w:rsid w:val="008A5877"/>
    <w:rsid w:val="008A6539"/>
    <w:rsid w:val="008A701C"/>
    <w:rsid w:val="008B05DD"/>
    <w:rsid w:val="008B17E8"/>
    <w:rsid w:val="008B266C"/>
    <w:rsid w:val="008B2D03"/>
    <w:rsid w:val="008B2E7C"/>
    <w:rsid w:val="008B3703"/>
    <w:rsid w:val="008B42AB"/>
    <w:rsid w:val="008B45A7"/>
    <w:rsid w:val="008B4976"/>
    <w:rsid w:val="008B4A70"/>
    <w:rsid w:val="008B502F"/>
    <w:rsid w:val="008B5142"/>
    <w:rsid w:val="008B67CB"/>
    <w:rsid w:val="008B6A63"/>
    <w:rsid w:val="008B6AFE"/>
    <w:rsid w:val="008B6B83"/>
    <w:rsid w:val="008B7034"/>
    <w:rsid w:val="008B7227"/>
    <w:rsid w:val="008C03DD"/>
    <w:rsid w:val="008C05D4"/>
    <w:rsid w:val="008C191C"/>
    <w:rsid w:val="008C1DA4"/>
    <w:rsid w:val="008C2CD5"/>
    <w:rsid w:val="008C2E29"/>
    <w:rsid w:val="008C32B7"/>
    <w:rsid w:val="008C360C"/>
    <w:rsid w:val="008C3618"/>
    <w:rsid w:val="008C3F20"/>
    <w:rsid w:val="008C43AD"/>
    <w:rsid w:val="008C4B6C"/>
    <w:rsid w:val="008C59FB"/>
    <w:rsid w:val="008C619E"/>
    <w:rsid w:val="008C6687"/>
    <w:rsid w:val="008C68F0"/>
    <w:rsid w:val="008C6F92"/>
    <w:rsid w:val="008C731F"/>
    <w:rsid w:val="008C74D9"/>
    <w:rsid w:val="008C79C3"/>
    <w:rsid w:val="008C7A47"/>
    <w:rsid w:val="008D0170"/>
    <w:rsid w:val="008D0EB3"/>
    <w:rsid w:val="008D1052"/>
    <w:rsid w:val="008D124C"/>
    <w:rsid w:val="008D1983"/>
    <w:rsid w:val="008D1BB3"/>
    <w:rsid w:val="008D1C32"/>
    <w:rsid w:val="008D22AE"/>
    <w:rsid w:val="008D234A"/>
    <w:rsid w:val="008D238C"/>
    <w:rsid w:val="008D566C"/>
    <w:rsid w:val="008D58D9"/>
    <w:rsid w:val="008D64F5"/>
    <w:rsid w:val="008D66EA"/>
    <w:rsid w:val="008D6E59"/>
    <w:rsid w:val="008D6F92"/>
    <w:rsid w:val="008D7155"/>
    <w:rsid w:val="008D7DE4"/>
    <w:rsid w:val="008E09B3"/>
    <w:rsid w:val="008E141A"/>
    <w:rsid w:val="008E1A44"/>
    <w:rsid w:val="008E28E6"/>
    <w:rsid w:val="008E2B60"/>
    <w:rsid w:val="008E3232"/>
    <w:rsid w:val="008E3674"/>
    <w:rsid w:val="008E3B6C"/>
    <w:rsid w:val="008E41A8"/>
    <w:rsid w:val="008E688C"/>
    <w:rsid w:val="008E68BB"/>
    <w:rsid w:val="008E6C9B"/>
    <w:rsid w:val="008E77D4"/>
    <w:rsid w:val="008F0981"/>
    <w:rsid w:val="008F0AFD"/>
    <w:rsid w:val="008F1287"/>
    <w:rsid w:val="008F16EB"/>
    <w:rsid w:val="008F17B2"/>
    <w:rsid w:val="008F28EE"/>
    <w:rsid w:val="008F357B"/>
    <w:rsid w:val="008F42E9"/>
    <w:rsid w:val="008F44CA"/>
    <w:rsid w:val="008F49B9"/>
    <w:rsid w:val="008F49D3"/>
    <w:rsid w:val="008F5081"/>
    <w:rsid w:val="008F6519"/>
    <w:rsid w:val="008F68DC"/>
    <w:rsid w:val="008F7012"/>
    <w:rsid w:val="008F7B17"/>
    <w:rsid w:val="00900042"/>
    <w:rsid w:val="0090034B"/>
    <w:rsid w:val="00902623"/>
    <w:rsid w:val="00902890"/>
    <w:rsid w:val="00904778"/>
    <w:rsid w:val="00904BE4"/>
    <w:rsid w:val="0090504A"/>
    <w:rsid w:val="00905D7E"/>
    <w:rsid w:val="009063B7"/>
    <w:rsid w:val="00907037"/>
    <w:rsid w:val="0091160A"/>
    <w:rsid w:val="00912838"/>
    <w:rsid w:val="00913258"/>
    <w:rsid w:val="00913883"/>
    <w:rsid w:val="0091564D"/>
    <w:rsid w:val="009156DA"/>
    <w:rsid w:val="00915CF3"/>
    <w:rsid w:val="00916921"/>
    <w:rsid w:val="00916BC5"/>
    <w:rsid w:val="0091726A"/>
    <w:rsid w:val="00920184"/>
    <w:rsid w:val="00920EA4"/>
    <w:rsid w:val="00921792"/>
    <w:rsid w:val="00921BEA"/>
    <w:rsid w:val="00922DB0"/>
    <w:rsid w:val="00923998"/>
    <w:rsid w:val="00923DB4"/>
    <w:rsid w:val="0092430E"/>
    <w:rsid w:val="0092625F"/>
    <w:rsid w:val="009268A9"/>
    <w:rsid w:val="00927B37"/>
    <w:rsid w:val="009301B2"/>
    <w:rsid w:val="0093065F"/>
    <w:rsid w:val="00931215"/>
    <w:rsid w:val="009313DD"/>
    <w:rsid w:val="00931BDE"/>
    <w:rsid w:val="009321B1"/>
    <w:rsid w:val="00932ED7"/>
    <w:rsid w:val="0093357E"/>
    <w:rsid w:val="0093422D"/>
    <w:rsid w:val="00934DD7"/>
    <w:rsid w:val="009369A9"/>
    <w:rsid w:val="00936CF7"/>
    <w:rsid w:val="00937201"/>
    <w:rsid w:val="0093734A"/>
    <w:rsid w:val="00937783"/>
    <w:rsid w:val="009377C3"/>
    <w:rsid w:val="00937D89"/>
    <w:rsid w:val="00940515"/>
    <w:rsid w:val="0094059D"/>
    <w:rsid w:val="009409B4"/>
    <w:rsid w:val="00940FE1"/>
    <w:rsid w:val="00942306"/>
    <w:rsid w:val="009424B8"/>
    <w:rsid w:val="009433A4"/>
    <w:rsid w:val="0094435B"/>
    <w:rsid w:val="00944668"/>
    <w:rsid w:val="00944DC6"/>
    <w:rsid w:val="0094537D"/>
    <w:rsid w:val="0094573F"/>
    <w:rsid w:val="009458B0"/>
    <w:rsid w:val="00945B52"/>
    <w:rsid w:val="00945DC0"/>
    <w:rsid w:val="00945F05"/>
    <w:rsid w:val="00946348"/>
    <w:rsid w:val="009471AD"/>
    <w:rsid w:val="00947233"/>
    <w:rsid w:val="009478A2"/>
    <w:rsid w:val="0095053B"/>
    <w:rsid w:val="0095074A"/>
    <w:rsid w:val="009512AB"/>
    <w:rsid w:val="00951474"/>
    <w:rsid w:val="00951BD7"/>
    <w:rsid w:val="00952DE9"/>
    <w:rsid w:val="00955643"/>
    <w:rsid w:val="00955FBB"/>
    <w:rsid w:val="0095694B"/>
    <w:rsid w:val="00956BD5"/>
    <w:rsid w:val="009574BB"/>
    <w:rsid w:val="009577B5"/>
    <w:rsid w:val="009608E6"/>
    <w:rsid w:val="009609E4"/>
    <w:rsid w:val="00961779"/>
    <w:rsid w:val="00962D00"/>
    <w:rsid w:val="00962EB1"/>
    <w:rsid w:val="00965607"/>
    <w:rsid w:val="0096612A"/>
    <w:rsid w:val="00966522"/>
    <w:rsid w:val="0096797F"/>
    <w:rsid w:val="00967D3F"/>
    <w:rsid w:val="00967E78"/>
    <w:rsid w:val="00970D7E"/>
    <w:rsid w:val="00970F18"/>
    <w:rsid w:val="00971CF1"/>
    <w:rsid w:val="009721E9"/>
    <w:rsid w:val="00972A58"/>
    <w:rsid w:val="00973772"/>
    <w:rsid w:val="0097451E"/>
    <w:rsid w:val="00975598"/>
    <w:rsid w:val="00975E1E"/>
    <w:rsid w:val="00975E70"/>
    <w:rsid w:val="00977B8F"/>
    <w:rsid w:val="00977CD6"/>
    <w:rsid w:val="00980162"/>
    <w:rsid w:val="00981D18"/>
    <w:rsid w:val="00982481"/>
    <w:rsid w:val="00982D26"/>
    <w:rsid w:val="0098330E"/>
    <w:rsid w:val="00983CB2"/>
    <w:rsid w:val="009849E9"/>
    <w:rsid w:val="00985F96"/>
    <w:rsid w:val="00987812"/>
    <w:rsid w:val="00990225"/>
    <w:rsid w:val="00990DF5"/>
    <w:rsid w:val="00991622"/>
    <w:rsid w:val="0099244B"/>
    <w:rsid w:val="00993F3A"/>
    <w:rsid w:val="009947B6"/>
    <w:rsid w:val="00995150"/>
    <w:rsid w:val="009957F3"/>
    <w:rsid w:val="00995D67"/>
    <w:rsid w:val="009970BF"/>
    <w:rsid w:val="009A013B"/>
    <w:rsid w:val="009A02F4"/>
    <w:rsid w:val="009A1F12"/>
    <w:rsid w:val="009A2494"/>
    <w:rsid w:val="009A26CA"/>
    <w:rsid w:val="009A36F2"/>
    <w:rsid w:val="009A47CC"/>
    <w:rsid w:val="009A5749"/>
    <w:rsid w:val="009A57D0"/>
    <w:rsid w:val="009A6559"/>
    <w:rsid w:val="009A68FC"/>
    <w:rsid w:val="009A6D4F"/>
    <w:rsid w:val="009A7514"/>
    <w:rsid w:val="009A7E7A"/>
    <w:rsid w:val="009B1584"/>
    <w:rsid w:val="009B2469"/>
    <w:rsid w:val="009B314F"/>
    <w:rsid w:val="009B439C"/>
    <w:rsid w:val="009B4A6C"/>
    <w:rsid w:val="009B5777"/>
    <w:rsid w:val="009B5779"/>
    <w:rsid w:val="009B6753"/>
    <w:rsid w:val="009B6A26"/>
    <w:rsid w:val="009C079D"/>
    <w:rsid w:val="009C0D70"/>
    <w:rsid w:val="009C13D1"/>
    <w:rsid w:val="009C2913"/>
    <w:rsid w:val="009C3008"/>
    <w:rsid w:val="009C365F"/>
    <w:rsid w:val="009C5AFE"/>
    <w:rsid w:val="009C6606"/>
    <w:rsid w:val="009C6CE5"/>
    <w:rsid w:val="009C6D50"/>
    <w:rsid w:val="009C72B6"/>
    <w:rsid w:val="009C7547"/>
    <w:rsid w:val="009D1678"/>
    <w:rsid w:val="009D1693"/>
    <w:rsid w:val="009D1C49"/>
    <w:rsid w:val="009D2721"/>
    <w:rsid w:val="009D2F60"/>
    <w:rsid w:val="009D3299"/>
    <w:rsid w:val="009D338C"/>
    <w:rsid w:val="009D3D0D"/>
    <w:rsid w:val="009D4944"/>
    <w:rsid w:val="009D5BAC"/>
    <w:rsid w:val="009D64BD"/>
    <w:rsid w:val="009D7B2F"/>
    <w:rsid w:val="009D7B6C"/>
    <w:rsid w:val="009D7F83"/>
    <w:rsid w:val="009E0D0A"/>
    <w:rsid w:val="009E0D1A"/>
    <w:rsid w:val="009E153F"/>
    <w:rsid w:val="009E2D6C"/>
    <w:rsid w:val="009E388B"/>
    <w:rsid w:val="009E393E"/>
    <w:rsid w:val="009E444E"/>
    <w:rsid w:val="009E45AF"/>
    <w:rsid w:val="009E4968"/>
    <w:rsid w:val="009E5101"/>
    <w:rsid w:val="009E52F1"/>
    <w:rsid w:val="009E663C"/>
    <w:rsid w:val="009E6BB1"/>
    <w:rsid w:val="009F0092"/>
    <w:rsid w:val="009F03AF"/>
    <w:rsid w:val="009F0790"/>
    <w:rsid w:val="009F0C55"/>
    <w:rsid w:val="009F0CD9"/>
    <w:rsid w:val="009F1A79"/>
    <w:rsid w:val="009F1F57"/>
    <w:rsid w:val="009F2E26"/>
    <w:rsid w:val="009F4FCF"/>
    <w:rsid w:val="009F5DE2"/>
    <w:rsid w:val="009F65F4"/>
    <w:rsid w:val="009F676B"/>
    <w:rsid w:val="009F6A30"/>
    <w:rsid w:val="009F74FE"/>
    <w:rsid w:val="00A004DF"/>
    <w:rsid w:val="00A00D29"/>
    <w:rsid w:val="00A00FD5"/>
    <w:rsid w:val="00A01996"/>
    <w:rsid w:val="00A019A8"/>
    <w:rsid w:val="00A01B03"/>
    <w:rsid w:val="00A02C66"/>
    <w:rsid w:val="00A03861"/>
    <w:rsid w:val="00A0464C"/>
    <w:rsid w:val="00A054E0"/>
    <w:rsid w:val="00A05606"/>
    <w:rsid w:val="00A05A6A"/>
    <w:rsid w:val="00A0663F"/>
    <w:rsid w:val="00A066CE"/>
    <w:rsid w:val="00A0740B"/>
    <w:rsid w:val="00A07427"/>
    <w:rsid w:val="00A075A9"/>
    <w:rsid w:val="00A077E2"/>
    <w:rsid w:val="00A1080F"/>
    <w:rsid w:val="00A11042"/>
    <w:rsid w:val="00A133D8"/>
    <w:rsid w:val="00A14350"/>
    <w:rsid w:val="00A14E97"/>
    <w:rsid w:val="00A17A9D"/>
    <w:rsid w:val="00A20069"/>
    <w:rsid w:val="00A20280"/>
    <w:rsid w:val="00A2163F"/>
    <w:rsid w:val="00A2244D"/>
    <w:rsid w:val="00A2253D"/>
    <w:rsid w:val="00A22AEC"/>
    <w:rsid w:val="00A2418A"/>
    <w:rsid w:val="00A2444E"/>
    <w:rsid w:val="00A247B8"/>
    <w:rsid w:val="00A24D39"/>
    <w:rsid w:val="00A24D8F"/>
    <w:rsid w:val="00A25B8B"/>
    <w:rsid w:val="00A269C3"/>
    <w:rsid w:val="00A26ECA"/>
    <w:rsid w:val="00A27374"/>
    <w:rsid w:val="00A309F1"/>
    <w:rsid w:val="00A30F68"/>
    <w:rsid w:val="00A317A5"/>
    <w:rsid w:val="00A324C1"/>
    <w:rsid w:val="00A337DB"/>
    <w:rsid w:val="00A3467F"/>
    <w:rsid w:val="00A34D34"/>
    <w:rsid w:val="00A3551A"/>
    <w:rsid w:val="00A3561C"/>
    <w:rsid w:val="00A373F4"/>
    <w:rsid w:val="00A376E8"/>
    <w:rsid w:val="00A37E69"/>
    <w:rsid w:val="00A37F8E"/>
    <w:rsid w:val="00A40979"/>
    <w:rsid w:val="00A41737"/>
    <w:rsid w:val="00A42B8F"/>
    <w:rsid w:val="00A43254"/>
    <w:rsid w:val="00A43896"/>
    <w:rsid w:val="00A43A26"/>
    <w:rsid w:val="00A447A0"/>
    <w:rsid w:val="00A457B2"/>
    <w:rsid w:val="00A459F5"/>
    <w:rsid w:val="00A45FC0"/>
    <w:rsid w:val="00A46B32"/>
    <w:rsid w:val="00A46EB8"/>
    <w:rsid w:val="00A478D2"/>
    <w:rsid w:val="00A47ECC"/>
    <w:rsid w:val="00A5008C"/>
    <w:rsid w:val="00A50171"/>
    <w:rsid w:val="00A5102E"/>
    <w:rsid w:val="00A51083"/>
    <w:rsid w:val="00A5132E"/>
    <w:rsid w:val="00A51533"/>
    <w:rsid w:val="00A51A4D"/>
    <w:rsid w:val="00A51E68"/>
    <w:rsid w:val="00A52F3B"/>
    <w:rsid w:val="00A531D4"/>
    <w:rsid w:val="00A55ACD"/>
    <w:rsid w:val="00A55CFA"/>
    <w:rsid w:val="00A5613B"/>
    <w:rsid w:val="00A575B8"/>
    <w:rsid w:val="00A647B1"/>
    <w:rsid w:val="00A64DEF"/>
    <w:rsid w:val="00A64F9E"/>
    <w:rsid w:val="00A657E1"/>
    <w:rsid w:val="00A65E4E"/>
    <w:rsid w:val="00A665DF"/>
    <w:rsid w:val="00A67F1B"/>
    <w:rsid w:val="00A67FCC"/>
    <w:rsid w:val="00A709F3"/>
    <w:rsid w:val="00A716DC"/>
    <w:rsid w:val="00A720AF"/>
    <w:rsid w:val="00A7217B"/>
    <w:rsid w:val="00A7293E"/>
    <w:rsid w:val="00A72EE4"/>
    <w:rsid w:val="00A73067"/>
    <w:rsid w:val="00A737C4"/>
    <w:rsid w:val="00A739A6"/>
    <w:rsid w:val="00A73C3B"/>
    <w:rsid w:val="00A75EF9"/>
    <w:rsid w:val="00A7627C"/>
    <w:rsid w:val="00A76BC9"/>
    <w:rsid w:val="00A77566"/>
    <w:rsid w:val="00A77956"/>
    <w:rsid w:val="00A80563"/>
    <w:rsid w:val="00A8311C"/>
    <w:rsid w:val="00A84BC8"/>
    <w:rsid w:val="00A84C5F"/>
    <w:rsid w:val="00A85D91"/>
    <w:rsid w:val="00A86973"/>
    <w:rsid w:val="00A8721F"/>
    <w:rsid w:val="00A8740B"/>
    <w:rsid w:val="00A87519"/>
    <w:rsid w:val="00A905A2"/>
    <w:rsid w:val="00A9246D"/>
    <w:rsid w:val="00A93644"/>
    <w:rsid w:val="00A93BD0"/>
    <w:rsid w:val="00A944A1"/>
    <w:rsid w:val="00A95D69"/>
    <w:rsid w:val="00A97122"/>
    <w:rsid w:val="00A97344"/>
    <w:rsid w:val="00A975A4"/>
    <w:rsid w:val="00A977B3"/>
    <w:rsid w:val="00A97DC8"/>
    <w:rsid w:val="00AA1418"/>
    <w:rsid w:val="00AA1C43"/>
    <w:rsid w:val="00AA2001"/>
    <w:rsid w:val="00AA2B5C"/>
    <w:rsid w:val="00AA4E59"/>
    <w:rsid w:val="00AA5328"/>
    <w:rsid w:val="00AA5393"/>
    <w:rsid w:val="00AA63D4"/>
    <w:rsid w:val="00AA6767"/>
    <w:rsid w:val="00AA790B"/>
    <w:rsid w:val="00AB03FD"/>
    <w:rsid w:val="00AB1412"/>
    <w:rsid w:val="00AB38CB"/>
    <w:rsid w:val="00AB3BEC"/>
    <w:rsid w:val="00AB44E4"/>
    <w:rsid w:val="00AB4AEB"/>
    <w:rsid w:val="00AB4E03"/>
    <w:rsid w:val="00AB5352"/>
    <w:rsid w:val="00AB56AE"/>
    <w:rsid w:val="00AB62D5"/>
    <w:rsid w:val="00AB65B5"/>
    <w:rsid w:val="00AB6DCD"/>
    <w:rsid w:val="00AB6EE0"/>
    <w:rsid w:val="00AB7579"/>
    <w:rsid w:val="00AC2DFD"/>
    <w:rsid w:val="00AC352D"/>
    <w:rsid w:val="00AC40B7"/>
    <w:rsid w:val="00AC5122"/>
    <w:rsid w:val="00AC531F"/>
    <w:rsid w:val="00AC6121"/>
    <w:rsid w:val="00AC626D"/>
    <w:rsid w:val="00AC64BF"/>
    <w:rsid w:val="00AC6CB1"/>
    <w:rsid w:val="00AC79DA"/>
    <w:rsid w:val="00AD0091"/>
    <w:rsid w:val="00AD0843"/>
    <w:rsid w:val="00AD23D8"/>
    <w:rsid w:val="00AD23EF"/>
    <w:rsid w:val="00AD2F0F"/>
    <w:rsid w:val="00AD307B"/>
    <w:rsid w:val="00AD31F9"/>
    <w:rsid w:val="00AD41B3"/>
    <w:rsid w:val="00AD456B"/>
    <w:rsid w:val="00AD4B31"/>
    <w:rsid w:val="00AD4C48"/>
    <w:rsid w:val="00AD57AF"/>
    <w:rsid w:val="00AD6267"/>
    <w:rsid w:val="00AD6292"/>
    <w:rsid w:val="00AD7317"/>
    <w:rsid w:val="00AD754C"/>
    <w:rsid w:val="00AE01A8"/>
    <w:rsid w:val="00AE069F"/>
    <w:rsid w:val="00AE0789"/>
    <w:rsid w:val="00AE0CBD"/>
    <w:rsid w:val="00AE123A"/>
    <w:rsid w:val="00AE1A1E"/>
    <w:rsid w:val="00AE2591"/>
    <w:rsid w:val="00AE28A7"/>
    <w:rsid w:val="00AE33A6"/>
    <w:rsid w:val="00AE36D5"/>
    <w:rsid w:val="00AE3715"/>
    <w:rsid w:val="00AE3729"/>
    <w:rsid w:val="00AE55B2"/>
    <w:rsid w:val="00AE5C6A"/>
    <w:rsid w:val="00AE65F7"/>
    <w:rsid w:val="00AE7280"/>
    <w:rsid w:val="00AF033A"/>
    <w:rsid w:val="00AF1699"/>
    <w:rsid w:val="00AF3896"/>
    <w:rsid w:val="00AF39FE"/>
    <w:rsid w:val="00AF3CEE"/>
    <w:rsid w:val="00AF5706"/>
    <w:rsid w:val="00AF6479"/>
    <w:rsid w:val="00AF6C33"/>
    <w:rsid w:val="00B0098A"/>
    <w:rsid w:val="00B00A5F"/>
    <w:rsid w:val="00B0225F"/>
    <w:rsid w:val="00B029B8"/>
    <w:rsid w:val="00B02F60"/>
    <w:rsid w:val="00B032B8"/>
    <w:rsid w:val="00B03ABB"/>
    <w:rsid w:val="00B04B46"/>
    <w:rsid w:val="00B05050"/>
    <w:rsid w:val="00B0534D"/>
    <w:rsid w:val="00B06368"/>
    <w:rsid w:val="00B06FC6"/>
    <w:rsid w:val="00B07163"/>
    <w:rsid w:val="00B07429"/>
    <w:rsid w:val="00B11847"/>
    <w:rsid w:val="00B12337"/>
    <w:rsid w:val="00B12DF9"/>
    <w:rsid w:val="00B12FE6"/>
    <w:rsid w:val="00B1303F"/>
    <w:rsid w:val="00B1364A"/>
    <w:rsid w:val="00B13D3C"/>
    <w:rsid w:val="00B1525C"/>
    <w:rsid w:val="00B16715"/>
    <w:rsid w:val="00B17910"/>
    <w:rsid w:val="00B2041B"/>
    <w:rsid w:val="00B20F18"/>
    <w:rsid w:val="00B21516"/>
    <w:rsid w:val="00B22CE0"/>
    <w:rsid w:val="00B23738"/>
    <w:rsid w:val="00B23BEF"/>
    <w:rsid w:val="00B247BB"/>
    <w:rsid w:val="00B25C11"/>
    <w:rsid w:val="00B25EDF"/>
    <w:rsid w:val="00B25EE6"/>
    <w:rsid w:val="00B27BC0"/>
    <w:rsid w:val="00B3115A"/>
    <w:rsid w:val="00B31A5C"/>
    <w:rsid w:val="00B33C19"/>
    <w:rsid w:val="00B33F84"/>
    <w:rsid w:val="00B3433E"/>
    <w:rsid w:val="00B34861"/>
    <w:rsid w:val="00B34B77"/>
    <w:rsid w:val="00B363BD"/>
    <w:rsid w:val="00B36844"/>
    <w:rsid w:val="00B369F7"/>
    <w:rsid w:val="00B36A99"/>
    <w:rsid w:val="00B37537"/>
    <w:rsid w:val="00B41B81"/>
    <w:rsid w:val="00B42980"/>
    <w:rsid w:val="00B434B2"/>
    <w:rsid w:val="00B434C7"/>
    <w:rsid w:val="00B43580"/>
    <w:rsid w:val="00B43D45"/>
    <w:rsid w:val="00B44771"/>
    <w:rsid w:val="00B455DB"/>
    <w:rsid w:val="00B4650E"/>
    <w:rsid w:val="00B468F2"/>
    <w:rsid w:val="00B46B45"/>
    <w:rsid w:val="00B46D3D"/>
    <w:rsid w:val="00B46F6B"/>
    <w:rsid w:val="00B47286"/>
    <w:rsid w:val="00B47894"/>
    <w:rsid w:val="00B47DDE"/>
    <w:rsid w:val="00B50234"/>
    <w:rsid w:val="00B51BF4"/>
    <w:rsid w:val="00B51F4B"/>
    <w:rsid w:val="00B52C68"/>
    <w:rsid w:val="00B542FE"/>
    <w:rsid w:val="00B551CE"/>
    <w:rsid w:val="00B55A1B"/>
    <w:rsid w:val="00B561DB"/>
    <w:rsid w:val="00B57494"/>
    <w:rsid w:val="00B61DCE"/>
    <w:rsid w:val="00B62188"/>
    <w:rsid w:val="00B62467"/>
    <w:rsid w:val="00B62F79"/>
    <w:rsid w:val="00B62F82"/>
    <w:rsid w:val="00B648FA"/>
    <w:rsid w:val="00B66254"/>
    <w:rsid w:val="00B662FF"/>
    <w:rsid w:val="00B708C2"/>
    <w:rsid w:val="00B72C80"/>
    <w:rsid w:val="00B730B4"/>
    <w:rsid w:val="00B74340"/>
    <w:rsid w:val="00B744E0"/>
    <w:rsid w:val="00B7481A"/>
    <w:rsid w:val="00B74F2F"/>
    <w:rsid w:val="00B756FB"/>
    <w:rsid w:val="00B7602A"/>
    <w:rsid w:val="00B762CA"/>
    <w:rsid w:val="00B769BC"/>
    <w:rsid w:val="00B77349"/>
    <w:rsid w:val="00B7761E"/>
    <w:rsid w:val="00B80A37"/>
    <w:rsid w:val="00B80A3D"/>
    <w:rsid w:val="00B81902"/>
    <w:rsid w:val="00B823E0"/>
    <w:rsid w:val="00B82B78"/>
    <w:rsid w:val="00B84662"/>
    <w:rsid w:val="00B85402"/>
    <w:rsid w:val="00B864A3"/>
    <w:rsid w:val="00B86C2A"/>
    <w:rsid w:val="00B877F1"/>
    <w:rsid w:val="00B902A5"/>
    <w:rsid w:val="00B90420"/>
    <w:rsid w:val="00B913E4"/>
    <w:rsid w:val="00B91DB9"/>
    <w:rsid w:val="00B93487"/>
    <w:rsid w:val="00B93A82"/>
    <w:rsid w:val="00B93EFE"/>
    <w:rsid w:val="00B94956"/>
    <w:rsid w:val="00B94C7F"/>
    <w:rsid w:val="00B956B4"/>
    <w:rsid w:val="00B956B5"/>
    <w:rsid w:val="00B95C3A"/>
    <w:rsid w:val="00B95FCE"/>
    <w:rsid w:val="00B96232"/>
    <w:rsid w:val="00B966B6"/>
    <w:rsid w:val="00B96999"/>
    <w:rsid w:val="00BA0D44"/>
    <w:rsid w:val="00BA0E26"/>
    <w:rsid w:val="00BA31BF"/>
    <w:rsid w:val="00BA3EBF"/>
    <w:rsid w:val="00BA43FC"/>
    <w:rsid w:val="00BA478B"/>
    <w:rsid w:val="00BA5224"/>
    <w:rsid w:val="00BA70B3"/>
    <w:rsid w:val="00BA7B27"/>
    <w:rsid w:val="00BA7E3B"/>
    <w:rsid w:val="00BB05AE"/>
    <w:rsid w:val="00BB079C"/>
    <w:rsid w:val="00BB120A"/>
    <w:rsid w:val="00BB2B56"/>
    <w:rsid w:val="00BB39C1"/>
    <w:rsid w:val="00BB4901"/>
    <w:rsid w:val="00BB5D16"/>
    <w:rsid w:val="00BB6180"/>
    <w:rsid w:val="00BB69E6"/>
    <w:rsid w:val="00BB7D2A"/>
    <w:rsid w:val="00BC0760"/>
    <w:rsid w:val="00BC1B7A"/>
    <w:rsid w:val="00BC2BC7"/>
    <w:rsid w:val="00BC2C17"/>
    <w:rsid w:val="00BC3ACD"/>
    <w:rsid w:val="00BC3C33"/>
    <w:rsid w:val="00BC58B1"/>
    <w:rsid w:val="00BC66D7"/>
    <w:rsid w:val="00BC6E73"/>
    <w:rsid w:val="00BD0014"/>
    <w:rsid w:val="00BD01D8"/>
    <w:rsid w:val="00BD0CBE"/>
    <w:rsid w:val="00BD1333"/>
    <w:rsid w:val="00BD2512"/>
    <w:rsid w:val="00BD255F"/>
    <w:rsid w:val="00BD383D"/>
    <w:rsid w:val="00BD4236"/>
    <w:rsid w:val="00BD575B"/>
    <w:rsid w:val="00BD5CCA"/>
    <w:rsid w:val="00BD5CD4"/>
    <w:rsid w:val="00BD6652"/>
    <w:rsid w:val="00BD6EF9"/>
    <w:rsid w:val="00BD77DD"/>
    <w:rsid w:val="00BE0ACB"/>
    <w:rsid w:val="00BE0E74"/>
    <w:rsid w:val="00BE1A90"/>
    <w:rsid w:val="00BE3537"/>
    <w:rsid w:val="00BE360F"/>
    <w:rsid w:val="00BE50FD"/>
    <w:rsid w:val="00BE51CA"/>
    <w:rsid w:val="00BE5E5A"/>
    <w:rsid w:val="00BE6D47"/>
    <w:rsid w:val="00BE7032"/>
    <w:rsid w:val="00BE7330"/>
    <w:rsid w:val="00BF01C5"/>
    <w:rsid w:val="00BF066A"/>
    <w:rsid w:val="00BF361C"/>
    <w:rsid w:val="00BF4342"/>
    <w:rsid w:val="00BF5050"/>
    <w:rsid w:val="00BF5422"/>
    <w:rsid w:val="00BF54CF"/>
    <w:rsid w:val="00BF59B1"/>
    <w:rsid w:val="00BF6A78"/>
    <w:rsid w:val="00BF6E19"/>
    <w:rsid w:val="00BF79B4"/>
    <w:rsid w:val="00C01427"/>
    <w:rsid w:val="00C016A1"/>
    <w:rsid w:val="00C04C49"/>
    <w:rsid w:val="00C0508D"/>
    <w:rsid w:val="00C05529"/>
    <w:rsid w:val="00C058AF"/>
    <w:rsid w:val="00C11AAA"/>
    <w:rsid w:val="00C124C1"/>
    <w:rsid w:val="00C128AE"/>
    <w:rsid w:val="00C1300C"/>
    <w:rsid w:val="00C136D6"/>
    <w:rsid w:val="00C13D5B"/>
    <w:rsid w:val="00C16047"/>
    <w:rsid w:val="00C16AD7"/>
    <w:rsid w:val="00C17AE2"/>
    <w:rsid w:val="00C20F27"/>
    <w:rsid w:val="00C214D1"/>
    <w:rsid w:val="00C215CF"/>
    <w:rsid w:val="00C223F8"/>
    <w:rsid w:val="00C2244B"/>
    <w:rsid w:val="00C22B0D"/>
    <w:rsid w:val="00C22F55"/>
    <w:rsid w:val="00C240C1"/>
    <w:rsid w:val="00C250D0"/>
    <w:rsid w:val="00C252AC"/>
    <w:rsid w:val="00C255AB"/>
    <w:rsid w:val="00C264F0"/>
    <w:rsid w:val="00C27214"/>
    <w:rsid w:val="00C27597"/>
    <w:rsid w:val="00C30382"/>
    <w:rsid w:val="00C30D6F"/>
    <w:rsid w:val="00C31063"/>
    <w:rsid w:val="00C31B7E"/>
    <w:rsid w:val="00C32217"/>
    <w:rsid w:val="00C3242A"/>
    <w:rsid w:val="00C32AE2"/>
    <w:rsid w:val="00C33201"/>
    <w:rsid w:val="00C332C4"/>
    <w:rsid w:val="00C33C3C"/>
    <w:rsid w:val="00C34E17"/>
    <w:rsid w:val="00C35857"/>
    <w:rsid w:val="00C360B3"/>
    <w:rsid w:val="00C3679B"/>
    <w:rsid w:val="00C36E63"/>
    <w:rsid w:val="00C37027"/>
    <w:rsid w:val="00C3778D"/>
    <w:rsid w:val="00C405A3"/>
    <w:rsid w:val="00C40B70"/>
    <w:rsid w:val="00C42752"/>
    <w:rsid w:val="00C42973"/>
    <w:rsid w:val="00C44F9C"/>
    <w:rsid w:val="00C4730E"/>
    <w:rsid w:val="00C47ED3"/>
    <w:rsid w:val="00C5019C"/>
    <w:rsid w:val="00C5034F"/>
    <w:rsid w:val="00C52479"/>
    <w:rsid w:val="00C5291F"/>
    <w:rsid w:val="00C52C59"/>
    <w:rsid w:val="00C5349E"/>
    <w:rsid w:val="00C5354B"/>
    <w:rsid w:val="00C54467"/>
    <w:rsid w:val="00C54D3D"/>
    <w:rsid w:val="00C55116"/>
    <w:rsid w:val="00C55A30"/>
    <w:rsid w:val="00C56EF7"/>
    <w:rsid w:val="00C57C58"/>
    <w:rsid w:val="00C6028F"/>
    <w:rsid w:val="00C6046F"/>
    <w:rsid w:val="00C608F1"/>
    <w:rsid w:val="00C631E1"/>
    <w:rsid w:val="00C637E8"/>
    <w:rsid w:val="00C638D8"/>
    <w:rsid w:val="00C63C84"/>
    <w:rsid w:val="00C63D26"/>
    <w:rsid w:val="00C641EB"/>
    <w:rsid w:val="00C65053"/>
    <w:rsid w:val="00C65BD9"/>
    <w:rsid w:val="00C66061"/>
    <w:rsid w:val="00C66F69"/>
    <w:rsid w:val="00C67223"/>
    <w:rsid w:val="00C67CFF"/>
    <w:rsid w:val="00C70082"/>
    <w:rsid w:val="00C707B8"/>
    <w:rsid w:val="00C7084B"/>
    <w:rsid w:val="00C71C15"/>
    <w:rsid w:val="00C71F3D"/>
    <w:rsid w:val="00C72F53"/>
    <w:rsid w:val="00C74035"/>
    <w:rsid w:val="00C76FF4"/>
    <w:rsid w:val="00C77818"/>
    <w:rsid w:val="00C77AE3"/>
    <w:rsid w:val="00C8063F"/>
    <w:rsid w:val="00C81549"/>
    <w:rsid w:val="00C829A1"/>
    <w:rsid w:val="00C83B36"/>
    <w:rsid w:val="00C84F8A"/>
    <w:rsid w:val="00C84FDF"/>
    <w:rsid w:val="00C85209"/>
    <w:rsid w:val="00C8618F"/>
    <w:rsid w:val="00C90372"/>
    <w:rsid w:val="00C9041F"/>
    <w:rsid w:val="00C90AD1"/>
    <w:rsid w:val="00C9138F"/>
    <w:rsid w:val="00C91588"/>
    <w:rsid w:val="00C91A45"/>
    <w:rsid w:val="00C91ED2"/>
    <w:rsid w:val="00C91FB4"/>
    <w:rsid w:val="00C9364F"/>
    <w:rsid w:val="00C95745"/>
    <w:rsid w:val="00C962E3"/>
    <w:rsid w:val="00C965BD"/>
    <w:rsid w:val="00C9765D"/>
    <w:rsid w:val="00C97997"/>
    <w:rsid w:val="00CA08FE"/>
    <w:rsid w:val="00CA0FAC"/>
    <w:rsid w:val="00CA25C0"/>
    <w:rsid w:val="00CA2697"/>
    <w:rsid w:val="00CA3451"/>
    <w:rsid w:val="00CA4948"/>
    <w:rsid w:val="00CA52F9"/>
    <w:rsid w:val="00CA568B"/>
    <w:rsid w:val="00CA74D4"/>
    <w:rsid w:val="00CA7500"/>
    <w:rsid w:val="00CB1239"/>
    <w:rsid w:val="00CB178B"/>
    <w:rsid w:val="00CB19FE"/>
    <w:rsid w:val="00CB23C2"/>
    <w:rsid w:val="00CB304C"/>
    <w:rsid w:val="00CB53E8"/>
    <w:rsid w:val="00CB593E"/>
    <w:rsid w:val="00CB594A"/>
    <w:rsid w:val="00CB5CB2"/>
    <w:rsid w:val="00CB6979"/>
    <w:rsid w:val="00CB6B52"/>
    <w:rsid w:val="00CB74EC"/>
    <w:rsid w:val="00CC0A3D"/>
    <w:rsid w:val="00CC2373"/>
    <w:rsid w:val="00CC3C6A"/>
    <w:rsid w:val="00CC3D24"/>
    <w:rsid w:val="00CC3F91"/>
    <w:rsid w:val="00CC4B0A"/>
    <w:rsid w:val="00CC544A"/>
    <w:rsid w:val="00CC57EA"/>
    <w:rsid w:val="00CC5954"/>
    <w:rsid w:val="00CC6C4E"/>
    <w:rsid w:val="00CC78D4"/>
    <w:rsid w:val="00CD05A2"/>
    <w:rsid w:val="00CD19DA"/>
    <w:rsid w:val="00CD233D"/>
    <w:rsid w:val="00CD29D4"/>
    <w:rsid w:val="00CD38F5"/>
    <w:rsid w:val="00CD3ABE"/>
    <w:rsid w:val="00CD400F"/>
    <w:rsid w:val="00CD437E"/>
    <w:rsid w:val="00CD572E"/>
    <w:rsid w:val="00CD5A89"/>
    <w:rsid w:val="00CD5DAD"/>
    <w:rsid w:val="00CD72C5"/>
    <w:rsid w:val="00CD77A2"/>
    <w:rsid w:val="00CD79A7"/>
    <w:rsid w:val="00CE0789"/>
    <w:rsid w:val="00CE1A03"/>
    <w:rsid w:val="00CE2346"/>
    <w:rsid w:val="00CE3529"/>
    <w:rsid w:val="00CE35C8"/>
    <w:rsid w:val="00CE3962"/>
    <w:rsid w:val="00CE5105"/>
    <w:rsid w:val="00CE56BD"/>
    <w:rsid w:val="00CE5EC0"/>
    <w:rsid w:val="00CE6F9F"/>
    <w:rsid w:val="00CE773B"/>
    <w:rsid w:val="00CE781A"/>
    <w:rsid w:val="00CE7B3A"/>
    <w:rsid w:val="00CF0CC8"/>
    <w:rsid w:val="00CF10D4"/>
    <w:rsid w:val="00CF1D74"/>
    <w:rsid w:val="00CF2BE2"/>
    <w:rsid w:val="00CF31C0"/>
    <w:rsid w:val="00CF3839"/>
    <w:rsid w:val="00CF55F9"/>
    <w:rsid w:val="00CF56F1"/>
    <w:rsid w:val="00CF59DF"/>
    <w:rsid w:val="00CF71A6"/>
    <w:rsid w:val="00CF7495"/>
    <w:rsid w:val="00CF7671"/>
    <w:rsid w:val="00D01CF9"/>
    <w:rsid w:val="00D0334D"/>
    <w:rsid w:val="00D0374D"/>
    <w:rsid w:val="00D03BE3"/>
    <w:rsid w:val="00D05A76"/>
    <w:rsid w:val="00D075F8"/>
    <w:rsid w:val="00D0790C"/>
    <w:rsid w:val="00D07C33"/>
    <w:rsid w:val="00D07F1D"/>
    <w:rsid w:val="00D10558"/>
    <w:rsid w:val="00D1203E"/>
    <w:rsid w:val="00D12886"/>
    <w:rsid w:val="00D13D03"/>
    <w:rsid w:val="00D13E70"/>
    <w:rsid w:val="00D140B5"/>
    <w:rsid w:val="00D16136"/>
    <w:rsid w:val="00D162AA"/>
    <w:rsid w:val="00D16C58"/>
    <w:rsid w:val="00D17019"/>
    <w:rsid w:val="00D170C1"/>
    <w:rsid w:val="00D21168"/>
    <w:rsid w:val="00D235C8"/>
    <w:rsid w:val="00D2438C"/>
    <w:rsid w:val="00D25264"/>
    <w:rsid w:val="00D25DFA"/>
    <w:rsid w:val="00D26C3F"/>
    <w:rsid w:val="00D27185"/>
    <w:rsid w:val="00D278A6"/>
    <w:rsid w:val="00D27C40"/>
    <w:rsid w:val="00D31689"/>
    <w:rsid w:val="00D31E78"/>
    <w:rsid w:val="00D32B84"/>
    <w:rsid w:val="00D331CB"/>
    <w:rsid w:val="00D337AE"/>
    <w:rsid w:val="00D33AB3"/>
    <w:rsid w:val="00D33F24"/>
    <w:rsid w:val="00D346B7"/>
    <w:rsid w:val="00D346B8"/>
    <w:rsid w:val="00D35AC8"/>
    <w:rsid w:val="00D35D34"/>
    <w:rsid w:val="00D36F87"/>
    <w:rsid w:val="00D37E4E"/>
    <w:rsid w:val="00D408C3"/>
    <w:rsid w:val="00D426F4"/>
    <w:rsid w:val="00D42E6C"/>
    <w:rsid w:val="00D43218"/>
    <w:rsid w:val="00D43B80"/>
    <w:rsid w:val="00D43CB7"/>
    <w:rsid w:val="00D44236"/>
    <w:rsid w:val="00D442B9"/>
    <w:rsid w:val="00D45833"/>
    <w:rsid w:val="00D45B1E"/>
    <w:rsid w:val="00D45BA4"/>
    <w:rsid w:val="00D46A16"/>
    <w:rsid w:val="00D46CA8"/>
    <w:rsid w:val="00D46E77"/>
    <w:rsid w:val="00D471AF"/>
    <w:rsid w:val="00D4724F"/>
    <w:rsid w:val="00D50519"/>
    <w:rsid w:val="00D516A5"/>
    <w:rsid w:val="00D5264C"/>
    <w:rsid w:val="00D5289A"/>
    <w:rsid w:val="00D537FE"/>
    <w:rsid w:val="00D538F0"/>
    <w:rsid w:val="00D54A6A"/>
    <w:rsid w:val="00D54BF8"/>
    <w:rsid w:val="00D54D7C"/>
    <w:rsid w:val="00D55951"/>
    <w:rsid w:val="00D56316"/>
    <w:rsid w:val="00D572BE"/>
    <w:rsid w:val="00D57EB6"/>
    <w:rsid w:val="00D60ED7"/>
    <w:rsid w:val="00D62B20"/>
    <w:rsid w:val="00D63586"/>
    <w:rsid w:val="00D664BF"/>
    <w:rsid w:val="00D66D8B"/>
    <w:rsid w:val="00D72A1C"/>
    <w:rsid w:val="00D73580"/>
    <w:rsid w:val="00D73802"/>
    <w:rsid w:val="00D73868"/>
    <w:rsid w:val="00D73C2C"/>
    <w:rsid w:val="00D73D52"/>
    <w:rsid w:val="00D742A0"/>
    <w:rsid w:val="00D745E7"/>
    <w:rsid w:val="00D74BD9"/>
    <w:rsid w:val="00D75FF0"/>
    <w:rsid w:val="00D769C5"/>
    <w:rsid w:val="00D77495"/>
    <w:rsid w:val="00D774ED"/>
    <w:rsid w:val="00D7778F"/>
    <w:rsid w:val="00D777F6"/>
    <w:rsid w:val="00D77F88"/>
    <w:rsid w:val="00D8044C"/>
    <w:rsid w:val="00D81EAA"/>
    <w:rsid w:val="00D8259F"/>
    <w:rsid w:val="00D825F2"/>
    <w:rsid w:val="00D828B1"/>
    <w:rsid w:val="00D84461"/>
    <w:rsid w:val="00D84F27"/>
    <w:rsid w:val="00D850D4"/>
    <w:rsid w:val="00D862D1"/>
    <w:rsid w:val="00D873C6"/>
    <w:rsid w:val="00D91027"/>
    <w:rsid w:val="00D937E0"/>
    <w:rsid w:val="00D94C7D"/>
    <w:rsid w:val="00D94CA4"/>
    <w:rsid w:val="00D94FB4"/>
    <w:rsid w:val="00D95E99"/>
    <w:rsid w:val="00DA098C"/>
    <w:rsid w:val="00DA0BF8"/>
    <w:rsid w:val="00DA0FFB"/>
    <w:rsid w:val="00DA1A3A"/>
    <w:rsid w:val="00DA2C65"/>
    <w:rsid w:val="00DA395D"/>
    <w:rsid w:val="00DA3A34"/>
    <w:rsid w:val="00DA44EB"/>
    <w:rsid w:val="00DB16B8"/>
    <w:rsid w:val="00DB1D52"/>
    <w:rsid w:val="00DB1F62"/>
    <w:rsid w:val="00DB2E03"/>
    <w:rsid w:val="00DB3742"/>
    <w:rsid w:val="00DB3F4B"/>
    <w:rsid w:val="00DB61A4"/>
    <w:rsid w:val="00DB67C1"/>
    <w:rsid w:val="00DB70CD"/>
    <w:rsid w:val="00DB70F4"/>
    <w:rsid w:val="00DC1056"/>
    <w:rsid w:val="00DC16DA"/>
    <w:rsid w:val="00DC211E"/>
    <w:rsid w:val="00DC21D8"/>
    <w:rsid w:val="00DC2369"/>
    <w:rsid w:val="00DC282A"/>
    <w:rsid w:val="00DC34DC"/>
    <w:rsid w:val="00DC3CC6"/>
    <w:rsid w:val="00DC514A"/>
    <w:rsid w:val="00DC64EC"/>
    <w:rsid w:val="00DC67B1"/>
    <w:rsid w:val="00DC7833"/>
    <w:rsid w:val="00DC7B22"/>
    <w:rsid w:val="00DD132B"/>
    <w:rsid w:val="00DD1725"/>
    <w:rsid w:val="00DD21B9"/>
    <w:rsid w:val="00DD2427"/>
    <w:rsid w:val="00DD2A18"/>
    <w:rsid w:val="00DD377A"/>
    <w:rsid w:val="00DD3ECA"/>
    <w:rsid w:val="00DD5AB3"/>
    <w:rsid w:val="00DD5B1A"/>
    <w:rsid w:val="00DD61E8"/>
    <w:rsid w:val="00DD62C0"/>
    <w:rsid w:val="00DD6773"/>
    <w:rsid w:val="00DD6EC6"/>
    <w:rsid w:val="00DD7859"/>
    <w:rsid w:val="00DE03AC"/>
    <w:rsid w:val="00DE0653"/>
    <w:rsid w:val="00DE0A1D"/>
    <w:rsid w:val="00DE15B2"/>
    <w:rsid w:val="00DE1826"/>
    <w:rsid w:val="00DE1A9A"/>
    <w:rsid w:val="00DE23B5"/>
    <w:rsid w:val="00DE2494"/>
    <w:rsid w:val="00DE3D2C"/>
    <w:rsid w:val="00DE43D0"/>
    <w:rsid w:val="00DE5E82"/>
    <w:rsid w:val="00DE5FA6"/>
    <w:rsid w:val="00DE6494"/>
    <w:rsid w:val="00DE6AA1"/>
    <w:rsid w:val="00DE6C57"/>
    <w:rsid w:val="00DE74D7"/>
    <w:rsid w:val="00DE7DCC"/>
    <w:rsid w:val="00DE7EF7"/>
    <w:rsid w:val="00DF1185"/>
    <w:rsid w:val="00DF1299"/>
    <w:rsid w:val="00DF164F"/>
    <w:rsid w:val="00DF1A70"/>
    <w:rsid w:val="00DF23A8"/>
    <w:rsid w:val="00DF2F27"/>
    <w:rsid w:val="00DF5276"/>
    <w:rsid w:val="00DF597B"/>
    <w:rsid w:val="00DF6CCC"/>
    <w:rsid w:val="00DF6D0C"/>
    <w:rsid w:val="00DF6F64"/>
    <w:rsid w:val="00DF721E"/>
    <w:rsid w:val="00DF7C87"/>
    <w:rsid w:val="00E009B0"/>
    <w:rsid w:val="00E0345F"/>
    <w:rsid w:val="00E03D5C"/>
    <w:rsid w:val="00E043AC"/>
    <w:rsid w:val="00E043E9"/>
    <w:rsid w:val="00E046A9"/>
    <w:rsid w:val="00E04C0F"/>
    <w:rsid w:val="00E0570B"/>
    <w:rsid w:val="00E057B2"/>
    <w:rsid w:val="00E05996"/>
    <w:rsid w:val="00E1024B"/>
    <w:rsid w:val="00E10B87"/>
    <w:rsid w:val="00E13DE8"/>
    <w:rsid w:val="00E1478B"/>
    <w:rsid w:val="00E14FAC"/>
    <w:rsid w:val="00E15007"/>
    <w:rsid w:val="00E16EC7"/>
    <w:rsid w:val="00E1714F"/>
    <w:rsid w:val="00E2026B"/>
    <w:rsid w:val="00E21576"/>
    <w:rsid w:val="00E219CE"/>
    <w:rsid w:val="00E21CAB"/>
    <w:rsid w:val="00E21E23"/>
    <w:rsid w:val="00E23961"/>
    <w:rsid w:val="00E24071"/>
    <w:rsid w:val="00E24EBC"/>
    <w:rsid w:val="00E2522C"/>
    <w:rsid w:val="00E2599B"/>
    <w:rsid w:val="00E26019"/>
    <w:rsid w:val="00E27383"/>
    <w:rsid w:val="00E2793D"/>
    <w:rsid w:val="00E31AFA"/>
    <w:rsid w:val="00E3203D"/>
    <w:rsid w:val="00E324EE"/>
    <w:rsid w:val="00E34296"/>
    <w:rsid w:val="00E359FF"/>
    <w:rsid w:val="00E36AA7"/>
    <w:rsid w:val="00E36E39"/>
    <w:rsid w:val="00E36F0C"/>
    <w:rsid w:val="00E405F1"/>
    <w:rsid w:val="00E43054"/>
    <w:rsid w:val="00E434C4"/>
    <w:rsid w:val="00E44FE4"/>
    <w:rsid w:val="00E453FC"/>
    <w:rsid w:val="00E45D30"/>
    <w:rsid w:val="00E46013"/>
    <w:rsid w:val="00E4654B"/>
    <w:rsid w:val="00E47597"/>
    <w:rsid w:val="00E477C3"/>
    <w:rsid w:val="00E50148"/>
    <w:rsid w:val="00E5048D"/>
    <w:rsid w:val="00E504BB"/>
    <w:rsid w:val="00E50AC4"/>
    <w:rsid w:val="00E50E2C"/>
    <w:rsid w:val="00E51077"/>
    <w:rsid w:val="00E5132D"/>
    <w:rsid w:val="00E51741"/>
    <w:rsid w:val="00E51E16"/>
    <w:rsid w:val="00E52051"/>
    <w:rsid w:val="00E52151"/>
    <w:rsid w:val="00E53730"/>
    <w:rsid w:val="00E53C46"/>
    <w:rsid w:val="00E54511"/>
    <w:rsid w:val="00E5561E"/>
    <w:rsid w:val="00E55DC3"/>
    <w:rsid w:val="00E55E88"/>
    <w:rsid w:val="00E57577"/>
    <w:rsid w:val="00E601DE"/>
    <w:rsid w:val="00E62043"/>
    <w:rsid w:val="00E626B9"/>
    <w:rsid w:val="00E627C9"/>
    <w:rsid w:val="00E630F3"/>
    <w:rsid w:val="00E64E10"/>
    <w:rsid w:val="00E650E0"/>
    <w:rsid w:val="00E65198"/>
    <w:rsid w:val="00E664FB"/>
    <w:rsid w:val="00E66F0D"/>
    <w:rsid w:val="00E672F9"/>
    <w:rsid w:val="00E67345"/>
    <w:rsid w:val="00E70615"/>
    <w:rsid w:val="00E71A5E"/>
    <w:rsid w:val="00E7207B"/>
    <w:rsid w:val="00E7347A"/>
    <w:rsid w:val="00E75325"/>
    <w:rsid w:val="00E759FB"/>
    <w:rsid w:val="00E75A47"/>
    <w:rsid w:val="00E75D8C"/>
    <w:rsid w:val="00E77771"/>
    <w:rsid w:val="00E777F2"/>
    <w:rsid w:val="00E779ED"/>
    <w:rsid w:val="00E802C9"/>
    <w:rsid w:val="00E80EDD"/>
    <w:rsid w:val="00E80F0A"/>
    <w:rsid w:val="00E81A6A"/>
    <w:rsid w:val="00E8291B"/>
    <w:rsid w:val="00E82FBC"/>
    <w:rsid w:val="00E8395F"/>
    <w:rsid w:val="00E8473F"/>
    <w:rsid w:val="00E84DD1"/>
    <w:rsid w:val="00E85E41"/>
    <w:rsid w:val="00E85EA1"/>
    <w:rsid w:val="00E905F1"/>
    <w:rsid w:val="00E91044"/>
    <w:rsid w:val="00E910D3"/>
    <w:rsid w:val="00E923CF"/>
    <w:rsid w:val="00E9335F"/>
    <w:rsid w:val="00E95111"/>
    <w:rsid w:val="00E9760C"/>
    <w:rsid w:val="00EA048D"/>
    <w:rsid w:val="00EA061E"/>
    <w:rsid w:val="00EA08DE"/>
    <w:rsid w:val="00EA14C8"/>
    <w:rsid w:val="00EA19D3"/>
    <w:rsid w:val="00EA2296"/>
    <w:rsid w:val="00EA2C8D"/>
    <w:rsid w:val="00EA6649"/>
    <w:rsid w:val="00EB05D0"/>
    <w:rsid w:val="00EB07C5"/>
    <w:rsid w:val="00EB1D49"/>
    <w:rsid w:val="00EB42DD"/>
    <w:rsid w:val="00EB559F"/>
    <w:rsid w:val="00EB5F3D"/>
    <w:rsid w:val="00EB6900"/>
    <w:rsid w:val="00EB6EC2"/>
    <w:rsid w:val="00EC1CEB"/>
    <w:rsid w:val="00EC21A7"/>
    <w:rsid w:val="00EC268C"/>
    <w:rsid w:val="00EC3747"/>
    <w:rsid w:val="00EC3753"/>
    <w:rsid w:val="00EC3CB8"/>
    <w:rsid w:val="00EC3D46"/>
    <w:rsid w:val="00EC4E71"/>
    <w:rsid w:val="00EC6667"/>
    <w:rsid w:val="00EC783E"/>
    <w:rsid w:val="00ED0365"/>
    <w:rsid w:val="00ED0865"/>
    <w:rsid w:val="00ED094F"/>
    <w:rsid w:val="00ED16B6"/>
    <w:rsid w:val="00ED1C60"/>
    <w:rsid w:val="00ED2EB9"/>
    <w:rsid w:val="00ED4469"/>
    <w:rsid w:val="00ED5F23"/>
    <w:rsid w:val="00ED675F"/>
    <w:rsid w:val="00ED6DC0"/>
    <w:rsid w:val="00ED79CE"/>
    <w:rsid w:val="00ED7A7A"/>
    <w:rsid w:val="00EE038C"/>
    <w:rsid w:val="00EE040B"/>
    <w:rsid w:val="00EE168A"/>
    <w:rsid w:val="00EE47C5"/>
    <w:rsid w:val="00EE490C"/>
    <w:rsid w:val="00EE5935"/>
    <w:rsid w:val="00EE613B"/>
    <w:rsid w:val="00EE65D6"/>
    <w:rsid w:val="00EE7D60"/>
    <w:rsid w:val="00EE7E17"/>
    <w:rsid w:val="00EF2C8E"/>
    <w:rsid w:val="00EF3174"/>
    <w:rsid w:val="00EF3303"/>
    <w:rsid w:val="00EF37AB"/>
    <w:rsid w:val="00EF3A0D"/>
    <w:rsid w:val="00EF3CEB"/>
    <w:rsid w:val="00EF41A8"/>
    <w:rsid w:val="00EF44FB"/>
    <w:rsid w:val="00EF4D3C"/>
    <w:rsid w:val="00EF4E05"/>
    <w:rsid w:val="00EF51CA"/>
    <w:rsid w:val="00EF5554"/>
    <w:rsid w:val="00EF5AD8"/>
    <w:rsid w:val="00EF5D2F"/>
    <w:rsid w:val="00EF63F5"/>
    <w:rsid w:val="00EF6758"/>
    <w:rsid w:val="00EF6B90"/>
    <w:rsid w:val="00EF70AE"/>
    <w:rsid w:val="00EF79F7"/>
    <w:rsid w:val="00F00418"/>
    <w:rsid w:val="00F006C0"/>
    <w:rsid w:val="00F009BB"/>
    <w:rsid w:val="00F019AA"/>
    <w:rsid w:val="00F0267E"/>
    <w:rsid w:val="00F02686"/>
    <w:rsid w:val="00F03D99"/>
    <w:rsid w:val="00F0459B"/>
    <w:rsid w:val="00F04E15"/>
    <w:rsid w:val="00F05DF3"/>
    <w:rsid w:val="00F0641B"/>
    <w:rsid w:val="00F069EA"/>
    <w:rsid w:val="00F07B6E"/>
    <w:rsid w:val="00F07DF8"/>
    <w:rsid w:val="00F11461"/>
    <w:rsid w:val="00F11675"/>
    <w:rsid w:val="00F1182D"/>
    <w:rsid w:val="00F12557"/>
    <w:rsid w:val="00F12D4D"/>
    <w:rsid w:val="00F13A8F"/>
    <w:rsid w:val="00F144F8"/>
    <w:rsid w:val="00F14DF8"/>
    <w:rsid w:val="00F164A3"/>
    <w:rsid w:val="00F17AD9"/>
    <w:rsid w:val="00F17F74"/>
    <w:rsid w:val="00F202C2"/>
    <w:rsid w:val="00F209D5"/>
    <w:rsid w:val="00F21928"/>
    <w:rsid w:val="00F22756"/>
    <w:rsid w:val="00F23890"/>
    <w:rsid w:val="00F241CB"/>
    <w:rsid w:val="00F2447A"/>
    <w:rsid w:val="00F24638"/>
    <w:rsid w:val="00F2504D"/>
    <w:rsid w:val="00F2637F"/>
    <w:rsid w:val="00F263A8"/>
    <w:rsid w:val="00F268F7"/>
    <w:rsid w:val="00F3053D"/>
    <w:rsid w:val="00F30BDB"/>
    <w:rsid w:val="00F30CF8"/>
    <w:rsid w:val="00F31633"/>
    <w:rsid w:val="00F31EDF"/>
    <w:rsid w:val="00F32CDE"/>
    <w:rsid w:val="00F32D4C"/>
    <w:rsid w:val="00F34811"/>
    <w:rsid w:val="00F34B14"/>
    <w:rsid w:val="00F36A6A"/>
    <w:rsid w:val="00F40101"/>
    <w:rsid w:val="00F404F7"/>
    <w:rsid w:val="00F40B17"/>
    <w:rsid w:val="00F40CCA"/>
    <w:rsid w:val="00F41521"/>
    <w:rsid w:val="00F42D97"/>
    <w:rsid w:val="00F43F09"/>
    <w:rsid w:val="00F443BA"/>
    <w:rsid w:val="00F4589A"/>
    <w:rsid w:val="00F45A72"/>
    <w:rsid w:val="00F46723"/>
    <w:rsid w:val="00F46EB9"/>
    <w:rsid w:val="00F50016"/>
    <w:rsid w:val="00F50647"/>
    <w:rsid w:val="00F5118A"/>
    <w:rsid w:val="00F5165C"/>
    <w:rsid w:val="00F51A21"/>
    <w:rsid w:val="00F5276E"/>
    <w:rsid w:val="00F529F9"/>
    <w:rsid w:val="00F52E9F"/>
    <w:rsid w:val="00F53304"/>
    <w:rsid w:val="00F53D37"/>
    <w:rsid w:val="00F53D40"/>
    <w:rsid w:val="00F545ED"/>
    <w:rsid w:val="00F5687F"/>
    <w:rsid w:val="00F56FA5"/>
    <w:rsid w:val="00F5727D"/>
    <w:rsid w:val="00F575C7"/>
    <w:rsid w:val="00F60305"/>
    <w:rsid w:val="00F61B12"/>
    <w:rsid w:val="00F620C5"/>
    <w:rsid w:val="00F62398"/>
    <w:rsid w:val="00F626C5"/>
    <w:rsid w:val="00F631E8"/>
    <w:rsid w:val="00F63223"/>
    <w:rsid w:val="00F63264"/>
    <w:rsid w:val="00F6379E"/>
    <w:rsid w:val="00F64E46"/>
    <w:rsid w:val="00F676EC"/>
    <w:rsid w:val="00F70799"/>
    <w:rsid w:val="00F70906"/>
    <w:rsid w:val="00F70A8B"/>
    <w:rsid w:val="00F724FB"/>
    <w:rsid w:val="00F72578"/>
    <w:rsid w:val="00F72A26"/>
    <w:rsid w:val="00F733C3"/>
    <w:rsid w:val="00F756DD"/>
    <w:rsid w:val="00F75DB3"/>
    <w:rsid w:val="00F77C37"/>
    <w:rsid w:val="00F80047"/>
    <w:rsid w:val="00F8104D"/>
    <w:rsid w:val="00F81587"/>
    <w:rsid w:val="00F82571"/>
    <w:rsid w:val="00F83706"/>
    <w:rsid w:val="00F85258"/>
    <w:rsid w:val="00F85B72"/>
    <w:rsid w:val="00F8766F"/>
    <w:rsid w:val="00F9104C"/>
    <w:rsid w:val="00F91082"/>
    <w:rsid w:val="00F9155B"/>
    <w:rsid w:val="00F915E3"/>
    <w:rsid w:val="00F91A9A"/>
    <w:rsid w:val="00F920A7"/>
    <w:rsid w:val="00F93ABB"/>
    <w:rsid w:val="00F944F2"/>
    <w:rsid w:val="00F94D79"/>
    <w:rsid w:val="00F971DD"/>
    <w:rsid w:val="00F975D3"/>
    <w:rsid w:val="00F97F42"/>
    <w:rsid w:val="00FA118A"/>
    <w:rsid w:val="00FA11CD"/>
    <w:rsid w:val="00FA1B7E"/>
    <w:rsid w:val="00FA31C7"/>
    <w:rsid w:val="00FA472D"/>
    <w:rsid w:val="00FA591F"/>
    <w:rsid w:val="00FA6736"/>
    <w:rsid w:val="00FA7254"/>
    <w:rsid w:val="00FB0214"/>
    <w:rsid w:val="00FB080C"/>
    <w:rsid w:val="00FB18F6"/>
    <w:rsid w:val="00FB2A52"/>
    <w:rsid w:val="00FB2F13"/>
    <w:rsid w:val="00FB6232"/>
    <w:rsid w:val="00FB6E19"/>
    <w:rsid w:val="00FB71F6"/>
    <w:rsid w:val="00FC0016"/>
    <w:rsid w:val="00FC1483"/>
    <w:rsid w:val="00FC1C47"/>
    <w:rsid w:val="00FC2EF2"/>
    <w:rsid w:val="00FC39ED"/>
    <w:rsid w:val="00FC4419"/>
    <w:rsid w:val="00FC47E2"/>
    <w:rsid w:val="00FC4AA5"/>
    <w:rsid w:val="00FC5148"/>
    <w:rsid w:val="00FC6590"/>
    <w:rsid w:val="00FC7523"/>
    <w:rsid w:val="00FC75AC"/>
    <w:rsid w:val="00FC75CB"/>
    <w:rsid w:val="00FD01BF"/>
    <w:rsid w:val="00FD0525"/>
    <w:rsid w:val="00FD0D4F"/>
    <w:rsid w:val="00FD297D"/>
    <w:rsid w:val="00FD2D13"/>
    <w:rsid w:val="00FD3D26"/>
    <w:rsid w:val="00FD4789"/>
    <w:rsid w:val="00FD6071"/>
    <w:rsid w:val="00FE0794"/>
    <w:rsid w:val="00FE1041"/>
    <w:rsid w:val="00FE24CB"/>
    <w:rsid w:val="00FE3166"/>
    <w:rsid w:val="00FE3320"/>
    <w:rsid w:val="00FE3473"/>
    <w:rsid w:val="00FE353B"/>
    <w:rsid w:val="00FE4049"/>
    <w:rsid w:val="00FE4794"/>
    <w:rsid w:val="00FE5DF7"/>
    <w:rsid w:val="00FE5F72"/>
    <w:rsid w:val="00FE7180"/>
    <w:rsid w:val="00FE7B6B"/>
    <w:rsid w:val="00FF0231"/>
    <w:rsid w:val="00FF1C9B"/>
    <w:rsid w:val="00FF1D49"/>
    <w:rsid w:val="00FF2562"/>
    <w:rsid w:val="00FF2CE1"/>
    <w:rsid w:val="00FF3A41"/>
    <w:rsid w:val="00FF3E5B"/>
    <w:rsid w:val="00FF52BE"/>
    <w:rsid w:val="00FF544F"/>
    <w:rsid w:val="00FF57E4"/>
    <w:rsid w:val="00FF77F8"/>
    <w:rsid w:val="00FF78E5"/>
    <w:rsid w:val="01DF6ED8"/>
    <w:rsid w:val="02511F9D"/>
    <w:rsid w:val="02AB4E64"/>
    <w:rsid w:val="03056ED3"/>
    <w:rsid w:val="031110A7"/>
    <w:rsid w:val="0334104D"/>
    <w:rsid w:val="034E5B8A"/>
    <w:rsid w:val="03A314B8"/>
    <w:rsid w:val="03D82B98"/>
    <w:rsid w:val="03F83E8B"/>
    <w:rsid w:val="05B257EC"/>
    <w:rsid w:val="06AE10AC"/>
    <w:rsid w:val="07AB1DBE"/>
    <w:rsid w:val="07B72767"/>
    <w:rsid w:val="07E865F6"/>
    <w:rsid w:val="08071A24"/>
    <w:rsid w:val="08077E72"/>
    <w:rsid w:val="092E2887"/>
    <w:rsid w:val="09AB1EA0"/>
    <w:rsid w:val="09CC2AAC"/>
    <w:rsid w:val="09D820EE"/>
    <w:rsid w:val="0A652D3E"/>
    <w:rsid w:val="0B0A4571"/>
    <w:rsid w:val="0B3A48F0"/>
    <w:rsid w:val="0B587989"/>
    <w:rsid w:val="0BB12C11"/>
    <w:rsid w:val="0BF64F69"/>
    <w:rsid w:val="0C5C56D6"/>
    <w:rsid w:val="0C92213C"/>
    <w:rsid w:val="0CBA2804"/>
    <w:rsid w:val="0D3B1B72"/>
    <w:rsid w:val="0D4F221D"/>
    <w:rsid w:val="0D84032B"/>
    <w:rsid w:val="0E121122"/>
    <w:rsid w:val="0F011985"/>
    <w:rsid w:val="0F2A5FF8"/>
    <w:rsid w:val="0F4F4353"/>
    <w:rsid w:val="0FDC6CEF"/>
    <w:rsid w:val="10563694"/>
    <w:rsid w:val="10A27F31"/>
    <w:rsid w:val="10CA487C"/>
    <w:rsid w:val="11927058"/>
    <w:rsid w:val="12133FB0"/>
    <w:rsid w:val="12176643"/>
    <w:rsid w:val="12510966"/>
    <w:rsid w:val="12A055F5"/>
    <w:rsid w:val="12A5223C"/>
    <w:rsid w:val="12A604D9"/>
    <w:rsid w:val="130D4243"/>
    <w:rsid w:val="13115D40"/>
    <w:rsid w:val="1387148A"/>
    <w:rsid w:val="13AF4F03"/>
    <w:rsid w:val="145E6EE8"/>
    <w:rsid w:val="14736E66"/>
    <w:rsid w:val="148937C0"/>
    <w:rsid w:val="149B6AC2"/>
    <w:rsid w:val="15264037"/>
    <w:rsid w:val="15293653"/>
    <w:rsid w:val="1534169A"/>
    <w:rsid w:val="15C03E03"/>
    <w:rsid w:val="162A25EB"/>
    <w:rsid w:val="16964761"/>
    <w:rsid w:val="16FD2A55"/>
    <w:rsid w:val="17366761"/>
    <w:rsid w:val="177C01F0"/>
    <w:rsid w:val="178145DE"/>
    <w:rsid w:val="17CE6630"/>
    <w:rsid w:val="18535530"/>
    <w:rsid w:val="190D018C"/>
    <w:rsid w:val="19304EC9"/>
    <w:rsid w:val="19820BA0"/>
    <w:rsid w:val="1AFA16D5"/>
    <w:rsid w:val="1B4F19F8"/>
    <w:rsid w:val="1B574EF5"/>
    <w:rsid w:val="1BD92184"/>
    <w:rsid w:val="1C5170A2"/>
    <w:rsid w:val="1CA4265D"/>
    <w:rsid w:val="1D23361F"/>
    <w:rsid w:val="1D4061A8"/>
    <w:rsid w:val="1E4A2E9F"/>
    <w:rsid w:val="1E9B4F4B"/>
    <w:rsid w:val="1EEE23EF"/>
    <w:rsid w:val="1EFA6ED5"/>
    <w:rsid w:val="1F063325"/>
    <w:rsid w:val="1FA2402F"/>
    <w:rsid w:val="1FBC5DF5"/>
    <w:rsid w:val="1FC55574"/>
    <w:rsid w:val="20240471"/>
    <w:rsid w:val="203C5B8B"/>
    <w:rsid w:val="203D099C"/>
    <w:rsid w:val="20633891"/>
    <w:rsid w:val="20781442"/>
    <w:rsid w:val="2149055F"/>
    <w:rsid w:val="21B83F86"/>
    <w:rsid w:val="21E55E66"/>
    <w:rsid w:val="221178A8"/>
    <w:rsid w:val="221213CF"/>
    <w:rsid w:val="22327A92"/>
    <w:rsid w:val="22501E48"/>
    <w:rsid w:val="22965435"/>
    <w:rsid w:val="22BD6F35"/>
    <w:rsid w:val="231D53A2"/>
    <w:rsid w:val="23403BE4"/>
    <w:rsid w:val="23B7504C"/>
    <w:rsid w:val="24110160"/>
    <w:rsid w:val="24571307"/>
    <w:rsid w:val="24B24EC6"/>
    <w:rsid w:val="24BA2984"/>
    <w:rsid w:val="25126E09"/>
    <w:rsid w:val="25246333"/>
    <w:rsid w:val="25C14636"/>
    <w:rsid w:val="26446DE3"/>
    <w:rsid w:val="264D165B"/>
    <w:rsid w:val="265F3538"/>
    <w:rsid w:val="26835926"/>
    <w:rsid w:val="26CD1617"/>
    <w:rsid w:val="26CD578F"/>
    <w:rsid w:val="26D7699F"/>
    <w:rsid w:val="27234AD7"/>
    <w:rsid w:val="274A5E17"/>
    <w:rsid w:val="279A2132"/>
    <w:rsid w:val="284D08E4"/>
    <w:rsid w:val="2912495F"/>
    <w:rsid w:val="29531C35"/>
    <w:rsid w:val="29E17ECF"/>
    <w:rsid w:val="2A2D3BAD"/>
    <w:rsid w:val="2A5A691B"/>
    <w:rsid w:val="2A712360"/>
    <w:rsid w:val="2B09065E"/>
    <w:rsid w:val="2B774624"/>
    <w:rsid w:val="2C7A72BE"/>
    <w:rsid w:val="2CE1294E"/>
    <w:rsid w:val="2D0B0DBF"/>
    <w:rsid w:val="2D6D323D"/>
    <w:rsid w:val="2E3777C8"/>
    <w:rsid w:val="2EA9088F"/>
    <w:rsid w:val="2EEB5D26"/>
    <w:rsid w:val="2F013AAD"/>
    <w:rsid w:val="2F401D3C"/>
    <w:rsid w:val="2F436F36"/>
    <w:rsid w:val="2F70241B"/>
    <w:rsid w:val="2FA95C88"/>
    <w:rsid w:val="3041370F"/>
    <w:rsid w:val="3060796F"/>
    <w:rsid w:val="308D3B08"/>
    <w:rsid w:val="30F06C49"/>
    <w:rsid w:val="31083A05"/>
    <w:rsid w:val="3180356E"/>
    <w:rsid w:val="3203475A"/>
    <w:rsid w:val="32453A27"/>
    <w:rsid w:val="3263064A"/>
    <w:rsid w:val="32AC0C06"/>
    <w:rsid w:val="32E26A66"/>
    <w:rsid w:val="33FA1CBC"/>
    <w:rsid w:val="342866FA"/>
    <w:rsid w:val="34CA3F9D"/>
    <w:rsid w:val="35251311"/>
    <w:rsid w:val="35304278"/>
    <w:rsid w:val="3536261B"/>
    <w:rsid w:val="3537750C"/>
    <w:rsid w:val="3537798C"/>
    <w:rsid w:val="357F7ED5"/>
    <w:rsid w:val="35C13FC9"/>
    <w:rsid w:val="362E6D87"/>
    <w:rsid w:val="364257B6"/>
    <w:rsid w:val="367B3D86"/>
    <w:rsid w:val="36F834D1"/>
    <w:rsid w:val="374264D3"/>
    <w:rsid w:val="37C1661D"/>
    <w:rsid w:val="37DB7874"/>
    <w:rsid w:val="37E961A0"/>
    <w:rsid w:val="37EA5922"/>
    <w:rsid w:val="3809405A"/>
    <w:rsid w:val="38276B93"/>
    <w:rsid w:val="388F7B77"/>
    <w:rsid w:val="38F0056C"/>
    <w:rsid w:val="3A0B64A7"/>
    <w:rsid w:val="3A4A48F1"/>
    <w:rsid w:val="3A7038BB"/>
    <w:rsid w:val="3AEC5896"/>
    <w:rsid w:val="3AF74C02"/>
    <w:rsid w:val="3B5A356F"/>
    <w:rsid w:val="3BC6658C"/>
    <w:rsid w:val="3C0059A5"/>
    <w:rsid w:val="3C134E78"/>
    <w:rsid w:val="3C301B5F"/>
    <w:rsid w:val="3CAB1AFC"/>
    <w:rsid w:val="3D05582A"/>
    <w:rsid w:val="3D2D2CAB"/>
    <w:rsid w:val="3DF6345D"/>
    <w:rsid w:val="3EE13701"/>
    <w:rsid w:val="3EFA9C1A"/>
    <w:rsid w:val="3F1A4BB3"/>
    <w:rsid w:val="40192BA6"/>
    <w:rsid w:val="402351FD"/>
    <w:rsid w:val="409C1193"/>
    <w:rsid w:val="41115E7E"/>
    <w:rsid w:val="42550A18"/>
    <w:rsid w:val="425600A9"/>
    <w:rsid w:val="42D114D2"/>
    <w:rsid w:val="42F473A1"/>
    <w:rsid w:val="432D04A7"/>
    <w:rsid w:val="441E62C0"/>
    <w:rsid w:val="44274ACD"/>
    <w:rsid w:val="45445062"/>
    <w:rsid w:val="45811C7C"/>
    <w:rsid w:val="45AA78B4"/>
    <w:rsid w:val="465009C5"/>
    <w:rsid w:val="468B3EFB"/>
    <w:rsid w:val="46F851C7"/>
    <w:rsid w:val="46F9547C"/>
    <w:rsid w:val="470A6193"/>
    <w:rsid w:val="47730B9F"/>
    <w:rsid w:val="47AA339A"/>
    <w:rsid w:val="47DC4F5C"/>
    <w:rsid w:val="48A04659"/>
    <w:rsid w:val="48B40671"/>
    <w:rsid w:val="499B5738"/>
    <w:rsid w:val="499F244D"/>
    <w:rsid w:val="49E634D1"/>
    <w:rsid w:val="49F93808"/>
    <w:rsid w:val="4A6A4570"/>
    <w:rsid w:val="4A8F58C2"/>
    <w:rsid w:val="4AF96BC7"/>
    <w:rsid w:val="4B842132"/>
    <w:rsid w:val="4BFB4050"/>
    <w:rsid w:val="4CEF36E2"/>
    <w:rsid w:val="4D3B1120"/>
    <w:rsid w:val="4DAF4CC1"/>
    <w:rsid w:val="4DBE3EFF"/>
    <w:rsid w:val="4E676345"/>
    <w:rsid w:val="4EBA0EB7"/>
    <w:rsid w:val="4EE911C5"/>
    <w:rsid w:val="4F372FFB"/>
    <w:rsid w:val="4F6B5159"/>
    <w:rsid w:val="4FA76FA4"/>
    <w:rsid w:val="4FD55530"/>
    <w:rsid w:val="50444B97"/>
    <w:rsid w:val="5044725D"/>
    <w:rsid w:val="50776092"/>
    <w:rsid w:val="50C35389"/>
    <w:rsid w:val="513F391C"/>
    <w:rsid w:val="51564E44"/>
    <w:rsid w:val="52282C57"/>
    <w:rsid w:val="522C3C23"/>
    <w:rsid w:val="52C10D75"/>
    <w:rsid w:val="52C65702"/>
    <w:rsid w:val="53C125EB"/>
    <w:rsid w:val="54C53DC5"/>
    <w:rsid w:val="550C4BD7"/>
    <w:rsid w:val="55572986"/>
    <w:rsid w:val="55A14ACC"/>
    <w:rsid w:val="55EC7AAD"/>
    <w:rsid w:val="562B20BF"/>
    <w:rsid w:val="56D04C17"/>
    <w:rsid w:val="56D65FD3"/>
    <w:rsid w:val="5884764A"/>
    <w:rsid w:val="5A380E87"/>
    <w:rsid w:val="5A3D4CF5"/>
    <w:rsid w:val="5A957D93"/>
    <w:rsid w:val="5AFD311B"/>
    <w:rsid w:val="5B0821A0"/>
    <w:rsid w:val="5B3760D9"/>
    <w:rsid w:val="5B86261A"/>
    <w:rsid w:val="5BE014E5"/>
    <w:rsid w:val="5BEC760C"/>
    <w:rsid w:val="5CC41FCC"/>
    <w:rsid w:val="5CF214D0"/>
    <w:rsid w:val="5D1076B3"/>
    <w:rsid w:val="5E1B2389"/>
    <w:rsid w:val="5EC1512D"/>
    <w:rsid w:val="5F12674D"/>
    <w:rsid w:val="5F80710D"/>
    <w:rsid w:val="5FCA6914"/>
    <w:rsid w:val="5FDF74DA"/>
    <w:rsid w:val="606007BB"/>
    <w:rsid w:val="608F46AC"/>
    <w:rsid w:val="60A7347D"/>
    <w:rsid w:val="60AC7F66"/>
    <w:rsid w:val="60F65312"/>
    <w:rsid w:val="618835DC"/>
    <w:rsid w:val="61BF10D9"/>
    <w:rsid w:val="62104B4D"/>
    <w:rsid w:val="629F7BDB"/>
    <w:rsid w:val="631928DF"/>
    <w:rsid w:val="63392B54"/>
    <w:rsid w:val="640C7C21"/>
    <w:rsid w:val="643D1308"/>
    <w:rsid w:val="645C1693"/>
    <w:rsid w:val="64B84036"/>
    <w:rsid w:val="64E45EF7"/>
    <w:rsid w:val="655A9E13"/>
    <w:rsid w:val="66A575B3"/>
    <w:rsid w:val="66A57729"/>
    <w:rsid w:val="66D44ADE"/>
    <w:rsid w:val="670F748C"/>
    <w:rsid w:val="6736338C"/>
    <w:rsid w:val="673B4B4A"/>
    <w:rsid w:val="677435B2"/>
    <w:rsid w:val="67EF75F1"/>
    <w:rsid w:val="681C76FB"/>
    <w:rsid w:val="68774BE5"/>
    <w:rsid w:val="68B87030"/>
    <w:rsid w:val="68E8445D"/>
    <w:rsid w:val="69124F16"/>
    <w:rsid w:val="699E02E9"/>
    <w:rsid w:val="69AE677E"/>
    <w:rsid w:val="69C64B0E"/>
    <w:rsid w:val="69CD5C14"/>
    <w:rsid w:val="69CF0D33"/>
    <w:rsid w:val="6A3838CD"/>
    <w:rsid w:val="6AB24495"/>
    <w:rsid w:val="6B0413A1"/>
    <w:rsid w:val="6B975E2B"/>
    <w:rsid w:val="6B9946B3"/>
    <w:rsid w:val="6BF80185"/>
    <w:rsid w:val="6C310D11"/>
    <w:rsid w:val="6C921AAA"/>
    <w:rsid w:val="6D1837C6"/>
    <w:rsid w:val="6DE76850"/>
    <w:rsid w:val="6E336FB7"/>
    <w:rsid w:val="6E3B7F3B"/>
    <w:rsid w:val="6E9A1018"/>
    <w:rsid w:val="6FB20BD4"/>
    <w:rsid w:val="6FBA59BE"/>
    <w:rsid w:val="70296B3E"/>
    <w:rsid w:val="70305BFC"/>
    <w:rsid w:val="70611204"/>
    <w:rsid w:val="70F17BCE"/>
    <w:rsid w:val="7234593E"/>
    <w:rsid w:val="724E6D50"/>
    <w:rsid w:val="72983CD3"/>
    <w:rsid w:val="72EF4CB6"/>
    <w:rsid w:val="73347C4C"/>
    <w:rsid w:val="738C7F28"/>
    <w:rsid w:val="738D4A3D"/>
    <w:rsid w:val="74382F65"/>
    <w:rsid w:val="743B2F14"/>
    <w:rsid w:val="746A24BE"/>
    <w:rsid w:val="749F1040"/>
    <w:rsid w:val="74FA2C30"/>
    <w:rsid w:val="756920F3"/>
    <w:rsid w:val="76250197"/>
    <w:rsid w:val="768C42EB"/>
    <w:rsid w:val="76BC49EB"/>
    <w:rsid w:val="77000DA2"/>
    <w:rsid w:val="781E69D1"/>
    <w:rsid w:val="78340059"/>
    <w:rsid w:val="78D41A56"/>
    <w:rsid w:val="79BE1CAB"/>
    <w:rsid w:val="79D0427D"/>
    <w:rsid w:val="7ADD0453"/>
    <w:rsid w:val="7AF46346"/>
    <w:rsid w:val="7B0F5EBF"/>
    <w:rsid w:val="7B130FB9"/>
    <w:rsid w:val="7BDE0625"/>
    <w:rsid w:val="7BF64EDE"/>
    <w:rsid w:val="7C400C1E"/>
    <w:rsid w:val="7C6C6CCE"/>
    <w:rsid w:val="7C773348"/>
    <w:rsid w:val="7CB0484C"/>
    <w:rsid w:val="7D3261D0"/>
    <w:rsid w:val="7D422E99"/>
    <w:rsid w:val="7D6A4C5A"/>
    <w:rsid w:val="7DB91B4D"/>
    <w:rsid w:val="7DD11708"/>
    <w:rsid w:val="7DD83ECB"/>
    <w:rsid w:val="7DF46F4A"/>
    <w:rsid w:val="7E2369FE"/>
    <w:rsid w:val="7E3D4C74"/>
    <w:rsid w:val="7EBC46EA"/>
    <w:rsid w:val="7EC167BD"/>
    <w:rsid w:val="7EF93DF8"/>
    <w:rsid w:val="7FAF2DF8"/>
    <w:rsid w:val="7FCA72CB"/>
    <w:rsid w:val="7FCB062D"/>
    <w:rsid w:val="7FF82C26"/>
    <w:rsid w:val="EF6DC4F0"/>
    <w:rsid w:val="FFF6D50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7"/>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81"/>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77"/>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6">
    <w:name w:val="heading 5"/>
    <w:basedOn w:val="1"/>
    <w:next w:val="7"/>
    <w:link w:val="38"/>
    <w:qFormat/>
    <w:uiPriority w:val="9"/>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index 8"/>
    <w:basedOn w:val="1"/>
    <w:next w:val="1"/>
    <w:qFormat/>
    <w:uiPriority w:val="0"/>
    <w:pPr>
      <w:ind w:left="2940"/>
    </w:pPr>
    <w:rPr>
      <w:rFonts w:ascii="Times New Roman" w:hAnsi="Times New Roman" w:eastAsia="宋体" w:cs="Times New Roman"/>
    </w:rPr>
  </w:style>
  <w:style w:type="paragraph" w:styleId="9">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0">
    <w:name w:val="annotation text"/>
    <w:basedOn w:val="1"/>
    <w:link w:val="39"/>
    <w:qFormat/>
    <w:uiPriority w:val="0"/>
    <w:pPr>
      <w:jc w:val="left"/>
    </w:pPr>
  </w:style>
  <w:style w:type="paragraph" w:styleId="11">
    <w:name w:val="Body Text 3"/>
    <w:basedOn w:val="1"/>
    <w:link w:val="40"/>
    <w:unhideWhenUsed/>
    <w:qFormat/>
    <w:uiPriority w:val="99"/>
    <w:pPr>
      <w:spacing w:after="120"/>
    </w:pPr>
    <w:rPr>
      <w:sz w:val="16"/>
      <w:szCs w:val="16"/>
    </w:rPr>
  </w:style>
  <w:style w:type="paragraph" w:styleId="12">
    <w:name w:val="Body Text"/>
    <w:basedOn w:val="1"/>
    <w:next w:val="1"/>
    <w:link w:val="41"/>
    <w:unhideWhenUsed/>
    <w:qFormat/>
    <w:uiPriority w:val="0"/>
    <w:pPr>
      <w:spacing w:after="120"/>
    </w:pPr>
  </w:style>
  <w:style w:type="paragraph" w:styleId="13">
    <w:name w:val="Body Text Indent"/>
    <w:basedOn w:val="1"/>
    <w:link w:val="42"/>
    <w:qFormat/>
    <w:uiPriority w:val="0"/>
    <w:pPr>
      <w:ind w:firstLine="830" w:firstLineChars="352"/>
    </w:pPr>
    <w:rPr>
      <w:rFonts w:ascii="仿宋_GB2312" w:eastAsia="仿宋_GB2312"/>
      <w:kern w:val="0"/>
      <w:sz w:val="32"/>
      <w:szCs w:val="20"/>
    </w:rPr>
  </w:style>
  <w:style w:type="paragraph" w:styleId="14">
    <w:name w:val="List 2"/>
    <w:basedOn w:val="1"/>
    <w:unhideWhenUsed/>
    <w:qFormat/>
    <w:uiPriority w:val="99"/>
    <w:pPr>
      <w:ind w:left="100" w:leftChars="200" w:hanging="200" w:hangingChars="200"/>
      <w:contextualSpacing/>
    </w:pPr>
  </w:style>
  <w:style w:type="paragraph" w:styleId="15">
    <w:name w:val="Block Text"/>
    <w:basedOn w:val="1"/>
    <w:qFormat/>
    <w:uiPriority w:val="0"/>
    <w:pPr>
      <w:tabs>
        <w:tab w:val="left" w:pos="1440"/>
      </w:tabs>
      <w:spacing w:after="100"/>
      <w:ind w:left="3600" w:right="-288" w:hanging="2880"/>
    </w:pPr>
    <w:rPr>
      <w:snapToGrid w:val="0"/>
      <w:kern w:val="0"/>
      <w:sz w:val="22"/>
      <w:szCs w:val="20"/>
      <w:lang w:eastAsia="en-US"/>
    </w:rPr>
  </w:style>
  <w:style w:type="paragraph" w:styleId="16">
    <w:name w:val="Plain Text"/>
    <w:basedOn w:val="1"/>
    <w:next w:val="8"/>
    <w:link w:val="43"/>
    <w:qFormat/>
    <w:uiPriority w:val="0"/>
    <w:rPr>
      <w:rFonts w:ascii="宋体" w:hAnsi="Courier New"/>
      <w:kern w:val="0"/>
      <w:sz w:val="20"/>
      <w:szCs w:val="21"/>
    </w:rPr>
  </w:style>
  <w:style w:type="paragraph" w:styleId="17">
    <w:name w:val="Date"/>
    <w:basedOn w:val="1"/>
    <w:next w:val="1"/>
    <w:link w:val="44"/>
    <w:unhideWhenUsed/>
    <w:qFormat/>
    <w:uiPriority w:val="99"/>
    <w:pPr>
      <w:ind w:left="100" w:leftChars="2500"/>
    </w:pPr>
  </w:style>
  <w:style w:type="paragraph" w:styleId="18">
    <w:name w:val="Balloon Text"/>
    <w:basedOn w:val="1"/>
    <w:semiHidden/>
    <w:qFormat/>
    <w:uiPriority w:val="0"/>
    <w:rPr>
      <w:sz w:val="18"/>
      <w:szCs w:val="18"/>
    </w:rPr>
  </w:style>
  <w:style w:type="paragraph" w:styleId="19">
    <w:name w:val="footer"/>
    <w:basedOn w:val="1"/>
    <w:link w:val="45"/>
    <w:unhideWhenUsed/>
    <w:qFormat/>
    <w:uiPriority w:val="99"/>
    <w:pPr>
      <w:tabs>
        <w:tab w:val="center" w:pos="4153"/>
        <w:tab w:val="right" w:pos="8306"/>
      </w:tabs>
      <w:snapToGrid w:val="0"/>
      <w:jc w:val="left"/>
    </w:pPr>
    <w:rPr>
      <w:kern w:val="0"/>
      <w:sz w:val="18"/>
      <w:szCs w:val="18"/>
    </w:rPr>
  </w:style>
  <w:style w:type="paragraph" w:styleId="20">
    <w:name w:val="header"/>
    <w:basedOn w:val="1"/>
    <w:link w:val="4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unhideWhenUsed/>
    <w:qFormat/>
    <w:uiPriority w:val="39"/>
  </w:style>
  <w:style w:type="paragraph" w:styleId="22">
    <w:name w:val="toc 2"/>
    <w:basedOn w:val="1"/>
    <w:next w:val="1"/>
    <w:unhideWhenUsed/>
    <w:qFormat/>
    <w:uiPriority w:val="39"/>
    <w:pPr>
      <w:tabs>
        <w:tab w:val="right" w:leader="dot" w:pos="8296"/>
      </w:tabs>
      <w:ind w:left="420" w:leftChars="200"/>
    </w:pPr>
  </w:style>
  <w:style w:type="paragraph" w:styleId="23">
    <w:name w:val="HTML Preformatted"/>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kern w:val="0"/>
      <w:sz w:val="24"/>
    </w:rPr>
  </w:style>
  <w:style w:type="paragraph" w:styleId="24">
    <w:name w:val="Normal (Web)"/>
    <w:basedOn w:val="1"/>
    <w:unhideWhenUsed/>
    <w:qFormat/>
    <w:uiPriority w:val="99"/>
    <w:rPr>
      <w:rFonts w:ascii="Calibri" w:hAnsi="Calibri"/>
      <w:kern w:val="0"/>
      <w:sz w:val="24"/>
    </w:rPr>
  </w:style>
  <w:style w:type="paragraph" w:styleId="25">
    <w:name w:val="index 1"/>
    <w:basedOn w:val="1"/>
    <w:next w:val="1"/>
    <w:qFormat/>
    <w:uiPriority w:val="0"/>
    <w:pPr>
      <w:spacing w:line="400" w:lineRule="exact"/>
      <w:ind w:firstLine="420" w:firstLineChars="200"/>
    </w:pPr>
    <w:rPr>
      <w:rFonts w:ascii="宋体" w:hAnsi="Courier New"/>
      <w:b/>
      <w:szCs w:val="20"/>
    </w:rPr>
  </w:style>
  <w:style w:type="paragraph" w:styleId="26">
    <w:name w:val="annotation subject"/>
    <w:basedOn w:val="10"/>
    <w:next w:val="10"/>
    <w:link w:val="47"/>
    <w:qFormat/>
    <w:uiPriority w:val="99"/>
    <w:rPr>
      <w:b/>
      <w:bCs/>
    </w:rPr>
  </w:style>
  <w:style w:type="paragraph" w:styleId="27">
    <w:name w:val="Body Text First Indent"/>
    <w:basedOn w:val="12"/>
    <w:next w:val="1"/>
    <w:qFormat/>
    <w:uiPriority w:val="0"/>
    <w:pPr>
      <w:ind w:firstLine="420" w:firstLineChars="100"/>
    </w:pPr>
  </w:style>
  <w:style w:type="paragraph" w:styleId="28">
    <w:name w:val="Body Text First Indent 2"/>
    <w:basedOn w:val="13"/>
    <w:next w:val="1"/>
    <w:qFormat/>
    <w:uiPriority w:val="0"/>
    <w:pPr>
      <w:spacing w:after="120"/>
      <w:ind w:left="420" w:leftChars="200" w:firstLine="420" w:firstLineChars="200"/>
    </w:pPr>
    <w:rPr>
      <w:szCs w:val="24"/>
    </w:rPr>
  </w:style>
  <w:style w:type="table" w:styleId="30">
    <w:name w:val="Table Grid"/>
    <w:basedOn w:val="2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page number"/>
    <w:qFormat/>
    <w:uiPriority w:val="0"/>
  </w:style>
  <w:style w:type="character" w:styleId="33">
    <w:name w:val="Hyperlink"/>
    <w:unhideWhenUsed/>
    <w:qFormat/>
    <w:uiPriority w:val="99"/>
    <w:rPr>
      <w:color w:val="0000FF"/>
      <w:u w:val="single"/>
    </w:rPr>
  </w:style>
  <w:style w:type="character" w:styleId="34">
    <w:name w:val="annotation reference"/>
    <w:basedOn w:val="31"/>
    <w:qFormat/>
    <w:uiPriority w:val="0"/>
    <w:rPr>
      <w:sz w:val="21"/>
      <w:szCs w:val="21"/>
    </w:rPr>
  </w:style>
  <w:style w:type="paragraph" w:customStyle="1" w:styleId="35">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36">
    <w:name w:val="标题 1 字符1"/>
    <w:link w:val="2"/>
    <w:qFormat/>
    <w:uiPriority w:val="0"/>
    <w:rPr>
      <w:b/>
      <w:bCs/>
      <w:kern w:val="44"/>
      <w:sz w:val="44"/>
      <w:szCs w:val="44"/>
    </w:rPr>
  </w:style>
  <w:style w:type="character" w:customStyle="1" w:styleId="37">
    <w:name w:val="标题 2 字符"/>
    <w:link w:val="3"/>
    <w:qFormat/>
    <w:uiPriority w:val="9"/>
    <w:rPr>
      <w:rFonts w:ascii="Cambria" w:hAnsi="Cambria" w:eastAsia="宋体" w:cs="Times New Roman"/>
      <w:b/>
      <w:bCs/>
      <w:kern w:val="2"/>
      <w:sz w:val="32"/>
      <w:szCs w:val="32"/>
    </w:rPr>
  </w:style>
  <w:style w:type="character" w:customStyle="1" w:styleId="38">
    <w:name w:val="标题 5 字符"/>
    <w:link w:val="6"/>
    <w:semiHidden/>
    <w:qFormat/>
    <w:uiPriority w:val="9"/>
    <w:rPr>
      <w:rFonts w:ascii="Times New Roman" w:hAnsi="Times New Roman"/>
      <w:b/>
      <w:bCs/>
      <w:kern w:val="2"/>
      <w:sz w:val="28"/>
      <w:szCs w:val="28"/>
    </w:rPr>
  </w:style>
  <w:style w:type="character" w:customStyle="1" w:styleId="39">
    <w:name w:val="批注文字 字符"/>
    <w:link w:val="10"/>
    <w:qFormat/>
    <w:uiPriority w:val="0"/>
    <w:rPr>
      <w:rFonts w:ascii="Times New Roman" w:hAnsi="Times New Roman"/>
      <w:kern w:val="2"/>
      <w:sz w:val="21"/>
      <w:szCs w:val="24"/>
    </w:rPr>
  </w:style>
  <w:style w:type="character" w:customStyle="1" w:styleId="40">
    <w:name w:val="正文文本 3 字符"/>
    <w:link w:val="11"/>
    <w:semiHidden/>
    <w:qFormat/>
    <w:uiPriority w:val="99"/>
    <w:rPr>
      <w:rFonts w:ascii="Times New Roman" w:hAnsi="Times New Roman"/>
      <w:kern w:val="2"/>
      <w:sz w:val="16"/>
      <w:szCs w:val="16"/>
    </w:rPr>
  </w:style>
  <w:style w:type="character" w:customStyle="1" w:styleId="41">
    <w:name w:val="正文文本 字符"/>
    <w:link w:val="12"/>
    <w:qFormat/>
    <w:uiPriority w:val="0"/>
    <w:rPr>
      <w:rFonts w:ascii="Times New Roman" w:hAnsi="Times New Roman"/>
      <w:kern w:val="2"/>
      <w:sz w:val="21"/>
      <w:szCs w:val="24"/>
    </w:rPr>
  </w:style>
  <w:style w:type="character" w:customStyle="1" w:styleId="42">
    <w:name w:val="正文文本缩进 字符"/>
    <w:link w:val="13"/>
    <w:qFormat/>
    <w:uiPriority w:val="0"/>
    <w:rPr>
      <w:rFonts w:ascii="仿宋_GB2312" w:hAnsi="Times New Roman" w:eastAsia="仿宋_GB2312" w:cs="Times New Roman"/>
      <w:sz w:val="32"/>
      <w:szCs w:val="20"/>
    </w:rPr>
  </w:style>
  <w:style w:type="character" w:customStyle="1" w:styleId="43">
    <w:name w:val="纯文本 字符"/>
    <w:link w:val="16"/>
    <w:qFormat/>
    <w:uiPriority w:val="0"/>
    <w:rPr>
      <w:rFonts w:ascii="宋体" w:hAnsi="Courier New" w:eastAsia="宋体" w:cs="Courier New"/>
      <w:szCs w:val="21"/>
    </w:rPr>
  </w:style>
  <w:style w:type="character" w:customStyle="1" w:styleId="44">
    <w:name w:val="日期 字符"/>
    <w:link w:val="17"/>
    <w:semiHidden/>
    <w:qFormat/>
    <w:uiPriority w:val="99"/>
    <w:rPr>
      <w:rFonts w:ascii="Times New Roman" w:hAnsi="Times New Roman"/>
      <w:kern w:val="2"/>
      <w:sz w:val="21"/>
      <w:szCs w:val="24"/>
    </w:rPr>
  </w:style>
  <w:style w:type="character" w:customStyle="1" w:styleId="45">
    <w:name w:val="页脚 字符"/>
    <w:link w:val="19"/>
    <w:qFormat/>
    <w:uiPriority w:val="99"/>
    <w:rPr>
      <w:sz w:val="18"/>
      <w:szCs w:val="18"/>
    </w:rPr>
  </w:style>
  <w:style w:type="character" w:customStyle="1" w:styleId="46">
    <w:name w:val="页眉 字符"/>
    <w:link w:val="20"/>
    <w:qFormat/>
    <w:uiPriority w:val="99"/>
    <w:rPr>
      <w:sz w:val="18"/>
      <w:szCs w:val="18"/>
    </w:rPr>
  </w:style>
  <w:style w:type="character" w:customStyle="1" w:styleId="47">
    <w:name w:val="批注主题 字符"/>
    <w:link w:val="26"/>
    <w:qFormat/>
    <w:uiPriority w:val="99"/>
    <w:rPr>
      <w:rFonts w:ascii="Times New Roman" w:hAnsi="Times New Roman"/>
      <w:b/>
      <w:bCs/>
      <w:kern w:val="2"/>
      <w:sz w:val="21"/>
      <w:szCs w:val="24"/>
    </w:rPr>
  </w:style>
  <w:style w:type="character" w:customStyle="1" w:styleId="48">
    <w:name w:val="正文文本缩进 字符1"/>
    <w:qFormat/>
    <w:uiPriority w:val="0"/>
    <w:rPr>
      <w:rFonts w:ascii="仿宋_GB2312" w:hAnsi="Times New Roman" w:eastAsia="仿宋_GB2312" w:cs="Times New Roman"/>
      <w:sz w:val="32"/>
      <w:szCs w:val="20"/>
    </w:rPr>
  </w:style>
  <w:style w:type="character" w:customStyle="1" w:styleId="49">
    <w:name w:val="apple-style-span"/>
    <w:qFormat/>
    <w:uiPriority w:val="0"/>
  </w:style>
  <w:style w:type="character" w:customStyle="1" w:styleId="50">
    <w:name w:val="标题 1 字符"/>
    <w:qFormat/>
    <w:uiPriority w:val="9"/>
    <w:rPr>
      <w:b/>
      <w:bCs/>
      <w:kern w:val="44"/>
      <w:sz w:val="44"/>
      <w:szCs w:val="44"/>
    </w:rPr>
  </w:style>
  <w:style w:type="character" w:customStyle="1" w:styleId="51">
    <w:name w:val="textcontents"/>
    <w:qFormat/>
    <w:uiPriority w:val="0"/>
  </w:style>
  <w:style w:type="character" w:customStyle="1" w:styleId="52">
    <w:name w:val="纯文本 字符1"/>
    <w:qFormat/>
    <w:uiPriority w:val="0"/>
    <w:rPr>
      <w:rFonts w:ascii="宋体" w:hAnsi="Courier New"/>
    </w:rPr>
  </w:style>
  <w:style w:type="character" w:customStyle="1" w:styleId="53">
    <w:name w:val="批注文字 字符1"/>
    <w:qFormat/>
    <w:uiPriority w:val="0"/>
    <w:rPr>
      <w:kern w:val="2"/>
      <w:sz w:val="21"/>
      <w:szCs w:val="24"/>
    </w:rPr>
  </w:style>
  <w:style w:type="character" w:customStyle="1" w:styleId="54">
    <w:name w:val="纯文本 字符2"/>
    <w:qFormat/>
    <w:uiPriority w:val="0"/>
    <w:rPr>
      <w:rFonts w:ascii="宋体" w:hAnsi="Courier New" w:eastAsia="宋体" w:cs="Courier New"/>
      <w:szCs w:val="21"/>
    </w:rPr>
  </w:style>
  <w:style w:type="character" w:customStyle="1" w:styleId="55">
    <w:name w:val="页脚 Char"/>
    <w:qFormat/>
    <w:uiPriority w:val="99"/>
    <w:rPr>
      <w:lang w:eastAsia="zh-CN"/>
    </w:rPr>
  </w:style>
  <w:style w:type="paragraph" w:customStyle="1" w:styleId="56">
    <w:name w:val="默认段落字体 Para Char Char Char Char Char Char Char Char Char1 Char Char Char Char"/>
    <w:basedOn w:val="1"/>
    <w:qFormat/>
    <w:uiPriority w:val="0"/>
    <w:rPr>
      <w:rFonts w:ascii="Tahoma" w:hAnsi="Tahoma"/>
      <w:sz w:val="24"/>
      <w:szCs w:val="20"/>
    </w:rPr>
  </w:style>
  <w:style w:type="paragraph" w:customStyle="1" w:styleId="5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58">
    <w:name w:val="列出段落1"/>
    <w:basedOn w:val="1"/>
    <w:qFormat/>
    <w:uiPriority w:val="34"/>
    <w:pPr>
      <w:ind w:firstLine="420" w:firstLineChars="200"/>
    </w:pPr>
  </w:style>
  <w:style w:type="paragraph" w:customStyle="1" w:styleId="59">
    <w:name w:val="Table Paragraph"/>
    <w:basedOn w:val="1"/>
    <w:qFormat/>
    <w:uiPriority w:val="1"/>
    <w:pPr>
      <w:jc w:val="left"/>
    </w:pPr>
    <w:rPr>
      <w:rFonts w:ascii="Calibri" w:hAnsi="Calibri"/>
      <w:kern w:val="0"/>
      <w:sz w:val="22"/>
      <w:szCs w:val="22"/>
      <w:lang w:eastAsia="en-US"/>
    </w:rPr>
  </w:style>
  <w:style w:type="character" w:customStyle="1" w:styleId="60">
    <w:name w:val="批注文字 Char1"/>
    <w:qFormat/>
    <w:uiPriority w:val="0"/>
    <w:rPr>
      <w:rFonts w:ascii="Times New Roman" w:hAnsi="Times New Roman"/>
      <w:kern w:val="2"/>
      <w:sz w:val="21"/>
      <w:szCs w:val="24"/>
    </w:rPr>
  </w:style>
  <w:style w:type="character" w:customStyle="1" w:styleId="61">
    <w:name w:val="批注文字 字符2"/>
    <w:qFormat/>
    <w:uiPriority w:val="0"/>
    <w:rPr>
      <w:rFonts w:ascii="Times New Roman" w:hAnsi="Times New Roman"/>
      <w:kern w:val="2"/>
      <w:sz w:val="21"/>
      <w:szCs w:val="24"/>
    </w:rPr>
  </w:style>
  <w:style w:type="character" w:customStyle="1" w:styleId="62">
    <w:name w:val="正文文本 (26) + 间距 0 pt"/>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63">
    <w:name w:val="纯文本 Char1"/>
    <w:qFormat/>
    <w:uiPriority w:val="0"/>
    <w:rPr>
      <w:rFonts w:ascii="宋体" w:hAnsi="Courier New" w:eastAsia="宋体" w:cs="Courier New"/>
      <w:szCs w:val="21"/>
    </w:rPr>
  </w:style>
  <w:style w:type="character" w:customStyle="1" w:styleId="64">
    <w:name w:val="批注文字 Char2"/>
    <w:qFormat/>
    <w:uiPriority w:val="0"/>
    <w:rPr>
      <w:rFonts w:ascii="Times New Roman" w:hAnsi="Times New Roman"/>
      <w:kern w:val="2"/>
      <w:sz w:val="21"/>
      <w:szCs w:val="24"/>
    </w:rPr>
  </w:style>
  <w:style w:type="character" w:customStyle="1" w:styleId="65">
    <w:name w:val="font11"/>
    <w:basedOn w:val="31"/>
    <w:qFormat/>
    <w:uiPriority w:val="0"/>
    <w:rPr>
      <w:rFonts w:hint="eastAsia" w:ascii="宋体" w:hAnsi="宋体" w:eastAsia="宋体" w:cs="宋体"/>
      <w:color w:val="000000"/>
      <w:sz w:val="20"/>
      <w:szCs w:val="20"/>
      <w:u w:val="none"/>
    </w:rPr>
  </w:style>
  <w:style w:type="character" w:customStyle="1" w:styleId="66">
    <w:name w:val="font41"/>
    <w:basedOn w:val="31"/>
    <w:qFormat/>
    <w:uiPriority w:val="0"/>
    <w:rPr>
      <w:rFonts w:ascii="宋体" w:hAnsi="宋体" w:eastAsia="宋体" w:cs="宋体"/>
      <w:color w:val="000000"/>
      <w:sz w:val="20"/>
      <w:szCs w:val="20"/>
      <w:u w:val="none"/>
    </w:rPr>
  </w:style>
  <w:style w:type="character" w:customStyle="1" w:styleId="67">
    <w:name w:val="font31"/>
    <w:basedOn w:val="31"/>
    <w:qFormat/>
    <w:uiPriority w:val="0"/>
    <w:rPr>
      <w:rFonts w:ascii="方正书宋_GBK" w:hAnsi="方正书宋_GBK" w:eastAsia="方正书宋_GBK" w:cs="方正书宋_GBK"/>
      <w:color w:val="000000"/>
      <w:sz w:val="21"/>
      <w:szCs w:val="21"/>
      <w:u w:val="none"/>
    </w:rPr>
  </w:style>
  <w:style w:type="character" w:customStyle="1" w:styleId="68">
    <w:name w:val="font61"/>
    <w:basedOn w:val="31"/>
    <w:qFormat/>
    <w:uiPriority w:val="0"/>
    <w:rPr>
      <w:rFonts w:hint="default" w:ascii="Times New Roman" w:hAnsi="Times New Roman" w:cs="Times New Roman"/>
      <w:color w:val="000000"/>
      <w:sz w:val="21"/>
      <w:szCs w:val="21"/>
      <w:u w:val="none"/>
    </w:rPr>
  </w:style>
  <w:style w:type="character" w:customStyle="1" w:styleId="69">
    <w:name w:val="font71"/>
    <w:basedOn w:val="31"/>
    <w:qFormat/>
    <w:uiPriority w:val="0"/>
    <w:rPr>
      <w:rFonts w:hint="eastAsia" w:ascii="宋体" w:hAnsi="宋体" w:eastAsia="宋体" w:cs="宋体"/>
      <w:b/>
      <w:bCs/>
      <w:color w:val="000000"/>
      <w:sz w:val="18"/>
      <w:szCs w:val="18"/>
      <w:u w:val="none"/>
    </w:rPr>
  </w:style>
  <w:style w:type="character" w:customStyle="1" w:styleId="70">
    <w:name w:val="font81"/>
    <w:basedOn w:val="31"/>
    <w:qFormat/>
    <w:uiPriority w:val="0"/>
    <w:rPr>
      <w:rFonts w:hint="eastAsia" w:ascii="宋体" w:hAnsi="宋体" w:eastAsia="宋体" w:cs="宋体"/>
      <w:color w:val="000000"/>
      <w:sz w:val="18"/>
      <w:szCs w:val="18"/>
      <w:u w:val="none"/>
    </w:rPr>
  </w:style>
  <w:style w:type="character" w:customStyle="1" w:styleId="71">
    <w:name w:val="font01"/>
    <w:basedOn w:val="31"/>
    <w:qFormat/>
    <w:uiPriority w:val="0"/>
    <w:rPr>
      <w:rFonts w:hint="default" w:ascii="Arial" w:hAnsi="Arial" w:cs="Arial"/>
      <w:color w:val="000000"/>
      <w:sz w:val="18"/>
      <w:szCs w:val="18"/>
      <w:u w:val="none"/>
    </w:rPr>
  </w:style>
  <w:style w:type="character" w:customStyle="1" w:styleId="72">
    <w:name w:val="font91"/>
    <w:basedOn w:val="31"/>
    <w:qFormat/>
    <w:uiPriority w:val="0"/>
    <w:rPr>
      <w:rFonts w:hint="eastAsia" w:ascii="宋体" w:hAnsi="宋体" w:eastAsia="宋体" w:cs="宋体"/>
      <w:color w:val="000000"/>
      <w:sz w:val="18"/>
      <w:szCs w:val="18"/>
      <w:u w:val="none"/>
    </w:rPr>
  </w:style>
  <w:style w:type="character" w:customStyle="1" w:styleId="73">
    <w:name w:val="font51"/>
    <w:basedOn w:val="31"/>
    <w:qFormat/>
    <w:uiPriority w:val="0"/>
    <w:rPr>
      <w:rFonts w:hint="default" w:ascii="Times New Roman" w:hAnsi="Times New Roman" w:cs="Times New Roman"/>
      <w:b/>
      <w:color w:val="000000"/>
      <w:sz w:val="18"/>
      <w:szCs w:val="18"/>
      <w:u w:val="none"/>
    </w:rPr>
  </w:style>
  <w:style w:type="paragraph" w:styleId="74">
    <w:name w:val="List Paragraph"/>
    <w:basedOn w:val="1"/>
    <w:qFormat/>
    <w:uiPriority w:val="34"/>
    <w:pPr>
      <w:ind w:firstLine="420" w:firstLineChars="200"/>
    </w:pPr>
  </w:style>
  <w:style w:type="paragraph" w:customStyle="1" w:styleId="75">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76">
    <w:name w:val="Title1"/>
    <w:basedOn w:val="1"/>
    <w:next w:val="1"/>
    <w:qFormat/>
    <w:uiPriority w:val="0"/>
    <w:pPr>
      <w:jc w:val="center"/>
      <w:outlineLvl w:val="0"/>
    </w:pPr>
    <w:rPr>
      <w:rFonts w:ascii="Calibri Light" w:hAnsi="Calibri Light" w:eastAsia="Arial Unicode MS"/>
      <w:b/>
    </w:rPr>
  </w:style>
  <w:style w:type="character" w:customStyle="1" w:styleId="77">
    <w:name w:val="标题 4 字符"/>
    <w:basedOn w:val="31"/>
    <w:link w:val="5"/>
    <w:qFormat/>
    <w:uiPriority w:val="0"/>
    <w:rPr>
      <w:rFonts w:ascii="Arial" w:hAnsi="Arial" w:eastAsia="黑体"/>
      <w:sz w:val="28"/>
    </w:rPr>
  </w:style>
  <w:style w:type="character" w:customStyle="1" w:styleId="78">
    <w:name w:val="font21"/>
    <w:basedOn w:val="31"/>
    <w:qFormat/>
    <w:uiPriority w:val="0"/>
    <w:rPr>
      <w:rFonts w:hint="eastAsia" w:ascii="宋体" w:hAnsi="宋体" w:eastAsia="宋体"/>
      <w:color w:val="000000"/>
      <w:sz w:val="20"/>
      <w:szCs w:val="20"/>
      <w:u w:val="none"/>
    </w:rPr>
  </w:style>
  <w:style w:type="paragraph" w:customStyle="1" w:styleId="79">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80">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81">
    <w:name w:val="标题 3 字符"/>
    <w:basedOn w:val="31"/>
    <w:link w:val="4"/>
    <w:semiHidden/>
    <w:qFormat/>
    <w:uiPriority w:val="9"/>
    <w:rPr>
      <w:b/>
      <w:bCs/>
      <w:kern w:val="2"/>
      <w:sz w:val="32"/>
      <w:szCs w:val="32"/>
    </w:rPr>
  </w:style>
  <w:style w:type="character" w:customStyle="1" w:styleId="82">
    <w:name w:val="font101"/>
    <w:basedOn w:val="31"/>
    <w:qFormat/>
    <w:uiPriority w:val="0"/>
    <w:rPr>
      <w:rFonts w:ascii="Arial" w:hAnsi="Arial" w:cs="Arial"/>
      <w:color w:val="FF0000"/>
      <w:sz w:val="18"/>
      <w:szCs w:val="18"/>
      <w:u w:val="none"/>
    </w:rPr>
  </w:style>
  <w:style w:type="character" w:customStyle="1" w:styleId="83">
    <w:name w:val="font112"/>
    <w:basedOn w:val="31"/>
    <w:qFormat/>
    <w:uiPriority w:val="0"/>
    <w:rPr>
      <w:rFonts w:ascii="微软雅黑" w:hAnsi="微软雅黑" w:eastAsia="微软雅黑" w:cs="微软雅黑"/>
      <w:color w:val="FF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KWZB;</Company>
  <Pages>108</Pages>
  <Words>61256</Words>
  <Characters>67641</Characters>
  <Lines>498</Lines>
  <Paragraphs>140</Paragraphs>
  <TotalTime>10</TotalTime>
  <ScaleCrop>false</ScaleCrop>
  <LinksUpToDate>false</LinksUpToDate>
  <CharactersWithSpaces>73424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2025-04-07T01:11:00Z</dcterms:created>
  <dc:creator>KWZB</dc:creator>
  <cp:lastModifiedBy>888</cp:lastModifiedBy>
  <cp:lastPrinted>2020-04-03T00:20:00Z</cp:lastPrinted>
  <dcterms:modified xsi:type="dcterms:W3CDTF">2025-10-17T09:58:41Z</dcterms:modified>
  <dc:title>竞争性谈判文件规范</dc:title>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D667AC14211E4701B8A47947EACF5F78_13</vt:lpwstr>
  </property>
  <property fmtid="{D5CDD505-2E9C-101B-9397-08002B2CF9AE}" pid="4" name="KSOTemplateDocerSaveRecord">
    <vt:lpwstr>eyJoZGlkIjoiMDE0NmQwYWQ1ODU1NjI4ZGJjYjIzZWFmN2QwYmZiODYiLCJ1c2VySWQiOiI0Mjc3MjQwNTIifQ==</vt:lpwstr>
  </property>
</Properties>
</file>